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rFonts w:hint="eastAsia"/>
        </w:rPr>
      </w:pPr>
    </w:p>
    <w:p w:rsidR="00000000" w:rsidRDefault="00000000">
      <w:pPr>
        <w:rPr>
          <w:rFonts w:hint="eastAsia"/>
        </w:rPr>
      </w:pPr>
      <w:r>
        <w:rPr>
          <w:rFonts w:hint="eastAsia"/>
        </w:rPr>
        <w:t>2003</w:t>
      </w:r>
      <w:r>
        <w:rPr>
          <w:rFonts w:hint="eastAsia"/>
        </w:rPr>
        <w:t>年实质性会议</w:t>
      </w:r>
    </w:p>
    <w:p w:rsidR="00000000" w:rsidRDefault="00000000">
      <w:pPr>
        <w:rPr>
          <w:rFonts w:hint="eastAsia"/>
        </w:rPr>
      </w:pPr>
    </w:p>
    <w:p w:rsidR="00000000" w:rsidRDefault="00000000">
      <w:pPr>
        <w:rPr>
          <w:rFonts w:hint="eastAsia"/>
        </w:rPr>
      </w:pP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缔约国根据《公约》第</w:t>
      </w:r>
      <w:r>
        <w:rPr>
          <w:rFonts w:hint="eastAsia"/>
        </w:rPr>
        <w:t>16</w:t>
      </w:r>
      <w:r>
        <w:rPr>
          <w:rFonts w:hint="eastAsia"/>
        </w:rPr>
        <w:t>条</w:t>
      </w:r>
      <w:r>
        <w:br/>
      </w:r>
      <w:r>
        <w:rPr>
          <w:rFonts w:hint="eastAsia"/>
        </w:rPr>
        <w:t>和第</w:t>
      </w:r>
      <w:r>
        <w:rPr>
          <w:rFonts w:hint="eastAsia"/>
        </w:rPr>
        <w:t>17</w:t>
      </w:r>
      <w:r>
        <w:rPr>
          <w:rFonts w:hint="eastAsia"/>
        </w:rPr>
        <w:t>条提交的初次报告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2"/>
      </w:pPr>
      <w:r>
        <w:rPr>
          <w:rFonts w:hint="eastAsia"/>
        </w:rPr>
        <w:t xml:space="preserve">  </w:t>
      </w:r>
      <w:r>
        <w:rPr>
          <w:rFonts w:hint="eastAsia"/>
        </w:rPr>
        <w:t>摩尔多瓦共和国</w:t>
      </w:r>
      <w:r>
        <w:rPr>
          <w:rFonts w:hint="eastAsia"/>
        </w:rPr>
        <w:t xml:space="preserve"> </w:t>
      </w:r>
      <w:r>
        <w:rPr>
          <w:rStyle w:val="FootnoteReference"/>
          <w:b w:val="0"/>
          <w:bCs/>
          <w:vertAlign w:val="baseline"/>
        </w:rPr>
        <w:footnoteReference w:customMarkFollows="1" w:id="1"/>
        <w:t>*</w:t>
      </w:r>
    </w:p>
    <w:p w:rsidR="00000000" w:rsidRDefault="00000000">
      <w:pPr>
        <w:jc w:val="right"/>
        <w:rPr>
          <w:rFonts w:hint="eastAsia"/>
        </w:rPr>
      </w:pPr>
      <w:r>
        <w:t>[200</w:t>
      </w:r>
      <w:r>
        <w:rPr>
          <w:rFonts w:hint="eastAsia"/>
        </w:rPr>
        <w:t>3</w:t>
      </w:r>
      <w:r>
        <w:rPr>
          <w:rFonts w:hint="eastAsia"/>
        </w:rPr>
        <w:t>年</w:t>
      </w:r>
      <w:r>
        <w:rPr>
          <w:rFonts w:hint="eastAsia"/>
        </w:rPr>
        <w:t>2</w:t>
      </w:r>
      <w:r>
        <w:rPr>
          <w:rFonts w:hint="eastAsia"/>
        </w:rPr>
        <w:t>月</w:t>
      </w:r>
      <w:r>
        <w:rPr>
          <w:rFonts w:hint="eastAsia"/>
        </w:rPr>
        <w:t>28</w:t>
      </w:r>
      <w:r>
        <w:rPr>
          <w:rFonts w:hint="eastAsia"/>
        </w:rPr>
        <w:t>日</w:t>
      </w:r>
      <w:r>
        <w:rPr>
          <w:rFonts w:hint="eastAsia"/>
        </w:rPr>
        <w:t>]</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pPr>
      <w:r>
        <w:rPr>
          <w:rFonts w:hint="eastAsia"/>
        </w:rPr>
        <w:t>一、概</w:t>
      </w:r>
      <w:r>
        <w:t xml:space="preserve">  </w:t>
      </w:r>
      <w:r>
        <w:rPr>
          <w:rFonts w:hint="eastAsia"/>
        </w:rPr>
        <w:t>况</w:t>
      </w:r>
      <w:r>
        <w:rPr>
          <w:rFonts w:hint="eastAsia"/>
        </w:rPr>
        <w:t>...............................</w:t>
      </w:r>
      <w:r>
        <w:rPr>
          <w:rFonts w:hint="eastAsia"/>
        </w:rPr>
        <w:tab/>
      </w:r>
      <w:r>
        <w:rPr>
          <w:rFonts w:hint="eastAsia"/>
        </w:rPr>
        <w:tab/>
        <w:t>1</w:t>
      </w:r>
      <w:r>
        <w:rPr>
          <w:rFonts w:hint="eastAsia"/>
        </w:rPr>
        <w:tab/>
        <w:t>-</w:t>
      </w:r>
      <w:r>
        <w:rPr>
          <w:rFonts w:hint="eastAsia"/>
        </w:rPr>
        <w:tab/>
        <w:t>5</w:t>
      </w:r>
      <w:r>
        <w:rPr>
          <w:rFonts w:hint="eastAsia"/>
        </w:rPr>
        <w:tab/>
      </w:r>
      <w:r>
        <w:t>5</w:t>
      </w:r>
    </w:p>
    <w:p w:rsidR="00000000" w:rsidRDefault="00000000">
      <w:pPr>
        <w:pStyle w:val="a9"/>
      </w:pPr>
      <w:r>
        <w:rPr>
          <w:rFonts w:hint="eastAsia"/>
        </w:rPr>
        <w:t>二、保护人权的政治结构和总体立法制度</w:t>
      </w:r>
      <w:r>
        <w:rPr>
          <w:rFonts w:hint="eastAsia"/>
        </w:rPr>
        <w:t>........</w:t>
      </w:r>
      <w:r>
        <w:rPr>
          <w:rFonts w:hint="eastAsia"/>
        </w:rPr>
        <w:tab/>
      </w:r>
      <w:r>
        <w:rPr>
          <w:rFonts w:hint="eastAsia"/>
        </w:rPr>
        <w:tab/>
        <w:t>6</w:t>
      </w:r>
      <w:r>
        <w:rPr>
          <w:rFonts w:hint="eastAsia"/>
        </w:rPr>
        <w:tab/>
        <w:t>-</w:t>
      </w:r>
      <w:r>
        <w:rPr>
          <w:rFonts w:hint="eastAsia"/>
        </w:rPr>
        <w:tab/>
        <w:t>60</w:t>
      </w:r>
      <w:r>
        <w:rPr>
          <w:rFonts w:hint="eastAsia"/>
        </w:rPr>
        <w:tab/>
      </w:r>
      <w:r>
        <w:t>9</w:t>
      </w:r>
    </w:p>
    <w:p w:rsidR="00000000" w:rsidRDefault="00000000">
      <w:pPr>
        <w:pStyle w:val="a9"/>
      </w:pPr>
      <w:r>
        <w:rPr>
          <w:rFonts w:hint="eastAsia"/>
        </w:rPr>
        <w:tab/>
        <w:t xml:space="preserve">A.  </w:t>
      </w:r>
      <w:r>
        <w:rPr>
          <w:rFonts w:hint="eastAsia"/>
        </w:rPr>
        <w:t>简要历史、概述</w:t>
      </w:r>
      <w:r>
        <w:rPr>
          <w:rFonts w:hint="eastAsia"/>
        </w:rPr>
        <w:t>...........................</w:t>
      </w:r>
      <w:r>
        <w:rPr>
          <w:rFonts w:hint="eastAsia"/>
        </w:rPr>
        <w:tab/>
      </w:r>
      <w:r>
        <w:rPr>
          <w:rFonts w:hint="eastAsia"/>
        </w:rPr>
        <w:tab/>
        <w:t>6</w:t>
      </w:r>
      <w:r>
        <w:rPr>
          <w:rFonts w:hint="eastAsia"/>
        </w:rPr>
        <w:tab/>
        <w:t>-</w:t>
      </w:r>
      <w:r>
        <w:rPr>
          <w:rFonts w:hint="eastAsia"/>
        </w:rPr>
        <w:tab/>
        <w:t>49</w:t>
      </w:r>
      <w:r>
        <w:rPr>
          <w:rFonts w:hint="eastAsia"/>
        </w:rPr>
        <w:tab/>
      </w:r>
      <w:r>
        <w:t>9</w:t>
      </w:r>
    </w:p>
    <w:p w:rsidR="00000000" w:rsidRDefault="00000000">
      <w:pPr>
        <w:pStyle w:val="a9"/>
      </w:pPr>
      <w:r>
        <w:rPr>
          <w:rFonts w:hint="eastAsia"/>
        </w:rPr>
        <w:tab/>
        <w:t xml:space="preserve">B.  </w:t>
      </w:r>
      <w:r>
        <w:rPr>
          <w:rFonts w:hint="eastAsia"/>
        </w:rPr>
        <w:t>信息和宣传</w:t>
      </w:r>
      <w:r>
        <w:rPr>
          <w:rFonts w:hint="eastAsia"/>
        </w:rPr>
        <w:t>.............................</w:t>
      </w:r>
      <w:r>
        <w:rPr>
          <w:rFonts w:hint="eastAsia"/>
        </w:rPr>
        <w:tab/>
      </w:r>
      <w:r>
        <w:rPr>
          <w:rFonts w:hint="eastAsia"/>
        </w:rPr>
        <w:tab/>
        <w:t>50</w:t>
      </w:r>
      <w:r>
        <w:rPr>
          <w:rFonts w:hint="eastAsia"/>
        </w:rPr>
        <w:tab/>
        <w:t>-</w:t>
      </w:r>
      <w:r>
        <w:rPr>
          <w:rFonts w:hint="eastAsia"/>
        </w:rPr>
        <w:tab/>
        <w:t>60</w:t>
      </w:r>
      <w:r>
        <w:rPr>
          <w:rFonts w:hint="eastAsia"/>
        </w:rPr>
        <w:tab/>
      </w:r>
      <w:r>
        <w:t>15</w:t>
      </w:r>
    </w:p>
    <w:p w:rsidR="00000000" w:rsidRDefault="00000000">
      <w:pPr>
        <w:pStyle w:val="a9"/>
      </w:pPr>
      <w:r>
        <w:rPr>
          <w:rFonts w:hint="eastAsia"/>
        </w:rPr>
        <w:t>三、《公约》具体条款的执行情况</w:t>
      </w:r>
      <w:r>
        <w:rPr>
          <w:rFonts w:hint="eastAsia"/>
        </w:rPr>
        <w:t>.............................</w:t>
      </w:r>
      <w:r>
        <w:rPr>
          <w:rFonts w:hint="eastAsia"/>
        </w:rPr>
        <w:tab/>
      </w:r>
      <w:r>
        <w:rPr>
          <w:rFonts w:hint="eastAsia"/>
        </w:rPr>
        <w:tab/>
        <w:t>61</w:t>
      </w:r>
      <w:r>
        <w:rPr>
          <w:rFonts w:hint="eastAsia"/>
        </w:rPr>
        <w:tab/>
        <w:t>-</w:t>
      </w:r>
      <w:r>
        <w:rPr>
          <w:rFonts w:hint="eastAsia"/>
        </w:rPr>
        <w:tab/>
        <w:t>626</w:t>
      </w:r>
      <w:r>
        <w:rPr>
          <w:rFonts w:hint="eastAsia"/>
        </w:rPr>
        <w:tab/>
      </w:r>
      <w:r>
        <w:t>17</w:t>
      </w:r>
    </w:p>
    <w:p w:rsidR="00000000" w:rsidRDefault="00000000">
      <w:pPr>
        <w:pStyle w:val="a9"/>
      </w:pPr>
      <w:r>
        <w:rPr>
          <w:rFonts w:hint="eastAsia"/>
        </w:rPr>
        <w:tab/>
      </w:r>
      <w:r>
        <w:rPr>
          <w:rFonts w:hint="eastAsia"/>
        </w:rPr>
        <w:t>第一条</w:t>
      </w:r>
      <w:r>
        <w:rPr>
          <w:rFonts w:hint="eastAsia"/>
        </w:rPr>
        <w:t>..........................................</w:t>
      </w:r>
      <w:r>
        <w:rPr>
          <w:rFonts w:hint="eastAsia"/>
        </w:rPr>
        <w:tab/>
      </w:r>
      <w:r>
        <w:rPr>
          <w:rFonts w:hint="eastAsia"/>
        </w:rPr>
        <w:tab/>
        <w:t>61</w:t>
      </w:r>
      <w:r>
        <w:rPr>
          <w:rFonts w:hint="eastAsia"/>
        </w:rPr>
        <w:tab/>
        <w:t>-</w:t>
      </w:r>
      <w:r>
        <w:rPr>
          <w:rFonts w:hint="eastAsia"/>
        </w:rPr>
        <w:tab/>
        <w:t>104</w:t>
      </w:r>
      <w:r>
        <w:rPr>
          <w:rFonts w:hint="eastAsia"/>
        </w:rPr>
        <w:tab/>
      </w:r>
      <w:r>
        <w:t>17</w:t>
      </w:r>
    </w:p>
    <w:p w:rsidR="00000000" w:rsidRDefault="00000000">
      <w:pPr>
        <w:pStyle w:val="a9"/>
      </w:pPr>
      <w:r>
        <w:rPr>
          <w:rFonts w:hint="eastAsia"/>
        </w:rPr>
        <w:tab/>
      </w:r>
      <w:r>
        <w:rPr>
          <w:rFonts w:hint="eastAsia"/>
        </w:rPr>
        <w:t>第二条</w:t>
      </w:r>
      <w:r>
        <w:rPr>
          <w:rFonts w:hint="eastAsia"/>
        </w:rPr>
        <w:t>......................................</w:t>
      </w:r>
      <w:r>
        <w:rPr>
          <w:rFonts w:hint="eastAsia"/>
        </w:rPr>
        <w:tab/>
      </w:r>
      <w:r>
        <w:rPr>
          <w:rFonts w:hint="eastAsia"/>
        </w:rPr>
        <w:tab/>
        <w:t>105</w:t>
      </w:r>
      <w:r>
        <w:rPr>
          <w:rFonts w:hint="eastAsia"/>
        </w:rPr>
        <w:tab/>
        <w:t>-</w:t>
      </w:r>
      <w:r>
        <w:rPr>
          <w:rFonts w:hint="eastAsia"/>
        </w:rPr>
        <w:tab/>
        <w:t>133</w:t>
      </w:r>
      <w:r>
        <w:rPr>
          <w:rFonts w:hint="eastAsia"/>
        </w:rPr>
        <w:tab/>
      </w:r>
      <w:r>
        <w:t>26</w:t>
      </w:r>
    </w:p>
    <w:p w:rsidR="00000000" w:rsidRDefault="00000000">
      <w:pPr>
        <w:pStyle w:val="a9"/>
      </w:pPr>
      <w:r>
        <w:rPr>
          <w:rFonts w:hint="eastAsia"/>
        </w:rPr>
        <w:tab/>
      </w:r>
      <w:r>
        <w:rPr>
          <w:rFonts w:hint="eastAsia"/>
        </w:rPr>
        <w:t>第三条</w:t>
      </w:r>
      <w:r>
        <w:rPr>
          <w:rFonts w:hint="eastAsia"/>
        </w:rPr>
        <w:t>..................................</w:t>
      </w:r>
      <w:r>
        <w:rPr>
          <w:rFonts w:hint="eastAsia"/>
        </w:rPr>
        <w:tab/>
      </w:r>
      <w:r>
        <w:rPr>
          <w:rFonts w:hint="eastAsia"/>
        </w:rPr>
        <w:tab/>
        <w:t>134</w:t>
      </w:r>
      <w:r>
        <w:rPr>
          <w:rFonts w:hint="eastAsia"/>
        </w:rPr>
        <w:tab/>
        <w:t>-</w:t>
      </w:r>
      <w:r>
        <w:rPr>
          <w:rFonts w:hint="eastAsia"/>
        </w:rPr>
        <w:tab/>
        <w:t>151</w:t>
      </w:r>
      <w:r>
        <w:rPr>
          <w:rFonts w:hint="eastAsia"/>
        </w:rPr>
        <w:tab/>
      </w:r>
      <w:r>
        <w:t>34</w:t>
      </w:r>
    </w:p>
    <w:p w:rsidR="00000000" w:rsidRDefault="00000000">
      <w:pPr>
        <w:pStyle w:val="a9"/>
      </w:pPr>
      <w:r>
        <w:rPr>
          <w:rFonts w:hint="eastAsia"/>
        </w:rPr>
        <w:tab/>
      </w:r>
      <w:r>
        <w:rPr>
          <w:rFonts w:hint="eastAsia"/>
        </w:rPr>
        <w:t>第四条</w:t>
      </w:r>
      <w:r>
        <w:rPr>
          <w:rFonts w:hint="eastAsia"/>
        </w:rPr>
        <w:t>................................</w:t>
      </w:r>
      <w:r>
        <w:rPr>
          <w:rFonts w:hint="eastAsia"/>
        </w:rPr>
        <w:tab/>
      </w:r>
      <w:r>
        <w:rPr>
          <w:rFonts w:hint="eastAsia"/>
        </w:rPr>
        <w:tab/>
        <w:t>152</w:t>
      </w:r>
      <w:r>
        <w:rPr>
          <w:rFonts w:hint="eastAsia"/>
        </w:rPr>
        <w:tab/>
        <w:t>-</w:t>
      </w:r>
      <w:r>
        <w:rPr>
          <w:rFonts w:hint="eastAsia"/>
        </w:rPr>
        <w:tab/>
        <w:t>154</w:t>
      </w:r>
      <w:r>
        <w:rPr>
          <w:rFonts w:hint="eastAsia"/>
        </w:rPr>
        <w:tab/>
      </w:r>
      <w:r>
        <w:t>37</w:t>
      </w:r>
    </w:p>
    <w:p w:rsidR="00000000" w:rsidRDefault="00000000">
      <w:pPr>
        <w:pStyle w:val="a9"/>
      </w:pPr>
      <w:r>
        <w:rPr>
          <w:rFonts w:hint="eastAsia"/>
        </w:rPr>
        <w:tab/>
      </w:r>
      <w:r>
        <w:rPr>
          <w:rFonts w:hint="eastAsia"/>
        </w:rPr>
        <w:t>第五条</w:t>
      </w:r>
      <w:r>
        <w:rPr>
          <w:rFonts w:hint="eastAsia"/>
        </w:rPr>
        <w:t>..................................</w:t>
      </w:r>
      <w:r>
        <w:rPr>
          <w:rFonts w:hint="eastAsia"/>
        </w:rPr>
        <w:tab/>
      </w:r>
      <w:r>
        <w:rPr>
          <w:rFonts w:hint="eastAsia"/>
        </w:rPr>
        <w:tab/>
        <w:t>155</w:t>
      </w:r>
      <w:r>
        <w:rPr>
          <w:rFonts w:hint="eastAsia"/>
        </w:rPr>
        <w:tab/>
        <w:t>-</w:t>
      </w:r>
      <w:r>
        <w:rPr>
          <w:rFonts w:hint="eastAsia"/>
        </w:rPr>
        <w:tab/>
        <w:t>158</w:t>
      </w:r>
      <w:r>
        <w:rPr>
          <w:rFonts w:hint="eastAsia"/>
        </w:rPr>
        <w:tab/>
      </w:r>
      <w:r>
        <w:t>38</w:t>
      </w:r>
    </w:p>
    <w:p w:rsidR="00000000" w:rsidRDefault="00000000">
      <w:pPr>
        <w:pStyle w:val="a9"/>
      </w:pPr>
      <w:r>
        <w:rPr>
          <w:rFonts w:hint="eastAsia"/>
        </w:rPr>
        <w:tab/>
      </w:r>
      <w:r>
        <w:rPr>
          <w:rFonts w:hint="eastAsia"/>
        </w:rPr>
        <w:t>第六条</w:t>
      </w:r>
      <w:r>
        <w:rPr>
          <w:rFonts w:hint="eastAsia"/>
        </w:rPr>
        <w:t>..........................</w:t>
      </w:r>
      <w:r>
        <w:rPr>
          <w:rFonts w:hint="eastAsia"/>
        </w:rPr>
        <w:tab/>
      </w:r>
      <w:r>
        <w:rPr>
          <w:rFonts w:hint="eastAsia"/>
        </w:rPr>
        <w:tab/>
        <w:t>159</w:t>
      </w:r>
      <w:r>
        <w:rPr>
          <w:rFonts w:hint="eastAsia"/>
        </w:rPr>
        <w:tab/>
        <w:t>-</w:t>
      </w:r>
      <w:r>
        <w:rPr>
          <w:rFonts w:hint="eastAsia"/>
        </w:rPr>
        <w:tab/>
        <w:t>185</w:t>
      </w:r>
      <w:r>
        <w:rPr>
          <w:rFonts w:hint="eastAsia"/>
        </w:rPr>
        <w:tab/>
      </w:r>
      <w:r>
        <w:t>38</w:t>
      </w:r>
    </w:p>
    <w:p w:rsidR="00000000" w:rsidRDefault="00000000">
      <w:pPr>
        <w:pStyle w:val="a9"/>
      </w:pPr>
      <w:r>
        <w:rPr>
          <w:rFonts w:hint="eastAsia"/>
        </w:rPr>
        <w:tab/>
      </w:r>
      <w:r>
        <w:rPr>
          <w:rFonts w:hint="eastAsia"/>
        </w:rPr>
        <w:t>第七条</w:t>
      </w:r>
      <w:r>
        <w:rPr>
          <w:rFonts w:hint="eastAsia"/>
        </w:rPr>
        <w:t>...................................</w:t>
      </w:r>
      <w:r>
        <w:rPr>
          <w:rFonts w:hint="eastAsia"/>
        </w:rPr>
        <w:tab/>
      </w:r>
      <w:r>
        <w:rPr>
          <w:rFonts w:hint="eastAsia"/>
        </w:rPr>
        <w:tab/>
        <w:t>186</w:t>
      </w:r>
      <w:r>
        <w:rPr>
          <w:rFonts w:hint="eastAsia"/>
        </w:rPr>
        <w:tab/>
        <w:t>-</w:t>
      </w:r>
      <w:r>
        <w:rPr>
          <w:rFonts w:hint="eastAsia"/>
        </w:rPr>
        <w:tab/>
        <w:t>202</w:t>
      </w:r>
      <w:r>
        <w:rPr>
          <w:rFonts w:hint="eastAsia"/>
        </w:rPr>
        <w:tab/>
      </w:r>
      <w:r>
        <w:t>46</w:t>
      </w:r>
    </w:p>
    <w:p w:rsidR="00000000" w:rsidRDefault="00000000">
      <w:pPr>
        <w:pStyle w:val="a9"/>
      </w:pPr>
      <w:r>
        <w:rPr>
          <w:rFonts w:hint="eastAsia"/>
        </w:rPr>
        <w:tab/>
      </w:r>
      <w:r>
        <w:rPr>
          <w:rFonts w:hint="eastAsia"/>
        </w:rPr>
        <w:t>第八条</w:t>
      </w:r>
      <w:r>
        <w:rPr>
          <w:rFonts w:hint="eastAsia"/>
        </w:rPr>
        <w:t>.........................</w:t>
      </w:r>
      <w:r>
        <w:rPr>
          <w:rFonts w:hint="eastAsia"/>
        </w:rPr>
        <w:tab/>
      </w:r>
      <w:r>
        <w:rPr>
          <w:rFonts w:hint="eastAsia"/>
        </w:rPr>
        <w:tab/>
        <w:t>203</w:t>
      </w:r>
      <w:r>
        <w:rPr>
          <w:rFonts w:hint="eastAsia"/>
        </w:rPr>
        <w:tab/>
        <w:t>-</w:t>
      </w:r>
      <w:r>
        <w:rPr>
          <w:rFonts w:hint="eastAsia"/>
        </w:rPr>
        <w:tab/>
        <w:t>212</w:t>
      </w:r>
      <w:r>
        <w:rPr>
          <w:rFonts w:hint="eastAsia"/>
        </w:rPr>
        <w:tab/>
      </w:r>
      <w:r>
        <w:t>51</w:t>
      </w:r>
    </w:p>
    <w:p w:rsidR="00000000" w:rsidRDefault="00000000">
      <w:pPr>
        <w:pStyle w:val="a9"/>
      </w:pPr>
      <w:r>
        <w:rPr>
          <w:rFonts w:hint="eastAsia"/>
        </w:rPr>
        <w:tab/>
      </w:r>
      <w:r>
        <w:rPr>
          <w:rFonts w:hint="eastAsia"/>
        </w:rPr>
        <w:t>第九条</w:t>
      </w:r>
      <w:r>
        <w:rPr>
          <w:rFonts w:hint="eastAsia"/>
        </w:rPr>
        <w:t>.....................................</w:t>
      </w:r>
      <w:r>
        <w:rPr>
          <w:rFonts w:hint="eastAsia"/>
        </w:rPr>
        <w:tab/>
      </w:r>
      <w:r>
        <w:rPr>
          <w:rFonts w:hint="eastAsia"/>
        </w:rPr>
        <w:tab/>
        <w:t>213</w:t>
      </w:r>
      <w:r>
        <w:rPr>
          <w:rFonts w:hint="eastAsia"/>
        </w:rPr>
        <w:tab/>
        <w:t>-</w:t>
      </w:r>
      <w:r>
        <w:rPr>
          <w:rFonts w:hint="eastAsia"/>
        </w:rPr>
        <w:tab/>
        <w:t>402</w:t>
      </w:r>
      <w:r>
        <w:rPr>
          <w:rFonts w:hint="eastAsia"/>
        </w:rPr>
        <w:tab/>
      </w:r>
      <w:r>
        <w:t>54</w:t>
      </w:r>
    </w:p>
    <w:p w:rsidR="00000000" w:rsidRDefault="00000000">
      <w:pPr>
        <w:pStyle w:val="a9"/>
      </w:pPr>
      <w:r>
        <w:rPr>
          <w:rFonts w:hint="eastAsia"/>
        </w:rPr>
        <w:tab/>
      </w:r>
      <w:r>
        <w:rPr>
          <w:rFonts w:hint="eastAsia"/>
        </w:rPr>
        <w:t>第十条</w:t>
      </w:r>
      <w:r>
        <w:rPr>
          <w:rFonts w:hint="eastAsia"/>
        </w:rPr>
        <w:t>..................................</w:t>
      </w:r>
      <w:r>
        <w:rPr>
          <w:rFonts w:hint="eastAsia"/>
        </w:rPr>
        <w:tab/>
      </w:r>
      <w:r>
        <w:rPr>
          <w:rFonts w:hint="eastAsia"/>
        </w:rPr>
        <w:tab/>
        <w:t>403</w:t>
      </w:r>
      <w:r>
        <w:rPr>
          <w:rFonts w:hint="eastAsia"/>
        </w:rPr>
        <w:tab/>
        <w:t>-</w:t>
      </w:r>
      <w:r>
        <w:rPr>
          <w:rFonts w:hint="eastAsia"/>
        </w:rPr>
        <w:tab/>
        <w:t>466</w:t>
      </w:r>
      <w:r>
        <w:rPr>
          <w:rFonts w:hint="eastAsia"/>
        </w:rPr>
        <w:tab/>
      </w:r>
      <w:r>
        <w:t>117</w:t>
      </w:r>
    </w:p>
    <w:p w:rsidR="00000000" w:rsidRDefault="00000000">
      <w:pPr>
        <w:pStyle w:val="a9"/>
      </w:pPr>
      <w:r>
        <w:rPr>
          <w:rFonts w:hint="eastAsia"/>
        </w:rPr>
        <w:tab/>
      </w:r>
      <w:r>
        <w:rPr>
          <w:rFonts w:hint="eastAsia"/>
        </w:rPr>
        <w:t>第十一条</w:t>
      </w:r>
      <w:r>
        <w:rPr>
          <w:rFonts w:hint="eastAsia"/>
        </w:rPr>
        <w:t>.........................</w:t>
      </w:r>
      <w:r>
        <w:rPr>
          <w:rFonts w:hint="eastAsia"/>
        </w:rPr>
        <w:tab/>
      </w:r>
      <w:r>
        <w:rPr>
          <w:rFonts w:hint="eastAsia"/>
        </w:rPr>
        <w:tab/>
        <w:t>467</w:t>
      </w:r>
      <w:r>
        <w:rPr>
          <w:rFonts w:hint="eastAsia"/>
        </w:rPr>
        <w:tab/>
        <w:t>-</w:t>
      </w:r>
      <w:r>
        <w:rPr>
          <w:rFonts w:hint="eastAsia"/>
        </w:rPr>
        <w:tab/>
        <w:t>500</w:t>
      </w:r>
      <w:r>
        <w:rPr>
          <w:rFonts w:hint="eastAsia"/>
        </w:rPr>
        <w:tab/>
      </w:r>
      <w:r>
        <w:t>133</w:t>
      </w:r>
    </w:p>
    <w:p w:rsidR="00000000" w:rsidRDefault="00000000">
      <w:pPr>
        <w:pStyle w:val="a9"/>
      </w:pPr>
      <w:r>
        <w:rPr>
          <w:rFonts w:hint="eastAsia"/>
        </w:rPr>
        <w:tab/>
      </w:r>
      <w:r>
        <w:rPr>
          <w:rFonts w:hint="eastAsia"/>
        </w:rPr>
        <w:t>第十二条</w:t>
      </w:r>
      <w:r>
        <w:rPr>
          <w:rFonts w:hint="eastAsia"/>
        </w:rPr>
        <w:t>.............................</w:t>
      </w:r>
      <w:r>
        <w:rPr>
          <w:rFonts w:hint="eastAsia"/>
        </w:rPr>
        <w:tab/>
      </w:r>
      <w:r>
        <w:rPr>
          <w:rFonts w:hint="eastAsia"/>
        </w:rPr>
        <w:tab/>
        <w:t>501</w:t>
      </w:r>
      <w:r>
        <w:rPr>
          <w:rFonts w:hint="eastAsia"/>
        </w:rPr>
        <w:tab/>
        <w:t>-</w:t>
      </w:r>
      <w:r>
        <w:rPr>
          <w:rFonts w:hint="eastAsia"/>
        </w:rPr>
        <w:tab/>
        <w:t>528</w:t>
      </w:r>
      <w:r>
        <w:rPr>
          <w:rFonts w:hint="eastAsia"/>
        </w:rPr>
        <w:tab/>
      </w:r>
      <w:r>
        <w:t>140</w:t>
      </w:r>
    </w:p>
    <w:p w:rsidR="00000000" w:rsidRDefault="00000000">
      <w:pPr>
        <w:pStyle w:val="a9"/>
      </w:pPr>
      <w:r>
        <w:rPr>
          <w:rFonts w:hint="eastAsia"/>
        </w:rPr>
        <w:tab/>
      </w:r>
      <w:r>
        <w:rPr>
          <w:rFonts w:hint="eastAsia"/>
        </w:rPr>
        <w:t>第十三条</w:t>
      </w:r>
      <w:r>
        <w:rPr>
          <w:rFonts w:hint="eastAsia"/>
        </w:rPr>
        <w:t>.........................</w:t>
      </w:r>
      <w:r>
        <w:rPr>
          <w:rFonts w:hint="eastAsia"/>
        </w:rPr>
        <w:tab/>
      </w:r>
      <w:r>
        <w:rPr>
          <w:rFonts w:hint="eastAsia"/>
        </w:rPr>
        <w:tab/>
        <w:t>529</w:t>
      </w:r>
      <w:r>
        <w:rPr>
          <w:rFonts w:hint="eastAsia"/>
        </w:rPr>
        <w:tab/>
        <w:t>-</w:t>
      </w:r>
      <w:r>
        <w:rPr>
          <w:rFonts w:hint="eastAsia"/>
        </w:rPr>
        <w:tab/>
        <w:t>591</w:t>
      </w:r>
      <w:r>
        <w:rPr>
          <w:rFonts w:hint="eastAsia"/>
        </w:rPr>
        <w:tab/>
      </w:r>
      <w:r>
        <w:t>147</w:t>
      </w:r>
    </w:p>
    <w:p w:rsidR="00000000" w:rsidRDefault="00000000">
      <w:pPr>
        <w:pStyle w:val="a9"/>
      </w:pPr>
      <w:r>
        <w:rPr>
          <w:rFonts w:hint="eastAsia"/>
        </w:rPr>
        <w:tab/>
      </w:r>
      <w:r>
        <w:rPr>
          <w:rFonts w:hint="eastAsia"/>
        </w:rPr>
        <w:t>第十四条</w:t>
      </w:r>
      <w:r>
        <w:rPr>
          <w:rFonts w:hint="eastAsia"/>
        </w:rPr>
        <w:t>.............................</w:t>
      </w:r>
      <w:r>
        <w:rPr>
          <w:rFonts w:hint="eastAsia"/>
        </w:rPr>
        <w:tab/>
      </w:r>
      <w:r>
        <w:rPr>
          <w:rFonts w:hint="eastAsia"/>
        </w:rPr>
        <w:tab/>
      </w:r>
      <w:r>
        <w:rPr>
          <w:rFonts w:hint="eastAsia"/>
        </w:rPr>
        <w:tab/>
        <w:t>592</w:t>
      </w:r>
      <w:r>
        <w:rPr>
          <w:rFonts w:hint="eastAsia"/>
        </w:rPr>
        <w:tab/>
      </w:r>
      <w:r>
        <w:t>161</w:t>
      </w:r>
    </w:p>
    <w:p w:rsidR="00000000" w:rsidRDefault="00000000">
      <w:pPr>
        <w:pStyle w:val="a9"/>
        <w:spacing w:after="240"/>
      </w:pPr>
      <w:r>
        <w:rPr>
          <w:rFonts w:hint="eastAsia"/>
        </w:rPr>
        <w:tab/>
      </w:r>
      <w:r>
        <w:rPr>
          <w:rFonts w:hint="eastAsia"/>
        </w:rPr>
        <w:t>第十五条</w:t>
      </w:r>
      <w:r>
        <w:rPr>
          <w:rFonts w:hint="eastAsia"/>
        </w:rPr>
        <w:t>...................................</w:t>
      </w:r>
      <w:r>
        <w:rPr>
          <w:rFonts w:hint="eastAsia"/>
        </w:rPr>
        <w:tab/>
      </w:r>
      <w:r>
        <w:rPr>
          <w:rFonts w:hint="eastAsia"/>
        </w:rPr>
        <w:tab/>
        <w:t>593</w:t>
      </w:r>
      <w:r>
        <w:rPr>
          <w:rFonts w:hint="eastAsia"/>
        </w:rPr>
        <w:tab/>
        <w:t>-</w:t>
      </w:r>
      <w:r>
        <w:rPr>
          <w:rFonts w:hint="eastAsia"/>
        </w:rPr>
        <w:tab/>
        <w:t>627</w:t>
      </w:r>
      <w:r>
        <w:rPr>
          <w:rFonts w:hint="eastAsia"/>
        </w:rPr>
        <w:tab/>
      </w:r>
      <w:r>
        <w:t>161</w:t>
      </w:r>
    </w:p>
    <w:p w:rsidR="00000000" w:rsidRDefault="00000000">
      <w:pPr>
        <w:pStyle w:val="Heading3"/>
        <w:spacing w:after="240"/>
        <w:rPr>
          <w:rFonts w:hint="eastAsia"/>
        </w:rPr>
      </w:pPr>
      <w:r>
        <w:rPr>
          <w:rFonts w:hint="eastAsia"/>
        </w:rPr>
        <w:t>表格清单</w:t>
      </w:r>
    </w:p>
    <w:p w:rsidR="00000000" w:rsidRDefault="00000000">
      <w:pPr>
        <w:pStyle w:val="aa"/>
      </w:pPr>
      <w:r>
        <w:rPr>
          <w:rFonts w:hint="eastAsia"/>
        </w:rPr>
        <w:t xml:space="preserve">1.  </w:t>
      </w:r>
      <w:r>
        <w:rPr>
          <w:rFonts w:hint="eastAsia"/>
        </w:rPr>
        <w:t>城市人口和人口增长情况</w:t>
      </w:r>
      <w:r>
        <w:rPr>
          <w:rFonts w:hint="eastAsia"/>
        </w:rPr>
        <w:t>...........................</w:t>
      </w:r>
      <w:r>
        <w:rPr>
          <w:rFonts w:hint="eastAsia"/>
        </w:rPr>
        <w:tab/>
      </w:r>
      <w:r>
        <w:rPr>
          <w:rFonts w:hint="eastAsia"/>
        </w:rPr>
        <w:tab/>
      </w:r>
      <w:r>
        <w:t>6</w:t>
      </w:r>
    </w:p>
    <w:p w:rsidR="00000000" w:rsidRDefault="00000000">
      <w:pPr>
        <w:pStyle w:val="aa"/>
      </w:pPr>
      <w:r>
        <w:rPr>
          <w:rFonts w:hint="eastAsia"/>
        </w:rPr>
        <w:t xml:space="preserve">2.  </w:t>
      </w:r>
      <w:r>
        <w:rPr>
          <w:rFonts w:hint="eastAsia"/>
        </w:rPr>
        <w:t>人类发展指标</w:t>
      </w:r>
      <w:r>
        <w:rPr>
          <w:rFonts w:hint="eastAsia"/>
        </w:rPr>
        <w:t>..................................</w:t>
      </w:r>
      <w:r>
        <w:rPr>
          <w:rFonts w:hint="eastAsia"/>
        </w:rPr>
        <w:tab/>
      </w:r>
      <w:r>
        <w:rPr>
          <w:rFonts w:hint="eastAsia"/>
        </w:rPr>
        <w:tab/>
      </w:r>
      <w:r>
        <w:t>6</w:t>
      </w:r>
    </w:p>
    <w:p w:rsidR="00000000" w:rsidRDefault="00000000">
      <w:pPr>
        <w:pStyle w:val="aa"/>
      </w:pPr>
      <w:r>
        <w:rPr>
          <w:rFonts w:hint="eastAsia"/>
        </w:rPr>
        <w:t xml:space="preserve">3.  </w:t>
      </w:r>
      <w:r>
        <w:rPr>
          <w:rFonts w:hint="eastAsia"/>
        </w:rPr>
        <w:t>人类发展概况</w:t>
      </w:r>
      <w:r>
        <w:rPr>
          <w:rFonts w:hint="eastAsia"/>
        </w:rPr>
        <w:t>.................................</w:t>
      </w:r>
      <w:r>
        <w:rPr>
          <w:rFonts w:hint="eastAsia"/>
        </w:rPr>
        <w:tab/>
      </w:r>
      <w:r>
        <w:rPr>
          <w:rFonts w:hint="eastAsia"/>
        </w:rPr>
        <w:tab/>
      </w:r>
      <w:r>
        <w:t>7</w:t>
      </w:r>
    </w:p>
    <w:p w:rsidR="00000000" w:rsidRDefault="00000000">
      <w:pPr>
        <w:pStyle w:val="aa"/>
      </w:pPr>
      <w:r>
        <w:rPr>
          <w:rFonts w:hint="eastAsia"/>
        </w:rPr>
        <w:t xml:space="preserve">4.  </w:t>
      </w:r>
      <w:r>
        <w:rPr>
          <w:rFonts w:hint="eastAsia"/>
        </w:rPr>
        <w:t>人口概况</w:t>
      </w:r>
      <w:r>
        <w:rPr>
          <w:rFonts w:hint="eastAsia"/>
        </w:rPr>
        <w:t>....................................</w:t>
      </w:r>
      <w:r>
        <w:rPr>
          <w:rFonts w:hint="eastAsia"/>
        </w:rPr>
        <w:tab/>
      </w:r>
      <w:r>
        <w:rPr>
          <w:rFonts w:hint="eastAsia"/>
        </w:rPr>
        <w:tab/>
      </w:r>
      <w:r>
        <w:t>7</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kern w:val="24"/>
          <w:sz w:val="26"/>
        </w:rPr>
        <w:t>(</w:t>
      </w:r>
      <w:r>
        <w:rPr>
          <w:rFonts w:hint="eastAsia"/>
          <w:kern w:val="24"/>
          <w:sz w:val="26"/>
          <w:u w:val="single"/>
        </w:rPr>
        <w:t>续</w:t>
      </w:r>
      <w:r>
        <w:rPr>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a"/>
      </w:pPr>
      <w:r>
        <w:rPr>
          <w:rFonts w:hint="eastAsia"/>
        </w:rPr>
        <w:t xml:space="preserve">5.  </w:t>
      </w:r>
      <w:r>
        <w:rPr>
          <w:rFonts w:hint="eastAsia"/>
        </w:rPr>
        <w:t>人类发展指标</w:t>
      </w:r>
      <w:r>
        <w:rPr>
          <w:rFonts w:hint="eastAsia"/>
        </w:rPr>
        <w:t>...............................</w:t>
      </w:r>
      <w:r>
        <w:rPr>
          <w:rFonts w:hint="eastAsia"/>
        </w:rPr>
        <w:tab/>
      </w:r>
      <w:r>
        <w:rPr>
          <w:rFonts w:hint="eastAsia"/>
        </w:rPr>
        <w:tab/>
      </w:r>
      <w:r>
        <w:t>8</w:t>
      </w:r>
    </w:p>
    <w:p w:rsidR="00000000" w:rsidRDefault="00000000">
      <w:pPr>
        <w:pStyle w:val="aa"/>
      </w:pPr>
      <w:r>
        <w:rPr>
          <w:rFonts w:hint="eastAsia"/>
        </w:rPr>
        <w:t xml:space="preserve">6.  </w:t>
      </w:r>
      <w:r>
        <w:rPr>
          <w:rFonts w:hint="eastAsia"/>
        </w:rPr>
        <w:t>主要人口指标</w:t>
      </w:r>
      <w:r>
        <w:rPr>
          <w:rFonts w:hint="eastAsia"/>
        </w:rPr>
        <w:t>...............................</w:t>
      </w:r>
      <w:r>
        <w:rPr>
          <w:rFonts w:hint="eastAsia"/>
        </w:rPr>
        <w:tab/>
      </w:r>
      <w:r>
        <w:rPr>
          <w:rFonts w:hint="eastAsia"/>
        </w:rPr>
        <w:tab/>
      </w:r>
      <w:r>
        <w:t>8</w:t>
      </w:r>
    </w:p>
    <w:p w:rsidR="00000000" w:rsidRDefault="00000000">
      <w:pPr>
        <w:pStyle w:val="aa"/>
      </w:pPr>
      <w:r>
        <w:rPr>
          <w:rFonts w:hint="eastAsia"/>
        </w:rPr>
        <w:t>7.  1999</w:t>
      </w:r>
      <w:r>
        <w:rPr>
          <w:rFonts w:hint="eastAsia"/>
        </w:rPr>
        <w:t>年自然资源开发和环境保护主要指标</w:t>
      </w:r>
      <w:r>
        <w:rPr>
          <w:rFonts w:hint="eastAsia"/>
        </w:rPr>
        <w:t>............................</w:t>
      </w:r>
      <w:r>
        <w:rPr>
          <w:rFonts w:hint="eastAsia"/>
        </w:rPr>
        <w:tab/>
      </w:r>
      <w:r>
        <w:rPr>
          <w:rFonts w:hint="eastAsia"/>
        </w:rPr>
        <w:tab/>
      </w:r>
      <w:r>
        <w:t>24</w:t>
      </w:r>
    </w:p>
    <w:p w:rsidR="00000000" w:rsidRDefault="00000000">
      <w:pPr>
        <w:pStyle w:val="aa"/>
      </w:pPr>
      <w:r>
        <w:rPr>
          <w:rFonts w:hint="eastAsia"/>
        </w:rPr>
        <w:t>8</w:t>
      </w:r>
      <w:r>
        <w:t>.</w:t>
      </w:r>
      <w:r>
        <w:rPr>
          <w:rFonts w:hint="eastAsia"/>
        </w:rPr>
        <w:t xml:space="preserve">  </w:t>
      </w:r>
      <w:r>
        <w:rPr>
          <w:rFonts w:hint="eastAsia"/>
        </w:rPr>
        <w:t>社会发展的主要指数</w:t>
      </w:r>
      <w:r>
        <w:tab/>
      </w:r>
      <w:r>
        <w:tab/>
        <w:t>30</w:t>
      </w:r>
    </w:p>
    <w:p w:rsidR="00000000" w:rsidRDefault="00000000">
      <w:pPr>
        <w:pStyle w:val="aa"/>
      </w:pPr>
      <w:r>
        <w:rPr>
          <w:rFonts w:hint="eastAsia"/>
        </w:rPr>
        <w:t>9</w:t>
      </w:r>
      <w:r>
        <w:t>.</w:t>
      </w:r>
      <w:r>
        <w:rPr>
          <w:rFonts w:hint="eastAsia"/>
        </w:rPr>
        <w:t xml:space="preserve">  </w:t>
      </w:r>
      <w:r>
        <w:t>2000</w:t>
      </w:r>
      <w:r>
        <w:t>年</w:t>
      </w:r>
      <w:r>
        <w:t>1</w:t>
      </w:r>
      <w:r>
        <w:t>月至</w:t>
      </w:r>
      <w:r>
        <w:rPr>
          <w:rFonts w:hint="eastAsia"/>
        </w:rPr>
        <w:t>9</w:t>
      </w:r>
      <w:r>
        <w:t>月劳</w:t>
      </w:r>
      <w:r>
        <w:rPr>
          <w:rFonts w:hint="eastAsia"/>
        </w:rPr>
        <w:t>务</w:t>
      </w:r>
      <w:r>
        <w:t>交易所登记的出缺情况</w:t>
      </w:r>
      <w:r>
        <w:tab/>
      </w:r>
      <w:r>
        <w:tab/>
        <w:t>43</w:t>
      </w:r>
    </w:p>
    <w:p w:rsidR="00000000" w:rsidRDefault="00000000">
      <w:pPr>
        <w:pStyle w:val="aa"/>
      </w:pPr>
      <w:r>
        <w:t>10.  1991</w:t>
      </w:r>
      <w:r>
        <w:t>至</w:t>
      </w:r>
      <w:r>
        <w:t>2000</w:t>
      </w:r>
      <w:r>
        <w:t>年摩尔多瓦共和国</w:t>
      </w:r>
      <w:r>
        <w:rPr>
          <w:rFonts w:hint="eastAsia"/>
        </w:rPr>
        <w:t>失</w:t>
      </w:r>
      <w:r>
        <w:t>业</w:t>
      </w:r>
      <w:r>
        <w:rPr>
          <w:rFonts w:hint="eastAsia"/>
        </w:rPr>
        <w:t>变更</w:t>
      </w:r>
      <w:r>
        <w:t>情况</w:t>
      </w:r>
      <w:r>
        <w:rPr>
          <w:rFonts w:hint="eastAsia"/>
        </w:rPr>
        <w:t>，所采取的社会保护措施</w:t>
      </w:r>
      <w:r>
        <w:t>................</w:t>
      </w:r>
      <w:r>
        <w:tab/>
      </w:r>
      <w:r>
        <w:tab/>
        <w:t>44</w:t>
      </w:r>
    </w:p>
    <w:p w:rsidR="00000000" w:rsidRDefault="00000000">
      <w:pPr>
        <w:pStyle w:val="aa"/>
        <w:rPr>
          <w:sz w:val="22"/>
        </w:rPr>
      </w:pPr>
      <w:r>
        <w:rPr>
          <w:sz w:val="22"/>
        </w:rPr>
        <w:t>11</w:t>
      </w:r>
      <w:r>
        <w:rPr>
          <w:rFonts w:hint="eastAsia"/>
          <w:sz w:val="22"/>
        </w:rPr>
        <w:t xml:space="preserve">.  </w:t>
      </w:r>
      <w:r>
        <w:rPr>
          <w:rFonts w:hint="eastAsia"/>
          <w:sz w:val="22"/>
        </w:rPr>
        <w:t>按照经济部门重新分配的劳动力</w:t>
      </w:r>
      <w:r>
        <w:rPr>
          <w:sz w:val="22"/>
        </w:rPr>
        <w:tab/>
      </w:r>
      <w:r>
        <w:rPr>
          <w:sz w:val="22"/>
        </w:rPr>
        <w:tab/>
        <w:t>45</w:t>
      </w:r>
    </w:p>
    <w:p w:rsidR="00000000" w:rsidRDefault="00000000">
      <w:pPr>
        <w:pStyle w:val="aa"/>
        <w:rPr>
          <w:rFonts w:hint="eastAsia"/>
        </w:rPr>
      </w:pPr>
      <w:r>
        <w:t>12</w:t>
      </w:r>
      <w:r>
        <w:rPr>
          <w:rFonts w:hint="eastAsia"/>
        </w:rPr>
        <w:t xml:space="preserve">.  </w:t>
      </w:r>
      <w:r>
        <w:t>1995</w:t>
      </w:r>
      <w:r>
        <w:t>至</w:t>
      </w:r>
      <w:r>
        <w:t>1999</w:t>
      </w:r>
      <w:r>
        <w:t>年摩尔多瓦共和国的就业结构</w:t>
      </w:r>
      <w:r>
        <w:tab/>
      </w:r>
      <w:r>
        <w:tab/>
        <w:t>45</w:t>
      </w:r>
    </w:p>
    <w:p w:rsidR="00000000" w:rsidRDefault="00000000">
      <w:pPr>
        <w:pStyle w:val="aa"/>
      </w:pPr>
      <w:r>
        <w:t xml:space="preserve">13.  </w:t>
      </w:r>
      <w:r>
        <w:rPr>
          <w:rFonts w:hint="eastAsia"/>
        </w:rPr>
        <w:t>工资级别</w:t>
      </w:r>
      <w:r>
        <w:t>...................</w:t>
      </w:r>
      <w:r>
        <w:tab/>
      </w:r>
      <w:r>
        <w:tab/>
        <w:t>46</w:t>
      </w:r>
    </w:p>
    <w:p w:rsidR="00000000" w:rsidRDefault="00000000">
      <w:pPr>
        <w:pStyle w:val="aa"/>
      </w:pPr>
      <w:r>
        <w:t xml:space="preserve">14.  </w:t>
      </w:r>
      <w:r>
        <w:rPr>
          <w:rFonts w:hint="eastAsia"/>
        </w:rPr>
        <w:t>对照最低消费预算列出的最低工资演化情况数据</w:t>
      </w:r>
      <w:r>
        <w:tab/>
      </w:r>
      <w:r>
        <w:tab/>
        <w:t>47</w:t>
      </w:r>
    </w:p>
    <w:p w:rsidR="00000000" w:rsidRDefault="00000000">
      <w:pPr>
        <w:pStyle w:val="aa"/>
      </w:pPr>
      <w:r>
        <w:t xml:space="preserve">15.  </w:t>
      </w:r>
      <w:r>
        <w:rPr>
          <w:rFonts w:hint="eastAsia"/>
        </w:rPr>
        <w:t>按财产所有权形式列出的人员报酬情况</w:t>
      </w:r>
      <w:r>
        <w:tab/>
      </w:r>
      <w:r>
        <w:tab/>
        <w:t>48</w:t>
      </w:r>
    </w:p>
    <w:p w:rsidR="00000000" w:rsidRDefault="00000000">
      <w:pPr>
        <w:pStyle w:val="aa"/>
        <w:rPr>
          <w:rFonts w:hint="eastAsia"/>
        </w:rPr>
      </w:pPr>
      <w:r>
        <w:t xml:space="preserve">16.  </w:t>
      </w:r>
      <w:r>
        <w:rPr>
          <w:rFonts w:hint="eastAsia"/>
        </w:rPr>
        <w:t>1994</w:t>
      </w:r>
      <w:r>
        <w:rPr>
          <w:rFonts w:hint="eastAsia"/>
        </w:rPr>
        <w:t>年至</w:t>
      </w:r>
      <w:r>
        <w:rPr>
          <w:rFonts w:hint="eastAsia"/>
        </w:rPr>
        <w:t>1999</w:t>
      </w:r>
      <w:r>
        <w:rPr>
          <w:rFonts w:hint="eastAsia"/>
        </w:rPr>
        <w:t>年月平均工资的演变情况</w:t>
      </w:r>
      <w:r>
        <w:t xml:space="preserve"> (</w:t>
      </w:r>
      <w:r>
        <w:rPr>
          <w:rFonts w:hint="eastAsia"/>
        </w:rPr>
        <w:t>列依</w:t>
      </w:r>
      <w:r>
        <w:t>)</w:t>
      </w:r>
      <w:r>
        <w:tab/>
      </w:r>
      <w:r>
        <w:tab/>
        <w:t>49</w:t>
      </w:r>
    </w:p>
    <w:p w:rsidR="00000000" w:rsidRDefault="00000000">
      <w:pPr>
        <w:pStyle w:val="aa"/>
      </w:pPr>
      <w:r>
        <w:t xml:space="preserve">17.  </w:t>
      </w:r>
      <w:r>
        <w:rPr>
          <w:rFonts w:hint="eastAsia"/>
        </w:rPr>
        <w:t>1995</w:t>
      </w:r>
      <w:r>
        <w:rPr>
          <w:rFonts w:hint="eastAsia"/>
        </w:rPr>
        <w:t>年至</w:t>
      </w:r>
      <w:r>
        <w:rPr>
          <w:rFonts w:hint="eastAsia"/>
        </w:rPr>
        <w:t>1996</w:t>
      </w:r>
      <w:r>
        <w:rPr>
          <w:rFonts w:hint="eastAsia"/>
        </w:rPr>
        <w:t>年工伤事故受害者的人数</w:t>
      </w:r>
      <w:r>
        <w:tab/>
      </w:r>
      <w:r>
        <w:tab/>
        <w:t>50</w:t>
      </w:r>
    </w:p>
    <w:p w:rsidR="00000000" w:rsidRDefault="00000000">
      <w:pPr>
        <w:pStyle w:val="aa"/>
      </w:pPr>
      <w:r>
        <w:t xml:space="preserve">18.  </w:t>
      </w:r>
      <w:r>
        <w:rPr>
          <w:rFonts w:hint="eastAsia"/>
        </w:rPr>
        <w:t>退休年龄</w:t>
      </w:r>
      <w:r>
        <w:t>，</w:t>
      </w:r>
      <w:r>
        <w:t>1999-2008</w:t>
      </w:r>
      <w:r>
        <w:tab/>
      </w:r>
      <w:r>
        <w:tab/>
        <w:t>63</w:t>
      </w:r>
    </w:p>
    <w:p w:rsidR="00000000" w:rsidRDefault="00000000">
      <w:pPr>
        <w:pStyle w:val="aa"/>
      </w:pPr>
      <w:r>
        <w:t xml:space="preserve">19.  </w:t>
      </w:r>
      <w:r>
        <w:rPr>
          <w:rFonts w:hint="eastAsia"/>
        </w:rPr>
        <w:t>有</w:t>
      </w:r>
      <w:r>
        <w:rPr>
          <w:rFonts w:hint="eastAsia"/>
        </w:rPr>
        <w:t>5</w:t>
      </w:r>
      <w:r>
        <w:rPr>
          <w:rFonts w:hint="eastAsia"/>
        </w:rPr>
        <w:t>个或更多子女的母亲的退休年龄</w:t>
      </w:r>
      <w:r>
        <w:tab/>
      </w:r>
      <w:r>
        <w:tab/>
        <w:t>63</w:t>
      </w:r>
    </w:p>
    <w:p w:rsidR="00000000" w:rsidRDefault="00000000">
      <w:pPr>
        <w:pStyle w:val="aa"/>
      </w:pPr>
      <w:r>
        <w:t xml:space="preserve">20.  </w:t>
      </w:r>
      <w:r>
        <w:rPr>
          <w:rFonts w:hint="eastAsia"/>
        </w:rPr>
        <w:t>在危险和困难条件下工作的人的退休年龄</w:t>
      </w:r>
      <w:r>
        <w:tab/>
      </w:r>
      <w:r>
        <w:tab/>
        <w:t>64</w:t>
      </w:r>
    </w:p>
    <w:p w:rsidR="00000000" w:rsidRDefault="00000000">
      <w:pPr>
        <w:pStyle w:val="aa"/>
      </w:pPr>
      <w:r>
        <w:t xml:space="preserve">21.  </w:t>
      </w:r>
      <w:r>
        <w:rPr>
          <w:rFonts w:hint="eastAsia"/>
        </w:rPr>
        <w:t>必要的缴款期限</w:t>
      </w:r>
      <w:r>
        <w:tab/>
      </w:r>
      <w:r>
        <w:tab/>
        <w:t>64</w:t>
      </w:r>
    </w:p>
    <w:p w:rsidR="00000000" w:rsidRDefault="00000000">
      <w:pPr>
        <w:pStyle w:val="aa"/>
      </w:pPr>
      <w:r>
        <w:t xml:space="preserve">22.  </w:t>
      </w:r>
      <w:r>
        <w:rPr>
          <w:rFonts w:hint="eastAsia"/>
        </w:rPr>
        <w:t>残疾时的年龄和缴款期限</w:t>
      </w:r>
      <w:r>
        <w:tab/>
      </w:r>
      <w:r>
        <w:tab/>
        <w:t>66</w:t>
      </w:r>
    </w:p>
    <w:p w:rsidR="00000000" w:rsidRDefault="00000000">
      <w:pPr>
        <w:pStyle w:val="aa"/>
      </w:pPr>
      <w:r>
        <w:t xml:space="preserve">23.  </w:t>
      </w:r>
      <w:r>
        <w:rPr>
          <w:rFonts w:hint="eastAsia"/>
        </w:rPr>
        <w:t>缴纳保险款额的比率</w:t>
      </w:r>
      <w:r>
        <w:t xml:space="preserve"> (</w:t>
      </w:r>
      <w:r>
        <w:rPr>
          <w:rFonts w:hint="eastAsia"/>
        </w:rPr>
        <w:t>占工资基金的百分比</w:t>
      </w:r>
      <w:r>
        <w:t>)</w:t>
      </w:r>
      <w:r>
        <w:tab/>
      </w:r>
      <w:r>
        <w:tab/>
        <w:t>72</w:t>
      </w:r>
    </w:p>
    <w:p w:rsidR="00000000" w:rsidRDefault="00000000">
      <w:pPr>
        <w:pStyle w:val="aa"/>
      </w:pPr>
      <w:r>
        <w:t xml:space="preserve">24  </w:t>
      </w:r>
      <w:r>
        <w:rPr>
          <w:rFonts w:hint="eastAsia"/>
        </w:rPr>
        <w:t>养恤金保障情况</w:t>
      </w:r>
      <w:r>
        <w:t>，</w:t>
      </w:r>
      <w:r>
        <w:t>1992-2000</w:t>
      </w:r>
      <w:r>
        <w:tab/>
      </w:r>
      <w:r>
        <w:tab/>
        <w:t>75</w:t>
      </w:r>
    </w:p>
    <w:p w:rsidR="00000000" w:rsidRDefault="00000000">
      <w:pPr>
        <w:pStyle w:val="aa"/>
        <w:rPr>
          <w:sz w:val="22"/>
        </w:rPr>
      </w:pPr>
      <w:r>
        <w:rPr>
          <w:sz w:val="22"/>
        </w:rPr>
        <w:t xml:space="preserve">25.  </w:t>
      </w:r>
      <w:r>
        <w:rPr>
          <w:rFonts w:hint="eastAsia"/>
          <w:sz w:val="22"/>
        </w:rPr>
        <w:t>领取养恤金和补充金额的人</w:t>
      </w:r>
      <w:r>
        <w:rPr>
          <w:sz w:val="22"/>
        </w:rPr>
        <w:tab/>
      </w:r>
      <w:r>
        <w:rPr>
          <w:sz w:val="22"/>
        </w:rPr>
        <w:tab/>
        <w:t>77</w:t>
      </w:r>
    </w:p>
    <w:p w:rsidR="00000000" w:rsidRDefault="00000000">
      <w:pPr>
        <w:pStyle w:val="aa"/>
      </w:pPr>
      <w:r>
        <w:t xml:space="preserve">26.  </w:t>
      </w:r>
      <w:r>
        <w:rPr>
          <w:rFonts w:hint="eastAsia"/>
        </w:rPr>
        <w:t>劳动、社会保障和家庭部</w:t>
      </w:r>
      <w:r>
        <w:tab/>
      </w:r>
      <w:r>
        <w:tab/>
        <w:t>80</w:t>
      </w:r>
    </w:p>
    <w:p w:rsidR="00000000" w:rsidRDefault="00000000">
      <w:pPr>
        <w:pStyle w:val="aa"/>
      </w:pPr>
      <w:r>
        <w:rPr>
          <w:rFonts w:hint="eastAsia"/>
        </w:rPr>
        <w:t xml:space="preserve">27.  </w:t>
      </w:r>
      <w:r>
        <w:rPr>
          <w:rFonts w:hint="eastAsia"/>
        </w:rPr>
        <w:t>残疾人社会保护方案表</w:t>
      </w:r>
      <w:r>
        <w:tab/>
      </w:r>
      <w:r>
        <w:tab/>
        <w:t>93</w:t>
      </w:r>
    </w:p>
    <w:p w:rsidR="00000000" w:rsidRDefault="00000000">
      <w:pPr>
        <w:pStyle w:val="aa"/>
      </w:pPr>
      <w:r>
        <w:rPr>
          <w:rFonts w:hint="eastAsia"/>
        </w:rPr>
        <w:t>28.  1996-1997</w:t>
      </w:r>
      <w:r>
        <w:rPr>
          <w:rFonts w:hint="eastAsia"/>
        </w:rPr>
        <w:t>年国家劳动保护方案</w:t>
      </w:r>
      <w:r>
        <w:tab/>
      </w:r>
      <w:r>
        <w:tab/>
        <w:t>103</w:t>
      </w:r>
    </w:p>
    <w:p w:rsidR="00000000" w:rsidRDefault="00000000">
      <w:pPr>
        <w:pStyle w:val="aa"/>
      </w:pPr>
      <w:r>
        <w:rPr>
          <w:rFonts w:hint="eastAsia"/>
        </w:rPr>
        <w:t>29.  1998-2001</w:t>
      </w:r>
      <w:r>
        <w:rPr>
          <w:rFonts w:hint="eastAsia"/>
        </w:rPr>
        <w:t>年国家加强劳动保护方案</w:t>
      </w:r>
      <w:r>
        <w:tab/>
      </w:r>
      <w:r>
        <w:tab/>
        <w:t>105</w:t>
      </w:r>
    </w:p>
    <w:p w:rsidR="00000000" w:rsidRDefault="00000000">
      <w:pPr>
        <w:pStyle w:val="aa"/>
      </w:pPr>
      <w:r>
        <w:rPr>
          <w:rFonts w:hint="eastAsia"/>
        </w:rPr>
        <w:t xml:space="preserve">30.  </w:t>
      </w:r>
      <w:r>
        <w:rPr>
          <w:rFonts w:hint="eastAsia"/>
        </w:rPr>
        <w:t>残疾儿童人数</w:t>
      </w:r>
      <w:r>
        <w:tab/>
      </w:r>
      <w:r>
        <w:tab/>
        <w:t>122</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kern w:val="24"/>
          <w:sz w:val="26"/>
        </w:rPr>
        <w:t>(</w:t>
      </w:r>
      <w:r>
        <w:rPr>
          <w:rFonts w:hint="eastAsia"/>
          <w:kern w:val="24"/>
          <w:sz w:val="26"/>
          <w:u w:val="single"/>
        </w:rPr>
        <w:t>续</w:t>
      </w:r>
      <w:r>
        <w:rPr>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a"/>
      </w:pPr>
      <w:r>
        <w:rPr>
          <w:rFonts w:hint="eastAsia"/>
        </w:rPr>
        <w:t xml:space="preserve">31.  </w:t>
      </w:r>
      <w:r>
        <w:rPr>
          <w:rFonts w:hint="eastAsia"/>
        </w:rPr>
        <w:t>生活水平指标</w:t>
      </w:r>
      <w:r>
        <w:tab/>
      </w:r>
      <w:r>
        <w:tab/>
        <w:t>134</w:t>
      </w:r>
    </w:p>
    <w:p w:rsidR="00000000" w:rsidRDefault="00000000">
      <w:pPr>
        <w:pStyle w:val="aa"/>
      </w:pPr>
      <w:r>
        <w:rPr>
          <w:rFonts w:hint="eastAsia"/>
        </w:rPr>
        <w:t xml:space="preserve">32.  </w:t>
      </w:r>
      <w:r>
        <w:rPr>
          <w:rFonts w:hint="eastAsia"/>
        </w:rPr>
        <w:t>农村和城市地区的死产率和婴儿死亡率</w:t>
      </w:r>
      <w:r>
        <w:tab/>
      </w:r>
      <w:r>
        <w:tab/>
        <w:t>142</w:t>
      </w:r>
    </w:p>
    <w:p w:rsidR="00000000" w:rsidRDefault="00000000">
      <w:pPr>
        <w:pStyle w:val="aa"/>
      </w:pPr>
      <w:r>
        <w:rPr>
          <w:rFonts w:hint="eastAsia"/>
        </w:rPr>
        <w:t xml:space="preserve">33.  </w:t>
      </w:r>
      <w:r>
        <w:rPr>
          <w:rFonts w:hint="eastAsia"/>
        </w:rPr>
        <w:t>配备公共设施的人口</w:t>
      </w:r>
      <w:r>
        <w:tab/>
      </w:r>
      <w:r>
        <w:tab/>
        <w:t>143</w:t>
      </w:r>
    </w:p>
    <w:p w:rsidR="00000000" w:rsidRDefault="00000000">
      <w:pPr>
        <w:pStyle w:val="aa"/>
      </w:pPr>
      <w:r>
        <w:rPr>
          <w:rFonts w:hint="eastAsia"/>
        </w:rPr>
        <w:t xml:space="preserve">34.  </w:t>
      </w:r>
      <w:r>
        <w:rPr>
          <w:rFonts w:hint="eastAsia"/>
        </w:rPr>
        <w:t>免疫接种过的儿童比例</w:t>
      </w:r>
      <w:r>
        <w:tab/>
      </w:r>
      <w:r>
        <w:tab/>
        <w:t>143</w:t>
      </w:r>
    </w:p>
    <w:p w:rsidR="00000000" w:rsidRDefault="00000000">
      <w:pPr>
        <w:pStyle w:val="aa"/>
      </w:pPr>
      <w:r>
        <w:t>3</w:t>
      </w:r>
      <w:r>
        <w:rPr>
          <w:rFonts w:hint="eastAsia"/>
        </w:rPr>
        <w:t xml:space="preserve">5  </w:t>
      </w:r>
      <w:r>
        <w:rPr>
          <w:rFonts w:hint="eastAsia"/>
        </w:rPr>
        <w:t>儿童医疗保障</w:t>
      </w:r>
      <w:r>
        <w:tab/>
      </w:r>
      <w:r>
        <w:tab/>
        <w:t>144</w:t>
      </w:r>
    </w:p>
    <w:p w:rsidR="00000000" w:rsidRDefault="00000000">
      <w:pPr>
        <w:pStyle w:val="aa"/>
      </w:pPr>
      <w:r>
        <w:rPr>
          <w:rFonts w:hint="eastAsia"/>
        </w:rPr>
        <w:t xml:space="preserve">36.  </w:t>
      </w:r>
      <w:r>
        <w:rPr>
          <w:rFonts w:hint="eastAsia"/>
        </w:rPr>
        <w:t>学前教育情况</w:t>
      </w:r>
      <w:r>
        <w:tab/>
      </w:r>
      <w:r>
        <w:tab/>
        <w:t>148</w:t>
      </w:r>
    </w:p>
    <w:p w:rsidR="00000000" w:rsidRDefault="00000000">
      <w:pPr>
        <w:pStyle w:val="aa"/>
      </w:pPr>
      <w:r>
        <w:rPr>
          <w:rFonts w:hint="eastAsia"/>
        </w:rPr>
        <w:t xml:space="preserve">37.  </w:t>
      </w:r>
      <w:r>
        <w:rPr>
          <w:rFonts w:hint="eastAsia"/>
        </w:rPr>
        <w:t>国家教育开支</w:t>
      </w:r>
      <w:r>
        <w:rPr>
          <w:rFonts w:hint="eastAsia"/>
        </w:rPr>
        <w:tab/>
      </w:r>
      <w:r>
        <w:tab/>
        <w:t>151</w:t>
      </w:r>
    </w:p>
    <w:p w:rsidR="00000000" w:rsidRDefault="00000000">
      <w:pPr>
        <w:pStyle w:val="aa"/>
      </w:pPr>
      <w:r>
        <w:rPr>
          <w:rFonts w:hint="eastAsia"/>
        </w:rPr>
        <w:t xml:space="preserve">38.  </w:t>
      </w:r>
      <w:r>
        <w:rPr>
          <w:rFonts w:hint="eastAsia"/>
        </w:rPr>
        <w:t>用于智力和身体残疾儿童的开支</w:t>
      </w:r>
      <w:r>
        <w:rPr>
          <w:rFonts w:hint="eastAsia"/>
        </w:rPr>
        <w:tab/>
      </w:r>
      <w:r>
        <w:tab/>
        <w:t>153</w:t>
      </w:r>
    </w:p>
    <w:p w:rsidR="00000000" w:rsidRDefault="00000000">
      <w:pPr>
        <w:pStyle w:val="aa"/>
      </w:pPr>
      <w:r>
        <w:rPr>
          <w:rFonts w:hint="eastAsia"/>
        </w:rPr>
        <w:t xml:space="preserve">39.  </w:t>
      </w:r>
      <w:r>
        <w:rPr>
          <w:rFonts w:hint="eastAsia"/>
        </w:rPr>
        <w:t>学年开始时没有入学的</w:t>
      </w:r>
      <w:r>
        <w:rPr>
          <w:rFonts w:hint="eastAsia"/>
        </w:rPr>
        <w:t>7</w:t>
      </w:r>
      <w:r>
        <w:rPr>
          <w:rFonts w:hint="eastAsia"/>
        </w:rPr>
        <w:t>岁至</w:t>
      </w:r>
      <w:r>
        <w:rPr>
          <w:rFonts w:hint="eastAsia"/>
        </w:rPr>
        <w:t>16</w:t>
      </w:r>
      <w:r>
        <w:rPr>
          <w:rFonts w:hint="eastAsia"/>
        </w:rPr>
        <w:t>岁儿童和少年</w:t>
      </w:r>
      <w:r>
        <w:rPr>
          <w:rFonts w:hint="eastAsia"/>
        </w:rPr>
        <w:tab/>
      </w:r>
      <w:r>
        <w:tab/>
        <w:t>154</w:t>
      </w:r>
    </w:p>
    <w:p w:rsidR="00000000" w:rsidRDefault="00000000">
      <w:pPr>
        <w:pStyle w:val="aa"/>
      </w:pPr>
      <w:r>
        <w:rPr>
          <w:rFonts w:hint="eastAsia"/>
        </w:rPr>
        <w:t xml:space="preserve">40.  </w:t>
      </w:r>
      <w:r>
        <w:rPr>
          <w:rFonts w:hint="eastAsia"/>
        </w:rPr>
        <w:t>儿童课外机构</w:t>
      </w:r>
      <w:r>
        <w:rPr>
          <w:rFonts w:hint="eastAsia"/>
        </w:rPr>
        <w:t>(</w:t>
      </w:r>
      <w:r>
        <w:rPr>
          <w:rFonts w:hint="eastAsia"/>
        </w:rPr>
        <w:t>年底</w:t>
      </w:r>
      <w:r>
        <w:rPr>
          <w:rFonts w:hint="eastAsia"/>
        </w:rPr>
        <w:t>)</w:t>
      </w:r>
      <w:r>
        <w:rPr>
          <w:rFonts w:hint="eastAsia"/>
        </w:rPr>
        <w:tab/>
      </w:r>
      <w:r>
        <w:tab/>
        <w:t>156</w:t>
      </w:r>
    </w:p>
    <w:p w:rsidR="00000000" w:rsidRDefault="00000000">
      <w:pPr>
        <w:pStyle w:val="aa"/>
        <w:tabs>
          <w:tab w:val="clear" w:pos="510"/>
          <w:tab w:val="left" w:pos="650"/>
        </w:tabs>
        <w:ind w:left="650" w:hanging="650"/>
      </w:pPr>
      <w:r>
        <w:rPr>
          <w:rFonts w:hint="eastAsia"/>
        </w:rPr>
        <w:t xml:space="preserve">41.  </w:t>
      </w:r>
      <w:r>
        <w:rPr>
          <w:rFonts w:hint="eastAsia"/>
        </w:rPr>
        <w:t>学校和学生按所学语言的分类情况</w:t>
      </w:r>
      <w:r>
        <w:t>(</w:t>
      </w:r>
      <w:r>
        <w:rPr>
          <w:rFonts w:hint="eastAsia"/>
        </w:rPr>
        <w:t>不包括智障和残疾儿童学校和温泉疗养学校</w:t>
      </w:r>
      <w:r>
        <w:rPr>
          <w:rFonts w:hint="eastAsia"/>
        </w:rPr>
        <w:t>)</w:t>
      </w:r>
      <w:r>
        <w:rPr>
          <w:rFonts w:hint="eastAsia"/>
        </w:rPr>
        <w:tab/>
      </w:r>
      <w:r>
        <w:tab/>
        <w:t>159</w:t>
      </w:r>
    </w:p>
    <w:p w:rsidR="00000000" w:rsidRDefault="00000000">
      <w:pPr>
        <w:pStyle w:val="Heading2"/>
        <w:rPr>
          <w:rFonts w:hint="eastAsia"/>
        </w:rPr>
      </w:pPr>
      <w:r>
        <w:br w:type="page"/>
      </w:r>
      <w:r>
        <w:rPr>
          <w:rFonts w:hint="eastAsia"/>
        </w:rPr>
        <w:t>一、概</w:t>
      </w:r>
      <w:r>
        <w:rPr>
          <w:rFonts w:hint="eastAsia"/>
        </w:rPr>
        <w:t xml:space="preserve">  </w:t>
      </w:r>
      <w:r>
        <w:rPr>
          <w:rFonts w:hint="eastAsia"/>
        </w:rPr>
        <w:t>况</w:t>
      </w:r>
    </w:p>
    <w:p w:rsidR="00000000" w:rsidRDefault="00000000">
      <w:pPr>
        <w:rPr>
          <w:rFonts w:hint="eastAsia"/>
        </w:rPr>
      </w:pPr>
      <w:r>
        <w:rPr>
          <w:rFonts w:hint="eastAsia"/>
        </w:rPr>
        <w:tab/>
      </w:r>
      <w:r>
        <w:t>1.</w:t>
      </w:r>
      <w:r>
        <w:rPr>
          <w:rFonts w:hint="eastAsia"/>
        </w:rPr>
        <w:t xml:space="preserve">  </w:t>
      </w:r>
      <w:r>
        <w:rPr>
          <w:rFonts w:hint="eastAsia"/>
        </w:rPr>
        <w:t>根据《经济、社会、文化权利国际公约》第</w:t>
      </w:r>
      <w:r>
        <w:rPr>
          <w:rFonts w:hint="eastAsia"/>
        </w:rPr>
        <w:t>40</w:t>
      </w:r>
      <w:r>
        <w:rPr>
          <w:rFonts w:hint="eastAsia"/>
        </w:rPr>
        <w:t>条的规定，并按照有关缔约国初次报告的形式和实质内容的指示，现向经济、社会和文化权利委员会提交本合并报告，本报告叙述摩尔多瓦共和国为执行《公约》而采取的步骤，以及</w:t>
      </w:r>
      <w:r>
        <w:rPr>
          <w:rFonts w:hint="eastAsia"/>
        </w:rPr>
        <w:t>1993</w:t>
      </w:r>
      <w:r>
        <w:rPr>
          <w:rFonts w:hint="eastAsia"/>
        </w:rPr>
        <w:t>年</w:t>
      </w:r>
      <w:r>
        <w:rPr>
          <w:rFonts w:hint="eastAsia"/>
        </w:rPr>
        <w:t>2</w:t>
      </w:r>
      <w:r>
        <w:rPr>
          <w:rFonts w:hint="eastAsia"/>
        </w:rPr>
        <w:t>月</w:t>
      </w:r>
      <w:r>
        <w:rPr>
          <w:rFonts w:hint="eastAsia"/>
        </w:rPr>
        <w:t>25</w:t>
      </w:r>
      <w:r>
        <w:rPr>
          <w:rFonts w:hint="eastAsia"/>
        </w:rPr>
        <w:t>日至</w:t>
      </w:r>
      <w:r>
        <w:rPr>
          <w:rFonts w:hint="eastAsia"/>
        </w:rPr>
        <w:t>2000</w:t>
      </w:r>
      <w:r>
        <w:rPr>
          <w:rFonts w:hint="eastAsia"/>
        </w:rPr>
        <w:t>年</w:t>
      </w:r>
      <w:r>
        <w:rPr>
          <w:rFonts w:hint="eastAsia"/>
        </w:rPr>
        <w:t>1</w:t>
      </w:r>
      <w:r>
        <w:rPr>
          <w:rFonts w:hint="eastAsia"/>
        </w:rPr>
        <w:t>月</w:t>
      </w:r>
      <w:r>
        <w:rPr>
          <w:rFonts w:hint="eastAsia"/>
        </w:rPr>
        <w:t>1</w:t>
      </w:r>
      <w:r>
        <w:rPr>
          <w:rFonts w:hint="eastAsia"/>
        </w:rPr>
        <w:t>日取得的进展。</w:t>
      </w:r>
    </w:p>
    <w:p w:rsidR="00000000" w:rsidRDefault="00000000">
      <w:pPr>
        <w:rPr>
          <w:rFonts w:hint="eastAsia"/>
        </w:rPr>
      </w:pPr>
      <w:r>
        <w:rPr>
          <w:rFonts w:hint="eastAsia"/>
        </w:rPr>
        <w:tab/>
        <w:t xml:space="preserve">2.  </w:t>
      </w:r>
      <w:r>
        <w:rPr>
          <w:rFonts w:hint="eastAsia"/>
        </w:rPr>
        <w:t>摩尔多瓦共和国于</w:t>
      </w:r>
      <w:r>
        <w:rPr>
          <w:rFonts w:hint="eastAsia"/>
        </w:rPr>
        <w:t>1990</w:t>
      </w:r>
      <w:r>
        <w:rPr>
          <w:rFonts w:hint="eastAsia"/>
        </w:rPr>
        <w:t>年</w:t>
      </w:r>
      <w:r>
        <w:rPr>
          <w:rFonts w:hint="eastAsia"/>
        </w:rPr>
        <w:t>7</w:t>
      </w:r>
      <w:r>
        <w:rPr>
          <w:rFonts w:hint="eastAsia"/>
        </w:rPr>
        <w:t>月</w:t>
      </w:r>
      <w:r>
        <w:rPr>
          <w:rFonts w:hint="eastAsia"/>
        </w:rPr>
        <w:t>28</w:t>
      </w:r>
      <w:r>
        <w:rPr>
          <w:rFonts w:hint="eastAsia"/>
        </w:rPr>
        <w:t>日通过议会《第</w:t>
      </w:r>
      <w:r>
        <w:rPr>
          <w:rFonts w:hint="eastAsia"/>
        </w:rPr>
        <w:t>217</w:t>
      </w:r>
      <w:r>
        <w:t>-XII</w:t>
      </w:r>
      <w:r>
        <w:rPr>
          <w:rFonts w:hint="eastAsia"/>
        </w:rPr>
        <w:t>号决定》批准《经济、社会、文化权利国际公约》，《公约》于</w:t>
      </w:r>
      <w:r>
        <w:rPr>
          <w:rFonts w:hint="eastAsia"/>
        </w:rPr>
        <w:t>1993</w:t>
      </w:r>
      <w:r>
        <w:rPr>
          <w:rFonts w:hint="eastAsia"/>
        </w:rPr>
        <w:t>年</w:t>
      </w:r>
      <w:r>
        <w:rPr>
          <w:rFonts w:hint="eastAsia"/>
        </w:rPr>
        <w:t>4</w:t>
      </w:r>
      <w:r>
        <w:rPr>
          <w:rFonts w:hint="eastAsia"/>
        </w:rPr>
        <w:t>月</w:t>
      </w:r>
      <w:r>
        <w:rPr>
          <w:rFonts w:hint="eastAsia"/>
        </w:rPr>
        <w:t>26</w:t>
      </w:r>
      <w:r>
        <w:rPr>
          <w:rFonts w:hint="eastAsia"/>
        </w:rPr>
        <w:t>日对摩尔多瓦生效。</w:t>
      </w:r>
    </w:p>
    <w:p w:rsidR="00000000" w:rsidRDefault="00000000">
      <w:pPr>
        <w:rPr>
          <w:rFonts w:hint="eastAsia"/>
        </w:rPr>
      </w:pPr>
      <w:r>
        <w:rPr>
          <w:rFonts w:hint="eastAsia"/>
        </w:rPr>
        <w:tab/>
      </w:r>
      <w:r>
        <w:t>3.</w:t>
      </w:r>
      <w:r>
        <w:rPr>
          <w:rFonts w:hint="eastAsia"/>
        </w:rPr>
        <w:t xml:space="preserve">  </w:t>
      </w:r>
      <w:r>
        <w:rPr>
          <w:rFonts w:hint="eastAsia"/>
        </w:rPr>
        <w:t>以下是有关摩尔多瓦共和国的统计资料：</w:t>
      </w:r>
    </w:p>
    <w:p w:rsidR="00000000" w:rsidRDefault="00000000">
      <w:pPr>
        <w:ind w:left="1040"/>
        <w:rPr>
          <w:rFonts w:hint="eastAsia"/>
        </w:rPr>
      </w:pPr>
      <w:r>
        <w:rPr>
          <w:rFonts w:hint="eastAsia"/>
        </w:rPr>
        <w:tab/>
      </w:r>
      <w:r>
        <w:rPr>
          <w:rFonts w:hint="eastAsia"/>
        </w:rPr>
        <w:t>正式国名：摩尔多瓦共和国；</w:t>
      </w:r>
    </w:p>
    <w:p w:rsidR="00000000" w:rsidRDefault="00000000">
      <w:pPr>
        <w:ind w:left="1040"/>
        <w:rPr>
          <w:rFonts w:hint="eastAsia"/>
        </w:rPr>
      </w:pPr>
      <w:r>
        <w:rPr>
          <w:rFonts w:hint="eastAsia"/>
        </w:rPr>
        <w:tab/>
      </w:r>
      <w:r>
        <w:rPr>
          <w:rFonts w:hint="eastAsia"/>
        </w:rPr>
        <w:t>地理位置：摩尔多瓦共和国位于欧洲东南部，罗马尼亚和乌克兰之间，普鲁特河和德涅斯特河流域；</w:t>
      </w:r>
    </w:p>
    <w:p w:rsidR="00000000" w:rsidRDefault="00000000">
      <w:pPr>
        <w:ind w:left="1040"/>
        <w:rPr>
          <w:rFonts w:hint="eastAsia"/>
        </w:rPr>
      </w:pPr>
      <w:r>
        <w:rPr>
          <w:rFonts w:hint="eastAsia"/>
        </w:rPr>
        <w:tab/>
      </w:r>
      <w:r>
        <w:rPr>
          <w:rFonts w:hint="eastAsia"/>
        </w:rPr>
        <w:t>领土面积：</w:t>
      </w:r>
      <w:r>
        <w:rPr>
          <w:rFonts w:hint="eastAsia"/>
        </w:rPr>
        <w:t>33,800</w:t>
      </w:r>
      <w:r>
        <w:rPr>
          <w:rFonts w:hint="eastAsia"/>
        </w:rPr>
        <w:t>平方公里；</w:t>
      </w:r>
    </w:p>
    <w:p w:rsidR="00000000" w:rsidRDefault="00000000">
      <w:pPr>
        <w:ind w:left="1040"/>
        <w:rPr>
          <w:rFonts w:hint="eastAsia"/>
        </w:rPr>
      </w:pPr>
      <w:r>
        <w:rPr>
          <w:rFonts w:hint="eastAsia"/>
        </w:rPr>
        <w:tab/>
      </w:r>
      <w:r>
        <w:rPr>
          <w:rFonts w:hint="eastAsia"/>
        </w:rPr>
        <w:t>人口：</w:t>
      </w:r>
      <w:r>
        <w:t>4,264,000</w:t>
      </w:r>
      <w:r>
        <w:rPr>
          <w:rFonts w:hint="eastAsia"/>
        </w:rPr>
        <w:t>(2001</w:t>
      </w:r>
      <w:r>
        <w:rPr>
          <w:rFonts w:hint="eastAsia"/>
        </w:rPr>
        <w:t>年</w:t>
      </w:r>
      <w:r>
        <w:rPr>
          <w:rFonts w:hint="eastAsia"/>
        </w:rPr>
        <w:t>1</w:t>
      </w:r>
      <w:r>
        <w:rPr>
          <w:rFonts w:hint="eastAsia"/>
        </w:rPr>
        <w:t>月</w:t>
      </w:r>
      <w:r>
        <w:rPr>
          <w:rFonts w:hint="eastAsia"/>
        </w:rPr>
        <w:t>1</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人口密度：</w:t>
      </w:r>
      <w:r>
        <w:rPr>
          <w:rFonts w:hint="eastAsia"/>
        </w:rPr>
        <w:t>126</w:t>
      </w:r>
      <w:r>
        <w:rPr>
          <w:rFonts w:hint="eastAsia"/>
        </w:rPr>
        <w:t>名居民</w:t>
      </w:r>
      <w:r>
        <w:t>/</w:t>
      </w:r>
      <w:r>
        <w:rPr>
          <w:rFonts w:hint="eastAsia"/>
        </w:rPr>
        <w:t>平方公里；</w:t>
      </w:r>
    </w:p>
    <w:p w:rsidR="00000000" w:rsidRDefault="00000000">
      <w:pPr>
        <w:ind w:left="1040"/>
        <w:rPr>
          <w:rFonts w:hint="eastAsia"/>
        </w:rPr>
      </w:pPr>
      <w:r>
        <w:rPr>
          <w:rFonts w:hint="eastAsia"/>
        </w:rPr>
        <w:tab/>
      </w:r>
      <w:r>
        <w:rPr>
          <w:rFonts w:hint="eastAsia"/>
        </w:rPr>
        <w:t>首都：基希讷乌市</w:t>
      </w:r>
      <w:r>
        <w:rPr>
          <w:rFonts w:hint="eastAsia"/>
        </w:rPr>
        <w:t>(</w:t>
      </w:r>
      <w:r>
        <w:rPr>
          <w:rFonts w:hint="eastAsia"/>
        </w:rPr>
        <w:t>截至</w:t>
      </w:r>
      <w:r>
        <w:rPr>
          <w:rFonts w:hint="eastAsia"/>
        </w:rPr>
        <w:t>2001</w:t>
      </w:r>
      <w:r>
        <w:rPr>
          <w:rFonts w:hint="eastAsia"/>
        </w:rPr>
        <w:t>年</w:t>
      </w:r>
      <w:r>
        <w:rPr>
          <w:rFonts w:hint="eastAsia"/>
        </w:rPr>
        <w:t>1</w:t>
      </w:r>
      <w:r>
        <w:rPr>
          <w:rFonts w:hint="eastAsia"/>
        </w:rPr>
        <w:t>月</w:t>
      </w:r>
      <w:r>
        <w:rPr>
          <w:rFonts w:hint="eastAsia"/>
        </w:rPr>
        <w:t>1</w:t>
      </w:r>
      <w:r>
        <w:rPr>
          <w:rFonts w:hint="eastAsia"/>
        </w:rPr>
        <w:t>日居民人数约为</w:t>
      </w:r>
      <w:r>
        <w:rPr>
          <w:rFonts w:hint="eastAsia"/>
        </w:rPr>
        <w:t>78</w:t>
      </w:r>
      <w:r>
        <w:rPr>
          <w:rFonts w:hint="eastAsia"/>
        </w:rPr>
        <w:t>万</w:t>
      </w:r>
      <w:r>
        <w:rPr>
          <w:rFonts w:hint="eastAsia"/>
        </w:rPr>
        <w:t>)</w:t>
      </w:r>
      <w:r>
        <w:rPr>
          <w:rFonts w:hint="eastAsia"/>
        </w:rPr>
        <w:t>；</w:t>
      </w:r>
    </w:p>
    <w:p w:rsidR="00000000" w:rsidRDefault="00000000">
      <w:pPr>
        <w:ind w:left="1040"/>
        <w:rPr>
          <w:rFonts w:hint="eastAsia"/>
        </w:rPr>
      </w:pPr>
      <w:r>
        <w:rPr>
          <w:rFonts w:hint="eastAsia"/>
        </w:rPr>
        <w:tab/>
      </w:r>
      <w:r>
        <w:rPr>
          <w:rFonts w:hint="eastAsia"/>
        </w:rPr>
        <w:t>国庆节：独立节</w:t>
      </w:r>
      <w:r>
        <w:rPr>
          <w:rFonts w:hint="eastAsia"/>
        </w:rPr>
        <w:t>(8</w:t>
      </w:r>
      <w:r>
        <w:rPr>
          <w:rFonts w:hint="eastAsia"/>
        </w:rPr>
        <w:t>月</w:t>
      </w:r>
      <w:r>
        <w:rPr>
          <w:rFonts w:hint="eastAsia"/>
        </w:rPr>
        <w:t>27</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国旗：红、黄、蓝三色等宽直条，中间是摩尔多瓦共和国国徽；</w:t>
      </w:r>
    </w:p>
    <w:p w:rsidR="00000000" w:rsidRDefault="00000000">
      <w:pPr>
        <w:ind w:left="1040"/>
        <w:rPr>
          <w:rFonts w:hint="eastAsia"/>
        </w:rPr>
      </w:pPr>
      <w:r>
        <w:rPr>
          <w:rFonts w:hint="eastAsia"/>
        </w:rPr>
        <w:tab/>
      </w:r>
      <w:r>
        <w:rPr>
          <w:rFonts w:hint="eastAsia"/>
        </w:rPr>
        <w:t>政体：议会共和制；</w:t>
      </w:r>
    </w:p>
    <w:p w:rsidR="00000000" w:rsidRDefault="00000000">
      <w:pPr>
        <w:ind w:left="1040"/>
        <w:rPr>
          <w:rFonts w:hint="eastAsia"/>
        </w:rPr>
      </w:pPr>
      <w:r>
        <w:rPr>
          <w:rFonts w:hint="eastAsia"/>
        </w:rPr>
        <w:tab/>
      </w:r>
      <w:r>
        <w:rPr>
          <w:rFonts w:hint="eastAsia"/>
        </w:rPr>
        <w:t>国家立法机关：一院制议会，由通过比例代表制直接选举产生的</w:t>
      </w:r>
      <w:r>
        <w:rPr>
          <w:rFonts w:hint="eastAsia"/>
        </w:rPr>
        <w:t>101</w:t>
      </w:r>
      <w:r>
        <w:rPr>
          <w:rFonts w:hint="eastAsia"/>
        </w:rPr>
        <w:t>名议员组成；</w:t>
      </w:r>
    </w:p>
    <w:p w:rsidR="00000000" w:rsidRDefault="00000000">
      <w:pPr>
        <w:ind w:left="1040"/>
        <w:rPr>
          <w:rFonts w:hint="eastAsia"/>
        </w:rPr>
      </w:pPr>
      <w:r>
        <w:rPr>
          <w:rFonts w:hint="eastAsia"/>
        </w:rPr>
        <w:tab/>
      </w:r>
      <w:r>
        <w:rPr>
          <w:rFonts w:hint="eastAsia"/>
        </w:rPr>
        <w:t>国家元首：总统；</w:t>
      </w:r>
    </w:p>
    <w:p w:rsidR="00000000" w:rsidRDefault="00000000">
      <w:pPr>
        <w:ind w:left="1040"/>
        <w:rPr>
          <w:rFonts w:hint="eastAsia"/>
        </w:rPr>
      </w:pPr>
      <w:r>
        <w:rPr>
          <w:rFonts w:hint="eastAsia"/>
        </w:rPr>
        <w:tab/>
      </w:r>
      <w:r>
        <w:rPr>
          <w:rFonts w:hint="eastAsia"/>
        </w:rPr>
        <w:t>行政区划：</w:t>
      </w:r>
      <w:r>
        <w:t>10</w:t>
      </w:r>
      <w:r>
        <w:rPr>
          <w:rFonts w:hint="eastAsia"/>
        </w:rPr>
        <w:t>个县，</w:t>
      </w:r>
      <w:r>
        <w:t>1</w:t>
      </w:r>
      <w:r>
        <w:rPr>
          <w:rFonts w:hint="eastAsia"/>
        </w:rPr>
        <w:t>个行政领土单位，</w:t>
      </w:r>
      <w:r>
        <w:rPr>
          <w:rFonts w:hint="eastAsia"/>
        </w:rPr>
        <w:t>15</w:t>
      </w:r>
      <w:r>
        <w:rPr>
          <w:rFonts w:hint="eastAsia"/>
        </w:rPr>
        <w:t>个市，</w:t>
      </w:r>
      <w:r>
        <w:rPr>
          <w:rFonts w:hint="eastAsia"/>
        </w:rPr>
        <w:t>43</w:t>
      </w:r>
      <w:r>
        <w:rPr>
          <w:rFonts w:hint="eastAsia"/>
        </w:rPr>
        <w:t>个镇，</w:t>
      </w:r>
      <w:r>
        <w:rPr>
          <w:rFonts w:hint="eastAsia"/>
        </w:rPr>
        <w:t>663</w:t>
      </w:r>
      <w:r>
        <w:rPr>
          <w:rFonts w:hint="eastAsia"/>
        </w:rPr>
        <w:t>个村社，</w:t>
      </w:r>
      <w:r>
        <w:t>1</w:t>
      </w:r>
      <w:r>
        <w:rPr>
          <w:rFonts w:hint="eastAsia"/>
        </w:rPr>
        <w:t>,</w:t>
      </w:r>
      <w:r>
        <w:t>679</w:t>
      </w:r>
      <w:r>
        <w:rPr>
          <w:rFonts w:hint="eastAsia"/>
        </w:rPr>
        <w:t>个小区；</w:t>
      </w:r>
    </w:p>
    <w:p w:rsidR="00000000" w:rsidRDefault="00000000">
      <w:pPr>
        <w:ind w:left="1040"/>
        <w:rPr>
          <w:rFonts w:hint="eastAsia"/>
        </w:rPr>
      </w:pPr>
      <w:r>
        <w:rPr>
          <w:rFonts w:hint="eastAsia"/>
        </w:rPr>
        <w:tab/>
      </w:r>
      <w:r>
        <w:rPr>
          <w:rFonts w:hint="eastAsia"/>
        </w:rPr>
        <w:t>加入联合国日期：</w:t>
      </w:r>
      <w:r>
        <w:rPr>
          <w:rFonts w:hint="eastAsia"/>
        </w:rPr>
        <w:t>1992</w:t>
      </w:r>
      <w:r>
        <w:rPr>
          <w:rFonts w:hint="eastAsia"/>
        </w:rPr>
        <w:t>年</w:t>
      </w:r>
      <w:r>
        <w:rPr>
          <w:rFonts w:hint="eastAsia"/>
        </w:rPr>
        <w:t>3</w:t>
      </w:r>
      <w:r>
        <w:rPr>
          <w:rFonts w:hint="eastAsia"/>
        </w:rPr>
        <w:t>月</w:t>
      </w:r>
      <w:r>
        <w:rPr>
          <w:rFonts w:hint="eastAsia"/>
        </w:rPr>
        <w:t>2</w:t>
      </w:r>
      <w:r>
        <w:rPr>
          <w:rFonts w:hint="eastAsia"/>
        </w:rPr>
        <w:t>日。</w:t>
      </w:r>
    </w:p>
    <w:p w:rsidR="00000000" w:rsidRDefault="00000000">
      <w:pPr>
        <w:rPr>
          <w:rFonts w:hint="eastAsia"/>
        </w:rPr>
      </w:pPr>
      <w:r>
        <w:rPr>
          <w:rFonts w:hint="eastAsia"/>
        </w:rPr>
        <w:tab/>
      </w:r>
      <w:r>
        <w:rPr>
          <w:rFonts w:hint="eastAsia"/>
        </w:rPr>
        <w:tab/>
      </w:r>
      <w:r>
        <w:rPr>
          <w:rFonts w:hint="eastAsia"/>
        </w:rPr>
        <w:tab/>
      </w:r>
      <w:r>
        <w:rPr>
          <w:rFonts w:hint="eastAsia"/>
        </w:rPr>
        <w:t>人口分布：</w:t>
      </w:r>
    </w:p>
    <w:p w:rsidR="00000000" w:rsidRDefault="00000000">
      <w:r>
        <w:rPr>
          <w:rFonts w:hint="eastAsia"/>
        </w:rPr>
        <w:tab/>
      </w:r>
      <w:r>
        <w:rPr>
          <w:rFonts w:hint="eastAsia"/>
        </w:rPr>
        <w:tab/>
      </w:r>
      <w:r>
        <w:rPr>
          <w:rFonts w:hint="eastAsia"/>
        </w:rPr>
        <w:tab/>
      </w:r>
      <w:r>
        <w:rPr>
          <w:rFonts w:hint="eastAsia"/>
        </w:rPr>
        <w:tab/>
      </w:r>
      <w:r>
        <w:rPr>
          <w:rFonts w:hint="eastAsia"/>
        </w:rPr>
        <w:t>城市</w:t>
      </w:r>
      <w:r>
        <w:tab/>
      </w:r>
      <w:r>
        <w:rPr>
          <w:rFonts w:hint="eastAsia"/>
        </w:rPr>
        <w:tab/>
      </w:r>
      <w:r>
        <w:rPr>
          <w:rFonts w:hint="eastAsia"/>
        </w:rPr>
        <w:tab/>
      </w:r>
      <w:r>
        <w:t>45%</w:t>
      </w:r>
    </w:p>
    <w:p w:rsidR="00000000" w:rsidRDefault="00000000">
      <w:r>
        <w:rPr>
          <w:rFonts w:hint="eastAsia"/>
        </w:rPr>
        <w:tab/>
      </w:r>
      <w:r>
        <w:rPr>
          <w:rFonts w:hint="eastAsia"/>
        </w:rPr>
        <w:tab/>
      </w:r>
      <w:r>
        <w:rPr>
          <w:rFonts w:hint="eastAsia"/>
        </w:rPr>
        <w:tab/>
      </w:r>
      <w:r>
        <w:rPr>
          <w:rFonts w:hint="eastAsia"/>
        </w:rPr>
        <w:tab/>
      </w:r>
      <w:r>
        <w:rPr>
          <w:rFonts w:hint="eastAsia"/>
        </w:rPr>
        <w:t>农村</w:t>
      </w:r>
      <w:r>
        <w:tab/>
      </w:r>
      <w:r>
        <w:rPr>
          <w:rFonts w:hint="eastAsia"/>
        </w:rPr>
        <w:tab/>
      </w:r>
      <w:r>
        <w:rPr>
          <w:rFonts w:hint="eastAsia"/>
        </w:rPr>
        <w:tab/>
      </w:r>
      <w:r>
        <w:t>55%</w:t>
      </w:r>
    </w:p>
    <w:p w:rsidR="00000000" w:rsidRDefault="00000000"/>
    <w:p w:rsidR="00000000" w:rsidRDefault="00000000">
      <w:pPr>
        <w:pStyle w:val="Heading3"/>
        <w:rPr>
          <w:rFonts w:hint="eastAsia"/>
          <w:sz w:val="22"/>
        </w:rPr>
      </w:pPr>
      <w:r>
        <w:rPr>
          <w:rFonts w:hint="eastAsia"/>
          <w:sz w:val="22"/>
          <w:u w:val="none"/>
        </w:rPr>
        <w:t>表</w:t>
      </w:r>
      <w:r>
        <w:rPr>
          <w:rFonts w:hint="eastAsia"/>
          <w:sz w:val="22"/>
          <w:u w:val="none"/>
        </w:rPr>
        <w:t xml:space="preserve"> 1.  </w:t>
      </w:r>
      <w:r>
        <w:rPr>
          <w:rFonts w:hint="eastAsia"/>
          <w:sz w:val="22"/>
        </w:rPr>
        <w:t>城市人口和人口增长情况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5634" w:type="dxa"/>
            <w:gridSpan w:val="3"/>
          </w:tcPr>
          <w:p w:rsidR="00000000" w:rsidRDefault="00000000">
            <w:pPr>
              <w:spacing w:before="120"/>
              <w:jc w:val="center"/>
              <w:rPr>
                <w:sz w:val="22"/>
              </w:rPr>
            </w:pPr>
            <w:r>
              <w:rPr>
                <w:rFonts w:hint="eastAsia"/>
                <w:sz w:val="22"/>
              </w:rPr>
              <w:t>城市人口</w:t>
            </w:r>
            <w:r>
              <w:rPr>
                <w:sz w:val="22"/>
              </w:rPr>
              <w:t>(</w:t>
            </w:r>
            <w:r>
              <w:rPr>
                <w:rFonts w:hint="eastAsia"/>
                <w:sz w:val="22"/>
              </w:rPr>
              <w:t>占总人口百分比</w:t>
            </w:r>
            <w:r>
              <w:rPr>
                <w:sz w:val="22"/>
              </w:rPr>
              <w:t>)</w:t>
            </w:r>
          </w:p>
        </w:tc>
        <w:tc>
          <w:tcPr>
            <w:tcW w:w="3722" w:type="dxa"/>
            <w:gridSpan w:val="2"/>
          </w:tcPr>
          <w:p w:rsidR="00000000" w:rsidRDefault="00000000">
            <w:pPr>
              <w:spacing w:before="120"/>
              <w:jc w:val="center"/>
              <w:rPr>
                <w:sz w:val="22"/>
              </w:rPr>
            </w:pPr>
            <w:r>
              <w:rPr>
                <w:rFonts w:hint="eastAsia"/>
                <w:sz w:val="22"/>
              </w:rPr>
              <w:t>人口增长率</w:t>
            </w:r>
            <w:r>
              <w:rPr>
                <w:sz w:val="22"/>
              </w:rPr>
              <w:t>(%)</w:t>
            </w:r>
          </w:p>
        </w:tc>
      </w:tr>
      <w:tr w:rsidR="00000000">
        <w:tblPrEx>
          <w:tblCellMar>
            <w:top w:w="0" w:type="dxa"/>
            <w:bottom w:w="0" w:type="dxa"/>
          </w:tblCellMar>
        </w:tblPrEx>
        <w:tc>
          <w:tcPr>
            <w:tcW w:w="1806" w:type="dxa"/>
          </w:tcPr>
          <w:p w:rsidR="00000000" w:rsidRDefault="00000000">
            <w:pPr>
              <w:spacing w:before="120"/>
              <w:jc w:val="center"/>
              <w:rPr>
                <w:sz w:val="22"/>
              </w:rPr>
            </w:pPr>
            <w:r>
              <w:rPr>
                <w:sz w:val="22"/>
              </w:rPr>
              <w:t>1960</w:t>
            </w:r>
          </w:p>
        </w:tc>
        <w:tc>
          <w:tcPr>
            <w:tcW w:w="1914" w:type="dxa"/>
          </w:tcPr>
          <w:p w:rsidR="00000000" w:rsidRDefault="00000000">
            <w:pPr>
              <w:spacing w:before="120"/>
              <w:jc w:val="center"/>
              <w:rPr>
                <w:sz w:val="22"/>
              </w:rPr>
            </w:pPr>
            <w:r>
              <w:rPr>
                <w:sz w:val="22"/>
              </w:rPr>
              <w:t>1997</w:t>
            </w:r>
          </w:p>
        </w:tc>
        <w:tc>
          <w:tcPr>
            <w:tcW w:w="1914" w:type="dxa"/>
          </w:tcPr>
          <w:p w:rsidR="00000000" w:rsidRDefault="00000000">
            <w:pPr>
              <w:spacing w:before="120"/>
              <w:jc w:val="center"/>
              <w:rPr>
                <w:sz w:val="22"/>
              </w:rPr>
            </w:pPr>
            <w:r>
              <w:rPr>
                <w:sz w:val="22"/>
              </w:rPr>
              <w:t>2000</w:t>
            </w:r>
          </w:p>
        </w:tc>
        <w:tc>
          <w:tcPr>
            <w:tcW w:w="1914" w:type="dxa"/>
          </w:tcPr>
          <w:p w:rsidR="00000000" w:rsidRDefault="00000000">
            <w:pPr>
              <w:spacing w:before="120"/>
              <w:jc w:val="center"/>
              <w:rPr>
                <w:sz w:val="22"/>
              </w:rPr>
            </w:pPr>
            <w:r>
              <w:rPr>
                <w:sz w:val="22"/>
              </w:rPr>
              <w:t>1960-1997</w:t>
            </w:r>
          </w:p>
        </w:tc>
        <w:tc>
          <w:tcPr>
            <w:tcW w:w="1808" w:type="dxa"/>
          </w:tcPr>
          <w:p w:rsidR="00000000" w:rsidRDefault="00000000">
            <w:pPr>
              <w:spacing w:before="120"/>
              <w:jc w:val="center"/>
              <w:rPr>
                <w:sz w:val="22"/>
              </w:rPr>
            </w:pPr>
            <w:r>
              <w:rPr>
                <w:sz w:val="22"/>
              </w:rPr>
              <w:t>1997-2000</w:t>
            </w:r>
          </w:p>
        </w:tc>
      </w:tr>
      <w:tr w:rsidR="00000000">
        <w:tblPrEx>
          <w:tblCellMar>
            <w:top w:w="0" w:type="dxa"/>
            <w:bottom w:w="0" w:type="dxa"/>
          </w:tblCellMar>
        </w:tblPrEx>
        <w:tc>
          <w:tcPr>
            <w:tcW w:w="1806" w:type="dxa"/>
          </w:tcPr>
          <w:p w:rsidR="00000000" w:rsidRDefault="00000000">
            <w:pPr>
              <w:spacing w:before="120"/>
              <w:jc w:val="center"/>
              <w:rPr>
                <w:sz w:val="22"/>
              </w:rPr>
            </w:pPr>
            <w:r>
              <w:rPr>
                <w:sz w:val="22"/>
              </w:rPr>
              <w:t>23</w:t>
            </w:r>
          </w:p>
        </w:tc>
        <w:tc>
          <w:tcPr>
            <w:tcW w:w="1914" w:type="dxa"/>
          </w:tcPr>
          <w:p w:rsidR="00000000" w:rsidRDefault="00000000">
            <w:pPr>
              <w:spacing w:before="120"/>
              <w:jc w:val="center"/>
              <w:rPr>
                <w:sz w:val="22"/>
              </w:rPr>
            </w:pPr>
            <w:r>
              <w:rPr>
                <w:sz w:val="22"/>
              </w:rPr>
              <w:t>46</w:t>
            </w:r>
          </w:p>
        </w:tc>
        <w:tc>
          <w:tcPr>
            <w:tcW w:w="1914" w:type="dxa"/>
          </w:tcPr>
          <w:p w:rsidR="00000000" w:rsidRDefault="00000000">
            <w:pPr>
              <w:spacing w:before="120"/>
              <w:jc w:val="center"/>
              <w:rPr>
                <w:sz w:val="22"/>
              </w:rPr>
            </w:pPr>
            <w:r>
              <w:rPr>
                <w:sz w:val="22"/>
              </w:rPr>
              <w:t>46</w:t>
            </w:r>
          </w:p>
        </w:tc>
        <w:tc>
          <w:tcPr>
            <w:tcW w:w="1914" w:type="dxa"/>
          </w:tcPr>
          <w:p w:rsidR="00000000" w:rsidRDefault="00000000">
            <w:pPr>
              <w:spacing w:before="120"/>
              <w:jc w:val="center"/>
              <w:rPr>
                <w:sz w:val="22"/>
              </w:rPr>
            </w:pPr>
            <w:r>
              <w:rPr>
                <w:sz w:val="22"/>
              </w:rPr>
              <w:t>2.95</w:t>
            </w:r>
          </w:p>
        </w:tc>
        <w:tc>
          <w:tcPr>
            <w:tcW w:w="1808" w:type="dxa"/>
          </w:tcPr>
          <w:p w:rsidR="00000000" w:rsidRDefault="00000000">
            <w:pPr>
              <w:spacing w:before="120"/>
              <w:jc w:val="center"/>
              <w:rPr>
                <w:sz w:val="22"/>
              </w:rPr>
            </w:pPr>
            <w:r>
              <w:rPr>
                <w:sz w:val="22"/>
              </w:rPr>
              <w:t>-0.35</w:t>
            </w:r>
          </w:p>
        </w:tc>
      </w:tr>
    </w:tbl>
    <w:p w:rsidR="00000000" w:rsidRDefault="00000000">
      <w:pPr>
        <w:rPr>
          <w:rFonts w:hint="eastAsia"/>
        </w:rPr>
      </w:pPr>
    </w:p>
    <w:p w:rsidR="00000000" w:rsidRDefault="00000000">
      <w:pPr>
        <w:ind w:left="1040"/>
        <w:rPr>
          <w:rFonts w:hint="eastAsia"/>
        </w:rPr>
      </w:pPr>
      <w:r>
        <w:rPr>
          <w:rFonts w:hint="eastAsia"/>
        </w:rPr>
        <w:tab/>
      </w:r>
      <w:r>
        <w:rPr>
          <w:rFonts w:hint="eastAsia"/>
        </w:rPr>
        <w:t>外债：</w:t>
      </w:r>
      <w:r>
        <w:rPr>
          <w:rFonts w:hint="eastAsia"/>
        </w:rPr>
        <w:t>13</w:t>
      </w:r>
      <w:r>
        <w:rPr>
          <w:rFonts w:hint="eastAsia"/>
        </w:rPr>
        <w:t>亿美元</w:t>
      </w:r>
      <w:r>
        <w:rPr>
          <w:rFonts w:hint="eastAsia"/>
        </w:rPr>
        <w:t>(19</w:t>
      </w:r>
      <w:r>
        <w:t>9</w:t>
      </w:r>
      <w:r>
        <w:rPr>
          <w:rFonts w:hint="eastAsia"/>
        </w:rPr>
        <w:t>8</w:t>
      </w:r>
      <w:r>
        <w:rPr>
          <w:rFonts w:hint="eastAsia"/>
        </w:rPr>
        <w:t>年</w:t>
      </w:r>
      <w:r>
        <w:rPr>
          <w:rFonts w:hint="eastAsia"/>
        </w:rPr>
        <w:t>)</w:t>
      </w:r>
      <w:r>
        <w:rPr>
          <w:rFonts w:hint="eastAsia"/>
        </w:rPr>
        <w:t>。截至</w:t>
      </w:r>
      <w:r>
        <w:rPr>
          <w:rFonts w:hint="eastAsia"/>
        </w:rPr>
        <w:t>2000</w:t>
      </w:r>
      <w:r>
        <w:rPr>
          <w:rFonts w:hint="eastAsia"/>
        </w:rPr>
        <w:t>年</w:t>
      </w:r>
      <w:r>
        <w:rPr>
          <w:rFonts w:hint="eastAsia"/>
        </w:rPr>
        <w:t>4</w:t>
      </w:r>
      <w:r>
        <w:rPr>
          <w:rFonts w:hint="eastAsia"/>
        </w:rPr>
        <w:t>月</w:t>
      </w:r>
      <w:r>
        <w:rPr>
          <w:rFonts w:hint="eastAsia"/>
        </w:rPr>
        <w:t>1</w:t>
      </w:r>
      <w:r>
        <w:rPr>
          <w:rFonts w:hint="eastAsia"/>
        </w:rPr>
        <w:t>日，政府管理的外债为</w:t>
      </w:r>
      <w:r>
        <w:rPr>
          <w:rFonts w:hint="eastAsia"/>
        </w:rPr>
        <w:t>7.4</w:t>
      </w:r>
      <w:r>
        <w:t>99</w:t>
      </w:r>
      <w:r>
        <w:rPr>
          <w:rFonts w:hint="eastAsia"/>
        </w:rPr>
        <w:t>亿美元；</w:t>
      </w:r>
    </w:p>
    <w:p w:rsidR="00000000" w:rsidRDefault="00000000">
      <w:pPr>
        <w:ind w:left="1040"/>
        <w:rPr>
          <w:rFonts w:hint="eastAsia"/>
        </w:rPr>
      </w:pPr>
      <w:r>
        <w:rPr>
          <w:rFonts w:hint="eastAsia"/>
        </w:rPr>
        <w:tab/>
        <w:t>1999</w:t>
      </w:r>
      <w:r>
        <w:rPr>
          <w:rFonts w:hint="eastAsia"/>
        </w:rPr>
        <w:t>年国内总产值为</w:t>
      </w:r>
      <w:r>
        <w:t>123.22</w:t>
      </w:r>
      <w:r>
        <w:rPr>
          <w:rFonts w:hint="eastAsia"/>
        </w:rPr>
        <w:t>亿摩列依，约为</w:t>
      </w:r>
      <w:r>
        <w:rPr>
          <w:rFonts w:hint="eastAsia"/>
        </w:rPr>
        <w:t>1998</w:t>
      </w:r>
      <w:r>
        <w:rPr>
          <w:rFonts w:hint="eastAsia"/>
        </w:rPr>
        <w:t>年国内总产值的</w:t>
      </w:r>
      <w:r>
        <w:t>96.6%</w:t>
      </w:r>
      <w:r>
        <w:rPr>
          <w:rFonts w:hint="eastAsia"/>
        </w:rPr>
        <w:t>(</w:t>
      </w:r>
      <w:r>
        <w:rPr>
          <w:rFonts w:hint="eastAsia"/>
        </w:rPr>
        <w:t>按可比价格</w:t>
      </w:r>
      <w:r>
        <w:rPr>
          <w:rFonts w:hint="eastAsia"/>
        </w:rPr>
        <w:t>)</w:t>
      </w:r>
      <w:r>
        <w:rPr>
          <w:rFonts w:hint="eastAsia"/>
        </w:rPr>
        <w:t>；</w:t>
      </w:r>
    </w:p>
    <w:p w:rsidR="00000000" w:rsidRDefault="00000000">
      <w:pPr>
        <w:ind w:left="1040"/>
        <w:rPr>
          <w:rFonts w:hint="eastAsia"/>
        </w:rPr>
      </w:pPr>
      <w:r>
        <w:rPr>
          <w:rFonts w:hint="eastAsia"/>
        </w:rPr>
        <w:tab/>
      </w:r>
      <w:r>
        <w:rPr>
          <w:rFonts w:hint="eastAsia"/>
        </w:rPr>
        <w:t>失业率：按国际劳工组织</w:t>
      </w:r>
      <w:r>
        <w:rPr>
          <w:rFonts w:hint="eastAsia"/>
        </w:rPr>
        <w:t>(</w:t>
      </w:r>
      <w:r>
        <w:rPr>
          <w:rFonts w:hint="eastAsia"/>
        </w:rPr>
        <w:t>劳工组织</w:t>
      </w:r>
      <w:r>
        <w:rPr>
          <w:rFonts w:hint="eastAsia"/>
        </w:rPr>
        <w:t>)</w:t>
      </w:r>
      <w:r>
        <w:rPr>
          <w:rFonts w:hint="eastAsia"/>
        </w:rPr>
        <w:t>的分类，</w:t>
      </w:r>
      <w:r>
        <w:rPr>
          <w:rFonts w:hint="eastAsia"/>
        </w:rPr>
        <w:t>2000</w:t>
      </w:r>
      <w:r>
        <w:rPr>
          <w:rFonts w:hint="eastAsia"/>
        </w:rPr>
        <w:t>年为</w:t>
      </w:r>
      <w:r>
        <w:t>7.3%</w:t>
      </w:r>
      <w:r>
        <w:rPr>
          <w:rFonts w:hint="eastAsia"/>
        </w:rPr>
        <w:t>。经济活动人口占国家总人口的</w:t>
      </w:r>
      <w:r>
        <w:rPr>
          <w:rFonts w:hint="eastAsia"/>
        </w:rPr>
        <w:t>46.</w:t>
      </w:r>
      <w:r>
        <w:t>1</w:t>
      </w:r>
      <w:r>
        <w:rPr>
          <w:rFonts w:hint="eastAsia"/>
        </w:rPr>
        <w:t>%</w:t>
      </w:r>
      <w:r>
        <w:rPr>
          <w:rFonts w:hint="eastAsia"/>
        </w:rPr>
        <w:t>。就业人口占总人口的</w:t>
      </w:r>
      <w:r>
        <w:t>41.0%</w:t>
      </w:r>
      <w:r>
        <w:rPr>
          <w:rFonts w:hint="eastAsia"/>
        </w:rPr>
        <w:t>，并占</w:t>
      </w:r>
      <w:r>
        <w:rPr>
          <w:rFonts w:hint="eastAsia"/>
        </w:rPr>
        <w:t>15</w:t>
      </w:r>
      <w:r>
        <w:rPr>
          <w:rFonts w:hint="eastAsia"/>
        </w:rPr>
        <w:t>岁以上人口的</w:t>
      </w:r>
      <w:r>
        <w:rPr>
          <w:rFonts w:hint="eastAsia"/>
        </w:rPr>
        <w:t>54.5%</w:t>
      </w:r>
      <w:r>
        <w:rPr>
          <w:rFonts w:hint="eastAsia"/>
        </w:rPr>
        <w:t>。截至</w:t>
      </w:r>
      <w:r>
        <w:rPr>
          <w:rFonts w:hint="eastAsia"/>
        </w:rPr>
        <w:t>2000</w:t>
      </w:r>
      <w:r>
        <w:rPr>
          <w:rFonts w:hint="eastAsia"/>
        </w:rPr>
        <w:t>年</w:t>
      </w:r>
      <w:r>
        <w:rPr>
          <w:rFonts w:hint="eastAsia"/>
        </w:rPr>
        <w:t>1</w:t>
      </w:r>
      <w:r>
        <w:rPr>
          <w:rFonts w:hint="eastAsia"/>
        </w:rPr>
        <w:t>月</w:t>
      </w:r>
      <w:r>
        <w:rPr>
          <w:rFonts w:hint="eastAsia"/>
        </w:rPr>
        <w:t>1</w:t>
      </w:r>
      <w:r>
        <w:rPr>
          <w:rFonts w:hint="eastAsia"/>
        </w:rPr>
        <w:t>日，正式登记的失业人口为</w:t>
      </w:r>
      <w:r>
        <w:t>34,900,</w:t>
      </w:r>
      <w:r>
        <w:rPr>
          <w:rFonts w:hint="eastAsia"/>
        </w:rPr>
        <w:t xml:space="preserve"> </w:t>
      </w:r>
      <w:r>
        <w:rPr>
          <w:rFonts w:hint="eastAsia"/>
        </w:rPr>
        <w:t>而根据劳工组织的分类则为</w:t>
      </w:r>
      <w:r>
        <w:t>187,000</w:t>
      </w:r>
      <w:r>
        <w:rPr>
          <w:rFonts w:hint="eastAsia"/>
        </w:rPr>
        <w:t>；</w:t>
      </w:r>
    </w:p>
    <w:p w:rsidR="00000000" w:rsidRDefault="00000000">
      <w:pPr>
        <w:ind w:left="1040"/>
        <w:rPr>
          <w:rFonts w:hint="eastAsia"/>
        </w:rPr>
      </w:pPr>
      <w:r>
        <w:tab/>
      </w:r>
      <w:r>
        <w:rPr>
          <w:rFonts w:hint="eastAsia"/>
        </w:rPr>
        <w:t>通货膨胀率：</w:t>
      </w:r>
      <w:r>
        <w:rPr>
          <w:rFonts w:hint="eastAsia"/>
        </w:rPr>
        <w:t>2000</w:t>
      </w:r>
      <w:r>
        <w:rPr>
          <w:rFonts w:hint="eastAsia"/>
        </w:rPr>
        <w:t>年为</w:t>
      </w:r>
      <w:r>
        <w:rPr>
          <w:rFonts w:hint="eastAsia"/>
        </w:rPr>
        <w:t>18.4%</w:t>
      </w:r>
      <w:r>
        <w:rPr>
          <w:rFonts w:hint="eastAsia"/>
        </w:rPr>
        <w:t>；</w:t>
      </w:r>
    </w:p>
    <w:p w:rsidR="00000000" w:rsidRDefault="00000000">
      <w:pPr>
        <w:ind w:left="1040"/>
        <w:rPr>
          <w:rFonts w:hint="eastAsia"/>
        </w:rPr>
      </w:pPr>
      <w:r>
        <w:tab/>
      </w:r>
      <w:r>
        <w:rPr>
          <w:rFonts w:hint="eastAsia"/>
        </w:rPr>
        <w:t>入学人口比例：</w:t>
      </w:r>
      <w:r>
        <w:rPr>
          <w:rFonts w:hint="eastAsia"/>
        </w:rPr>
        <w:t>71%</w:t>
      </w:r>
      <w:r>
        <w:rPr>
          <w:rFonts w:hint="eastAsia"/>
        </w:rPr>
        <w:t>；</w:t>
      </w:r>
    </w:p>
    <w:p w:rsidR="00000000" w:rsidRDefault="00000000">
      <w:pPr>
        <w:spacing w:after="320"/>
        <w:ind w:left="1040"/>
        <w:rPr>
          <w:rFonts w:hint="eastAsia"/>
        </w:rPr>
      </w:pPr>
      <w:r>
        <w:tab/>
      </w:r>
      <w:r>
        <w:rPr>
          <w:rFonts w:hint="eastAsia"/>
        </w:rPr>
        <w:t>成人受教育率：</w:t>
      </w:r>
      <w:r>
        <w:rPr>
          <w:rFonts w:hint="eastAsia"/>
        </w:rPr>
        <w:t>96.</w:t>
      </w:r>
      <w:r>
        <w:t>4</w:t>
      </w:r>
      <w:r>
        <w:rPr>
          <w:rFonts w:hint="eastAsia"/>
        </w:rPr>
        <w:t>%</w:t>
      </w:r>
      <w:r>
        <w:rPr>
          <w:rFonts w:hint="eastAsia"/>
        </w:rPr>
        <w:t>。</w:t>
      </w:r>
    </w:p>
    <w:p w:rsidR="00000000" w:rsidRDefault="00000000">
      <w:pPr>
        <w:pStyle w:val="Heading3"/>
        <w:spacing w:after="160"/>
        <w:rPr>
          <w:rFonts w:hint="eastAsia"/>
          <w:sz w:val="22"/>
        </w:rPr>
      </w:pPr>
      <w:r>
        <w:rPr>
          <w:rFonts w:hint="eastAsia"/>
          <w:sz w:val="22"/>
          <w:u w:val="none"/>
        </w:rPr>
        <w:t>表</w:t>
      </w:r>
      <w:r>
        <w:rPr>
          <w:rFonts w:hint="eastAsia"/>
          <w:sz w:val="22"/>
          <w:u w:val="none"/>
        </w:rPr>
        <w:t xml:space="preserve"> 2.  </w:t>
      </w:r>
      <w:r>
        <w:rPr>
          <w:rFonts w:hint="eastAsia"/>
          <w:sz w:val="22"/>
        </w:rPr>
        <w:t>人类发展指标</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387"/>
        <w:gridCol w:w="2409"/>
      </w:tblGrid>
      <w:tr w:rsidR="00000000">
        <w:tblPrEx>
          <w:tblCellMar>
            <w:top w:w="0" w:type="dxa"/>
            <w:bottom w:w="0" w:type="dxa"/>
          </w:tblCellMar>
        </w:tblPrEx>
        <w:trPr>
          <w:jc w:val="center"/>
        </w:trPr>
        <w:tc>
          <w:tcPr>
            <w:tcW w:w="5387" w:type="dxa"/>
          </w:tcPr>
          <w:p w:rsidR="00000000" w:rsidRDefault="00000000">
            <w:pPr>
              <w:spacing w:before="120"/>
              <w:rPr>
                <w:rFonts w:hint="eastAsia"/>
                <w:sz w:val="22"/>
              </w:rPr>
            </w:pPr>
            <w:r>
              <w:rPr>
                <w:rFonts w:hint="eastAsia"/>
                <w:sz w:val="22"/>
              </w:rPr>
              <w:t>出生时预期寿命</w:t>
            </w:r>
            <w:r>
              <w:rPr>
                <w:rFonts w:hint="eastAsia"/>
                <w:sz w:val="22"/>
              </w:rPr>
              <w:t>(</w:t>
            </w:r>
            <w:r>
              <w:rPr>
                <w:rFonts w:hint="eastAsia"/>
                <w:sz w:val="22"/>
              </w:rPr>
              <w:t>年龄</w:t>
            </w:r>
            <w:r>
              <w:rPr>
                <w:rFonts w:hint="eastAsia"/>
                <w:sz w:val="22"/>
              </w:rPr>
              <w:t>)</w:t>
            </w:r>
            <w:r>
              <w:rPr>
                <w:rFonts w:hint="eastAsia"/>
                <w:sz w:val="22"/>
              </w:rPr>
              <w:t>，</w:t>
            </w:r>
            <w:r>
              <w:rPr>
                <w:rFonts w:hint="eastAsia"/>
                <w:sz w:val="22"/>
              </w:rPr>
              <w:t>1999</w:t>
            </w:r>
            <w:r>
              <w:rPr>
                <w:rFonts w:hint="eastAsia"/>
                <w:sz w:val="22"/>
              </w:rPr>
              <w:t>年</w:t>
            </w:r>
          </w:p>
        </w:tc>
        <w:tc>
          <w:tcPr>
            <w:tcW w:w="2409" w:type="dxa"/>
          </w:tcPr>
          <w:p w:rsidR="00000000" w:rsidRDefault="00000000">
            <w:pPr>
              <w:spacing w:before="120"/>
              <w:ind w:right="884"/>
              <w:jc w:val="right"/>
              <w:rPr>
                <w:sz w:val="22"/>
              </w:rPr>
            </w:pPr>
            <w:r>
              <w:rPr>
                <w:sz w:val="22"/>
              </w:rPr>
              <w:t>67.8</w:t>
            </w:r>
          </w:p>
        </w:tc>
      </w:tr>
      <w:tr w:rsidR="00000000">
        <w:tblPrEx>
          <w:tblCellMar>
            <w:top w:w="0" w:type="dxa"/>
            <w:bottom w:w="0" w:type="dxa"/>
          </w:tblCellMar>
        </w:tblPrEx>
        <w:trPr>
          <w:jc w:val="center"/>
        </w:trPr>
        <w:tc>
          <w:tcPr>
            <w:tcW w:w="5387" w:type="dxa"/>
          </w:tcPr>
          <w:p w:rsidR="00000000" w:rsidRDefault="00000000">
            <w:pPr>
              <w:rPr>
                <w:sz w:val="22"/>
              </w:rPr>
            </w:pPr>
            <w:r>
              <w:rPr>
                <w:rFonts w:hint="eastAsia"/>
                <w:sz w:val="22"/>
              </w:rPr>
              <w:t>成人识字率</w:t>
            </w:r>
            <w:r>
              <w:rPr>
                <w:rFonts w:hint="eastAsia"/>
                <w:sz w:val="22"/>
              </w:rPr>
              <w:t>(</w:t>
            </w:r>
            <w:r>
              <w:rPr>
                <w:sz w:val="22"/>
              </w:rPr>
              <w:t>%</w:t>
            </w:r>
            <w:r>
              <w:rPr>
                <w:rFonts w:hint="eastAsia"/>
                <w:sz w:val="22"/>
              </w:rPr>
              <w:t>)</w:t>
            </w:r>
            <w:r>
              <w:rPr>
                <w:rFonts w:hint="eastAsia"/>
                <w:sz w:val="22"/>
              </w:rPr>
              <w:t>，</w:t>
            </w:r>
            <w:r>
              <w:rPr>
                <w:rFonts w:hint="eastAsia"/>
                <w:sz w:val="22"/>
              </w:rPr>
              <w:t>1998</w:t>
            </w:r>
            <w:r>
              <w:rPr>
                <w:rFonts w:hint="eastAsia"/>
                <w:sz w:val="22"/>
              </w:rPr>
              <w:t>年</w:t>
            </w:r>
          </w:p>
        </w:tc>
        <w:tc>
          <w:tcPr>
            <w:tcW w:w="2409" w:type="dxa"/>
          </w:tcPr>
          <w:p w:rsidR="00000000" w:rsidRDefault="00000000">
            <w:pPr>
              <w:ind w:right="884"/>
              <w:jc w:val="right"/>
              <w:rPr>
                <w:sz w:val="22"/>
              </w:rPr>
            </w:pPr>
            <w:r>
              <w:rPr>
                <w:sz w:val="22"/>
              </w:rPr>
              <w:t>96.4</w:t>
            </w:r>
          </w:p>
        </w:tc>
      </w:tr>
      <w:tr w:rsidR="00000000">
        <w:tblPrEx>
          <w:tblCellMar>
            <w:top w:w="0" w:type="dxa"/>
            <w:bottom w:w="0" w:type="dxa"/>
          </w:tblCellMar>
        </w:tblPrEx>
        <w:trPr>
          <w:jc w:val="center"/>
        </w:trPr>
        <w:tc>
          <w:tcPr>
            <w:tcW w:w="5387" w:type="dxa"/>
          </w:tcPr>
          <w:p w:rsidR="00000000" w:rsidRDefault="00000000">
            <w:pPr>
              <w:rPr>
                <w:rFonts w:hint="eastAsia"/>
                <w:sz w:val="22"/>
              </w:rPr>
            </w:pPr>
            <w:r>
              <w:rPr>
                <w:rFonts w:hint="eastAsia"/>
                <w:sz w:val="22"/>
              </w:rPr>
              <w:t>各级教育净入学率</w:t>
            </w:r>
            <w:r>
              <w:rPr>
                <w:rFonts w:hint="eastAsia"/>
                <w:sz w:val="22"/>
              </w:rPr>
              <w:t>(%)</w:t>
            </w:r>
            <w:r>
              <w:rPr>
                <w:rFonts w:hint="eastAsia"/>
                <w:sz w:val="22"/>
              </w:rPr>
              <w:t>，</w:t>
            </w:r>
            <w:r>
              <w:rPr>
                <w:sz w:val="22"/>
              </w:rPr>
              <w:t>1998</w:t>
            </w:r>
            <w:r>
              <w:rPr>
                <w:rFonts w:hint="eastAsia"/>
                <w:sz w:val="22"/>
              </w:rPr>
              <w:t>年</w:t>
            </w:r>
          </w:p>
        </w:tc>
        <w:tc>
          <w:tcPr>
            <w:tcW w:w="2409" w:type="dxa"/>
          </w:tcPr>
          <w:p w:rsidR="00000000" w:rsidRDefault="00000000">
            <w:pPr>
              <w:ind w:right="884"/>
              <w:jc w:val="right"/>
              <w:rPr>
                <w:sz w:val="22"/>
              </w:rPr>
            </w:pPr>
            <w:r>
              <w:rPr>
                <w:sz w:val="22"/>
              </w:rPr>
              <w:t>2,042</w:t>
            </w:r>
          </w:p>
        </w:tc>
      </w:tr>
      <w:tr w:rsidR="00000000">
        <w:tblPrEx>
          <w:tblCellMar>
            <w:top w:w="0" w:type="dxa"/>
            <w:bottom w:w="0" w:type="dxa"/>
          </w:tblCellMar>
        </w:tblPrEx>
        <w:trPr>
          <w:jc w:val="center"/>
        </w:trPr>
        <w:tc>
          <w:tcPr>
            <w:tcW w:w="5387" w:type="dxa"/>
          </w:tcPr>
          <w:p w:rsidR="00000000" w:rsidRDefault="00000000">
            <w:pPr>
              <w:rPr>
                <w:rFonts w:hint="eastAsia"/>
                <w:sz w:val="22"/>
              </w:rPr>
            </w:pPr>
            <w:r>
              <w:rPr>
                <w:rFonts w:hint="eastAsia"/>
                <w:sz w:val="22"/>
              </w:rPr>
              <w:t>教育指标，</w:t>
            </w:r>
            <w:r>
              <w:rPr>
                <w:sz w:val="22"/>
              </w:rPr>
              <w:t>1998</w:t>
            </w:r>
            <w:r>
              <w:rPr>
                <w:rFonts w:hint="eastAsia"/>
                <w:sz w:val="22"/>
              </w:rPr>
              <w:t>年</w:t>
            </w:r>
          </w:p>
        </w:tc>
        <w:tc>
          <w:tcPr>
            <w:tcW w:w="2409" w:type="dxa"/>
          </w:tcPr>
          <w:p w:rsidR="00000000" w:rsidRDefault="00000000">
            <w:pPr>
              <w:ind w:right="884"/>
              <w:jc w:val="right"/>
              <w:rPr>
                <w:sz w:val="22"/>
              </w:rPr>
            </w:pPr>
            <w:r>
              <w:rPr>
                <w:sz w:val="22"/>
              </w:rPr>
              <w:t>0.880</w:t>
            </w:r>
          </w:p>
        </w:tc>
      </w:tr>
      <w:tr w:rsidR="00000000">
        <w:tblPrEx>
          <w:tblCellMar>
            <w:top w:w="0" w:type="dxa"/>
            <w:bottom w:w="0" w:type="dxa"/>
          </w:tblCellMar>
        </w:tblPrEx>
        <w:trPr>
          <w:jc w:val="center"/>
        </w:trPr>
        <w:tc>
          <w:tcPr>
            <w:tcW w:w="5387" w:type="dxa"/>
          </w:tcPr>
          <w:p w:rsidR="00000000" w:rsidRDefault="00000000">
            <w:pPr>
              <w:rPr>
                <w:rFonts w:hint="eastAsia"/>
                <w:sz w:val="22"/>
              </w:rPr>
            </w:pPr>
            <w:r>
              <w:rPr>
                <w:rFonts w:hint="eastAsia"/>
                <w:sz w:val="22"/>
              </w:rPr>
              <w:t>国内总产值指标，</w:t>
            </w:r>
            <w:r>
              <w:rPr>
                <w:sz w:val="22"/>
              </w:rPr>
              <w:t>1998</w:t>
            </w:r>
            <w:r>
              <w:rPr>
                <w:rFonts w:hint="eastAsia"/>
                <w:sz w:val="22"/>
              </w:rPr>
              <w:t>年</w:t>
            </w:r>
          </w:p>
        </w:tc>
        <w:tc>
          <w:tcPr>
            <w:tcW w:w="2409" w:type="dxa"/>
          </w:tcPr>
          <w:p w:rsidR="00000000" w:rsidRDefault="00000000">
            <w:pPr>
              <w:ind w:right="884"/>
              <w:jc w:val="right"/>
              <w:rPr>
                <w:sz w:val="22"/>
              </w:rPr>
            </w:pPr>
            <w:r>
              <w:rPr>
                <w:sz w:val="22"/>
              </w:rPr>
              <w:t>0.507</w:t>
            </w:r>
          </w:p>
        </w:tc>
      </w:tr>
      <w:tr w:rsidR="00000000">
        <w:tblPrEx>
          <w:tblCellMar>
            <w:top w:w="0" w:type="dxa"/>
            <w:bottom w:w="0" w:type="dxa"/>
          </w:tblCellMar>
        </w:tblPrEx>
        <w:trPr>
          <w:jc w:val="center"/>
        </w:trPr>
        <w:tc>
          <w:tcPr>
            <w:tcW w:w="5387" w:type="dxa"/>
          </w:tcPr>
          <w:p w:rsidR="00000000" w:rsidRDefault="00000000">
            <w:pPr>
              <w:rPr>
                <w:rFonts w:hint="eastAsia"/>
                <w:sz w:val="22"/>
              </w:rPr>
            </w:pPr>
            <w:r>
              <w:rPr>
                <w:rFonts w:hint="eastAsia"/>
                <w:sz w:val="22"/>
              </w:rPr>
              <w:t>人类发展指数，</w:t>
            </w:r>
            <w:r>
              <w:rPr>
                <w:sz w:val="22"/>
              </w:rPr>
              <w:t>1998</w:t>
            </w:r>
            <w:r>
              <w:rPr>
                <w:rFonts w:hint="eastAsia"/>
                <w:sz w:val="22"/>
              </w:rPr>
              <w:t>年</w:t>
            </w:r>
          </w:p>
        </w:tc>
        <w:tc>
          <w:tcPr>
            <w:tcW w:w="2409" w:type="dxa"/>
          </w:tcPr>
          <w:p w:rsidR="00000000" w:rsidRDefault="00000000">
            <w:pPr>
              <w:ind w:right="884"/>
              <w:jc w:val="right"/>
              <w:rPr>
                <w:sz w:val="22"/>
              </w:rPr>
            </w:pPr>
            <w:r>
              <w:rPr>
                <w:sz w:val="22"/>
              </w:rPr>
              <w:t>0.698</w:t>
            </w:r>
          </w:p>
        </w:tc>
      </w:tr>
    </w:tbl>
    <w:p w:rsidR="00000000" w:rsidRDefault="00000000"/>
    <w:p w:rsidR="00000000" w:rsidRDefault="00000000">
      <w:pPr>
        <w:spacing w:before="120"/>
        <w:rPr>
          <w:rFonts w:hint="eastAsia"/>
        </w:rPr>
      </w:pPr>
      <w:r>
        <w:rPr>
          <w:rFonts w:hint="eastAsia"/>
        </w:rPr>
        <w:tab/>
      </w:r>
      <w:r>
        <w:t>4.</w:t>
      </w:r>
      <w:r>
        <w:rPr>
          <w:rFonts w:hint="eastAsia"/>
        </w:rPr>
        <w:t xml:space="preserve">  </w:t>
      </w:r>
      <w:r>
        <w:rPr>
          <w:rFonts w:hint="eastAsia"/>
        </w:rPr>
        <w:t>人类发展指标包括三个基本要素：寿命、受教育程度及生活水平。寿命按出生时预期寿命衡量。受教育程度按人口识字率</w:t>
      </w:r>
      <w:r>
        <w:rPr>
          <w:rFonts w:hint="eastAsia"/>
        </w:rPr>
        <w:t>(</w:t>
      </w:r>
      <w:r>
        <w:rPr>
          <w:rFonts w:hint="eastAsia"/>
        </w:rPr>
        <w:t>占三分之二份额</w:t>
      </w:r>
      <w:r>
        <w:rPr>
          <w:rFonts w:hint="eastAsia"/>
        </w:rPr>
        <w:t>)</w:t>
      </w:r>
      <w:r>
        <w:rPr>
          <w:rFonts w:hint="eastAsia"/>
        </w:rPr>
        <w:t>和各级教育净入学率</w:t>
      </w:r>
      <w:r>
        <w:rPr>
          <w:rFonts w:hint="eastAsia"/>
        </w:rPr>
        <w:t>(</w:t>
      </w:r>
      <w:r>
        <w:rPr>
          <w:rFonts w:hint="eastAsia"/>
        </w:rPr>
        <w:t>占三分之一份额</w:t>
      </w:r>
      <w:r>
        <w:t>)</w:t>
      </w:r>
      <w:r>
        <w:rPr>
          <w:rFonts w:hint="eastAsia"/>
        </w:rPr>
        <w:t>的综合算术平均值计算。按美元购买力平价计算的人均国内总产值，被作为衡量生活水平的标准。</w:t>
      </w:r>
    </w:p>
    <w:p w:rsidR="00000000" w:rsidRDefault="00000000">
      <w:pPr>
        <w:rPr>
          <w:rFonts w:hint="eastAsia"/>
        </w:rPr>
      </w:pPr>
      <w:r>
        <w:rPr>
          <w:rFonts w:hint="eastAsia"/>
        </w:rPr>
        <w:tab/>
      </w:r>
      <w:r>
        <w:t>5.</w:t>
      </w:r>
      <w:r>
        <w:rPr>
          <w:rFonts w:hint="eastAsia"/>
        </w:rPr>
        <w:t xml:space="preserve">  </w:t>
      </w:r>
      <w:r>
        <w:rPr>
          <w:rFonts w:hint="eastAsia"/>
        </w:rPr>
        <w:t>将表</w:t>
      </w:r>
      <w:r>
        <w:t>2</w:t>
      </w:r>
      <w:r>
        <w:rPr>
          <w:rFonts w:hint="eastAsia"/>
        </w:rPr>
        <w:t>各项与联合国开发计划署</w:t>
      </w:r>
      <w:r>
        <w:rPr>
          <w:rFonts w:hint="eastAsia"/>
        </w:rPr>
        <w:t>(</w:t>
      </w:r>
      <w:r>
        <w:rPr>
          <w:rFonts w:hint="eastAsia"/>
        </w:rPr>
        <w:t>开发署</w:t>
      </w:r>
      <w:r>
        <w:rPr>
          <w:rFonts w:hint="eastAsia"/>
        </w:rPr>
        <w:t>)</w:t>
      </w:r>
      <w:r>
        <w:rPr>
          <w:rFonts w:hint="eastAsia"/>
        </w:rPr>
        <w:t>确定的以下固定最大值和最小值相比较：出生时预期寿命最短</w:t>
      </w:r>
      <w:r>
        <w:t>2</w:t>
      </w:r>
      <w:r>
        <w:rPr>
          <w:rFonts w:hint="eastAsia"/>
        </w:rPr>
        <w:t>5</w:t>
      </w:r>
      <w:r>
        <w:rPr>
          <w:rFonts w:hint="eastAsia"/>
        </w:rPr>
        <w:t>岁，最长</w:t>
      </w:r>
      <w:r>
        <w:rPr>
          <w:rFonts w:hint="eastAsia"/>
        </w:rPr>
        <w:t>85</w:t>
      </w:r>
      <w:r>
        <w:rPr>
          <w:rFonts w:hint="eastAsia"/>
        </w:rPr>
        <w:t>岁；识字率最低</w:t>
      </w:r>
      <w:r>
        <w:t>0%</w:t>
      </w:r>
      <w:r>
        <w:rPr>
          <w:rFonts w:hint="eastAsia"/>
        </w:rPr>
        <w:t>，最高</w:t>
      </w:r>
      <w:r>
        <w:rPr>
          <w:rFonts w:hint="eastAsia"/>
        </w:rPr>
        <w:t>100%</w:t>
      </w:r>
      <w:r>
        <w:rPr>
          <w:rFonts w:hint="eastAsia"/>
        </w:rPr>
        <w:t>；各级教育净入学率最低</w:t>
      </w:r>
      <w:r>
        <w:t>0%</w:t>
      </w:r>
      <w:r>
        <w:rPr>
          <w:rFonts w:hint="eastAsia"/>
        </w:rPr>
        <w:t>，最高</w:t>
      </w:r>
      <w:r>
        <w:rPr>
          <w:rFonts w:hint="eastAsia"/>
        </w:rPr>
        <w:t>100%</w:t>
      </w:r>
      <w:r>
        <w:rPr>
          <w:rFonts w:hint="eastAsia"/>
        </w:rPr>
        <w:t>；人均国内总产值最低</w:t>
      </w:r>
      <w:r>
        <w:t>100</w:t>
      </w:r>
      <w:r>
        <w:rPr>
          <w:rFonts w:hint="eastAsia"/>
        </w:rPr>
        <w:t>美元，最高</w:t>
      </w:r>
      <w:r>
        <w:rPr>
          <w:rFonts w:hint="eastAsia"/>
        </w:rPr>
        <w:t>4</w:t>
      </w:r>
      <w:r>
        <w:rPr>
          <w:rFonts w:hint="eastAsia"/>
        </w:rPr>
        <w:t>万美元。就头三项而言，最大值和最小值之差得出的指数如下：</w:t>
      </w:r>
    </w:p>
    <w:p w:rsidR="00000000" w:rsidRDefault="00000000">
      <w:pPr>
        <w:ind w:left="1040"/>
      </w:pPr>
      <w:r>
        <w:tab/>
      </w:r>
      <w:r>
        <w:rPr>
          <w:rFonts w:hint="eastAsia"/>
        </w:rPr>
        <w:t>出生时预期寿命：</w:t>
      </w:r>
      <w:r>
        <w:t>(67.4-25)/(85-25)=0.707</w:t>
      </w:r>
    </w:p>
    <w:p w:rsidR="00000000" w:rsidRDefault="00000000">
      <w:pPr>
        <w:ind w:left="1040"/>
      </w:pPr>
      <w:r>
        <w:tab/>
      </w:r>
      <w:r>
        <w:rPr>
          <w:rFonts w:hint="eastAsia"/>
        </w:rPr>
        <w:t>识字率：</w:t>
      </w:r>
      <w:r>
        <w:t>(96.4-0.0</w:t>
      </w:r>
      <w:r>
        <w:rPr>
          <w:rFonts w:hint="eastAsia"/>
        </w:rPr>
        <w:t>)</w:t>
      </w:r>
      <w:r>
        <w:t>/(</w:t>
      </w:r>
      <w:r>
        <w:rPr>
          <w:rFonts w:hint="eastAsia"/>
        </w:rPr>
        <w:t>100.0-0.0</w:t>
      </w:r>
      <w:r>
        <w:t>)</w:t>
      </w:r>
      <w:r>
        <w:rPr>
          <w:rFonts w:hint="eastAsia"/>
        </w:rPr>
        <w:t>=</w:t>
      </w:r>
      <w:r>
        <w:t>0.964</w:t>
      </w:r>
    </w:p>
    <w:p w:rsidR="00000000" w:rsidRDefault="00000000">
      <w:pPr>
        <w:ind w:left="1040"/>
      </w:pPr>
      <w:r>
        <w:tab/>
      </w:r>
      <w:r>
        <w:t>各级教育净入学率：</w:t>
      </w:r>
      <w:r>
        <w:t>(71.2-0.0)/(100.0-0.0)=0.712</w:t>
      </w:r>
    </w:p>
    <w:p w:rsidR="00000000" w:rsidRDefault="00000000">
      <w:pPr>
        <w:ind w:left="1040"/>
      </w:pPr>
      <w:r>
        <w:tab/>
      </w:r>
      <w:r>
        <w:t>依据上面两个指数计算出的受教育程度：</w:t>
      </w:r>
    </w:p>
    <w:p w:rsidR="00000000" w:rsidRDefault="00000000">
      <w:pPr>
        <w:ind w:left="1040"/>
      </w:pPr>
      <w:r>
        <w:tab/>
      </w:r>
      <w:r>
        <w:tab/>
        <w:t>(2x0.964+0.712)/3=0.880</w:t>
      </w:r>
    </w:p>
    <w:p w:rsidR="00000000" w:rsidRDefault="00000000">
      <w:pPr>
        <w:ind w:left="1040"/>
      </w:pPr>
      <w:r>
        <w:tab/>
      </w:r>
      <w:r>
        <w:t>人均国内总产值：</w:t>
      </w:r>
      <w:r>
        <w:t>(log2033-log100)/(log40000-log100)=0.507</w:t>
      </w:r>
    </w:p>
    <w:p w:rsidR="00000000" w:rsidRDefault="00000000">
      <w:pPr>
        <w:spacing w:after="320"/>
        <w:ind w:left="1040"/>
      </w:pPr>
      <w:r>
        <w:tab/>
      </w:r>
      <w:r>
        <w:t>人类发展指数按给定同等份额的三个基本要素的平均数计算：</w:t>
      </w:r>
      <w:r>
        <w:t>(0.707+0.880+0.507</w:t>
      </w:r>
      <w:r>
        <w:rPr>
          <w:rFonts w:hint="eastAsia"/>
        </w:rPr>
        <w:t>)</w:t>
      </w:r>
      <w:r>
        <w:t>/3=0.698</w:t>
      </w:r>
      <w:r>
        <w:t>。</w:t>
      </w:r>
    </w:p>
    <w:p w:rsidR="00000000" w:rsidRDefault="00000000">
      <w:pPr>
        <w:pStyle w:val="Heading3"/>
        <w:spacing w:after="160"/>
        <w:rPr>
          <w:rFonts w:hint="eastAsia"/>
          <w:sz w:val="22"/>
        </w:rPr>
      </w:pPr>
      <w:r>
        <w:rPr>
          <w:rFonts w:hint="eastAsia"/>
          <w:sz w:val="22"/>
          <w:u w:val="none"/>
        </w:rPr>
        <w:t>表</w:t>
      </w:r>
      <w:r>
        <w:rPr>
          <w:rFonts w:hint="eastAsia"/>
          <w:sz w:val="22"/>
          <w:u w:val="none"/>
        </w:rPr>
        <w:t xml:space="preserve"> 3.  </w:t>
      </w:r>
      <w:r>
        <w:rPr>
          <w:rFonts w:hint="eastAsia"/>
          <w:sz w:val="22"/>
        </w:rPr>
        <w:t>人类发展概况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5"/>
        <w:gridCol w:w="751"/>
        <w:gridCol w:w="854"/>
        <w:gridCol w:w="910"/>
        <w:gridCol w:w="980"/>
        <w:gridCol w:w="882"/>
        <w:gridCol w:w="846"/>
        <w:gridCol w:w="780"/>
        <w:gridCol w:w="780"/>
        <w:gridCol w:w="910"/>
        <w:gridCol w:w="862"/>
      </w:tblGrid>
      <w:tr w:rsidR="00000000">
        <w:tblPrEx>
          <w:tblCellMar>
            <w:top w:w="0" w:type="dxa"/>
            <w:bottom w:w="0" w:type="dxa"/>
          </w:tblCellMar>
        </w:tblPrEx>
        <w:trPr>
          <w:cantSplit/>
        </w:trPr>
        <w:tc>
          <w:tcPr>
            <w:tcW w:w="855" w:type="dxa"/>
            <w:vMerge w:val="restart"/>
          </w:tcPr>
          <w:p w:rsidR="00000000" w:rsidRDefault="00000000">
            <w:pPr>
              <w:spacing w:before="120" w:line="264" w:lineRule="auto"/>
              <w:jc w:val="center"/>
              <w:rPr>
                <w:rFonts w:hint="eastAsia"/>
                <w:sz w:val="18"/>
              </w:rPr>
            </w:pPr>
            <w:r>
              <w:rPr>
                <w:rFonts w:hint="eastAsia"/>
                <w:spacing w:val="0"/>
                <w:sz w:val="18"/>
              </w:rPr>
              <w:t>出生时</w:t>
            </w:r>
            <w:r>
              <w:rPr>
                <w:spacing w:val="0"/>
                <w:sz w:val="18"/>
              </w:rPr>
              <w:br/>
            </w:r>
            <w:r>
              <w:rPr>
                <w:rFonts w:hint="eastAsia"/>
                <w:spacing w:val="0"/>
                <w:sz w:val="18"/>
              </w:rPr>
              <w:t>预期寿命</w:t>
            </w:r>
            <w:r>
              <w:rPr>
                <w:sz w:val="18"/>
              </w:rPr>
              <w:br/>
            </w:r>
            <w:r>
              <w:rPr>
                <w:rFonts w:hint="eastAsia"/>
                <w:sz w:val="18"/>
              </w:rPr>
              <w:t>1999</w:t>
            </w:r>
            <w:r>
              <w:rPr>
                <w:rFonts w:hint="eastAsia"/>
                <w:sz w:val="18"/>
              </w:rPr>
              <w:t>年</w:t>
            </w:r>
          </w:p>
        </w:tc>
        <w:tc>
          <w:tcPr>
            <w:tcW w:w="2515" w:type="dxa"/>
            <w:gridSpan w:val="3"/>
          </w:tcPr>
          <w:p w:rsidR="00000000" w:rsidRDefault="00000000">
            <w:pPr>
              <w:spacing w:before="120" w:line="264" w:lineRule="auto"/>
              <w:jc w:val="center"/>
              <w:rPr>
                <w:rFonts w:hint="eastAsia"/>
                <w:sz w:val="18"/>
              </w:rPr>
            </w:pPr>
            <w:r>
              <w:rPr>
                <w:rFonts w:hint="eastAsia"/>
                <w:sz w:val="18"/>
              </w:rPr>
              <w:t>能获得以下服务的人口：</w:t>
            </w:r>
          </w:p>
        </w:tc>
        <w:tc>
          <w:tcPr>
            <w:tcW w:w="980" w:type="dxa"/>
            <w:vMerge w:val="restart"/>
          </w:tcPr>
          <w:p w:rsidR="00000000" w:rsidRDefault="00000000">
            <w:pPr>
              <w:spacing w:before="120" w:line="264" w:lineRule="auto"/>
              <w:jc w:val="center"/>
              <w:rPr>
                <w:rFonts w:hint="eastAsia"/>
                <w:sz w:val="18"/>
              </w:rPr>
            </w:pPr>
            <w:r>
              <w:rPr>
                <w:rFonts w:hint="eastAsia"/>
                <w:sz w:val="18"/>
              </w:rPr>
              <w:t>人均每</w:t>
            </w:r>
            <w:r>
              <w:rPr>
                <w:sz w:val="18"/>
              </w:rPr>
              <w:br/>
            </w:r>
            <w:r>
              <w:rPr>
                <w:rFonts w:hint="eastAsia"/>
                <w:sz w:val="18"/>
              </w:rPr>
              <w:t>日热量</w:t>
            </w:r>
            <w:r>
              <w:rPr>
                <w:sz w:val="18"/>
              </w:rPr>
              <w:br/>
            </w:r>
            <w:r>
              <w:rPr>
                <w:rFonts w:hint="eastAsia"/>
                <w:sz w:val="18"/>
              </w:rPr>
              <w:t>消耗</w:t>
            </w:r>
            <w:r>
              <w:rPr>
                <w:sz w:val="18"/>
              </w:rPr>
              <w:br/>
            </w:r>
            <w:r>
              <w:rPr>
                <w:rFonts w:hint="eastAsia"/>
                <w:sz w:val="18"/>
              </w:rPr>
              <w:t>1998</w:t>
            </w:r>
            <w:r>
              <w:rPr>
                <w:rFonts w:hint="eastAsia"/>
                <w:sz w:val="18"/>
              </w:rPr>
              <w:t>年</w:t>
            </w:r>
          </w:p>
        </w:tc>
        <w:tc>
          <w:tcPr>
            <w:tcW w:w="882" w:type="dxa"/>
            <w:vMerge w:val="restart"/>
          </w:tcPr>
          <w:p w:rsidR="00000000" w:rsidRDefault="00000000">
            <w:pPr>
              <w:spacing w:before="120" w:line="264" w:lineRule="auto"/>
              <w:jc w:val="center"/>
              <w:rPr>
                <w:rFonts w:hint="eastAsia"/>
                <w:sz w:val="18"/>
              </w:rPr>
            </w:pPr>
            <w:r>
              <w:rPr>
                <w:rFonts w:hint="eastAsia"/>
                <w:sz w:val="18"/>
              </w:rPr>
              <w:t>成人识</w:t>
            </w:r>
            <w:r>
              <w:rPr>
                <w:sz w:val="18"/>
              </w:rPr>
              <w:br/>
            </w:r>
            <w:r>
              <w:rPr>
                <w:rFonts w:hint="eastAsia"/>
                <w:sz w:val="18"/>
              </w:rPr>
              <w:t>字率</w:t>
            </w:r>
            <w:r>
              <w:rPr>
                <w:sz w:val="18"/>
              </w:rPr>
              <w:br/>
            </w:r>
            <w:r>
              <w:rPr>
                <w:rFonts w:hint="eastAsia"/>
                <w:sz w:val="18"/>
              </w:rPr>
              <w:t>(%)</w:t>
            </w:r>
            <w:r>
              <w:rPr>
                <w:sz w:val="18"/>
              </w:rPr>
              <w:br/>
            </w:r>
            <w:r>
              <w:rPr>
                <w:rFonts w:hint="eastAsia"/>
                <w:sz w:val="18"/>
              </w:rPr>
              <w:t>1989</w:t>
            </w:r>
            <w:r>
              <w:rPr>
                <w:rFonts w:hint="eastAsia"/>
                <w:sz w:val="18"/>
              </w:rPr>
              <w:t>年</w:t>
            </w:r>
          </w:p>
        </w:tc>
        <w:tc>
          <w:tcPr>
            <w:tcW w:w="846" w:type="dxa"/>
            <w:vMerge w:val="restart"/>
          </w:tcPr>
          <w:p w:rsidR="00000000" w:rsidRDefault="00000000">
            <w:pPr>
              <w:spacing w:before="120" w:line="264" w:lineRule="auto"/>
              <w:jc w:val="center"/>
              <w:rPr>
                <w:rFonts w:hint="eastAsia"/>
                <w:sz w:val="18"/>
              </w:rPr>
            </w:pPr>
            <w:r>
              <w:rPr>
                <w:rFonts w:hint="eastAsia"/>
                <w:spacing w:val="0"/>
                <w:sz w:val="18"/>
              </w:rPr>
              <w:t>各级教育</w:t>
            </w:r>
            <w:r>
              <w:rPr>
                <w:spacing w:val="0"/>
                <w:sz w:val="18"/>
              </w:rPr>
              <w:br/>
            </w:r>
            <w:r>
              <w:rPr>
                <w:rFonts w:hint="eastAsia"/>
                <w:spacing w:val="0"/>
                <w:sz w:val="18"/>
              </w:rPr>
              <w:t>总入学率</w:t>
            </w:r>
            <w:r>
              <w:rPr>
                <w:spacing w:val="0"/>
                <w:sz w:val="18"/>
              </w:rPr>
              <w:br/>
            </w:r>
            <w:r>
              <w:rPr>
                <w:rFonts w:hint="eastAsia"/>
                <w:spacing w:val="0"/>
                <w:sz w:val="18"/>
              </w:rPr>
              <w:t>(%)</w:t>
            </w:r>
            <w:r>
              <w:rPr>
                <w:spacing w:val="0"/>
                <w:sz w:val="18"/>
              </w:rPr>
              <w:br/>
            </w:r>
            <w:r>
              <w:rPr>
                <w:rFonts w:hint="eastAsia"/>
                <w:sz w:val="18"/>
              </w:rPr>
              <w:t>1998</w:t>
            </w:r>
            <w:r>
              <w:rPr>
                <w:rFonts w:hint="eastAsia"/>
                <w:sz w:val="18"/>
              </w:rPr>
              <w:t>年</w:t>
            </w:r>
          </w:p>
        </w:tc>
        <w:tc>
          <w:tcPr>
            <w:tcW w:w="780" w:type="dxa"/>
            <w:vMerge w:val="restart"/>
          </w:tcPr>
          <w:p w:rsidR="00000000" w:rsidRDefault="00000000">
            <w:pPr>
              <w:spacing w:before="120" w:line="264" w:lineRule="auto"/>
              <w:jc w:val="center"/>
              <w:rPr>
                <w:rFonts w:hint="eastAsia"/>
                <w:sz w:val="18"/>
              </w:rPr>
            </w:pPr>
            <w:r>
              <w:rPr>
                <w:rFonts w:hint="eastAsia"/>
                <w:sz w:val="18"/>
              </w:rPr>
              <w:t>期刊</w:t>
            </w:r>
            <w:r>
              <w:rPr>
                <w:rFonts w:hint="eastAsia"/>
                <w:sz w:val="18"/>
              </w:rPr>
              <w:t>(</w:t>
            </w:r>
            <w:r>
              <w:rPr>
                <w:rFonts w:hint="eastAsia"/>
                <w:sz w:val="18"/>
              </w:rPr>
              <w:t>人</w:t>
            </w:r>
            <w:r>
              <w:rPr>
                <w:sz w:val="18"/>
              </w:rPr>
              <w:br/>
            </w:r>
            <w:r>
              <w:rPr>
                <w:rFonts w:hint="eastAsia"/>
                <w:sz w:val="18"/>
              </w:rPr>
              <w:t>均份数</w:t>
            </w:r>
            <w:r>
              <w:rPr>
                <w:rFonts w:hint="eastAsia"/>
                <w:sz w:val="18"/>
              </w:rPr>
              <w:t>)</w:t>
            </w:r>
            <w:r>
              <w:rPr>
                <w:sz w:val="18"/>
              </w:rPr>
              <w:br/>
            </w:r>
            <w:r>
              <w:rPr>
                <w:rFonts w:hint="eastAsia"/>
                <w:sz w:val="18"/>
              </w:rPr>
              <w:t>1998</w:t>
            </w:r>
            <w:r>
              <w:rPr>
                <w:rFonts w:hint="eastAsia"/>
                <w:sz w:val="18"/>
              </w:rPr>
              <w:t>年</w:t>
            </w:r>
          </w:p>
        </w:tc>
        <w:tc>
          <w:tcPr>
            <w:tcW w:w="780" w:type="dxa"/>
            <w:vMerge w:val="restart"/>
          </w:tcPr>
          <w:p w:rsidR="00000000" w:rsidRDefault="00000000">
            <w:pPr>
              <w:spacing w:before="120" w:after="40" w:line="240" w:lineRule="auto"/>
              <w:jc w:val="center"/>
              <w:rPr>
                <w:rFonts w:hint="eastAsia"/>
                <w:sz w:val="18"/>
              </w:rPr>
            </w:pPr>
            <w:r>
              <w:rPr>
                <w:rFonts w:hint="eastAsia"/>
                <w:sz w:val="18"/>
              </w:rPr>
              <w:t>电视机</w:t>
            </w:r>
            <w:r>
              <w:rPr>
                <w:sz w:val="18"/>
              </w:rPr>
              <w:br/>
            </w:r>
            <w:r>
              <w:rPr>
                <w:rFonts w:hint="eastAsia"/>
                <w:sz w:val="18"/>
              </w:rPr>
              <w:t>(</w:t>
            </w:r>
            <w:r>
              <w:rPr>
                <w:rFonts w:hint="eastAsia"/>
                <w:sz w:val="18"/>
              </w:rPr>
              <w:t>每百人</w:t>
            </w:r>
            <w:r>
              <w:rPr>
                <w:sz w:val="18"/>
              </w:rPr>
              <w:br/>
            </w:r>
            <w:r>
              <w:rPr>
                <w:rFonts w:hint="eastAsia"/>
                <w:sz w:val="18"/>
              </w:rPr>
              <w:t>台数</w:t>
            </w:r>
            <w:r>
              <w:rPr>
                <w:rFonts w:hint="eastAsia"/>
                <w:sz w:val="18"/>
              </w:rPr>
              <w:t>)</w:t>
            </w:r>
            <w:r>
              <w:rPr>
                <w:sz w:val="18"/>
              </w:rPr>
              <w:br/>
            </w:r>
            <w:r>
              <w:rPr>
                <w:rFonts w:hint="eastAsia"/>
                <w:sz w:val="18"/>
              </w:rPr>
              <w:t>1998</w:t>
            </w:r>
            <w:r>
              <w:rPr>
                <w:rFonts w:hint="eastAsia"/>
                <w:sz w:val="18"/>
              </w:rPr>
              <w:t>年</w:t>
            </w:r>
          </w:p>
        </w:tc>
        <w:tc>
          <w:tcPr>
            <w:tcW w:w="910" w:type="dxa"/>
            <w:vMerge w:val="restart"/>
          </w:tcPr>
          <w:p w:rsidR="00000000" w:rsidRDefault="00000000">
            <w:pPr>
              <w:spacing w:before="120" w:after="40" w:line="240" w:lineRule="auto"/>
              <w:jc w:val="center"/>
              <w:rPr>
                <w:rFonts w:hint="eastAsia"/>
                <w:sz w:val="18"/>
              </w:rPr>
            </w:pPr>
            <w:r>
              <w:rPr>
                <w:rFonts w:hint="eastAsia"/>
                <w:spacing w:val="0"/>
                <w:sz w:val="18"/>
              </w:rPr>
              <w:t>人均国内</w:t>
            </w:r>
            <w:r>
              <w:rPr>
                <w:spacing w:val="0"/>
                <w:sz w:val="18"/>
              </w:rPr>
              <w:br/>
            </w:r>
            <w:r>
              <w:rPr>
                <w:rFonts w:hint="eastAsia"/>
                <w:spacing w:val="0"/>
                <w:sz w:val="18"/>
              </w:rPr>
              <w:t>总产值</w:t>
            </w:r>
            <w:r>
              <w:rPr>
                <w:spacing w:val="0"/>
                <w:sz w:val="18"/>
              </w:rPr>
              <w:br/>
            </w:r>
            <w:r>
              <w:rPr>
                <w:rFonts w:hint="eastAsia"/>
                <w:spacing w:val="0"/>
                <w:sz w:val="18"/>
              </w:rPr>
              <w:t>(</w:t>
            </w:r>
            <w:r>
              <w:rPr>
                <w:rFonts w:hint="eastAsia"/>
                <w:spacing w:val="0"/>
                <w:sz w:val="18"/>
              </w:rPr>
              <w:t>美元购</w:t>
            </w:r>
            <w:r>
              <w:rPr>
                <w:spacing w:val="0"/>
                <w:sz w:val="18"/>
              </w:rPr>
              <w:br/>
            </w:r>
            <w:r>
              <w:rPr>
                <w:rFonts w:hint="eastAsia"/>
                <w:spacing w:val="0"/>
                <w:sz w:val="18"/>
              </w:rPr>
              <w:t>买力平价</w:t>
            </w:r>
            <w:r>
              <w:rPr>
                <w:rFonts w:hint="eastAsia"/>
                <w:spacing w:val="0"/>
                <w:sz w:val="18"/>
              </w:rPr>
              <w:t>)</w:t>
            </w:r>
            <w:r>
              <w:rPr>
                <w:sz w:val="18"/>
              </w:rPr>
              <w:br/>
            </w:r>
            <w:r>
              <w:rPr>
                <w:rFonts w:hint="eastAsia"/>
                <w:sz w:val="18"/>
              </w:rPr>
              <w:t>1998</w:t>
            </w:r>
            <w:r>
              <w:rPr>
                <w:rFonts w:hint="eastAsia"/>
                <w:sz w:val="18"/>
              </w:rPr>
              <w:t>年</w:t>
            </w:r>
          </w:p>
        </w:tc>
        <w:tc>
          <w:tcPr>
            <w:tcW w:w="862" w:type="dxa"/>
            <w:vMerge w:val="restart"/>
          </w:tcPr>
          <w:p w:rsidR="00000000" w:rsidRDefault="00000000">
            <w:pPr>
              <w:spacing w:before="120" w:after="40" w:line="240" w:lineRule="auto"/>
              <w:jc w:val="center"/>
              <w:rPr>
                <w:rFonts w:hint="eastAsia"/>
                <w:sz w:val="18"/>
              </w:rPr>
            </w:pPr>
            <w:r>
              <w:rPr>
                <w:rFonts w:hint="eastAsia"/>
                <w:sz w:val="18"/>
              </w:rPr>
              <w:t>人均国</w:t>
            </w:r>
            <w:r>
              <w:rPr>
                <w:sz w:val="18"/>
              </w:rPr>
              <w:br/>
            </w:r>
            <w:r>
              <w:rPr>
                <w:rFonts w:hint="eastAsia"/>
                <w:sz w:val="18"/>
              </w:rPr>
              <w:t>内总产</w:t>
            </w:r>
            <w:r>
              <w:rPr>
                <w:sz w:val="18"/>
              </w:rPr>
              <w:br/>
            </w:r>
            <w:r>
              <w:rPr>
                <w:rFonts w:hint="eastAsia"/>
                <w:spacing w:val="0"/>
                <w:sz w:val="18"/>
              </w:rPr>
              <w:t>值</w:t>
            </w:r>
            <w:r>
              <w:rPr>
                <w:rFonts w:hint="eastAsia"/>
                <w:spacing w:val="0"/>
                <w:sz w:val="18"/>
              </w:rPr>
              <w:t>(</w:t>
            </w:r>
            <w:r>
              <w:rPr>
                <w:rFonts w:hint="eastAsia"/>
                <w:spacing w:val="0"/>
                <w:sz w:val="18"/>
              </w:rPr>
              <w:t>美元</w:t>
            </w:r>
            <w:r>
              <w:rPr>
                <w:rFonts w:hint="eastAsia"/>
                <w:spacing w:val="0"/>
                <w:sz w:val="18"/>
              </w:rPr>
              <w:t>)</w:t>
            </w:r>
            <w:r>
              <w:rPr>
                <w:sz w:val="18"/>
              </w:rPr>
              <w:br/>
            </w:r>
            <w:r>
              <w:rPr>
                <w:rFonts w:hint="eastAsia"/>
                <w:sz w:val="18"/>
              </w:rPr>
              <w:t>1998</w:t>
            </w:r>
            <w:r>
              <w:rPr>
                <w:rFonts w:hint="eastAsia"/>
                <w:sz w:val="18"/>
              </w:rPr>
              <w:t>年</w:t>
            </w:r>
          </w:p>
        </w:tc>
      </w:tr>
      <w:tr w:rsidR="00000000">
        <w:tblPrEx>
          <w:tblCellMar>
            <w:top w:w="0" w:type="dxa"/>
            <w:bottom w:w="0" w:type="dxa"/>
          </w:tblCellMar>
        </w:tblPrEx>
        <w:trPr>
          <w:cantSplit/>
        </w:trPr>
        <w:tc>
          <w:tcPr>
            <w:tcW w:w="855" w:type="dxa"/>
            <w:vMerge/>
          </w:tcPr>
          <w:p w:rsidR="00000000" w:rsidRDefault="00000000">
            <w:pPr>
              <w:rPr>
                <w:sz w:val="17"/>
              </w:rPr>
            </w:pPr>
          </w:p>
        </w:tc>
        <w:tc>
          <w:tcPr>
            <w:tcW w:w="751" w:type="dxa"/>
          </w:tcPr>
          <w:p w:rsidR="00000000" w:rsidRDefault="00000000">
            <w:pPr>
              <w:spacing w:before="60" w:line="264" w:lineRule="auto"/>
              <w:jc w:val="center"/>
              <w:rPr>
                <w:sz w:val="18"/>
              </w:rPr>
            </w:pPr>
            <w:r>
              <w:rPr>
                <w:rFonts w:hint="eastAsia"/>
                <w:sz w:val="18"/>
              </w:rPr>
              <w:t>医疗</w:t>
            </w:r>
            <w:r>
              <w:rPr>
                <w:sz w:val="18"/>
              </w:rPr>
              <w:br/>
              <w:t>(%)</w:t>
            </w:r>
          </w:p>
          <w:p w:rsidR="00000000" w:rsidRDefault="00000000">
            <w:pPr>
              <w:spacing w:before="60" w:line="264" w:lineRule="auto"/>
              <w:jc w:val="center"/>
              <w:rPr>
                <w:rFonts w:hint="eastAsia"/>
                <w:sz w:val="18"/>
              </w:rPr>
            </w:pPr>
            <w:r>
              <w:rPr>
                <w:rFonts w:hint="eastAsia"/>
                <w:sz w:val="18"/>
              </w:rPr>
              <w:t>1999</w:t>
            </w:r>
            <w:r>
              <w:rPr>
                <w:rFonts w:hint="eastAsia"/>
                <w:sz w:val="18"/>
              </w:rPr>
              <w:t>年</w:t>
            </w:r>
          </w:p>
        </w:tc>
        <w:tc>
          <w:tcPr>
            <w:tcW w:w="854" w:type="dxa"/>
          </w:tcPr>
          <w:p w:rsidR="00000000" w:rsidRDefault="00000000">
            <w:pPr>
              <w:spacing w:before="60" w:line="264" w:lineRule="auto"/>
              <w:jc w:val="center"/>
              <w:rPr>
                <w:rFonts w:hint="eastAsia"/>
                <w:sz w:val="18"/>
              </w:rPr>
            </w:pPr>
            <w:r>
              <w:rPr>
                <w:rFonts w:hint="eastAsia"/>
                <w:sz w:val="18"/>
              </w:rPr>
              <w:t>清洁饮</w:t>
            </w:r>
            <w:r>
              <w:rPr>
                <w:sz w:val="18"/>
              </w:rPr>
              <w:br/>
            </w:r>
            <w:r>
              <w:rPr>
                <w:rFonts w:hint="eastAsia"/>
                <w:sz w:val="18"/>
              </w:rPr>
              <w:t>用水</w:t>
            </w:r>
            <w:r>
              <w:rPr>
                <w:sz w:val="18"/>
              </w:rPr>
              <w:br/>
              <w:t>(%)</w:t>
            </w:r>
            <w:r>
              <w:rPr>
                <w:sz w:val="18"/>
              </w:rPr>
              <w:br/>
            </w:r>
            <w:r>
              <w:rPr>
                <w:rFonts w:hint="eastAsia"/>
                <w:sz w:val="18"/>
              </w:rPr>
              <w:t>1998</w:t>
            </w:r>
            <w:r>
              <w:rPr>
                <w:rFonts w:hint="eastAsia"/>
                <w:sz w:val="18"/>
              </w:rPr>
              <w:t>年</w:t>
            </w:r>
          </w:p>
        </w:tc>
        <w:tc>
          <w:tcPr>
            <w:tcW w:w="910" w:type="dxa"/>
          </w:tcPr>
          <w:p w:rsidR="00000000" w:rsidRDefault="00000000">
            <w:pPr>
              <w:spacing w:before="60" w:line="264" w:lineRule="auto"/>
              <w:jc w:val="center"/>
              <w:rPr>
                <w:rFonts w:hint="eastAsia"/>
                <w:sz w:val="18"/>
              </w:rPr>
            </w:pPr>
            <w:r>
              <w:rPr>
                <w:rFonts w:hint="eastAsia"/>
                <w:sz w:val="18"/>
              </w:rPr>
              <w:t>卫生</w:t>
            </w:r>
            <w:r>
              <w:rPr>
                <w:sz w:val="18"/>
              </w:rPr>
              <w:br/>
            </w:r>
            <w:r>
              <w:rPr>
                <w:rFonts w:hint="eastAsia"/>
                <w:sz w:val="18"/>
              </w:rPr>
              <w:t>设施</w:t>
            </w:r>
            <w:r>
              <w:rPr>
                <w:rFonts w:hint="eastAsia"/>
                <w:sz w:val="18"/>
              </w:rPr>
              <w:t>*</w:t>
            </w:r>
            <w:r>
              <w:rPr>
                <w:sz w:val="18"/>
              </w:rPr>
              <w:br/>
              <w:t>(%)</w:t>
            </w:r>
            <w:r>
              <w:rPr>
                <w:sz w:val="18"/>
              </w:rPr>
              <w:br/>
              <w:t>1998</w:t>
            </w:r>
            <w:r>
              <w:rPr>
                <w:rFonts w:hint="eastAsia"/>
                <w:sz w:val="18"/>
              </w:rPr>
              <w:t>年</w:t>
            </w:r>
          </w:p>
        </w:tc>
        <w:tc>
          <w:tcPr>
            <w:tcW w:w="980" w:type="dxa"/>
            <w:vMerge/>
          </w:tcPr>
          <w:p w:rsidR="00000000" w:rsidRDefault="00000000">
            <w:pPr>
              <w:rPr>
                <w:sz w:val="17"/>
              </w:rPr>
            </w:pPr>
          </w:p>
        </w:tc>
        <w:tc>
          <w:tcPr>
            <w:tcW w:w="882" w:type="dxa"/>
            <w:vMerge/>
          </w:tcPr>
          <w:p w:rsidR="00000000" w:rsidRDefault="00000000">
            <w:pPr>
              <w:rPr>
                <w:sz w:val="17"/>
              </w:rPr>
            </w:pPr>
          </w:p>
        </w:tc>
        <w:tc>
          <w:tcPr>
            <w:tcW w:w="846" w:type="dxa"/>
            <w:vMerge/>
          </w:tcPr>
          <w:p w:rsidR="00000000" w:rsidRDefault="00000000">
            <w:pPr>
              <w:rPr>
                <w:sz w:val="17"/>
              </w:rPr>
            </w:pPr>
          </w:p>
        </w:tc>
        <w:tc>
          <w:tcPr>
            <w:tcW w:w="780" w:type="dxa"/>
            <w:vMerge/>
          </w:tcPr>
          <w:p w:rsidR="00000000" w:rsidRDefault="00000000">
            <w:pPr>
              <w:rPr>
                <w:sz w:val="17"/>
              </w:rPr>
            </w:pPr>
          </w:p>
        </w:tc>
        <w:tc>
          <w:tcPr>
            <w:tcW w:w="780" w:type="dxa"/>
            <w:vMerge/>
          </w:tcPr>
          <w:p w:rsidR="00000000" w:rsidRDefault="00000000">
            <w:pPr>
              <w:rPr>
                <w:sz w:val="17"/>
              </w:rPr>
            </w:pPr>
          </w:p>
        </w:tc>
        <w:tc>
          <w:tcPr>
            <w:tcW w:w="910" w:type="dxa"/>
            <w:vMerge/>
          </w:tcPr>
          <w:p w:rsidR="00000000" w:rsidRDefault="00000000">
            <w:pPr>
              <w:rPr>
                <w:sz w:val="17"/>
              </w:rPr>
            </w:pPr>
          </w:p>
        </w:tc>
        <w:tc>
          <w:tcPr>
            <w:tcW w:w="862" w:type="dxa"/>
            <w:vMerge/>
          </w:tcPr>
          <w:p w:rsidR="00000000" w:rsidRDefault="00000000">
            <w:pPr>
              <w:rPr>
                <w:sz w:val="17"/>
              </w:rPr>
            </w:pPr>
          </w:p>
        </w:tc>
      </w:tr>
      <w:tr w:rsidR="00000000">
        <w:tblPrEx>
          <w:tblCellMar>
            <w:top w:w="0" w:type="dxa"/>
            <w:bottom w:w="0" w:type="dxa"/>
          </w:tblCellMar>
        </w:tblPrEx>
        <w:tc>
          <w:tcPr>
            <w:tcW w:w="855" w:type="dxa"/>
          </w:tcPr>
          <w:p w:rsidR="00000000" w:rsidRDefault="00000000">
            <w:pPr>
              <w:spacing w:before="160" w:after="60"/>
              <w:ind w:left="-57" w:right="-57"/>
              <w:jc w:val="center"/>
              <w:rPr>
                <w:sz w:val="18"/>
              </w:rPr>
            </w:pPr>
            <w:r>
              <w:rPr>
                <w:sz w:val="18"/>
              </w:rPr>
              <w:t>67.4</w:t>
            </w:r>
          </w:p>
        </w:tc>
        <w:tc>
          <w:tcPr>
            <w:tcW w:w="751" w:type="dxa"/>
          </w:tcPr>
          <w:p w:rsidR="00000000" w:rsidRDefault="00000000">
            <w:pPr>
              <w:spacing w:before="160" w:after="60"/>
              <w:ind w:left="-57" w:right="-57"/>
              <w:jc w:val="center"/>
              <w:rPr>
                <w:sz w:val="18"/>
              </w:rPr>
            </w:pPr>
            <w:r>
              <w:rPr>
                <w:sz w:val="18"/>
              </w:rPr>
              <w:t>…</w:t>
            </w:r>
          </w:p>
        </w:tc>
        <w:tc>
          <w:tcPr>
            <w:tcW w:w="854" w:type="dxa"/>
          </w:tcPr>
          <w:p w:rsidR="00000000" w:rsidRDefault="00000000">
            <w:pPr>
              <w:spacing w:before="160" w:after="60"/>
              <w:ind w:left="-57" w:right="-57"/>
              <w:jc w:val="center"/>
              <w:rPr>
                <w:sz w:val="18"/>
              </w:rPr>
            </w:pPr>
            <w:r>
              <w:rPr>
                <w:sz w:val="18"/>
              </w:rPr>
              <w:t>51.9</w:t>
            </w:r>
          </w:p>
        </w:tc>
        <w:tc>
          <w:tcPr>
            <w:tcW w:w="910" w:type="dxa"/>
          </w:tcPr>
          <w:p w:rsidR="00000000" w:rsidRDefault="00000000">
            <w:pPr>
              <w:spacing w:before="160" w:after="60"/>
              <w:ind w:left="-57" w:right="-57"/>
              <w:jc w:val="center"/>
              <w:rPr>
                <w:sz w:val="18"/>
              </w:rPr>
            </w:pPr>
            <w:r>
              <w:rPr>
                <w:sz w:val="18"/>
              </w:rPr>
              <w:t>46.0</w:t>
            </w:r>
          </w:p>
        </w:tc>
        <w:tc>
          <w:tcPr>
            <w:tcW w:w="980" w:type="dxa"/>
          </w:tcPr>
          <w:p w:rsidR="00000000" w:rsidRDefault="00000000">
            <w:pPr>
              <w:spacing w:before="160" w:after="60"/>
              <w:ind w:left="-57" w:right="-57"/>
              <w:jc w:val="center"/>
              <w:rPr>
                <w:sz w:val="18"/>
              </w:rPr>
            </w:pPr>
            <w:r>
              <w:rPr>
                <w:sz w:val="18"/>
              </w:rPr>
              <w:t>1,775</w:t>
            </w:r>
          </w:p>
        </w:tc>
        <w:tc>
          <w:tcPr>
            <w:tcW w:w="882" w:type="dxa"/>
          </w:tcPr>
          <w:p w:rsidR="00000000" w:rsidRDefault="00000000">
            <w:pPr>
              <w:spacing w:before="160" w:after="60"/>
              <w:ind w:left="-57" w:right="-57"/>
              <w:jc w:val="center"/>
              <w:rPr>
                <w:sz w:val="18"/>
              </w:rPr>
            </w:pPr>
            <w:r>
              <w:rPr>
                <w:sz w:val="18"/>
              </w:rPr>
              <w:t>96.4</w:t>
            </w:r>
          </w:p>
        </w:tc>
        <w:tc>
          <w:tcPr>
            <w:tcW w:w="846" w:type="dxa"/>
          </w:tcPr>
          <w:p w:rsidR="00000000" w:rsidRDefault="00000000">
            <w:pPr>
              <w:spacing w:before="160" w:after="60"/>
              <w:ind w:left="-57" w:right="-57"/>
              <w:jc w:val="center"/>
              <w:rPr>
                <w:sz w:val="18"/>
              </w:rPr>
            </w:pPr>
            <w:r>
              <w:rPr>
                <w:sz w:val="18"/>
              </w:rPr>
              <w:t>71.2</w:t>
            </w:r>
          </w:p>
        </w:tc>
        <w:tc>
          <w:tcPr>
            <w:tcW w:w="780" w:type="dxa"/>
          </w:tcPr>
          <w:p w:rsidR="00000000" w:rsidRDefault="00000000">
            <w:pPr>
              <w:spacing w:before="160" w:after="60"/>
              <w:ind w:left="-57" w:right="-57"/>
              <w:jc w:val="center"/>
              <w:rPr>
                <w:sz w:val="18"/>
              </w:rPr>
            </w:pPr>
            <w:r>
              <w:rPr>
                <w:sz w:val="18"/>
              </w:rPr>
              <w:t>136</w:t>
            </w:r>
          </w:p>
        </w:tc>
        <w:tc>
          <w:tcPr>
            <w:tcW w:w="780" w:type="dxa"/>
          </w:tcPr>
          <w:p w:rsidR="00000000" w:rsidRDefault="00000000">
            <w:pPr>
              <w:spacing w:before="160" w:after="60"/>
              <w:ind w:left="-57" w:right="-57"/>
              <w:jc w:val="center"/>
              <w:rPr>
                <w:sz w:val="18"/>
              </w:rPr>
            </w:pPr>
            <w:r>
              <w:rPr>
                <w:sz w:val="18"/>
              </w:rPr>
              <w:t>15</w:t>
            </w:r>
          </w:p>
        </w:tc>
        <w:tc>
          <w:tcPr>
            <w:tcW w:w="910" w:type="dxa"/>
          </w:tcPr>
          <w:p w:rsidR="00000000" w:rsidRDefault="00000000">
            <w:pPr>
              <w:spacing w:before="160" w:after="60"/>
              <w:ind w:left="-57" w:right="-57"/>
              <w:jc w:val="center"/>
              <w:rPr>
                <w:sz w:val="18"/>
              </w:rPr>
            </w:pPr>
            <w:r>
              <w:rPr>
                <w:sz w:val="18"/>
              </w:rPr>
              <w:t>2,042</w:t>
            </w:r>
          </w:p>
        </w:tc>
        <w:tc>
          <w:tcPr>
            <w:tcW w:w="862" w:type="dxa"/>
          </w:tcPr>
          <w:p w:rsidR="00000000" w:rsidRDefault="00000000">
            <w:pPr>
              <w:spacing w:before="160" w:after="60"/>
              <w:ind w:left="-57" w:right="-57"/>
              <w:jc w:val="center"/>
              <w:rPr>
                <w:sz w:val="18"/>
              </w:rPr>
            </w:pPr>
            <w:r>
              <w:rPr>
                <w:sz w:val="18"/>
              </w:rPr>
              <w:t>474</w:t>
            </w:r>
          </w:p>
        </w:tc>
      </w:tr>
    </w:tbl>
    <w:p w:rsidR="00000000" w:rsidRDefault="00000000">
      <w:pPr>
        <w:spacing w:before="120" w:after="320"/>
        <w:rPr>
          <w:rFonts w:eastAsia="KaiTi_GB2312" w:hint="eastAsia"/>
          <w:snapToGrid/>
          <w:spacing w:val="0"/>
          <w:sz w:val="22"/>
        </w:rPr>
      </w:pPr>
      <w:r>
        <w:rPr>
          <w:rFonts w:hint="eastAsia"/>
          <w:sz w:val="22"/>
        </w:rPr>
        <w:t xml:space="preserve"> *  </w:t>
      </w:r>
      <w:r>
        <w:rPr>
          <w:rFonts w:eastAsia="KaiTi_GB2312" w:hint="eastAsia"/>
          <w:snapToGrid/>
          <w:spacing w:val="0"/>
          <w:sz w:val="22"/>
        </w:rPr>
        <w:t>使用自来水。</w:t>
      </w:r>
    </w:p>
    <w:p w:rsidR="00000000" w:rsidRDefault="00000000">
      <w:pPr>
        <w:pStyle w:val="Heading3"/>
        <w:spacing w:before="120" w:after="160"/>
        <w:rPr>
          <w:rFonts w:hint="eastAsia"/>
          <w:snapToGrid/>
          <w:sz w:val="22"/>
        </w:rPr>
      </w:pPr>
      <w:r>
        <w:rPr>
          <w:rFonts w:hint="eastAsia"/>
          <w:sz w:val="22"/>
          <w:u w:val="none"/>
        </w:rPr>
        <w:t>表</w:t>
      </w:r>
      <w:r>
        <w:rPr>
          <w:rFonts w:hint="eastAsia"/>
          <w:sz w:val="22"/>
          <w:u w:val="none"/>
        </w:rPr>
        <w:t xml:space="preserve"> 4</w:t>
      </w:r>
      <w:r>
        <w:rPr>
          <w:rFonts w:hint="eastAsia"/>
          <w:snapToGrid/>
          <w:sz w:val="22"/>
          <w:u w:val="none"/>
        </w:rPr>
        <w:t xml:space="preserve">.  </w:t>
      </w:r>
      <w:r>
        <w:rPr>
          <w:rFonts w:hint="eastAsia"/>
          <w:snapToGrid/>
          <w:sz w:val="22"/>
        </w:rPr>
        <w:t>人口概况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8"/>
        <w:gridCol w:w="700"/>
        <w:gridCol w:w="740"/>
        <w:gridCol w:w="1108"/>
        <w:gridCol w:w="1102"/>
        <w:gridCol w:w="1110"/>
        <w:gridCol w:w="994"/>
        <w:gridCol w:w="937"/>
        <w:gridCol w:w="938"/>
        <w:gridCol w:w="1043"/>
      </w:tblGrid>
      <w:tr w:rsidR="00000000">
        <w:tblPrEx>
          <w:tblCellMar>
            <w:top w:w="0" w:type="dxa"/>
            <w:bottom w:w="0" w:type="dxa"/>
          </w:tblCellMar>
        </w:tblPrEx>
        <w:trPr>
          <w:cantSplit/>
        </w:trPr>
        <w:tc>
          <w:tcPr>
            <w:tcW w:w="2178" w:type="dxa"/>
            <w:gridSpan w:val="3"/>
          </w:tcPr>
          <w:p w:rsidR="00000000" w:rsidRDefault="00000000">
            <w:pPr>
              <w:spacing w:before="120" w:after="40" w:line="264" w:lineRule="auto"/>
              <w:jc w:val="center"/>
              <w:rPr>
                <w:rFonts w:hint="eastAsia"/>
                <w:sz w:val="18"/>
              </w:rPr>
            </w:pPr>
            <w:r>
              <w:rPr>
                <w:rFonts w:hint="eastAsia"/>
                <w:sz w:val="18"/>
              </w:rPr>
              <w:t>人</w:t>
            </w:r>
            <w:r>
              <w:rPr>
                <w:rFonts w:hint="eastAsia"/>
                <w:sz w:val="18"/>
              </w:rPr>
              <w:t xml:space="preserve">   </w:t>
            </w:r>
            <w:r>
              <w:rPr>
                <w:rFonts w:hint="eastAsia"/>
                <w:sz w:val="18"/>
              </w:rPr>
              <w:t>口</w:t>
            </w:r>
            <w:r>
              <w:rPr>
                <w:sz w:val="18"/>
              </w:rPr>
              <w:br/>
            </w:r>
            <w:r>
              <w:rPr>
                <w:rFonts w:hint="eastAsia"/>
                <w:sz w:val="18"/>
              </w:rPr>
              <w:t>(</w:t>
            </w:r>
            <w:r>
              <w:rPr>
                <w:rFonts w:hint="eastAsia"/>
                <w:sz w:val="18"/>
              </w:rPr>
              <w:t>百万</w:t>
            </w:r>
            <w:r>
              <w:rPr>
                <w:rFonts w:hint="eastAsia"/>
                <w:sz w:val="18"/>
              </w:rPr>
              <w:t>)</w:t>
            </w:r>
          </w:p>
        </w:tc>
        <w:tc>
          <w:tcPr>
            <w:tcW w:w="2210" w:type="dxa"/>
            <w:gridSpan w:val="2"/>
          </w:tcPr>
          <w:p w:rsidR="00000000" w:rsidRDefault="00000000">
            <w:pPr>
              <w:spacing w:before="120" w:after="40" w:line="264" w:lineRule="auto"/>
              <w:jc w:val="center"/>
              <w:rPr>
                <w:rFonts w:hint="eastAsia"/>
                <w:sz w:val="18"/>
              </w:rPr>
            </w:pPr>
            <w:r>
              <w:rPr>
                <w:rFonts w:hint="eastAsia"/>
                <w:sz w:val="18"/>
              </w:rPr>
              <w:t>人口年增长率</w:t>
            </w:r>
            <w:r>
              <w:rPr>
                <w:sz w:val="18"/>
              </w:rPr>
              <w:br/>
              <w:t>(%)</w:t>
            </w:r>
          </w:p>
        </w:tc>
        <w:tc>
          <w:tcPr>
            <w:tcW w:w="1110" w:type="dxa"/>
            <w:vMerge w:val="restart"/>
          </w:tcPr>
          <w:p w:rsidR="00000000" w:rsidRDefault="00000000">
            <w:pPr>
              <w:spacing w:before="120" w:after="40" w:line="264" w:lineRule="auto"/>
              <w:jc w:val="center"/>
              <w:rPr>
                <w:rFonts w:hint="eastAsia"/>
                <w:sz w:val="18"/>
              </w:rPr>
            </w:pPr>
            <w:r>
              <w:rPr>
                <w:rFonts w:hint="eastAsia"/>
                <w:sz w:val="18"/>
              </w:rPr>
              <w:t>农村人口</w:t>
            </w:r>
            <w:r>
              <w:rPr>
                <w:sz w:val="18"/>
              </w:rPr>
              <w:br/>
              <w:t>(</w:t>
            </w:r>
            <w:r>
              <w:rPr>
                <w:rFonts w:hint="eastAsia"/>
                <w:sz w:val="18"/>
              </w:rPr>
              <w:t>占总数的</w:t>
            </w:r>
            <w:r>
              <w:rPr>
                <w:sz w:val="18"/>
              </w:rPr>
              <w:br/>
            </w:r>
            <w:r>
              <w:rPr>
                <w:rFonts w:hint="eastAsia"/>
                <w:sz w:val="18"/>
              </w:rPr>
              <w:t>百分比</w:t>
            </w:r>
            <w:r>
              <w:rPr>
                <w:rFonts w:hint="eastAsia"/>
                <w:sz w:val="18"/>
              </w:rPr>
              <w:t>)</w:t>
            </w:r>
            <w:r>
              <w:rPr>
                <w:sz w:val="18"/>
              </w:rPr>
              <w:br/>
              <w:t>2000</w:t>
            </w:r>
            <w:r>
              <w:rPr>
                <w:rFonts w:hint="eastAsia"/>
                <w:sz w:val="18"/>
              </w:rPr>
              <w:t>年</w:t>
            </w:r>
          </w:p>
        </w:tc>
        <w:tc>
          <w:tcPr>
            <w:tcW w:w="994" w:type="dxa"/>
            <w:vMerge w:val="restart"/>
          </w:tcPr>
          <w:p w:rsidR="00000000" w:rsidRDefault="00000000">
            <w:pPr>
              <w:spacing w:before="120" w:after="40" w:line="264" w:lineRule="auto"/>
              <w:jc w:val="center"/>
              <w:rPr>
                <w:rFonts w:hint="eastAsia"/>
                <w:sz w:val="18"/>
              </w:rPr>
            </w:pPr>
            <w:r>
              <w:rPr>
                <w:rFonts w:hint="eastAsia"/>
                <w:sz w:val="18"/>
              </w:rPr>
              <w:t>总出生率</w:t>
            </w:r>
            <w:r>
              <w:rPr>
                <w:sz w:val="18"/>
              </w:rPr>
              <w:br/>
              <w:t>1999</w:t>
            </w:r>
            <w:r>
              <w:rPr>
                <w:rFonts w:hint="eastAsia"/>
                <w:sz w:val="18"/>
              </w:rPr>
              <w:t>年</w:t>
            </w:r>
          </w:p>
        </w:tc>
        <w:tc>
          <w:tcPr>
            <w:tcW w:w="937" w:type="dxa"/>
            <w:vMerge w:val="restart"/>
          </w:tcPr>
          <w:p w:rsidR="00000000" w:rsidRDefault="00000000">
            <w:pPr>
              <w:spacing w:before="120" w:after="40" w:line="264" w:lineRule="auto"/>
              <w:jc w:val="center"/>
              <w:rPr>
                <w:rFonts w:hint="eastAsia"/>
                <w:sz w:val="18"/>
              </w:rPr>
            </w:pPr>
            <w:r>
              <w:rPr>
                <w:rFonts w:hint="eastAsia"/>
                <w:sz w:val="18"/>
              </w:rPr>
              <w:t>总死亡率</w:t>
            </w:r>
            <w:r>
              <w:rPr>
                <w:sz w:val="18"/>
              </w:rPr>
              <w:br/>
              <w:t>1999</w:t>
            </w:r>
            <w:r>
              <w:rPr>
                <w:rFonts w:hint="eastAsia"/>
                <w:sz w:val="18"/>
              </w:rPr>
              <w:t>年</w:t>
            </w:r>
          </w:p>
        </w:tc>
        <w:tc>
          <w:tcPr>
            <w:tcW w:w="938" w:type="dxa"/>
            <w:vMerge w:val="restart"/>
          </w:tcPr>
          <w:p w:rsidR="00000000" w:rsidRDefault="00000000">
            <w:pPr>
              <w:spacing w:before="120" w:after="40" w:line="264" w:lineRule="auto"/>
              <w:jc w:val="center"/>
              <w:rPr>
                <w:rFonts w:hint="eastAsia"/>
                <w:sz w:val="18"/>
              </w:rPr>
            </w:pPr>
            <w:r>
              <w:rPr>
                <w:rFonts w:hint="eastAsia"/>
                <w:sz w:val="18"/>
              </w:rPr>
              <w:t>总生育率</w:t>
            </w:r>
            <w:r>
              <w:rPr>
                <w:sz w:val="18"/>
              </w:rPr>
              <w:br/>
              <w:t>1999</w:t>
            </w:r>
            <w:r>
              <w:rPr>
                <w:rFonts w:hint="eastAsia"/>
                <w:sz w:val="18"/>
              </w:rPr>
              <w:t>年</w:t>
            </w:r>
          </w:p>
        </w:tc>
        <w:tc>
          <w:tcPr>
            <w:tcW w:w="1043" w:type="dxa"/>
            <w:vMerge w:val="restart"/>
          </w:tcPr>
          <w:p w:rsidR="00000000" w:rsidRDefault="00000000">
            <w:pPr>
              <w:spacing w:before="120" w:after="40" w:line="264" w:lineRule="auto"/>
              <w:jc w:val="center"/>
              <w:rPr>
                <w:rFonts w:hint="eastAsia"/>
                <w:sz w:val="18"/>
              </w:rPr>
            </w:pPr>
            <w:r>
              <w:rPr>
                <w:rFonts w:hint="eastAsia"/>
                <w:sz w:val="18"/>
              </w:rPr>
              <w:t>任何避孕方法的使用率</w:t>
            </w:r>
            <w:r>
              <w:rPr>
                <w:rFonts w:hint="eastAsia"/>
                <w:sz w:val="18"/>
              </w:rPr>
              <w:t>(%)</w:t>
            </w:r>
            <w:r>
              <w:rPr>
                <w:sz w:val="18"/>
              </w:rPr>
              <w:br/>
              <w:t>1999</w:t>
            </w:r>
            <w:r>
              <w:rPr>
                <w:rFonts w:hint="eastAsia"/>
                <w:sz w:val="18"/>
              </w:rPr>
              <w:t>年</w:t>
            </w:r>
          </w:p>
        </w:tc>
      </w:tr>
      <w:tr w:rsidR="00000000">
        <w:tblPrEx>
          <w:tblCellMar>
            <w:top w:w="0" w:type="dxa"/>
            <w:bottom w:w="0" w:type="dxa"/>
          </w:tblCellMar>
        </w:tblPrEx>
        <w:trPr>
          <w:cantSplit/>
        </w:trPr>
        <w:tc>
          <w:tcPr>
            <w:tcW w:w="738" w:type="dxa"/>
          </w:tcPr>
          <w:p w:rsidR="00000000" w:rsidRDefault="00000000">
            <w:pPr>
              <w:spacing w:before="120"/>
              <w:ind w:left="-57" w:right="-57"/>
              <w:jc w:val="center"/>
              <w:rPr>
                <w:sz w:val="18"/>
              </w:rPr>
            </w:pPr>
            <w:r>
              <w:rPr>
                <w:sz w:val="18"/>
              </w:rPr>
              <w:t>1960</w:t>
            </w:r>
          </w:p>
        </w:tc>
        <w:tc>
          <w:tcPr>
            <w:tcW w:w="700" w:type="dxa"/>
          </w:tcPr>
          <w:p w:rsidR="00000000" w:rsidRDefault="00000000">
            <w:pPr>
              <w:spacing w:before="120"/>
              <w:ind w:left="-57" w:right="-57"/>
              <w:jc w:val="center"/>
              <w:rPr>
                <w:sz w:val="18"/>
              </w:rPr>
            </w:pPr>
            <w:r>
              <w:rPr>
                <w:sz w:val="18"/>
              </w:rPr>
              <w:t>1998</w:t>
            </w:r>
          </w:p>
        </w:tc>
        <w:tc>
          <w:tcPr>
            <w:tcW w:w="740" w:type="dxa"/>
          </w:tcPr>
          <w:p w:rsidR="00000000" w:rsidRDefault="00000000">
            <w:pPr>
              <w:spacing w:before="120"/>
              <w:ind w:left="-57" w:right="-57"/>
              <w:jc w:val="center"/>
              <w:rPr>
                <w:sz w:val="18"/>
              </w:rPr>
            </w:pPr>
            <w:r>
              <w:rPr>
                <w:sz w:val="18"/>
              </w:rPr>
              <w:t>2000</w:t>
            </w:r>
          </w:p>
        </w:tc>
        <w:tc>
          <w:tcPr>
            <w:tcW w:w="1108" w:type="dxa"/>
          </w:tcPr>
          <w:p w:rsidR="00000000" w:rsidRDefault="00000000">
            <w:pPr>
              <w:spacing w:before="120"/>
              <w:ind w:left="-57" w:right="-57"/>
              <w:jc w:val="center"/>
              <w:rPr>
                <w:sz w:val="18"/>
              </w:rPr>
            </w:pPr>
            <w:r>
              <w:rPr>
                <w:sz w:val="18"/>
              </w:rPr>
              <w:t>1960-1998</w:t>
            </w:r>
          </w:p>
        </w:tc>
        <w:tc>
          <w:tcPr>
            <w:tcW w:w="1102" w:type="dxa"/>
          </w:tcPr>
          <w:p w:rsidR="00000000" w:rsidRDefault="00000000">
            <w:pPr>
              <w:spacing w:before="120"/>
              <w:ind w:left="-57" w:right="-57"/>
              <w:jc w:val="center"/>
              <w:rPr>
                <w:sz w:val="18"/>
              </w:rPr>
            </w:pPr>
            <w:r>
              <w:rPr>
                <w:sz w:val="18"/>
              </w:rPr>
              <w:t>1998-2000</w:t>
            </w:r>
          </w:p>
        </w:tc>
        <w:tc>
          <w:tcPr>
            <w:tcW w:w="1110" w:type="dxa"/>
            <w:vMerge/>
          </w:tcPr>
          <w:p w:rsidR="00000000" w:rsidRDefault="00000000">
            <w:pPr>
              <w:spacing w:before="120"/>
              <w:rPr>
                <w:rFonts w:hint="eastAsia"/>
                <w:sz w:val="18"/>
              </w:rPr>
            </w:pPr>
          </w:p>
        </w:tc>
        <w:tc>
          <w:tcPr>
            <w:tcW w:w="994" w:type="dxa"/>
            <w:vMerge/>
          </w:tcPr>
          <w:p w:rsidR="00000000" w:rsidRDefault="00000000">
            <w:pPr>
              <w:spacing w:before="120"/>
              <w:rPr>
                <w:rFonts w:hint="eastAsia"/>
                <w:sz w:val="18"/>
              </w:rPr>
            </w:pPr>
          </w:p>
        </w:tc>
        <w:tc>
          <w:tcPr>
            <w:tcW w:w="937" w:type="dxa"/>
            <w:vMerge/>
          </w:tcPr>
          <w:p w:rsidR="00000000" w:rsidRDefault="00000000">
            <w:pPr>
              <w:spacing w:before="120"/>
              <w:rPr>
                <w:rFonts w:hint="eastAsia"/>
                <w:sz w:val="18"/>
              </w:rPr>
            </w:pPr>
          </w:p>
        </w:tc>
        <w:tc>
          <w:tcPr>
            <w:tcW w:w="938" w:type="dxa"/>
            <w:vMerge/>
          </w:tcPr>
          <w:p w:rsidR="00000000" w:rsidRDefault="00000000">
            <w:pPr>
              <w:spacing w:before="120"/>
              <w:rPr>
                <w:rFonts w:hint="eastAsia"/>
                <w:sz w:val="18"/>
              </w:rPr>
            </w:pPr>
          </w:p>
        </w:tc>
        <w:tc>
          <w:tcPr>
            <w:tcW w:w="1043" w:type="dxa"/>
            <w:vMerge/>
          </w:tcPr>
          <w:p w:rsidR="00000000" w:rsidRDefault="00000000">
            <w:pPr>
              <w:spacing w:before="120"/>
              <w:rPr>
                <w:rFonts w:hint="eastAsia"/>
                <w:sz w:val="18"/>
              </w:rPr>
            </w:pPr>
          </w:p>
        </w:tc>
      </w:tr>
      <w:tr w:rsidR="00000000">
        <w:tblPrEx>
          <w:tblCellMar>
            <w:top w:w="0" w:type="dxa"/>
            <w:bottom w:w="0" w:type="dxa"/>
          </w:tblCellMar>
        </w:tblPrEx>
        <w:tc>
          <w:tcPr>
            <w:tcW w:w="738" w:type="dxa"/>
          </w:tcPr>
          <w:p w:rsidR="00000000" w:rsidRDefault="00000000">
            <w:pPr>
              <w:spacing w:before="160" w:after="40"/>
              <w:ind w:left="-57" w:right="-57"/>
              <w:jc w:val="center"/>
              <w:rPr>
                <w:sz w:val="18"/>
              </w:rPr>
            </w:pPr>
            <w:r>
              <w:rPr>
                <w:sz w:val="18"/>
              </w:rPr>
              <w:t>3.0</w:t>
            </w:r>
          </w:p>
        </w:tc>
        <w:tc>
          <w:tcPr>
            <w:tcW w:w="700" w:type="dxa"/>
          </w:tcPr>
          <w:p w:rsidR="00000000" w:rsidRDefault="00000000">
            <w:pPr>
              <w:spacing w:before="160" w:after="40"/>
              <w:ind w:left="-57" w:right="-57"/>
              <w:jc w:val="center"/>
              <w:rPr>
                <w:sz w:val="18"/>
              </w:rPr>
            </w:pPr>
            <w:r>
              <w:rPr>
                <w:sz w:val="18"/>
              </w:rPr>
              <w:t>4.3</w:t>
            </w:r>
          </w:p>
        </w:tc>
        <w:tc>
          <w:tcPr>
            <w:tcW w:w="740" w:type="dxa"/>
          </w:tcPr>
          <w:p w:rsidR="00000000" w:rsidRDefault="00000000">
            <w:pPr>
              <w:spacing w:before="160" w:after="40"/>
              <w:ind w:left="-57" w:right="-57"/>
              <w:jc w:val="center"/>
              <w:rPr>
                <w:sz w:val="18"/>
              </w:rPr>
            </w:pPr>
            <w:r>
              <w:rPr>
                <w:sz w:val="18"/>
              </w:rPr>
              <w:t>4.3</w:t>
            </w:r>
          </w:p>
        </w:tc>
        <w:tc>
          <w:tcPr>
            <w:tcW w:w="1108" w:type="dxa"/>
          </w:tcPr>
          <w:p w:rsidR="00000000" w:rsidRDefault="00000000">
            <w:pPr>
              <w:spacing w:before="160" w:after="40"/>
              <w:ind w:left="-57" w:right="-57"/>
              <w:jc w:val="center"/>
              <w:rPr>
                <w:sz w:val="18"/>
              </w:rPr>
            </w:pPr>
            <w:r>
              <w:rPr>
                <w:sz w:val="18"/>
              </w:rPr>
              <w:t>0.85</w:t>
            </w:r>
          </w:p>
        </w:tc>
        <w:tc>
          <w:tcPr>
            <w:tcW w:w="1102" w:type="dxa"/>
          </w:tcPr>
          <w:p w:rsidR="00000000" w:rsidRDefault="00000000">
            <w:pPr>
              <w:spacing w:before="160" w:after="40"/>
              <w:ind w:left="-57" w:right="-57"/>
              <w:jc w:val="center"/>
              <w:rPr>
                <w:sz w:val="18"/>
              </w:rPr>
            </w:pPr>
            <w:r>
              <w:rPr>
                <w:sz w:val="18"/>
              </w:rPr>
              <w:t>(-) 0.45</w:t>
            </w:r>
          </w:p>
        </w:tc>
        <w:tc>
          <w:tcPr>
            <w:tcW w:w="1110" w:type="dxa"/>
          </w:tcPr>
          <w:p w:rsidR="00000000" w:rsidRDefault="00000000">
            <w:pPr>
              <w:spacing w:before="160" w:after="40"/>
              <w:ind w:left="-57" w:right="-57"/>
              <w:jc w:val="center"/>
              <w:rPr>
                <w:sz w:val="18"/>
              </w:rPr>
            </w:pPr>
            <w:r>
              <w:rPr>
                <w:sz w:val="18"/>
              </w:rPr>
              <w:t>55</w:t>
            </w:r>
          </w:p>
        </w:tc>
        <w:tc>
          <w:tcPr>
            <w:tcW w:w="994" w:type="dxa"/>
          </w:tcPr>
          <w:p w:rsidR="00000000" w:rsidRDefault="00000000">
            <w:pPr>
              <w:spacing w:before="160" w:after="40"/>
              <w:ind w:left="-57" w:right="-57"/>
              <w:jc w:val="center"/>
              <w:rPr>
                <w:sz w:val="18"/>
              </w:rPr>
            </w:pPr>
            <w:r>
              <w:rPr>
                <w:sz w:val="18"/>
              </w:rPr>
              <w:t>10.1</w:t>
            </w:r>
          </w:p>
        </w:tc>
        <w:tc>
          <w:tcPr>
            <w:tcW w:w="937" w:type="dxa"/>
          </w:tcPr>
          <w:p w:rsidR="00000000" w:rsidRDefault="00000000">
            <w:pPr>
              <w:spacing w:before="160" w:after="40"/>
              <w:ind w:left="-57" w:right="-57"/>
              <w:jc w:val="center"/>
              <w:rPr>
                <w:sz w:val="18"/>
              </w:rPr>
            </w:pPr>
            <w:r>
              <w:rPr>
                <w:sz w:val="18"/>
              </w:rPr>
              <w:t>11.4</w:t>
            </w:r>
          </w:p>
        </w:tc>
        <w:tc>
          <w:tcPr>
            <w:tcW w:w="938" w:type="dxa"/>
          </w:tcPr>
          <w:p w:rsidR="00000000" w:rsidRDefault="00000000">
            <w:pPr>
              <w:spacing w:before="160" w:after="40"/>
              <w:ind w:left="-57" w:right="-57"/>
              <w:jc w:val="center"/>
              <w:rPr>
                <w:sz w:val="18"/>
              </w:rPr>
            </w:pPr>
            <w:r>
              <w:rPr>
                <w:sz w:val="18"/>
              </w:rPr>
              <w:t>1.37</w:t>
            </w:r>
          </w:p>
        </w:tc>
        <w:tc>
          <w:tcPr>
            <w:tcW w:w="1043" w:type="dxa"/>
          </w:tcPr>
          <w:p w:rsidR="00000000" w:rsidRDefault="00000000">
            <w:pPr>
              <w:spacing w:before="160" w:after="40"/>
              <w:ind w:left="-57" w:right="-57"/>
              <w:jc w:val="center"/>
              <w:rPr>
                <w:sz w:val="18"/>
              </w:rPr>
            </w:pPr>
            <w:r>
              <w:rPr>
                <w:rFonts w:hint="eastAsia"/>
                <w:sz w:val="18"/>
              </w:rPr>
              <w:t xml:space="preserve"> </w:t>
            </w:r>
            <w:r>
              <w:rPr>
                <w:sz w:val="18"/>
              </w:rPr>
              <w:t>28*</w:t>
            </w:r>
          </w:p>
        </w:tc>
      </w:tr>
    </w:tbl>
    <w:p w:rsidR="00000000" w:rsidRDefault="00000000">
      <w:pPr>
        <w:spacing w:before="120"/>
        <w:rPr>
          <w:rFonts w:eastAsia="KaiTi_GB2312" w:hint="eastAsia"/>
          <w:snapToGrid/>
          <w:spacing w:val="0"/>
          <w:sz w:val="22"/>
        </w:rPr>
      </w:pPr>
      <w:r>
        <w:rPr>
          <w:rFonts w:eastAsia="KaiTi_GB2312" w:hint="eastAsia"/>
          <w:snapToGrid/>
          <w:spacing w:val="0"/>
          <w:sz w:val="22"/>
        </w:rPr>
        <w:t xml:space="preserve">  *   </w:t>
      </w:r>
      <w:r>
        <w:rPr>
          <w:rFonts w:eastAsia="KaiTi_GB2312" w:hint="eastAsia"/>
          <w:snapToGrid/>
          <w:spacing w:val="0"/>
          <w:sz w:val="22"/>
        </w:rPr>
        <w:t>包括登记的使用宫内避孕器和服用避孕药的妇女，按占</w:t>
      </w:r>
      <w:r>
        <w:rPr>
          <w:rFonts w:eastAsia="KaiTi_GB2312" w:hint="eastAsia"/>
          <w:snapToGrid/>
          <w:spacing w:val="0"/>
          <w:sz w:val="22"/>
        </w:rPr>
        <w:t>15</w:t>
      </w:r>
      <w:r>
        <w:rPr>
          <w:rFonts w:eastAsia="KaiTi_GB2312" w:hint="eastAsia"/>
          <w:snapToGrid/>
          <w:spacing w:val="0"/>
          <w:sz w:val="22"/>
        </w:rPr>
        <w:t>至</w:t>
      </w:r>
      <w:r>
        <w:rPr>
          <w:rFonts w:eastAsia="KaiTi_GB2312" w:hint="eastAsia"/>
          <w:snapToGrid/>
          <w:spacing w:val="0"/>
          <w:sz w:val="22"/>
        </w:rPr>
        <w:t>49</w:t>
      </w:r>
      <w:r>
        <w:rPr>
          <w:rFonts w:eastAsia="KaiTi_GB2312" w:hint="eastAsia"/>
          <w:snapToGrid/>
          <w:spacing w:val="0"/>
          <w:sz w:val="22"/>
        </w:rPr>
        <w:t>岁妇女的百分比计算。</w:t>
      </w:r>
    </w:p>
    <w:p w:rsidR="00000000" w:rsidRDefault="00000000">
      <w:pPr>
        <w:pStyle w:val="Heading3"/>
        <w:rPr>
          <w:rFonts w:hint="eastAsia"/>
          <w:sz w:val="22"/>
        </w:rPr>
      </w:pPr>
      <w:r>
        <w:rPr>
          <w:rFonts w:hint="eastAsia"/>
          <w:sz w:val="22"/>
          <w:u w:val="none"/>
        </w:rPr>
        <w:t>表</w:t>
      </w:r>
      <w:r>
        <w:rPr>
          <w:rFonts w:hint="eastAsia"/>
          <w:sz w:val="22"/>
          <w:u w:val="none"/>
        </w:rPr>
        <w:t xml:space="preserve"> 5.  </w:t>
      </w:r>
      <w:r>
        <w:rPr>
          <w:rFonts w:hint="eastAsia"/>
          <w:sz w:val="22"/>
        </w:rPr>
        <w:t>人类发展指数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
        <w:gridCol w:w="700"/>
        <w:gridCol w:w="770"/>
        <w:gridCol w:w="918"/>
        <w:gridCol w:w="958"/>
        <w:gridCol w:w="1498"/>
        <w:gridCol w:w="1021"/>
        <w:gridCol w:w="1033"/>
        <w:gridCol w:w="941"/>
        <w:gridCol w:w="941"/>
      </w:tblGrid>
      <w:tr w:rsidR="00000000">
        <w:tblPrEx>
          <w:tblCellMar>
            <w:top w:w="0" w:type="dxa"/>
            <w:bottom w:w="0" w:type="dxa"/>
          </w:tblCellMar>
        </w:tblPrEx>
        <w:trPr>
          <w:cantSplit/>
        </w:trPr>
        <w:tc>
          <w:tcPr>
            <w:tcW w:w="1330" w:type="dxa"/>
            <w:gridSpan w:val="2"/>
          </w:tcPr>
          <w:p w:rsidR="00000000" w:rsidRDefault="00000000">
            <w:pPr>
              <w:spacing w:before="120" w:line="264" w:lineRule="auto"/>
              <w:jc w:val="center"/>
              <w:rPr>
                <w:rFonts w:hint="eastAsia"/>
                <w:sz w:val="18"/>
              </w:rPr>
            </w:pPr>
            <w:r>
              <w:rPr>
                <w:rFonts w:hint="eastAsia"/>
                <w:sz w:val="18"/>
              </w:rPr>
              <w:t>出生时预期</w:t>
            </w:r>
            <w:r>
              <w:rPr>
                <w:sz w:val="18"/>
              </w:rPr>
              <w:br/>
            </w:r>
            <w:r>
              <w:rPr>
                <w:rFonts w:hint="eastAsia"/>
                <w:sz w:val="18"/>
              </w:rPr>
              <w:t>寿命</w:t>
            </w:r>
            <w:r>
              <w:rPr>
                <w:rFonts w:hint="eastAsia"/>
                <w:sz w:val="18"/>
              </w:rPr>
              <w:t>(</w:t>
            </w:r>
            <w:r>
              <w:rPr>
                <w:rFonts w:hint="eastAsia"/>
                <w:sz w:val="18"/>
              </w:rPr>
              <w:t>年龄</w:t>
            </w:r>
            <w:r>
              <w:rPr>
                <w:rFonts w:hint="eastAsia"/>
                <w:sz w:val="18"/>
              </w:rPr>
              <w:t>)</w:t>
            </w:r>
          </w:p>
        </w:tc>
        <w:tc>
          <w:tcPr>
            <w:tcW w:w="1688" w:type="dxa"/>
            <w:gridSpan w:val="2"/>
          </w:tcPr>
          <w:p w:rsidR="00000000" w:rsidRDefault="00000000">
            <w:pPr>
              <w:spacing w:before="120" w:line="264" w:lineRule="auto"/>
              <w:jc w:val="center"/>
              <w:rPr>
                <w:rFonts w:hint="eastAsia"/>
                <w:sz w:val="18"/>
              </w:rPr>
            </w:pPr>
            <w:r>
              <w:rPr>
                <w:rFonts w:hint="eastAsia"/>
                <w:sz w:val="18"/>
              </w:rPr>
              <w:t>婴儿死亡率</w:t>
            </w:r>
            <w:r>
              <w:rPr>
                <w:sz w:val="18"/>
              </w:rPr>
              <w:br/>
              <w:t>(</w:t>
            </w:r>
            <w:r>
              <w:rPr>
                <w:rFonts w:hint="eastAsia"/>
                <w:sz w:val="18"/>
              </w:rPr>
              <w:t>每千名活产婴儿</w:t>
            </w:r>
            <w:r>
              <w:rPr>
                <w:rFonts w:hint="eastAsia"/>
                <w:sz w:val="18"/>
              </w:rPr>
              <w:t>)</w:t>
            </w:r>
          </w:p>
        </w:tc>
        <w:tc>
          <w:tcPr>
            <w:tcW w:w="958" w:type="dxa"/>
            <w:vMerge w:val="restart"/>
          </w:tcPr>
          <w:p w:rsidR="00000000" w:rsidRDefault="00000000">
            <w:pPr>
              <w:spacing w:before="120" w:after="40" w:line="240" w:lineRule="auto"/>
              <w:jc w:val="center"/>
              <w:rPr>
                <w:rFonts w:hint="eastAsia"/>
                <w:sz w:val="18"/>
              </w:rPr>
            </w:pPr>
            <w:r>
              <w:rPr>
                <w:rFonts w:hint="eastAsia"/>
                <w:sz w:val="18"/>
              </w:rPr>
              <w:t>成人识</w:t>
            </w:r>
            <w:r>
              <w:rPr>
                <w:sz w:val="18"/>
              </w:rPr>
              <w:br/>
            </w:r>
            <w:r>
              <w:rPr>
                <w:rFonts w:hint="eastAsia"/>
                <w:sz w:val="18"/>
              </w:rPr>
              <w:t>字率</w:t>
            </w:r>
            <w:r>
              <w:rPr>
                <w:sz w:val="18"/>
              </w:rPr>
              <w:br/>
            </w:r>
            <w:r>
              <w:rPr>
                <w:rFonts w:hint="eastAsia"/>
                <w:sz w:val="18"/>
              </w:rPr>
              <w:t>(%)</w:t>
            </w:r>
            <w:r>
              <w:rPr>
                <w:sz w:val="18"/>
              </w:rPr>
              <w:br/>
            </w:r>
            <w:r>
              <w:rPr>
                <w:rFonts w:hint="eastAsia"/>
                <w:sz w:val="18"/>
              </w:rPr>
              <w:t>1989</w:t>
            </w:r>
            <w:r>
              <w:rPr>
                <w:rFonts w:hint="eastAsia"/>
                <w:sz w:val="18"/>
              </w:rPr>
              <w:t>年</w:t>
            </w:r>
          </w:p>
        </w:tc>
        <w:tc>
          <w:tcPr>
            <w:tcW w:w="1498" w:type="dxa"/>
            <w:vMerge w:val="restart"/>
          </w:tcPr>
          <w:p w:rsidR="00000000" w:rsidRDefault="00000000">
            <w:pPr>
              <w:spacing w:before="120" w:after="40" w:line="240" w:lineRule="auto"/>
              <w:jc w:val="center"/>
              <w:rPr>
                <w:rFonts w:hint="eastAsia"/>
                <w:sz w:val="18"/>
              </w:rPr>
            </w:pPr>
            <w:r>
              <w:rPr>
                <w:rFonts w:hint="eastAsia"/>
                <w:spacing w:val="0"/>
                <w:sz w:val="18"/>
              </w:rPr>
              <w:t>各级教育入学率</w:t>
            </w:r>
            <w:r>
              <w:rPr>
                <w:spacing w:val="0"/>
                <w:sz w:val="18"/>
              </w:rPr>
              <w:br/>
            </w:r>
            <w:r>
              <w:rPr>
                <w:rFonts w:hint="eastAsia"/>
                <w:spacing w:val="0"/>
                <w:sz w:val="18"/>
              </w:rPr>
              <w:t>(</w:t>
            </w:r>
            <w:r>
              <w:rPr>
                <w:rFonts w:hint="eastAsia"/>
                <w:spacing w:val="0"/>
                <w:sz w:val="18"/>
              </w:rPr>
              <w:t>在</w:t>
            </w:r>
            <w:r>
              <w:rPr>
                <w:rFonts w:hint="eastAsia"/>
                <w:spacing w:val="0"/>
                <w:sz w:val="18"/>
              </w:rPr>
              <w:t>7</w:t>
            </w:r>
            <w:r>
              <w:rPr>
                <w:rFonts w:hint="eastAsia"/>
                <w:spacing w:val="0"/>
                <w:sz w:val="18"/>
              </w:rPr>
              <w:t>至</w:t>
            </w:r>
            <w:r>
              <w:rPr>
                <w:rFonts w:hint="eastAsia"/>
                <w:spacing w:val="0"/>
                <w:sz w:val="18"/>
              </w:rPr>
              <w:t>22</w:t>
            </w:r>
            <w:r>
              <w:rPr>
                <w:rFonts w:hint="eastAsia"/>
                <w:spacing w:val="0"/>
                <w:sz w:val="18"/>
              </w:rPr>
              <w:t>岁人</w:t>
            </w:r>
            <w:r>
              <w:rPr>
                <w:spacing w:val="0"/>
                <w:sz w:val="18"/>
              </w:rPr>
              <w:br/>
            </w:r>
            <w:r>
              <w:rPr>
                <w:rFonts w:hint="eastAsia"/>
                <w:spacing w:val="0"/>
                <w:sz w:val="18"/>
              </w:rPr>
              <w:t>口中所占百分比</w:t>
            </w:r>
            <w:r>
              <w:rPr>
                <w:rFonts w:hint="eastAsia"/>
                <w:spacing w:val="0"/>
                <w:sz w:val="18"/>
              </w:rPr>
              <w:t>)</w:t>
            </w:r>
            <w:r>
              <w:rPr>
                <w:sz w:val="18"/>
              </w:rPr>
              <w:br/>
            </w:r>
            <w:r>
              <w:rPr>
                <w:rFonts w:hint="eastAsia"/>
                <w:sz w:val="18"/>
              </w:rPr>
              <w:t>1998</w:t>
            </w:r>
            <w:r>
              <w:rPr>
                <w:rFonts w:hint="eastAsia"/>
                <w:sz w:val="18"/>
              </w:rPr>
              <w:t>年</w:t>
            </w:r>
          </w:p>
        </w:tc>
        <w:tc>
          <w:tcPr>
            <w:tcW w:w="1021" w:type="dxa"/>
            <w:vMerge w:val="restart"/>
          </w:tcPr>
          <w:p w:rsidR="00000000" w:rsidRDefault="00000000">
            <w:pPr>
              <w:spacing w:before="120" w:after="40" w:line="240" w:lineRule="auto"/>
              <w:jc w:val="center"/>
              <w:rPr>
                <w:rFonts w:hint="eastAsia"/>
                <w:sz w:val="18"/>
              </w:rPr>
            </w:pPr>
            <w:r>
              <w:rPr>
                <w:rFonts w:hint="eastAsia"/>
                <w:spacing w:val="0"/>
                <w:sz w:val="18"/>
              </w:rPr>
              <w:t>成人识字率</w:t>
            </w:r>
            <w:r>
              <w:rPr>
                <w:sz w:val="18"/>
              </w:rPr>
              <w:br/>
            </w:r>
            <w:r>
              <w:rPr>
                <w:rFonts w:hint="eastAsia"/>
                <w:sz w:val="18"/>
              </w:rPr>
              <w:t>(15</w:t>
            </w:r>
            <w:r>
              <w:rPr>
                <w:rFonts w:hint="eastAsia"/>
                <w:sz w:val="18"/>
              </w:rPr>
              <w:t>岁以上</w:t>
            </w:r>
            <w:r>
              <w:rPr>
                <w:rFonts w:hint="eastAsia"/>
                <w:sz w:val="18"/>
              </w:rPr>
              <w:t>)</w:t>
            </w:r>
            <w:r>
              <w:rPr>
                <w:sz w:val="18"/>
              </w:rPr>
              <w:br/>
            </w:r>
            <w:r>
              <w:rPr>
                <w:rFonts w:hint="eastAsia"/>
                <w:sz w:val="18"/>
              </w:rPr>
              <w:t>百万</w:t>
            </w:r>
            <w:r>
              <w:rPr>
                <w:sz w:val="18"/>
              </w:rPr>
              <w:br/>
            </w:r>
            <w:r>
              <w:rPr>
                <w:rFonts w:hint="eastAsia"/>
                <w:sz w:val="18"/>
              </w:rPr>
              <w:t>1989</w:t>
            </w:r>
            <w:r>
              <w:rPr>
                <w:rFonts w:hint="eastAsia"/>
                <w:sz w:val="18"/>
              </w:rPr>
              <w:t>年</w:t>
            </w:r>
          </w:p>
        </w:tc>
        <w:tc>
          <w:tcPr>
            <w:tcW w:w="1033" w:type="dxa"/>
            <w:vMerge w:val="restart"/>
          </w:tcPr>
          <w:p w:rsidR="00000000" w:rsidRDefault="00000000">
            <w:pPr>
              <w:spacing w:before="120" w:after="40" w:line="240" w:lineRule="auto"/>
              <w:jc w:val="center"/>
              <w:rPr>
                <w:rFonts w:hint="eastAsia"/>
                <w:sz w:val="18"/>
              </w:rPr>
            </w:pPr>
            <w:r>
              <w:rPr>
                <w:rFonts w:hint="eastAsia"/>
                <w:sz w:val="18"/>
              </w:rPr>
              <w:t>文盲妇女</w:t>
            </w:r>
            <w:r>
              <w:rPr>
                <w:sz w:val="18"/>
              </w:rPr>
              <w:br/>
            </w:r>
            <w:r>
              <w:rPr>
                <w:rFonts w:hint="eastAsia"/>
                <w:sz w:val="18"/>
              </w:rPr>
              <w:t>(15</w:t>
            </w:r>
            <w:r>
              <w:rPr>
                <w:rFonts w:hint="eastAsia"/>
                <w:sz w:val="18"/>
              </w:rPr>
              <w:t>岁以上</w:t>
            </w:r>
            <w:r>
              <w:rPr>
                <w:rFonts w:hint="eastAsia"/>
                <w:sz w:val="18"/>
              </w:rPr>
              <w:t>)</w:t>
            </w:r>
            <w:r>
              <w:rPr>
                <w:sz w:val="18"/>
              </w:rPr>
              <w:br/>
            </w:r>
            <w:r>
              <w:rPr>
                <w:rFonts w:hint="eastAsia"/>
                <w:sz w:val="18"/>
              </w:rPr>
              <w:t>百万</w:t>
            </w:r>
            <w:r>
              <w:rPr>
                <w:sz w:val="18"/>
              </w:rPr>
              <w:br/>
            </w:r>
            <w:r>
              <w:rPr>
                <w:rFonts w:hint="eastAsia"/>
                <w:sz w:val="18"/>
              </w:rPr>
              <w:t>1989</w:t>
            </w:r>
            <w:r>
              <w:rPr>
                <w:rFonts w:hint="eastAsia"/>
                <w:sz w:val="18"/>
              </w:rPr>
              <w:t>年</w:t>
            </w:r>
          </w:p>
        </w:tc>
        <w:tc>
          <w:tcPr>
            <w:tcW w:w="941" w:type="dxa"/>
            <w:vMerge w:val="restart"/>
          </w:tcPr>
          <w:p w:rsidR="00000000" w:rsidRDefault="00000000">
            <w:pPr>
              <w:spacing w:before="120" w:after="40" w:line="240" w:lineRule="auto"/>
              <w:jc w:val="center"/>
              <w:rPr>
                <w:rFonts w:hint="eastAsia"/>
                <w:sz w:val="18"/>
              </w:rPr>
            </w:pPr>
            <w:r>
              <w:rPr>
                <w:rFonts w:hint="eastAsia"/>
                <w:sz w:val="18"/>
              </w:rPr>
              <w:t>未上小学</w:t>
            </w:r>
            <w:r>
              <w:rPr>
                <w:sz w:val="18"/>
              </w:rPr>
              <w:br/>
            </w:r>
            <w:r>
              <w:rPr>
                <w:rFonts w:hint="eastAsia"/>
                <w:sz w:val="18"/>
              </w:rPr>
              <w:t>的儿童</w:t>
            </w:r>
            <w:r>
              <w:rPr>
                <w:rFonts w:hint="eastAsia"/>
                <w:sz w:val="18"/>
              </w:rPr>
              <w:t>(</w:t>
            </w:r>
            <w:r>
              <w:rPr>
                <w:rFonts w:hint="eastAsia"/>
                <w:sz w:val="18"/>
              </w:rPr>
              <w:t>千</w:t>
            </w:r>
            <w:r>
              <w:rPr>
                <w:rFonts w:hint="eastAsia"/>
                <w:sz w:val="18"/>
              </w:rPr>
              <w:t>)</w:t>
            </w:r>
            <w:r>
              <w:rPr>
                <w:sz w:val="18"/>
              </w:rPr>
              <w:br/>
            </w:r>
            <w:r>
              <w:rPr>
                <w:rFonts w:hint="eastAsia"/>
                <w:sz w:val="18"/>
              </w:rPr>
              <w:t>1998</w:t>
            </w:r>
            <w:r>
              <w:rPr>
                <w:rFonts w:hint="eastAsia"/>
                <w:sz w:val="18"/>
              </w:rPr>
              <w:t>年</w:t>
            </w:r>
          </w:p>
        </w:tc>
        <w:tc>
          <w:tcPr>
            <w:tcW w:w="941" w:type="dxa"/>
            <w:vMerge w:val="restart"/>
          </w:tcPr>
          <w:p w:rsidR="00000000" w:rsidRDefault="00000000">
            <w:pPr>
              <w:spacing w:before="120" w:after="40" w:line="240" w:lineRule="auto"/>
              <w:jc w:val="center"/>
              <w:rPr>
                <w:rFonts w:hint="eastAsia"/>
                <w:sz w:val="18"/>
              </w:rPr>
            </w:pPr>
            <w:r>
              <w:rPr>
                <w:rFonts w:hint="eastAsia"/>
                <w:sz w:val="18"/>
              </w:rPr>
              <w:t>5</w:t>
            </w:r>
            <w:r>
              <w:rPr>
                <w:rFonts w:hint="eastAsia"/>
                <w:sz w:val="18"/>
              </w:rPr>
              <w:t>岁前死亡的儿童</w:t>
            </w:r>
            <w:r>
              <w:rPr>
                <w:sz w:val="18"/>
              </w:rPr>
              <w:br/>
            </w:r>
            <w:r>
              <w:rPr>
                <w:rFonts w:hint="eastAsia"/>
                <w:sz w:val="18"/>
              </w:rPr>
              <w:t>(</w:t>
            </w:r>
            <w:r>
              <w:rPr>
                <w:rFonts w:hint="eastAsia"/>
                <w:sz w:val="18"/>
              </w:rPr>
              <w:t>千</w:t>
            </w:r>
            <w:r>
              <w:rPr>
                <w:rFonts w:hint="eastAsia"/>
                <w:sz w:val="18"/>
              </w:rPr>
              <w:t>)</w:t>
            </w:r>
            <w:r>
              <w:rPr>
                <w:sz w:val="18"/>
              </w:rPr>
              <w:br/>
            </w:r>
            <w:r>
              <w:rPr>
                <w:rFonts w:hint="eastAsia"/>
                <w:sz w:val="18"/>
              </w:rPr>
              <w:t>1998</w:t>
            </w:r>
            <w:r>
              <w:rPr>
                <w:rFonts w:hint="eastAsia"/>
                <w:sz w:val="18"/>
              </w:rPr>
              <w:t>年</w:t>
            </w:r>
          </w:p>
        </w:tc>
      </w:tr>
      <w:tr w:rsidR="00000000">
        <w:tblPrEx>
          <w:tblCellMar>
            <w:top w:w="0" w:type="dxa"/>
            <w:bottom w:w="0" w:type="dxa"/>
          </w:tblCellMar>
        </w:tblPrEx>
        <w:trPr>
          <w:cantSplit/>
        </w:trPr>
        <w:tc>
          <w:tcPr>
            <w:tcW w:w="630" w:type="dxa"/>
          </w:tcPr>
          <w:p w:rsidR="00000000" w:rsidRDefault="00000000">
            <w:pPr>
              <w:spacing w:before="180"/>
              <w:ind w:left="-57" w:right="-57"/>
              <w:jc w:val="center"/>
              <w:rPr>
                <w:sz w:val="18"/>
              </w:rPr>
            </w:pPr>
            <w:r>
              <w:rPr>
                <w:sz w:val="18"/>
              </w:rPr>
              <w:t>1959</w:t>
            </w:r>
          </w:p>
        </w:tc>
        <w:tc>
          <w:tcPr>
            <w:tcW w:w="700" w:type="dxa"/>
          </w:tcPr>
          <w:p w:rsidR="00000000" w:rsidRDefault="00000000">
            <w:pPr>
              <w:spacing w:before="180"/>
              <w:ind w:left="-57" w:right="-57"/>
              <w:jc w:val="center"/>
              <w:rPr>
                <w:sz w:val="18"/>
              </w:rPr>
            </w:pPr>
            <w:r>
              <w:rPr>
                <w:sz w:val="18"/>
              </w:rPr>
              <w:t>1999</w:t>
            </w:r>
          </w:p>
        </w:tc>
        <w:tc>
          <w:tcPr>
            <w:tcW w:w="770" w:type="dxa"/>
          </w:tcPr>
          <w:p w:rsidR="00000000" w:rsidRDefault="00000000">
            <w:pPr>
              <w:spacing w:before="180"/>
              <w:ind w:left="-57" w:right="-57"/>
              <w:jc w:val="center"/>
              <w:rPr>
                <w:sz w:val="18"/>
              </w:rPr>
            </w:pPr>
            <w:r>
              <w:rPr>
                <w:sz w:val="18"/>
              </w:rPr>
              <w:t>1960</w:t>
            </w:r>
          </w:p>
        </w:tc>
        <w:tc>
          <w:tcPr>
            <w:tcW w:w="918" w:type="dxa"/>
          </w:tcPr>
          <w:p w:rsidR="00000000" w:rsidRDefault="00000000">
            <w:pPr>
              <w:spacing w:before="180"/>
              <w:ind w:left="-57" w:right="-57"/>
              <w:jc w:val="center"/>
              <w:rPr>
                <w:sz w:val="18"/>
              </w:rPr>
            </w:pPr>
            <w:r>
              <w:rPr>
                <w:sz w:val="18"/>
              </w:rPr>
              <w:t>1999</w:t>
            </w:r>
          </w:p>
        </w:tc>
        <w:tc>
          <w:tcPr>
            <w:tcW w:w="958" w:type="dxa"/>
            <w:vMerge/>
          </w:tcPr>
          <w:p w:rsidR="00000000" w:rsidRDefault="00000000">
            <w:pPr>
              <w:rPr>
                <w:rFonts w:hint="eastAsia"/>
                <w:sz w:val="18"/>
              </w:rPr>
            </w:pPr>
          </w:p>
        </w:tc>
        <w:tc>
          <w:tcPr>
            <w:tcW w:w="1498" w:type="dxa"/>
            <w:vMerge/>
          </w:tcPr>
          <w:p w:rsidR="00000000" w:rsidRDefault="00000000">
            <w:pPr>
              <w:rPr>
                <w:rFonts w:hint="eastAsia"/>
                <w:sz w:val="18"/>
              </w:rPr>
            </w:pPr>
          </w:p>
        </w:tc>
        <w:tc>
          <w:tcPr>
            <w:tcW w:w="1021" w:type="dxa"/>
            <w:vMerge/>
          </w:tcPr>
          <w:p w:rsidR="00000000" w:rsidRDefault="00000000">
            <w:pPr>
              <w:rPr>
                <w:rFonts w:hint="eastAsia"/>
                <w:sz w:val="18"/>
              </w:rPr>
            </w:pPr>
          </w:p>
        </w:tc>
        <w:tc>
          <w:tcPr>
            <w:tcW w:w="1033" w:type="dxa"/>
            <w:vMerge/>
          </w:tcPr>
          <w:p w:rsidR="00000000" w:rsidRDefault="00000000">
            <w:pPr>
              <w:rPr>
                <w:rFonts w:hint="eastAsia"/>
                <w:sz w:val="18"/>
              </w:rPr>
            </w:pPr>
          </w:p>
        </w:tc>
        <w:tc>
          <w:tcPr>
            <w:tcW w:w="941" w:type="dxa"/>
            <w:vMerge/>
          </w:tcPr>
          <w:p w:rsidR="00000000" w:rsidRDefault="00000000">
            <w:pPr>
              <w:rPr>
                <w:rFonts w:hint="eastAsia"/>
                <w:sz w:val="18"/>
              </w:rPr>
            </w:pPr>
          </w:p>
        </w:tc>
        <w:tc>
          <w:tcPr>
            <w:tcW w:w="941" w:type="dxa"/>
            <w:vMerge/>
          </w:tcPr>
          <w:p w:rsidR="00000000" w:rsidRDefault="00000000">
            <w:pPr>
              <w:rPr>
                <w:rFonts w:hint="eastAsia"/>
                <w:sz w:val="18"/>
              </w:rPr>
            </w:pPr>
          </w:p>
        </w:tc>
      </w:tr>
      <w:tr w:rsidR="00000000">
        <w:tblPrEx>
          <w:tblCellMar>
            <w:top w:w="0" w:type="dxa"/>
            <w:bottom w:w="0" w:type="dxa"/>
          </w:tblCellMar>
        </w:tblPrEx>
        <w:tc>
          <w:tcPr>
            <w:tcW w:w="630" w:type="dxa"/>
          </w:tcPr>
          <w:p w:rsidR="00000000" w:rsidRDefault="00000000">
            <w:pPr>
              <w:spacing w:before="160" w:after="40"/>
              <w:ind w:left="-57" w:right="-57"/>
              <w:jc w:val="center"/>
              <w:rPr>
                <w:sz w:val="18"/>
              </w:rPr>
            </w:pPr>
            <w:r>
              <w:rPr>
                <w:sz w:val="18"/>
              </w:rPr>
              <w:t>68.1</w:t>
            </w:r>
          </w:p>
        </w:tc>
        <w:tc>
          <w:tcPr>
            <w:tcW w:w="700" w:type="dxa"/>
          </w:tcPr>
          <w:p w:rsidR="00000000" w:rsidRDefault="00000000">
            <w:pPr>
              <w:spacing w:before="160" w:after="40"/>
              <w:ind w:left="-57" w:right="-57"/>
              <w:jc w:val="center"/>
              <w:rPr>
                <w:sz w:val="18"/>
              </w:rPr>
            </w:pPr>
            <w:r>
              <w:rPr>
                <w:sz w:val="18"/>
              </w:rPr>
              <w:t>67.4</w:t>
            </w:r>
          </w:p>
        </w:tc>
        <w:tc>
          <w:tcPr>
            <w:tcW w:w="770" w:type="dxa"/>
          </w:tcPr>
          <w:p w:rsidR="00000000" w:rsidRDefault="00000000">
            <w:pPr>
              <w:spacing w:before="160" w:after="40"/>
              <w:ind w:left="-57" w:right="-57"/>
              <w:jc w:val="center"/>
              <w:rPr>
                <w:sz w:val="18"/>
              </w:rPr>
            </w:pPr>
            <w:r>
              <w:rPr>
                <w:sz w:val="18"/>
              </w:rPr>
              <w:t>48.2</w:t>
            </w:r>
          </w:p>
        </w:tc>
        <w:tc>
          <w:tcPr>
            <w:tcW w:w="918" w:type="dxa"/>
          </w:tcPr>
          <w:p w:rsidR="00000000" w:rsidRDefault="00000000">
            <w:pPr>
              <w:spacing w:before="160" w:after="40"/>
              <w:ind w:left="-57" w:right="-57"/>
              <w:jc w:val="center"/>
              <w:rPr>
                <w:sz w:val="18"/>
              </w:rPr>
            </w:pPr>
            <w:r>
              <w:rPr>
                <w:sz w:val="18"/>
              </w:rPr>
              <w:t>19.1</w:t>
            </w:r>
          </w:p>
        </w:tc>
        <w:tc>
          <w:tcPr>
            <w:tcW w:w="958" w:type="dxa"/>
          </w:tcPr>
          <w:p w:rsidR="00000000" w:rsidRDefault="00000000">
            <w:pPr>
              <w:spacing w:before="160" w:after="40"/>
              <w:ind w:left="-57" w:right="-57"/>
              <w:jc w:val="center"/>
              <w:rPr>
                <w:sz w:val="18"/>
              </w:rPr>
            </w:pPr>
            <w:r>
              <w:rPr>
                <w:sz w:val="18"/>
              </w:rPr>
              <w:t>96.4</w:t>
            </w:r>
          </w:p>
        </w:tc>
        <w:tc>
          <w:tcPr>
            <w:tcW w:w="1498" w:type="dxa"/>
          </w:tcPr>
          <w:p w:rsidR="00000000" w:rsidRDefault="00000000">
            <w:pPr>
              <w:spacing w:before="160" w:after="40"/>
              <w:ind w:left="-57" w:right="-57"/>
              <w:jc w:val="center"/>
              <w:rPr>
                <w:sz w:val="18"/>
              </w:rPr>
            </w:pPr>
            <w:r>
              <w:rPr>
                <w:sz w:val="18"/>
              </w:rPr>
              <w:t>71</w:t>
            </w:r>
          </w:p>
        </w:tc>
        <w:tc>
          <w:tcPr>
            <w:tcW w:w="1021" w:type="dxa"/>
          </w:tcPr>
          <w:p w:rsidR="00000000" w:rsidRDefault="00000000">
            <w:pPr>
              <w:spacing w:before="160" w:after="40"/>
              <w:ind w:left="-57" w:right="-57"/>
              <w:jc w:val="center"/>
              <w:rPr>
                <w:sz w:val="18"/>
              </w:rPr>
            </w:pPr>
            <w:r>
              <w:rPr>
                <w:sz w:val="18"/>
              </w:rPr>
              <w:t>0.1</w:t>
            </w:r>
          </w:p>
        </w:tc>
        <w:tc>
          <w:tcPr>
            <w:tcW w:w="1033" w:type="dxa"/>
          </w:tcPr>
          <w:p w:rsidR="00000000" w:rsidRDefault="00000000">
            <w:pPr>
              <w:spacing w:before="160" w:after="40"/>
              <w:ind w:left="-57" w:right="-57"/>
              <w:jc w:val="center"/>
              <w:rPr>
                <w:sz w:val="18"/>
              </w:rPr>
            </w:pPr>
            <w:r>
              <w:rPr>
                <w:sz w:val="18"/>
              </w:rPr>
              <w:t>0.09</w:t>
            </w:r>
          </w:p>
        </w:tc>
        <w:tc>
          <w:tcPr>
            <w:tcW w:w="941" w:type="dxa"/>
          </w:tcPr>
          <w:p w:rsidR="00000000" w:rsidRDefault="00000000">
            <w:pPr>
              <w:spacing w:before="160" w:after="40"/>
              <w:ind w:left="-57" w:right="-57"/>
              <w:jc w:val="center"/>
              <w:rPr>
                <w:sz w:val="18"/>
              </w:rPr>
            </w:pPr>
            <w:r>
              <w:rPr>
                <w:sz w:val="18"/>
              </w:rPr>
              <w:t>17.5</w:t>
            </w:r>
          </w:p>
        </w:tc>
        <w:tc>
          <w:tcPr>
            <w:tcW w:w="941" w:type="dxa"/>
          </w:tcPr>
          <w:p w:rsidR="00000000" w:rsidRDefault="00000000">
            <w:pPr>
              <w:spacing w:before="160" w:after="40"/>
              <w:ind w:left="-57" w:right="-57"/>
              <w:jc w:val="center"/>
              <w:rPr>
                <w:sz w:val="18"/>
              </w:rPr>
            </w:pPr>
            <w:r>
              <w:rPr>
                <w:sz w:val="18"/>
              </w:rPr>
              <w:t>0.9</w:t>
            </w:r>
          </w:p>
        </w:tc>
      </w:tr>
    </w:tbl>
    <w:p w:rsidR="00000000" w:rsidRDefault="00000000">
      <w:pPr>
        <w:spacing w:before="180"/>
        <w:rPr>
          <w:rFonts w:eastAsia="KaiTi_GB2312" w:hint="eastAsia"/>
          <w:snapToGrid/>
          <w:spacing w:val="0"/>
          <w:sz w:val="22"/>
        </w:rPr>
      </w:pPr>
      <w:r>
        <w:rPr>
          <w:rFonts w:eastAsia="KaiTi_GB2312" w:hint="eastAsia"/>
          <w:snapToGrid/>
          <w:spacing w:val="0"/>
          <w:sz w:val="22"/>
          <w:u w:val="single"/>
        </w:rPr>
        <w:t>资料来源</w:t>
      </w:r>
      <w:r>
        <w:rPr>
          <w:rFonts w:eastAsia="KaiTi_GB2312" w:hint="eastAsia"/>
          <w:snapToGrid/>
          <w:spacing w:val="0"/>
          <w:sz w:val="22"/>
        </w:rPr>
        <w:t>(</w:t>
      </w:r>
      <w:r>
        <w:rPr>
          <w:rFonts w:eastAsia="KaiTi_GB2312" w:hint="eastAsia"/>
          <w:snapToGrid/>
          <w:spacing w:val="0"/>
          <w:sz w:val="22"/>
        </w:rPr>
        <w:t>表</w:t>
      </w:r>
      <w:r>
        <w:rPr>
          <w:rFonts w:eastAsia="KaiTi_GB2312" w:hint="eastAsia"/>
          <w:snapToGrid/>
          <w:spacing w:val="0"/>
          <w:sz w:val="22"/>
        </w:rPr>
        <w:t>2-5)</w:t>
      </w:r>
      <w:r>
        <w:rPr>
          <w:rFonts w:eastAsia="KaiTi_GB2312" w:hint="eastAsia"/>
          <w:snapToGrid/>
          <w:spacing w:val="0"/>
          <w:sz w:val="22"/>
        </w:rPr>
        <w:t>：联合国开发计划署驻摩尔多瓦共和国办事处</w:t>
      </w:r>
      <w:r>
        <w:rPr>
          <w:rFonts w:hint="eastAsia"/>
          <w:snapToGrid/>
          <w:spacing w:val="-50"/>
          <w:sz w:val="22"/>
        </w:rPr>
        <w:t>―</w:t>
      </w:r>
      <w:r>
        <w:rPr>
          <w:rFonts w:hint="eastAsia"/>
          <w:snapToGrid/>
          <w:sz w:val="22"/>
        </w:rPr>
        <w:t>―</w:t>
      </w:r>
      <w:r>
        <w:rPr>
          <w:rFonts w:eastAsia="KaiTi_GB2312" w:hint="eastAsia"/>
          <w:snapToGrid/>
          <w:spacing w:val="0"/>
          <w:sz w:val="22"/>
        </w:rPr>
        <w:t>《</w:t>
      </w:r>
      <w:r>
        <w:rPr>
          <w:rFonts w:eastAsia="KaiTi_GB2312"/>
          <w:snapToGrid/>
          <w:spacing w:val="0"/>
          <w:sz w:val="22"/>
        </w:rPr>
        <w:t>199</w:t>
      </w:r>
      <w:r>
        <w:rPr>
          <w:rFonts w:eastAsia="KaiTi_GB2312" w:hint="eastAsia"/>
          <w:snapToGrid/>
          <w:spacing w:val="0"/>
          <w:sz w:val="22"/>
        </w:rPr>
        <w:t>9</w:t>
      </w:r>
      <w:r>
        <w:rPr>
          <w:rFonts w:eastAsia="KaiTi_GB2312" w:hint="eastAsia"/>
          <w:snapToGrid/>
          <w:spacing w:val="0"/>
          <w:sz w:val="22"/>
        </w:rPr>
        <w:t>年报告》。</w:t>
      </w:r>
    </w:p>
    <w:p w:rsidR="00000000" w:rsidRDefault="00000000">
      <w:pPr>
        <w:rPr>
          <w:rFonts w:eastAsia="KaiTi_GB2312" w:hint="eastAsia"/>
          <w:snapToGrid/>
          <w:spacing w:val="0"/>
          <w:sz w:val="22"/>
        </w:rPr>
      </w:pPr>
    </w:p>
    <w:p w:rsidR="00000000" w:rsidRDefault="00000000">
      <w:pPr>
        <w:pStyle w:val="Heading3"/>
        <w:spacing w:before="120" w:after="160"/>
        <w:rPr>
          <w:rFonts w:hint="eastAsia"/>
          <w:snapToGrid/>
          <w:sz w:val="22"/>
        </w:rPr>
      </w:pPr>
      <w:r>
        <w:rPr>
          <w:rFonts w:hint="eastAsia"/>
          <w:sz w:val="22"/>
          <w:u w:val="none"/>
        </w:rPr>
        <w:t>表</w:t>
      </w:r>
      <w:r>
        <w:rPr>
          <w:rFonts w:hint="eastAsia"/>
          <w:sz w:val="22"/>
          <w:u w:val="none"/>
        </w:rPr>
        <w:t xml:space="preserve"> 6</w:t>
      </w:r>
      <w:r>
        <w:rPr>
          <w:rFonts w:hint="eastAsia"/>
          <w:snapToGrid/>
          <w:sz w:val="22"/>
          <w:u w:val="none"/>
        </w:rPr>
        <w:t xml:space="preserve">.  </w:t>
      </w:r>
      <w:r>
        <w:rPr>
          <w:rFonts w:hint="eastAsia"/>
          <w:snapToGrid/>
          <w:sz w:val="22"/>
        </w:rPr>
        <w:t>主要人口指标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18"/>
        <w:gridCol w:w="1170"/>
        <w:gridCol w:w="1076"/>
        <w:gridCol w:w="1063"/>
        <w:gridCol w:w="1036"/>
        <w:gridCol w:w="1050"/>
        <w:gridCol w:w="997"/>
      </w:tblGrid>
      <w:tr w:rsidR="00000000">
        <w:tblPrEx>
          <w:tblCellMar>
            <w:top w:w="0" w:type="dxa"/>
            <w:bottom w:w="0" w:type="dxa"/>
          </w:tblCellMar>
        </w:tblPrEx>
        <w:tc>
          <w:tcPr>
            <w:tcW w:w="3018" w:type="dxa"/>
            <w:tcBorders>
              <w:bottom w:val="single" w:sz="4" w:space="0" w:color="auto"/>
            </w:tcBorders>
          </w:tcPr>
          <w:p w:rsidR="00000000" w:rsidRDefault="00000000">
            <w:pPr>
              <w:spacing w:before="120" w:after="40"/>
              <w:rPr>
                <w:rFonts w:hint="eastAsia"/>
                <w:snapToGrid/>
                <w:sz w:val="20"/>
              </w:rPr>
            </w:pPr>
          </w:p>
        </w:tc>
        <w:tc>
          <w:tcPr>
            <w:tcW w:w="1170" w:type="dxa"/>
            <w:tcBorders>
              <w:bottom w:val="single" w:sz="4" w:space="0" w:color="auto"/>
            </w:tcBorders>
          </w:tcPr>
          <w:p w:rsidR="00000000" w:rsidRDefault="00000000">
            <w:pPr>
              <w:spacing w:before="120" w:after="40"/>
              <w:ind w:left="-57" w:right="-57"/>
              <w:jc w:val="center"/>
              <w:rPr>
                <w:snapToGrid/>
                <w:sz w:val="20"/>
              </w:rPr>
            </w:pPr>
            <w:r>
              <w:rPr>
                <w:snapToGrid/>
                <w:sz w:val="20"/>
              </w:rPr>
              <w:t>1990</w:t>
            </w:r>
          </w:p>
        </w:tc>
        <w:tc>
          <w:tcPr>
            <w:tcW w:w="1076" w:type="dxa"/>
            <w:tcBorders>
              <w:bottom w:val="single" w:sz="4" w:space="0" w:color="auto"/>
            </w:tcBorders>
          </w:tcPr>
          <w:p w:rsidR="00000000" w:rsidRDefault="00000000">
            <w:pPr>
              <w:spacing w:before="120" w:after="40"/>
              <w:ind w:left="-57" w:right="-57"/>
              <w:jc w:val="center"/>
              <w:rPr>
                <w:snapToGrid/>
                <w:sz w:val="20"/>
              </w:rPr>
            </w:pPr>
            <w:r>
              <w:rPr>
                <w:snapToGrid/>
                <w:sz w:val="20"/>
              </w:rPr>
              <w:t>1995</w:t>
            </w:r>
          </w:p>
        </w:tc>
        <w:tc>
          <w:tcPr>
            <w:tcW w:w="1063" w:type="dxa"/>
            <w:tcBorders>
              <w:bottom w:val="single" w:sz="4" w:space="0" w:color="auto"/>
            </w:tcBorders>
          </w:tcPr>
          <w:p w:rsidR="00000000" w:rsidRDefault="00000000">
            <w:pPr>
              <w:spacing w:before="120" w:after="40"/>
              <w:ind w:left="-57" w:right="-57"/>
              <w:jc w:val="center"/>
              <w:rPr>
                <w:snapToGrid/>
                <w:sz w:val="20"/>
              </w:rPr>
            </w:pPr>
            <w:r>
              <w:rPr>
                <w:snapToGrid/>
                <w:sz w:val="20"/>
              </w:rPr>
              <w:t>1996</w:t>
            </w:r>
          </w:p>
        </w:tc>
        <w:tc>
          <w:tcPr>
            <w:tcW w:w="1036" w:type="dxa"/>
            <w:tcBorders>
              <w:bottom w:val="single" w:sz="4" w:space="0" w:color="auto"/>
            </w:tcBorders>
          </w:tcPr>
          <w:p w:rsidR="00000000" w:rsidRDefault="00000000">
            <w:pPr>
              <w:spacing w:before="120" w:after="40"/>
              <w:ind w:left="-57" w:right="-57"/>
              <w:jc w:val="center"/>
              <w:rPr>
                <w:snapToGrid/>
                <w:sz w:val="20"/>
              </w:rPr>
            </w:pPr>
            <w:r>
              <w:rPr>
                <w:snapToGrid/>
                <w:sz w:val="20"/>
              </w:rPr>
              <w:t>1997</w:t>
            </w:r>
          </w:p>
        </w:tc>
        <w:tc>
          <w:tcPr>
            <w:tcW w:w="1050" w:type="dxa"/>
            <w:tcBorders>
              <w:bottom w:val="single" w:sz="4" w:space="0" w:color="auto"/>
            </w:tcBorders>
          </w:tcPr>
          <w:p w:rsidR="00000000" w:rsidRDefault="00000000">
            <w:pPr>
              <w:spacing w:before="120" w:after="40"/>
              <w:ind w:left="-57" w:right="-57"/>
              <w:jc w:val="center"/>
              <w:rPr>
                <w:snapToGrid/>
                <w:sz w:val="20"/>
              </w:rPr>
            </w:pPr>
            <w:r>
              <w:rPr>
                <w:snapToGrid/>
                <w:sz w:val="20"/>
              </w:rPr>
              <w:t>1998</w:t>
            </w:r>
          </w:p>
        </w:tc>
        <w:tc>
          <w:tcPr>
            <w:tcW w:w="997" w:type="dxa"/>
            <w:tcBorders>
              <w:bottom w:val="single" w:sz="4" w:space="0" w:color="auto"/>
            </w:tcBorders>
          </w:tcPr>
          <w:p w:rsidR="00000000" w:rsidRDefault="00000000">
            <w:pPr>
              <w:spacing w:before="120" w:after="40"/>
              <w:ind w:left="-57" w:right="-57"/>
              <w:jc w:val="center"/>
              <w:rPr>
                <w:snapToGrid/>
                <w:sz w:val="20"/>
              </w:rPr>
            </w:pPr>
            <w:r>
              <w:rPr>
                <w:snapToGrid/>
                <w:sz w:val="20"/>
              </w:rPr>
              <w:t>1999</w:t>
            </w:r>
          </w:p>
        </w:tc>
      </w:tr>
      <w:tr w:rsidR="00000000">
        <w:tblPrEx>
          <w:tblCellMar>
            <w:top w:w="0" w:type="dxa"/>
            <w:bottom w:w="0" w:type="dxa"/>
          </w:tblCellMar>
        </w:tblPrEx>
        <w:tc>
          <w:tcPr>
            <w:tcW w:w="3018" w:type="dxa"/>
            <w:tcBorders>
              <w:top w:val="single" w:sz="4" w:space="0" w:color="auto"/>
              <w:bottom w:val="nil"/>
            </w:tcBorders>
          </w:tcPr>
          <w:p w:rsidR="00000000" w:rsidRDefault="00000000">
            <w:pPr>
              <w:spacing w:before="120" w:line="312" w:lineRule="auto"/>
              <w:ind w:left="57"/>
              <w:rPr>
                <w:rFonts w:hint="eastAsia"/>
                <w:snapToGrid/>
                <w:sz w:val="20"/>
              </w:rPr>
            </w:pPr>
            <w:r>
              <w:rPr>
                <w:rFonts w:hint="eastAsia"/>
                <w:snapToGrid/>
                <w:sz w:val="20"/>
              </w:rPr>
              <w:t>总人口</w:t>
            </w:r>
          </w:p>
        </w:tc>
        <w:tc>
          <w:tcPr>
            <w:tcW w:w="1170" w:type="dxa"/>
            <w:tcBorders>
              <w:top w:val="single" w:sz="4" w:space="0" w:color="auto"/>
              <w:bottom w:val="nil"/>
            </w:tcBorders>
          </w:tcPr>
          <w:p w:rsidR="00000000" w:rsidRDefault="00000000">
            <w:pPr>
              <w:spacing w:before="120" w:line="312" w:lineRule="auto"/>
              <w:ind w:left="-57" w:right="227"/>
              <w:jc w:val="right"/>
              <w:rPr>
                <w:snapToGrid/>
                <w:sz w:val="20"/>
              </w:rPr>
            </w:pPr>
            <w:r>
              <w:rPr>
                <w:snapToGrid/>
                <w:sz w:val="20"/>
              </w:rPr>
              <w:t>4,366.3</w:t>
            </w:r>
          </w:p>
        </w:tc>
        <w:tc>
          <w:tcPr>
            <w:tcW w:w="1076" w:type="dxa"/>
            <w:tcBorders>
              <w:top w:val="single" w:sz="4" w:space="0" w:color="auto"/>
              <w:bottom w:val="nil"/>
            </w:tcBorders>
          </w:tcPr>
          <w:p w:rsidR="00000000" w:rsidRDefault="00000000">
            <w:pPr>
              <w:spacing w:before="120" w:line="312" w:lineRule="auto"/>
              <w:ind w:left="-57" w:right="227"/>
              <w:jc w:val="right"/>
              <w:rPr>
                <w:snapToGrid/>
                <w:sz w:val="20"/>
              </w:rPr>
            </w:pPr>
            <w:r>
              <w:rPr>
                <w:snapToGrid/>
                <w:sz w:val="20"/>
              </w:rPr>
              <w:t>4,334.4</w:t>
            </w:r>
          </w:p>
        </w:tc>
        <w:tc>
          <w:tcPr>
            <w:tcW w:w="1063" w:type="dxa"/>
            <w:tcBorders>
              <w:top w:val="single" w:sz="4" w:space="0" w:color="auto"/>
              <w:bottom w:val="nil"/>
            </w:tcBorders>
          </w:tcPr>
          <w:p w:rsidR="00000000" w:rsidRDefault="00000000">
            <w:pPr>
              <w:spacing w:before="120" w:line="312" w:lineRule="auto"/>
              <w:ind w:left="-57" w:right="227"/>
              <w:jc w:val="right"/>
              <w:rPr>
                <w:snapToGrid/>
                <w:sz w:val="20"/>
              </w:rPr>
            </w:pPr>
            <w:r>
              <w:rPr>
                <w:snapToGrid/>
                <w:sz w:val="20"/>
              </w:rPr>
              <w:t>4,320.0</w:t>
            </w:r>
          </w:p>
        </w:tc>
        <w:tc>
          <w:tcPr>
            <w:tcW w:w="1036" w:type="dxa"/>
            <w:tcBorders>
              <w:top w:val="single" w:sz="4" w:space="0" w:color="auto"/>
              <w:bottom w:val="nil"/>
            </w:tcBorders>
          </w:tcPr>
          <w:p w:rsidR="00000000" w:rsidRDefault="00000000">
            <w:pPr>
              <w:spacing w:before="120" w:line="312" w:lineRule="auto"/>
              <w:ind w:left="-57" w:right="227"/>
              <w:jc w:val="right"/>
              <w:rPr>
                <w:snapToGrid/>
                <w:sz w:val="20"/>
              </w:rPr>
            </w:pPr>
            <w:r>
              <w:rPr>
                <w:snapToGrid/>
                <w:sz w:val="20"/>
              </w:rPr>
              <w:t>4,304.7</w:t>
            </w:r>
          </w:p>
        </w:tc>
        <w:tc>
          <w:tcPr>
            <w:tcW w:w="1050" w:type="dxa"/>
            <w:tcBorders>
              <w:top w:val="single" w:sz="4" w:space="0" w:color="auto"/>
              <w:bottom w:val="nil"/>
            </w:tcBorders>
          </w:tcPr>
          <w:p w:rsidR="00000000" w:rsidRDefault="00000000">
            <w:pPr>
              <w:spacing w:before="120" w:line="312" w:lineRule="auto"/>
              <w:ind w:left="-57" w:right="227"/>
              <w:jc w:val="right"/>
              <w:rPr>
                <w:snapToGrid/>
                <w:sz w:val="20"/>
              </w:rPr>
            </w:pPr>
            <w:r>
              <w:rPr>
                <w:snapToGrid/>
                <w:sz w:val="20"/>
              </w:rPr>
              <w:t>4,293.0</w:t>
            </w:r>
          </w:p>
        </w:tc>
        <w:tc>
          <w:tcPr>
            <w:tcW w:w="997" w:type="dxa"/>
            <w:tcBorders>
              <w:top w:val="single" w:sz="4" w:space="0" w:color="auto"/>
              <w:bottom w:val="nil"/>
            </w:tcBorders>
          </w:tcPr>
          <w:p w:rsidR="00000000" w:rsidRDefault="00000000">
            <w:pPr>
              <w:spacing w:before="120" w:line="312" w:lineRule="auto"/>
              <w:ind w:left="-57" w:right="227"/>
              <w:jc w:val="right"/>
              <w:rPr>
                <w:snapToGrid/>
                <w:sz w:val="20"/>
              </w:rPr>
            </w:pPr>
            <w:r>
              <w:rPr>
                <w:snapToGrid/>
                <w:sz w:val="20"/>
              </w:rPr>
              <w:t>4,281.5</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男性</w:t>
            </w:r>
            <w:r>
              <w:rPr>
                <w:rFonts w:hint="eastAsia"/>
                <w:snapToGrid/>
                <w:sz w:val="20"/>
              </w:rPr>
              <w:t>(</w:t>
            </w:r>
            <w:r>
              <w:rPr>
                <w:rFonts w:hint="eastAsia"/>
                <w:snapToGrid/>
                <w:sz w:val="20"/>
              </w:rPr>
              <w:t>千</w:t>
            </w:r>
            <w:r>
              <w:rPr>
                <w:rFonts w:hint="eastAsia"/>
                <w:snapToGrid/>
                <w:sz w:val="20"/>
              </w:rPr>
              <w:t>)</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2,082.0</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2,071.0</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2,064.5</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2,057.5</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2,052.0</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2,046.5</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占总数百分比</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47.7</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47.8</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47.8</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47.8</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47.8</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47.8</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城市人口</w:t>
            </w:r>
            <w:r>
              <w:rPr>
                <w:rFonts w:hint="eastAsia"/>
                <w:snapToGrid/>
                <w:sz w:val="20"/>
              </w:rPr>
              <w:t>(</w:t>
            </w:r>
            <w:r>
              <w:rPr>
                <w:rFonts w:hint="eastAsia"/>
                <w:snapToGrid/>
                <w:sz w:val="20"/>
              </w:rPr>
              <w:t>千</w:t>
            </w:r>
            <w:r>
              <w:rPr>
                <w:rFonts w:hint="eastAsia"/>
                <w:snapToGrid/>
                <w:sz w:val="20"/>
              </w:rPr>
              <w:t>)</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2,073.6</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2,004.1</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1,995.3</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1,987.7</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1,976.3</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1,968.5</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占总数百分比</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47.5</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46.2</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46.2</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46.2</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46.0</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46.0</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按年龄划分的人口结构</w:t>
            </w:r>
            <w:r>
              <w:rPr>
                <w:rFonts w:hint="eastAsia"/>
                <w:snapToGrid/>
                <w:sz w:val="20"/>
              </w:rPr>
              <w:t>:</w:t>
            </w:r>
          </w:p>
        </w:tc>
        <w:tc>
          <w:tcPr>
            <w:tcW w:w="1170" w:type="dxa"/>
            <w:tcBorders>
              <w:top w:val="nil"/>
              <w:bottom w:val="nil"/>
            </w:tcBorders>
          </w:tcPr>
          <w:p w:rsidR="00000000" w:rsidRDefault="00000000">
            <w:pPr>
              <w:spacing w:before="60" w:line="312" w:lineRule="auto"/>
              <w:ind w:left="-57" w:right="227"/>
              <w:jc w:val="right"/>
              <w:rPr>
                <w:snapToGrid/>
                <w:sz w:val="20"/>
              </w:rPr>
            </w:pPr>
          </w:p>
        </w:tc>
        <w:tc>
          <w:tcPr>
            <w:tcW w:w="1076" w:type="dxa"/>
            <w:tcBorders>
              <w:top w:val="nil"/>
              <w:bottom w:val="nil"/>
            </w:tcBorders>
          </w:tcPr>
          <w:p w:rsidR="00000000" w:rsidRDefault="00000000">
            <w:pPr>
              <w:spacing w:before="60" w:line="312" w:lineRule="auto"/>
              <w:ind w:left="-57" w:right="227"/>
              <w:jc w:val="right"/>
              <w:rPr>
                <w:snapToGrid/>
                <w:sz w:val="20"/>
              </w:rPr>
            </w:pPr>
          </w:p>
        </w:tc>
        <w:tc>
          <w:tcPr>
            <w:tcW w:w="1063" w:type="dxa"/>
            <w:tcBorders>
              <w:top w:val="nil"/>
              <w:bottom w:val="nil"/>
            </w:tcBorders>
          </w:tcPr>
          <w:p w:rsidR="00000000" w:rsidRDefault="00000000">
            <w:pPr>
              <w:spacing w:before="60" w:line="312" w:lineRule="auto"/>
              <w:ind w:left="-57" w:right="227"/>
              <w:jc w:val="right"/>
              <w:rPr>
                <w:snapToGrid/>
                <w:sz w:val="20"/>
              </w:rPr>
            </w:pPr>
          </w:p>
        </w:tc>
        <w:tc>
          <w:tcPr>
            <w:tcW w:w="1036" w:type="dxa"/>
            <w:tcBorders>
              <w:top w:val="nil"/>
              <w:bottom w:val="nil"/>
            </w:tcBorders>
          </w:tcPr>
          <w:p w:rsidR="00000000" w:rsidRDefault="00000000">
            <w:pPr>
              <w:spacing w:before="60" w:line="312" w:lineRule="auto"/>
              <w:ind w:left="-57" w:right="227"/>
              <w:jc w:val="right"/>
              <w:rPr>
                <w:snapToGrid/>
                <w:sz w:val="20"/>
              </w:rPr>
            </w:pPr>
          </w:p>
        </w:tc>
        <w:tc>
          <w:tcPr>
            <w:tcW w:w="1050" w:type="dxa"/>
            <w:tcBorders>
              <w:top w:val="nil"/>
              <w:bottom w:val="nil"/>
            </w:tcBorders>
          </w:tcPr>
          <w:p w:rsidR="00000000" w:rsidRDefault="00000000">
            <w:pPr>
              <w:spacing w:before="60" w:line="312" w:lineRule="auto"/>
              <w:ind w:left="-57" w:right="227"/>
              <w:jc w:val="right"/>
              <w:rPr>
                <w:snapToGrid/>
                <w:sz w:val="20"/>
              </w:rPr>
            </w:pPr>
          </w:p>
        </w:tc>
        <w:tc>
          <w:tcPr>
            <w:tcW w:w="997" w:type="dxa"/>
            <w:tcBorders>
              <w:top w:val="nil"/>
              <w:bottom w:val="nil"/>
            </w:tcBorders>
          </w:tcPr>
          <w:p w:rsidR="00000000" w:rsidRDefault="00000000">
            <w:pPr>
              <w:spacing w:before="60" w:line="312" w:lineRule="auto"/>
              <w:ind w:left="-57" w:right="227"/>
              <w:jc w:val="right"/>
              <w:rPr>
                <w:snapToGrid/>
                <w:sz w:val="20"/>
              </w:rPr>
            </w:pP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 xml:space="preserve">  </w:t>
            </w:r>
            <w:r>
              <w:rPr>
                <w:rFonts w:hint="eastAsia"/>
                <w:snapToGrid/>
                <w:sz w:val="20"/>
              </w:rPr>
              <w:t>低于就业年龄</w:t>
            </w:r>
            <w:r>
              <w:rPr>
                <w:rFonts w:hint="eastAsia"/>
                <w:snapToGrid/>
                <w:sz w:val="20"/>
              </w:rPr>
              <w:t>(%)</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29.7</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28.6</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28.2</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27.6</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26.7</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25.7</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 xml:space="preserve">  </w:t>
            </w:r>
            <w:r>
              <w:rPr>
                <w:rFonts w:hint="eastAsia"/>
                <w:snapToGrid/>
                <w:sz w:val="20"/>
              </w:rPr>
              <w:t>达到就业年龄</w:t>
            </w:r>
            <w:r>
              <w:rPr>
                <w:rFonts w:hint="eastAsia"/>
                <w:snapToGrid/>
                <w:sz w:val="20"/>
              </w:rPr>
              <w:t>(%)</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54.9</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55.6</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56.0</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56.4</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57.2</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58.3</w:t>
            </w:r>
          </w:p>
        </w:tc>
      </w:tr>
      <w:tr w:rsidR="00000000">
        <w:tblPrEx>
          <w:tblCellMar>
            <w:top w:w="0" w:type="dxa"/>
            <w:bottom w:w="0" w:type="dxa"/>
          </w:tblCellMar>
        </w:tblPrEx>
        <w:tc>
          <w:tcPr>
            <w:tcW w:w="3018" w:type="dxa"/>
            <w:tcBorders>
              <w:top w:val="nil"/>
              <w:bottom w:val="nil"/>
            </w:tcBorders>
          </w:tcPr>
          <w:p w:rsidR="00000000" w:rsidRDefault="00000000">
            <w:pPr>
              <w:spacing w:before="60" w:after="40" w:line="264" w:lineRule="auto"/>
              <w:ind w:left="57"/>
              <w:rPr>
                <w:rFonts w:hint="eastAsia"/>
                <w:snapToGrid/>
                <w:sz w:val="20"/>
              </w:rPr>
            </w:pPr>
            <w:r>
              <w:rPr>
                <w:rFonts w:hint="eastAsia"/>
                <w:snapToGrid/>
                <w:sz w:val="20"/>
              </w:rPr>
              <w:t xml:space="preserve">  </w:t>
            </w:r>
            <w:r>
              <w:rPr>
                <w:rFonts w:hint="eastAsia"/>
                <w:snapToGrid/>
                <w:sz w:val="20"/>
              </w:rPr>
              <w:t>达到退休年龄</w:t>
            </w:r>
            <w:r>
              <w:rPr>
                <w:rFonts w:hint="eastAsia"/>
                <w:snapToGrid/>
                <w:sz w:val="20"/>
              </w:rPr>
              <w:t>(</w:t>
            </w:r>
            <w:r>
              <w:rPr>
                <w:rFonts w:hint="eastAsia"/>
                <w:snapToGrid/>
                <w:sz w:val="20"/>
              </w:rPr>
              <w:t>妇女</w:t>
            </w:r>
            <w:r>
              <w:rPr>
                <w:rFonts w:hint="eastAsia"/>
                <w:snapToGrid/>
                <w:sz w:val="20"/>
              </w:rPr>
              <w:t>55</w:t>
            </w:r>
            <w:r>
              <w:rPr>
                <w:rFonts w:hint="eastAsia"/>
                <w:snapToGrid/>
                <w:sz w:val="20"/>
              </w:rPr>
              <w:t>岁；</w:t>
            </w:r>
            <w:r>
              <w:rPr>
                <w:snapToGrid/>
                <w:sz w:val="20"/>
              </w:rPr>
              <w:br/>
            </w:r>
            <w:r>
              <w:rPr>
                <w:rFonts w:hint="eastAsia"/>
                <w:snapToGrid/>
                <w:sz w:val="20"/>
              </w:rPr>
              <w:t xml:space="preserve">  </w:t>
            </w:r>
            <w:r>
              <w:rPr>
                <w:rFonts w:hint="eastAsia"/>
                <w:snapToGrid/>
                <w:sz w:val="20"/>
              </w:rPr>
              <w:t>男子</w:t>
            </w:r>
            <w:r>
              <w:rPr>
                <w:rFonts w:hint="eastAsia"/>
                <w:snapToGrid/>
                <w:sz w:val="20"/>
              </w:rPr>
              <w:t>60</w:t>
            </w:r>
            <w:r>
              <w:rPr>
                <w:rFonts w:hint="eastAsia"/>
                <w:snapToGrid/>
                <w:sz w:val="20"/>
              </w:rPr>
              <w:t>岁</w:t>
            </w:r>
            <w:r>
              <w:rPr>
                <w:rFonts w:hint="eastAsia"/>
                <w:snapToGrid/>
                <w:sz w:val="20"/>
              </w:rPr>
              <w:t>)</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15.4</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15.8</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15.8</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16.0</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16.1</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16.0</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人口自然增长率</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8.0</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0.8</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0.5</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0.0</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-0.2</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-1.3</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 xml:space="preserve">  </w:t>
            </w:r>
            <w:r>
              <w:rPr>
                <w:rFonts w:hint="eastAsia"/>
                <w:snapToGrid/>
                <w:sz w:val="20"/>
              </w:rPr>
              <w:t>出生率</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17.7</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13.0</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12.0</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11.9</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10.9</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10.1</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 xml:space="preserve">  </w:t>
            </w:r>
            <w:r>
              <w:rPr>
                <w:rFonts w:hint="eastAsia"/>
                <w:snapToGrid/>
                <w:sz w:val="20"/>
              </w:rPr>
              <w:t>死亡率</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9.7</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12.2</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11.5</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11.9</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11.1</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11.4</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 xml:space="preserve">  </w:t>
            </w:r>
            <w:r>
              <w:rPr>
                <w:rFonts w:hint="eastAsia"/>
                <w:snapToGrid/>
                <w:sz w:val="20"/>
              </w:rPr>
              <w:t>结婚率</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9.4</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7.5</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6.0</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6.1</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6.0</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6.5</w:t>
            </w:r>
          </w:p>
        </w:tc>
      </w:tr>
      <w:tr w:rsidR="00000000">
        <w:tblPrEx>
          <w:tblCellMar>
            <w:top w:w="0" w:type="dxa"/>
            <w:bottom w:w="0" w:type="dxa"/>
          </w:tblCellMar>
        </w:tblPrEx>
        <w:tc>
          <w:tcPr>
            <w:tcW w:w="3018" w:type="dxa"/>
            <w:tcBorders>
              <w:top w:val="nil"/>
              <w:bottom w:val="nil"/>
            </w:tcBorders>
          </w:tcPr>
          <w:p w:rsidR="00000000" w:rsidRDefault="00000000">
            <w:pPr>
              <w:spacing w:before="60" w:line="312" w:lineRule="auto"/>
              <w:ind w:left="57"/>
              <w:rPr>
                <w:rFonts w:hint="eastAsia"/>
                <w:snapToGrid/>
                <w:sz w:val="20"/>
              </w:rPr>
            </w:pPr>
            <w:r>
              <w:rPr>
                <w:rFonts w:hint="eastAsia"/>
                <w:snapToGrid/>
                <w:sz w:val="20"/>
              </w:rPr>
              <w:t xml:space="preserve">  </w:t>
            </w:r>
            <w:r>
              <w:rPr>
                <w:rFonts w:hint="eastAsia"/>
                <w:snapToGrid/>
                <w:sz w:val="20"/>
              </w:rPr>
              <w:t>离婚率</w:t>
            </w:r>
          </w:p>
        </w:tc>
        <w:tc>
          <w:tcPr>
            <w:tcW w:w="1170" w:type="dxa"/>
            <w:tcBorders>
              <w:top w:val="nil"/>
              <w:bottom w:val="nil"/>
            </w:tcBorders>
          </w:tcPr>
          <w:p w:rsidR="00000000" w:rsidRDefault="00000000">
            <w:pPr>
              <w:spacing w:before="60" w:line="312" w:lineRule="auto"/>
              <w:ind w:left="-57" w:right="227"/>
              <w:jc w:val="right"/>
              <w:rPr>
                <w:snapToGrid/>
                <w:sz w:val="20"/>
              </w:rPr>
            </w:pPr>
            <w:r>
              <w:rPr>
                <w:snapToGrid/>
                <w:sz w:val="20"/>
              </w:rPr>
              <w:t>3.0</w:t>
            </w:r>
          </w:p>
        </w:tc>
        <w:tc>
          <w:tcPr>
            <w:tcW w:w="1076" w:type="dxa"/>
            <w:tcBorders>
              <w:top w:val="nil"/>
              <w:bottom w:val="nil"/>
            </w:tcBorders>
          </w:tcPr>
          <w:p w:rsidR="00000000" w:rsidRDefault="00000000">
            <w:pPr>
              <w:spacing w:before="60" w:line="312" w:lineRule="auto"/>
              <w:ind w:left="-57" w:right="227"/>
              <w:jc w:val="right"/>
              <w:rPr>
                <w:snapToGrid/>
                <w:sz w:val="20"/>
              </w:rPr>
            </w:pPr>
            <w:r>
              <w:rPr>
                <w:snapToGrid/>
                <w:sz w:val="20"/>
              </w:rPr>
              <w:t>3.4</w:t>
            </w:r>
          </w:p>
        </w:tc>
        <w:tc>
          <w:tcPr>
            <w:tcW w:w="1063" w:type="dxa"/>
            <w:tcBorders>
              <w:top w:val="nil"/>
              <w:bottom w:val="nil"/>
            </w:tcBorders>
          </w:tcPr>
          <w:p w:rsidR="00000000" w:rsidRDefault="00000000">
            <w:pPr>
              <w:spacing w:before="60" w:line="312" w:lineRule="auto"/>
              <w:ind w:left="-57" w:right="227"/>
              <w:jc w:val="right"/>
              <w:rPr>
                <w:snapToGrid/>
                <w:sz w:val="20"/>
              </w:rPr>
            </w:pPr>
            <w:r>
              <w:rPr>
                <w:snapToGrid/>
                <w:sz w:val="20"/>
              </w:rPr>
              <w:t>3.1</w:t>
            </w:r>
          </w:p>
        </w:tc>
        <w:tc>
          <w:tcPr>
            <w:tcW w:w="1036" w:type="dxa"/>
            <w:tcBorders>
              <w:top w:val="nil"/>
              <w:bottom w:val="nil"/>
            </w:tcBorders>
          </w:tcPr>
          <w:p w:rsidR="00000000" w:rsidRDefault="00000000">
            <w:pPr>
              <w:spacing w:before="60" w:line="312" w:lineRule="auto"/>
              <w:ind w:left="-57" w:right="227"/>
              <w:jc w:val="right"/>
              <w:rPr>
                <w:snapToGrid/>
                <w:sz w:val="20"/>
              </w:rPr>
            </w:pPr>
            <w:r>
              <w:rPr>
                <w:snapToGrid/>
                <w:sz w:val="20"/>
              </w:rPr>
              <w:t>3.1</w:t>
            </w:r>
          </w:p>
        </w:tc>
        <w:tc>
          <w:tcPr>
            <w:tcW w:w="1050" w:type="dxa"/>
            <w:tcBorders>
              <w:top w:val="nil"/>
              <w:bottom w:val="nil"/>
            </w:tcBorders>
          </w:tcPr>
          <w:p w:rsidR="00000000" w:rsidRDefault="00000000">
            <w:pPr>
              <w:spacing w:before="60" w:line="312" w:lineRule="auto"/>
              <w:ind w:left="-57" w:right="227"/>
              <w:jc w:val="right"/>
              <w:rPr>
                <w:snapToGrid/>
                <w:sz w:val="20"/>
              </w:rPr>
            </w:pPr>
            <w:r>
              <w:rPr>
                <w:snapToGrid/>
                <w:sz w:val="20"/>
              </w:rPr>
              <w:t>3.0</w:t>
            </w:r>
          </w:p>
        </w:tc>
        <w:tc>
          <w:tcPr>
            <w:tcW w:w="997" w:type="dxa"/>
            <w:tcBorders>
              <w:top w:val="nil"/>
              <w:bottom w:val="nil"/>
            </w:tcBorders>
          </w:tcPr>
          <w:p w:rsidR="00000000" w:rsidRDefault="00000000">
            <w:pPr>
              <w:spacing w:before="60" w:line="312" w:lineRule="auto"/>
              <w:ind w:left="-57" w:right="227"/>
              <w:jc w:val="right"/>
              <w:rPr>
                <w:snapToGrid/>
                <w:sz w:val="20"/>
              </w:rPr>
            </w:pPr>
            <w:r>
              <w:rPr>
                <w:snapToGrid/>
                <w:sz w:val="20"/>
              </w:rPr>
              <w:t>2.7</w:t>
            </w:r>
          </w:p>
        </w:tc>
      </w:tr>
      <w:tr w:rsidR="00000000">
        <w:tblPrEx>
          <w:tblCellMar>
            <w:top w:w="0" w:type="dxa"/>
            <w:bottom w:w="0" w:type="dxa"/>
          </w:tblCellMar>
        </w:tblPrEx>
        <w:tc>
          <w:tcPr>
            <w:tcW w:w="3018" w:type="dxa"/>
            <w:tcBorders>
              <w:top w:val="nil"/>
            </w:tcBorders>
          </w:tcPr>
          <w:p w:rsidR="00000000" w:rsidRDefault="00000000">
            <w:pPr>
              <w:spacing w:before="60" w:line="312" w:lineRule="auto"/>
              <w:ind w:left="57"/>
              <w:rPr>
                <w:rFonts w:hint="eastAsia"/>
                <w:snapToGrid/>
                <w:spacing w:val="0"/>
                <w:sz w:val="20"/>
              </w:rPr>
            </w:pPr>
            <w:r>
              <w:rPr>
                <w:rFonts w:hint="eastAsia"/>
                <w:snapToGrid/>
                <w:sz w:val="20"/>
              </w:rPr>
              <w:t xml:space="preserve">  </w:t>
            </w:r>
            <w:r>
              <w:rPr>
                <w:rFonts w:hint="eastAsia"/>
                <w:snapToGrid/>
                <w:spacing w:val="0"/>
                <w:sz w:val="20"/>
              </w:rPr>
              <w:t>婴儿死亡率</w:t>
            </w:r>
            <w:r>
              <w:rPr>
                <w:rFonts w:hint="eastAsia"/>
                <w:snapToGrid/>
                <w:spacing w:val="0"/>
                <w:sz w:val="20"/>
              </w:rPr>
              <w:t>(</w:t>
            </w:r>
            <w:r>
              <w:rPr>
                <w:rFonts w:hint="eastAsia"/>
                <w:snapToGrid/>
                <w:spacing w:val="0"/>
                <w:sz w:val="20"/>
              </w:rPr>
              <w:t>每千个活产婴儿</w:t>
            </w:r>
            <w:r>
              <w:rPr>
                <w:rFonts w:hint="eastAsia"/>
                <w:snapToGrid/>
                <w:spacing w:val="0"/>
                <w:sz w:val="20"/>
              </w:rPr>
              <w:t>)</w:t>
            </w:r>
          </w:p>
        </w:tc>
        <w:tc>
          <w:tcPr>
            <w:tcW w:w="1170" w:type="dxa"/>
            <w:tcBorders>
              <w:top w:val="nil"/>
            </w:tcBorders>
          </w:tcPr>
          <w:p w:rsidR="00000000" w:rsidRDefault="00000000">
            <w:pPr>
              <w:spacing w:before="60" w:line="312" w:lineRule="auto"/>
              <w:ind w:left="-57" w:right="227"/>
              <w:jc w:val="right"/>
              <w:rPr>
                <w:snapToGrid/>
                <w:sz w:val="20"/>
              </w:rPr>
            </w:pPr>
            <w:r>
              <w:rPr>
                <w:snapToGrid/>
                <w:sz w:val="20"/>
              </w:rPr>
              <w:t>19.0</w:t>
            </w:r>
          </w:p>
        </w:tc>
        <w:tc>
          <w:tcPr>
            <w:tcW w:w="1076" w:type="dxa"/>
            <w:tcBorders>
              <w:top w:val="nil"/>
            </w:tcBorders>
          </w:tcPr>
          <w:p w:rsidR="00000000" w:rsidRDefault="00000000">
            <w:pPr>
              <w:spacing w:before="60" w:line="312" w:lineRule="auto"/>
              <w:ind w:left="-57" w:right="227"/>
              <w:jc w:val="right"/>
              <w:rPr>
                <w:snapToGrid/>
                <w:sz w:val="20"/>
              </w:rPr>
            </w:pPr>
            <w:r>
              <w:rPr>
                <w:snapToGrid/>
                <w:sz w:val="20"/>
              </w:rPr>
              <w:t>21.2</w:t>
            </w:r>
          </w:p>
        </w:tc>
        <w:tc>
          <w:tcPr>
            <w:tcW w:w="1063" w:type="dxa"/>
            <w:tcBorders>
              <w:top w:val="nil"/>
            </w:tcBorders>
          </w:tcPr>
          <w:p w:rsidR="00000000" w:rsidRDefault="00000000">
            <w:pPr>
              <w:spacing w:before="60" w:line="312" w:lineRule="auto"/>
              <w:ind w:left="-57" w:right="227"/>
              <w:jc w:val="right"/>
              <w:rPr>
                <w:snapToGrid/>
                <w:sz w:val="20"/>
              </w:rPr>
            </w:pPr>
            <w:r>
              <w:rPr>
                <w:snapToGrid/>
                <w:sz w:val="20"/>
              </w:rPr>
              <w:t>20.2</w:t>
            </w:r>
          </w:p>
        </w:tc>
        <w:tc>
          <w:tcPr>
            <w:tcW w:w="1036" w:type="dxa"/>
            <w:tcBorders>
              <w:top w:val="nil"/>
            </w:tcBorders>
          </w:tcPr>
          <w:p w:rsidR="00000000" w:rsidRDefault="00000000">
            <w:pPr>
              <w:spacing w:before="60" w:line="312" w:lineRule="auto"/>
              <w:ind w:left="-57" w:right="227"/>
              <w:jc w:val="right"/>
              <w:rPr>
                <w:snapToGrid/>
                <w:sz w:val="20"/>
              </w:rPr>
            </w:pPr>
            <w:r>
              <w:rPr>
                <w:snapToGrid/>
                <w:sz w:val="20"/>
              </w:rPr>
              <w:t>19.9</w:t>
            </w:r>
          </w:p>
        </w:tc>
        <w:tc>
          <w:tcPr>
            <w:tcW w:w="1050" w:type="dxa"/>
            <w:tcBorders>
              <w:top w:val="nil"/>
            </w:tcBorders>
          </w:tcPr>
          <w:p w:rsidR="00000000" w:rsidRDefault="00000000">
            <w:pPr>
              <w:spacing w:before="60" w:line="312" w:lineRule="auto"/>
              <w:ind w:left="-57" w:right="227"/>
              <w:jc w:val="right"/>
              <w:rPr>
                <w:snapToGrid/>
                <w:sz w:val="20"/>
              </w:rPr>
            </w:pPr>
            <w:r>
              <w:rPr>
                <w:snapToGrid/>
                <w:sz w:val="20"/>
              </w:rPr>
              <w:t>17.8</w:t>
            </w:r>
          </w:p>
        </w:tc>
        <w:tc>
          <w:tcPr>
            <w:tcW w:w="997" w:type="dxa"/>
            <w:tcBorders>
              <w:top w:val="nil"/>
            </w:tcBorders>
          </w:tcPr>
          <w:p w:rsidR="00000000" w:rsidRDefault="00000000">
            <w:pPr>
              <w:spacing w:before="60" w:line="312" w:lineRule="auto"/>
              <w:ind w:left="-57" w:right="227"/>
              <w:jc w:val="right"/>
              <w:rPr>
                <w:snapToGrid/>
                <w:sz w:val="20"/>
              </w:rPr>
            </w:pPr>
            <w:r>
              <w:rPr>
                <w:snapToGrid/>
                <w:sz w:val="20"/>
              </w:rPr>
              <w:t>19.1</w:t>
            </w:r>
          </w:p>
        </w:tc>
      </w:tr>
    </w:tbl>
    <w:p w:rsidR="00000000" w:rsidRDefault="00000000">
      <w:pPr>
        <w:rPr>
          <w:rFonts w:eastAsia="KaiTi_GB2312" w:hint="eastAsia"/>
          <w:snapToGrid/>
          <w:spacing w:val="0"/>
          <w:sz w:val="22"/>
        </w:rPr>
      </w:pPr>
    </w:p>
    <w:p w:rsidR="00000000" w:rsidRDefault="00000000">
      <w:pPr>
        <w:rPr>
          <w:rFonts w:eastAsia="KaiTi_GB2312" w:hint="eastAsia"/>
          <w:snapToGrid/>
          <w:spacing w:val="0"/>
          <w:sz w:val="22"/>
        </w:rPr>
      </w:pPr>
    </w:p>
    <w:p w:rsidR="00000000" w:rsidRDefault="00000000">
      <w:pPr>
        <w:pStyle w:val="Heading2"/>
      </w:pPr>
      <w:r>
        <w:t>二、保护人权的政治结构和总体立法制度</w:t>
      </w:r>
    </w:p>
    <w:p w:rsidR="00000000" w:rsidRDefault="00000000">
      <w:pPr>
        <w:pStyle w:val="Heading3"/>
      </w:pPr>
      <w:r>
        <w:rPr>
          <w:u w:val="none"/>
        </w:rPr>
        <w:t>A.</w:t>
      </w:r>
      <w:r>
        <w:rPr>
          <w:rFonts w:hint="eastAsia"/>
          <w:u w:val="none"/>
        </w:rPr>
        <w:t xml:space="preserve">  </w:t>
      </w:r>
      <w:r>
        <w:t>简要历史、概述</w:t>
      </w:r>
    </w:p>
    <w:p w:rsidR="00000000" w:rsidRDefault="00000000">
      <w:pPr>
        <w:rPr>
          <w:rFonts w:hint="eastAsia"/>
        </w:rPr>
      </w:pPr>
      <w:r>
        <w:rPr>
          <w:rFonts w:hint="eastAsia"/>
        </w:rPr>
        <w:tab/>
      </w:r>
      <w:r>
        <w:t>6.</w:t>
      </w:r>
      <w:r>
        <w:rPr>
          <w:rFonts w:hint="eastAsia"/>
        </w:rPr>
        <w:t xml:space="preserve">  1990</w:t>
      </w:r>
      <w:r>
        <w:rPr>
          <w:rFonts w:hint="eastAsia"/>
        </w:rPr>
        <w:t>年</w:t>
      </w:r>
      <w:r>
        <w:rPr>
          <w:rFonts w:hint="eastAsia"/>
        </w:rPr>
        <w:t>6</w:t>
      </w:r>
      <w:r>
        <w:rPr>
          <w:rFonts w:hint="eastAsia"/>
        </w:rPr>
        <w:t>月</w:t>
      </w:r>
      <w:r>
        <w:rPr>
          <w:rFonts w:hint="eastAsia"/>
        </w:rPr>
        <w:t>23</w:t>
      </w:r>
      <w:r>
        <w:rPr>
          <w:rFonts w:hint="eastAsia"/>
        </w:rPr>
        <w:t>日，通过了《摩尔多瓦苏维埃社会主义共和国主权宣言》，</w:t>
      </w:r>
      <w:r>
        <w:rPr>
          <w:rFonts w:hint="eastAsia"/>
        </w:rPr>
        <w:t>1991</w:t>
      </w:r>
      <w:r>
        <w:rPr>
          <w:rFonts w:hint="eastAsia"/>
        </w:rPr>
        <w:t>年</w:t>
      </w:r>
      <w:r>
        <w:rPr>
          <w:rFonts w:hint="eastAsia"/>
        </w:rPr>
        <w:t>8</w:t>
      </w:r>
      <w:r>
        <w:rPr>
          <w:rFonts w:hint="eastAsia"/>
        </w:rPr>
        <w:t>月</w:t>
      </w:r>
      <w:r>
        <w:rPr>
          <w:rFonts w:hint="eastAsia"/>
        </w:rPr>
        <w:t>27</w:t>
      </w:r>
      <w:r>
        <w:rPr>
          <w:rFonts w:hint="eastAsia"/>
        </w:rPr>
        <w:t>日，通过了《摩尔多瓦共和国独立宣言》，在此之后，摩尔多瓦共和国成为一个主权和独立国家，从此进入国际舞台。</w:t>
      </w:r>
    </w:p>
    <w:p w:rsidR="00000000" w:rsidRDefault="00000000">
      <w:pPr>
        <w:rPr>
          <w:rFonts w:hint="eastAsia"/>
        </w:rPr>
      </w:pPr>
      <w:r>
        <w:rPr>
          <w:rFonts w:hint="eastAsia"/>
        </w:rPr>
        <w:tab/>
      </w:r>
      <w:r>
        <w:t>7.</w:t>
      </w:r>
      <w:r>
        <w:rPr>
          <w:rFonts w:hint="eastAsia"/>
        </w:rPr>
        <w:t xml:space="preserve">  </w:t>
      </w:r>
      <w:r>
        <w:rPr>
          <w:rFonts w:hint="eastAsia"/>
        </w:rPr>
        <w:t>作为苏联的一部分，摩尔多瓦苏维埃经历过政治种族灭绝的恐怖：大规模驱逐、集体挨饿和强迫解除国籍。俄语作为官方语言被强制使用。</w:t>
      </w:r>
    </w:p>
    <w:p w:rsidR="00000000" w:rsidRDefault="00000000">
      <w:pPr>
        <w:rPr>
          <w:rFonts w:hint="eastAsia"/>
        </w:rPr>
      </w:pPr>
      <w:r>
        <w:rPr>
          <w:rFonts w:hint="eastAsia"/>
        </w:rPr>
        <w:tab/>
      </w:r>
      <w:r>
        <w:t>8.</w:t>
      </w:r>
      <w:r>
        <w:rPr>
          <w:rFonts w:hint="eastAsia"/>
        </w:rPr>
        <w:t xml:space="preserve">  </w:t>
      </w:r>
      <w:r>
        <w:rPr>
          <w:rFonts w:hint="eastAsia"/>
        </w:rPr>
        <w:t>在过去十年里，摩尔多瓦共和国开展各种政治和文化活动，以使社会和政治生活民主化，使民众得到解放。摩尔多瓦共和国通过了《关于摩尔多瓦语恢复使用拉丁字母的第</w:t>
      </w:r>
      <w:r>
        <w:rPr>
          <w:rFonts w:hint="eastAsia"/>
        </w:rPr>
        <w:t>362-XI</w:t>
      </w:r>
      <w:r>
        <w:rPr>
          <w:rFonts w:hint="eastAsia"/>
        </w:rPr>
        <w:t>号法》、《关于官方语言的第</w:t>
      </w:r>
      <w:r>
        <w:rPr>
          <w:rFonts w:hint="eastAsia"/>
        </w:rPr>
        <w:t>3464-XI</w:t>
      </w:r>
      <w:r>
        <w:rPr>
          <w:rFonts w:hint="eastAsia"/>
        </w:rPr>
        <w:t>号法》、《关于摩尔多瓦口语使用的第</w:t>
      </w:r>
      <w:r>
        <w:rPr>
          <w:rFonts w:hint="eastAsia"/>
        </w:rPr>
        <w:t>3465-XI</w:t>
      </w:r>
      <w:r>
        <w:rPr>
          <w:rFonts w:hint="eastAsia"/>
        </w:rPr>
        <w:t>号法》</w:t>
      </w:r>
      <w:r>
        <w:rPr>
          <w:rFonts w:hint="eastAsia"/>
        </w:rPr>
        <w:t>(1989</w:t>
      </w:r>
      <w:r>
        <w:rPr>
          <w:rFonts w:hint="eastAsia"/>
        </w:rPr>
        <w:t>年</w:t>
      </w:r>
      <w:r>
        <w:rPr>
          <w:rFonts w:hint="eastAsia"/>
        </w:rPr>
        <w:t>8</w:t>
      </w:r>
      <w:r>
        <w:rPr>
          <w:rFonts w:hint="eastAsia"/>
        </w:rPr>
        <w:t>月</w:t>
      </w:r>
      <w:r>
        <w:rPr>
          <w:rFonts w:hint="eastAsia"/>
        </w:rPr>
        <w:t>31</w:t>
      </w:r>
      <w:r>
        <w:rPr>
          <w:rFonts w:hint="eastAsia"/>
        </w:rPr>
        <w:t>日</w:t>
      </w:r>
      <w:r>
        <w:rPr>
          <w:rFonts w:hint="eastAsia"/>
        </w:rPr>
        <w:t>)</w:t>
      </w:r>
      <w:r>
        <w:rPr>
          <w:rFonts w:hint="eastAsia"/>
        </w:rPr>
        <w:t>、《关于批准摩尔多瓦苏维埃社会主义共和国国旗条例的议会决定》、《关于摩尔多瓦共和国国歌的法律》；它确立了国家总统的职位</w:t>
      </w:r>
      <w:r>
        <w:rPr>
          <w:rFonts w:hint="eastAsia"/>
        </w:rPr>
        <w:t>(1990</w:t>
      </w:r>
      <w:r>
        <w:rPr>
          <w:rFonts w:hint="eastAsia"/>
        </w:rPr>
        <w:t>年</w:t>
      </w:r>
      <w:r>
        <w:rPr>
          <w:rFonts w:hint="eastAsia"/>
        </w:rPr>
        <w:t>9</w:t>
      </w:r>
      <w:r>
        <w:rPr>
          <w:rFonts w:hint="eastAsia"/>
        </w:rPr>
        <w:t>月</w:t>
      </w:r>
      <w:r>
        <w:rPr>
          <w:rFonts w:hint="eastAsia"/>
        </w:rPr>
        <w:t>3</w:t>
      </w:r>
      <w:r>
        <w:rPr>
          <w:rFonts w:hint="eastAsia"/>
        </w:rPr>
        <w:t>日</w:t>
      </w:r>
      <w:r>
        <w:rPr>
          <w:rFonts w:hint="eastAsia"/>
        </w:rPr>
        <w:t>)</w:t>
      </w:r>
      <w:r>
        <w:rPr>
          <w:rFonts w:hint="eastAsia"/>
        </w:rPr>
        <w:t>；它选择古代的标志</w:t>
      </w:r>
      <w:r>
        <w:rPr>
          <w:rFonts w:hint="eastAsia"/>
          <w:spacing w:val="-50"/>
        </w:rPr>
        <w:t>―</w:t>
      </w:r>
      <w:r>
        <w:rPr>
          <w:rFonts w:hint="eastAsia"/>
        </w:rPr>
        <w:t>―鹰和野牛头</w:t>
      </w:r>
      <w:r>
        <w:rPr>
          <w:rFonts w:hint="eastAsia"/>
          <w:spacing w:val="-50"/>
        </w:rPr>
        <w:t>―</w:t>
      </w:r>
      <w:r>
        <w:rPr>
          <w:rFonts w:hint="eastAsia"/>
        </w:rPr>
        <w:t>―作为国徽</w:t>
      </w:r>
      <w:r>
        <w:rPr>
          <w:rFonts w:hint="eastAsia"/>
        </w:rPr>
        <w:t>(1990</w:t>
      </w:r>
      <w:r>
        <w:rPr>
          <w:rFonts w:hint="eastAsia"/>
        </w:rPr>
        <w:t>年</w:t>
      </w:r>
      <w:r>
        <w:rPr>
          <w:rFonts w:hint="eastAsia"/>
        </w:rPr>
        <w:t>11</w:t>
      </w:r>
      <w:r>
        <w:rPr>
          <w:rFonts w:hint="eastAsia"/>
        </w:rPr>
        <w:t>月</w:t>
      </w:r>
      <w:r>
        <w:rPr>
          <w:rFonts w:hint="eastAsia"/>
        </w:rPr>
        <w:t>3</w:t>
      </w:r>
      <w:r>
        <w:rPr>
          <w:rFonts w:hint="eastAsia"/>
        </w:rPr>
        <w:t>日</w:t>
      </w:r>
      <w:r>
        <w:rPr>
          <w:rFonts w:hint="eastAsia"/>
        </w:rPr>
        <w:t>)</w:t>
      </w:r>
      <w:r>
        <w:rPr>
          <w:rFonts w:hint="eastAsia"/>
        </w:rPr>
        <w:t>；它将摩尔多瓦苏维埃社会主义共和国的国名改为摩尔多瓦共和国</w:t>
      </w:r>
      <w:r>
        <w:rPr>
          <w:rFonts w:hint="eastAsia"/>
        </w:rPr>
        <w:t>(1991</w:t>
      </w:r>
      <w:r>
        <w:rPr>
          <w:rFonts w:hint="eastAsia"/>
        </w:rPr>
        <w:t>年</w:t>
      </w:r>
      <w:r>
        <w:rPr>
          <w:rFonts w:hint="eastAsia"/>
        </w:rPr>
        <w:t>5</w:t>
      </w:r>
      <w:r>
        <w:rPr>
          <w:rFonts w:hint="eastAsia"/>
        </w:rPr>
        <w:t>月</w:t>
      </w:r>
      <w:r>
        <w:rPr>
          <w:rFonts w:hint="eastAsia"/>
        </w:rPr>
        <w:t>23</w:t>
      </w:r>
      <w:r>
        <w:rPr>
          <w:rFonts w:hint="eastAsia"/>
        </w:rPr>
        <w:t>日</w:t>
      </w:r>
      <w:r>
        <w:rPr>
          <w:rFonts w:hint="eastAsia"/>
        </w:rPr>
        <w:t>)</w:t>
      </w:r>
      <w:r>
        <w:rPr>
          <w:rFonts w:hint="eastAsia"/>
        </w:rPr>
        <w:t>。至今为止，摩尔多瓦共和国已与约</w:t>
      </w:r>
      <w:r>
        <w:rPr>
          <w:rFonts w:hint="eastAsia"/>
        </w:rPr>
        <w:t>140</w:t>
      </w:r>
      <w:r>
        <w:rPr>
          <w:rFonts w:hint="eastAsia"/>
        </w:rPr>
        <w:t>个国家建立了外交关系。</w:t>
      </w:r>
    </w:p>
    <w:p w:rsidR="00000000" w:rsidRDefault="00000000">
      <w:pPr>
        <w:rPr>
          <w:rFonts w:hint="eastAsia"/>
        </w:rPr>
      </w:pPr>
      <w:r>
        <w:rPr>
          <w:rFonts w:hint="eastAsia"/>
        </w:rPr>
        <w:tab/>
      </w:r>
      <w:r>
        <w:t>9.</w:t>
      </w:r>
      <w:r>
        <w:rPr>
          <w:rFonts w:hint="eastAsia"/>
        </w:rPr>
        <w:t xml:space="preserve">  </w:t>
      </w:r>
      <w:r>
        <w:rPr>
          <w:rFonts w:hint="eastAsia"/>
        </w:rPr>
        <w:t>同时，巩固国家的进程受到国内东部地区某些势力的分离主义活动的严重影响。经过几个世纪之后，摩尔多瓦形成了多民族人口，其中有些民族</w:t>
      </w:r>
      <w:r>
        <w:rPr>
          <w:rFonts w:hint="eastAsia"/>
        </w:rPr>
        <w:t>(</w:t>
      </w:r>
      <w:r>
        <w:rPr>
          <w:rFonts w:hint="eastAsia"/>
        </w:rPr>
        <w:t>加告兹族和保加利亚族</w:t>
      </w:r>
      <w:r>
        <w:rPr>
          <w:rFonts w:hint="eastAsia"/>
          <w:spacing w:val="-50"/>
        </w:rPr>
        <w:t>―</w:t>
      </w:r>
      <w:r>
        <w:rPr>
          <w:rFonts w:hint="eastAsia"/>
        </w:rPr>
        <w:t>―约</w:t>
      </w:r>
      <w:r>
        <w:rPr>
          <w:rFonts w:hint="eastAsia"/>
        </w:rPr>
        <w:t>3.2%)</w:t>
      </w:r>
      <w:r>
        <w:rPr>
          <w:rFonts w:hint="eastAsia"/>
        </w:rPr>
        <w:t>集中在南部。为了防止摩尔多瓦共和国脱离苏联集团，这些势力决定将民族各分裂主义问题作为一种讹诈的手段。由于德涅斯特河左岸地区各分裂主义领导人采取协调政策，本德镇和加告兹地区成为一个新的统一和独立的国家的组成部分。该政策的目的是维护旧的意识形态、政治和经济取向。因此，</w:t>
      </w:r>
      <w:r>
        <w:rPr>
          <w:rFonts w:hint="eastAsia"/>
        </w:rPr>
        <w:t>1990</w:t>
      </w:r>
      <w:r>
        <w:rPr>
          <w:rFonts w:hint="eastAsia"/>
        </w:rPr>
        <w:t>年</w:t>
      </w:r>
      <w:r>
        <w:rPr>
          <w:rFonts w:hint="eastAsia"/>
        </w:rPr>
        <w:t>9</w:t>
      </w:r>
      <w:r>
        <w:rPr>
          <w:rFonts w:hint="eastAsia"/>
        </w:rPr>
        <w:t>月</w:t>
      </w:r>
      <w:r>
        <w:rPr>
          <w:rFonts w:hint="eastAsia"/>
        </w:rPr>
        <w:t>2</w:t>
      </w:r>
      <w:r>
        <w:rPr>
          <w:rFonts w:hint="eastAsia"/>
        </w:rPr>
        <w:t>日，摩尔多瓦共和国东部地区</w:t>
      </w:r>
      <w:r>
        <w:rPr>
          <w:rFonts w:hint="eastAsia"/>
        </w:rPr>
        <w:t>(</w:t>
      </w:r>
      <w:r>
        <w:rPr>
          <w:rFonts w:hint="eastAsia"/>
        </w:rPr>
        <w:t>德涅斯特河左岸地区</w:t>
      </w:r>
      <w:r>
        <w:t>)</w:t>
      </w:r>
      <w:r>
        <w:rPr>
          <w:rFonts w:hint="eastAsia"/>
        </w:rPr>
        <w:t>选出的代表在帕尔卡尼村举行会议。这次会议通过了“《属于苏联一部分的德涅斯特河沿岸摩尔多瓦苏维埃社会主义共和国”宪法》。</w:t>
      </w:r>
    </w:p>
    <w:p w:rsidR="00000000" w:rsidRDefault="00000000">
      <w:pPr>
        <w:rPr>
          <w:rFonts w:hint="eastAsia"/>
        </w:rPr>
      </w:pPr>
      <w:r>
        <w:rPr>
          <w:rFonts w:hint="eastAsia"/>
        </w:rPr>
        <w:tab/>
      </w:r>
      <w:r>
        <w:t>10.</w:t>
      </w:r>
      <w:r>
        <w:rPr>
          <w:rFonts w:hint="eastAsia"/>
        </w:rPr>
        <w:t xml:space="preserve">  </w:t>
      </w:r>
      <w:r>
        <w:t>这一行为引发了争取摩尔多瓦共和国主权的政治斗争。因而，上述宣布成立的共和国的政治势力采取主动，并为实现其目标采用了强硬手段。</w:t>
      </w:r>
    </w:p>
    <w:p w:rsidR="00000000" w:rsidRDefault="00000000">
      <w:pPr>
        <w:rPr>
          <w:rFonts w:hint="eastAsia"/>
        </w:rPr>
      </w:pPr>
      <w:r>
        <w:rPr>
          <w:rFonts w:hint="eastAsia"/>
        </w:rPr>
        <w:tab/>
      </w:r>
      <w:r>
        <w:t>11.</w:t>
      </w:r>
      <w:r>
        <w:rPr>
          <w:rFonts w:hint="eastAsia"/>
        </w:rPr>
        <w:t xml:space="preserve">  </w:t>
      </w:r>
      <w:r>
        <w:rPr>
          <w:rFonts w:hint="eastAsia"/>
        </w:rPr>
        <w:t>在上述</w:t>
      </w:r>
      <w:r>
        <w:rPr>
          <w:rFonts w:hint="eastAsia"/>
        </w:rPr>
        <w:t>64</w:t>
      </w:r>
      <w:r>
        <w:rPr>
          <w:rFonts w:hint="eastAsia"/>
        </w:rPr>
        <w:t>名议员中，越来越多的人或者出于自愿，或者迫于外德涅斯特地区极端主义势力的压力，不参加摩尔多瓦共和国议会工作会议。政治极端主义开始成为外德涅斯特地区的一种“规范”，并开始损害言论多元化和对话。</w:t>
      </w:r>
    </w:p>
    <w:p w:rsidR="00000000" w:rsidRDefault="00000000">
      <w:pPr>
        <w:rPr>
          <w:rFonts w:hint="eastAsia"/>
        </w:rPr>
      </w:pPr>
      <w:r>
        <w:rPr>
          <w:rFonts w:hint="eastAsia"/>
        </w:rPr>
        <w:tab/>
      </w:r>
      <w:r>
        <w:t>12.</w:t>
      </w:r>
      <w:r>
        <w:rPr>
          <w:rFonts w:hint="eastAsia"/>
        </w:rPr>
        <w:t xml:space="preserve">  </w:t>
      </w:r>
      <w:r>
        <w:rPr>
          <w:rFonts w:hint="eastAsia"/>
        </w:rPr>
        <w:t>由于违反宪法的政治程序的执行</w:t>
      </w:r>
      <w:r>
        <w:rPr>
          <w:rFonts w:hint="eastAsia"/>
          <w:spacing w:val="-50"/>
        </w:rPr>
        <w:t>―</w:t>
      </w:r>
      <w:r>
        <w:rPr>
          <w:rFonts w:hint="eastAsia"/>
        </w:rPr>
        <w:t>―这种程序在很大程度上由莫斯科的政治势力确定并得到其赞同，这些势力主张维持苏联的格局</w:t>
      </w:r>
      <w:r>
        <w:rPr>
          <w:rFonts w:hint="eastAsia"/>
          <w:spacing w:val="-50"/>
        </w:rPr>
        <w:t>―</w:t>
      </w:r>
      <w:r>
        <w:rPr>
          <w:rFonts w:hint="eastAsia"/>
        </w:rPr>
        <w:t>―摩尔多瓦共和国东部地区出现了侵犯基本人权的情况。</w:t>
      </w:r>
    </w:p>
    <w:p w:rsidR="00000000" w:rsidRDefault="00000000">
      <w:pPr>
        <w:rPr>
          <w:rFonts w:hint="eastAsia"/>
        </w:rPr>
      </w:pPr>
      <w:r>
        <w:rPr>
          <w:rFonts w:hint="eastAsia"/>
        </w:rPr>
        <w:tab/>
      </w:r>
      <w:r>
        <w:t>13.</w:t>
      </w:r>
      <w:r>
        <w:rPr>
          <w:rFonts w:hint="eastAsia"/>
        </w:rPr>
        <w:t xml:space="preserve">  </w:t>
      </w:r>
      <w:r>
        <w:rPr>
          <w:rFonts w:hint="eastAsia"/>
        </w:rPr>
        <w:t>目前，摩尔多瓦共和国明显趋向于创立实行增进和尊重人权的制度所需的机制和要素，这项制度主要以国际法律程序为基础。《摩尔多瓦共和国宪法》第二章题为“基本权利、自由和义务”，专门述及这些机制和要素，同时也考虑到了机制和要素的重要性和实质。</w:t>
      </w:r>
    </w:p>
    <w:p w:rsidR="00000000" w:rsidRDefault="00000000">
      <w:r>
        <w:rPr>
          <w:rFonts w:hint="eastAsia"/>
        </w:rPr>
        <w:tab/>
      </w:r>
      <w:r>
        <w:t>14.</w:t>
      </w:r>
      <w:r>
        <w:rPr>
          <w:rFonts w:hint="eastAsia"/>
        </w:rPr>
        <w:t xml:space="preserve">  </w:t>
      </w:r>
      <w:r>
        <w:rPr>
          <w:rFonts w:hint="eastAsia"/>
        </w:rPr>
        <w:t>在获得独立之后，摩尔多瓦共和国于</w:t>
      </w:r>
      <w:r>
        <w:rPr>
          <w:rFonts w:hint="eastAsia"/>
        </w:rPr>
        <w:t>1993</w:t>
      </w:r>
      <w:r>
        <w:rPr>
          <w:rFonts w:hint="eastAsia"/>
        </w:rPr>
        <w:t>年</w:t>
      </w:r>
      <w:r>
        <w:rPr>
          <w:rFonts w:hint="eastAsia"/>
        </w:rPr>
        <w:t>1</w:t>
      </w:r>
      <w:r>
        <w:rPr>
          <w:rFonts w:hint="eastAsia"/>
        </w:rPr>
        <w:t>月开始进行国内法律制度改革。批准了若干法律，修订了《刑事诉讼法》和《刑法》，从而使摩尔多瓦共和国能够更接近于国际标准，尤其是欧洲标准。</w:t>
      </w:r>
    </w:p>
    <w:p w:rsidR="00000000" w:rsidRDefault="00000000">
      <w:pPr>
        <w:rPr>
          <w:rFonts w:hint="eastAsia"/>
        </w:rPr>
      </w:pPr>
      <w:r>
        <w:rPr>
          <w:rFonts w:hint="eastAsia"/>
        </w:rPr>
        <w:tab/>
      </w:r>
      <w:r>
        <w:t>15.</w:t>
      </w:r>
      <w:r>
        <w:rPr>
          <w:rFonts w:hint="eastAsia"/>
        </w:rPr>
        <w:t xml:space="preserve">  </w:t>
      </w:r>
      <w:r>
        <w:rPr>
          <w:rFonts w:hint="eastAsia"/>
        </w:rPr>
        <w:t>摩尔多瓦共和国签署并批准了一系列国际文书</w:t>
      </w:r>
      <w:r>
        <w:t>：</w:t>
      </w:r>
      <w:r>
        <w:rPr>
          <w:rFonts w:hint="eastAsia"/>
        </w:rPr>
        <w:t>《世界人权宣言》；《欧洲保护人权和基本自由公约》；《联合国在民族或族裔、宗教和语言上属于少数群体的人的权利宣言》</w:t>
      </w:r>
      <w:r>
        <w:rPr>
          <w:rFonts w:hint="eastAsia"/>
        </w:rPr>
        <w:t>(</w:t>
      </w:r>
      <w:r>
        <w:rPr>
          <w:rFonts w:hint="eastAsia"/>
        </w:rPr>
        <w:t>大会</w:t>
      </w:r>
      <w:r>
        <w:rPr>
          <w:rFonts w:hint="eastAsia"/>
        </w:rPr>
        <w:t>1992</w:t>
      </w:r>
      <w:r>
        <w:rPr>
          <w:rFonts w:hint="eastAsia"/>
        </w:rPr>
        <w:t>年</w:t>
      </w:r>
      <w:r>
        <w:rPr>
          <w:rFonts w:hint="eastAsia"/>
        </w:rPr>
        <w:t>12</w:t>
      </w:r>
      <w:r>
        <w:rPr>
          <w:rFonts w:hint="eastAsia"/>
        </w:rPr>
        <w:t>月</w:t>
      </w:r>
      <w:r>
        <w:rPr>
          <w:rFonts w:hint="eastAsia"/>
        </w:rPr>
        <w:t>18</w:t>
      </w:r>
      <w:r>
        <w:rPr>
          <w:rFonts w:hint="eastAsia"/>
        </w:rPr>
        <w:t>日通过的第</w:t>
      </w:r>
      <w:r>
        <w:rPr>
          <w:rFonts w:hint="eastAsia"/>
        </w:rPr>
        <w:t>47/135</w:t>
      </w:r>
      <w:r>
        <w:rPr>
          <w:rFonts w:hint="eastAsia"/>
        </w:rPr>
        <w:t>号决议</w:t>
      </w:r>
      <w:r>
        <w:rPr>
          <w:rFonts w:hint="eastAsia"/>
        </w:rPr>
        <w:t>)</w:t>
      </w:r>
      <w:r>
        <w:rPr>
          <w:rFonts w:hint="eastAsia"/>
        </w:rPr>
        <w:t>；欧安组织暗示保护少数民族的承诺的决定：马德里和维也纳会议通过的《最后文件》；哥本哈根人的方面会议文件；《新欧洲巴黎宪章》；以及摩尔多瓦共和国议会于</w:t>
      </w:r>
      <w:r>
        <w:rPr>
          <w:rFonts w:hint="eastAsia"/>
        </w:rPr>
        <w:t>1996</w:t>
      </w:r>
      <w:r>
        <w:rPr>
          <w:rFonts w:hint="eastAsia"/>
        </w:rPr>
        <w:t>年</w:t>
      </w:r>
      <w:r>
        <w:rPr>
          <w:rFonts w:hint="eastAsia"/>
        </w:rPr>
        <w:t>10</w:t>
      </w:r>
      <w:r>
        <w:rPr>
          <w:rFonts w:hint="eastAsia"/>
        </w:rPr>
        <w:t>月</w:t>
      </w:r>
      <w:r>
        <w:rPr>
          <w:rFonts w:hint="eastAsia"/>
        </w:rPr>
        <w:t>22</w:t>
      </w:r>
      <w:r>
        <w:rPr>
          <w:rFonts w:hint="eastAsia"/>
        </w:rPr>
        <w:t>日批准的《保护少数民族框架公约》。</w:t>
      </w:r>
    </w:p>
    <w:p w:rsidR="00000000" w:rsidRDefault="00000000">
      <w:pPr>
        <w:rPr>
          <w:rFonts w:hint="eastAsia"/>
        </w:rPr>
      </w:pPr>
      <w:r>
        <w:rPr>
          <w:rFonts w:hint="eastAsia"/>
        </w:rPr>
        <w:tab/>
      </w:r>
      <w:r>
        <w:t>16</w:t>
      </w:r>
      <w:r>
        <w:rPr>
          <w:rFonts w:hint="eastAsia"/>
        </w:rPr>
        <w:t xml:space="preserve">.  </w:t>
      </w:r>
      <w:r>
        <w:rPr>
          <w:rFonts w:hint="eastAsia"/>
        </w:rPr>
        <w:t>依法实现民主欧洲委员会</w:t>
      </w:r>
      <w:r>
        <w:rPr>
          <w:rFonts w:hint="eastAsia"/>
        </w:rPr>
        <w:t>(</w:t>
      </w:r>
      <w:r>
        <w:rPr>
          <w:rFonts w:hint="eastAsia"/>
        </w:rPr>
        <w:t>威尼斯委员会</w:t>
      </w:r>
      <w:r>
        <w:rPr>
          <w:rFonts w:hint="eastAsia"/>
        </w:rPr>
        <w:t>)</w:t>
      </w:r>
      <w:r>
        <w:rPr>
          <w:rFonts w:hint="eastAsia"/>
        </w:rPr>
        <w:t>对一些《宪法》草案和</w:t>
      </w:r>
      <w:r>
        <w:rPr>
          <w:rFonts w:hint="eastAsia"/>
        </w:rPr>
        <w:t>1994</w:t>
      </w:r>
      <w:r>
        <w:rPr>
          <w:rFonts w:hint="eastAsia"/>
        </w:rPr>
        <w:t>年</w:t>
      </w:r>
      <w:r>
        <w:rPr>
          <w:rFonts w:hint="eastAsia"/>
        </w:rPr>
        <w:t>7</w:t>
      </w:r>
      <w:r>
        <w:rPr>
          <w:rFonts w:hint="eastAsia"/>
        </w:rPr>
        <w:t>月</w:t>
      </w:r>
      <w:r>
        <w:rPr>
          <w:rFonts w:hint="eastAsia"/>
        </w:rPr>
        <w:t>29</w:t>
      </w:r>
      <w:r>
        <w:rPr>
          <w:rFonts w:hint="eastAsia"/>
        </w:rPr>
        <w:t>日通过的新《宪法》案文作了审查。</w:t>
      </w:r>
    </w:p>
    <w:p w:rsidR="00000000" w:rsidRDefault="00000000">
      <w:pPr>
        <w:rPr>
          <w:rFonts w:hint="eastAsia"/>
        </w:rPr>
      </w:pPr>
      <w:r>
        <w:rPr>
          <w:rFonts w:hint="eastAsia"/>
        </w:rPr>
        <w:tab/>
      </w:r>
      <w:r>
        <w:t>17.</w:t>
      </w:r>
      <w:r>
        <w:rPr>
          <w:rFonts w:hint="eastAsia"/>
        </w:rPr>
        <w:t xml:space="preserve">  </w:t>
      </w:r>
      <w:r>
        <w:rPr>
          <w:rFonts w:hint="eastAsia"/>
        </w:rPr>
        <w:t>国际专家的贡献非常重要。他们作了必要的具体说明和更正，从而根据确保一项与人权保护领域现行要求相一致的法律制度的条件拟定了一部现代宪法。</w:t>
      </w:r>
    </w:p>
    <w:p w:rsidR="00000000" w:rsidRDefault="00000000">
      <w:pPr>
        <w:rPr>
          <w:rFonts w:hint="eastAsia"/>
        </w:rPr>
      </w:pPr>
      <w:r>
        <w:rPr>
          <w:rFonts w:hint="eastAsia"/>
        </w:rPr>
        <w:tab/>
        <w:t xml:space="preserve">18.  </w:t>
      </w:r>
      <w:r>
        <w:rPr>
          <w:rFonts w:hint="eastAsia"/>
        </w:rPr>
        <w:t>第</w:t>
      </w:r>
      <w:r>
        <w:rPr>
          <w:rFonts w:hint="eastAsia"/>
        </w:rPr>
        <w:t>1</w:t>
      </w:r>
      <w:r>
        <w:rPr>
          <w:rFonts w:hint="eastAsia"/>
        </w:rPr>
        <w:t>条规定，摩尔多瓦共和国实行法治，是民主国家，人民的尊严及其权利和自由、人格的自由发展、司法和多元政治是应予以保障的最高价值观。</w:t>
      </w:r>
    </w:p>
    <w:p w:rsidR="00000000" w:rsidRDefault="00000000">
      <w:pPr>
        <w:ind w:left="1040"/>
        <w:rPr>
          <w:rFonts w:hint="eastAsia"/>
        </w:rPr>
      </w:pPr>
      <w:r>
        <w:rPr>
          <w:rFonts w:hint="eastAsia"/>
        </w:rPr>
        <w:tab/>
      </w:r>
      <w:r>
        <w:rPr>
          <w:rFonts w:hint="eastAsia"/>
        </w:rPr>
        <w:t>“摩尔多瓦共和国在与专制或集权主义不相容的多元政治条件下实行民主，不得将任何意识形态宣布为国家的官方意识形态。”</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000000" w:rsidRDefault="00000000">
      <w:pPr>
        <w:ind w:left="1040"/>
        <w:rPr>
          <w:rFonts w:hint="eastAsia"/>
        </w:rPr>
      </w:pPr>
      <w:r>
        <w:rPr>
          <w:rFonts w:hint="eastAsia"/>
        </w:rPr>
        <w:tab/>
      </w:r>
      <w:r>
        <w:rPr>
          <w:rFonts w:hint="eastAsia"/>
        </w:rPr>
        <w:t>国家统一“是国家的基础”，国家是“所有公民的共同和不可分割的祖国”</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000000" w:rsidRDefault="00000000">
      <w:pPr>
        <w:ind w:left="1040"/>
        <w:rPr>
          <w:rFonts w:hint="eastAsia"/>
        </w:rPr>
      </w:pPr>
      <w:r>
        <w:rPr>
          <w:rFonts w:hint="eastAsia"/>
        </w:rPr>
        <w:tab/>
      </w:r>
      <w:r>
        <w:rPr>
          <w:rFonts w:hint="eastAsia"/>
        </w:rPr>
        <w:t>关于人权和自由的宪法规定根据《世界人权宣言》以及摩尔多瓦共和国参加的公约和其他条约予以解释和实施</w:t>
      </w:r>
      <w:r>
        <w:rPr>
          <w:rFonts w:hint="eastAsia"/>
        </w:rPr>
        <w:t>(</w:t>
      </w:r>
      <w:r>
        <w:rPr>
          <w:rFonts w:hint="eastAsia"/>
        </w:rPr>
        <w:t>第</w:t>
      </w:r>
      <w:r>
        <w:rPr>
          <w:rFonts w:hint="eastAsia"/>
        </w:rPr>
        <w:t>4</w:t>
      </w:r>
      <w:r>
        <w:rPr>
          <w:rFonts w:hint="eastAsia"/>
        </w:rPr>
        <w:t>条第</w:t>
      </w:r>
      <w:r>
        <w:rPr>
          <w:rFonts w:hint="eastAsia"/>
        </w:rPr>
        <w:t>1</w:t>
      </w:r>
      <w:r>
        <w:rPr>
          <w:rFonts w:hint="eastAsia"/>
        </w:rPr>
        <w:t>款</w:t>
      </w:r>
      <w:r>
        <w:rPr>
          <w:rFonts w:hint="eastAsia"/>
        </w:rPr>
        <w:t>)</w:t>
      </w:r>
      <w:r>
        <w:rPr>
          <w:rFonts w:hint="eastAsia"/>
        </w:rPr>
        <w:t>。</w:t>
      </w:r>
    </w:p>
    <w:p w:rsidR="00000000" w:rsidRDefault="00000000">
      <w:pPr>
        <w:ind w:left="1040"/>
        <w:rPr>
          <w:rFonts w:hint="eastAsia"/>
        </w:rPr>
      </w:pPr>
      <w:r>
        <w:rPr>
          <w:rFonts w:hint="eastAsia"/>
        </w:rPr>
        <w:tab/>
      </w:r>
      <w:r>
        <w:rPr>
          <w:rFonts w:hint="eastAsia"/>
        </w:rPr>
        <w:t>《宪法》根据新的原则对社会中的经济关系问题作了规定，保障产权，并规定更好地行使这项权利，以便消除侵犯财产或损害人民的权利、自由和尊严的现象</w:t>
      </w:r>
      <w:r>
        <w:rPr>
          <w:rFonts w:hint="eastAsia"/>
        </w:rPr>
        <w:t>(</w:t>
      </w:r>
      <w:r>
        <w:rPr>
          <w:rFonts w:hint="eastAsia"/>
        </w:rPr>
        <w:t>第</w:t>
      </w:r>
      <w:r>
        <w:rPr>
          <w:rFonts w:hint="eastAsia"/>
        </w:rPr>
        <w:t>9</w:t>
      </w:r>
      <w:r>
        <w:rPr>
          <w:rFonts w:hint="eastAsia"/>
        </w:rPr>
        <w:t>条</w:t>
      </w:r>
      <w:r>
        <w:rPr>
          <w:rFonts w:hint="eastAsia"/>
        </w:rPr>
        <w:t>)</w:t>
      </w:r>
      <w:r>
        <w:rPr>
          <w:rFonts w:hint="eastAsia"/>
        </w:rPr>
        <w:t>。</w:t>
      </w:r>
    </w:p>
    <w:p w:rsidR="00000000" w:rsidRDefault="00000000">
      <w:pPr>
        <w:rPr>
          <w:rFonts w:hint="eastAsia"/>
        </w:rPr>
      </w:pPr>
      <w:r>
        <w:rPr>
          <w:rFonts w:hint="eastAsia"/>
        </w:rPr>
        <w:tab/>
      </w:r>
      <w:r>
        <w:t>19.</w:t>
      </w:r>
      <w:r>
        <w:rPr>
          <w:rFonts w:hint="eastAsia"/>
        </w:rPr>
        <w:t xml:space="preserve">  </w:t>
      </w:r>
      <w:r>
        <w:rPr>
          <w:rFonts w:hint="eastAsia"/>
        </w:rPr>
        <w:t>总之，我们可以说，《宪法》所载的主要规定如下：多元政治；立法、行政和司法权力既独立又合作；所有公民享有受到保护以及发展并表达其族裔、文化、语言和宗教特性的权利。</w:t>
      </w:r>
    </w:p>
    <w:p w:rsidR="00000000" w:rsidRDefault="00000000">
      <w:pPr>
        <w:rPr>
          <w:rFonts w:hint="eastAsia"/>
        </w:rPr>
      </w:pPr>
      <w:r>
        <w:rPr>
          <w:rFonts w:hint="eastAsia"/>
        </w:rPr>
        <w:tab/>
      </w:r>
      <w:r>
        <w:t>20.</w:t>
      </w:r>
      <w:r>
        <w:rPr>
          <w:rFonts w:hint="eastAsia"/>
        </w:rPr>
        <w:t xml:space="preserve">  </w:t>
      </w:r>
      <w:r>
        <w:rPr>
          <w:rFonts w:hint="eastAsia"/>
        </w:rPr>
        <w:t>无疑，《宪法》是决定如何在国内法律制度中执行国际条约的唯一法律。在《宪法》中，立法者在考虑到尊重基本权利和自由的重要性的前提下，强调国际人权法至高无上，在《宪法》第</w:t>
      </w:r>
      <w:r>
        <w:rPr>
          <w:rFonts w:hint="eastAsia"/>
        </w:rPr>
        <w:t>8</w:t>
      </w:r>
      <w:r>
        <w:rPr>
          <w:rFonts w:hint="eastAsia"/>
        </w:rPr>
        <w:t>条中，摩尔多瓦共和国保证遵守《联合国宪章》和它参加的国际条约。</w:t>
      </w:r>
    </w:p>
    <w:p w:rsidR="00000000" w:rsidRDefault="00000000">
      <w:pPr>
        <w:rPr>
          <w:rFonts w:hint="eastAsia"/>
        </w:rPr>
      </w:pPr>
      <w:r>
        <w:rPr>
          <w:rFonts w:hint="eastAsia"/>
        </w:rPr>
        <w:tab/>
      </w:r>
      <w:r>
        <w:t>21.</w:t>
      </w:r>
      <w:r>
        <w:rPr>
          <w:rFonts w:hint="eastAsia"/>
        </w:rPr>
        <w:t xml:space="preserve">  </w:t>
      </w:r>
      <w:r>
        <w:rPr>
          <w:rFonts w:hint="eastAsia"/>
        </w:rPr>
        <w:t>最高法院也承认国际条约优先的原则，它在研究了执行这些宪法规定的惯例后，于</w:t>
      </w:r>
      <w:r>
        <w:rPr>
          <w:rFonts w:hint="eastAsia"/>
        </w:rPr>
        <w:t>1996</w:t>
      </w:r>
      <w:r>
        <w:rPr>
          <w:rFonts w:hint="eastAsia"/>
        </w:rPr>
        <w:t>年</w:t>
      </w:r>
      <w:r>
        <w:rPr>
          <w:rFonts w:hint="eastAsia"/>
        </w:rPr>
        <w:t>1</w:t>
      </w:r>
      <w:r>
        <w:rPr>
          <w:rFonts w:hint="eastAsia"/>
        </w:rPr>
        <w:t>月</w:t>
      </w:r>
      <w:r>
        <w:rPr>
          <w:rFonts w:hint="eastAsia"/>
        </w:rPr>
        <w:t>30</w:t>
      </w:r>
      <w:r>
        <w:rPr>
          <w:rFonts w:hint="eastAsia"/>
        </w:rPr>
        <w:t>日通过了“关于法院在执行摩尔多瓦共和国宪法的有些规定中的惯例”的第二号决定，其中规定法院有义务，“……在国内立法与国际文书相抵触时，适用摩尔多瓦共和国参加的国际文书的规定”。</w:t>
      </w:r>
    </w:p>
    <w:p w:rsidR="00000000" w:rsidRDefault="00000000">
      <w:pPr>
        <w:rPr>
          <w:rFonts w:hint="eastAsia"/>
        </w:rPr>
      </w:pPr>
      <w:r>
        <w:rPr>
          <w:rFonts w:hint="eastAsia"/>
        </w:rPr>
        <w:tab/>
      </w:r>
      <w:r>
        <w:t>22.</w:t>
      </w:r>
      <w:r>
        <w:rPr>
          <w:rFonts w:hint="eastAsia"/>
        </w:rPr>
        <w:t xml:space="preserve">  </w:t>
      </w:r>
      <w:r>
        <w:rPr>
          <w:rFonts w:hint="eastAsia"/>
        </w:rPr>
        <w:t>摩尔多瓦共和国多数立法文书，如《民法》、《民事诉讼法》、《刑法》、《刑事诉讼法》、《婚姻和家庭法》等，都遵循宪法条款，规定国际法享有最高地位。</w:t>
      </w:r>
    </w:p>
    <w:p w:rsidR="00000000" w:rsidRDefault="00000000">
      <w:pPr>
        <w:rPr>
          <w:rFonts w:hint="eastAsia"/>
        </w:rPr>
      </w:pPr>
      <w:r>
        <w:rPr>
          <w:rFonts w:hint="eastAsia"/>
        </w:rPr>
        <w:tab/>
      </w:r>
      <w:r>
        <w:t>23.</w:t>
      </w:r>
      <w:r>
        <w:rPr>
          <w:rFonts w:hint="eastAsia"/>
        </w:rPr>
        <w:t xml:space="preserve">  </w:t>
      </w:r>
      <w:r>
        <w:rPr>
          <w:rFonts w:hint="eastAsia"/>
        </w:rPr>
        <w:t>宪法法院在这一领域发挥着特殊作用：它在接到通知后负责研究摩尔多瓦参加的国际条约是否合乎宪法问题。在这方面，应当提及的是，宪法法院适用《宪法》第</w:t>
      </w:r>
      <w:r>
        <w:rPr>
          <w:rFonts w:hint="eastAsia"/>
        </w:rPr>
        <w:t>4</w:t>
      </w:r>
      <w:r>
        <w:rPr>
          <w:rFonts w:hint="eastAsia"/>
        </w:rPr>
        <w:t>条第</w:t>
      </w:r>
      <w:r>
        <w:rPr>
          <w:rFonts w:hint="eastAsia"/>
        </w:rPr>
        <w:t>2</w:t>
      </w:r>
      <w:r>
        <w:rPr>
          <w:rFonts w:hint="eastAsia"/>
        </w:rPr>
        <w:t>款的规定，即：“如果摩尔多瓦共和国签署的基本人权方面的公约和条约与本国法律不一致，国际规章应当占据优先地位。”</w:t>
      </w:r>
    </w:p>
    <w:p w:rsidR="00000000" w:rsidRDefault="00000000">
      <w:pPr>
        <w:rPr>
          <w:rFonts w:hint="eastAsia"/>
        </w:rPr>
      </w:pPr>
      <w:r>
        <w:rPr>
          <w:rFonts w:hint="eastAsia"/>
        </w:rPr>
        <w:tab/>
      </w:r>
      <w:r>
        <w:t>24.</w:t>
      </w:r>
      <w:r>
        <w:rPr>
          <w:rFonts w:hint="eastAsia"/>
        </w:rPr>
        <w:t xml:space="preserve">  </w:t>
      </w:r>
      <w:r>
        <w:rPr>
          <w:rFonts w:hint="eastAsia"/>
        </w:rPr>
        <w:t>摩尔多瓦共和国《宪法》在很大程度上列入了《世界人权宣言》规定的权利和自由以及《欧洲人权公约》所载的权利，重申，“根据《世界人权宣言》，如果不创造人人能够享有公民和政治权利以及社会、经济和文化权利的条件，享受公民和政治自由以及免于恐惧和贫困的自由人类的理想就无法实现。”</w:t>
      </w:r>
    </w:p>
    <w:p w:rsidR="00000000" w:rsidRDefault="00000000">
      <w:pPr>
        <w:rPr>
          <w:rFonts w:hint="eastAsia"/>
        </w:rPr>
      </w:pPr>
      <w:r>
        <w:rPr>
          <w:rFonts w:hint="eastAsia"/>
        </w:rPr>
        <w:tab/>
      </w:r>
      <w:r>
        <w:t>25.</w:t>
      </w:r>
      <w:r>
        <w:rPr>
          <w:rFonts w:hint="eastAsia"/>
        </w:rPr>
        <w:t xml:space="preserve">  </w:t>
      </w:r>
      <w:r>
        <w:rPr>
          <w:rFonts w:hint="eastAsia"/>
        </w:rPr>
        <w:t>经济、社会和文化权利是人类多方面充分发展的基础，它们具有与公民和政治权利同等的重要性，但行使这些权利还取决于社会所拥有的资源。但这并不意味着国家没有责任通过逐渐确保其行使保障这些权利。为此，我们认为，国际机构有必要将重点放在发展权上。发展权概念本身需要得到丰富和扩大。</w:t>
      </w:r>
    </w:p>
    <w:p w:rsidR="00000000" w:rsidRDefault="00000000">
      <w:pPr>
        <w:rPr>
          <w:rFonts w:hint="eastAsia"/>
        </w:rPr>
      </w:pPr>
      <w:r>
        <w:rPr>
          <w:rFonts w:hint="eastAsia"/>
        </w:rPr>
        <w:tab/>
      </w:r>
      <w:r>
        <w:t>26.</w:t>
      </w:r>
      <w:r>
        <w:rPr>
          <w:rFonts w:hint="eastAsia"/>
        </w:rPr>
        <w:t xml:space="preserve">  </w:t>
      </w:r>
      <w:r>
        <w:rPr>
          <w:rFonts w:hint="eastAsia"/>
        </w:rPr>
        <w:t>摩尔多瓦共和国作为正式成员加入欧洲委员会时作出承诺不滥用上述规定。只有在法律严格规定的情况下，如在捍卫国家安全和秩序、防止灾难和灾害等之时，国家主管机构才能负责对某些权利或自由实行限制，并且行使和履行《摩尔多瓦共和国宪法》第</w:t>
      </w:r>
      <w:r>
        <w:rPr>
          <w:rFonts w:hint="eastAsia"/>
        </w:rPr>
        <w:t>54</w:t>
      </w:r>
      <w:r>
        <w:rPr>
          <w:rFonts w:hint="eastAsia"/>
        </w:rPr>
        <w:t>条和第</w:t>
      </w:r>
      <w:r>
        <w:rPr>
          <w:rFonts w:hint="eastAsia"/>
        </w:rPr>
        <w:t>55</w:t>
      </w:r>
      <w:r>
        <w:rPr>
          <w:rFonts w:hint="eastAsia"/>
        </w:rPr>
        <w:t>条规定的权利和义务。在这种情况下，实行的限制不得影响这种权利或自由的存在</w:t>
      </w:r>
      <w:r>
        <w:rPr>
          <w:rFonts w:hint="eastAsia"/>
        </w:rPr>
        <w:t>(</w:t>
      </w:r>
      <w:r>
        <w:rPr>
          <w:rFonts w:hint="eastAsia"/>
        </w:rPr>
        <w:t>《宪法》第</w:t>
      </w:r>
      <w:r>
        <w:rPr>
          <w:rFonts w:hint="eastAsia"/>
        </w:rPr>
        <w:t>54</w:t>
      </w:r>
      <w:r>
        <w:rPr>
          <w:rFonts w:hint="eastAsia"/>
        </w:rPr>
        <w:t>条第</w:t>
      </w:r>
      <w:r>
        <w:rPr>
          <w:rFonts w:hint="eastAsia"/>
        </w:rPr>
        <w:t>2</w:t>
      </w:r>
      <w:r>
        <w:rPr>
          <w:rFonts w:hint="eastAsia"/>
        </w:rPr>
        <w:t>款</w:t>
      </w:r>
      <w:r>
        <w:rPr>
          <w:rFonts w:hint="eastAsia"/>
        </w:rPr>
        <w:t>)</w:t>
      </w:r>
      <w:r>
        <w:rPr>
          <w:rFonts w:hint="eastAsia"/>
        </w:rPr>
        <w:t>。</w:t>
      </w:r>
    </w:p>
    <w:p w:rsidR="00000000" w:rsidRDefault="00000000">
      <w:pPr>
        <w:rPr>
          <w:rFonts w:hint="eastAsia"/>
        </w:rPr>
      </w:pPr>
      <w:r>
        <w:rPr>
          <w:rFonts w:hint="eastAsia"/>
        </w:rPr>
        <w:tab/>
      </w:r>
      <w:r>
        <w:t>27.</w:t>
      </w:r>
      <w:r>
        <w:rPr>
          <w:rFonts w:hint="eastAsia"/>
        </w:rPr>
        <w:t xml:space="preserve">  </w:t>
      </w:r>
      <w:r>
        <w:rPr>
          <w:rFonts w:hint="eastAsia"/>
        </w:rPr>
        <w:t>如果立法规定与《宪法》或者国际人权公约相抵触，法院可直接适用后者的规定。</w:t>
      </w:r>
    </w:p>
    <w:p w:rsidR="00000000" w:rsidRDefault="00000000">
      <w:pPr>
        <w:rPr>
          <w:rFonts w:hint="eastAsia"/>
        </w:rPr>
      </w:pPr>
      <w:r>
        <w:rPr>
          <w:rFonts w:hint="eastAsia"/>
        </w:rPr>
        <w:tab/>
      </w:r>
      <w:r>
        <w:t>28</w:t>
      </w:r>
      <w:r>
        <w:rPr>
          <w:rFonts w:hint="eastAsia"/>
        </w:rPr>
        <w:t xml:space="preserve">.  </w:t>
      </w:r>
      <w:r>
        <w:rPr>
          <w:rFonts w:hint="eastAsia"/>
        </w:rPr>
        <w:t>应当提及的是，《世界人权宣言》、国际人权两公约以及《欧洲人权公约》承认，在某些情形下存在着某些限制和约束，这些限制和约束不是单独得到具体规定的，而是视内容针对某些权利和自由作出的。因此这意味着，只有在法律明确规定时才能适用这些限制和约束。此种限制和约束是民主社会为保护国家安全、公共秩序、公共卫生及道德、他人的权利和自由等所必须的，但必须与引起限制和约束的原因相称。</w:t>
      </w:r>
    </w:p>
    <w:p w:rsidR="00000000" w:rsidRDefault="00000000">
      <w:pPr>
        <w:rPr>
          <w:rFonts w:hint="eastAsia"/>
        </w:rPr>
      </w:pPr>
      <w:r>
        <w:rPr>
          <w:rFonts w:hint="eastAsia"/>
        </w:rPr>
        <w:tab/>
      </w:r>
      <w:r>
        <w:t>29.</w:t>
      </w:r>
      <w:r>
        <w:rPr>
          <w:rFonts w:hint="eastAsia"/>
        </w:rPr>
        <w:t xml:space="preserve">  </w:t>
      </w:r>
      <w:r>
        <w:rPr>
          <w:rFonts w:hint="eastAsia"/>
        </w:rPr>
        <w:t>《宪法》第</w:t>
      </w:r>
      <w:r>
        <w:rPr>
          <w:rFonts w:hint="eastAsia"/>
        </w:rPr>
        <w:t>15</w:t>
      </w:r>
      <w:r>
        <w:rPr>
          <w:rFonts w:hint="eastAsia"/>
        </w:rPr>
        <w:t>条规定，摩尔多瓦共和国公民以及外国人和无国籍人士，享有同样的权利，承担相同的义务，而且除法律另行规定</w:t>
      </w:r>
      <w:r>
        <w:rPr>
          <w:rFonts w:hint="eastAsia"/>
        </w:rPr>
        <w:t>(</w:t>
      </w:r>
      <w:r>
        <w:rPr>
          <w:rFonts w:hint="eastAsia"/>
        </w:rPr>
        <w:t>第</w:t>
      </w:r>
      <w:r>
        <w:rPr>
          <w:rFonts w:hint="eastAsia"/>
        </w:rPr>
        <w:t>19</w:t>
      </w:r>
      <w:r>
        <w:rPr>
          <w:rFonts w:hint="eastAsia"/>
        </w:rPr>
        <w:t>条</w:t>
      </w:r>
      <w:r>
        <w:rPr>
          <w:rFonts w:hint="eastAsia"/>
        </w:rPr>
        <w:t>)</w:t>
      </w:r>
      <w:r>
        <w:rPr>
          <w:rFonts w:hint="eastAsia"/>
        </w:rPr>
        <w:t>外，被视为宪法权利、自由的享有者和宪法义务的承担者。</w:t>
      </w:r>
    </w:p>
    <w:p w:rsidR="00000000" w:rsidRDefault="00000000">
      <w:pPr>
        <w:rPr>
          <w:rFonts w:hint="eastAsia"/>
        </w:rPr>
      </w:pPr>
      <w:r>
        <w:rPr>
          <w:rFonts w:hint="eastAsia"/>
        </w:rPr>
        <w:tab/>
      </w:r>
      <w:r>
        <w:t>30.</w:t>
      </w:r>
      <w:r>
        <w:rPr>
          <w:rFonts w:hint="eastAsia"/>
        </w:rPr>
        <w:t xml:space="preserve">  </w:t>
      </w:r>
      <w:r>
        <w:rPr>
          <w:rFonts w:hint="eastAsia"/>
        </w:rPr>
        <w:t>在各国加入《公民权利和政治权利国际公约》和《经济、社会、文化权利国际公约》时，它们承诺尊重和保证在其领土内和受其管辖的一切个人享有这两项公约所承认的权利，不分种族、肤色、性别、语言、宗教、政治或其他见解、国籍或社会出身、财产、出身或其他身份等任何区别</w:t>
      </w:r>
      <w:r>
        <w:rPr>
          <w:rFonts w:hint="eastAsia"/>
        </w:rPr>
        <w:t>(</w:t>
      </w:r>
      <w:r>
        <w:rPr>
          <w:rFonts w:hint="eastAsia"/>
        </w:rPr>
        <w:t>《公民权利和政治权利国际公约》，第二条第一款</w:t>
      </w:r>
      <w:r>
        <w:rPr>
          <w:rFonts w:hint="eastAsia"/>
        </w:rPr>
        <w:t>)</w:t>
      </w:r>
      <w:r>
        <w:rPr>
          <w:rFonts w:hint="eastAsia"/>
        </w:rPr>
        <w:t>。</w:t>
      </w:r>
    </w:p>
    <w:p w:rsidR="00000000" w:rsidRDefault="00000000">
      <w:pPr>
        <w:rPr>
          <w:rFonts w:hint="eastAsia"/>
        </w:rPr>
      </w:pPr>
      <w:r>
        <w:rPr>
          <w:rFonts w:hint="eastAsia"/>
        </w:rPr>
        <w:tab/>
      </w:r>
      <w:r>
        <w:t>31.</w:t>
      </w:r>
      <w:r>
        <w:rPr>
          <w:rFonts w:hint="eastAsia"/>
        </w:rPr>
        <w:t xml:space="preserve">  </w:t>
      </w:r>
      <w:r>
        <w:rPr>
          <w:rFonts w:hint="eastAsia"/>
        </w:rPr>
        <w:t>从加入《欧洲人权公约》之时起，根据《公约》第一条，签署国“管辖下的”“任何个人”就被承认为该公约承认的权利和自由的享有者。这项原则同样适用于第</w:t>
      </w:r>
      <w:r>
        <w:rPr>
          <w:rFonts w:hint="eastAsia"/>
        </w:rPr>
        <w:t>1</w:t>
      </w:r>
      <w:r>
        <w:rPr>
          <w:rFonts w:hint="eastAsia"/>
        </w:rPr>
        <w:t>、</w:t>
      </w:r>
      <w:r>
        <w:rPr>
          <w:rFonts w:hint="eastAsia"/>
        </w:rPr>
        <w:t>4</w:t>
      </w:r>
      <w:r>
        <w:rPr>
          <w:rFonts w:hint="eastAsia"/>
        </w:rPr>
        <w:t>、</w:t>
      </w:r>
      <w:r>
        <w:rPr>
          <w:rFonts w:hint="eastAsia"/>
        </w:rPr>
        <w:t>6</w:t>
      </w:r>
      <w:r>
        <w:rPr>
          <w:rFonts w:hint="eastAsia"/>
        </w:rPr>
        <w:t>和</w:t>
      </w:r>
      <w:r>
        <w:rPr>
          <w:rFonts w:hint="eastAsia"/>
        </w:rPr>
        <w:t>7</w:t>
      </w:r>
      <w:r>
        <w:rPr>
          <w:rFonts w:hint="eastAsia"/>
        </w:rPr>
        <w:t>号议定书承认的权利和自由。摩尔多瓦共和国如同公约的其他缔约国一样，不仅承认本国公民享有这些权利和自由，而且还承认其他签署国的公民、处于属于非公约缔约国的另一国管辖下的一国公民以及无国籍人士也享有这些权利和自由</w:t>
      </w:r>
      <w:r>
        <w:rPr>
          <w:rFonts w:hint="eastAsia"/>
        </w:rPr>
        <w:t>(</w:t>
      </w:r>
      <w:r>
        <w:rPr>
          <w:rFonts w:hint="eastAsia"/>
        </w:rPr>
        <w:t>欧洲人权委员会，第</w:t>
      </w:r>
      <w:r>
        <w:rPr>
          <w:rFonts w:hint="eastAsia"/>
        </w:rPr>
        <w:t>788/60</w:t>
      </w:r>
      <w:r>
        <w:rPr>
          <w:rFonts w:hint="eastAsia"/>
        </w:rPr>
        <w:t>号决定，</w:t>
      </w:r>
      <w:r>
        <w:rPr>
          <w:rFonts w:hint="eastAsia"/>
        </w:rPr>
        <w:t>1961</w:t>
      </w:r>
      <w:r>
        <w:rPr>
          <w:rFonts w:hint="eastAsia"/>
        </w:rPr>
        <w:t>年</w:t>
      </w:r>
      <w:r>
        <w:rPr>
          <w:rFonts w:hint="eastAsia"/>
        </w:rPr>
        <w:t>1</w:t>
      </w:r>
      <w:r>
        <w:rPr>
          <w:rFonts w:hint="eastAsia"/>
        </w:rPr>
        <w:t>月</w:t>
      </w:r>
      <w:r>
        <w:rPr>
          <w:rFonts w:hint="eastAsia"/>
        </w:rPr>
        <w:t>11</w:t>
      </w:r>
      <w:r>
        <w:rPr>
          <w:rFonts w:hint="eastAsia"/>
        </w:rPr>
        <w:t>日</w:t>
      </w:r>
      <w:r>
        <w:rPr>
          <w:rFonts w:hint="eastAsia"/>
        </w:rPr>
        <w:t>)</w:t>
      </w:r>
      <w:r>
        <w:rPr>
          <w:rFonts w:hint="eastAsia"/>
        </w:rPr>
        <w:t>。</w:t>
      </w:r>
    </w:p>
    <w:p w:rsidR="00000000" w:rsidRDefault="00000000">
      <w:pPr>
        <w:rPr>
          <w:rFonts w:hint="eastAsia"/>
        </w:rPr>
      </w:pPr>
      <w:r>
        <w:rPr>
          <w:rFonts w:hint="eastAsia"/>
        </w:rPr>
        <w:tab/>
      </w:r>
      <w:r>
        <w:t>32.</w:t>
      </w:r>
      <w:r>
        <w:rPr>
          <w:rFonts w:hint="eastAsia"/>
        </w:rPr>
        <w:t xml:space="preserve">  </w:t>
      </w:r>
      <w:r>
        <w:rPr>
          <w:rFonts w:hint="eastAsia"/>
        </w:rPr>
        <w:t>《维也纳条约法公约》</w:t>
      </w:r>
      <w:r>
        <w:rPr>
          <w:rFonts w:hint="eastAsia"/>
        </w:rPr>
        <w:t>(1969</w:t>
      </w:r>
      <w:r>
        <w:rPr>
          <w:rFonts w:hint="eastAsia"/>
        </w:rPr>
        <w:t>年</w:t>
      </w:r>
      <w:r>
        <w:rPr>
          <w:rFonts w:hint="eastAsia"/>
        </w:rPr>
        <w:t>)</w:t>
      </w:r>
      <w:r>
        <w:rPr>
          <w:rFonts w:hint="eastAsia"/>
        </w:rPr>
        <w:t>第</w:t>
      </w:r>
      <w:r>
        <w:rPr>
          <w:rFonts w:hint="eastAsia"/>
        </w:rPr>
        <w:t>29</w:t>
      </w:r>
      <w:r>
        <w:rPr>
          <w:rFonts w:hint="eastAsia"/>
        </w:rPr>
        <w:t>条制定的总则规定，国际条约适用于签署国全境。鉴于《欧洲人权公约》规定，签署国应承认“其管辖下的”所有个人都享有权利和自由，因此，显然，一国，如摩尔多瓦共和国，不能对该国不行使实际管辖权的领土上发生的侵犯人权行为负责。《公约》第</w:t>
      </w:r>
      <w:r>
        <w:rPr>
          <w:rFonts w:hint="eastAsia"/>
        </w:rPr>
        <w:t>63</w:t>
      </w:r>
      <w:r>
        <w:rPr>
          <w:rFonts w:hint="eastAsia"/>
        </w:rPr>
        <w:t>条规定，可以将签署国的某个部分排除在《公约》适用范围之外。</w:t>
      </w:r>
    </w:p>
    <w:p w:rsidR="00000000" w:rsidRDefault="00000000">
      <w:pPr>
        <w:rPr>
          <w:rFonts w:hint="eastAsia"/>
        </w:rPr>
      </w:pPr>
      <w:r>
        <w:rPr>
          <w:rFonts w:hint="eastAsia"/>
        </w:rPr>
        <w:tab/>
      </w:r>
      <w:r>
        <w:t>33.</w:t>
      </w:r>
      <w:r>
        <w:rPr>
          <w:rFonts w:hint="eastAsia"/>
        </w:rPr>
        <w:t xml:space="preserve">  </w:t>
      </w:r>
      <w:r>
        <w:rPr>
          <w:rFonts w:hint="eastAsia"/>
        </w:rPr>
        <w:t>鉴于德涅斯特河左岸</w:t>
      </w:r>
      <w:r>
        <w:rPr>
          <w:rFonts w:hint="eastAsia"/>
        </w:rPr>
        <w:t>(</w:t>
      </w:r>
      <w:r>
        <w:rPr>
          <w:rFonts w:hint="eastAsia"/>
        </w:rPr>
        <w:t>摩尔多瓦东部地区</w:t>
      </w:r>
      <w:r>
        <w:rPr>
          <w:rFonts w:hint="eastAsia"/>
        </w:rPr>
        <w:t>)</w:t>
      </w:r>
      <w:r>
        <w:rPr>
          <w:rFonts w:hint="eastAsia"/>
        </w:rPr>
        <w:t>领土上的情况以及欧洲委员会议会第</w:t>
      </w:r>
      <w:r>
        <w:rPr>
          <w:rFonts w:hint="eastAsia"/>
        </w:rPr>
        <w:t>188(195)</w:t>
      </w:r>
      <w:r>
        <w:rPr>
          <w:rFonts w:hint="eastAsia"/>
        </w:rPr>
        <w:t>号通知第</w:t>
      </w:r>
      <w:r>
        <w:rPr>
          <w:rFonts w:hint="eastAsia"/>
        </w:rPr>
        <w:t>11</w:t>
      </w:r>
      <w:r>
        <w:rPr>
          <w:rFonts w:hint="eastAsia"/>
        </w:rPr>
        <w:t>条的规定，摩尔多瓦共和国议会在批准《欧洲人权公约》时认为必须提出一项声明，宣布摩尔多瓦共和国拒绝对在自称的“德涅斯特河沿岸共和国”的领土上所发生的行为负责，而且这种状况将维持下去，直到该地区的冲突最后得到解决。</w:t>
      </w:r>
    </w:p>
    <w:p w:rsidR="00000000" w:rsidRDefault="00000000">
      <w:pPr>
        <w:rPr>
          <w:rFonts w:hint="eastAsia"/>
        </w:rPr>
      </w:pPr>
      <w:r>
        <w:rPr>
          <w:rFonts w:hint="eastAsia"/>
        </w:rPr>
        <w:tab/>
      </w:r>
      <w:r>
        <w:t>34.</w:t>
      </w:r>
      <w:r>
        <w:rPr>
          <w:rFonts w:hint="eastAsia"/>
        </w:rPr>
        <w:t xml:space="preserve">  1993</w:t>
      </w:r>
      <w:r>
        <w:rPr>
          <w:rFonts w:hint="eastAsia"/>
        </w:rPr>
        <w:t>年在维也纳举行的世界人权会议宣布赞成建立和巩固人权机构。会议通过的文件提到，每一个国家有权建立完全符合本国需要的此种机构。</w:t>
      </w:r>
    </w:p>
    <w:p w:rsidR="00000000" w:rsidRDefault="00000000">
      <w:pPr>
        <w:rPr>
          <w:rFonts w:hint="eastAsia"/>
        </w:rPr>
      </w:pPr>
      <w:r>
        <w:rPr>
          <w:rFonts w:hint="eastAsia"/>
        </w:rPr>
        <w:tab/>
      </w:r>
      <w:r>
        <w:t>35.</w:t>
      </w:r>
      <w:r>
        <w:rPr>
          <w:rFonts w:hint="eastAsia"/>
        </w:rPr>
        <w:t xml:space="preserve">  </w:t>
      </w:r>
      <w:r>
        <w:rPr>
          <w:rFonts w:hint="eastAsia"/>
        </w:rPr>
        <w:t>在过去两年里，摩尔多瓦共和国的立法和行政机构特别注意涉及尊重宪法规定的人权和自由，以及在发生侵犯的情况下国家保护这种人权和自由的问题。我们可以肯定地说，我国实行法律和司法改革的目的首先是加强法院对人权的保护。</w:t>
      </w:r>
    </w:p>
    <w:p w:rsidR="00000000" w:rsidRDefault="00000000">
      <w:pPr>
        <w:rPr>
          <w:rFonts w:hint="eastAsia"/>
        </w:rPr>
      </w:pPr>
      <w:r>
        <w:rPr>
          <w:rFonts w:hint="eastAsia"/>
        </w:rPr>
        <w:tab/>
      </w:r>
      <w:r>
        <w:t>36.</w:t>
      </w:r>
      <w:r>
        <w:rPr>
          <w:rFonts w:hint="eastAsia"/>
        </w:rPr>
        <w:t xml:space="preserve">  </w:t>
      </w:r>
      <w:r>
        <w:rPr>
          <w:rFonts w:hint="eastAsia"/>
        </w:rPr>
        <w:t>司法结构的改变、构建这种结构的方式的改变以及公诉人的作用和职能的改变，均证实了这一点。此外还通过了新的《公证法》，起草了新的《辩护法》议案。</w:t>
      </w:r>
    </w:p>
    <w:p w:rsidR="00000000" w:rsidRDefault="00000000">
      <w:pPr>
        <w:rPr>
          <w:rFonts w:hint="eastAsia"/>
        </w:rPr>
      </w:pPr>
      <w:r>
        <w:rPr>
          <w:rFonts w:hint="eastAsia"/>
        </w:rPr>
        <w:tab/>
      </w:r>
      <w:r>
        <w:t>37.</w:t>
      </w:r>
      <w:r>
        <w:rPr>
          <w:rFonts w:hint="eastAsia"/>
        </w:rPr>
        <w:t xml:space="preserve">  </w:t>
      </w:r>
      <w:r>
        <w:rPr>
          <w:rFonts w:hint="eastAsia"/>
        </w:rPr>
        <w:t>在议会上一次以及倒数第二次会议上，人权、少数民族、教派和其他外部团体委员会与其他常设委员会协力工作。</w:t>
      </w:r>
    </w:p>
    <w:p w:rsidR="00000000" w:rsidRDefault="00000000">
      <w:pPr>
        <w:rPr>
          <w:rFonts w:hint="eastAsia"/>
        </w:rPr>
      </w:pPr>
      <w:r>
        <w:rPr>
          <w:rFonts w:hint="eastAsia"/>
        </w:rPr>
        <w:tab/>
        <w:t xml:space="preserve">38.  </w:t>
      </w:r>
      <w:r>
        <w:rPr>
          <w:rFonts w:hint="eastAsia"/>
        </w:rPr>
        <w:t>自</w:t>
      </w:r>
      <w:r>
        <w:rPr>
          <w:rFonts w:hint="eastAsia"/>
        </w:rPr>
        <w:t>1991</w:t>
      </w:r>
      <w:r>
        <w:rPr>
          <w:rFonts w:hint="eastAsia"/>
        </w:rPr>
        <w:t>年以来，民族关系和语言使用部</w:t>
      </w:r>
      <w:r>
        <w:rPr>
          <w:rFonts w:hint="eastAsia"/>
        </w:rPr>
        <w:t>(</w:t>
      </w:r>
      <w:r>
        <w:rPr>
          <w:rFonts w:hint="eastAsia"/>
        </w:rPr>
        <w:t>第</w:t>
      </w:r>
      <w:r>
        <w:rPr>
          <w:rFonts w:hint="eastAsia"/>
        </w:rPr>
        <w:t>27</w:t>
      </w:r>
      <w:r>
        <w:rPr>
          <w:rFonts w:hint="eastAsia"/>
        </w:rPr>
        <w:t>条</w:t>
      </w:r>
      <w:r>
        <w:rPr>
          <w:rFonts w:hint="eastAsia"/>
        </w:rPr>
        <w:t>)</w:t>
      </w:r>
      <w:r>
        <w:rPr>
          <w:rFonts w:hint="eastAsia"/>
        </w:rPr>
        <w:t>一直在政府中开展工作。该部的基本职能如下：</w:t>
      </w:r>
    </w:p>
    <w:p w:rsidR="00000000" w:rsidRDefault="00000000">
      <w:pPr>
        <w:numPr>
          <w:ilvl w:val="0"/>
          <w:numId w:val="79"/>
        </w:numPr>
        <w:tabs>
          <w:tab w:val="clear" w:pos="1531"/>
        </w:tabs>
        <w:rPr>
          <w:rFonts w:hint="eastAsia"/>
        </w:rPr>
      </w:pPr>
      <w:r>
        <w:rPr>
          <w:rFonts w:hint="eastAsia"/>
        </w:rPr>
        <w:t>推进有关民族问题的国家政策；</w:t>
      </w:r>
    </w:p>
    <w:p w:rsidR="00000000" w:rsidRDefault="00000000">
      <w:pPr>
        <w:numPr>
          <w:ilvl w:val="0"/>
          <w:numId w:val="79"/>
        </w:numPr>
        <w:rPr>
          <w:rFonts w:hint="eastAsia"/>
        </w:rPr>
      </w:pPr>
      <w:r>
        <w:rPr>
          <w:rFonts w:hint="eastAsia"/>
        </w:rPr>
        <w:t>在国家行政管理机构内代表主要少数民族的利益和共同相处的其它少数民族群体的利益；</w:t>
      </w:r>
    </w:p>
    <w:p w:rsidR="00000000" w:rsidRDefault="00000000">
      <w:pPr>
        <w:numPr>
          <w:ilvl w:val="0"/>
          <w:numId w:val="79"/>
        </w:numPr>
        <w:rPr>
          <w:rFonts w:hint="eastAsia"/>
        </w:rPr>
      </w:pPr>
      <w:r>
        <w:rPr>
          <w:rFonts w:hint="eastAsia"/>
        </w:rPr>
        <w:t>根据现行立法确保使用官方语言和国家境内所用的其他语言；</w:t>
      </w:r>
    </w:p>
    <w:p w:rsidR="00000000" w:rsidRDefault="00000000">
      <w:pPr>
        <w:numPr>
          <w:ilvl w:val="0"/>
          <w:numId w:val="79"/>
        </w:numPr>
        <w:rPr>
          <w:rFonts w:hint="eastAsia"/>
        </w:rPr>
      </w:pPr>
      <w:r>
        <w:rPr>
          <w:rFonts w:hint="eastAsia"/>
        </w:rPr>
        <w:t>支持有关国内族裔和文化结构的规章方面的活动；</w:t>
      </w:r>
    </w:p>
    <w:p w:rsidR="00000000" w:rsidRDefault="00000000">
      <w:pPr>
        <w:numPr>
          <w:ilvl w:val="0"/>
          <w:numId w:val="79"/>
        </w:numPr>
        <w:rPr>
          <w:rFonts w:hint="eastAsia"/>
        </w:rPr>
      </w:pPr>
      <w:r>
        <w:rPr>
          <w:rFonts w:hint="eastAsia"/>
        </w:rPr>
        <w:t>帮助生于摩尔多瓦共和国，但现居住在国外的摩尔多瓦人建立与祖国的联系，以促进执行与这些人相关的的民族文化方案。</w:t>
      </w:r>
    </w:p>
    <w:p w:rsidR="00000000" w:rsidRDefault="00000000">
      <w:pPr>
        <w:rPr>
          <w:rFonts w:hint="eastAsia"/>
        </w:rPr>
      </w:pPr>
      <w:r>
        <w:rPr>
          <w:rFonts w:hint="eastAsia"/>
        </w:rPr>
        <w:tab/>
      </w:r>
      <w:r>
        <w:t>39.</w:t>
      </w:r>
      <w:r>
        <w:rPr>
          <w:rFonts w:hint="eastAsia"/>
        </w:rPr>
        <w:t xml:space="preserve">  1996</w:t>
      </w:r>
      <w:r>
        <w:rPr>
          <w:rFonts w:hint="eastAsia"/>
        </w:rPr>
        <w:t>年春，在基希讷乌举行了第二次监察专员和人权机构国际会议。会上讨论了在各国建立保护人权机构的问题。在摩尔多瓦举行这一类颇具声望的论坛，加速了我国保护人权保护法草案的拟定。在拟定这项法律草案时，考虑到了若干欧洲国家在这一领域的经验。</w:t>
      </w:r>
    </w:p>
    <w:p w:rsidR="00000000" w:rsidRDefault="00000000">
      <w:r>
        <w:rPr>
          <w:rFonts w:hint="eastAsia"/>
        </w:rPr>
        <w:tab/>
      </w:r>
      <w:r>
        <w:t>40.</w:t>
      </w:r>
      <w:r>
        <w:rPr>
          <w:rFonts w:hint="eastAsia"/>
        </w:rPr>
        <w:t xml:space="preserve">  1997</w:t>
      </w:r>
      <w:r>
        <w:rPr>
          <w:rFonts w:hint="eastAsia"/>
        </w:rPr>
        <w:t>年</w:t>
      </w:r>
      <w:r>
        <w:rPr>
          <w:rFonts w:hint="eastAsia"/>
        </w:rPr>
        <w:t>10</w:t>
      </w:r>
      <w:r>
        <w:rPr>
          <w:rFonts w:hint="eastAsia"/>
        </w:rPr>
        <w:t>月，议会通过了《监察专员法》。根据该法，议会指定了三名监察专员，配备工作人员，构成独立的法律机构，即人权中心，他们可以在全国各地设立附属机构。监察专员的活动确保中央和地方公共行政机关、机构、组织和具有不同财产所有权形式的公司以及非政府组织尊重宪法权利和自由。监察专员推动恢复公民权利，改善人权领域的立法，增强民众的法律意识。</w:t>
      </w:r>
    </w:p>
    <w:p w:rsidR="00000000" w:rsidRDefault="00000000">
      <w:pPr>
        <w:rPr>
          <w:rFonts w:hint="eastAsia"/>
        </w:rPr>
      </w:pPr>
      <w:r>
        <w:rPr>
          <w:rFonts w:hint="eastAsia"/>
        </w:rPr>
        <w:tab/>
      </w:r>
      <w:r>
        <w:t>41.</w:t>
      </w:r>
      <w:r>
        <w:rPr>
          <w:rFonts w:hint="eastAsia"/>
        </w:rPr>
        <w:t xml:space="preserve">  </w:t>
      </w:r>
      <w:r>
        <w:rPr>
          <w:rFonts w:hint="eastAsia"/>
        </w:rPr>
        <w:t>监察专员在活动中遵循《宪法》和摩尔多瓦共和国的其他法律、《世界人权宣言》和摩尔多瓦参加的其他国际文书。监察专员审查摩尔多瓦共和国公民、临时或长期居住我国的外国公民，以及无国籍人士就他们在摩尔多瓦共和国的合法权益受到侵犯而提出的请愿书。监察专员可自行开展调查，以便查明侵犯人权和自由案件真相。如果证明原告的权利受到侵犯，监察专员将向有关决策机构或实体提交结论，并就立即恢复原告的权利问题提出建议。他还可向法院呼吁，请求保护公民的利益。</w:t>
      </w:r>
    </w:p>
    <w:p w:rsidR="00000000" w:rsidRDefault="00000000">
      <w:pPr>
        <w:rPr>
          <w:rFonts w:hint="eastAsia"/>
        </w:rPr>
      </w:pPr>
      <w:r>
        <w:rPr>
          <w:rFonts w:hint="eastAsia"/>
        </w:rPr>
        <w:tab/>
      </w:r>
      <w:r>
        <w:t>42.</w:t>
      </w:r>
      <w:r>
        <w:rPr>
          <w:rFonts w:hint="eastAsia"/>
        </w:rPr>
        <w:t xml:space="preserve">  </w:t>
      </w:r>
      <w:r>
        <w:rPr>
          <w:rFonts w:hint="eastAsia"/>
        </w:rPr>
        <w:t>监察专员可根据在审查公民的请愿后得出的结论，就改进现行立法问题向议会提出建议，如果查明有严重侵犯宪法权利和自由的情况，他有权在议会举行会议期间提交报告，并建议成立一个议会委员会审查有关案件。</w:t>
      </w:r>
    </w:p>
    <w:p w:rsidR="00000000" w:rsidRDefault="00000000">
      <w:pPr>
        <w:rPr>
          <w:rFonts w:hint="eastAsia"/>
        </w:rPr>
      </w:pPr>
      <w:r>
        <w:rPr>
          <w:rFonts w:hint="eastAsia"/>
        </w:rPr>
        <w:tab/>
      </w:r>
      <w:r>
        <w:t>43.</w:t>
      </w:r>
      <w:r>
        <w:rPr>
          <w:rFonts w:hint="eastAsia"/>
        </w:rPr>
        <w:t xml:space="preserve">  </w:t>
      </w:r>
      <w:r>
        <w:rPr>
          <w:rFonts w:hint="eastAsia"/>
        </w:rPr>
        <w:t>监察专员有权请求宪法法院就议会、总统或者政府通过的规范性规则的合宪性作出裁决，裁决的依据是此种规则是否与人权方面的一般原则和国际文书相一致。</w:t>
      </w:r>
    </w:p>
    <w:p w:rsidR="00000000" w:rsidRDefault="00000000">
      <w:pPr>
        <w:rPr>
          <w:rFonts w:hint="eastAsia"/>
        </w:rPr>
      </w:pPr>
      <w:r>
        <w:rPr>
          <w:rFonts w:hint="eastAsia"/>
        </w:rPr>
        <w:tab/>
      </w:r>
      <w:r>
        <w:t>44.</w:t>
      </w:r>
      <w:r>
        <w:rPr>
          <w:rFonts w:hint="eastAsia"/>
        </w:rPr>
        <w:t xml:space="preserve">  </w:t>
      </w:r>
      <w:r>
        <w:rPr>
          <w:rFonts w:hint="eastAsia"/>
        </w:rPr>
        <w:t>人权中心每年就摩尔多瓦共和国境内尊重人权的情况向议会提交一份报告。报告提及查明存在最严重侵犯人权和自由情况的社会关系领域、造成这些情况的根源，以及为消除这些原因而采取的措施；还提及改进立法和对民众进行法律教育等问题。该报告向公民公布，刊登在摩尔多瓦共和国《官方公报》</w:t>
      </w:r>
      <w:r>
        <w:rPr>
          <w:rFonts w:hint="eastAsia"/>
        </w:rPr>
        <w:t>(</w:t>
      </w:r>
      <w:r>
        <w:t>Monitorul</w:t>
      </w:r>
      <w:r>
        <w:rPr>
          <w:rFonts w:hint="eastAsia"/>
        </w:rPr>
        <w:t xml:space="preserve"> O</w:t>
      </w:r>
      <w:r>
        <w:t>ficial</w:t>
      </w:r>
      <w:r>
        <w:rPr>
          <w:rFonts w:hint="eastAsia"/>
        </w:rPr>
        <w:t>)</w:t>
      </w:r>
      <w:r>
        <w:rPr>
          <w:rFonts w:hint="eastAsia"/>
        </w:rPr>
        <w:t>上。</w:t>
      </w:r>
    </w:p>
    <w:p w:rsidR="00000000" w:rsidRDefault="00000000">
      <w:pPr>
        <w:rPr>
          <w:rFonts w:hint="eastAsia"/>
        </w:rPr>
      </w:pPr>
      <w:r>
        <w:rPr>
          <w:rFonts w:hint="eastAsia"/>
        </w:rPr>
        <w:tab/>
        <w:t xml:space="preserve">45.  </w:t>
      </w:r>
      <w:r>
        <w:rPr>
          <w:rFonts w:hint="eastAsia"/>
        </w:rPr>
        <w:t>根据《监察专员法》第</w:t>
      </w:r>
      <w:r>
        <w:rPr>
          <w:rFonts w:hint="eastAsia"/>
        </w:rPr>
        <w:t>39</w:t>
      </w:r>
      <w:r>
        <w:rPr>
          <w:rFonts w:hint="eastAsia"/>
        </w:rPr>
        <w:t>条，在人权中心内设立了一个专家委员会，该委员会由宪法人权和自由领域的专家组成，目的是提供咨询意见。委员会就改进人权领域的立法的草案，以及这些草案是否符合摩尔多瓦共和国批准的国际法律文书问题提出建议。委员会负责发起拟定有关与在保护人权领域从事工作的国际组织开展合作的文件草案，并且积极与大众传媒和非政府组织开展合作。</w:t>
      </w:r>
    </w:p>
    <w:p w:rsidR="00000000" w:rsidRDefault="00000000">
      <w:pPr>
        <w:rPr>
          <w:rFonts w:hint="eastAsia"/>
        </w:rPr>
      </w:pPr>
      <w:r>
        <w:rPr>
          <w:rFonts w:hint="eastAsia"/>
        </w:rPr>
        <w:tab/>
      </w:r>
      <w:r>
        <w:t>46.</w:t>
      </w:r>
      <w:r>
        <w:rPr>
          <w:rFonts w:hint="eastAsia"/>
        </w:rPr>
        <w:t xml:space="preserve">  </w:t>
      </w:r>
      <w:r>
        <w:rPr>
          <w:rFonts w:hint="eastAsia"/>
        </w:rPr>
        <w:t>根据上述法律的规定，在</w:t>
      </w:r>
      <w:r>
        <w:rPr>
          <w:rFonts w:hint="eastAsia"/>
        </w:rPr>
        <w:t>B</w:t>
      </w:r>
      <w:r>
        <w:t>altsi</w:t>
      </w:r>
      <w:r>
        <w:rPr>
          <w:rFonts w:hint="eastAsia"/>
        </w:rPr>
        <w:t>和</w:t>
      </w:r>
      <w:r>
        <w:t>Comrat</w:t>
      </w:r>
      <w:r>
        <w:rPr>
          <w:rFonts w:hint="eastAsia"/>
        </w:rPr>
        <w:t>镇设立了中心附属机构。</w:t>
      </w:r>
    </w:p>
    <w:p w:rsidR="00000000" w:rsidRDefault="00000000">
      <w:pPr>
        <w:rPr>
          <w:rFonts w:hint="eastAsia"/>
        </w:rPr>
      </w:pPr>
      <w:r>
        <w:rPr>
          <w:rFonts w:hint="eastAsia"/>
        </w:rPr>
        <w:tab/>
      </w:r>
      <w:r>
        <w:t>47.</w:t>
      </w:r>
      <w:r>
        <w:rPr>
          <w:rFonts w:hint="eastAsia"/>
        </w:rPr>
        <w:t xml:space="preserve">  </w:t>
      </w:r>
      <w:r>
        <w:rPr>
          <w:rFonts w:hint="eastAsia"/>
        </w:rPr>
        <w:t>为履行有关人权的联合国公约和其他公约缔约国的义务，设立了一个主管社会问题的国家委员会，由一名副总理负责。该委员会负责编写摩尔多瓦共和国初次报告和定期报告。作为有关人权的联合国公约和其他国际公约的缔约国，摩尔多瓦共和国必须根据这些公约规定的条件向经授权的国际机构提交报告。委员会还负责协调法律教育活动和人权领域对公众进行培训。</w:t>
      </w:r>
    </w:p>
    <w:p w:rsidR="00000000" w:rsidRDefault="00000000">
      <w:pPr>
        <w:rPr>
          <w:rFonts w:hint="eastAsia"/>
        </w:rPr>
      </w:pPr>
      <w:r>
        <w:rPr>
          <w:rFonts w:hint="eastAsia"/>
        </w:rPr>
        <w:tab/>
        <w:t xml:space="preserve">48.  </w:t>
      </w:r>
      <w:r>
        <w:rPr>
          <w:rFonts w:hint="eastAsia"/>
        </w:rPr>
        <w:t>关于这个问题，我们要告知联合国的是，上述委员会没有收到任何外来资金。在向市场经济过渡的现阶段，我国面临着严重的经济危机，在这种情况下，国际机构对这类活动的资金支助将会大大提高执行国际公约和报告工作的有效性，摩尔多瓦共和国政府将非常感谢这种支助。</w:t>
      </w:r>
    </w:p>
    <w:p w:rsidR="00000000" w:rsidRDefault="00000000">
      <w:pPr>
        <w:spacing w:after="320"/>
        <w:rPr>
          <w:rFonts w:hint="eastAsia"/>
        </w:rPr>
      </w:pPr>
      <w:r>
        <w:rPr>
          <w:rFonts w:hint="eastAsia"/>
        </w:rPr>
        <w:tab/>
      </w:r>
      <w:r>
        <w:t>49.</w:t>
      </w:r>
      <w:r>
        <w:rPr>
          <w:rFonts w:hint="eastAsia"/>
        </w:rPr>
        <w:t xml:space="preserve">  </w:t>
      </w:r>
      <w:r>
        <w:rPr>
          <w:rFonts w:hint="eastAsia"/>
        </w:rPr>
        <w:t>我们还要提及的是，</w:t>
      </w:r>
      <w:r>
        <w:rPr>
          <w:rFonts w:hint="eastAsia"/>
        </w:rPr>
        <w:t>1998</w:t>
      </w:r>
      <w:r>
        <w:rPr>
          <w:rFonts w:hint="eastAsia"/>
        </w:rPr>
        <w:t>年</w:t>
      </w:r>
      <w:r>
        <w:rPr>
          <w:rFonts w:hint="eastAsia"/>
        </w:rPr>
        <w:t>6</w:t>
      </w:r>
      <w:r>
        <w:rPr>
          <w:rFonts w:hint="eastAsia"/>
        </w:rPr>
        <w:t>月</w:t>
      </w:r>
      <w:r>
        <w:rPr>
          <w:rFonts w:hint="eastAsia"/>
        </w:rPr>
        <w:t>18</w:t>
      </w:r>
      <w:r>
        <w:rPr>
          <w:rFonts w:hint="eastAsia"/>
        </w:rPr>
        <w:t>日，在摩尔多瓦共和国外交部、国家人权中心和联合国开发计划署基希纳乌办事处的主持下在基希纳乌举行了第一次全国人权会议。政府、议会、总统办公室等国家机构、非政府组织、大学、国际组织的代表以及驻基希纳乌的外交使团的代表参加了次会议。会议的四个工作组完成了题为“人权：促进可持续发展”的摩尔多瓦共和国国家报告，该报告随后提交</w:t>
      </w:r>
      <w:r>
        <w:rPr>
          <w:rFonts w:hint="eastAsia"/>
        </w:rPr>
        <w:t>1998</w:t>
      </w:r>
      <w:r>
        <w:rPr>
          <w:rFonts w:hint="eastAsia"/>
        </w:rPr>
        <w:t>年</w:t>
      </w:r>
      <w:r>
        <w:rPr>
          <w:rFonts w:hint="eastAsia"/>
        </w:rPr>
        <w:t>9</w:t>
      </w:r>
      <w:r>
        <w:rPr>
          <w:rFonts w:hint="eastAsia"/>
        </w:rPr>
        <w:t>月</w:t>
      </w:r>
      <w:r>
        <w:rPr>
          <w:rFonts w:hint="eastAsia"/>
        </w:rPr>
        <w:t>1</w:t>
      </w:r>
      <w:r>
        <w:rPr>
          <w:rFonts w:hint="eastAsia"/>
        </w:rPr>
        <w:t>日至</w:t>
      </w:r>
      <w:r>
        <w:rPr>
          <w:rFonts w:hint="eastAsia"/>
        </w:rPr>
        <w:t>4</w:t>
      </w:r>
      <w:r>
        <w:rPr>
          <w:rFonts w:hint="eastAsia"/>
        </w:rPr>
        <w:t>日在雅尔塔举行的国际会议。</w:t>
      </w:r>
    </w:p>
    <w:p w:rsidR="00000000" w:rsidRDefault="00000000">
      <w:pPr>
        <w:pStyle w:val="Heading3"/>
        <w:rPr>
          <w:rFonts w:hint="eastAsia"/>
        </w:rPr>
      </w:pPr>
      <w:r>
        <w:rPr>
          <w:rFonts w:hint="eastAsia"/>
          <w:u w:val="none"/>
        </w:rPr>
        <w:t xml:space="preserve">B.  </w:t>
      </w:r>
      <w:r>
        <w:rPr>
          <w:rFonts w:hint="eastAsia"/>
        </w:rPr>
        <w:t>信息和宣传</w:t>
      </w:r>
    </w:p>
    <w:p w:rsidR="00000000" w:rsidRDefault="00000000">
      <w:pPr>
        <w:pStyle w:val="Heading4"/>
        <w:rPr>
          <w:rFonts w:hint="eastAsia"/>
        </w:rPr>
      </w:pP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t xml:space="preserve">50.  </w:t>
      </w:r>
      <w:r>
        <w:rPr>
          <w:rFonts w:hint="eastAsia"/>
        </w:rPr>
        <w:t>摩尔多瓦共和国的信息市场具有多样和多元的特点，这是与法治国家的大众传媒应该发挥的作用和具有的地位相一致的。大众传媒必须在建立公众监督国家机关的高效率制度方面行使全部职能。</w:t>
      </w:r>
    </w:p>
    <w:p w:rsidR="00000000" w:rsidRDefault="00000000">
      <w:pPr>
        <w:rPr>
          <w:rFonts w:hint="eastAsia"/>
        </w:rPr>
      </w:pPr>
      <w:r>
        <w:rPr>
          <w:rFonts w:hint="eastAsia"/>
        </w:rPr>
        <w:tab/>
      </w:r>
      <w:r>
        <w:t>51.</w:t>
      </w:r>
      <w:r>
        <w:rPr>
          <w:rFonts w:hint="eastAsia"/>
        </w:rPr>
        <w:t xml:space="preserve">  </w:t>
      </w:r>
      <w:r>
        <w:rPr>
          <w:rFonts w:hint="eastAsia"/>
        </w:rPr>
        <w:t>报刊、电视台和电台是知情权的主要受益者。要行使这些公共职能，这些公共职能意味着大众传媒承担着与国家在尊重和保证尊重基本人权和自由方面所承担的相同的责任。公民的知情权和自由获得公共信息的权利是民主理想所不可或缺的权利。今天，摩尔多瓦共和国的公民没有在苏联政权下的那种被孤立和受操纵的感觉。</w:t>
      </w:r>
    </w:p>
    <w:p w:rsidR="00000000" w:rsidRDefault="00000000">
      <w:pPr>
        <w:rPr>
          <w:rFonts w:hint="eastAsia"/>
        </w:rPr>
      </w:pPr>
      <w:r>
        <w:rPr>
          <w:rFonts w:hint="eastAsia"/>
        </w:rPr>
        <w:tab/>
        <w:t xml:space="preserve">52.  </w:t>
      </w:r>
      <w:r>
        <w:rPr>
          <w:rFonts w:hint="eastAsia"/>
        </w:rPr>
        <w:t>知情权是一项基本人权，它决定着一个人行使《宪法》规定的自由的社会、经济和政治能力，这些自由包括思考、提出见解、创造、随意和公开发表言论等方面的自由。这项权利也意味着能够获得社会、政治、经济、科学和文化生活等方面的信息。</w:t>
      </w:r>
    </w:p>
    <w:p w:rsidR="00000000" w:rsidRDefault="00000000">
      <w:pPr>
        <w:rPr>
          <w:rFonts w:hint="eastAsia"/>
        </w:rPr>
      </w:pPr>
      <w:r>
        <w:rPr>
          <w:rFonts w:hint="eastAsia"/>
        </w:rPr>
        <w:tab/>
      </w:r>
      <w:r>
        <w:t>53.</w:t>
      </w:r>
      <w:r>
        <w:rPr>
          <w:rFonts w:hint="eastAsia"/>
        </w:rPr>
        <w:t xml:space="preserve">  </w:t>
      </w:r>
      <w:r>
        <w:rPr>
          <w:rFonts w:hint="eastAsia"/>
        </w:rPr>
        <w:t>无疑，我们不能将大众传媒和有关获取信息的权利的辩论分开。“自由获得信息”或“知情权”等提法已经越来越为公民所理解。</w:t>
      </w:r>
    </w:p>
    <w:p w:rsidR="00000000" w:rsidRDefault="00000000">
      <w:pPr>
        <w:rPr>
          <w:rFonts w:hint="eastAsia"/>
        </w:rPr>
      </w:pPr>
      <w:r>
        <w:rPr>
          <w:rFonts w:hint="eastAsia"/>
        </w:rPr>
        <w:tab/>
      </w:r>
      <w:r>
        <w:t>54.</w:t>
      </w:r>
      <w:r>
        <w:rPr>
          <w:rFonts w:hint="eastAsia"/>
        </w:rPr>
        <w:t xml:space="preserve">  </w:t>
      </w:r>
      <w:r>
        <w:rPr>
          <w:rFonts w:hint="eastAsia"/>
        </w:rPr>
        <w:t>我们还需要承认，摩尔多瓦共和国某些社会阶层的心态尚未得到充分解放，以便激起获得公共信息的勇气和毅力。目前难以鼓励这些阶层利用这种信息来参与其存在所依赖的公共活动。但这是一个不断变化的过程。在这方面，我们可以肯定地说，社会监督国家机构的能力，取决于舆论意识到这些机构的活动和决定的实质的程度，而这种能力自从《独立宣言》通过以来一直在不断增强。</w:t>
      </w:r>
    </w:p>
    <w:p w:rsidR="00000000" w:rsidRDefault="00000000">
      <w:pPr>
        <w:rPr>
          <w:rFonts w:hint="eastAsia"/>
        </w:rPr>
      </w:pPr>
      <w:r>
        <w:rPr>
          <w:rFonts w:hint="eastAsia"/>
        </w:rPr>
        <w:tab/>
      </w:r>
      <w:r>
        <w:t>55.</w:t>
      </w:r>
      <w:r>
        <w:rPr>
          <w:rFonts w:hint="eastAsia"/>
        </w:rPr>
        <w:t xml:space="preserve">  </w:t>
      </w:r>
      <w:r>
        <w:rPr>
          <w:rFonts w:hint="eastAsia"/>
        </w:rPr>
        <w:t>在批准《公民权利和政治权利国际公约》之后的时期，出版了摩尔多瓦签署的关于人权的国际公约和条约案文，其中包括《公民权利和政治权利国际公约》。这些文书全套共</w:t>
      </w:r>
      <w:r>
        <w:rPr>
          <w:rFonts w:hint="eastAsia"/>
        </w:rPr>
        <w:t>26</w:t>
      </w:r>
      <w:r>
        <w:rPr>
          <w:rFonts w:hint="eastAsia"/>
        </w:rPr>
        <w:t>卷，由司法部和外交部在法律中心专家的协调下正式推出。</w:t>
      </w:r>
    </w:p>
    <w:p w:rsidR="00000000" w:rsidRDefault="00000000">
      <w:pPr>
        <w:rPr>
          <w:rFonts w:hint="eastAsia"/>
        </w:rPr>
      </w:pPr>
      <w:r>
        <w:rPr>
          <w:rFonts w:hint="eastAsia"/>
        </w:rPr>
        <w:tab/>
      </w:r>
      <w:r>
        <w:t>56.</w:t>
      </w:r>
      <w:r>
        <w:rPr>
          <w:rFonts w:hint="eastAsia"/>
        </w:rPr>
        <w:t xml:space="preserve">  </w:t>
      </w:r>
      <w:r>
        <w:rPr>
          <w:rFonts w:hint="eastAsia"/>
        </w:rPr>
        <w:t>在共产党独裁时期，普通大众的头脑中只有那种扭曲的理论，国家被看作是人权的“赋予者”，而不是“保护者”，这种理论现已被废除，这一点意义重大。</w:t>
      </w:r>
    </w:p>
    <w:p w:rsidR="00000000" w:rsidRDefault="00000000">
      <w:pPr>
        <w:rPr>
          <w:rFonts w:hint="eastAsia"/>
        </w:rPr>
      </w:pPr>
      <w:r>
        <w:rPr>
          <w:rFonts w:hint="eastAsia"/>
        </w:rPr>
        <w:tab/>
      </w:r>
      <w:r>
        <w:t>57.</w:t>
      </w:r>
      <w:r>
        <w:rPr>
          <w:rFonts w:hint="eastAsia"/>
        </w:rPr>
        <w:t xml:space="preserve">  </w:t>
      </w:r>
      <w:r>
        <w:rPr>
          <w:rFonts w:hint="eastAsia"/>
        </w:rPr>
        <w:t>有关现代信息社会的趋势和现实的精确、详细和可获得的信息，是所有牢固的民主社会所特有的，只会受到整个社会的欢迎。目前，我们可以肯定地说，摩尔多瓦共和国更加有信心地将自己纳入一个空间，这个空间侧重在尊重其他基本价值的条件下自由提供、传播、接受和获得信息的原则。</w:t>
      </w:r>
    </w:p>
    <w:p w:rsidR="00000000" w:rsidRDefault="00000000">
      <w:pPr>
        <w:spacing w:after="240"/>
        <w:rPr>
          <w:rFonts w:hint="eastAsia"/>
        </w:rPr>
      </w:pPr>
      <w:r>
        <w:rPr>
          <w:rFonts w:hint="eastAsia"/>
        </w:rPr>
        <w:tab/>
      </w:r>
      <w:r>
        <w:t>58.</w:t>
      </w:r>
      <w:r>
        <w:rPr>
          <w:rFonts w:hint="eastAsia"/>
        </w:rPr>
        <w:t xml:space="preserve">  </w:t>
      </w:r>
      <w:r>
        <w:rPr>
          <w:rFonts w:hint="eastAsia"/>
        </w:rPr>
        <w:t>不幸的是，在蒂拉斯波尔分离主义政权控制下的摩尔多瓦共和国东部地区，大众传媒行使职能的情况不同于摩尔多瓦境内其他地区。在那里，言论权和获得信息的权利得不到保障。这一地区的违宪当局大肆压制对分离主义政权的政策不利的大众传媒。该地区没有公开反对该政权的政党或报刊。全国性出版物的发行量非常小。只有彻底解决外德涅斯特地区的冲突，俄罗斯联邦撤出军队和武器，并在我国的独立和主权得到巩固之后，信息才能在该地区得到自由传播。</w:t>
      </w:r>
    </w:p>
    <w:p w:rsidR="00000000" w:rsidRDefault="00000000">
      <w:pPr>
        <w:pStyle w:val="Heading4"/>
        <w:rPr>
          <w:rFonts w:hint="eastAsia"/>
        </w:rPr>
      </w:pPr>
      <w:r>
        <w:rPr>
          <w:rFonts w:hint="eastAsia"/>
        </w:rPr>
        <w:t>目前的法律背景及其变化情况</w:t>
      </w:r>
    </w:p>
    <w:p w:rsidR="00000000" w:rsidRDefault="00000000">
      <w:pPr>
        <w:rPr>
          <w:rFonts w:hint="eastAsia"/>
        </w:rPr>
      </w:pPr>
      <w:r>
        <w:rPr>
          <w:rFonts w:hint="eastAsia"/>
        </w:rPr>
        <w:tab/>
      </w:r>
      <w:r>
        <w:t>59.</w:t>
      </w:r>
      <w:r>
        <w:rPr>
          <w:rFonts w:hint="eastAsia"/>
        </w:rPr>
        <w:t xml:space="preserve">  1999</w:t>
      </w:r>
      <w:r>
        <w:rPr>
          <w:rFonts w:hint="eastAsia"/>
        </w:rPr>
        <w:t>年</w:t>
      </w:r>
      <w:r>
        <w:rPr>
          <w:rFonts w:hint="eastAsia"/>
        </w:rPr>
        <w:t>2</w:t>
      </w:r>
      <w:r>
        <w:rPr>
          <w:rFonts w:hint="eastAsia"/>
        </w:rPr>
        <w:t>月</w:t>
      </w:r>
      <w:r>
        <w:rPr>
          <w:rFonts w:hint="eastAsia"/>
        </w:rPr>
        <w:t>11</w:t>
      </w:r>
      <w:r>
        <w:rPr>
          <w:rFonts w:hint="eastAsia"/>
        </w:rPr>
        <w:t>日，摩尔多瓦共和国议会通过了“关于</w:t>
      </w:r>
      <w:r>
        <w:rPr>
          <w:rFonts w:hint="eastAsia"/>
        </w:rPr>
        <w:t>1999-2003</w:t>
      </w:r>
      <w:r>
        <w:rPr>
          <w:rFonts w:hint="eastAsia"/>
        </w:rPr>
        <w:t>年国家支持和促进大众传媒的概念”的第</w:t>
      </w:r>
      <w:r>
        <w:rPr>
          <w:rFonts w:hint="eastAsia"/>
        </w:rPr>
        <w:t>277-XIV</w:t>
      </w:r>
      <w:r>
        <w:rPr>
          <w:rFonts w:hint="eastAsia"/>
        </w:rPr>
        <w:t>号决定，该决定由摩尔多瓦共和国记者联合会起草并提交，被看作是国家打算巩固国内大众传媒的自由和独立的一个步骤。根据《概念决定》的“立法”段落的规定，请议会、政府和公民社会特别是记者联合会起草并通过一套规范性规则，以便推进国家在这一领域的基本政策。</w:t>
      </w:r>
    </w:p>
    <w:p w:rsidR="00000000" w:rsidRDefault="00000000">
      <w:pPr>
        <w:spacing w:after="320"/>
        <w:rPr>
          <w:rFonts w:hint="eastAsia"/>
        </w:rPr>
      </w:pPr>
      <w:r>
        <w:rPr>
          <w:rFonts w:hint="eastAsia"/>
        </w:rPr>
        <w:tab/>
      </w:r>
      <w:r>
        <w:t>60.</w:t>
      </w:r>
      <w:r>
        <w:rPr>
          <w:rFonts w:hint="eastAsia"/>
        </w:rPr>
        <w:t xml:space="preserve">  </w:t>
      </w:r>
      <w:r>
        <w:rPr>
          <w:rFonts w:hint="eastAsia"/>
        </w:rPr>
        <w:t>目前，议会正在重新审查</w:t>
      </w:r>
      <w:r>
        <w:rPr>
          <w:rFonts w:hint="eastAsia"/>
        </w:rPr>
        <w:t>1995</w:t>
      </w:r>
      <w:r>
        <w:rPr>
          <w:rFonts w:hint="eastAsia"/>
        </w:rPr>
        <w:t>年起执行的《新闻法》。还通过了</w:t>
      </w:r>
      <w:r>
        <w:rPr>
          <w:rFonts w:hint="eastAsia"/>
        </w:rPr>
        <w:t>2000</w:t>
      </w:r>
      <w:r>
        <w:rPr>
          <w:rFonts w:hint="eastAsia"/>
        </w:rPr>
        <w:t>年</w:t>
      </w:r>
      <w:r>
        <w:rPr>
          <w:rFonts w:hint="eastAsia"/>
        </w:rPr>
        <w:t>5</w:t>
      </w:r>
      <w:r>
        <w:rPr>
          <w:rFonts w:hint="eastAsia"/>
        </w:rPr>
        <w:t>月</w:t>
      </w:r>
      <w:r>
        <w:rPr>
          <w:rFonts w:hint="eastAsia"/>
        </w:rPr>
        <w:t>15</w:t>
      </w:r>
      <w:r>
        <w:rPr>
          <w:rFonts w:hint="eastAsia"/>
        </w:rPr>
        <w:t>日《第</w:t>
      </w:r>
      <w:r>
        <w:rPr>
          <w:rFonts w:hint="eastAsia"/>
        </w:rPr>
        <w:t>982-XIV</w:t>
      </w:r>
      <w:r>
        <w:rPr>
          <w:rFonts w:hint="eastAsia"/>
        </w:rPr>
        <w:t>号关于获得信息的法律》</w:t>
      </w:r>
      <w:r>
        <w:rPr>
          <w:rFonts w:hint="eastAsia"/>
        </w:rPr>
        <w:t>(</w:t>
      </w:r>
      <w:r>
        <w:rPr>
          <w:rFonts w:hint="eastAsia"/>
        </w:rPr>
        <w:t>《摩尔多瓦共和国官方公告》，</w:t>
      </w:r>
      <w:r>
        <w:rPr>
          <w:rFonts w:hint="eastAsia"/>
        </w:rPr>
        <w:t>2000</w:t>
      </w:r>
      <w:r>
        <w:rPr>
          <w:rFonts w:hint="eastAsia"/>
        </w:rPr>
        <w:t>年，第</w:t>
      </w:r>
      <w:r>
        <w:rPr>
          <w:rFonts w:hint="eastAsia"/>
        </w:rPr>
        <w:t>88-90</w:t>
      </w:r>
      <w:r>
        <w:rPr>
          <w:rFonts w:hint="eastAsia"/>
        </w:rPr>
        <w:t>号，</w:t>
      </w:r>
      <w:r>
        <w:rPr>
          <w:rFonts w:hint="eastAsia"/>
        </w:rPr>
        <w:t>664</w:t>
      </w:r>
      <w:r>
        <w:rPr>
          <w:rFonts w:hint="eastAsia"/>
        </w:rPr>
        <w:t>条</w:t>
      </w:r>
      <w:r>
        <w:rPr>
          <w:rFonts w:hint="eastAsia"/>
        </w:rPr>
        <w:t>)</w:t>
      </w:r>
      <w:r>
        <w:rPr>
          <w:rFonts w:hint="eastAsia"/>
        </w:rPr>
        <w:t>。关于《摩尔多瓦共和国境内广播的组织和职能法》，议会正在讨论一项草案。关于公共视听媒体的法规将作为一个单独的部分列入上述法律。</w:t>
      </w:r>
    </w:p>
    <w:p w:rsidR="00000000" w:rsidRDefault="00000000">
      <w:pPr>
        <w:pStyle w:val="Heading2"/>
        <w:rPr>
          <w:rFonts w:hint="eastAsia"/>
        </w:rPr>
      </w:pPr>
      <w:r>
        <w:rPr>
          <w:rFonts w:hint="eastAsia"/>
        </w:rPr>
        <w:t>三、《公约》具体条款的执行情况</w:t>
      </w:r>
    </w:p>
    <w:p w:rsidR="00000000" w:rsidRDefault="00000000">
      <w:pPr>
        <w:pStyle w:val="Heading3"/>
        <w:rPr>
          <w:rFonts w:hint="eastAsia"/>
        </w:rPr>
      </w:pPr>
      <w:r>
        <w:rPr>
          <w:rFonts w:hint="eastAsia"/>
        </w:rPr>
        <w:t>第</w:t>
      </w:r>
      <w:r>
        <w:rPr>
          <w:rFonts w:hint="eastAsia"/>
        </w:rPr>
        <w:t xml:space="preserve"> </w:t>
      </w:r>
      <w:r>
        <w:rPr>
          <w:rFonts w:hint="eastAsia"/>
        </w:rPr>
        <w:t>一</w:t>
      </w:r>
      <w:r>
        <w:rPr>
          <w:rFonts w:hint="eastAsia"/>
        </w:rPr>
        <w:t xml:space="preserve"> </w:t>
      </w:r>
      <w:r>
        <w:rPr>
          <w:rFonts w:hint="eastAsia"/>
        </w:rPr>
        <w:t>条</w:t>
      </w:r>
    </w:p>
    <w:p w:rsidR="00000000" w:rsidRDefault="00000000">
      <w:pPr>
        <w:rPr>
          <w:rFonts w:hint="eastAsia"/>
        </w:rPr>
      </w:pPr>
      <w:r>
        <w:rPr>
          <w:rFonts w:hint="eastAsia"/>
        </w:rPr>
        <w:tab/>
      </w:r>
      <w:r>
        <w:t>61.</w:t>
      </w:r>
      <w:r>
        <w:rPr>
          <w:rFonts w:hint="eastAsia"/>
        </w:rPr>
        <w:t xml:space="preserve">  1990</w:t>
      </w:r>
      <w:r>
        <w:rPr>
          <w:rFonts w:hint="eastAsia"/>
        </w:rPr>
        <w:t>年</w:t>
      </w:r>
      <w:r>
        <w:rPr>
          <w:rFonts w:hint="eastAsia"/>
        </w:rPr>
        <w:t>6</w:t>
      </w:r>
      <w:r>
        <w:rPr>
          <w:rFonts w:hint="eastAsia"/>
        </w:rPr>
        <w:t>月</w:t>
      </w:r>
      <w:r>
        <w:rPr>
          <w:rFonts w:hint="eastAsia"/>
        </w:rPr>
        <w:t>23</w:t>
      </w:r>
      <w:r>
        <w:rPr>
          <w:rFonts w:hint="eastAsia"/>
        </w:rPr>
        <w:t>日，在苏联解体的情况下，摩尔多瓦苏维埃社会主义共和国立法机关，最高苏维埃，通过一项关于苏维埃社会主义共和国联盟主权的宣言。最高苏维埃为了表达人民的意愿，承认，所有人民都是平等的，而且都享有不可剥夺的生命权、自由权和幸福权。最高苏维埃承诺尊重所有人民的主权。宣布主权是为了确立正义、合法性、保护和社会稳定，宣言指出，主权的渊源和载体是人民，这项主权由国家权力最高代表机构为了整个国家的利益而行使。为了在社会经济、政治和法律方面保障主权，最高苏维埃确立了充分的国家权力，以便解决国家和公共生活方面的所有问题，并规定共和国《宪法》和所有其它法律在其整个领土上享有最高地位。</w:t>
      </w:r>
    </w:p>
    <w:p w:rsidR="00000000" w:rsidRDefault="00000000">
      <w:pPr>
        <w:rPr>
          <w:rFonts w:hint="eastAsia"/>
        </w:rPr>
      </w:pPr>
      <w:r>
        <w:rPr>
          <w:rFonts w:hint="eastAsia"/>
        </w:rPr>
        <w:tab/>
      </w:r>
      <w:r>
        <w:t>62.</w:t>
      </w:r>
      <w:r>
        <w:rPr>
          <w:rFonts w:hint="eastAsia"/>
        </w:rPr>
        <w:t xml:space="preserve">  </w:t>
      </w:r>
      <w:r>
        <w:rPr>
          <w:rFonts w:hint="eastAsia"/>
        </w:rPr>
        <w:t>《宣言》确保所有公民、政党、公共组织、社会运动和宗教组织在参与行使国家和公共职能方面负有同等的法律责任，规定，“任何公众、公民团体、政党或公共组织或任何其它组织，或个人，都不得僭取行使主权的权利”。《宣言》还按照《宪法》和其它国内法以及公认的国际法条款中的规则的规定，保障摩尔多瓦境内的外国人和无国籍者的权利和自由。</w:t>
      </w:r>
    </w:p>
    <w:p w:rsidR="00000000" w:rsidRDefault="00000000">
      <w:pPr>
        <w:rPr>
          <w:rFonts w:hint="eastAsia"/>
        </w:rPr>
      </w:pPr>
      <w:r>
        <w:rPr>
          <w:rFonts w:hint="eastAsia"/>
        </w:rPr>
        <w:tab/>
      </w:r>
      <w:r>
        <w:t>63.</w:t>
      </w:r>
      <w:r>
        <w:rPr>
          <w:rFonts w:hint="eastAsia"/>
        </w:rPr>
        <w:t xml:space="preserve">  </w:t>
      </w:r>
      <w:r>
        <w:rPr>
          <w:rFonts w:hint="eastAsia"/>
        </w:rPr>
        <w:t>摩尔多瓦苏维埃社会主义共和国最高苏维埃关于国旗的法令</w:t>
      </w:r>
      <w:r>
        <w:rPr>
          <w:rFonts w:hint="eastAsia"/>
        </w:rPr>
        <w:t>(1990</w:t>
      </w:r>
      <w:r>
        <w:rPr>
          <w:rFonts w:hint="eastAsia"/>
        </w:rPr>
        <w:t>年</w:t>
      </w:r>
      <w:r>
        <w:rPr>
          <w:rFonts w:hint="eastAsia"/>
        </w:rPr>
        <w:t>4</w:t>
      </w:r>
      <w:r>
        <w:rPr>
          <w:rFonts w:hint="eastAsia"/>
        </w:rPr>
        <w:t>月</w:t>
      </w:r>
      <w:r>
        <w:rPr>
          <w:rFonts w:hint="eastAsia"/>
        </w:rPr>
        <w:t>27</w:t>
      </w:r>
      <w:r>
        <w:rPr>
          <w:rFonts w:hint="eastAsia"/>
        </w:rPr>
        <w:t>日</w:t>
      </w:r>
      <w:r>
        <w:rPr>
          <w:rFonts w:hint="eastAsia"/>
        </w:rPr>
        <w:t>)</w:t>
      </w:r>
      <w:r>
        <w:rPr>
          <w:rFonts w:hint="eastAsia"/>
        </w:rPr>
        <w:t>、关于国徽的法令</w:t>
      </w:r>
      <w:r>
        <w:rPr>
          <w:rFonts w:hint="eastAsia"/>
        </w:rPr>
        <w:t>(1990</w:t>
      </w:r>
      <w:r>
        <w:rPr>
          <w:rFonts w:hint="eastAsia"/>
        </w:rPr>
        <w:t>年</w:t>
      </w:r>
      <w:r>
        <w:rPr>
          <w:rFonts w:hint="eastAsia"/>
        </w:rPr>
        <w:t>11</w:t>
      </w:r>
      <w:r>
        <w:rPr>
          <w:rFonts w:hint="eastAsia"/>
        </w:rPr>
        <w:t>月</w:t>
      </w:r>
      <w:r>
        <w:rPr>
          <w:rFonts w:hint="eastAsia"/>
        </w:rPr>
        <w:t>3</w:t>
      </w:r>
      <w:r>
        <w:rPr>
          <w:rFonts w:hint="eastAsia"/>
        </w:rPr>
        <w:t>日</w:t>
      </w:r>
      <w:r>
        <w:rPr>
          <w:rFonts w:hint="eastAsia"/>
        </w:rPr>
        <w:t>)</w:t>
      </w:r>
      <w:r>
        <w:rPr>
          <w:rFonts w:hint="eastAsia"/>
        </w:rPr>
        <w:t>，以及关于国家权力的法令</w:t>
      </w:r>
      <w:r>
        <w:rPr>
          <w:rFonts w:hint="eastAsia"/>
        </w:rPr>
        <w:t>(1990</w:t>
      </w:r>
      <w:r>
        <w:rPr>
          <w:rFonts w:hint="eastAsia"/>
        </w:rPr>
        <w:t>年</w:t>
      </w:r>
      <w:r>
        <w:rPr>
          <w:rFonts w:hint="eastAsia"/>
        </w:rPr>
        <w:t>7</w:t>
      </w:r>
      <w:r>
        <w:rPr>
          <w:rFonts w:hint="eastAsia"/>
        </w:rPr>
        <w:t>月</w:t>
      </w:r>
      <w:r>
        <w:rPr>
          <w:rFonts w:hint="eastAsia"/>
        </w:rPr>
        <w:t>27</w:t>
      </w:r>
      <w:r>
        <w:rPr>
          <w:rFonts w:hint="eastAsia"/>
        </w:rPr>
        <w:t>日</w:t>
      </w:r>
      <w:r>
        <w:rPr>
          <w:rFonts w:hint="eastAsia"/>
        </w:rPr>
        <w:t>)</w:t>
      </w:r>
      <w:r>
        <w:rPr>
          <w:rFonts w:hint="eastAsia"/>
        </w:rPr>
        <w:t>，都有助于巩固主权。根据前述法令，共和国整个权力都归于人民，这项权利直接在人民代表机关帮助下得到落实。国家权力被首次分为立法、行政和司法三个部分，并宣布“所有公民在法律和法庭面前一律平等”。</w:t>
      </w:r>
    </w:p>
    <w:p w:rsidR="00000000" w:rsidRDefault="00000000">
      <w:pPr>
        <w:rPr>
          <w:rFonts w:hint="eastAsia"/>
        </w:rPr>
      </w:pPr>
      <w:r>
        <w:rPr>
          <w:rFonts w:hint="eastAsia"/>
        </w:rPr>
        <w:tab/>
      </w:r>
      <w:r>
        <w:t>64.</w:t>
      </w:r>
      <w:r>
        <w:rPr>
          <w:rFonts w:hint="eastAsia"/>
        </w:rPr>
        <w:t xml:space="preserve">  </w:t>
      </w:r>
      <w:r>
        <w:t>当时在巩固自治方面具有特殊意义的，是议会于</w:t>
      </w:r>
      <w:r>
        <w:t>1990</w:t>
      </w:r>
      <w:r>
        <w:t>年</w:t>
      </w:r>
      <w:r>
        <w:t>7</w:t>
      </w:r>
      <w:r>
        <w:t>月</w:t>
      </w:r>
      <w:r>
        <w:t>28</w:t>
      </w:r>
      <w:r>
        <w:t>日作出的关于</w:t>
      </w:r>
      <w:r>
        <w:rPr>
          <w:rFonts w:hint="eastAsia"/>
        </w:rPr>
        <w:t>摩尔多瓦共和国加入《世界人权宣言》，以及批准《公民权利和政治权利国际公约》和《经济、社会、文化权利国际公约》的决定。</w:t>
      </w:r>
    </w:p>
    <w:p w:rsidR="00000000" w:rsidRDefault="00000000">
      <w:pPr>
        <w:rPr>
          <w:rFonts w:hint="eastAsia"/>
        </w:rPr>
      </w:pPr>
      <w:r>
        <w:rPr>
          <w:rFonts w:hint="eastAsia"/>
        </w:rPr>
        <w:tab/>
      </w:r>
      <w:r>
        <w:t>65.</w:t>
      </w:r>
      <w:r>
        <w:rPr>
          <w:rFonts w:hint="eastAsia"/>
        </w:rPr>
        <w:t xml:space="preserve">  1991</w:t>
      </w:r>
      <w:r>
        <w:rPr>
          <w:rFonts w:hint="eastAsia"/>
        </w:rPr>
        <w:t>年</w:t>
      </w:r>
      <w:r>
        <w:rPr>
          <w:rFonts w:hint="eastAsia"/>
        </w:rPr>
        <w:t>5</w:t>
      </w:r>
      <w:r>
        <w:rPr>
          <w:rFonts w:hint="eastAsia"/>
        </w:rPr>
        <w:t>月</w:t>
      </w:r>
      <w:r>
        <w:rPr>
          <w:rFonts w:hint="eastAsia"/>
        </w:rPr>
        <w:t>23</w:t>
      </w:r>
      <w:r>
        <w:rPr>
          <w:rFonts w:hint="eastAsia"/>
        </w:rPr>
        <w:t>日，摩尔多瓦苏维埃社会主义共和国最高苏维埃颁布一项法令，将摩尔多瓦苏维埃社会主义共和国这一主权国家的名称改为摩尔多瓦共和国，并将最高苏维埃改名为摩尔多瓦共和国议会。</w:t>
      </w:r>
    </w:p>
    <w:p w:rsidR="00000000" w:rsidRDefault="00000000">
      <w:pPr>
        <w:rPr>
          <w:rFonts w:hint="eastAsia"/>
        </w:rPr>
      </w:pPr>
      <w:r>
        <w:rPr>
          <w:rFonts w:hint="eastAsia"/>
        </w:rPr>
        <w:tab/>
      </w:r>
      <w:r>
        <w:t>66.</w:t>
      </w:r>
      <w:r>
        <w:rPr>
          <w:rFonts w:hint="eastAsia"/>
        </w:rPr>
        <w:t xml:space="preserve">  </w:t>
      </w:r>
      <w:r>
        <w:rPr>
          <w:rFonts w:hint="eastAsia"/>
        </w:rPr>
        <w:t>自治进程的第一阶段以</w:t>
      </w:r>
      <w:r>
        <w:rPr>
          <w:rFonts w:hint="eastAsia"/>
        </w:rPr>
        <w:t>8</w:t>
      </w:r>
      <w:r>
        <w:rPr>
          <w:rFonts w:hint="eastAsia"/>
        </w:rPr>
        <w:t>月</w:t>
      </w:r>
      <w:r>
        <w:rPr>
          <w:rFonts w:hint="eastAsia"/>
        </w:rPr>
        <w:t>27</w:t>
      </w:r>
      <w:r>
        <w:rPr>
          <w:rFonts w:hint="eastAsia"/>
        </w:rPr>
        <w:t>日的法令即《摩尔多瓦共和国独立宣言》得到颁布而宣告结束。有必要提及的是，《独立宣言》是由一个首次经自由和民主选举产生的议会颁布的。议会在人民民族解放民主运动基础上开展活动，这一运动重申自由、独立和国家完整的愿望，同时依照《联合国宪章》、《赫尔辛基最后文件》以及国际法规范，确认人民的平等权利及其自治权。《宣言》重申国家的基本原则，并以全体人民的名义宣布，“摩尔多瓦共和国是一个主权、独立、民主的国家，有权在不受任何外来干涉的情况下，根据人民在国家演变的历史和民族空间内所怀有的理想和神圣愿望，决定自己的现在和未来”。</w:t>
      </w:r>
    </w:p>
    <w:p w:rsidR="00000000" w:rsidRDefault="00000000">
      <w:pPr>
        <w:rPr>
          <w:rFonts w:hint="eastAsia"/>
        </w:rPr>
      </w:pPr>
      <w:r>
        <w:rPr>
          <w:rFonts w:hint="eastAsia"/>
        </w:rPr>
        <w:tab/>
        <w:t>67.  1990</w:t>
      </w:r>
      <w:r>
        <w:rPr>
          <w:rFonts w:hint="eastAsia"/>
        </w:rPr>
        <w:t>年</w:t>
      </w:r>
      <w:r>
        <w:rPr>
          <w:rFonts w:hint="eastAsia"/>
        </w:rPr>
        <w:t>6</w:t>
      </w:r>
      <w:r>
        <w:rPr>
          <w:rFonts w:hint="eastAsia"/>
        </w:rPr>
        <w:t>月</w:t>
      </w:r>
      <w:r>
        <w:rPr>
          <w:rFonts w:hint="eastAsia"/>
        </w:rPr>
        <w:t>23</w:t>
      </w:r>
      <w:r>
        <w:rPr>
          <w:rFonts w:hint="eastAsia"/>
        </w:rPr>
        <w:t>日的《主权宣言》、</w:t>
      </w:r>
      <w:r>
        <w:rPr>
          <w:rFonts w:hint="eastAsia"/>
        </w:rPr>
        <w:t>1991</w:t>
      </w:r>
      <w:r>
        <w:rPr>
          <w:rFonts w:hint="eastAsia"/>
        </w:rPr>
        <w:t>年</w:t>
      </w:r>
      <w:r>
        <w:rPr>
          <w:rFonts w:hint="eastAsia"/>
        </w:rPr>
        <w:t>8</w:t>
      </w:r>
      <w:r>
        <w:rPr>
          <w:rFonts w:hint="eastAsia"/>
        </w:rPr>
        <w:t>月</w:t>
      </w:r>
      <w:r>
        <w:rPr>
          <w:rFonts w:hint="eastAsia"/>
        </w:rPr>
        <w:t>27</w:t>
      </w:r>
      <w:r>
        <w:rPr>
          <w:rFonts w:hint="eastAsia"/>
        </w:rPr>
        <w:t>日的《独立宣言》以及其它国内立法，为</w:t>
      </w:r>
      <w:r>
        <w:rPr>
          <w:rFonts w:hint="eastAsia"/>
        </w:rPr>
        <w:t>1994</w:t>
      </w:r>
      <w:r>
        <w:rPr>
          <w:rFonts w:hint="eastAsia"/>
        </w:rPr>
        <w:t>年通过《摩尔多瓦共和国宪法》奠定了基础。</w:t>
      </w:r>
    </w:p>
    <w:p w:rsidR="00000000" w:rsidRDefault="00000000">
      <w:pPr>
        <w:rPr>
          <w:rFonts w:hint="eastAsia"/>
        </w:rPr>
      </w:pPr>
      <w:r>
        <w:rPr>
          <w:rFonts w:hint="eastAsia"/>
        </w:rPr>
        <w:tab/>
      </w:r>
      <w:r>
        <w:t>68.</w:t>
      </w:r>
      <w:r>
        <w:rPr>
          <w:rFonts w:hint="eastAsia"/>
        </w:rPr>
        <w:t xml:space="preserve">  </w:t>
      </w:r>
      <w:r>
        <w:rPr>
          <w:rFonts w:hint="eastAsia"/>
        </w:rPr>
        <w:t>《宪法》第一条规定，摩尔多瓦共和国是一个完整、不可分割的主权、独立国家，实行共和政体，即属于一个“依靠法治的民主国家，在这样一个国家，人的尊严、权利和自由、人格的自由发展、公正和多元政治代表着最高价值观并受到保障”。《宪法》强调，国家主权属于人民，任何群众、社会团体、政党或私人都无权以自己的名义行使国家权力。</w:t>
      </w:r>
    </w:p>
    <w:p w:rsidR="00000000" w:rsidRDefault="00000000">
      <w:pPr>
        <w:rPr>
          <w:rFonts w:hint="eastAsia"/>
        </w:rPr>
      </w:pPr>
      <w:r>
        <w:rPr>
          <w:rFonts w:hint="eastAsia"/>
        </w:rPr>
        <w:tab/>
      </w:r>
      <w:r>
        <w:t>69.</w:t>
      </w:r>
      <w:r>
        <w:rPr>
          <w:rFonts w:hint="eastAsia"/>
        </w:rPr>
        <w:t xml:space="preserve">  </w:t>
      </w:r>
      <w:r>
        <w:rPr>
          <w:rFonts w:hint="eastAsia"/>
        </w:rPr>
        <w:t>摩尔多瓦实行议会共和制。议会实行一院制，是摩尔多瓦人民的最高代表机关，也是唯一的国家立法机关</w:t>
      </w:r>
      <w:r>
        <w:rPr>
          <w:rFonts w:hint="eastAsia"/>
        </w:rPr>
        <w:t>(</w:t>
      </w:r>
      <w:r>
        <w:rPr>
          <w:rFonts w:hint="eastAsia"/>
        </w:rPr>
        <w:t>《宪法》第</w:t>
      </w:r>
      <w:r>
        <w:rPr>
          <w:rFonts w:hint="eastAsia"/>
        </w:rPr>
        <w:t>60</w:t>
      </w:r>
      <w:r>
        <w:rPr>
          <w:rFonts w:hint="eastAsia"/>
        </w:rPr>
        <w:t>条</w:t>
      </w:r>
      <w:r>
        <w:rPr>
          <w:rFonts w:hint="eastAsia"/>
        </w:rPr>
        <w:t>)</w:t>
      </w:r>
      <w:r>
        <w:rPr>
          <w:rFonts w:hint="eastAsia"/>
        </w:rPr>
        <w:t>。议会由</w:t>
      </w:r>
      <w:r>
        <w:rPr>
          <w:rFonts w:hint="eastAsia"/>
        </w:rPr>
        <w:t>101</w:t>
      </w:r>
      <w:r>
        <w:rPr>
          <w:rFonts w:hint="eastAsia"/>
        </w:rPr>
        <w:t>名议员组成。议员来自一些党派，以普遍、平等、直接、无记名和自由投票方式选举产生。在《宪法》得到修正</w:t>
      </w:r>
      <w:r>
        <w:rPr>
          <w:rFonts w:hint="eastAsia"/>
        </w:rPr>
        <w:t>(</w:t>
      </w:r>
      <w:r>
        <w:rPr>
          <w:rFonts w:hint="eastAsia"/>
        </w:rPr>
        <w:t>议会</w:t>
      </w:r>
      <w:r>
        <w:rPr>
          <w:rFonts w:hint="eastAsia"/>
        </w:rPr>
        <w:t>2000</w:t>
      </w:r>
      <w:r>
        <w:rPr>
          <w:rFonts w:hint="eastAsia"/>
        </w:rPr>
        <w:t>年</w:t>
      </w:r>
      <w:r>
        <w:rPr>
          <w:rFonts w:hint="eastAsia"/>
        </w:rPr>
        <w:t>7</w:t>
      </w:r>
      <w:r>
        <w:rPr>
          <w:rFonts w:hint="eastAsia"/>
        </w:rPr>
        <w:t>月</w:t>
      </w:r>
      <w:r>
        <w:rPr>
          <w:rFonts w:hint="eastAsia"/>
        </w:rPr>
        <w:t>5</w:t>
      </w:r>
      <w:r>
        <w:rPr>
          <w:rFonts w:hint="eastAsia"/>
        </w:rPr>
        <w:t>日第</w:t>
      </w:r>
      <w:r>
        <w:rPr>
          <w:rFonts w:hint="eastAsia"/>
        </w:rPr>
        <w:t>1115</w:t>
      </w:r>
      <w:r>
        <w:rPr>
          <w:rFonts w:hint="eastAsia"/>
        </w:rPr>
        <w:t>号法令</w:t>
      </w:r>
      <w:r>
        <w:rPr>
          <w:rFonts w:hint="eastAsia"/>
        </w:rPr>
        <w:t>)</w:t>
      </w:r>
      <w:r>
        <w:rPr>
          <w:rFonts w:hint="eastAsia"/>
        </w:rPr>
        <w:t>之后，摩尔多瓦共和国总统现经议会选举产生。</w:t>
      </w:r>
    </w:p>
    <w:p w:rsidR="00000000" w:rsidRDefault="00000000">
      <w:pPr>
        <w:rPr>
          <w:rFonts w:hint="eastAsia"/>
        </w:rPr>
      </w:pPr>
      <w:r>
        <w:rPr>
          <w:rFonts w:hint="eastAsia"/>
        </w:rPr>
        <w:tab/>
      </w:r>
      <w:r>
        <w:t>70.</w:t>
      </w:r>
      <w:r>
        <w:rPr>
          <w:rFonts w:hint="eastAsia"/>
        </w:rPr>
        <w:t xml:space="preserve">  </w:t>
      </w:r>
      <w:r>
        <w:rPr>
          <w:rFonts w:hint="eastAsia"/>
        </w:rPr>
        <w:t>《摩尔多瓦共和国宪法》规定，市场、自由经济行动及合法的竞争是经济的基本要素</w:t>
      </w:r>
      <w:r>
        <w:rPr>
          <w:rFonts w:hint="eastAsia"/>
        </w:rPr>
        <w:t>(</w:t>
      </w:r>
      <w:r>
        <w:rPr>
          <w:rFonts w:hint="eastAsia"/>
        </w:rPr>
        <w:t>第</w:t>
      </w:r>
      <w:r>
        <w:t>9</w:t>
      </w:r>
      <w:r>
        <w:rPr>
          <w:rFonts w:hint="eastAsia"/>
        </w:rPr>
        <w:t>条</w:t>
      </w:r>
      <w:r>
        <w:rPr>
          <w:rFonts w:hint="eastAsia"/>
        </w:rPr>
        <w:t>)</w:t>
      </w:r>
      <w:r>
        <w:rPr>
          <w:rFonts w:hint="eastAsia"/>
        </w:rPr>
        <w:t>。具有社会取向的市场经济被作为人类持久发展的基础，这种市场经济基于私人和公共财产，实行自由竞争</w:t>
      </w:r>
      <w:r>
        <w:rPr>
          <w:rFonts w:hint="eastAsia"/>
        </w:rPr>
        <w:t>(</w:t>
      </w:r>
      <w:r>
        <w:rPr>
          <w:rFonts w:hint="eastAsia"/>
        </w:rPr>
        <w:t>第</w:t>
      </w:r>
      <w:r>
        <w:rPr>
          <w:rFonts w:hint="eastAsia"/>
        </w:rPr>
        <w:t>126</w:t>
      </w:r>
      <w:r>
        <w:rPr>
          <w:rFonts w:hint="eastAsia"/>
        </w:rPr>
        <w:t>条</w:t>
      </w:r>
      <w:r>
        <w:rPr>
          <w:rFonts w:hint="eastAsia"/>
        </w:rPr>
        <w:t>)</w:t>
      </w:r>
      <w:r>
        <w:rPr>
          <w:rFonts w:hint="eastAsia"/>
        </w:rPr>
        <w:t>。为此，有必要建立一个与国际司法相一致的立法基础，并对经济和社会方面作结构性改革。《宪法》对社会的经济关系作了规定，确立了拥有财产的权利，并规定财产不能用来损害人权、自由和尊严。</w:t>
      </w:r>
    </w:p>
    <w:p w:rsidR="00000000" w:rsidRDefault="00000000">
      <w:r>
        <w:rPr>
          <w:rFonts w:hint="eastAsia"/>
        </w:rPr>
        <w:tab/>
      </w:r>
      <w:r>
        <w:t>71.</w:t>
      </w:r>
      <w:r>
        <w:rPr>
          <w:rFonts w:hint="eastAsia"/>
        </w:rPr>
        <w:t xml:space="preserve">  </w:t>
      </w:r>
      <w:r>
        <w:t>虽然《独立宣言》已经通过了十年，但摩尔多瓦共和国的领土、社会</w:t>
      </w:r>
      <w:r>
        <w:rPr>
          <w:rFonts w:hint="eastAsia"/>
        </w:rPr>
        <w:t>和</w:t>
      </w:r>
      <w:r>
        <w:t>经济完整问题仍未得到解决。</w:t>
      </w:r>
      <w:r>
        <w:t>1990</w:t>
      </w:r>
      <w:r>
        <w:t>年</w:t>
      </w:r>
      <w:r>
        <w:t>9</w:t>
      </w:r>
      <w:r>
        <w:t>月</w:t>
      </w:r>
      <w:r>
        <w:t>2</w:t>
      </w:r>
      <w:r>
        <w:t>日，德涅斯特河左岸地区迫于当地一些分</w:t>
      </w:r>
      <w:r>
        <w:rPr>
          <w:rFonts w:hint="eastAsia"/>
        </w:rPr>
        <w:t>离</w:t>
      </w:r>
      <w:r>
        <w:t>主义领导人的压力，并在莫斯科中央权力的直接支持下，宣布成立</w:t>
      </w:r>
      <w:r>
        <w:rPr>
          <w:rFonts w:hint="eastAsia"/>
        </w:rPr>
        <w:t>“</w:t>
      </w:r>
      <w:r>
        <w:t>摩尔多瓦德涅斯特河沿岸苏维埃社会主义共和国</w:t>
      </w:r>
      <w:r>
        <w:rPr>
          <w:rFonts w:hint="eastAsia"/>
        </w:rPr>
        <w:t>”</w:t>
      </w:r>
      <w:r>
        <w:t>，并将</w:t>
      </w:r>
      <w:r>
        <w:rPr>
          <w:rFonts w:hint="eastAsia"/>
        </w:rPr>
        <w:t>蒂</w:t>
      </w:r>
      <w:r>
        <w:t>拉斯波尔作为</w:t>
      </w:r>
      <w:r>
        <w:rPr>
          <w:rFonts w:hint="eastAsia"/>
        </w:rPr>
        <w:t>“</w:t>
      </w:r>
      <w:r>
        <w:t>首都</w:t>
      </w:r>
      <w:r>
        <w:rPr>
          <w:rFonts w:hint="eastAsia"/>
        </w:rPr>
        <w:t>”</w:t>
      </w:r>
      <w:r>
        <w:t>。后来，</w:t>
      </w:r>
      <w:r>
        <w:rPr>
          <w:rFonts w:hint="eastAsia"/>
        </w:rPr>
        <w:t>“</w:t>
      </w:r>
      <w:r>
        <w:t>苏维埃社会主义</w:t>
      </w:r>
      <w:r>
        <w:rPr>
          <w:rFonts w:hint="eastAsia"/>
        </w:rPr>
        <w:t>”</w:t>
      </w:r>
      <w:r>
        <w:t>一语从上述名称中消失，但实质内容却没有变化。从那时起，围绕摩尔多瓦共和国主权问题展开的政治斗争便超出了法律和宪法的范围。</w:t>
      </w:r>
    </w:p>
    <w:p w:rsidR="00000000" w:rsidRDefault="00000000">
      <w:r>
        <w:rPr>
          <w:rFonts w:hint="eastAsia"/>
        </w:rPr>
        <w:tab/>
      </w:r>
      <w:r>
        <w:t>72.</w:t>
      </w:r>
      <w:r>
        <w:rPr>
          <w:rFonts w:hint="eastAsia"/>
        </w:rPr>
        <w:t xml:space="preserve">  </w:t>
      </w:r>
      <w:r>
        <w:t>因而，目前，摩尔多瓦共和国存在着两个行政、立法、司法、管理、经济、社会和教育制度，其中一个制度是符合宪法的，而另一个则是违反宪法的。在德涅斯特河右岸地区，社会政治生活的民主化正在进行，并且正在努力促进和实际保护人权和自由，而在左岸地区，建立一个独裁制度的进程仍在继续，这一进程借助以往极权主义时代的手段。</w:t>
      </w:r>
    </w:p>
    <w:p w:rsidR="00000000" w:rsidRDefault="00000000">
      <w:pPr>
        <w:rPr>
          <w:rFonts w:hint="eastAsia"/>
        </w:rPr>
      </w:pPr>
      <w:r>
        <w:rPr>
          <w:rFonts w:hint="eastAsia"/>
        </w:rPr>
        <w:tab/>
      </w:r>
      <w:r>
        <w:t>73.</w:t>
      </w:r>
      <w:r>
        <w:rPr>
          <w:rFonts w:hint="eastAsia"/>
        </w:rPr>
        <w:t xml:space="preserve">  </w:t>
      </w:r>
      <w:r>
        <w:rPr>
          <w:rFonts w:hint="eastAsia"/>
        </w:rPr>
        <w:t>摩尔多瓦共和国主管机构目前对外德涅斯特地区没有控制权，也不对该地区具有影响力。这就是为什么在批准《欧洲保护人权和基本自由公约》</w:t>
      </w:r>
      <w:r>
        <w:rPr>
          <w:rFonts w:hint="eastAsia"/>
        </w:rPr>
        <w:t>(</w:t>
      </w:r>
      <w:r>
        <w:rPr>
          <w:rFonts w:hint="eastAsia"/>
        </w:rPr>
        <w:t>该公约于</w:t>
      </w:r>
      <w:r>
        <w:rPr>
          <w:rFonts w:hint="eastAsia"/>
        </w:rPr>
        <w:t>1998</w:t>
      </w:r>
      <w:r>
        <w:rPr>
          <w:rFonts w:hint="eastAsia"/>
        </w:rPr>
        <w:t>年</w:t>
      </w:r>
      <w:r>
        <w:rPr>
          <w:rFonts w:hint="eastAsia"/>
        </w:rPr>
        <w:t>2</w:t>
      </w:r>
      <w:r>
        <w:rPr>
          <w:rFonts w:hint="eastAsia"/>
        </w:rPr>
        <w:t>月</w:t>
      </w:r>
      <w:r>
        <w:rPr>
          <w:rFonts w:hint="eastAsia"/>
        </w:rPr>
        <w:t>1</w:t>
      </w:r>
      <w:r>
        <w:rPr>
          <w:rFonts w:hint="eastAsia"/>
        </w:rPr>
        <w:t>日对摩尔多瓦共和国生效</w:t>
      </w:r>
      <w:r>
        <w:rPr>
          <w:rFonts w:hint="eastAsia"/>
        </w:rPr>
        <w:t>)</w:t>
      </w:r>
      <w:r>
        <w:rPr>
          <w:rFonts w:hint="eastAsia"/>
        </w:rPr>
        <w:t>时，摩尔多瓦共和国议会表示，“在德涅斯特河左岸地区的冲突最终获得解决之前，无法确保针对自称的‘德涅斯特河沿岸共和国’机构在由其控制的区域作出的行为适用《公约》的规定”。这一表态也适用于摩尔多瓦共和国加入的其它国际条约和公约。</w:t>
      </w:r>
    </w:p>
    <w:p w:rsidR="00000000" w:rsidRDefault="00000000">
      <w:pPr>
        <w:rPr>
          <w:rFonts w:hint="eastAsia"/>
        </w:rPr>
      </w:pPr>
      <w:r>
        <w:rPr>
          <w:rFonts w:hint="eastAsia"/>
        </w:rPr>
        <w:tab/>
      </w:r>
      <w:r>
        <w:t>74.</w:t>
      </w:r>
      <w:r>
        <w:rPr>
          <w:rFonts w:hint="eastAsia"/>
        </w:rPr>
        <w:t xml:space="preserve">  </w:t>
      </w:r>
      <w:r>
        <w:rPr>
          <w:rFonts w:hint="eastAsia"/>
        </w:rPr>
        <w:t>为解决上述问题，并确保国家的独立和领土完整，基希讷乌的主管机构采取了一些实际行动。有关方面与蒂拉斯波尔当局保持具有政治性质的持续直接接触和对话。自</w:t>
      </w:r>
      <w:r>
        <w:rPr>
          <w:rFonts w:hint="eastAsia"/>
        </w:rPr>
        <w:t>1992</w:t>
      </w:r>
      <w:r>
        <w:rPr>
          <w:rFonts w:hint="eastAsia"/>
        </w:rPr>
        <w:t>年以来，双方签署了多项文件，这些文件旨在为和平解决冲突创造一个恰当的政治气氛。建立了工作机制</w:t>
      </w:r>
      <w:r>
        <w:rPr>
          <w:rFonts w:hint="eastAsia"/>
        </w:rPr>
        <w:t>(</w:t>
      </w:r>
      <w:r>
        <w:rPr>
          <w:rFonts w:hint="eastAsia"/>
        </w:rPr>
        <w:t>统一控制委员会、确定外德涅斯特地区地位的专家组等</w:t>
      </w:r>
      <w:r>
        <w:rPr>
          <w:rFonts w:hint="eastAsia"/>
        </w:rPr>
        <w:t>)</w:t>
      </w:r>
      <w:r>
        <w:rPr>
          <w:rFonts w:hint="eastAsia"/>
        </w:rPr>
        <w:t>，这些机制的目的是切实执行经签署的协议。</w:t>
      </w:r>
    </w:p>
    <w:p w:rsidR="00000000" w:rsidRDefault="00000000">
      <w:pPr>
        <w:rPr>
          <w:rFonts w:hint="eastAsia"/>
        </w:rPr>
      </w:pPr>
      <w:r>
        <w:rPr>
          <w:rFonts w:hint="eastAsia"/>
        </w:rPr>
        <w:tab/>
      </w:r>
      <w:r>
        <w:t>75.</w:t>
      </w:r>
      <w:r>
        <w:rPr>
          <w:rFonts w:hint="eastAsia"/>
        </w:rPr>
        <w:t xml:space="preserve">  </w:t>
      </w:r>
      <w:r>
        <w:rPr>
          <w:rFonts w:hint="eastAsia"/>
        </w:rPr>
        <w:t>国际社会对摩尔多瓦共和国采取的措施持鼓励立场。欧洲安全与合作组织</w:t>
      </w:r>
      <w:r>
        <w:rPr>
          <w:rFonts w:hint="eastAsia"/>
        </w:rPr>
        <w:t>(</w:t>
      </w:r>
      <w:r>
        <w:rPr>
          <w:rFonts w:hint="eastAsia"/>
        </w:rPr>
        <w:t>欧安组织</w:t>
      </w:r>
      <w:r>
        <w:rPr>
          <w:rFonts w:hint="eastAsia"/>
        </w:rPr>
        <w:t>)</w:t>
      </w:r>
      <w:r>
        <w:rPr>
          <w:rFonts w:hint="eastAsia"/>
        </w:rPr>
        <w:t>和两个调解国即俄罗斯和乌克兰，目前参与冲突解决进程。</w:t>
      </w:r>
      <w:r>
        <w:t>1992</w:t>
      </w:r>
      <w:r>
        <w:rPr>
          <w:rFonts w:hint="eastAsia"/>
        </w:rPr>
        <w:t>年</w:t>
      </w:r>
      <w:r>
        <w:rPr>
          <w:rFonts w:hint="eastAsia"/>
        </w:rPr>
        <w:t>7</w:t>
      </w:r>
      <w:r>
        <w:rPr>
          <w:rFonts w:hint="eastAsia"/>
        </w:rPr>
        <w:t>月</w:t>
      </w:r>
      <w:r>
        <w:rPr>
          <w:rFonts w:hint="eastAsia"/>
        </w:rPr>
        <w:t>21</w:t>
      </w:r>
      <w:r>
        <w:rPr>
          <w:rFonts w:hint="eastAsia"/>
        </w:rPr>
        <w:t>日，摩尔多瓦共和国和俄罗斯联邦两国总统在莫斯科签署一项重要协议，该协议旨在消除冲突解决方面的僵局。蒂拉斯波尔的分离主义领导人也在该协议上签了字，但随后蒂拉斯波尔当局却公然阻碍商定的安排的执行。</w:t>
      </w:r>
    </w:p>
    <w:p w:rsidR="00000000" w:rsidRDefault="00000000">
      <w:pPr>
        <w:rPr>
          <w:rFonts w:hint="eastAsia"/>
        </w:rPr>
      </w:pPr>
      <w:r>
        <w:rPr>
          <w:rFonts w:hint="eastAsia"/>
        </w:rPr>
        <w:tab/>
      </w:r>
      <w:r>
        <w:t>76.</w:t>
      </w:r>
      <w:r>
        <w:rPr>
          <w:rFonts w:hint="eastAsia"/>
        </w:rPr>
        <w:t xml:space="preserve">  1998</w:t>
      </w:r>
      <w:r>
        <w:rPr>
          <w:rFonts w:hint="eastAsia"/>
        </w:rPr>
        <w:t>年</w:t>
      </w:r>
      <w:r>
        <w:rPr>
          <w:rFonts w:hint="eastAsia"/>
        </w:rPr>
        <w:t>3</w:t>
      </w:r>
      <w:r>
        <w:rPr>
          <w:rFonts w:hint="eastAsia"/>
        </w:rPr>
        <w:t>月</w:t>
      </w:r>
      <w:r>
        <w:rPr>
          <w:rFonts w:hint="eastAsia"/>
        </w:rPr>
        <w:t>20</w:t>
      </w:r>
      <w:r>
        <w:rPr>
          <w:rFonts w:hint="eastAsia"/>
        </w:rPr>
        <w:t>日，在敖德萨签署了《摩尔多瓦共和国和外德涅斯特地区建立相互信任和进行接触的协议》。具体而言，《协议》规定，安全区实行非军事化，减少边防哨所数目，并且为人员流动和货物与服务贸易提供有利条件。但自那时以来，分离主义者继续公然违反《协议》的规定。</w:t>
      </w:r>
    </w:p>
    <w:p w:rsidR="00000000" w:rsidRDefault="00000000">
      <w:pPr>
        <w:rPr>
          <w:rFonts w:hint="eastAsia"/>
        </w:rPr>
      </w:pPr>
      <w:r>
        <w:rPr>
          <w:rFonts w:hint="eastAsia"/>
        </w:rPr>
        <w:tab/>
      </w:r>
      <w:r>
        <w:t>77.</w:t>
      </w:r>
      <w:r>
        <w:rPr>
          <w:rFonts w:hint="eastAsia"/>
        </w:rPr>
        <w:t xml:space="preserve">  </w:t>
      </w:r>
      <w:r>
        <w:rPr>
          <w:rFonts w:hint="eastAsia"/>
        </w:rPr>
        <w:t>确定外德涅斯特地区的特殊地位是冲突解决进程的主要目标。基希讷乌主管机构曾多次表示，同意在一项有关摩尔多瓦主权和领土完整的解决办法基础上，赋予德涅斯特河左岸居民</w:t>
      </w:r>
      <w:r>
        <w:rPr>
          <w:rFonts w:hint="eastAsia"/>
        </w:rPr>
        <w:t>(</w:t>
      </w:r>
      <w:r>
        <w:rPr>
          <w:rFonts w:hint="eastAsia"/>
        </w:rPr>
        <w:t>多数为摩尔达维亚族人和乌克兰族人</w:t>
      </w:r>
      <w:r>
        <w:t>)</w:t>
      </w:r>
      <w:r>
        <w:rPr>
          <w:rFonts w:hint="eastAsia"/>
        </w:rPr>
        <w:t>自治地位。为此，拟订并提出了多项计划，但分离主义者每次都拒绝接受这些计划。</w:t>
      </w:r>
    </w:p>
    <w:p w:rsidR="00000000" w:rsidRDefault="00000000">
      <w:pPr>
        <w:rPr>
          <w:rFonts w:hint="eastAsia"/>
        </w:rPr>
      </w:pPr>
      <w:r>
        <w:rPr>
          <w:rFonts w:hint="eastAsia"/>
        </w:rPr>
        <w:tab/>
      </w:r>
      <w:r>
        <w:t>78.</w:t>
      </w:r>
      <w:r>
        <w:rPr>
          <w:rFonts w:hint="eastAsia"/>
        </w:rPr>
        <w:t xml:space="preserve">  2000</w:t>
      </w:r>
      <w:r>
        <w:rPr>
          <w:rFonts w:hint="eastAsia"/>
        </w:rPr>
        <w:t>年</w:t>
      </w:r>
      <w:r>
        <w:rPr>
          <w:rFonts w:hint="eastAsia"/>
        </w:rPr>
        <w:t>4</w:t>
      </w:r>
      <w:r>
        <w:rPr>
          <w:rFonts w:hint="eastAsia"/>
        </w:rPr>
        <w:t>月</w:t>
      </w:r>
      <w:r>
        <w:rPr>
          <w:rFonts w:hint="eastAsia"/>
        </w:rPr>
        <w:t>6</w:t>
      </w:r>
      <w:r>
        <w:rPr>
          <w:rFonts w:hint="eastAsia"/>
        </w:rPr>
        <w:t>日，基希讷乌专家提交一项关于蒂拉斯波尔的特殊地位的新方案，该方案规定德涅斯特河左岸地区享有广泛的自治权。不过，主要条件仍未改变：尊重摩尔多瓦共和国的主权和领土完整。俄罗斯和乌克兰这两个调解国以及欧安组织特派团认为，这项新方案从总体上看适于谈判。该方案与</w:t>
      </w:r>
      <w:r>
        <w:rPr>
          <w:rFonts w:hint="eastAsia"/>
        </w:rPr>
        <w:t>1999</w:t>
      </w:r>
      <w:r>
        <w:rPr>
          <w:rFonts w:hint="eastAsia"/>
        </w:rPr>
        <w:t>年</w:t>
      </w:r>
      <w:r>
        <w:rPr>
          <w:rFonts w:hint="eastAsia"/>
        </w:rPr>
        <w:t>7</w:t>
      </w:r>
      <w:r>
        <w:rPr>
          <w:rFonts w:hint="eastAsia"/>
        </w:rPr>
        <w:t>月在基辅举行的高级别会议达成的文件相一致，这些文件设法界定“共同国家”概念的基本要素。所涉及的是以下五项基本原则：共同的经济、司法、防务和社会空间，以及共同边界。通过这一解决办法，摩尔多瓦共和国提及的是在一个立法环境和某些独特的国家机构基础上尊重国家的主权和领土完整。</w:t>
      </w:r>
    </w:p>
    <w:p w:rsidR="00000000" w:rsidRDefault="00000000">
      <w:pPr>
        <w:rPr>
          <w:rFonts w:hint="eastAsia"/>
        </w:rPr>
      </w:pPr>
      <w:r>
        <w:rPr>
          <w:rFonts w:hint="eastAsia"/>
        </w:rPr>
        <w:tab/>
      </w:r>
      <w:r>
        <w:t>79.</w:t>
      </w:r>
      <w:r>
        <w:rPr>
          <w:rFonts w:hint="eastAsia"/>
        </w:rPr>
        <w:t xml:space="preserve">  </w:t>
      </w:r>
      <w:r>
        <w:rPr>
          <w:rFonts w:hint="eastAsia"/>
        </w:rPr>
        <w:t>按照基希讷乌的设想，外德涅斯特地区冲突解决办法必须包括有待列入一个“一揽子方案”的以下三个不同要素：该地区在摩尔多瓦共和国境内享有特殊地位；制定执行解决办法和遵守解决办法规定的措施；组建拥有欧安组织授权的负责维持和平的新的部队。但是，分离主义者却希望建立一个由两个主权国家组成的联盟，该联盟受一系列双边协定的约束。按照分离主义领导人的设想，“共同国家”应由两个平等、主权的国家实体组成。外德涅斯特地区方面提出的协议草案，是一份典型的述及两个国际法主体之间的关系的文件，摩尔多瓦共和国主管机构显然不能接受该文件。</w:t>
      </w:r>
    </w:p>
    <w:p w:rsidR="00000000" w:rsidRDefault="00000000">
      <w:pPr>
        <w:rPr>
          <w:rFonts w:hint="eastAsia"/>
        </w:rPr>
      </w:pPr>
      <w:r>
        <w:rPr>
          <w:rFonts w:hint="eastAsia"/>
        </w:rPr>
        <w:tab/>
      </w:r>
      <w:r>
        <w:t>80.</w:t>
      </w:r>
      <w:r>
        <w:rPr>
          <w:rFonts w:hint="eastAsia"/>
        </w:rPr>
        <w:t xml:space="preserve">  </w:t>
      </w:r>
      <w:r>
        <w:rPr>
          <w:rFonts w:hint="eastAsia"/>
        </w:rPr>
        <w:t>《欧安组织伊斯坦布尔首脑会议宣言》发表意见认为，有必要在摩尔多瓦共和国主权和尊重该国的领土完整基础上确定外德涅斯特地区的地位。该宣言再次呼吁有关各方，特别是蒂拉斯波尔当局在为最终消除冲突后果而进行的谈判过程中体现出政治意愿。</w:t>
      </w:r>
    </w:p>
    <w:p w:rsidR="00000000" w:rsidRDefault="00000000">
      <w:pPr>
        <w:rPr>
          <w:rFonts w:hint="eastAsia"/>
        </w:rPr>
      </w:pPr>
      <w:r>
        <w:rPr>
          <w:rFonts w:hint="eastAsia"/>
        </w:rPr>
        <w:tab/>
      </w:r>
      <w:r>
        <w:t>81.</w:t>
      </w:r>
      <w:r>
        <w:rPr>
          <w:rFonts w:hint="eastAsia"/>
        </w:rPr>
        <w:t xml:space="preserve">  </w:t>
      </w:r>
      <w:r>
        <w:rPr>
          <w:rFonts w:hint="eastAsia"/>
        </w:rPr>
        <w:t>在谈判过程中，摩尔多瓦共和国政府作出了足够让步。但是，虽然基希讷乌方面所体现出了灵活政策、善意及和解的精神，分离主义领导人却每次都持顽固不化的态度。俄罗斯军队驻扎在外德涅斯特地区这一点，构成对第拉斯把领导人的极端主义行为的决定性支持。这是与《摩尔多瓦共和国宪法》相抵触的，《宪法》规定，“……摩尔多瓦共和国领土上不得驻扎别国军队”</w:t>
      </w:r>
      <w:r>
        <w:rPr>
          <w:rFonts w:hint="eastAsia"/>
        </w:rPr>
        <w:t>(</w:t>
      </w:r>
      <w:r>
        <w:rPr>
          <w:rFonts w:hint="eastAsia"/>
        </w:rPr>
        <w:t>第</w:t>
      </w:r>
      <w:r>
        <w:rPr>
          <w:rFonts w:hint="eastAsia"/>
        </w:rPr>
        <w:t>11</w:t>
      </w:r>
      <w:r>
        <w:rPr>
          <w:rFonts w:hint="eastAsia"/>
        </w:rPr>
        <w:t>条第</w:t>
      </w:r>
      <w:r>
        <w:rPr>
          <w:rFonts w:hint="eastAsia"/>
        </w:rPr>
        <w:t>(2)</w:t>
      </w:r>
      <w:r>
        <w:rPr>
          <w:rFonts w:hint="eastAsia"/>
        </w:rPr>
        <w:t>款</w:t>
      </w:r>
      <w:r>
        <w:rPr>
          <w:rFonts w:hint="eastAsia"/>
        </w:rPr>
        <w:t>)</w:t>
      </w:r>
      <w:r>
        <w:rPr>
          <w:rFonts w:hint="eastAsia"/>
        </w:rPr>
        <w:t>。根据欧安组织伊斯坦布尔首脑会议文件和《欧洲常规武装力量条约缔约国会议最后文件》的规定，俄罗斯联邦承诺在</w:t>
      </w:r>
      <w:r>
        <w:rPr>
          <w:rFonts w:hint="eastAsia"/>
        </w:rPr>
        <w:t>2001</w:t>
      </w:r>
      <w:r>
        <w:rPr>
          <w:rFonts w:hint="eastAsia"/>
        </w:rPr>
        <w:t>年底之前撤出并销毁受《条约》限制的常规武器和设备，并在</w:t>
      </w:r>
      <w:r>
        <w:rPr>
          <w:rFonts w:hint="eastAsia"/>
        </w:rPr>
        <w:t>2002</w:t>
      </w:r>
      <w:r>
        <w:rPr>
          <w:rFonts w:hint="eastAsia"/>
        </w:rPr>
        <w:t>年底之前将俄罗斯部队完全撤出摩尔多瓦共和国领土。应当提及的是，伊斯坦布尔首脑会议关于俄罗斯军队和武器从摩尔多瓦共和国领土上完全撤出的决定，不是以政治解决冲突为条件的。尽管作出了承诺，但由于俄罗斯联邦方面缺乏强有力的政治意愿，这一进程进展缓慢，毫无结果。此外，俄罗斯有影响的政治和经济势力，特别是俄罗斯联邦国家杜马，一直在为蒂拉斯波尔领导人的极端主义行为推波助澜。莫斯科官员强调，俄罗斯军队的撤出必须与外德涅斯特地区冲突的解决“同步”。这一官方立场在国家杜马</w:t>
      </w:r>
      <w:r>
        <w:rPr>
          <w:rFonts w:hint="eastAsia"/>
        </w:rPr>
        <w:t>1999</w:t>
      </w:r>
      <w:r>
        <w:rPr>
          <w:rFonts w:hint="eastAsia"/>
        </w:rPr>
        <w:t>年</w:t>
      </w:r>
      <w:r>
        <w:rPr>
          <w:rFonts w:hint="eastAsia"/>
        </w:rPr>
        <w:t>11</w:t>
      </w:r>
      <w:r>
        <w:rPr>
          <w:rFonts w:hint="eastAsia"/>
        </w:rPr>
        <w:t>月</w:t>
      </w:r>
      <w:r>
        <w:rPr>
          <w:rFonts w:hint="eastAsia"/>
        </w:rPr>
        <w:t>20</w:t>
      </w:r>
      <w:r>
        <w:rPr>
          <w:rFonts w:hint="eastAsia"/>
        </w:rPr>
        <w:t>日的声明中得到发表，并在俄罗斯联邦外交部官方代表</w:t>
      </w:r>
      <w:r>
        <w:rPr>
          <w:rFonts w:hint="eastAsia"/>
        </w:rPr>
        <w:t>1999</w:t>
      </w:r>
      <w:r>
        <w:rPr>
          <w:rFonts w:hint="eastAsia"/>
        </w:rPr>
        <w:t>年</w:t>
      </w:r>
      <w:r>
        <w:rPr>
          <w:rFonts w:hint="eastAsia"/>
        </w:rPr>
        <w:t>12</w:t>
      </w:r>
      <w:r>
        <w:rPr>
          <w:rFonts w:hint="eastAsia"/>
        </w:rPr>
        <w:t>月</w:t>
      </w:r>
      <w:r>
        <w:rPr>
          <w:rFonts w:hint="eastAsia"/>
        </w:rPr>
        <w:t>21</w:t>
      </w:r>
      <w:r>
        <w:rPr>
          <w:rFonts w:hint="eastAsia"/>
        </w:rPr>
        <w:t>日的声明中得到发表。</w:t>
      </w:r>
    </w:p>
    <w:p w:rsidR="00000000" w:rsidRDefault="00000000">
      <w:pPr>
        <w:rPr>
          <w:rFonts w:hint="eastAsia"/>
        </w:rPr>
      </w:pPr>
      <w:r>
        <w:rPr>
          <w:rFonts w:hint="eastAsia"/>
        </w:rPr>
        <w:tab/>
      </w:r>
      <w:r>
        <w:t>82.</w:t>
      </w:r>
      <w:r>
        <w:rPr>
          <w:rFonts w:hint="eastAsia"/>
        </w:rPr>
        <w:t xml:space="preserve">  2000</w:t>
      </w:r>
      <w:r>
        <w:rPr>
          <w:rFonts w:hint="eastAsia"/>
        </w:rPr>
        <w:t>年</w:t>
      </w:r>
      <w:r>
        <w:rPr>
          <w:rFonts w:hint="eastAsia"/>
        </w:rPr>
        <w:t>12</w:t>
      </w:r>
      <w:r>
        <w:rPr>
          <w:rFonts w:hint="eastAsia"/>
        </w:rPr>
        <w:t>月</w:t>
      </w:r>
      <w:r>
        <w:rPr>
          <w:rFonts w:hint="eastAsia"/>
        </w:rPr>
        <w:t>10</w:t>
      </w:r>
      <w:r>
        <w:rPr>
          <w:rFonts w:hint="eastAsia"/>
        </w:rPr>
        <w:t>日，自称的“摩尔多瓦德涅斯特河沿岸共和国”举行了最高苏维埃选举。俄罗斯联邦国家杜马的五位议员以观察员身份到达蒂拉斯波尔。</w:t>
      </w:r>
      <w:r>
        <w:t>Gheorghi Tihonov</w:t>
      </w:r>
      <w:r>
        <w:rPr>
          <w:rFonts w:hint="eastAsia"/>
        </w:rPr>
        <w:t>议员在一次记者招待会上宣布，国家杜马已经设立了一个负责解决外德涅斯特冲突的委员会。这一委员会的立场有别于普京总统设立的委员会的立场。他宣称，欧安组织伊斯坦布尔首脑会议关于俄罗斯在</w:t>
      </w:r>
      <w:r>
        <w:rPr>
          <w:rFonts w:hint="eastAsia"/>
        </w:rPr>
        <w:t>2002</w:t>
      </w:r>
      <w:r>
        <w:rPr>
          <w:rFonts w:hint="eastAsia"/>
        </w:rPr>
        <w:t>年底之前从外德涅斯特地区撤出部队和武器的决定“不具有法律效力，因为该决定没有获得国家杜马批准”。</w:t>
      </w:r>
    </w:p>
    <w:p w:rsidR="00000000" w:rsidRDefault="00000000">
      <w:pPr>
        <w:rPr>
          <w:rFonts w:hint="eastAsia"/>
        </w:rPr>
      </w:pPr>
      <w:r>
        <w:rPr>
          <w:rFonts w:hint="eastAsia"/>
        </w:rPr>
        <w:tab/>
      </w:r>
      <w:r>
        <w:t>83.</w:t>
      </w:r>
      <w:r>
        <w:rPr>
          <w:rFonts w:hint="eastAsia"/>
        </w:rPr>
        <w:t xml:space="preserve">  </w:t>
      </w:r>
      <w:r>
        <w:rPr>
          <w:rFonts w:hint="eastAsia"/>
        </w:rPr>
        <w:t>另外，需要提及的是，</w:t>
      </w:r>
      <w:r>
        <w:rPr>
          <w:rFonts w:hint="eastAsia"/>
        </w:rPr>
        <w:t>2000</w:t>
      </w:r>
      <w:r>
        <w:rPr>
          <w:rFonts w:hint="eastAsia"/>
        </w:rPr>
        <w:t>年</w:t>
      </w:r>
      <w:r>
        <w:rPr>
          <w:rFonts w:hint="eastAsia"/>
        </w:rPr>
        <w:t>12</w:t>
      </w:r>
      <w:r>
        <w:rPr>
          <w:rFonts w:hint="eastAsia"/>
        </w:rPr>
        <w:t>月</w:t>
      </w:r>
      <w:r>
        <w:rPr>
          <w:rFonts w:hint="eastAsia"/>
        </w:rPr>
        <w:t>19</w:t>
      </w:r>
      <w:r>
        <w:rPr>
          <w:rFonts w:hint="eastAsia"/>
        </w:rPr>
        <w:t>日，联合国大会连续三年通过一项题为“联合国与欧洲安全与合作组织的合作”的决议</w:t>
      </w:r>
      <w:r>
        <w:rPr>
          <w:rFonts w:hint="eastAsia"/>
        </w:rPr>
        <w:t>(</w:t>
      </w:r>
      <w:r>
        <w:t>55/179</w:t>
      </w:r>
      <w:r>
        <w:rPr>
          <w:rFonts w:hint="eastAsia"/>
        </w:rPr>
        <w:t>)</w:t>
      </w:r>
      <w:r>
        <w:rPr>
          <w:rFonts w:hint="eastAsia"/>
        </w:rPr>
        <w:t>。该决议有一段提及摩尔多瓦共和国：“大会……全力支持欧洲安全与合作组织为解决摩尔多瓦共和国外德涅斯特地区问题作出的努力，回顾俄罗斯联邦承诺按照在伊斯坦布尔首脑会议商定的结果，在</w:t>
      </w:r>
      <w:r>
        <w:rPr>
          <w:rFonts w:hint="eastAsia"/>
        </w:rPr>
        <w:t>2002</w:t>
      </w:r>
      <w:r>
        <w:rPr>
          <w:rFonts w:hint="eastAsia"/>
        </w:rPr>
        <w:t>年底前将其部队从摩尔多瓦共和国领土撤出，欢迎欧洲安全与合作组织愿意与摩尔多瓦共和国一道，在其各自能力范围内，在商定最后期限之前推动这一进程”</w:t>
      </w:r>
      <w:r>
        <w:rPr>
          <w:rFonts w:hint="eastAsia"/>
        </w:rPr>
        <w:t>(</w:t>
      </w:r>
      <w:r>
        <w:rPr>
          <w:rFonts w:hint="eastAsia"/>
        </w:rPr>
        <w:t>第</w:t>
      </w:r>
      <w:r>
        <w:rPr>
          <w:rFonts w:hint="eastAsia"/>
        </w:rPr>
        <w:t>19</w:t>
      </w:r>
      <w:r>
        <w:rPr>
          <w:rFonts w:hint="eastAsia"/>
        </w:rPr>
        <w:t>段</w:t>
      </w:r>
      <w:r>
        <w:rPr>
          <w:rFonts w:hint="eastAsia"/>
        </w:rPr>
        <w:t>)</w:t>
      </w:r>
      <w:r>
        <w:rPr>
          <w:rFonts w:hint="eastAsia"/>
        </w:rPr>
        <w:t>。</w:t>
      </w:r>
    </w:p>
    <w:p w:rsidR="00000000" w:rsidRDefault="00000000">
      <w:pPr>
        <w:rPr>
          <w:rFonts w:hint="eastAsia"/>
        </w:rPr>
      </w:pPr>
      <w:r>
        <w:rPr>
          <w:rFonts w:hint="eastAsia"/>
        </w:rPr>
        <w:tab/>
      </w:r>
      <w:r>
        <w:t>84.</w:t>
      </w:r>
      <w:r>
        <w:rPr>
          <w:rFonts w:hint="eastAsia"/>
        </w:rPr>
        <w:t xml:space="preserve">  </w:t>
      </w:r>
      <w:r>
        <w:rPr>
          <w:rFonts w:hint="eastAsia"/>
        </w:rPr>
        <w:t>实际上，现实充分证明，摩尔多瓦共和国与外德涅斯特地区方面达成的协议，以及俄罗斯联邦没有履行作出的关于将其部队从摩尔多瓦共和国这一地区撤出的国际承诺这一情况，正在被蒂拉斯波尔分离主义者利用，以便为巩固局势赢得时间。分离主义者执行的政策反对建立一个统一和独立的国家，力图维持旧的意识形态、法律和经济方向。</w:t>
      </w:r>
    </w:p>
    <w:p w:rsidR="00000000" w:rsidRDefault="00000000">
      <w:pPr>
        <w:rPr>
          <w:rFonts w:hint="eastAsia"/>
        </w:rPr>
      </w:pPr>
      <w:r>
        <w:rPr>
          <w:rFonts w:hint="eastAsia"/>
        </w:rPr>
        <w:tab/>
      </w:r>
      <w:r>
        <w:t>85.</w:t>
      </w:r>
      <w:r>
        <w:rPr>
          <w:rFonts w:hint="eastAsia"/>
        </w:rPr>
        <w:t xml:space="preserve">  </w:t>
      </w:r>
      <w:r>
        <w:rPr>
          <w:rFonts w:hint="eastAsia"/>
        </w:rPr>
        <w:t>摩尔多瓦共和国愿意继续与蒂拉斯波尔当局进行对话和直接接触，但是，由于分离主义者的环顾立场，谈判实际上已经处于单方面暂停状态。专家组确定该地区特殊地位的活动</w:t>
      </w:r>
      <w:r>
        <w:rPr>
          <w:rFonts w:hint="eastAsia"/>
        </w:rPr>
        <w:t>(</w:t>
      </w:r>
      <w:r>
        <w:rPr>
          <w:rFonts w:hint="eastAsia"/>
        </w:rPr>
        <w:t>调解国和欧安组织特派团代表参加专家组的会议</w:t>
      </w:r>
      <w:r>
        <w:rPr>
          <w:rFonts w:hint="eastAsia"/>
        </w:rPr>
        <w:t>)</w:t>
      </w:r>
      <w:r>
        <w:rPr>
          <w:rFonts w:hint="eastAsia"/>
        </w:rPr>
        <w:t>目前陷入僵局。统一控制委员会无法执行经签署的文件规定的任务，因而事实上无法控制和影响安全区内的状况。由于缺乏必要的透明度，军事观察员无法进入分离主义者控制的军事目标。由于统一军事指挥部领导下的所谓的“维持和平部队”持容忍的态度，蒂拉斯波尔当局不断加强其在安全区内的军事存在。该地区的“维持和平部队”只是一个通常的名称而已，因为这些部队并不符合国际社会公认的一般标准，而且没有联合国或欧安组织的有关授权，因而不会持公正立场。</w:t>
      </w:r>
    </w:p>
    <w:p w:rsidR="00000000" w:rsidRDefault="00000000">
      <w:pPr>
        <w:rPr>
          <w:rFonts w:hint="eastAsia"/>
        </w:rPr>
      </w:pPr>
      <w:r>
        <w:rPr>
          <w:rFonts w:hint="eastAsia"/>
        </w:rPr>
        <w:tab/>
      </w:r>
      <w:r>
        <w:t>86.</w:t>
      </w:r>
      <w:r>
        <w:rPr>
          <w:rFonts w:hint="eastAsia"/>
        </w:rPr>
        <w:t xml:space="preserve">  </w:t>
      </w:r>
      <w:r>
        <w:rPr>
          <w:rFonts w:hint="eastAsia"/>
        </w:rPr>
        <w:t>在这种形势下，摩尔多瓦共和国认为，有必要让相关国际机构更加积极、有效地参与确保摩尔多瓦的主权和恢复该国领土完整的进程。在此期间，在德涅斯特河左岸，公民的权利和自由正在遭受大规模、公然的侵犯，这些权利和自由是：生命权；人身和心理安全；自由诉诸司法和得到公平、公正审判的权利；选举和被选举权；知情权；见解和言论自由；宗教信仰自由；行动自由权；结社自由权；工作权；拥有财产权；受教育权及其它权利和自由。</w:t>
      </w:r>
    </w:p>
    <w:p w:rsidR="00000000" w:rsidRDefault="00000000">
      <w:pPr>
        <w:rPr>
          <w:rFonts w:hint="eastAsia"/>
        </w:rPr>
      </w:pPr>
      <w:r>
        <w:rPr>
          <w:rFonts w:hint="eastAsia"/>
        </w:rPr>
        <w:tab/>
      </w:r>
      <w:r>
        <w:t>87.</w:t>
      </w:r>
      <w:r>
        <w:rPr>
          <w:rFonts w:hint="eastAsia"/>
        </w:rPr>
        <w:t xml:space="preserve">  </w:t>
      </w:r>
      <w:r>
        <w:rPr>
          <w:rFonts w:hint="eastAsia"/>
        </w:rPr>
        <w:t>关于利用自然资源的法规按照《宪法》制定，这些法规有：《自然资源法》、《环境保护法》、《国家自然保护区基金》、《财产法》、《水法》、《底土法》、《土地法》、《森林法》、《刑法》、《行政法》等。总的来说，约有</w:t>
      </w:r>
      <w:r>
        <w:rPr>
          <w:rFonts w:hint="eastAsia"/>
        </w:rPr>
        <w:t>35</w:t>
      </w:r>
      <w:r>
        <w:rPr>
          <w:rFonts w:hint="eastAsia"/>
        </w:rPr>
        <w:t>部规范性法规述及环境问题和利用自然资源问题。</w:t>
      </w:r>
    </w:p>
    <w:p w:rsidR="00000000" w:rsidRDefault="00000000">
      <w:pPr>
        <w:rPr>
          <w:rFonts w:hint="eastAsia"/>
        </w:rPr>
      </w:pPr>
      <w:r>
        <w:rPr>
          <w:rFonts w:hint="eastAsia"/>
        </w:rPr>
        <w:tab/>
      </w:r>
      <w:r>
        <w:t>88.</w:t>
      </w:r>
      <w:r>
        <w:rPr>
          <w:rFonts w:hint="eastAsia"/>
        </w:rPr>
        <w:t xml:space="preserve">  </w:t>
      </w:r>
      <w:r>
        <w:rPr>
          <w:rFonts w:hint="eastAsia"/>
        </w:rPr>
        <w:t>摩尔多瓦共和国的财产分为公共财产和私有财产，财产本身又分为有形财产和智力财产。市场、自由经济行动及合法竞争是经济的基本要素。拥有财产的权利的行使不得损害人权、自由和尊严</w:t>
      </w:r>
      <w:r>
        <w:rPr>
          <w:rFonts w:hint="eastAsia"/>
        </w:rPr>
        <w:t>(</w:t>
      </w:r>
      <w:r>
        <w:rPr>
          <w:rFonts w:hint="eastAsia"/>
        </w:rPr>
        <w:t>《宪法》，第</w:t>
      </w:r>
      <w:r>
        <w:t>9</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89.  </w:t>
      </w:r>
      <w:r>
        <w:rPr>
          <w:rFonts w:hint="eastAsia"/>
        </w:rPr>
        <w:t>国家有义务提供进行贸易和工商活动的自由，保护合法竞争，为生产创造有利的环境；有义务鼓励科学研究，鼓励对土地和其它自然资源的合理开发利用，恢复和保护环境；自然人和法人的投资不可侵犯</w:t>
      </w:r>
      <w:r>
        <w:rPr>
          <w:rFonts w:hint="eastAsia"/>
        </w:rPr>
        <w:t>(</w:t>
      </w:r>
      <w:r>
        <w:rPr>
          <w:rFonts w:hint="eastAsia"/>
        </w:rPr>
        <w:t>同上，第</w:t>
      </w:r>
      <w:r>
        <w:rPr>
          <w:rFonts w:hint="eastAsia"/>
        </w:rPr>
        <w:t>126</w:t>
      </w:r>
      <w:r>
        <w:rPr>
          <w:rFonts w:hint="eastAsia"/>
        </w:rPr>
        <w:t>条</w:t>
      </w:r>
      <w:r>
        <w:rPr>
          <w:rFonts w:hint="eastAsia"/>
        </w:rPr>
        <w:t>)</w:t>
      </w:r>
      <w:r>
        <w:rPr>
          <w:rFonts w:hint="eastAsia"/>
        </w:rPr>
        <w:t>。《宪法》第</w:t>
      </w:r>
      <w:r>
        <w:rPr>
          <w:rFonts w:hint="eastAsia"/>
        </w:rPr>
        <w:t>127</w:t>
      </w:r>
      <w:r>
        <w:rPr>
          <w:rFonts w:hint="eastAsia"/>
        </w:rPr>
        <w:t>条第</w:t>
      </w:r>
      <w:r>
        <w:t>(3)</w:t>
      </w:r>
      <w:r>
        <w:rPr>
          <w:rFonts w:hint="eastAsia"/>
        </w:rPr>
        <w:t>款规定，私有财产属于国家或地方管理机构。用于公共利益的任何底土资源、领空、水域和森林，经济区自然资源及大陆架等，完全属于公共财产。</w:t>
      </w:r>
    </w:p>
    <w:p w:rsidR="00000000" w:rsidRDefault="00000000">
      <w:pPr>
        <w:rPr>
          <w:rFonts w:hint="eastAsia"/>
        </w:rPr>
      </w:pPr>
      <w:r>
        <w:rPr>
          <w:rFonts w:hint="eastAsia"/>
        </w:rPr>
        <w:tab/>
      </w:r>
      <w:r>
        <w:t>90.</w:t>
      </w:r>
      <w:r>
        <w:rPr>
          <w:rFonts w:hint="eastAsia"/>
        </w:rPr>
        <w:t xml:space="preserve">  </w:t>
      </w:r>
      <w:r>
        <w:rPr>
          <w:rFonts w:hint="eastAsia"/>
        </w:rPr>
        <w:t>能够为个人所拥有的自然资源属于享有拥有、使用和支配权的自然人或法人。《财产法》规定，土地、底土、水体、动植物群等可为私人拥有。立法对自然资源产权的拥有作了限制。根据法律规定的条件，自然资源可以在一特定或无限期的时间内被租赁或特许出让，但转租属于公共财产的自然资源或将此种自然资源作为抵押，则受到禁止。</w:t>
      </w:r>
    </w:p>
    <w:p w:rsidR="00000000" w:rsidRDefault="00000000">
      <w:pPr>
        <w:rPr>
          <w:rFonts w:hint="eastAsia"/>
        </w:rPr>
      </w:pPr>
      <w:r>
        <w:rPr>
          <w:rFonts w:hint="eastAsia"/>
        </w:rPr>
        <w:tab/>
      </w:r>
      <w:r>
        <w:t>91.</w:t>
      </w:r>
      <w:r>
        <w:rPr>
          <w:rFonts w:hint="eastAsia"/>
        </w:rPr>
        <w:t xml:space="preserve">  </w:t>
      </w:r>
      <w:r>
        <w:rPr>
          <w:rFonts w:hint="eastAsia"/>
        </w:rPr>
        <w:t>以互利原则和国际法规定为基础，只有议会才有权批准有关对外经济活动的主要指示</w:t>
      </w:r>
      <w:r>
        <w:rPr>
          <w:rFonts w:hint="eastAsia"/>
        </w:rPr>
        <w:t>(</w:t>
      </w:r>
      <w:r>
        <w:rPr>
          <w:rFonts w:hint="eastAsia"/>
        </w:rPr>
        <w:t>《宪法》，第</w:t>
      </w:r>
      <w:r>
        <w:t>129</w:t>
      </w:r>
      <w:r>
        <w:rPr>
          <w:rFonts w:hint="eastAsia"/>
        </w:rPr>
        <w:t>条</w:t>
      </w:r>
      <w:r>
        <w:rPr>
          <w:rFonts w:hint="eastAsia"/>
        </w:rPr>
        <w:t>)</w:t>
      </w:r>
      <w:r>
        <w:rPr>
          <w:rFonts w:hint="eastAsia"/>
        </w:rPr>
        <w:t>。有关利用自然资源的国内立法</w:t>
      </w:r>
      <w:r>
        <w:rPr>
          <w:rFonts w:hint="eastAsia"/>
        </w:rPr>
        <w:t>(</w:t>
      </w:r>
      <w:r>
        <w:rPr>
          <w:rFonts w:hint="eastAsia"/>
        </w:rPr>
        <w:t>《环境保护法》</w:t>
      </w:r>
      <w:r>
        <w:rPr>
          <w:rFonts w:hint="eastAsia"/>
        </w:rPr>
        <w:t>(</w:t>
      </w:r>
      <w:r>
        <w:rPr>
          <w:rFonts w:hint="eastAsia"/>
        </w:rPr>
        <w:t>第</w:t>
      </w:r>
      <w:r>
        <w:rPr>
          <w:rFonts w:hint="eastAsia"/>
        </w:rPr>
        <w:t>95</w:t>
      </w:r>
      <w:r>
        <w:rPr>
          <w:rFonts w:hint="eastAsia"/>
        </w:rPr>
        <w:t>条</w:t>
      </w:r>
      <w:r>
        <w:rPr>
          <w:rFonts w:hint="eastAsia"/>
        </w:rPr>
        <w:t>)</w:t>
      </w:r>
      <w:r>
        <w:rPr>
          <w:rFonts w:hint="eastAsia"/>
        </w:rPr>
        <w:t>、《自然资源法》</w:t>
      </w:r>
      <w:r>
        <w:rPr>
          <w:rFonts w:hint="eastAsia"/>
        </w:rPr>
        <w:t>(</w:t>
      </w:r>
      <w:r>
        <w:rPr>
          <w:rFonts w:hint="eastAsia"/>
        </w:rPr>
        <w:t>第</w:t>
      </w:r>
      <w:r>
        <w:rPr>
          <w:rFonts w:hint="eastAsia"/>
        </w:rPr>
        <w:t>32</w:t>
      </w:r>
      <w:r>
        <w:rPr>
          <w:rFonts w:hint="eastAsia"/>
        </w:rPr>
        <w:t>条第</w:t>
      </w:r>
      <w:r>
        <w:t>(2</w:t>
      </w:r>
      <w:r>
        <w:rPr>
          <w:rFonts w:hint="eastAsia"/>
        </w:rPr>
        <w:t>)</w:t>
      </w:r>
      <w:r>
        <w:rPr>
          <w:rFonts w:hint="eastAsia"/>
        </w:rPr>
        <w:t>款</w:t>
      </w:r>
      <w:r>
        <w:rPr>
          <w:rFonts w:hint="eastAsia"/>
        </w:rPr>
        <w:t>)</w:t>
      </w:r>
      <w:r>
        <w:rPr>
          <w:rFonts w:hint="eastAsia"/>
        </w:rPr>
        <w:t>规定了利用、保护自然资源和自然资源的抚育更新程序，目的是对国家的可持续发展作出规定。《自然资源法》规定，自然资源可用作生产资料、动力源和原材料来源，也可直接用作消费品和娱乐品，并可用作基因库或关于世界的信息源</w:t>
      </w:r>
      <w:r>
        <w:rPr>
          <w:rFonts w:hint="eastAsia"/>
        </w:rPr>
        <w:t>(</w:t>
      </w:r>
      <w:r>
        <w:rPr>
          <w:rFonts w:hint="eastAsia"/>
        </w:rPr>
        <w:t>第</w:t>
      </w:r>
      <w:r>
        <w:t>1</w:t>
      </w:r>
      <w:r>
        <w:rPr>
          <w:rFonts w:hint="eastAsia"/>
        </w:rPr>
        <w:t>条，第</w:t>
      </w:r>
      <w:r>
        <w:t>2</w:t>
      </w:r>
      <w:r>
        <w:rPr>
          <w:rFonts w:hint="eastAsia"/>
        </w:rPr>
        <w:t>款</w:t>
      </w:r>
      <w:r>
        <w:rPr>
          <w:rFonts w:hint="eastAsia"/>
        </w:rPr>
        <w:t>)</w:t>
      </w:r>
      <w:r>
        <w:rPr>
          <w:rFonts w:hint="eastAsia"/>
        </w:rPr>
        <w:t>。</w:t>
      </w:r>
    </w:p>
    <w:p w:rsidR="00000000" w:rsidRDefault="00000000">
      <w:pPr>
        <w:rPr>
          <w:rFonts w:hint="eastAsia"/>
        </w:rPr>
      </w:pPr>
      <w:r>
        <w:rPr>
          <w:rFonts w:hint="eastAsia"/>
        </w:rPr>
        <w:tab/>
      </w:r>
      <w:r>
        <w:t>92.</w:t>
      </w:r>
      <w:r>
        <w:rPr>
          <w:rFonts w:hint="eastAsia"/>
        </w:rPr>
        <w:t xml:space="preserve">  </w:t>
      </w:r>
      <w:r>
        <w:rPr>
          <w:rFonts w:hint="eastAsia"/>
        </w:rPr>
        <w:t>自然资源分为以下几类：可再生和非可再生资源；国家和地方资源；计划开发利用资源；备用资源；受保护资源；治疗性资源；跨境资源。各项法规纳入了从资金入手管理自然资源的基本原则。此种管理的目的是：</w:t>
      </w:r>
    </w:p>
    <w:p w:rsidR="00000000" w:rsidRDefault="00000000">
      <w:pPr>
        <w:ind w:left="1040"/>
        <w:rPr>
          <w:rFonts w:hint="eastAsia"/>
        </w:rPr>
      </w:pPr>
      <w:r>
        <w:rPr>
          <w:rFonts w:hint="eastAsia"/>
        </w:rPr>
        <w:t>在保持价值的前提下利用自然资源；</w:t>
      </w:r>
    </w:p>
    <w:p w:rsidR="00000000" w:rsidRDefault="00000000">
      <w:pPr>
        <w:ind w:left="1040"/>
        <w:rPr>
          <w:rFonts w:hint="eastAsia"/>
        </w:rPr>
      </w:pPr>
      <w:r>
        <w:rPr>
          <w:rFonts w:hint="eastAsia"/>
        </w:rPr>
        <w:t>持续开展旨在合理利用自然资源的活动；</w:t>
      </w:r>
    </w:p>
    <w:p w:rsidR="00000000" w:rsidRDefault="00000000">
      <w:pPr>
        <w:ind w:left="1040"/>
        <w:rPr>
          <w:rFonts w:hint="eastAsia"/>
        </w:rPr>
      </w:pPr>
      <w:r>
        <w:rPr>
          <w:rFonts w:hint="eastAsia"/>
        </w:rPr>
        <w:t>防止经济活动产生的不利影响；</w:t>
      </w:r>
    </w:p>
    <w:p w:rsidR="00000000" w:rsidRDefault="00000000">
      <w:pPr>
        <w:ind w:left="1040"/>
        <w:rPr>
          <w:rFonts w:hint="eastAsia"/>
        </w:rPr>
      </w:pPr>
      <w:r>
        <w:rPr>
          <w:rFonts w:hint="eastAsia"/>
        </w:rPr>
        <w:t>确保国际法在自然资源的跨界利用方面占据优先地位。</w:t>
      </w:r>
    </w:p>
    <w:p w:rsidR="00000000" w:rsidRDefault="00000000">
      <w:pPr>
        <w:rPr>
          <w:rFonts w:hint="eastAsia"/>
        </w:rPr>
      </w:pPr>
      <w:r>
        <w:rPr>
          <w:rFonts w:hint="eastAsia"/>
        </w:rPr>
        <w:tab/>
      </w:r>
      <w:r>
        <w:t>93.</w:t>
      </w:r>
      <w:r>
        <w:rPr>
          <w:rFonts w:hint="eastAsia"/>
        </w:rPr>
        <w:t xml:space="preserve">  </w:t>
      </w:r>
      <w:r>
        <w:rPr>
          <w:rFonts w:hint="eastAsia"/>
        </w:rPr>
        <w:t>《环境保护法》第</w:t>
      </w:r>
      <w:r>
        <w:t>4</w:t>
      </w:r>
      <w:r>
        <w:rPr>
          <w:rFonts w:hint="eastAsia"/>
        </w:rPr>
        <w:t>条第</w:t>
      </w:r>
      <w:r>
        <w:rPr>
          <w:rFonts w:hint="eastAsia"/>
        </w:rPr>
        <w:t>(2)</w:t>
      </w:r>
      <w:r>
        <w:rPr>
          <w:rFonts w:hint="eastAsia"/>
        </w:rPr>
        <w:t>款规定，所有自然资源的管理权由议会行使。这部法规规定了自然人和法人在利用和保护环境的自然资源以及保护生物多样性、水资源和水生生态系统等方面的权利和义务，并对废物、有毒物质、矿物肥料和杀虫剂的管理，以及违反这方面的立法的行为引起的责任作了规定。</w:t>
      </w:r>
    </w:p>
    <w:p w:rsidR="00000000" w:rsidRDefault="00000000">
      <w:pPr>
        <w:rPr>
          <w:rFonts w:hint="eastAsia"/>
        </w:rPr>
      </w:pPr>
      <w:r>
        <w:rPr>
          <w:rFonts w:hint="eastAsia"/>
        </w:rPr>
        <w:tab/>
      </w:r>
      <w:r>
        <w:t>94.</w:t>
      </w:r>
      <w:r>
        <w:rPr>
          <w:rFonts w:hint="eastAsia"/>
        </w:rPr>
        <w:t xml:space="preserve">  </w:t>
      </w:r>
      <w:r>
        <w:rPr>
          <w:rFonts w:hint="eastAsia"/>
        </w:rPr>
        <w:t>任命了国家生态检查专员</w:t>
      </w:r>
      <w:r>
        <w:rPr>
          <w:rFonts w:hint="eastAsia"/>
        </w:rPr>
        <w:t>(</w:t>
      </w:r>
      <w:r>
        <w:rPr>
          <w:rFonts w:hint="eastAsia"/>
        </w:rPr>
        <w:t>第</w:t>
      </w:r>
      <w:r>
        <w:rPr>
          <w:rFonts w:hint="eastAsia"/>
        </w:rPr>
        <w:t>26</w:t>
      </w:r>
      <w:r>
        <w:rPr>
          <w:rFonts w:hint="eastAsia"/>
        </w:rPr>
        <w:t>条至第</w:t>
      </w:r>
      <w:r>
        <w:rPr>
          <w:rFonts w:hint="eastAsia"/>
        </w:rPr>
        <w:t>29</w:t>
      </w:r>
      <w:r>
        <w:rPr>
          <w:rFonts w:hint="eastAsia"/>
        </w:rPr>
        <w:t>条</w:t>
      </w:r>
      <w:r>
        <w:rPr>
          <w:rFonts w:hint="eastAsia"/>
        </w:rPr>
        <w:t>)</w:t>
      </w:r>
      <w:r>
        <w:rPr>
          <w:rFonts w:hint="eastAsia"/>
        </w:rPr>
        <w:t>，检查专员的任务是代表国家检查有关环境和自然资源的利用的法令和其它规范性法规的遵守情况。</w:t>
      </w:r>
    </w:p>
    <w:p w:rsidR="00000000" w:rsidRDefault="00000000">
      <w:pPr>
        <w:spacing w:after="320"/>
        <w:rPr>
          <w:rFonts w:hint="eastAsia"/>
        </w:rPr>
      </w:pPr>
      <w:r>
        <w:rPr>
          <w:rFonts w:hint="eastAsia"/>
        </w:rPr>
        <w:tab/>
        <w:t xml:space="preserve">95.  </w:t>
      </w:r>
      <w:r>
        <w:rPr>
          <w:rFonts w:hint="eastAsia"/>
        </w:rPr>
        <w:t>财产的清理和公共自然资源的利用仍归政府负责，这项工作由主管机构和地方政府管理机构负责开展。为了将自然资源潜力维持在恰当水平，国家确定了一个国内生产总值最低限度百分比，这一比例的经费被用于环境的再生和保护。</w:t>
      </w:r>
    </w:p>
    <w:p w:rsidR="00000000" w:rsidRDefault="00000000">
      <w:pPr>
        <w:pStyle w:val="Heading3"/>
        <w:spacing w:after="160"/>
        <w:rPr>
          <w:rFonts w:hint="eastAsia"/>
          <w:sz w:val="22"/>
        </w:rPr>
      </w:pPr>
      <w:r>
        <w:rPr>
          <w:rFonts w:hint="eastAsia"/>
          <w:sz w:val="22"/>
          <w:u w:val="none"/>
        </w:rPr>
        <w:t>表</w:t>
      </w:r>
      <w:r>
        <w:rPr>
          <w:rFonts w:hint="eastAsia"/>
          <w:sz w:val="22"/>
          <w:u w:val="none"/>
        </w:rPr>
        <w:t xml:space="preserve"> 7.  </w:t>
      </w:r>
      <w:r>
        <w:rPr>
          <w:rFonts w:hint="eastAsia"/>
          <w:sz w:val="22"/>
        </w:rPr>
        <w:t>1999</w:t>
      </w:r>
      <w:r>
        <w:rPr>
          <w:rFonts w:hint="eastAsia"/>
          <w:sz w:val="22"/>
        </w:rPr>
        <w:t>年自然资源开发和环境保护主要指标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58"/>
        <w:gridCol w:w="2080"/>
        <w:gridCol w:w="1690"/>
        <w:gridCol w:w="1582"/>
      </w:tblGrid>
      <w:tr w:rsidR="00000000">
        <w:tblPrEx>
          <w:tblCellMar>
            <w:top w:w="0" w:type="dxa"/>
            <w:bottom w:w="0" w:type="dxa"/>
          </w:tblCellMar>
        </w:tblPrEx>
        <w:tc>
          <w:tcPr>
            <w:tcW w:w="4058" w:type="dxa"/>
          </w:tcPr>
          <w:p w:rsidR="00000000" w:rsidRDefault="00000000">
            <w:pPr>
              <w:spacing w:before="120"/>
              <w:rPr>
                <w:rFonts w:hint="eastAsia"/>
                <w:sz w:val="20"/>
              </w:rPr>
            </w:pPr>
            <w:r>
              <w:rPr>
                <w:rFonts w:hint="eastAsia"/>
                <w:sz w:val="20"/>
              </w:rPr>
              <w:t xml:space="preserve">      </w:t>
            </w:r>
            <w:r>
              <w:rPr>
                <w:rFonts w:hint="eastAsia"/>
                <w:sz w:val="20"/>
              </w:rPr>
              <w:t>指</w:t>
            </w:r>
            <w:r>
              <w:rPr>
                <w:rFonts w:hint="eastAsia"/>
                <w:sz w:val="20"/>
              </w:rPr>
              <w:t xml:space="preserve">   </w:t>
            </w:r>
            <w:r>
              <w:rPr>
                <w:rFonts w:hint="eastAsia"/>
                <w:sz w:val="20"/>
              </w:rPr>
              <w:t>标</w:t>
            </w:r>
          </w:p>
        </w:tc>
        <w:tc>
          <w:tcPr>
            <w:tcW w:w="2080" w:type="dxa"/>
          </w:tcPr>
          <w:p w:rsidR="00000000" w:rsidRDefault="00000000">
            <w:pPr>
              <w:spacing w:before="120"/>
              <w:jc w:val="center"/>
              <w:rPr>
                <w:rFonts w:hint="eastAsia"/>
                <w:sz w:val="20"/>
              </w:rPr>
            </w:pPr>
            <w:r>
              <w:rPr>
                <w:rFonts w:hint="eastAsia"/>
                <w:sz w:val="20"/>
              </w:rPr>
              <w:t>单</w:t>
            </w:r>
            <w:r>
              <w:rPr>
                <w:rFonts w:hint="eastAsia"/>
                <w:sz w:val="20"/>
              </w:rPr>
              <w:t xml:space="preserve">  </w:t>
            </w:r>
            <w:r>
              <w:rPr>
                <w:rFonts w:hint="eastAsia"/>
                <w:sz w:val="20"/>
              </w:rPr>
              <w:t>位</w:t>
            </w:r>
          </w:p>
        </w:tc>
        <w:tc>
          <w:tcPr>
            <w:tcW w:w="1690" w:type="dxa"/>
          </w:tcPr>
          <w:p w:rsidR="00000000" w:rsidRDefault="00000000">
            <w:pPr>
              <w:spacing w:before="120"/>
              <w:jc w:val="center"/>
              <w:rPr>
                <w:sz w:val="20"/>
              </w:rPr>
            </w:pPr>
            <w:r>
              <w:rPr>
                <w:sz w:val="20"/>
              </w:rPr>
              <w:t>1998</w:t>
            </w:r>
          </w:p>
        </w:tc>
        <w:tc>
          <w:tcPr>
            <w:tcW w:w="1582" w:type="dxa"/>
          </w:tcPr>
          <w:p w:rsidR="00000000" w:rsidRDefault="00000000">
            <w:pPr>
              <w:spacing w:before="120"/>
              <w:jc w:val="center"/>
              <w:rPr>
                <w:sz w:val="20"/>
              </w:rPr>
            </w:pPr>
            <w:r>
              <w:rPr>
                <w:sz w:val="20"/>
              </w:rPr>
              <w:t>1999</w:t>
            </w:r>
          </w:p>
        </w:tc>
      </w:tr>
      <w:tr w:rsidR="00000000">
        <w:tblPrEx>
          <w:tblCellMar>
            <w:top w:w="0" w:type="dxa"/>
            <w:bottom w:w="0" w:type="dxa"/>
          </w:tblCellMar>
        </w:tblPrEx>
        <w:tc>
          <w:tcPr>
            <w:tcW w:w="4058" w:type="dxa"/>
            <w:tcBorders>
              <w:bottom w:val="nil"/>
            </w:tcBorders>
          </w:tcPr>
          <w:p w:rsidR="00000000" w:rsidRDefault="00000000">
            <w:pPr>
              <w:spacing w:before="120" w:line="288" w:lineRule="auto"/>
              <w:ind w:left="113"/>
              <w:rPr>
                <w:rFonts w:hint="eastAsia"/>
                <w:sz w:val="20"/>
              </w:rPr>
            </w:pPr>
            <w:r>
              <w:rPr>
                <w:rFonts w:hint="eastAsia"/>
                <w:sz w:val="20"/>
              </w:rPr>
              <w:t>环保基本建设支出</w:t>
            </w:r>
            <w:r>
              <w:rPr>
                <w:sz w:val="20"/>
              </w:rPr>
              <w:br/>
            </w:r>
            <w:r>
              <w:rPr>
                <w:rFonts w:hint="eastAsia"/>
                <w:sz w:val="20"/>
              </w:rPr>
              <w:t>(</w:t>
            </w:r>
            <w:r>
              <w:rPr>
                <w:rFonts w:hint="eastAsia"/>
                <w:sz w:val="20"/>
              </w:rPr>
              <w:t>包括预算开支</w:t>
            </w:r>
            <w:r>
              <w:rPr>
                <w:rFonts w:hint="eastAsia"/>
                <w:sz w:val="20"/>
              </w:rPr>
              <w:t>)</w:t>
            </w:r>
          </w:p>
        </w:tc>
        <w:tc>
          <w:tcPr>
            <w:tcW w:w="2080" w:type="dxa"/>
            <w:tcBorders>
              <w:bottom w:val="nil"/>
            </w:tcBorders>
          </w:tcPr>
          <w:p w:rsidR="00000000" w:rsidRDefault="00000000">
            <w:pPr>
              <w:spacing w:before="120" w:line="288" w:lineRule="auto"/>
              <w:ind w:left="113"/>
              <w:rPr>
                <w:sz w:val="20"/>
              </w:rPr>
            </w:pPr>
            <w:r>
              <w:rPr>
                <w:rFonts w:hint="eastAsia"/>
                <w:sz w:val="20"/>
              </w:rPr>
              <w:t>千列伊</w:t>
            </w:r>
            <w:r>
              <w:rPr>
                <w:sz w:val="20"/>
              </w:rPr>
              <w:br/>
            </w:r>
            <w:r>
              <w:rPr>
                <w:rFonts w:hint="eastAsia"/>
                <w:sz w:val="20"/>
              </w:rPr>
              <w:t>千列伊</w:t>
            </w:r>
          </w:p>
        </w:tc>
        <w:tc>
          <w:tcPr>
            <w:tcW w:w="1690" w:type="dxa"/>
            <w:tcBorders>
              <w:bottom w:val="nil"/>
            </w:tcBorders>
          </w:tcPr>
          <w:p w:rsidR="00000000" w:rsidRDefault="00000000">
            <w:pPr>
              <w:spacing w:before="120" w:line="288" w:lineRule="auto"/>
              <w:ind w:right="454"/>
              <w:jc w:val="right"/>
              <w:rPr>
                <w:sz w:val="20"/>
              </w:rPr>
            </w:pPr>
            <w:r>
              <w:rPr>
                <w:sz w:val="20"/>
              </w:rPr>
              <w:t>4,289</w:t>
            </w:r>
            <w:r>
              <w:rPr>
                <w:sz w:val="20"/>
              </w:rPr>
              <w:br/>
              <w:t>3,617</w:t>
            </w:r>
          </w:p>
        </w:tc>
        <w:tc>
          <w:tcPr>
            <w:tcW w:w="1582" w:type="dxa"/>
            <w:tcBorders>
              <w:bottom w:val="nil"/>
            </w:tcBorders>
          </w:tcPr>
          <w:p w:rsidR="00000000" w:rsidRDefault="00000000">
            <w:pPr>
              <w:spacing w:before="120" w:line="288" w:lineRule="auto"/>
              <w:ind w:right="454"/>
              <w:jc w:val="right"/>
              <w:rPr>
                <w:sz w:val="20"/>
              </w:rPr>
            </w:pPr>
            <w:r>
              <w:rPr>
                <w:sz w:val="20"/>
              </w:rPr>
              <w:t>5,893</w:t>
            </w:r>
            <w:r>
              <w:rPr>
                <w:sz w:val="20"/>
              </w:rPr>
              <w:br/>
              <w:t>4,265</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底土和自然资源支出</w:t>
            </w:r>
            <w:r>
              <w:rPr>
                <w:sz w:val="20"/>
              </w:rPr>
              <w:br/>
            </w:r>
            <w:r>
              <w:rPr>
                <w:rFonts w:hint="eastAsia"/>
                <w:sz w:val="20"/>
              </w:rPr>
              <w:t>开发利用包括：</w:t>
            </w:r>
            <w:r>
              <w:rPr>
                <w:sz w:val="20"/>
              </w:rPr>
              <w:br/>
            </w:r>
            <w:r>
              <w:rPr>
                <w:rFonts w:hint="eastAsia"/>
                <w:sz w:val="20"/>
              </w:rPr>
              <w:t xml:space="preserve">  </w:t>
            </w:r>
            <w:r>
              <w:rPr>
                <w:rFonts w:hint="eastAsia"/>
                <w:sz w:val="20"/>
              </w:rPr>
              <w:t>水</w:t>
            </w:r>
            <w:r>
              <w:rPr>
                <w:sz w:val="20"/>
              </w:rPr>
              <w:br/>
            </w:r>
            <w:r>
              <w:rPr>
                <w:rFonts w:hint="eastAsia"/>
                <w:sz w:val="20"/>
              </w:rPr>
              <w:t xml:space="preserve">  </w:t>
            </w:r>
            <w:r>
              <w:rPr>
                <w:rFonts w:hint="eastAsia"/>
                <w:sz w:val="20"/>
              </w:rPr>
              <w:t>矿物资源</w:t>
            </w:r>
          </w:p>
        </w:tc>
        <w:tc>
          <w:tcPr>
            <w:tcW w:w="2080" w:type="dxa"/>
            <w:tcBorders>
              <w:top w:val="nil"/>
              <w:bottom w:val="nil"/>
            </w:tcBorders>
          </w:tcPr>
          <w:p w:rsidR="00000000" w:rsidRDefault="00000000">
            <w:pPr>
              <w:spacing w:before="80" w:line="288" w:lineRule="auto"/>
              <w:ind w:left="113"/>
              <w:rPr>
                <w:sz w:val="20"/>
              </w:rPr>
            </w:pPr>
            <w:r>
              <w:rPr>
                <w:rFonts w:hint="eastAsia"/>
                <w:sz w:val="20"/>
              </w:rPr>
              <w:t>千列伊</w:t>
            </w:r>
            <w:r>
              <w:rPr>
                <w:sz w:val="20"/>
              </w:rPr>
              <w:br/>
            </w:r>
            <w:r>
              <w:rPr>
                <w:sz w:val="20"/>
              </w:rPr>
              <w:br/>
            </w:r>
            <w:r>
              <w:rPr>
                <w:rFonts w:hint="eastAsia"/>
                <w:sz w:val="20"/>
              </w:rPr>
              <w:t>千列伊</w:t>
            </w:r>
            <w:r>
              <w:rPr>
                <w:sz w:val="20"/>
              </w:rPr>
              <w:br/>
            </w:r>
            <w:r>
              <w:rPr>
                <w:rFonts w:hint="eastAsia"/>
                <w:sz w:val="20"/>
              </w:rPr>
              <w:t>千列伊</w:t>
            </w:r>
          </w:p>
        </w:tc>
        <w:tc>
          <w:tcPr>
            <w:tcW w:w="1690" w:type="dxa"/>
            <w:tcBorders>
              <w:top w:val="nil"/>
              <w:bottom w:val="nil"/>
            </w:tcBorders>
          </w:tcPr>
          <w:p w:rsidR="00000000" w:rsidRDefault="00000000">
            <w:pPr>
              <w:spacing w:before="80" w:line="288" w:lineRule="auto"/>
              <w:ind w:right="454"/>
              <w:jc w:val="right"/>
              <w:rPr>
                <w:sz w:val="20"/>
              </w:rPr>
            </w:pPr>
            <w:r>
              <w:rPr>
                <w:sz w:val="20"/>
              </w:rPr>
              <w:t>10,338</w:t>
            </w:r>
            <w:r>
              <w:rPr>
                <w:sz w:val="20"/>
              </w:rPr>
              <w:br/>
            </w:r>
            <w:r>
              <w:rPr>
                <w:sz w:val="20"/>
              </w:rPr>
              <w:br/>
              <w:t>10,000</w:t>
            </w:r>
            <w:r>
              <w:rPr>
                <w:sz w:val="20"/>
              </w:rPr>
              <w:br/>
              <w:t>338</w:t>
            </w:r>
          </w:p>
        </w:tc>
        <w:tc>
          <w:tcPr>
            <w:tcW w:w="1582" w:type="dxa"/>
            <w:tcBorders>
              <w:top w:val="nil"/>
              <w:bottom w:val="nil"/>
            </w:tcBorders>
          </w:tcPr>
          <w:p w:rsidR="00000000" w:rsidRDefault="00000000">
            <w:pPr>
              <w:spacing w:before="80" w:line="288" w:lineRule="auto"/>
              <w:ind w:right="454"/>
              <w:jc w:val="right"/>
              <w:rPr>
                <w:sz w:val="20"/>
              </w:rPr>
            </w:pPr>
            <w:r>
              <w:rPr>
                <w:sz w:val="20"/>
              </w:rPr>
              <w:t>10,330</w:t>
            </w:r>
            <w:r>
              <w:rPr>
                <w:sz w:val="20"/>
              </w:rPr>
              <w:br/>
            </w:r>
            <w:r>
              <w:rPr>
                <w:sz w:val="20"/>
              </w:rPr>
              <w:br/>
              <w:t>10,000</w:t>
            </w:r>
            <w:r>
              <w:rPr>
                <w:sz w:val="20"/>
              </w:rPr>
              <w:br/>
              <w:t>330</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防止环境污染支出</w:t>
            </w:r>
          </w:p>
        </w:tc>
        <w:tc>
          <w:tcPr>
            <w:tcW w:w="2080" w:type="dxa"/>
            <w:tcBorders>
              <w:top w:val="nil"/>
              <w:bottom w:val="nil"/>
            </w:tcBorders>
          </w:tcPr>
          <w:p w:rsidR="00000000" w:rsidRDefault="00000000">
            <w:pPr>
              <w:spacing w:before="80" w:line="288" w:lineRule="auto"/>
              <w:ind w:left="113"/>
              <w:rPr>
                <w:rFonts w:hint="eastAsia"/>
                <w:sz w:val="20"/>
              </w:rPr>
            </w:pPr>
            <w:r>
              <w:rPr>
                <w:rFonts w:hint="eastAsia"/>
                <w:sz w:val="20"/>
              </w:rPr>
              <w:t>千列伊</w:t>
            </w:r>
          </w:p>
        </w:tc>
        <w:tc>
          <w:tcPr>
            <w:tcW w:w="1690" w:type="dxa"/>
            <w:tcBorders>
              <w:top w:val="nil"/>
              <w:bottom w:val="nil"/>
            </w:tcBorders>
          </w:tcPr>
          <w:p w:rsidR="00000000" w:rsidRDefault="00000000">
            <w:pPr>
              <w:spacing w:before="80" w:line="288" w:lineRule="auto"/>
              <w:ind w:right="454"/>
              <w:jc w:val="right"/>
              <w:rPr>
                <w:sz w:val="20"/>
              </w:rPr>
            </w:pPr>
            <w:r>
              <w:rPr>
                <w:sz w:val="20"/>
              </w:rPr>
              <w:t>338</w:t>
            </w:r>
          </w:p>
        </w:tc>
        <w:tc>
          <w:tcPr>
            <w:tcW w:w="1582" w:type="dxa"/>
            <w:tcBorders>
              <w:top w:val="nil"/>
              <w:bottom w:val="nil"/>
            </w:tcBorders>
          </w:tcPr>
          <w:p w:rsidR="00000000" w:rsidRDefault="00000000">
            <w:pPr>
              <w:spacing w:before="80" w:line="288" w:lineRule="auto"/>
              <w:ind w:right="454"/>
              <w:jc w:val="right"/>
              <w:rPr>
                <w:sz w:val="20"/>
              </w:rPr>
            </w:pPr>
            <w:r>
              <w:rPr>
                <w:sz w:val="20"/>
              </w:rPr>
              <w:t>1,000</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防侵蚀设施建造</w:t>
            </w:r>
          </w:p>
        </w:tc>
        <w:tc>
          <w:tcPr>
            <w:tcW w:w="2080" w:type="dxa"/>
            <w:tcBorders>
              <w:top w:val="nil"/>
              <w:bottom w:val="nil"/>
            </w:tcBorders>
          </w:tcPr>
          <w:p w:rsidR="00000000" w:rsidRDefault="00000000">
            <w:pPr>
              <w:spacing w:before="80" w:line="288" w:lineRule="auto"/>
              <w:ind w:left="113"/>
              <w:rPr>
                <w:rFonts w:hint="eastAsia"/>
                <w:sz w:val="20"/>
              </w:rPr>
            </w:pPr>
            <w:r>
              <w:rPr>
                <w:rFonts w:hint="eastAsia"/>
                <w:sz w:val="20"/>
              </w:rPr>
              <w:t>千列伊</w:t>
            </w:r>
          </w:p>
        </w:tc>
        <w:tc>
          <w:tcPr>
            <w:tcW w:w="1690" w:type="dxa"/>
            <w:tcBorders>
              <w:top w:val="nil"/>
              <w:bottom w:val="nil"/>
            </w:tcBorders>
          </w:tcPr>
          <w:p w:rsidR="00000000" w:rsidRDefault="00000000">
            <w:pPr>
              <w:spacing w:before="80" w:line="288" w:lineRule="auto"/>
              <w:ind w:right="454"/>
              <w:jc w:val="right"/>
              <w:rPr>
                <w:sz w:val="20"/>
              </w:rPr>
            </w:pPr>
            <w:r>
              <w:rPr>
                <w:sz w:val="20"/>
              </w:rPr>
              <w:t>1,742</w:t>
            </w:r>
          </w:p>
        </w:tc>
        <w:tc>
          <w:tcPr>
            <w:tcW w:w="1582" w:type="dxa"/>
            <w:tcBorders>
              <w:top w:val="nil"/>
              <w:bottom w:val="nil"/>
            </w:tcBorders>
          </w:tcPr>
          <w:p w:rsidR="00000000" w:rsidRDefault="00000000">
            <w:pPr>
              <w:spacing w:before="80" w:line="288" w:lineRule="auto"/>
              <w:ind w:right="454"/>
              <w:jc w:val="right"/>
              <w:rPr>
                <w:sz w:val="20"/>
              </w:rPr>
            </w:pPr>
            <w:r>
              <w:rPr>
                <w:sz w:val="20"/>
              </w:rPr>
              <w:t>2,700</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巩固沉降土地</w:t>
            </w:r>
          </w:p>
        </w:tc>
        <w:tc>
          <w:tcPr>
            <w:tcW w:w="2080" w:type="dxa"/>
            <w:tcBorders>
              <w:top w:val="nil"/>
              <w:bottom w:val="nil"/>
            </w:tcBorders>
          </w:tcPr>
          <w:p w:rsidR="00000000" w:rsidRDefault="00000000">
            <w:pPr>
              <w:spacing w:before="80" w:line="288" w:lineRule="auto"/>
              <w:ind w:left="113"/>
              <w:rPr>
                <w:rFonts w:hint="eastAsia"/>
                <w:sz w:val="20"/>
              </w:rPr>
            </w:pPr>
            <w:r>
              <w:rPr>
                <w:rFonts w:hint="eastAsia"/>
                <w:sz w:val="20"/>
              </w:rPr>
              <w:t>公顷</w:t>
            </w:r>
          </w:p>
        </w:tc>
        <w:tc>
          <w:tcPr>
            <w:tcW w:w="1690" w:type="dxa"/>
            <w:tcBorders>
              <w:top w:val="nil"/>
              <w:bottom w:val="nil"/>
            </w:tcBorders>
          </w:tcPr>
          <w:p w:rsidR="00000000" w:rsidRDefault="00000000">
            <w:pPr>
              <w:spacing w:before="80" w:line="288" w:lineRule="auto"/>
              <w:ind w:right="454"/>
              <w:jc w:val="right"/>
              <w:rPr>
                <w:sz w:val="20"/>
              </w:rPr>
            </w:pPr>
            <w:r>
              <w:rPr>
                <w:sz w:val="20"/>
              </w:rPr>
              <w:t>3.8</w:t>
            </w:r>
          </w:p>
        </w:tc>
        <w:tc>
          <w:tcPr>
            <w:tcW w:w="1582" w:type="dxa"/>
            <w:tcBorders>
              <w:top w:val="nil"/>
              <w:bottom w:val="nil"/>
            </w:tcBorders>
          </w:tcPr>
          <w:p w:rsidR="00000000" w:rsidRDefault="00000000">
            <w:pPr>
              <w:spacing w:before="80" w:line="288" w:lineRule="auto"/>
              <w:ind w:right="454"/>
              <w:jc w:val="right"/>
              <w:rPr>
                <w:sz w:val="20"/>
              </w:rPr>
            </w:pPr>
            <w:r>
              <w:rPr>
                <w:sz w:val="20"/>
              </w:rPr>
              <w:t>4</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土地重新耕作</w:t>
            </w:r>
          </w:p>
        </w:tc>
        <w:tc>
          <w:tcPr>
            <w:tcW w:w="2080" w:type="dxa"/>
            <w:tcBorders>
              <w:top w:val="nil"/>
              <w:bottom w:val="nil"/>
            </w:tcBorders>
          </w:tcPr>
          <w:p w:rsidR="00000000" w:rsidRDefault="00000000">
            <w:pPr>
              <w:spacing w:before="80" w:line="288" w:lineRule="auto"/>
              <w:ind w:left="113"/>
              <w:rPr>
                <w:rFonts w:hint="eastAsia"/>
                <w:sz w:val="20"/>
              </w:rPr>
            </w:pPr>
            <w:r>
              <w:rPr>
                <w:rFonts w:hint="eastAsia"/>
                <w:sz w:val="20"/>
              </w:rPr>
              <w:t>公顷</w:t>
            </w:r>
          </w:p>
        </w:tc>
        <w:tc>
          <w:tcPr>
            <w:tcW w:w="1690" w:type="dxa"/>
            <w:tcBorders>
              <w:top w:val="nil"/>
              <w:bottom w:val="nil"/>
            </w:tcBorders>
          </w:tcPr>
          <w:p w:rsidR="00000000" w:rsidRDefault="00000000">
            <w:pPr>
              <w:spacing w:before="80" w:line="288" w:lineRule="auto"/>
              <w:ind w:right="454"/>
              <w:jc w:val="right"/>
              <w:rPr>
                <w:sz w:val="20"/>
              </w:rPr>
            </w:pPr>
            <w:r>
              <w:rPr>
                <w:sz w:val="20"/>
              </w:rPr>
              <w:t>20.5</w:t>
            </w:r>
          </w:p>
        </w:tc>
        <w:tc>
          <w:tcPr>
            <w:tcW w:w="1582" w:type="dxa"/>
            <w:tcBorders>
              <w:top w:val="nil"/>
              <w:bottom w:val="nil"/>
            </w:tcBorders>
          </w:tcPr>
          <w:p w:rsidR="00000000" w:rsidRDefault="00000000">
            <w:pPr>
              <w:spacing w:before="80" w:line="288" w:lineRule="auto"/>
              <w:ind w:right="454"/>
              <w:jc w:val="right"/>
              <w:rPr>
                <w:sz w:val="20"/>
              </w:rPr>
            </w:pPr>
            <w:r>
              <w:rPr>
                <w:sz w:val="20"/>
              </w:rPr>
              <w:t>21</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包括生产活动在内的水消耗量</w:t>
            </w:r>
          </w:p>
        </w:tc>
        <w:tc>
          <w:tcPr>
            <w:tcW w:w="2080" w:type="dxa"/>
            <w:tcBorders>
              <w:top w:val="nil"/>
              <w:bottom w:val="nil"/>
            </w:tcBorders>
          </w:tcPr>
          <w:p w:rsidR="00000000" w:rsidRDefault="00000000">
            <w:pPr>
              <w:spacing w:before="80" w:line="288" w:lineRule="auto"/>
              <w:ind w:left="113"/>
              <w:rPr>
                <w:rFonts w:hint="eastAsia"/>
                <w:sz w:val="20"/>
              </w:rPr>
            </w:pPr>
            <w:r>
              <w:rPr>
                <w:rFonts w:hint="eastAsia"/>
                <w:sz w:val="20"/>
              </w:rPr>
              <w:t>百万立方米</w:t>
            </w:r>
            <w:r>
              <w:rPr>
                <w:sz w:val="20"/>
              </w:rPr>
              <w:br/>
            </w:r>
            <w:r>
              <w:rPr>
                <w:rFonts w:hint="eastAsia"/>
                <w:sz w:val="20"/>
              </w:rPr>
              <w:t>百万立方米</w:t>
            </w:r>
          </w:p>
        </w:tc>
        <w:tc>
          <w:tcPr>
            <w:tcW w:w="1690" w:type="dxa"/>
            <w:tcBorders>
              <w:top w:val="nil"/>
              <w:bottom w:val="nil"/>
            </w:tcBorders>
          </w:tcPr>
          <w:p w:rsidR="00000000" w:rsidRDefault="00000000">
            <w:pPr>
              <w:spacing w:before="80" w:line="288" w:lineRule="auto"/>
              <w:ind w:right="454"/>
              <w:jc w:val="right"/>
              <w:rPr>
                <w:sz w:val="20"/>
              </w:rPr>
            </w:pPr>
            <w:r>
              <w:rPr>
                <w:sz w:val="20"/>
              </w:rPr>
              <w:t>1,176</w:t>
            </w:r>
            <w:r>
              <w:rPr>
                <w:sz w:val="20"/>
              </w:rPr>
              <w:br/>
              <w:t>767</w:t>
            </w:r>
          </w:p>
        </w:tc>
        <w:tc>
          <w:tcPr>
            <w:tcW w:w="1582" w:type="dxa"/>
            <w:tcBorders>
              <w:top w:val="nil"/>
              <w:bottom w:val="nil"/>
            </w:tcBorders>
          </w:tcPr>
          <w:p w:rsidR="00000000" w:rsidRDefault="00000000">
            <w:pPr>
              <w:spacing w:before="80" w:line="288" w:lineRule="auto"/>
              <w:ind w:right="454"/>
              <w:jc w:val="right"/>
              <w:rPr>
                <w:sz w:val="20"/>
              </w:rPr>
            </w:pPr>
            <w:r>
              <w:rPr>
                <w:sz w:val="20"/>
              </w:rPr>
              <w:t>920</w:t>
            </w:r>
            <w:r>
              <w:rPr>
                <w:sz w:val="20"/>
              </w:rPr>
              <w:br/>
              <w:t>590</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未得到彻底清理的残余污染水</w:t>
            </w:r>
          </w:p>
        </w:tc>
        <w:tc>
          <w:tcPr>
            <w:tcW w:w="2080" w:type="dxa"/>
            <w:tcBorders>
              <w:top w:val="nil"/>
              <w:bottom w:val="nil"/>
            </w:tcBorders>
          </w:tcPr>
          <w:p w:rsidR="00000000" w:rsidRDefault="00000000">
            <w:pPr>
              <w:spacing w:before="80" w:line="288" w:lineRule="auto"/>
              <w:ind w:left="113"/>
              <w:rPr>
                <w:rFonts w:hint="eastAsia"/>
                <w:sz w:val="20"/>
              </w:rPr>
            </w:pPr>
            <w:r>
              <w:rPr>
                <w:rFonts w:hint="eastAsia"/>
                <w:sz w:val="20"/>
              </w:rPr>
              <w:t>百万立方米</w:t>
            </w:r>
          </w:p>
        </w:tc>
        <w:tc>
          <w:tcPr>
            <w:tcW w:w="1690" w:type="dxa"/>
            <w:tcBorders>
              <w:top w:val="nil"/>
              <w:bottom w:val="nil"/>
            </w:tcBorders>
          </w:tcPr>
          <w:p w:rsidR="00000000" w:rsidRDefault="00000000">
            <w:pPr>
              <w:spacing w:before="80" w:line="288" w:lineRule="auto"/>
              <w:ind w:right="454"/>
              <w:jc w:val="right"/>
              <w:rPr>
                <w:sz w:val="20"/>
              </w:rPr>
            </w:pPr>
            <w:r>
              <w:rPr>
                <w:sz w:val="20"/>
              </w:rPr>
              <w:t>12</w:t>
            </w:r>
          </w:p>
        </w:tc>
        <w:tc>
          <w:tcPr>
            <w:tcW w:w="1582" w:type="dxa"/>
            <w:tcBorders>
              <w:top w:val="nil"/>
              <w:bottom w:val="nil"/>
            </w:tcBorders>
          </w:tcPr>
          <w:p w:rsidR="00000000" w:rsidRDefault="00000000">
            <w:pPr>
              <w:spacing w:before="80" w:line="288" w:lineRule="auto"/>
              <w:ind w:right="454"/>
              <w:jc w:val="right"/>
              <w:rPr>
                <w:sz w:val="20"/>
              </w:rPr>
            </w:pPr>
            <w:r>
              <w:rPr>
                <w:sz w:val="20"/>
              </w:rPr>
              <w:t>10</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固定污染源排放到大气中的有害物质量</w:t>
            </w:r>
          </w:p>
        </w:tc>
        <w:tc>
          <w:tcPr>
            <w:tcW w:w="2080" w:type="dxa"/>
            <w:tcBorders>
              <w:top w:val="nil"/>
              <w:bottom w:val="nil"/>
            </w:tcBorders>
          </w:tcPr>
          <w:p w:rsidR="00000000" w:rsidRDefault="00000000">
            <w:pPr>
              <w:spacing w:before="80" w:line="288" w:lineRule="auto"/>
              <w:ind w:left="113"/>
              <w:rPr>
                <w:rFonts w:hint="eastAsia"/>
                <w:sz w:val="20"/>
              </w:rPr>
            </w:pPr>
            <w:r>
              <w:rPr>
                <w:rFonts w:hint="eastAsia"/>
                <w:sz w:val="20"/>
              </w:rPr>
              <w:t>千吨</w:t>
            </w:r>
          </w:p>
        </w:tc>
        <w:tc>
          <w:tcPr>
            <w:tcW w:w="1690" w:type="dxa"/>
            <w:tcBorders>
              <w:top w:val="nil"/>
              <w:bottom w:val="nil"/>
            </w:tcBorders>
          </w:tcPr>
          <w:p w:rsidR="00000000" w:rsidRDefault="00000000">
            <w:pPr>
              <w:spacing w:before="80" w:line="288" w:lineRule="auto"/>
              <w:ind w:right="454"/>
              <w:jc w:val="right"/>
              <w:rPr>
                <w:sz w:val="20"/>
              </w:rPr>
            </w:pPr>
            <w:r>
              <w:rPr>
                <w:sz w:val="20"/>
              </w:rPr>
              <w:t>30.5</w:t>
            </w:r>
          </w:p>
        </w:tc>
        <w:tc>
          <w:tcPr>
            <w:tcW w:w="1582" w:type="dxa"/>
            <w:tcBorders>
              <w:top w:val="nil"/>
              <w:bottom w:val="nil"/>
            </w:tcBorders>
          </w:tcPr>
          <w:p w:rsidR="00000000" w:rsidRDefault="00000000">
            <w:pPr>
              <w:spacing w:before="80" w:line="288" w:lineRule="auto"/>
              <w:ind w:right="454"/>
              <w:jc w:val="right"/>
              <w:rPr>
                <w:sz w:val="20"/>
              </w:rPr>
            </w:pPr>
            <w:r>
              <w:rPr>
                <w:sz w:val="20"/>
              </w:rPr>
              <w:t>20.4</w:t>
            </w:r>
          </w:p>
        </w:tc>
      </w:tr>
      <w:tr w:rsidR="00000000">
        <w:tblPrEx>
          <w:tblCellMar>
            <w:top w:w="0" w:type="dxa"/>
            <w:bottom w:w="0" w:type="dxa"/>
          </w:tblCellMar>
        </w:tblPrEx>
        <w:tc>
          <w:tcPr>
            <w:tcW w:w="4058" w:type="dxa"/>
            <w:tcBorders>
              <w:top w:val="nil"/>
              <w:bottom w:val="nil"/>
            </w:tcBorders>
          </w:tcPr>
          <w:p w:rsidR="00000000" w:rsidRDefault="00000000">
            <w:pPr>
              <w:spacing w:before="80" w:line="288" w:lineRule="auto"/>
              <w:ind w:left="113"/>
              <w:rPr>
                <w:rFonts w:hint="eastAsia"/>
                <w:sz w:val="20"/>
              </w:rPr>
            </w:pPr>
            <w:r>
              <w:rPr>
                <w:rFonts w:hint="eastAsia"/>
                <w:sz w:val="20"/>
              </w:rPr>
              <w:t>植树造林</w:t>
            </w:r>
          </w:p>
        </w:tc>
        <w:tc>
          <w:tcPr>
            <w:tcW w:w="2080" w:type="dxa"/>
            <w:tcBorders>
              <w:top w:val="nil"/>
              <w:bottom w:val="nil"/>
            </w:tcBorders>
          </w:tcPr>
          <w:p w:rsidR="00000000" w:rsidRDefault="00000000">
            <w:pPr>
              <w:spacing w:before="80" w:line="288" w:lineRule="auto"/>
              <w:ind w:left="113"/>
              <w:rPr>
                <w:rFonts w:hint="eastAsia"/>
                <w:sz w:val="20"/>
              </w:rPr>
            </w:pPr>
            <w:r>
              <w:rPr>
                <w:rFonts w:hint="eastAsia"/>
                <w:sz w:val="20"/>
              </w:rPr>
              <w:t>公顷</w:t>
            </w:r>
          </w:p>
        </w:tc>
        <w:tc>
          <w:tcPr>
            <w:tcW w:w="1690" w:type="dxa"/>
            <w:tcBorders>
              <w:top w:val="nil"/>
              <w:bottom w:val="nil"/>
            </w:tcBorders>
          </w:tcPr>
          <w:p w:rsidR="00000000" w:rsidRDefault="00000000">
            <w:pPr>
              <w:spacing w:before="80" w:line="288" w:lineRule="auto"/>
              <w:ind w:right="454"/>
              <w:jc w:val="right"/>
              <w:rPr>
                <w:sz w:val="20"/>
              </w:rPr>
            </w:pPr>
            <w:r>
              <w:rPr>
                <w:sz w:val="20"/>
              </w:rPr>
              <w:t>1,100</w:t>
            </w:r>
          </w:p>
        </w:tc>
        <w:tc>
          <w:tcPr>
            <w:tcW w:w="1582" w:type="dxa"/>
            <w:tcBorders>
              <w:top w:val="nil"/>
              <w:bottom w:val="nil"/>
            </w:tcBorders>
          </w:tcPr>
          <w:p w:rsidR="00000000" w:rsidRDefault="00000000">
            <w:pPr>
              <w:spacing w:before="80" w:line="288" w:lineRule="auto"/>
              <w:ind w:right="454"/>
              <w:jc w:val="right"/>
              <w:rPr>
                <w:sz w:val="20"/>
              </w:rPr>
            </w:pPr>
            <w:r>
              <w:rPr>
                <w:sz w:val="20"/>
              </w:rPr>
              <w:t>1,000</w:t>
            </w:r>
          </w:p>
        </w:tc>
      </w:tr>
      <w:tr w:rsidR="00000000">
        <w:tblPrEx>
          <w:tblCellMar>
            <w:top w:w="0" w:type="dxa"/>
            <w:bottom w:w="0" w:type="dxa"/>
          </w:tblCellMar>
        </w:tblPrEx>
        <w:tc>
          <w:tcPr>
            <w:tcW w:w="4058" w:type="dxa"/>
            <w:tcBorders>
              <w:top w:val="nil"/>
            </w:tcBorders>
          </w:tcPr>
          <w:p w:rsidR="00000000" w:rsidRDefault="00000000">
            <w:pPr>
              <w:spacing w:before="80" w:after="120" w:line="288" w:lineRule="auto"/>
              <w:ind w:left="113"/>
              <w:rPr>
                <w:rFonts w:hint="eastAsia"/>
                <w:sz w:val="20"/>
              </w:rPr>
            </w:pPr>
            <w:r>
              <w:rPr>
                <w:rFonts w:hint="eastAsia"/>
                <w:sz w:val="20"/>
              </w:rPr>
              <w:t>保护平原林带培育</w:t>
            </w:r>
          </w:p>
        </w:tc>
        <w:tc>
          <w:tcPr>
            <w:tcW w:w="2080" w:type="dxa"/>
            <w:tcBorders>
              <w:top w:val="nil"/>
            </w:tcBorders>
          </w:tcPr>
          <w:p w:rsidR="00000000" w:rsidRDefault="00000000">
            <w:pPr>
              <w:spacing w:before="80" w:after="120" w:line="288" w:lineRule="auto"/>
              <w:ind w:left="113"/>
              <w:rPr>
                <w:rFonts w:hint="eastAsia"/>
                <w:sz w:val="20"/>
              </w:rPr>
            </w:pPr>
            <w:r>
              <w:rPr>
                <w:rFonts w:hint="eastAsia"/>
                <w:sz w:val="20"/>
              </w:rPr>
              <w:t>公顷</w:t>
            </w:r>
          </w:p>
        </w:tc>
        <w:tc>
          <w:tcPr>
            <w:tcW w:w="1690" w:type="dxa"/>
            <w:tcBorders>
              <w:top w:val="nil"/>
            </w:tcBorders>
          </w:tcPr>
          <w:p w:rsidR="00000000" w:rsidRDefault="00000000">
            <w:pPr>
              <w:spacing w:before="80" w:after="120" w:line="288" w:lineRule="auto"/>
              <w:ind w:right="454"/>
              <w:jc w:val="right"/>
              <w:rPr>
                <w:sz w:val="20"/>
              </w:rPr>
            </w:pPr>
            <w:r>
              <w:rPr>
                <w:sz w:val="20"/>
              </w:rPr>
              <w:t>400</w:t>
            </w:r>
          </w:p>
        </w:tc>
        <w:tc>
          <w:tcPr>
            <w:tcW w:w="1582" w:type="dxa"/>
            <w:tcBorders>
              <w:top w:val="nil"/>
            </w:tcBorders>
          </w:tcPr>
          <w:p w:rsidR="00000000" w:rsidRDefault="00000000">
            <w:pPr>
              <w:spacing w:before="80" w:after="120" w:line="288" w:lineRule="auto"/>
              <w:ind w:right="454"/>
              <w:jc w:val="right"/>
              <w:rPr>
                <w:rFonts w:hint="eastAsia"/>
                <w:sz w:val="20"/>
              </w:rPr>
            </w:pPr>
            <w:r>
              <w:rPr>
                <w:sz w:val="20"/>
              </w:rPr>
              <w:t>300</w:t>
            </w:r>
          </w:p>
        </w:tc>
      </w:tr>
    </w:tbl>
    <w:p w:rsidR="00000000" w:rsidRDefault="00000000">
      <w:pPr>
        <w:rPr>
          <w:rFonts w:hint="eastAsia"/>
        </w:rPr>
      </w:pPr>
    </w:p>
    <w:p w:rsidR="00000000" w:rsidRDefault="00000000">
      <w:pPr>
        <w:rPr>
          <w:rFonts w:hint="eastAsia"/>
        </w:rPr>
      </w:pPr>
    </w:p>
    <w:p w:rsidR="00000000" w:rsidRDefault="00000000">
      <w:pPr>
        <w:spacing w:before="120"/>
        <w:rPr>
          <w:rFonts w:hint="eastAsia"/>
        </w:rPr>
      </w:pPr>
      <w:r>
        <w:rPr>
          <w:rFonts w:hint="eastAsia"/>
        </w:rPr>
        <w:tab/>
      </w:r>
      <w:r>
        <w:t>96.</w:t>
      </w:r>
      <w:r>
        <w:rPr>
          <w:rFonts w:hint="eastAsia"/>
        </w:rPr>
        <w:t xml:space="preserve">  </w:t>
      </w:r>
      <w:r>
        <w:rPr>
          <w:rFonts w:hint="eastAsia"/>
        </w:rPr>
        <w:t>摩尔多瓦共和国立法规定了被认定违犯自然资源或环境保护法的人的民事、行政或刑事责任。</w:t>
      </w:r>
    </w:p>
    <w:p w:rsidR="00000000" w:rsidRDefault="00000000">
      <w:pPr>
        <w:rPr>
          <w:rFonts w:hint="eastAsia"/>
        </w:rPr>
      </w:pPr>
      <w:r>
        <w:rPr>
          <w:rFonts w:hint="eastAsia"/>
        </w:rPr>
        <w:tab/>
      </w:r>
      <w:r>
        <w:t>97.</w:t>
      </w:r>
      <w:r>
        <w:rPr>
          <w:rFonts w:hint="eastAsia"/>
        </w:rPr>
        <w:t xml:space="preserve">  </w:t>
      </w:r>
      <w:r>
        <w:rPr>
          <w:rFonts w:hint="eastAsia"/>
        </w:rPr>
        <w:t>根据《民法》第</w:t>
      </w:r>
      <w:r>
        <w:t>2</w:t>
      </w:r>
      <w:r>
        <w:rPr>
          <w:rFonts w:hint="eastAsia"/>
        </w:rPr>
        <w:t>条，这一领域的法规、法令和其它规范性条例规定对土地、森林或水资源进行保护。《行政法典》规定了以下几个方面的责任：对农业用地和其它用地被污染的责任；对肥沃土壤遭受损害以及未能采取措施防止土壤流失的责任；设置、建造和利用致使土壤受到污染的物件引起的责任；以及违反有关放射性、生物、化学物质或其它物质的保有、储存和使用的规则而引起的责任</w:t>
      </w:r>
      <w:r>
        <w:rPr>
          <w:rFonts w:hint="eastAsia"/>
        </w:rPr>
        <w:t>(</w:t>
      </w:r>
      <w:r>
        <w:rPr>
          <w:rFonts w:hint="eastAsia"/>
        </w:rPr>
        <w:t>第</w:t>
      </w:r>
      <w:r>
        <w:rPr>
          <w:rFonts w:hint="eastAsia"/>
        </w:rPr>
        <w:t>52</w:t>
      </w:r>
      <w:r>
        <w:rPr>
          <w:rFonts w:hint="eastAsia"/>
        </w:rPr>
        <w:t>条和第</w:t>
      </w:r>
      <w:r>
        <w:t>53</w:t>
      </w:r>
      <w:r>
        <w:rPr>
          <w:rFonts w:hint="eastAsia"/>
        </w:rPr>
        <w:t>条</w:t>
      </w:r>
      <w:r>
        <w:rPr>
          <w:rFonts w:hint="eastAsia"/>
        </w:rPr>
        <w:t>)</w:t>
      </w:r>
      <w:r>
        <w:rPr>
          <w:rFonts w:hint="eastAsia"/>
        </w:rPr>
        <w:t>。</w:t>
      </w:r>
    </w:p>
    <w:p w:rsidR="00000000" w:rsidRDefault="00000000">
      <w:pPr>
        <w:rPr>
          <w:rFonts w:hint="eastAsia"/>
        </w:rPr>
      </w:pPr>
      <w:r>
        <w:rPr>
          <w:rFonts w:hint="eastAsia"/>
        </w:rPr>
        <w:tab/>
      </w:r>
      <w:r>
        <w:t>98</w:t>
      </w:r>
      <w:r>
        <w:rPr>
          <w:rFonts w:hint="eastAsia"/>
        </w:rPr>
        <w:t xml:space="preserve">.  </w:t>
      </w:r>
      <w:r>
        <w:rPr>
          <w:rFonts w:hint="eastAsia"/>
        </w:rPr>
        <w:t>依据</w:t>
      </w:r>
      <w:r>
        <w:rPr>
          <w:rFonts w:hint="eastAsia"/>
        </w:rPr>
        <w:t>19</w:t>
      </w:r>
      <w:r>
        <w:t>6</w:t>
      </w:r>
      <w:r>
        <w:rPr>
          <w:rFonts w:hint="eastAsia"/>
        </w:rPr>
        <w:t>1</w:t>
      </w:r>
      <w:r>
        <w:rPr>
          <w:rFonts w:hint="eastAsia"/>
        </w:rPr>
        <w:t>年</w:t>
      </w:r>
      <w:r>
        <w:rPr>
          <w:rFonts w:hint="eastAsia"/>
        </w:rPr>
        <w:t>3</w:t>
      </w:r>
      <w:r>
        <w:rPr>
          <w:rFonts w:hint="eastAsia"/>
        </w:rPr>
        <w:t>月</w:t>
      </w:r>
      <w:r>
        <w:rPr>
          <w:rFonts w:hint="eastAsia"/>
        </w:rPr>
        <w:t>24</w:t>
      </w:r>
      <w:r>
        <w:rPr>
          <w:rFonts w:hint="eastAsia"/>
        </w:rPr>
        <w:t>日的法令，通过了《刑法》。关于“经济犯罪”</w:t>
      </w:r>
      <w:r>
        <w:rPr>
          <w:rFonts w:hint="eastAsia"/>
        </w:rPr>
        <w:t>(</w:t>
      </w:r>
      <w:r>
        <w:rPr>
          <w:rFonts w:hint="eastAsia"/>
        </w:rPr>
        <w:t>第</w:t>
      </w:r>
      <w:r>
        <w:rPr>
          <w:rFonts w:hint="eastAsia"/>
        </w:rPr>
        <w:t>166</w:t>
      </w:r>
      <w:r>
        <w:t>-</w:t>
      </w:r>
      <w:r>
        <w:rPr>
          <w:rFonts w:hint="eastAsia"/>
        </w:rPr>
        <w:t>171</w:t>
      </w:r>
      <w:r>
        <w:rPr>
          <w:rFonts w:hint="eastAsia"/>
        </w:rPr>
        <w:t>条和第</w:t>
      </w:r>
      <w:r>
        <w:rPr>
          <w:rFonts w:hint="eastAsia"/>
        </w:rPr>
        <w:t>173</w:t>
      </w:r>
      <w:r>
        <w:rPr>
          <w:rFonts w:hint="eastAsia"/>
        </w:rPr>
        <w:t>条</w:t>
      </w:r>
      <w:r>
        <w:rPr>
          <w:rFonts w:hint="eastAsia"/>
        </w:rPr>
        <w:t>)</w:t>
      </w:r>
      <w:r>
        <w:rPr>
          <w:rFonts w:hint="eastAsia"/>
        </w:rPr>
        <w:t>的第六章规定了对故意损害森林或因过失而对森林造成损害、非法狩猎、捕鱼或其它非法利用水资源行为，以及违反植物病虫害控制规定等行为的不同的惩治办法。</w:t>
      </w:r>
    </w:p>
    <w:p w:rsidR="00000000" w:rsidRDefault="00000000">
      <w:pPr>
        <w:rPr>
          <w:rFonts w:hint="eastAsia"/>
        </w:rPr>
      </w:pPr>
      <w:r>
        <w:rPr>
          <w:rFonts w:hint="eastAsia"/>
        </w:rPr>
        <w:tab/>
      </w:r>
      <w:r>
        <w:t>99.</w:t>
      </w:r>
      <w:r>
        <w:rPr>
          <w:rFonts w:hint="eastAsia"/>
        </w:rPr>
        <w:t xml:space="preserve">  </w:t>
      </w:r>
      <w:r>
        <w:rPr>
          <w:rFonts w:hint="eastAsia"/>
        </w:rPr>
        <w:t>根据现行立法规定，国家生态检查局是环境和领土管理部下属的一个机构，该机构的任务是适用相关法规，防止和追踪这方面的违法行为。</w:t>
      </w:r>
      <w:r>
        <w:rPr>
          <w:rFonts w:hint="eastAsia"/>
        </w:rPr>
        <w:t>1999</w:t>
      </w:r>
      <w:r>
        <w:rPr>
          <w:rFonts w:hint="eastAsia"/>
        </w:rPr>
        <w:t>年，该局检查了</w:t>
      </w:r>
      <w:r>
        <w:rPr>
          <w:rFonts w:hint="eastAsia"/>
        </w:rPr>
        <w:t>14,017</w:t>
      </w:r>
      <w:r>
        <w:rPr>
          <w:rFonts w:hint="eastAsia"/>
        </w:rPr>
        <w:t>个企业，编写了</w:t>
      </w:r>
      <w:r>
        <w:rPr>
          <w:rFonts w:hint="eastAsia"/>
        </w:rPr>
        <w:t>5,393</w:t>
      </w:r>
      <w:r>
        <w:rPr>
          <w:rFonts w:hint="eastAsia"/>
        </w:rPr>
        <w:t>份报告，所处以的罚款共计</w:t>
      </w:r>
      <w:r>
        <w:rPr>
          <w:rFonts w:hint="eastAsia"/>
        </w:rPr>
        <w:t>29,703</w:t>
      </w:r>
      <w:r>
        <w:rPr>
          <w:rFonts w:hint="eastAsia"/>
        </w:rPr>
        <w:t>列伊，并签发了总额为</w:t>
      </w:r>
      <w:r>
        <w:rPr>
          <w:rFonts w:hint="eastAsia"/>
        </w:rPr>
        <w:t>782,049</w:t>
      </w:r>
      <w:r>
        <w:rPr>
          <w:rFonts w:hint="eastAsia"/>
        </w:rPr>
        <w:t>列伊的损害赔偿令。</w:t>
      </w:r>
    </w:p>
    <w:p w:rsidR="00000000" w:rsidRDefault="00000000">
      <w:pPr>
        <w:rPr>
          <w:rFonts w:hint="eastAsia"/>
        </w:rPr>
      </w:pPr>
      <w:r>
        <w:rPr>
          <w:rFonts w:hint="eastAsia"/>
        </w:rPr>
        <w:tab/>
      </w:r>
      <w:r>
        <w:t>100.</w:t>
      </w:r>
      <w:r>
        <w:rPr>
          <w:rFonts w:hint="eastAsia"/>
        </w:rPr>
        <w:t xml:space="preserve">  </w:t>
      </w:r>
      <w:r>
        <w:rPr>
          <w:rFonts w:hint="eastAsia"/>
        </w:rPr>
        <w:t>土壤在摩尔多瓦共和国具有特殊经济价值。我国多数土壤为黑钙土，此种土壤占地表的</w:t>
      </w:r>
      <w:r>
        <w:rPr>
          <w:rFonts w:hint="eastAsia"/>
        </w:rPr>
        <w:t>70%</w:t>
      </w:r>
      <w:r>
        <w:rPr>
          <w:rFonts w:hint="eastAsia"/>
        </w:rPr>
        <w:t>。过去</w:t>
      </w:r>
      <w:r>
        <w:rPr>
          <w:rFonts w:hint="eastAsia"/>
        </w:rPr>
        <w:t>30</w:t>
      </w:r>
      <w:r>
        <w:rPr>
          <w:rFonts w:hint="eastAsia"/>
        </w:rPr>
        <w:t>年间，由于人口增长、建筑活动和城市化等原因，农用地大幅度减少。可耕地、草地和牧场减少。</w:t>
      </w:r>
    </w:p>
    <w:p w:rsidR="00000000" w:rsidRDefault="00000000">
      <w:pPr>
        <w:rPr>
          <w:rFonts w:hint="eastAsia"/>
        </w:rPr>
      </w:pPr>
      <w:r>
        <w:rPr>
          <w:rFonts w:hint="eastAsia"/>
        </w:rPr>
        <w:tab/>
      </w:r>
      <w:r>
        <w:t>101.</w:t>
      </w:r>
      <w:r>
        <w:rPr>
          <w:rFonts w:hint="eastAsia"/>
        </w:rPr>
        <w:t xml:space="preserve">  </w:t>
      </w:r>
      <w:r>
        <w:rPr>
          <w:rFonts w:hint="eastAsia"/>
        </w:rPr>
        <w:t>自然生态系统仅占国土面积的</w:t>
      </w:r>
      <w:r>
        <w:t>20%</w:t>
      </w:r>
      <w:r>
        <w:rPr>
          <w:rFonts w:hint="eastAsia"/>
        </w:rPr>
        <w:t>，而且正在瓦解和退化。森林仅占国土面积的</w:t>
      </w:r>
      <w:r>
        <w:rPr>
          <w:rFonts w:hint="eastAsia"/>
        </w:rPr>
        <w:t>9.8%</w:t>
      </w:r>
      <w:r>
        <w:rPr>
          <w:rFonts w:hint="eastAsia"/>
        </w:rPr>
        <w:t>。大约三分之一的森林是在过去</w:t>
      </w:r>
      <w:r>
        <w:rPr>
          <w:rFonts w:hint="eastAsia"/>
        </w:rPr>
        <w:t>40</w:t>
      </w:r>
      <w:r>
        <w:rPr>
          <w:rFonts w:hint="eastAsia"/>
        </w:rPr>
        <w:t>至</w:t>
      </w:r>
      <w:r>
        <w:rPr>
          <w:rFonts w:hint="eastAsia"/>
        </w:rPr>
        <w:t>50</w:t>
      </w:r>
      <w:r>
        <w:rPr>
          <w:rFonts w:hint="eastAsia"/>
        </w:rPr>
        <w:t>年间栽种的。统计资料显示，每年约有五分之一的森林遭遇病虫害。摩尔多瓦共和国拥有能在工业上得到开发利用的矿产资源。一些非金属矿床正在得到勘探和记录。地震、洪水、大规模水土流失以及城市化地区水位上升等，是摩尔多瓦共和国面临的重大威胁。</w:t>
      </w:r>
    </w:p>
    <w:p w:rsidR="00000000" w:rsidRDefault="00000000">
      <w:pPr>
        <w:rPr>
          <w:rFonts w:hint="eastAsia"/>
        </w:rPr>
      </w:pPr>
      <w:r>
        <w:rPr>
          <w:rFonts w:hint="eastAsia"/>
        </w:rPr>
        <w:tab/>
      </w:r>
      <w:r>
        <w:t>102.</w:t>
      </w:r>
      <w:r>
        <w:rPr>
          <w:rFonts w:hint="eastAsia"/>
        </w:rPr>
        <w:t xml:space="preserve">  </w:t>
      </w:r>
      <w:r>
        <w:rPr>
          <w:rFonts w:hint="eastAsia"/>
        </w:rPr>
        <w:t>国家在对公众作大量宣传，提供了解公众关心的信息的便利</w:t>
      </w:r>
      <w:r>
        <w:rPr>
          <w:rFonts w:hint="eastAsia"/>
        </w:rPr>
        <w:t>(</w:t>
      </w:r>
      <w:r>
        <w:rPr>
          <w:rFonts w:hint="eastAsia"/>
        </w:rPr>
        <w:t>《宪法》第</w:t>
      </w:r>
      <w:r>
        <w:rPr>
          <w:rFonts w:hint="eastAsia"/>
        </w:rPr>
        <w:t>34</w:t>
      </w:r>
      <w:r>
        <w:rPr>
          <w:rFonts w:hint="eastAsia"/>
        </w:rPr>
        <w:t>、</w:t>
      </w:r>
      <w:r>
        <w:rPr>
          <w:rFonts w:hint="eastAsia"/>
        </w:rPr>
        <w:t>37</w:t>
      </w:r>
      <w:r>
        <w:rPr>
          <w:rFonts w:hint="eastAsia"/>
        </w:rPr>
        <w:t>条；《自然资源法》，第</w:t>
      </w:r>
      <w:r>
        <w:rPr>
          <w:rFonts w:hint="eastAsia"/>
        </w:rPr>
        <w:t>29</w:t>
      </w:r>
      <w:r>
        <w:rPr>
          <w:rFonts w:hint="eastAsia"/>
        </w:rPr>
        <w:t>条；</w:t>
      </w:r>
      <w:r>
        <w:rPr>
          <w:rFonts w:hint="eastAsia"/>
        </w:rPr>
        <w:t>2000</w:t>
      </w:r>
      <w:r>
        <w:rPr>
          <w:rFonts w:hint="eastAsia"/>
        </w:rPr>
        <w:t>年</w:t>
      </w:r>
      <w:r>
        <w:rPr>
          <w:rFonts w:hint="eastAsia"/>
        </w:rPr>
        <w:t>5</w:t>
      </w:r>
      <w:r>
        <w:rPr>
          <w:rFonts w:hint="eastAsia"/>
        </w:rPr>
        <w:t>月</w:t>
      </w:r>
      <w:r>
        <w:rPr>
          <w:rFonts w:hint="eastAsia"/>
        </w:rPr>
        <w:t>11</w:t>
      </w:r>
      <w:r>
        <w:rPr>
          <w:rFonts w:hint="eastAsia"/>
        </w:rPr>
        <w:t>日《获取信息法》</w:t>
      </w:r>
      <w:r>
        <w:rPr>
          <w:rFonts w:hint="eastAsia"/>
        </w:rPr>
        <w:t>)</w:t>
      </w:r>
      <w:r>
        <w:rPr>
          <w:rFonts w:hint="eastAsia"/>
        </w:rPr>
        <w:t>的基础上，确保公民参与有关自然资源的利用的决策，并参与政府对自然人和法人遵守保护自然法规情况的监督。摩尔多瓦共和国已经批准《关于在环境问题上获取信息、公众参与决策和诉诸司法的奥胡斯公约》。</w:t>
      </w:r>
    </w:p>
    <w:p w:rsidR="00000000" w:rsidRDefault="00000000">
      <w:pPr>
        <w:rPr>
          <w:rFonts w:hint="eastAsia"/>
        </w:rPr>
      </w:pPr>
      <w:r>
        <w:rPr>
          <w:rFonts w:hint="eastAsia"/>
        </w:rPr>
        <w:tab/>
      </w:r>
      <w:r>
        <w:t>103.</w:t>
      </w:r>
      <w:r>
        <w:rPr>
          <w:rFonts w:hint="eastAsia"/>
        </w:rPr>
        <w:t xml:space="preserve">  </w:t>
      </w:r>
      <w:r>
        <w:rPr>
          <w:rFonts w:hint="eastAsia"/>
        </w:rPr>
        <w:t>由于领土、法律和经济完整的条件尚未具备，目前很难高效率地利用和养护自然资源，保护环境以及运用环境管理手段。</w:t>
      </w:r>
    </w:p>
    <w:p w:rsidR="00000000" w:rsidRDefault="00000000">
      <w:pPr>
        <w:spacing w:after="320"/>
      </w:pPr>
      <w:r>
        <w:rPr>
          <w:rFonts w:hint="eastAsia"/>
        </w:rPr>
        <w:tab/>
      </w:r>
      <w:r>
        <w:t>104.</w:t>
      </w:r>
      <w:r>
        <w:rPr>
          <w:rFonts w:hint="eastAsia"/>
        </w:rPr>
        <w:t xml:space="preserve">  </w:t>
      </w:r>
      <w:r>
        <w:rPr>
          <w:rFonts w:hint="eastAsia"/>
        </w:rPr>
        <w:t>摩尔多瓦共和国不承担管理自治地区或受托管地区的责任。</w:t>
      </w:r>
    </w:p>
    <w:p w:rsidR="00000000" w:rsidRDefault="00000000">
      <w:pPr>
        <w:pStyle w:val="Heading3"/>
        <w:ind w:firstLine="539"/>
        <w:rPr>
          <w:kern w:val="0"/>
        </w:rPr>
      </w:pPr>
      <w:r>
        <w:rPr>
          <w:rFonts w:hint="eastAsia"/>
          <w:kern w:val="0"/>
        </w:rPr>
        <w:t>第</w:t>
      </w:r>
      <w:r>
        <w:rPr>
          <w:rFonts w:hint="eastAsia"/>
          <w:kern w:val="0"/>
        </w:rPr>
        <w:t xml:space="preserve"> </w:t>
      </w:r>
      <w:r>
        <w:rPr>
          <w:rFonts w:hint="eastAsia"/>
          <w:kern w:val="0"/>
        </w:rPr>
        <w:t>二</w:t>
      </w:r>
      <w:r>
        <w:rPr>
          <w:rFonts w:hint="eastAsia"/>
          <w:kern w:val="0"/>
        </w:rPr>
        <w:t xml:space="preserve"> </w:t>
      </w:r>
      <w:r>
        <w:rPr>
          <w:rFonts w:hint="eastAsia"/>
          <w:kern w:val="0"/>
        </w:rPr>
        <w:t>条</w:t>
      </w:r>
    </w:p>
    <w:p w:rsidR="00000000" w:rsidRDefault="00000000">
      <w:pPr>
        <w:ind w:firstLine="539"/>
        <w:rPr>
          <w:snapToGrid/>
        </w:rPr>
      </w:pPr>
      <w:r>
        <w:rPr>
          <w:snapToGrid/>
        </w:rPr>
        <w:t>105.</w:t>
      </w:r>
      <w:r>
        <w:rPr>
          <w:rFonts w:hint="eastAsia"/>
          <w:snapToGrid/>
        </w:rPr>
        <w:t xml:space="preserve">  </w:t>
      </w:r>
      <w:r>
        <w:rPr>
          <w:snapToGrid/>
        </w:rPr>
        <w:t>摩尔多瓦</w:t>
      </w:r>
      <w:r>
        <w:rPr>
          <w:rFonts w:hint="eastAsia"/>
          <w:snapToGrid/>
        </w:rPr>
        <w:t>共和国宪法视经济、社会和文化发展思想为实现人的全面和不同程度发展的基础，由此作为起始点，列入了国家对下列各方面的一系列保障：</w:t>
      </w:r>
    </w:p>
    <w:p w:rsidR="00000000" w:rsidRDefault="00000000">
      <w:pPr>
        <w:ind w:left="510" w:firstLine="539"/>
        <w:rPr>
          <w:snapToGrid/>
        </w:rPr>
      </w:pPr>
      <w:r>
        <w:rPr>
          <w:rFonts w:hint="eastAsia"/>
          <w:snapToGrid/>
        </w:rPr>
        <w:t>工作权</w:t>
      </w:r>
      <w:r>
        <w:rPr>
          <w:snapToGrid/>
        </w:rPr>
        <w:t>(</w:t>
      </w:r>
      <w:r>
        <w:rPr>
          <w:rFonts w:hint="eastAsia"/>
          <w:snapToGrid/>
        </w:rPr>
        <w:t>第</w:t>
      </w:r>
      <w:r>
        <w:rPr>
          <w:rFonts w:hint="eastAsia"/>
          <w:snapToGrid/>
        </w:rPr>
        <w:t>43</w:t>
      </w:r>
      <w:r>
        <w:rPr>
          <w:rFonts w:hint="eastAsia"/>
          <w:snapToGrid/>
        </w:rPr>
        <w:t>条</w:t>
      </w:r>
      <w:r>
        <w:rPr>
          <w:snapToGrid/>
        </w:rPr>
        <w:t>)</w:t>
      </w:r>
      <w:r>
        <w:rPr>
          <w:rFonts w:hint="eastAsia"/>
          <w:snapToGrid/>
        </w:rPr>
        <w:t>；</w:t>
      </w:r>
    </w:p>
    <w:p w:rsidR="00000000" w:rsidRDefault="00000000">
      <w:pPr>
        <w:ind w:left="510" w:firstLine="539"/>
        <w:rPr>
          <w:rFonts w:hint="eastAsia"/>
          <w:snapToGrid/>
        </w:rPr>
      </w:pPr>
      <w:r>
        <w:rPr>
          <w:rFonts w:hint="eastAsia"/>
          <w:snapToGrid/>
        </w:rPr>
        <w:t>私人财产及私有财产保护权</w:t>
      </w:r>
      <w:r>
        <w:rPr>
          <w:snapToGrid/>
        </w:rPr>
        <w:t>(</w:t>
      </w:r>
      <w:r>
        <w:rPr>
          <w:rFonts w:hint="eastAsia"/>
          <w:snapToGrid/>
        </w:rPr>
        <w:t>第</w:t>
      </w:r>
      <w:r>
        <w:rPr>
          <w:rFonts w:hint="eastAsia"/>
          <w:snapToGrid/>
        </w:rPr>
        <w:t>46</w:t>
      </w:r>
      <w:r>
        <w:rPr>
          <w:rFonts w:hint="eastAsia"/>
          <w:snapToGrid/>
        </w:rPr>
        <w:t>款</w:t>
      </w:r>
      <w:r>
        <w:rPr>
          <w:snapToGrid/>
        </w:rPr>
        <w:t>)</w:t>
      </w:r>
      <w:r>
        <w:rPr>
          <w:rFonts w:hint="eastAsia"/>
          <w:snapToGrid/>
        </w:rPr>
        <w:t>；</w:t>
      </w:r>
    </w:p>
    <w:p w:rsidR="00000000" w:rsidRDefault="00000000">
      <w:pPr>
        <w:ind w:left="510" w:firstLine="539"/>
        <w:rPr>
          <w:rFonts w:hint="eastAsia"/>
          <w:snapToGrid/>
        </w:rPr>
      </w:pPr>
      <w:r>
        <w:rPr>
          <w:rFonts w:hint="eastAsia"/>
          <w:snapToGrid/>
        </w:rPr>
        <w:t>集体谈判权</w:t>
      </w:r>
      <w:r>
        <w:rPr>
          <w:rFonts w:hint="eastAsia"/>
          <w:snapToGrid/>
        </w:rPr>
        <w:t>(</w:t>
      </w:r>
      <w:r>
        <w:rPr>
          <w:rFonts w:hint="eastAsia"/>
          <w:snapToGrid/>
        </w:rPr>
        <w:t>第</w:t>
      </w:r>
      <w:r>
        <w:rPr>
          <w:rFonts w:hint="eastAsia"/>
          <w:snapToGrid/>
        </w:rPr>
        <w:t>43</w:t>
      </w:r>
      <w:r>
        <w:rPr>
          <w:rFonts w:hint="eastAsia"/>
          <w:snapToGrid/>
        </w:rPr>
        <w:t>条第</w:t>
      </w:r>
      <w:r>
        <w:rPr>
          <w:rFonts w:hint="eastAsia"/>
          <w:snapToGrid/>
        </w:rPr>
        <w:t>4</w:t>
      </w:r>
      <w:r>
        <w:rPr>
          <w:rFonts w:hint="eastAsia"/>
          <w:snapToGrid/>
        </w:rPr>
        <w:t>款</w:t>
      </w:r>
      <w:r>
        <w:rPr>
          <w:rFonts w:hint="eastAsia"/>
          <w:snapToGrid/>
        </w:rPr>
        <w:t>)</w:t>
      </w:r>
      <w:r>
        <w:rPr>
          <w:rFonts w:hint="eastAsia"/>
          <w:snapToGrid/>
        </w:rPr>
        <w:t>；</w:t>
      </w:r>
    </w:p>
    <w:p w:rsidR="00000000" w:rsidRDefault="00000000">
      <w:pPr>
        <w:ind w:left="510" w:firstLine="539"/>
        <w:rPr>
          <w:snapToGrid/>
        </w:rPr>
      </w:pPr>
      <w:r>
        <w:rPr>
          <w:rFonts w:hint="eastAsia"/>
          <w:snapToGrid/>
        </w:rPr>
        <w:t>享有公正和有利工作条件的权利</w:t>
      </w:r>
      <w:r>
        <w:rPr>
          <w:snapToGrid/>
        </w:rPr>
        <w:t>(</w:t>
      </w:r>
      <w:r>
        <w:rPr>
          <w:rFonts w:hint="eastAsia"/>
          <w:snapToGrid/>
        </w:rPr>
        <w:t>第</w:t>
      </w:r>
      <w:r>
        <w:rPr>
          <w:rFonts w:hint="eastAsia"/>
          <w:snapToGrid/>
        </w:rPr>
        <w:t>43</w:t>
      </w:r>
      <w:r>
        <w:rPr>
          <w:rFonts w:hint="eastAsia"/>
          <w:snapToGrid/>
        </w:rPr>
        <w:t>条第</w:t>
      </w:r>
      <w:r>
        <w:rPr>
          <w:rFonts w:hint="eastAsia"/>
          <w:snapToGrid/>
        </w:rPr>
        <w:t>1</w:t>
      </w:r>
      <w:r>
        <w:rPr>
          <w:rFonts w:hint="eastAsia"/>
          <w:snapToGrid/>
        </w:rPr>
        <w:t>款</w:t>
      </w:r>
      <w:r>
        <w:rPr>
          <w:snapToGrid/>
        </w:rPr>
        <w:t>)</w:t>
      </w:r>
      <w:r>
        <w:rPr>
          <w:rFonts w:hint="eastAsia"/>
          <w:snapToGrid/>
        </w:rPr>
        <w:t>；</w:t>
      </w:r>
    </w:p>
    <w:p w:rsidR="00000000" w:rsidRDefault="00000000">
      <w:pPr>
        <w:ind w:left="510" w:firstLine="539"/>
        <w:rPr>
          <w:snapToGrid/>
        </w:rPr>
      </w:pPr>
      <w:r>
        <w:rPr>
          <w:rFonts w:hint="eastAsia"/>
          <w:snapToGrid/>
        </w:rPr>
        <w:t>享有工作安全和卫生权</w:t>
      </w:r>
      <w:r>
        <w:rPr>
          <w:snapToGrid/>
        </w:rPr>
        <w:t>(</w:t>
      </w:r>
      <w:r>
        <w:rPr>
          <w:rFonts w:hint="eastAsia"/>
          <w:snapToGrid/>
        </w:rPr>
        <w:t>第</w:t>
      </w:r>
      <w:r>
        <w:rPr>
          <w:rFonts w:hint="eastAsia"/>
          <w:snapToGrid/>
        </w:rPr>
        <w:t>43</w:t>
      </w:r>
      <w:r>
        <w:rPr>
          <w:rFonts w:hint="eastAsia"/>
          <w:snapToGrid/>
        </w:rPr>
        <w:t>条第</w:t>
      </w:r>
      <w:r>
        <w:rPr>
          <w:rFonts w:hint="eastAsia"/>
          <w:snapToGrid/>
        </w:rPr>
        <w:t>2</w:t>
      </w:r>
      <w:r>
        <w:rPr>
          <w:rFonts w:hint="eastAsia"/>
          <w:snapToGrid/>
        </w:rPr>
        <w:t>款</w:t>
      </w:r>
      <w:r>
        <w:rPr>
          <w:snapToGrid/>
        </w:rPr>
        <w:t>)</w:t>
      </w:r>
      <w:r>
        <w:rPr>
          <w:rFonts w:hint="eastAsia"/>
          <w:snapToGrid/>
        </w:rPr>
        <w:t>；</w:t>
      </w:r>
    </w:p>
    <w:p w:rsidR="00000000" w:rsidRDefault="00000000">
      <w:pPr>
        <w:ind w:left="510" w:firstLine="539"/>
        <w:rPr>
          <w:snapToGrid/>
        </w:rPr>
      </w:pPr>
      <w:r>
        <w:rPr>
          <w:rFonts w:hint="eastAsia"/>
          <w:snapToGrid/>
        </w:rPr>
        <w:t>报酬权</w:t>
      </w:r>
      <w:r>
        <w:rPr>
          <w:rFonts w:hint="eastAsia"/>
          <w:snapToGrid/>
        </w:rPr>
        <w:t>(</w:t>
      </w:r>
      <w:r>
        <w:rPr>
          <w:rFonts w:hint="eastAsia"/>
          <w:snapToGrid/>
        </w:rPr>
        <w:t>第</w:t>
      </w:r>
      <w:r>
        <w:rPr>
          <w:rFonts w:hint="eastAsia"/>
          <w:snapToGrid/>
        </w:rPr>
        <w:t>43</w:t>
      </w:r>
      <w:r>
        <w:rPr>
          <w:rFonts w:hint="eastAsia"/>
          <w:snapToGrid/>
        </w:rPr>
        <w:t>条第</w:t>
      </w:r>
      <w:r>
        <w:rPr>
          <w:rFonts w:hint="eastAsia"/>
          <w:snapToGrid/>
        </w:rPr>
        <w:t>2</w:t>
      </w:r>
      <w:r>
        <w:rPr>
          <w:rFonts w:hint="eastAsia"/>
          <w:snapToGrid/>
        </w:rPr>
        <w:t>款</w:t>
      </w:r>
      <w:r>
        <w:rPr>
          <w:rFonts w:hint="eastAsia"/>
          <w:snapToGrid/>
        </w:rPr>
        <w:t>)</w:t>
      </w:r>
      <w:r>
        <w:rPr>
          <w:rFonts w:hint="eastAsia"/>
          <w:snapToGrid/>
        </w:rPr>
        <w:t>；</w:t>
      </w:r>
    </w:p>
    <w:p w:rsidR="00000000" w:rsidRDefault="00000000">
      <w:pPr>
        <w:ind w:left="510" w:firstLine="539"/>
        <w:rPr>
          <w:snapToGrid/>
        </w:rPr>
      </w:pPr>
      <w:r>
        <w:rPr>
          <w:rFonts w:hint="eastAsia"/>
          <w:snapToGrid/>
        </w:rPr>
        <w:t>罢工权</w:t>
      </w:r>
      <w:r>
        <w:rPr>
          <w:snapToGrid/>
        </w:rPr>
        <w:t>(</w:t>
      </w:r>
      <w:r>
        <w:rPr>
          <w:rFonts w:hint="eastAsia"/>
          <w:snapToGrid/>
        </w:rPr>
        <w:t>第</w:t>
      </w:r>
      <w:r>
        <w:rPr>
          <w:rFonts w:hint="eastAsia"/>
          <w:snapToGrid/>
        </w:rPr>
        <w:t>45</w:t>
      </w:r>
      <w:r>
        <w:rPr>
          <w:rFonts w:hint="eastAsia"/>
          <w:snapToGrid/>
        </w:rPr>
        <w:t>条</w:t>
      </w:r>
      <w:r>
        <w:rPr>
          <w:rFonts w:hint="eastAsia"/>
          <w:snapToGrid/>
        </w:rPr>
        <w:t>)</w:t>
      </w:r>
      <w:r>
        <w:rPr>
          <w:rFonts w:hint="eastAsia"/>
          <w:snapToGrid/>
        </w:rPr>
        <w:t>；</w:t>
      </w:r>
    </w:p>
    <w:p w:rsidR="00000000" w:rsidRDefault="00000000">
      <w:pPr>
        <w:ind w:left="510" w:firstLine="539"/>
        <w:rPr>
          <w:snapToGrid/>
        </w:rPr>
      </w:pPr>
      <w:r>
        <w:rPr>
          <w:rFonts w:hint="eastAsia"/>
          <w:snapToGrid/>
        </w:rPr>
        <w:t>继承权</w:t>
      </w:r>
      <w:r>
        <w:rPr>
          <w:snapToGrid/>
        </w:rPr>
        <w:t>(</w:t>
      </w:r>
      <w:r>
        <w:rPr>
          <w:rFonts w:hint="eastAsia"/>
          <w:snapToGrid/>
        </w:rPr>
        <w:t>第</w:t>
      </w:r>
      <w:r>
        <w:rPr>
          <w:rFonts w:hint="eastAsia"/>
          <w:snapToGrid/>
        </w:rPr>
        <w:t>46</w:t>
      </w:r>
      <w:r>
        <w:rPr>
          <w:rFonts w:hint="eastAsia"/>
          <w:snapToGrid/>
        </w:rPr>
        <w:t>条第</w:t>
      </w:r>
      <w:r>
        <w:rPr>
          <w:rFonts w:hint="eastAsia"/>
          <w:snapToGrid/>
        </w:rPr>
        <w:t>6</w:t>
      </w:r>
      <w:r>
        <w:rPr>
          <w:rFonts w:hint="eastAsia"/>
          <w:snapToGrid/>
        </w:rPr>
        <w:t>款</w:t>
      </w:r>
      <w:r>
        <w:rPr>
          <w:rFonts w:hint="eastAsia"/>
          <w:snapToGrid/>
        </w:rPr>
        <w:t>)</w:t>
      </w:r>
      <w:r>
        <w:rPr>
          <w:rFonts w:hint="eastAsia"/>
          <w:snapToGrid/>
        </w:rPr>
        <w:t>；</w:t>
      </w:r>
    </w:p>
    <w:p w:rsidR="00000000" w:rsidRDefault="00000000">
      <w:pPr>
        <w:ind w:left="510" w:firstLine="539"/>
        <w:rPr>
          <w:snapToGrid/>
        </w:rPr>
      </w:pPr>
      <w:r>
        <w:rPr>
          <w:rFonts w:hint="eastAsia"/>
          <w:snapToGrid/>
        </w:rPr>
        <w:t>得到援助和社会保护权</w:t>
      </w:r>
      <w:r>
        <w:rPr>
          <w:rFonts w:hint="eastAsia"/>
          <w:snapToGrid/>
        </w:rPr>
        <w:t>(</w:t>
      </w:r>
      <w:r>
        <w:rPr>
          <w:rFonts w:hint="eastAsia"/>
          <w:snapToGrid/>
        </w:rPr>
        <w:t>第</w:t>
      </w:r>
      <w:r>
        <w:rPr>
          <w:rFonts w:hint="eastAsia"/>
          <w:snapToGrid/>
        </w:rPr>
        <w:t>47</w:t>
      </w:r>
      <w:r>
        <w:rPr>
          <w:rFonts w:hint="eastAsia"/>
          <w:snapToGrid/>
        </w:rPr>
        <w:t>条</w:t>
      </w:r>
      <w:r>
        <w:rPr>
          <w:snapToGrid/>
        </w:rPr>
        <w:t>)</w:t>
      </w:r>
      <w:r>
        <w:rPr>
          <w:rFonts w:hint="eastAsia"/>
          <w:snapToGrid/>
        </w:rPr>
        <w:t>；</w:t>
      </w:r>
    </w:p>
    <w:p w:rsidR="00000000" w:rsidRDefault="00000000">
      <w:pPr>
        <w:ind w:left="510" w:firstLine="539"/>
        <w:rPr>
          <w:snapToGrid/>
        </w:rPr>
      </w:pPr>
      <w:r>
        <w:rPr>
          <w:rFonts w:hint="eastAsia"/>
          <w:snapToGrid/>
        </w:rPr>
        <w:t>享有体面生活水准权</w:t>
      </w:r>
      <w:r>
        <w:rPr>
          <w:snapToGrid/>
        </w:rPr>
        <w:t>(</w:t>
      </w:r>
      <w:r>
        <w:rPr>
          <w:rFonts w:hint="eastAsia"/>
          <w:snapToGrid/>
        </w:rPr>
        <w:t>第</w:t>
      </w:r>
      <w:r>
        <w:rPr>
          <w:rFonts w:hint="eastAsia"/>
          <w:snapToGrid/>
        </w:rPr>
        <w:t>47</w:t>
      </w:r>
      <w:r>
        <w:rPr>
          <w:rFonts w:hint="eastAsia"/>
          <w:snapToGrid/>
        </w:rPr>
        <w:t>条第</w:t>
      </w:r>
      <w:r>
        <w:rPr>
          <w:rFonts w:hint="eastAsia"/>
          <w:snapToGrid/>
        </w:rPr>
        <w:t>1</w:t>
      </w:r>
      <w:r>
        <w:rPr>
          <w:rFonts w:hint="eastAsia"/>
          <w:snapToGrid/>
        </w:rPr>
        <w:t>款</w:t>
      </w:r>
      <w:r>
        <w:rPr>
          <w:rFonts w:hint="eastAsia"/>
          <w:snapToGrid/>
        </w:rPr>
        <w:t>)</w:t>
      </w:r>
      <w:r>
        <w:rPr>
          <w:rFonts w:hint="eastAsia"/>
          <w:snapToGrid/>
        </w:rPr>
        <w:t>；</w:t>
      </w:r>
    </w:p>
    <w:p w:rsidR="00000000" w:rsidRDefault="00000000">
      <w:pPr>
        <w:ind w:left="510" w:firstLine="539"/>
        <w:rPr>
          <w:snapToGrid/>
        </w:rPr>
      </w:pPr>
      <w:r>
        <w:rPr>
          <w:rFonts w:hint="eastAsia"/>
          <w:snapToGrid/>
        </w:rPr>
        <w:t>家庭享有的社会、法律和经济保护权</w:t>
      </w:r>
      <w:r>
        <w:rPr>
          <w:rFonts w:hint="eastAsia"/>
          <w:snapToGrid/>
        </w:rPr>
        <w:t>(</w:t>
      </w:r>
      <w:r>
        <w:rPr>
          <w:rFonts w:hint="eastAsia"/>
          <w:snapToGrid/>
        </w:rPr>
        <w:t>第</w:t>
      </w:r>
      <w:r>
        <w:rPr>
          <w:rFonts w:hint="eastAsia"/>
          <w:snapToGrid/>
        </w:rPr>
        <w:t>48</w:t>
      </w:r>
      <w:r>
        <w:rPr>
          <w:rFonts w:hint="eastAsia"/>
          <w:snapToGrid/>
        </w:rPr>
        <w:t>和</w:t>
      </w:r>
      <w:r>
        <w:rPr>
          <w:snapToGrid/>
        </w:rPr>
        <w:t>49</w:t>
      </w:r>
      <w:r>
        <w:rPr>
          <w:rFonts w:hint="eastAsia"/>
          <w:snapToGrid/>
        </w:rPr>
        <w:t>条</w:t>
      </w:r>
      <w:r>
        <w:rPr>
          <w:rFonts w:hint="eastAsia"/>
          <w:snapToGrid/>
        </w:rPr>
        <w:t>)</w:t>
      </w:r>
      <w:r>
        <w:rPr>
          <w:rFonts w:hint="eastAsia"/>
          <w:snapToGrid/>
        </w:rPr>
        <w:t>；</w:t>
      </w:r>
    </w:p>
    <w:p w:rsidR="00000000" w:rsidRDefault="00000000">
      <w:pPr>
        <w:ind w:left="510" w:firstLine="539"/>
        <w:rPr>
          <w:snapToGrid/>
        </w:rPr>
      </w:pPr>
      <w:r>
        <w:rPr>
          <w:rFonts w:hint="eastAsia"/>
          <w:snapToGrid/>
        </w:rPr>
        <w:t>孤儿受保护权</w:t>
      </w:r>
      <w:r>
        <w:rPr>
          <w:rFonts w:hint="eastAsia"/>
          <w:snapToGrid/>
        </w:rPr>
        <w:t>(</w:t>
      </w:r>
      <w:r>
        <w:rPr>
          <w:rFonts w:hint="eastAsia"/>
          <w:snapToGrid/>
        </w:rPr>
        <w:t>第</w:t>
      </w:r>
      <w:r>
        <w:rPr>
          <w:rFonts w:hint="eastAsia"/>
          <w:snapToGrid/>
        </w:rPr>
        <w:t>49</w:t>
      </w:r>
      <w:r>
        <w:rPr>
          <w:rFonts w:hint="eastAsia"/>
          <w:snapToGrid/>
        </w:rPr>
        <w:t>条</w:t>
      </w:r>
      <w:r>
        <w:rPr>
          <w:rFonts w:hint="eastAsia"/>
          <w:snapToGrid/>
        </w:rPr>
        <w:t>)</w:t>
      </w:r>
      <w:r>
        <w:rPr>
          <w:rFonts w:hint="eastAsia"/>
          <w:snapToGrid/>
        </w:rPr>
        <w:t>；</w:t>
      </w:r>
    </w:p>
    <w:p w:rsidR="00000000" w:rsidRDefault="00000000">
      <w:pPr>
        <w:ind w:left="510" w:firstLine="539"/>
        <w:rPr>
          <w:rFonts w:hint="eastAsia"/>
          <w:snapToGrid/>
        </w:rPr>
      </w:pPr>
      <w:r>
        <w:rPr>
          <w:rFonts w:hint="eastAsia"/>
          <w:snapToGrid/>
        </w:rPr>
        <w:t>母亲、儿童和青年的保护权</w:t>
      </w:r>
      <w:r>
        <w:rPr>
          <w:rFonts w:hint="eastAsia"/>
          <w:snapToGrid/>
        </w:rPr>
        <w:t>(</w:t>
      </w:r>
      <w:r>
        <w:rPr>
          <w:rFonts w:hint="eastAsia"/>
          <w:snapToGrid/>
        </w:rPr>
        <w:t>第</w:t>
      </w:r>
      <w:r>
        <w:rPr>
          <w:rFonts w:hint="eastAsia"/>
          <w:snapToGrid/>
        </w:rPr>
        <w:t>50</w:t>
      </w:r>
      <w:r>
        <w:rPr>
          <w:rFonts w:hint="eastAsia"/>
          <w:snapToGrid/>
        </w:rPr>
        <w:t>条</w:t>
      </w:r>
      <w:r>
        <w:rPr>
          <w:rFonts w:hint="eastAsia"/>
          <w:snapToGrid/>
        </w:rPr>
        <w:t>)</w:t>
      </w:r>
      <w:r>
        <w:rPr>
          <w:rFonts w:hint="eastAsia"/>
          <w:snapToGrid/>
        </w:rPr>
        <w:t>；</w:t>
      </w:r>
    </w:p>
    <w:p w:rsidR="00000000" w:rsidRDefault="00000000">
      <w:pPr>
        <w:ind w:left="510" w:firstLine="539"/>
        <w:rPr>
          <w:snapToGrid/>
        </w:rPr>
      </w:pPr>
      <w:r>
        <w:rPr>
          <w:rFonts w:hint="eastAsia"/>
          <w:snapToGrid/>
        </w:rPr>
        <w:t>残疾人的特别保护权</w:t>
      </w:r>
      <w:r>
        <w:rPr>
          <w:snapToGrid/>
        </w:rPr>
        <w:t>(</w:t>
      </w:r>
      <w:r>
        <w:rPr>
          <w:rFonts w:hint="eastAsia"/>
          <w:snapToGrid/>
        </w:rPr>
        <w:t>第</w:t>
      </w:r>
      <w:r>
        <w:rPr>
          <w:rFonts w:hint="eastAsia"/>
          <w:snapToGrid/>
        </w:rPr>
        <w:t>51</w:t>
      </w:r>
      <w:r>
        <w:rPr>
          <w:rFonts w:hint="eastAsia"/>
          <w:snapToGrid/>
        </w:rPr>
        <w:t>条</w:t>
      </w:r>
      <w:r>
        <w:rPr>
          <w:rFonts w:hint="eastAsia"/>
          <w:snapToGrid/>
        </w:rPr>
        <w:t>)</w:t>
      </w:r>
      <w:r>
        <w:rPr>
          <w:rFonts w:hint="eastAsia"/>
          <w:snapToGrid/>
        </w:rPr>
        <w:t>；</w:t>
      </w:r>
    </w:p>
    <w:p w:rsidR="00000000" w:rsidRDefault="00000000">
      <w:pPr>
        <w:ind w:left="510" w:firstLine="539"/>
        <w:rPr>
          <w:snapToGrid/>
        </w:rPr>
      </w:pPr>
      <w:r>
        <w:rPr>
          <w:rFonts w:hint="eastAsia"/>
          <w:snapToGrid/>
        </w:rPr>
        <w:t>建立和参加工会权</w:t>
      </w:r>
      <w:r>
        <w:rPr>
          <w:snapToGrid/>
        </w:rPr>
        <w:t>(</w:t>
      </w:r>
      <w:r>
        <w:rPr>
          <w:rFonts w:hint="eastAsia"/>
          <w:snapToGrid/>
        </w:rPr>
        <w:t>第</w:t>
      </w:r>
      <w:r>
        <w:rPr>
          <w:rFonts w:hint="eastAsia"/>
          <w:snapToGrid/>
        </w:rPr>
        <w:t>42</w:t>
      </w:r>
      <w:r>
        <w:rPr>
          <w:rFonts w:hint="eastAsia"/>
          <w:snapToGrid/>
        </w:rPr>
        <w:t>条</w:t>
      </w:r>
      <w:r>
        <w:rPr>
          <w:rFonts w:hint="eastAsia"/>
          <w:snapToGrid/>
        </w:rPr>
        <w:t>)</w:t>
      </w:r>
      <w:r>
        <w:rPr>
          <w:rFonts w:hint="eastAsia"/>
          <w:snapToGrid/>
        </w:rPr>
        <w:t>；</w:t>
      </w:r>
    </w:p>
    <w:p w:rsidR="00000000" w:rsidRDefault="00000000">
      <w:pPr>
        <w:ind w:left="510" w:firstLine="539"/>
        <w:rPr>
          <w:snapToGrid/>
        </w:rPr>
      </w:pPr>
      <w:r>
        <w:rPr>
          <w:rFonts w:hint="eastAsia"/>
          <w:snapToGrid/>
        </w:rPr>
        <w:t>医疗保健权</w:t>
      </w:r>
      <w:r>
        <w:rPr>
          <w:snapToGrid/>
        </w:rPr>
        <w:t>(</w:t>
      </w:r>
      <w:r>
        <w:rPr>
          <w:rFonts w:hint="eastAsia"/>
          <w:snapToGrid/>
        </w:rPr>
        <w:t>第</w:t>
      </w:r>
      <w:r>
        <w:rPr>
          <w:rFonts w:hint="eastAsia"/>
          <w:snapToGrid/>
        </w:rPr>
        <w:t>36</w:t>
      </w:r>
      <w:r>
        <w:rPr>
          <w:rFonts w:hint="eastAsia"/>
          <w:snapToGrid/>
        </w:rPr>
        <w:t>条</w:t>
      </w:r>
      <w:r>
        <w:rPr>
          <w:rFonts w:hint="eastAsia"/>
          <w:snapToGrid/>
        </w:rPr>
        <w:t>)</w:t>
      </w:r>
      <w:r>
        <w:rPr>
          <w:rFonts w:hint="eastAsia"/>
          <w:snapToGrid/>
        </w:rPr>
        <w:t>；</w:t>
      </w:r>
    </w:p>
    <w:p w:rsidR="00000000" w:rsidRDefault="00000000">
      <w:pPr>
        <w:ind w:left="510" w:firstLine="539"/>
        <w:rPr>
          <w:snapToGrid/>
        </w:rPr>
      </w:pPr>
      <w:r>
        <w:rPr>
          <w:rFonts w:hint="eastAsia"/>
          <w:snapToGrid/>
        </w:rPr>
        <w:t>健康环境权</w:t>
      </w:r>
      <w:r>
        <w:rPr>
          <w:snapToGrid/>
        </w:rPr>
        <w:t>(</w:t>
      </w:r>
      <w:r>
        <w:rPr>
          <w:rFonts w:hint="eastAsia"/>
          <w:snapToGrid/>
        </w:rPr>
        <w:t>第</w:t>
      </w:r>
      <w:r>
        <w:rPr>
          <w:rFonts w:hint="eastAsia"/>
          <w:snapToGrid/>
        </w:rPr>
        <w:t>37</w:t>
      </w:r>
      <w:r>
        <w:rPr>
          <w:rFonts w:hint="eastAsia"/>
          <w:snapToGrid/>
        </w:rPr>
        <w:t>条</w:t>
      </w:r>
      <w:r>
        <w:rPr>
          <w:rFonts w:hint="eastAsia"/>
          <w:snapToGrid/>
        </w:rPr>
        <w:t>)</w:t>
      </w:r>
      <w:r>
        <w:rPr>
          <w:rFonts w:hint="eastAsia"/>
          <w:snapToGrid/>
        </w:rPr>
        <w:t>；</w:t>
      </w:r>
    </w:p>
    <w:p w:rsidR="00000000" w:rsidRDefault="00000000">
      <w:pPr>
        <w:ind w:left="510" w:firstLine="539"/>
        <w:rPr>
          <w:snapToGrid/>
        </w:rPr>
      </w:pPr>
      <w:r>
        <w:rPr>
          <w:rFonts w:hint="eastAsia"/>
          <w:snapToGrid/>
        </w:rPr>
        <w:t>教育权</w:t>
      </w:r>
      <w:r>
        <w:rPr>
          <w:snapToGrid/>
        </w:rPr>
        <w:t>(</w:t>
      </w:r>
      <w:r>
        <w:rPr>
          <w:rFonts w:hint="eastAsia"/>
          <w:snapToGrid/>
        </w:rPr>
        <w:t>第</w:t>
      </w:r>
      <w:r>
        <w:rPr>
          <w:rFonts w:hint="eastAsia"/>
          <w:snapToGrid/>
        </w:rPr>
        <w:t>35</w:t>
      </w:r>
      <w:r>
        <w:rPr>
          <w:rFonts w:hint="eastAsia"/>
          <w:snapToGrid/>
        </w:rPr>
        <w:t>条</w:t>
      </w:r>
      <w:r>
        <w:rPr>
          <w:rFonts w:hint="eastAsia"/>
          <w:snapToGrid/>
        </w:rPr>
        <w:t>)</w:t>
      </w:r>
      <w:r>
        <w:rPr>
          <w:rFonts w:hint="eastAsia"/>
          <w:snapToGrid/>
        </w:rPr>
        <w:t>；</w:t>
      </w:r>
    </w:p>
    <w:p w:rsidR="00000000" w:rsidRDefault="00000000">
      <w:pPr>
        <w:ind w:left="510" w:firstLine="539"/>
        <w:rPr>
          <w:snapToGrid/>
        </w:rPr>
      </w:pPr>
      <w:r>
        <w:rPr>
          <w:rFonts w:hint="eastAsia"/>
          <w:snapToGrid/>
        </w:rPr>
        <w:t>艺术和科学创造自由权</w:t>
      </w:r>
      <w:r>
        <w:rPr>
          <w:snapToGrid/>
        </w:rPr>
        <w:t>(</w:t>
      </w:r>
      <w:r>
        <w:rPr>
          <w:rFonts w:hint="eastAsia"/>
          <w:snapToGrid/>
        </w:rPr>
        <w:t>第</w:t>
      </w:r>
      <w:r>
        <w:rPr>
          <w:rFonts w:hint="eastAsia"/>
          <w:snapToGrid/>
        </w:rPr>
        <w:t>33</w:t>
      </w:r>
      <w:r>
        <w:rPr>
          <w:rFonts w:hint="eastAsia"/>
          <w:snapToGrid/>
        </w:rPr>
        <w:t>条第</w:t>
      </w:r>
      <w:r>
        <w:rPr>
          <w:rFonts w:hint="eastAsia"/>
          <w:snapToGrid/>
        </w:rPr>
        <w:t>1</w:t>
      </w:r>
      <w:r>
        <w:rPr>
          <w:rFonts w:hint="eastAsia"/>
          <w:snapToGrid/>
        </w:rPr>
        <w:t>款</w:t>
      </w:r>
      <w:r>
        <w:rPr>
          <w:rFonts w:hint="eastAsia"/>
          <w:snapToGrid/>
        </w:rPr>
        <w:t>)</w:t>
      </w:r>
      <w:r>
        <w:rPr>
          <w:rFonts w:hint="eastAsia"/>
          <w:snapToGrid/>
        </w:rPr>
        <w:t>；</w:t>
      </w:r>
    </w:p>
    <w:p w:rsidR="00000000" w:rsidRDefault="00000000">
      <w:pPr>
        <w:ind w:left="510" w:firstLine="539"/>
        <w:rPr>
          <w:snapToGrid/>
        </w:rPr>
      </w:pPr>
      <w:r>
        <w:rPr>
          <w:rFonts w:hint="eastAsia"/>
          <w:snapToGrid/>
        </w:rPr>
        <w:t>知识产权</w:t>
      </w:r>
      <w:r>
        <w:rPr>
          <w:rFonts w:hint="eastAsia"/>
          <w:snapToGrid/>
        </w:rPr>
        <w:t>(</w:t>
      </w:r>
      <w:r>
        <w:rPr>
          <w:rFonts w:hint="eastAsia"/>
          <w:snapToGrid/>
        </w:rPr>
        <w:t>第</w:t>
      </w:r>
      <w:r>
        <w:rPr>
          <w:rFonts w:hint="eastAsia"/>
          <w:snapToGrid/>
        </w:rPr>
        <w:t>33</w:t>
      </w:r>
      <w:r>
        <w:rPr>
          <w:rFonts w:hint="eastAsia"/>
          <w:snapToGrid/>
        </w:rPr>
        <w:t>条第</w:t>
      </w:r>
      <w:r>
        <w:rPr>
          <w:rFonts w:hint="eastAsia"/>
          <w:snapToGrid/>
        </w:rPr>
        <w:t>2</w:t>
      </w:r>
      <w:r>
        <w:rPr>
          <w:rFonts w:hint="eastAsia"/>
          <w:snapToGrid/>
        </w:rPr>
        <w:t>款</w:t>
      </w:r>
      <w:r>
        <w:rPr>
          <w:rFonts w:hint="eastAsia"/>
          <w:snapToGrid/>
        </w:rPr>
        <w:t>)</w:t>
      </w:r>
      <w:r>
        <w:rPr>
          <w:rFonts w:hint="eastAsia"/>
          <w:snapToGrid/>
        </w:rPr>
        <w:t>；</w:t>
      </w:r>
    </w:p>
    <w:p w:rsidR="00000000" w:rsidRDefault="00000000">
      <w:pPr>
        <w:ind w:left="510" w:firstLine="539"/>
        <w:rPr>
          <w:snapToGrid/>
        </w:rPr>
      </w:pPr>
      <w:r>
        <w:rPr>
          <w:rFonts w:hint="eastAsia"/>
          <w:snapToGrid/>
        </w:rPr>
        <w:t>发展和宣传文化和科学成就权</w:t>
      </w:r>
      <w:r>
        <w:rPr>
          <w:rFonts w:hint="eastAsia"/>
          <w:snapToGrid/>
        </w:rPr>
        <w:t>(</w:t>
      </w:r>
      <w:r>
        <w:rPr>
          <w:rFonts w:hint="eastAsia"/>
          <w:snapToGrid/>
        </w:rPr>
        <w:t>第</w:t>
      </w:r>
      <w:r>
        <w:rPr>
          <w:rFonts w:hint="eastAsia"/>
          <w:snapToGrid/>
        </w:rPr>
        <w:t>33</w:t>
      </w:r>
      <w:r>
        <w:rPr>
          <w:rFonts w:hint="eastAsia"/>
          <w:snapToGrid/>
        </w:rPr>
        <w:t>条第三款</w:t>
      </w:r>
      <w:r>
        <w:rPr>
          <w:rFonts w:hint="eastAsia"/>
          <w:snapToGrid/>
        </w:rPr>
        <w:t>)</w:t>
      </w:r>
      <w:r>
        <w:rPr>
          <w:rFonts w:hint="eastAsia"/>
          <w:snapToGrid/>
        </w:rPr>
        <w:t>；</w:t>
      </w:r>
    </w:p>
    <w:p w:rsidR="00000000" w:rsidRDefault="00000000">
      <w:pPr>
        <w:ind w:left="510" w:firstLine="539"/>
        <w:rPr>
          <w:snapToGrid/>
        </w:rPr>
      </w:pPr>
      <w:r>
        <w:rPr>
          <w:rFonts w:hint="eastAsia"/>
          <w:snapToGrid/>
        </w:rPr>
        <w:t>选择教学语言权</w:t>
      </w:r>
      <w:r>
        <w:rPr>
          <w:snapToGrid/>
        </w:rPr>
        <w:t>(</w:t>
      </w:r>
      <w:r>
        <w:rPr>
          <w:rFonts w:hint="eastAsia"/>
          <w:snapToGrid/>
        </w:rPr>
        <w:t>第</w:t>
      </w:r>
      <w:r>
        <w:rPr>
          <w:rFonts w:hint="eastAsia"/>
          <w:snapToGrid/>
        </w:rPr>
        <w:t>35</w:t>
      </w:r>
      <w:r>
        <w:rPr>
          <w:rFonts w:hint="eastAsia"/>
          <w:snapToGrid/>
        </w:rPr>
        <w:t>条第</w:t>
      </w:r>
      <w:r>
        <w:rPr>
          <w:rFonts w:hint="eastAsia"/>
          <w:snapToGrid/>
        </w:rPr>
        <w:t>2</w:t>
      </w:r>
      <w:r>
        <w:rPr>
          <w:rFonts w:hint="eastAsia"/>
          <w:snapToGrid/>
        </w:rPr>
        <w:t>款</w:t>
      </w:r>
      <w:r>
        <w:rPr>
          <w:rFonts w:hint="eastAsia"/>
          <w:snapToGrid/>
        </w:rPr>
        <w:t>)</w:t>
      </w:r>
      <w:r>
        <w:rPr>
          <w:rFonts w:hint="eastAsia"/>
          <w:snapToGrid/>
        </w:rPr>
        <w:t>。</w:t>
      </w:r>
    </w:p>
    <w:p w:rsidR="00000000" w:rsidRDefault="00000000">
      <w:pPr>
        <w:ind w:firstLine="539"/>
        <w:rPr>
          <w:rFonts w:hint="eastAsia"/>
          <w:snapToGrid/>
        </w:rPr>
      </w:pPr>
      <w:r>
        <w:rPr>
          <w:snapToGrid/>
        </w:rPr>
        <w:t>106.</w:t>
      </w:r>
      <w:r>
        <w:rPr>
          <w:rFonts w:hint="eastAsia"/>
          <w:snapToGrid/>
        </w:rPr>
        <w:t xml:space="preserve">  </w:t>
      </w:r>
      <w:r>
        <w:rPr>
          <w:rFonts w:hint="eastAsia"/>
          <w:snapToGrid/>
        </w:rPr>
        <w:t>缔约国依照《宪法》第</w:t>
      </w:r>
      <w:r>
        <w:rPr>
          <w:rFonts w:hint="eastAsia"/>
          <w:snapToGrid/>
        </w:rPr>
        <w:t>47</w:t>
      </w:r>
      <w:r>
        <w:rPr>
          <w:rFonts w:hint="eastAsia"/>
          <w:snapToGrid/>
        </w:rPr>
        <w:t>条，承诺采取措施确保人人享有体面的生活水准，为个人以及他</w:t>
      </w:r>
      <w:r>
        <w:rPr>
          <w:rFonts w:hint="eastAsia"/>
          <w:snapToGrid/>
        </w:rPr>
        <w:t>/</w:t>
      </w:r>
      <w:r>
        <w:rPr>
          <w:rFonts w:hint="eastAsia"/>
          <w:snapToGrid/>
        </w:rPr>
        <w:t>她的家庭提供保健和福利，包括商品、衣着、医疗援助和必要的社会服务</w:t>
      </w:r>
      <w:r>
        <w:rPr>
          <w:rFonts w:hint="eastAsia"/>
          <w:snapToGrid/>
        </w:rPr>
        <w:t>(</w:t>
      </w:r>
      <w:r>
        <w:rPr>
          <w:rFonts w:hint="eastAsia"/>
          <w:snapToGrid/>
        </w:rPr>
        <w:t>还请参见下文第十一条</w:t>
      </w:r>
      <w:r>
        <w:rPr>
          <w:rFonts w:hint="eastAsia"/>
          <w:snapToGrid/>
        </w:rPr>
        <w:t>)</w:t>
      </w:r>
      <w:r>
        <w:rPr>
          <w:rFonts w:hint="eastAsia"/>
          <w:snapToGrid/>
        </w:rPr>
        <w:t>。</w:t>
      </w:r>
    </w:p>
    <w:p w:rsidR="00000000" w:rsidRDefault="00000000">
      <w:pPr>
        <w:ind w:firstLine="539"/>
        <w:rPr>
          <w:snapToGrid/>
        </w:rPr>
      </w:pPr>
      <w:r>
        <w:rPr>
          <w:snapToGrid/>
        </w:rPr>
        <w:t>107.</w:t>
      </w:r>
      <w:r>
        <w:rPr>
          <w:rFonts w:hint="eastAsia"/>
          <w:snapToGrid/>
        </w:rPr>
        <w:t xml:space="preserve">  </w:t>
      </w:r>
      <w:r>
        <w:rPr>
          <w:snapToGrid/>
        </w:rPr>
        <w:t>自从发布了《独立宣言》以来，摩尔多瓦共和国得以创建起了法律环境，在</w:t>
      </w:r>
      <w:r>
        <w:rPr>
          <w:rFonts w:hint="eastAsia"/>
          <w:snapToGrid/>
        </w:rPr>
        <w:t>很</w:t>
      </w:r>
      <w:r>
        <w:rPr>
          <w:snapToGrid/>
        </w:rPr>
        <w:t>大程度上达到了国家经济、社会和文化发展普遍可接受的标准。在本着市场关系的精神</w:t>
      </w:r>
      <w:r>
        <w:rPr>
          <w:rFonts w:hint="eastAsia"/>
          <w:snapToGrid/>
        </w:rPr>
        <w:t>，在为</w:t>
      </w:r>
      <w:r>
        <w:rPr>
          <w:snapToGrid/>
        </w:rPr>
        <w:t>国民经济转型奠定基础的第一批司法法案</w:t>
      </w:r>
      <w:r>
        <w:rPr>
          <w:rFonts w:hint="eastAsia"/>
          <w:snapToGrid/>
        </w:rPr>
        <w:t>中</w:t>
      </w:r>
      <w:r>
        <w:rPr>
          <w:snapToGrid/>
        </w:rPr>
        <w:t>可提及，议会关于</w:t>
      </w:r>
      <w:r>
        <w:rPr>
          <w:rFonts w:hint="eastAsia"/>
          <w:snapToGrid/>
        </w:rPr>
        <w:t>“</w:t>
      </w:r>
      <w:r>
        <w:rPr>
          <w:snapToGrid/>
        </w:rPr>
        <w:t>向市场经济</w:t>
      </w:r>
      <w:r>
        <w:rPr>
          <w:rFonts w:hint="eastAsia"/>
          <w:snapToGrid/>
        </w:rPr>
        <w:t>转型</w:t>
      </w:r>
      <w:r>
        <w:rPr>
          <w:snapToGrid/>
        </w:rPr>
        <w:t>概念</w:t>
      </w:r>
      <w:r>
        <w:rPr>
          <w:rFonts w:hint="eastAsia"/>
          <w:snapToGrid/>
        </w:rPr>
        <w:t>”</w:t>
      </w:r>
      <w:r>
        <w:rPr>
          <w:snapToGrid/>
        </w:rPr>
        <w:t>的决定</w:t>
      </w:r>
      <w:r>
        <w:rPr>
          <w:snapToGrid/>
        </w:rPr>
        <w:t>(1990</w:t>
      </w:r>
      <w:r>
        <w:rPr>
          <w:snapToGrid/>
        </w:rPr>
        <w:t>年</w:t>
      </w:r>
      <w:r>
        <w:rPr>
          <w:snapToGrid/>
        </w:rPr>
        <w:t>)</w:t>
      </w:r>
      <w:r>
        <w:rPr>
          <w:snapToGrid/>
        </w:rPr>
        <w:t>和摩尔多瓦向市场经济转型的方案</w:t>
      </w:r>
      <w:r>
        <w:rPr>
          <w:snapToGrid/>
        </w:rPr>
        <w:t>(1991</w:t>
      </w:r>
      <w:r>
        <w:rPr>
          <w:snapToGrid/>
        </w:rPr>
        <w:t>年</w:t>
      </w:r>
      <w:r>
        <w:rPr>
          <w:snapToGrid/>
        </w:rPr>
        <w:t>)</w:t>
      </w:r>
      <w:r>
        <w:rPr>
          <w:snapToGrid/>
        </w:rPr>
        <w:t>。最高立法机构很快通过了《产权法》、《私有化法》、《土地法规》和其他司法法案。这促进了许多领域的改革，</w:t>
      </w:r>
      <w:r>
        <w:rPr>
          <w:rFonts w:hint="eastAsia"/>
          <w:snapToGrid/>
        </w:rPr>
        <w:t>优先实行耕地</w:t>
      </w:r>
      <w:r>
        <w:rPr>
          <w:snapToGrid/>
        </w:rPr>
        <w:t>商业</w:t>
      </w:r>
      <w:r>
        <w:rPr>
          <w:rFonts w:hint="eastAsia"/>
          <w:snapToGrid/>
        </w:rPr>
        <w:t>化</w:t>
      </w:r>
      <w:r>
        <w:rPr>
          <w:snapToGrid/>
        </w:rPr>
        <w:t>改革</w:t>
      </w:r>
      <w:r>
        <w:rPr>
          <w:rFonts w:hint="eastAsia"/>
          <w:snapToGrid/>
        </w:rPr>
        <w:t>并在</w:t>
      </w:r>
      <w:r>
        <w:rPr>
          <w:snapToGrid/>
        </w:rPr>
        <w:t>农业和工业部门推行，目的</w:t>
      </w:r>
      <w:r>
        <w:rPr>
          <w:rFonts w:hint="eastAsia"/>
          <w:snapToGrid/>
        </w:rPr>
        <w:t>是</w:t>
      </w:r>
      <w:r>
        <w:rPr>
          <w:snapToGrid/>
        </w:rPr>
        <w:t>实现宏观经济的稳定，并提高人口的生活水平。</w:t>
      </w:r>
    </w:p>
    <w:p w:rsidR="00000000" w:rsidRDefault="00000000">
      <w:pPr>
        <w:ind w:firstLine="539"/>
        <w:rPr>
          <w:snapToGrid/>
        </w:rPr>
      </w:pPr>
      <w:r>
        <w:rPr>
          <w:snapToGrid/>
        </w:rPr>
        <w:t>108.</w:t>
      </w:r>
      <w:r>
        <w:rPr>
          <w:rFonts w:hint="eastAsia"/>
          <w:snapToGrid/>
        </w:rPr>
        <w:t xml:space="preserve">  </w:t>
      </w:r>
      <w:r>
        <w:rPr>
          <w:snapToGrid/>
        </w:rPr>
        <w:t>大规模的私有化正在推行。已经开始了将土地分配给自耕农的进程</w:t>
      </w:r>
      <w:r>
        <w:rPr>
          <w:rFonts w:hint="eastAsia"/>
          <w:snapToGrid/>
        </w:rPr>
        <w:t>，</w:t>
      </w:r>
      <w:r>
        <w:rPr>
          <w:snapToGrid/>
        </w:rPr>
        <w:t>发</w:t>
      </w:r>
      <w:r>
        <w:rPr>
          <w:rFonts w:hint="eastAsia"/>
          <w:snapToGrid/>
        </w:rPr>
        <w:t>行</w:t>
      </w:r>
      <w:r>
        <w:rPr>
          <w:snapToGrid/>
        </w:rPr>
        <w:t>了国家货币。市场和贸易正在实行自由化，并且在发展承包商业经营制。政府与国际货币基金组织和世界银行合作，制定了第一个稳定转型期经济的实质性方案，旨在加快经营活动，列入一切必要的条件以实现：宏观经济的稳定；开放价格和贸易；在这方面建立持久和可靠的法律基础结构；将公有资产向私营部门转让，推动金融部门的创建。</w:t>
      </w:r>
      <w:r>
        <w:rPr>
          <w:rFonts w:hint="eastAsia"/>
          <w:snapToGrid/>
        </w:rPr>
        <w:t>而</w:t>
      </w:r>
      <w:r>
        <w:rPr>
          <w:snapToGrid/>
        </w:rPr>
        <w:t>后，摩尔多瓦共和国政府出于推行国家发展长期</w:t>
      </w:r>
      <w:r>
        <w:rPr>
          <w:rFonts w:hint="eastAsia"/>
          <w:snapToGrid/>
        </w:rPr>
        <w:t>性</w:t>
      </w:r>
      <w:r>
        <w:rPr>
          <w:snapToGrid/>
        </w:rPr>
        <w:t>战略的必要，通过了</w:t>
      </w:r>
      <w:r>
        <w:rPr>
          <w:rFonts w:hint="eastAsia"/>
          <w:snapToGrid/>
        </w:rPr>
        <w:t>“</w:t>
      </w:r>
      <w:r>
        <w:rPr>
          <w:snapToGrid/>
        </w:rPr>
        <w:t>摩尔多瓦共和国直至</w:t>
      </w:r>
      <w:r>
        <w:rPr>
          <w:snapToGrid/>
        </w:rPr>
        <w:t>2005</w:t>
      </w:r>
      <w:r>
        <w:rPr>
          <w:snapToGrid/>
        </w:rPr>
        <w:t>年</w:t>
      </w:r>
      <w:r>
        <w:rPr>
          <w:rFonts w:hint="eastAsia"/>
          <w:snapToGrid/>
        </w:rPr>
        <w:t>的</w:t>
      </w:r>
      <w:r>
        <w:rPr>
          <w:snapToGrid/>
        </w:rPr>
        <w:t>社会经济发展战略方</w:t>
      </w:r>
      <w:r>
        <w:rPr>
          <w:rFonts w:hint="eastAsia"/>
          <w:snapToGrid/>
        </w:rPr>
        <w:t>向”</w:t>
      </w:r>
      <w:r>
        <w:rPr>
          <w:snapToGrid/>
        </w:rPr>
        <w:t>(1998</w:t>
      </w:r>
      <w:r>
        <w:rPr>
          <w:snapToGrid/>
        </w:rPr>
        <w:t>年</w:t>
      </w:r>
      <w:r>
        <w:rPr>
          <w:snapToGrid/>
        </w:rPr>
        <w:t>11</w:t>
      </w:r>
      <w:r>
        <w:rPr>
          <w:snapToGrid/>
        </w:rPr>
        <w:t>月</w:t>
      </w:r>
      <w:r>
        <w:rPr>
          <w:rFonts w:hint="eastAsia"/>
          <w:snapToGrid/>
        </w:rPr>
        <w:t>)</w:t>
      </w:r>
      <w:r>
        <w:rPr>
          <w:snapToGrid/>
        </w:rPr>
        <w:t>。</w:t>
      </w:r>
    </w:p>
    <w:p w:rsidR="00000000" w:rsidRDefault="00000000">
      <w:pPr>
        <w:ind w:firstLine="539"/>
        <w:rPr>
          <w:snapToGrid/>
        </w:rPr>
      </w:pPr>
      <w:r>
        <w:rPr>
          <w:snapToGrid/>
        </w:rPr>
        <w:t>109.  1998</w:t>
      </w:r>
      <w:r>
        <w:rPr>
          <w:snapToGrid/>
        </w:rPr>
        <w:t>年</w:t>
      </w:r>
      <w:r>
        <w:rPr>
          <w:snapToGrid/>
        </w:rPr>
        <w:t>12</w:t>
      </w:r>
      <w:r>
        <w:rPr>
          <w:snapToGrid/>
        </w:rPr>
        <w:t>月，国家人权委员会</w:t>
      </w:r>
      <w:r>
        <w:rPr>
          <w:rFonts w:hint="eastAsia"/>
          <w:snapToGrid/>
        </w:rPr>
        <w:t>出于对</w:t>
      </w:r>
      <w:r>
        <w:rPr>
          <w:snapToGrid/>
        </w:rPr>
        <w:t>危急情况</w:t>
      </w:r>
      <w:r>
        <w:rPr>
          <w:rFonts w:hint="eastAsia"/>
          <w:snapToGrid/>
        </w:rPr>
        <w:t>的考虑</w:t>
      </w:r>
      <w:r>
        <w:rPr>
          <w:snapToGrid/>
        </w:rPr>
        <w:t>，提出了国家经济和社会安全问题。安全委员会列举了由于诸如经济转型</w:t>
      </w:r>
      <w:r>
        <w:rPr>
          <w:rFonts w:hint="eastAsia"/>
          <w:snapToGrid/>
        </w:rPr>
        <w:t>的后果影响</w:t>
      </w:r>
      <w:r>
        <w:rPr>
          <w:snapToGrid/>
        </w:rPr>
        <w:t>、</w:t>
      </w:r>
      <w:r>
        <w:rPr>
          <w:rFonts w:hint="eastAsia"/>
          <w:snapToGrid/>
        </w:rPr>
        <w:t>巩固政府的工作</w:t>
      </w:r>
      <w:r>
        <w:rPr>
          <w:snapToGrid/>
        </w:rPr>
        <w:t>、社会的不平衡、民众社会的创立等国</w:t>
      </w:r>
      <w:r>
        <w:rPr>
          <w:rFonts w:hint="eastAsia"/>
          <w:snapToGrid/>
        </w:rPr>
        <w:t>内状况</w:t>
      </w:r>
      <w:r>
        <w:rPr>
          <w:snapToGrid/>
        </w:rPr>
        <w:t>，以及大规模外在的积累和电力供应的依赖性等外部情况</w:t>
      </w:r>
      <w:r>
        <w:rPr>
          <w:rFonts w:hint="eastAsia"/>
          <w:snapToGrid/>
        </w:rPr>
        <w:t>形</w:t>
      </w:r>
      <w:r>
        <w:rPr>
          <w:snapToGrid/>
        </w:rPr>
        <w:t>成的风险。为此，在驻摩尔多瓦联合国开发计划署的支持下，制定了一项</w:t>
      </w:r>
      <w:r>
        <w:rPr>
          <w:rFonts w:hint="eastAsia"/>
          <w:snapToGrid/>
        </w:rPr>
        <w:t>“</w:t>
      </w:r>
      <w:r>
        <w:rPr>
          <w:snapToGrid/>
        </w:rPr>
        <w:t>摩尔多瓦共和国国家长期发展战略</w:t>
      </w:r>
      <w:r>
        <w:rPr>
          <w:rFonts w:hint="eastAsia"/>
          <w:snapToGrid/>
        </w:rPr>
        <w:t>”</w:t>
      </w:r>
      <w:r>
        <w:rPr>
          <w:snapToGrid/>
        </w:rPr>
        <w:t>。这项文件</w:t>
      </w:r>
      <w:r>
        <w:rPr>
          <w:rFonts w:hint="eastAsia"/>
          <w:snapToGrid/>
        </w:rPr>
        <w:t>以《里约宣言》原则为重点，主要着重于集中力量改善当代人的生活质量，而又无损于子孙后代解决其个人需求的机会。这项战略的目标是：</w:t>
      </w:r>
    </w:p>
    <w:p w:rsidR="00000000" w:rsidRDefault="00000000">
      <w:pPr>
        <w:numPr>
          <w:ilvl w:val="1"/>
          <w:numId w:val="81"/>
        </w:numPr>
        <w:tabs>
          <w:tab w:val="clear" w:pos="1246"/>
        </w:tabs>
        <w:ind w:left="1531"/>
        <w:rPr>
          <w:rFonts w:hint="eastAsia"/>
          <w:snapToGrid/>
        </w:rPr>
      </w:pPr>
      <w:r>
        <w:rPr>
          <w:snapToGrid/>
        </w:rPr>
        <w:t>根据自然资源养护和再生的需要，以及子孙后代安全的需要，提供福利、保健和教育；</w:t>
      </w:r>
    </w:p>
    <w:p w:rsidR="00000000" w:rsidRDefault="00000000">
      <w:pPr>
        <w:numPr>
          <w:ilvl w:val="1"/>
          <w:numId w:val="81"/>
        </w:numPr>
        <w:tabs>
          <w:tab w:val="clear" w:pos="1246"/>
        </w:tabs>
        <w:ind w:left="1531"/>
        <w:rPr>
          <w:rFonts w:hint="eastAsia"/>
          <w:snapToGrid/>
        </w:rPr>
      </w:pPr>
      <w:r>
        <w:rPr>
          <w:snapToGrid/>
        </w:rPr>
        <w:t>开拓竞争潜力</w:t>
      </w:r>
      <w:r>
        <w:rPr>
          <w:rFonts w:hint="eastAsia"/>
          <w:snapToGrid/>
        </w:rPr>
        <w:t>，</w:t>
      </w:r>
      <w:r>
        <w:rPr>
          <w:snapToGrid/>
        </w:rPr>
        <w:t>重振和稳定经济增长和持久的人的发展；</w:t>
      </w:r>
    </w:p>
    <w:p w:rsidR="00000000" w:rsidRDefault="00000000">
      <w:pPr>
        <w:numPr>
          <w:ilvl w:val="1"/>
          <w:numId w:val="81"/>
        </w:numPr>
        <w:tabs>
          <w:tab w:val="clear" w:pos="1246"/>
        </w:tabs>
        <w:ind w:left="1531"/>
        <w:rPr>
          <w:rFonts w:hint="eastAsia"/>
          <w:snapToGrid/>
        </w:rPr>
      </w:pPr>
      <w:r>
        <w:rPr>
          <w:snapToGrid/>
        </w:rPr>
        <w:t>实现体面的生活水准；</w:t>
      </w:r>
    </w:p>
    <w:p w:rsidR="00000000" w:rsidRDefault="00000000">
      <w:pPr>
        <w:numPr>
          <w:ilvl w:val="1"/>
          <w:numId w:val="81"/>
        </w:numPr>
        <w:tabs>
          <w:tab w:val="clear" w:pos="1246"/>
        </w:tabs>
        <w:ind w:left="1531"/>
        <w:rPr>
          <w:rFonts w:hint="eastAsia"/>
          <w:snapToGrid/>
        </w:rPr>
      </w:pPr>
      <w:r>
        <w:rPr>
          <w:snapToGrid/>
        </w:rPr>
        <w:t>建立应付科学、技术、信息和道德危急情况的人力资本；</w:t>
      </w:r>
    </w:p>
    <w:p w:rsidR="00000000" w:rsidRDefault="00000000">
      <w:pPr>
        <w:numPr>
          <w:ilvl w:val="1"/>
          <w:numId w:val="81"/>
        </w:numPr>
        <w:tabs>
          <w:tab w:val="clear" w:pos="1246"/>
        </w:tabs>
        <w:ind w:left="1531"/>
        <w:rPr>
          <w:rFonts w:hint="eastAsia"/>
          <w:snapToGrid/>
        </w:rPr>
      </w:pPr>
      <w:r>
        <w:rPr>
          <w:snapToGrid/>
        </w:rPr>
        <w:t>按照融入欧洲联盟的标准，在持久基础上加强社会经济制度的结构；</w:t>
      </w:r>
    </w:p>
    <w:p w:rsidR="00000000" w:rsidRDefault="00000000">
      <w:pPr>
        <w:numPr>
          <w:ilvl w:val="1"/>
          <w:numId w:val="81"/>
        </w:numPr>
        <w:tabs>
          <w:tab w:val="clear" w:pos="1246"/>
        </w:tabs>
        <w:ind w:left="1531"/>
        <w:rPr>
          <w:rFonts w:hint="eastAsia"/>
          <w:snapToGrid/>
        </w:rPr>
      </w:pPr>
      <w:r>
        <w:rPr>
          <w:snapToGrid/>
        </w:rPr>
        <w:t>振</w:t>
      </w:r>
      <w:r>
        <w:rPr>
          <w:rFonts w:hint="eastAsia"/>
          <w:snapToGrid/>
        </w:rPr>
        <w:t>兴</w:t>
      </w:r>
      <w:r>
        <w:rPr>
          <w:snapToGrid/>
        </w:rPr>
        <w:t>社会保险制度；</w:t>
      </w:r>
    </w:p>
    <w:p w:rsidR="00000000" w:rsidRDefault="00000000">
      <w:pPr>
        <w:numPr>
          <w:ilvl w:val="1"/>
          <w:numId w:val="81"/>
        </w:numPr>
        <w:tabs>
          <w:tab w:val="clear" w:pos="1246"/>
        </w:tabs>
        <w:ind w:left="1531"/>
        <w:rPr>
          <w:snapToGrid/>
        </w:rPr>
      </w:pPr>
      <w:r>
        <w:rPr>
          <w:rFonts w:hint="eastAsia"/>
          <w:snapToGrid/>
        </w:rPr>
        <w:t>长期</w:t>
      </w:r>
      <w:r>
        <w:rPr>
          <w:snapToGrid/>
        </w:rPr>
        <w:t>监测和调整</w:t>
      </w:r>
      <w:r>
        <w:rPr>
          <w:rFonts w:hint="eastAsia"/>
          <w:snapToGrid/>
        </w:rPr>
        <w:t>针对</w:t>
      </w:r>
      <w:r>
        <w:rPr>
          <w:snapToGrid/>
        </w:rPr>
        <w:t>经济和社会部门实绩</w:t>
      </w:r>
      <w:r>
        <w:rPr>
          <w:rFonts w:hint="eastAsia"/>
          <w:snapToGrid/>
        </w:rPr>
        <w:t>的发展</w:t>
      </w:r>
      <w:r>
        <w:rPr>
          <w:snapToGrid/>
        </w:rPr>
        <w:t>指数</w:t>
      </w:r>
      <w:r>
        <w:rPr>
          <w:rFonts w:hint="eastAsia"/>
          <w:snapToGrid/>
        </w:rPr>
        <w:t>和</w:t>
      </w:r>
      <w:r>
        <w:rPr>
          <w:snapToGrid/>
        </w:rPr>
        <w:t>环境保护领域的指数。</w:t>
      </w:r>
    </w:p>
    <w:p w:rsidR="00000000" w:rsidRDefault="00000000">
      <w:pPr>
        <w:ind w:firstLine="539"/>
        <w:rPr>
          <w:rFonts w:hint="eastAsia"/>
          <w:snapToGrid/>
        </w:rPr>
      </w:pPr>
      <w:r>
        <w:rPr>
          <w:snapToGrid/>
        </w:rPr>
        <w:t>110.</w:t>
      </w:r>
      <w:r>
        <w:rPr>
          <w:rFonts w:hint="eastAsia"/>
          <w:snapToGrid/>
        </w:rPr>
        <w:t xml:space="preserve">  </w:t>
      </w:r>
      <w:r>
        <w:rPr>
          <w:snapToGrid/>
        </w:rPr>
        <w:t>本项目将分两个阶段实施。第一阶段从</w:t>
      </w:r>
      <w:r>
        <w:rPr>
          <w:snapToGrid/>
        </w:rPr>
        <w:t>2000</w:t>
      </w:r>
      <w:r>
        <w:rPr>
          <w:snapToGrid/>
        </w:rPr>
        <w:t>年至</w:t>
      </w:r>
      <w:r>
        <w:rPr>
          <w:snapToGrid/>
        </w:rPr>
        <w:t>2005</w:t>
      </w:r>
      <w:r>
        <w:rPr>
          <w:snapToGrid/>
        </w:rPr>
        <w:t>年。在这一阶段期间，项目打算克</w:t>
      </w:r>
      <w:r>
        <w:rPr>
          <w:rFonts w:hint="eastAsia"/>
          <w:snapToGrid/>
        </w:rPr>
        <w:t>服</w:t>
      </w:r>
      <w:r>
        <w:rPr>
          <w:snapToGrid/>
        </w:rPr>
        <w:t>社会经济和政治危</w:t>
      </w:r>
      <w:r>
        <w:rPr>
          <w:rFonts w:hint="eastAsia"/>
          <w:snapToGrid/>
        </w:rPr>
        <w:t>机</w:t>
      </w:r>
      <w:r>
        <w:rPr>
          <w:snapToGrid/>
        </w:rPr>
        <w:t>；</w:t>
      </w:r>
      <w:r>
        <w:rPr>
          <w:rFonts w:hint="eastAsia"/>
          <w:snapToGrid/>
        </w:rPr>
        <w:t>过渡到</w:t>
      </w:r>
      <w:r>
        <w:rPr>
          <w:snapToGrid/>
        </w:rPr>
        <w:t>经济增长</w:t>
      </w:r>
      <w:r>
        <w:rPr>
          <w:rFonts w:hint="eastAsia"/>
          <w:snapToGrid/>
        </w:rPr>
        <w:t>期</w:t>
      </w:r>
      <w:r>
        <w:rPr>
          <w:snapToGrid/>
        </w:rPr>
        <w:t>、提高生活质量；实现政府</w:t>
      </w:r>
      <w:r>
        <w:rPr>
          <w:rFonts w:hint="eastAsia"/>
          <w:snapToGrid/>
        </w:rPr>
        <w:t>的</w:t>
      </w:r>
      <w:r>
        <w:rPr>
          <w:snapToGrid/>
        </w:rPr>
        <w:t>稳定，然后</w:t>
      </w:r>
      <w:r>
        <w:rPr>
          <w:rFonts w:hint="eastAsia"/>
          <w:snapToGrid/>
        </w:rPr>
        <w:t>，再</w:t>
      </w:r>
      <w:r>
        <w:rPr>
          <w:snapToGrid/>
        </w:rPr>
        <w:t>完成结构和宏观经济改革，完成</w:t>
      </w:r>
      <w:r>
        <w:rPr>
          <w:rFonts w:hint="eastAsia"/>
          <w:snapToGrid/>
        </w:rPr>
        <w:t>建立</w:t>
      </w:r>
      <w:r>
        <w:rPr>
          <w:snapToGrid/>
        </w:rPr>
        <w:t>法律</w:t>
      </w:r>
      <w:r>
        <w:rPr>
          <w:rFonts w:hint="eastAsia"/>
          <w:snapToGrid/>
        </w:rPr>
        <w:t>支</w:t>
      </w:r>
      <w:r>
        <w:rPr>
          <w:snapToGrid/>
        </w:rPr>
        <w:t>助</w:t>
      </w:r>
      <w:r>
        <w:rPr>
          <w:rFonts w:hint="eastAsia"/>
          <w:snapToGrid/>
        </w:rPr>
        <w:t>的</w:t>
      </w:r>
      <w:r>
        <w:rPr>
          <w:snapToGrid/>
        </w:rPr>
        <w:t>工作，</w:t>
      </w:r>
      <w:r>
        <w:rPr>
          <w:rFonts w:hint="eastAsia"/>
          <w:snapToGrid/>
        </w:rPr>
        <w:t>以</w:t>
      </w:r>
      <w:r>
        <w:rPr>
          <w:snapToGrid/>
        </w:rPr>
        <w:t>推动向市场经济的转型，</w:t>
      </w:r>
      <w:r>
        <w:rPr>
          <w:rFonts w:hint="eastAsia"/>
          <w:snapToGrid/>
        </w:rPr>
        <w:t>和</w:t>
      </w:r>
      <w:r>
        <w:rPr>
          <w:snapToGrid/>
        </w:rPr>
        <w:t>确保经济机制的运作。第二个阶段</w:t>
      </w:r>
      <w:r>
        <w:rPr>
          <w:rFonts w:hint="eastAsia"/>
          <w:snapToGrid/>
        </w:rPr>
        <w:t>是</w:t>
      </w:r>
      <w:r>
        <w:rPr>
          <w:snapToGrid/>
        </w:rPr>
        <w:t>2006</w:t>
      </w:r>
      <w:r>
        <w:rPr>
          <w:snapToGrid/>
        </w:rPr>
        <w:t>至</w:t>
      </w:r>
      <w:r>
        <w:rPr>
          <w:snapToGrid/>
        </w:rPr>
        <w:t>2020</w:t>
      </w:r>
      <w:r>
        <w:rPr>
          <w:snapToGrid/>
        </w:rPr>
        <w:t>年。这个阶段包括：实现经济安全；在正常的市场经济运作情况下，积累民族财富；环境利用</w:t>
      </w:r>
      <w:r>
        <w:rPr>
          <w:rFonts w:hint="eastAsia"/>
          <w:snapToGrid/>
        </w:rPr>
        <w:t>的</w:t>
      </w:r>
      <w:r>
        <w:rPr>
          <w:snapToGrid/>
        </w:rPr>
        <w:t>合理</w:t>
      </w:r>
      <w:r>
        <w:rPr>
          <w:rFonts w:hint="eastAsia"/>
          <w:snapToGrid/>
        </w:rPr>
        <w:t>化</w:t>
      </w:r>
      <w:r>
        <w:rPr>
          <w:snapToGrid/>
        </w:rPr>
        <w:t>；</w:t>
      </w:r>
      <w:r>
        <w:rPr>
          <w:rFonts w:hint="eastAsia"/>
          <w:snapToGrid/>
        </w:rPr>
        <w:t>恢复</w:t>
      </w:r>
      <w:r>
        <w:rPr>
          <w:snapToGrid/>
        </w:rPr>
        <w:t>自然资源</w:t>
      </w:r>
      <w:r>
        <w:rPr>
          <w:rFonts w:hint="eastAsia"/>
          <w:snapToGrid/>
        </w:rPr>
        <w:t>的</w:t>
      </w:r>
      <w:r>
        <w:rPr>
          <w:snapToGrid/>
        </w:rPr>
        <w:t>再生力；养护基本的生态系统；</w:t>
      </w:r>
      <w:r>
        <w:rPr>
          <w:rFonts w:hint="eastAsia"/>
          <w:snapToGrid/>
        </w:rPr>
        <w:t>提高</w:t>
      </w:r>
      <w:r>
        <w:rPr>
          <w:snapToGrid/>
        </w:rPr>
        <w:t>生活水准、医疗保健、受教育机会和社会保护；提供健康的工作、生活和休息环境；</w:t>
      </w:r>
      <w:r>
        <w:rPr>
          <w:rFonts w:hint="eastAsia"/>
          <w:snapToGrid/>
        </w:rPr>
        <w:t>并</w:t>
      </w:r>
      <w:r>
        <w:rPr>
          <w:snapToGrid/>
        </w:rPr>
        <w:t>巩固一个开放的民众社会。</w:t>
      </w:r>
    </w:p>
    <w:p w:rsidR="00000000" w:rsidRDefault="00000000">
      <w:pPr>
        <w:ind w:firstLine="539"/>
        <w:rPr>
          <w:snapToGrid/>
        </w:rPr>
      </w:pPr>
      <w:r>
        <w:rPr>
          <w:snapToGrid/>
        </w:rPr>
        <w:t>111.</w:t>
      </w:r>
      <w:r>
        <w:rPr>
          <w:rFonts w:hint="eastAsia"/>
          <w:snapToGrid/>
        </w:rPr>
        <w:t xml:space="preserve">  </w:t>
      </w:r>
      <w:r>
        <w:rPr>
          <w:snapToGrid/>
        </w:rPr>
        <w:t>摩尔多瓦共和国面临一系列的问题，然而，摩尔多瓦采取了一切必要措施</w:t>
      </w:r>
      <w:r>
        <w:rPr>
          <w:rFonts w:hint="eastAsia"/>
          <w:snapToGrid/>
        </w:rPr>
        <w:t>，以</w:t>
      </w:r>
      <w:r>
        <w:rPr>
          <w:snapToGrid/>
        </w:rPr>
        <w:t>增强和提供经济、粮食和公安全以及保护环境。</w:t>
      </w:r>
    </w:p>
    <w:p w:rsidR="00000000" w:rsidRDefault="00000000">
      <w:pPr>
        <w:ind w:firstLine="539"/>
        <w:rPr>
          <w:snapToGrid/>
        </w:rPr>
      </w:pPr>
      <w:r>
        <w:rPr>
          <w:snapToGrid/>
        </w:rPr>
        <w:t>112.</w:t>
      </w:r>
      <w:r>
        <w:rPr>
          <w:rFonts w:hint="eastAsia"/>
          <w:snapToGrid/>
        </w:rPr>
        <w:t xml:space="preserve">  </w:t>
      </w:r>
      <w:r>
        <w:rPr>
          <w:snapToGrid/>
        </w:rPr>
        <w:t>国家</w:t>
      </w:r>
      <w:r>
        <w:rPr>
          <w:rFonts w:hint="eastAsia"/>
          <w:snapToGrid/>
        </w:rPr>
        <w:t>经济</w:t>
      </w:r>
      <w:r>
        <w:rPr>
          <w:snapToGrid/>
        </w:rPr>
        <w:t>仍处于</w:t>
      </w:r>
      <w:r>
        <w:rPr>
          <w:rFonts w:hint="eastAsia"/>
          <w:snapToGrid/>
        </w:rPr>
        <w:t>以</w:t>
      </w:r>
      <w:r>
        <w:rPr>
          <w:snapToGrid/>
        </w:rPr>
        <w:t>各经济分支部门产量和生产率下降、供求之间</w:t>
      </w:r>
      <w:r>
        <w:rPr>
          <w:rFonts w:hint="eastAsia"/>
          <w:snapToGrid/>
        </w:rPr>
        <w:t>的</w:t>
      </w:r>
      <w:r>
        <w:rPr>
          <w:snapToGrid/>
        </w:rPr>
        <w:t>差别，以及</w:t>
      </w:r>
      <w:r>
        <w:rPr>
          <w:rFonts w:hint="eastAsia"/>
          <w:snapToGrid/>
        </w:rPr>
        <w:t>内、</w:t>
      </w:r>
      <w:r>
        <w:rPr>
          <w:snapToGrid/>
        </w:rPr>
        <w:t>外部投资长期不足严重影响了生产</w:t>
      </w:r>
      <w:r>
        <w:rPr>
          <w:rFonts w:hint="eastAsia"/>
          <w:snapToGrid/>
        </w:rPr>
        <w:t>为表现的严重</w:t>
      </w:r>
      <w:r>
        <w:rPr>
          <w:snapToGrid/>
        </w:rPr>
        <w:t>危急状态。财政上的</w:t>
      </w:r>
      <w:r>
        <w:rPr>
          <w:rFonts w:hint="eastAsia"/>
          <w:snapToGrid/>
        </w:rPr>
        <w:t>入不敷出</w:t>
      </w:r>
      <w:r>
        <w:rPr>
          <w:snapToGrid/>
        </w:rPr>
        <w:t>，造成了</w:t>
      </w:r>
      <w:r>
        <w:rPr>
          <w:rFonts w:hint="eastAsia"/>
          <w:snapToGrid/>
        </w:rPr>
        <w:t>无力</w:t>
      </w:r>
      <w:r>
        <w:rPr>
          <w:snapToGrid/>
        </w:rPr>
        <w:t>偿付</w:t>
      </w:r>
      <w:r>
        <w:rPr>
          <w:rFonts w:hint="eastAsia"/>
          <w:snapToGrid/>
        </w:rPr>
        <w:t>和支付</w:t>
      </w:r>
      <w:r>
        <w:rPr>
          <w:snapToGrid/>
        </w:rPr>
        <w:t>的危急。无法兑现用于农业生产的资金，削弱了农业部门发展和现代化的可能性。</w:t>
      </w:r>
    </w:p>
    <w:p w:rsidR="00000000" w:rsidRDefault="00000000">
      <w:pPr>
        <w:ind w:firstLine="539"/>
        <w:rPr>
          <w:snapToGrid/>
        </w:rPr>
      </w:pPr>
      <w:r>
        <w:rPr>
          <w:snapToGrid/>
        </w:rPr>
        <w:t>113.</w:t>
      </w:r>
      <w:r>
        <w:rPr>
          <w:rFonts w:hint="eastAsia"/>
          <w:snapToGrid/>
        </w:rPr>
        <w:t xml:space="preserve">  </w:t>
      </w:r>
      <w:r>
        <w:rPr>
          <w:snapToGrid/>
        </w:rPr>
        <w:t>国民经济的结构性指数</w:t>
      </w:r>
      <w:r>
        <w:rPr>
          <w:rFonts w:hint="eastAsia"/>
          <w:snapToGrid/>
        </w:rPr>
        <w:t>仍旧欠缺</w:t>
      </w:r>
      <w:r>
        <w:rPr>
          <w:snapToGrid/>
        </w:rPr>
        <w:t>。经济继续涉及到各不同的分支部门，仍然</w:t>
      </w:r>
      <w:r>
        <w:rPr>
          <w:rFonts w:hint="eastAsia"/>
          <w:snapToGrid/>
        </w:rPr>
        <w:t>以</w:t>
      </w:r>
      <w:r>
        <w:rPr>
          <w:snapToGrid/>
        </w:rPr>
        <w:t>原材料出口为首要方向。</w:t>
      </w:r>
      <w:r>
        <w:rPr>
          <w:snapToGrid/>
        </w:rPr>
        <w:t>1999</w:t>
      </w:r>
      <w:r>
        <w:rPr>
          <w:snapToGrid/>
        </w:rPr>
        <w:t>年，国内生产总值实际下降了</w:t>
      </w:r>
      <w:r>
        <w:rPr>
          <w:snapToGrid/>
        </w:rPr>
        <w:t>34%(1998</w:t>
      </w:r>
      <w:r>
        <w:rPr>
          <w:snapToGrid/>
        </w:rPr>
        <w:t>年期间下跌了</w:t>
      </w:r>
      <w:r>
        <w:rPr>
          <w:snapToGrid/>
        </w:rPr>
        <w:t>6.5%)</w:t>
      </w:r>
      <w:r>
        <w:rPr>
          <w:snapToGrid/>
        </w:rPr>
        <w:t>。对国民生产总值</w:t>
      </w:r>
      <w:r>
        <w:rPr>
          <w:rFonts w:hint="eastAsia"/>
          <w:snapToGrid/>
        </w:rPr>
        <w:t>各</w:t>
      </w:r>
      <w:r>
        <w:rPr>
          <w:snapToGrid/>
        </w:rPr>
        <w:t>组成部</w:t>
      </w:r>
      <w:r>
        <w:rPr>
          <w:rFonts w:hint="eastAsia"/>
          <w:snapToGrid/>
        </w:rPr>
        <w:t>分</w:t>
      </w:r>
      <w:r>
        <w:rPr>
          <w:snapToGrid/>
        </w:rPr>
        <w:t>的分析表明，工农业增值率出现持续性大幅度下跌，</w:t>
      </w:r>
      <w:r>
        <w:rPr>
          <w:rFonts w:hint="eastAsia"/>
          <w:snapToGrid/>
        </w:rPr>
        <w:t>而</w:t>
      </w:r>
      <w:r>
        <w:rPr>
          <w:snapToGrid/>
        </w:rPr>
        <w:t>其他经济活动</w:t>
      </w:r>
      <w:r>
        <w:rPr>
          <w:snapToGrid/>
        </w:rPr>
        <w:t>(</w:t>
      </w:r>
      <w:r>
        <w:rPr>
          <w:snapToGrid/>
        </w:rPr>
        <w:t>商业、社会领域，等方面</w:t>
      </w:r>
      <w:r>
        <w:rPr>
          <w:snapToGrid/>
        </w:rPr>
        <w:t>)</w:t>
      </w:r>
      <w:r>
        <w:rPr>
          <w:snapToGrid/>
        </w:rPr>
        <w:t>的增</w:t>
      </w:r>
      <w:r>
        <w:rPr>
          <w:rFonts w:hint="eastAsia"/>
          <w:snapToGrid/>
        </w:rPr>
        <w:t>值率和</w:t>
      </w:r>
      <w:r>
        <w:rPr>
          <w:snapToGrid/>
        </w:rPr>
        <w:t>进口产品的税</w:t>
      </w:r>
      <w:r>
        <w:rPr>
          <w:rFonts w:hint="eastAsia"/>
          <w:snapToGrid/>
        </w:rPr>
        <w:t>率上涨</w:t>
      </w:r>
      <w:r>
        <w:rPr>
          <w:snapToGrid/>
        </w:rPr>
        <w:t>，都导致了经济的非工业化。</w:t>
      </w:r>
      <w:r>
        <w:rPr>
          <w:rFonts w:hint="eastAsia"/>
          <w:snapToGrid/>
        </w:rPr>
        <w:t>这样的</w:t>
      </w:r>
      <w:r>
        <w:rPr>
          <w:snapToGrid/>
        </w:rPr>
        <w:t>经济结构不符合实际需求，</w:t>
      </w:r>
      <w:r>
        <w:rPr>
          <w:rFonts w:hint="eastAsia"/>
          <w:snapToGrid/>
        </w:rPr>
        <w:t>无</w:t>
      </w:r>
      <w:r>
        <w:rPr>
          <w:snapToGrid/>
        </w:rPr>
        <w:t>竞争力和利润率。</w:t>
      </w:r>
    </w:p>
    <w:p w:rsidR="00000000" w:rsidRDefault="00000000">
      <w:pPr>
        <w:ind w:firstLine="539"/>
        <w:rPr>
          <w:rFonts w:hint="eastAsia"/>
          <w:snapToGrid/>
        </w:rPr>
      </w:pPr>
      <w:r>
        <w:rPr>
          <w:snapToGrid/>
        </w:rPr>
        <w:t>114.</w:t>
      </w:r>
      <w:r>
        <w:rPr>
          <w:rFonts w:hint="eastAsia"/>
          <w:snapToGrid/>
        </w:rPr>
        <w:t xml:space="preserve">  </w:t>
      </w:r>
      <w:r>
        <w:rPr>
          <w:snapToGrid/>
        </w:rPr>
        <w:t>由于</w:t>
      </w:r>
      <w:r>
        <w:rPr>
          <w:rFonts w:hint="eastAsia"/>
          <w:snapToGrid/>
        </w:rPr>
        <w:t>无</w:t>
      </w:r>
      <w:r>
        <w:rPr>
          <w:snapToGrid/>
        </w:rPr>
        <w:t>充分资金</w:t>
      </w:r>
      <w:r>
        <w:rPr>
          <w:rFonts w:hint="eastAsia"/>
          <w:snapToGrid/>
        </w:rPr>
        <w:t>购买</w:t>
      </w:r>
      <w:r>
        <w:rPr>
          <w:snapToGrid/>
        </w:rPr>
        <w:t>燃料、化肥、植保手段、零部件等的影响，造成了农业生产量下跌。同时，农耕部门</w:t>
      </w:r>
      <w:r>
        <w:rPr>
          <w:rFonts w:hint="eastAsia"/>
          <w:snapToGrid/>
        </w:rPr>
        <w:t>也</w:t>
      </w:r>
      <w:r>
        <w:rPr>
          <w:snapToGrid/>
        </w:rPr>
        <w:t>不具备在市场经济条件下开展有效活动的必要基础结构。目前，农业是国</w:t>
      </w:r>
      <w:r>
        <w:rPr>
          <w:rFonts w:hint="eastAsia"/>
          <w:snapToGrid/>
        </w:rPr>
        <w:t>内</w:t>
      </w:r>
      <w:r>
        <w:rPr>
          <w:snapToGrid/>
        </w:rPr>
        <w:t>经济中一个极为重要的部门。从事经济活动的人口</w:t>
      </w:r>
      <w:r>
        <w:rPr>
          <w:rFonts w:hint="eastAsia"/>
          <w:snapToGrid/>
        </w:rPr>
        <w:t>中有</w:t>
      </w:r>
      <w:r>
        <w:rPr>
          <w:snapToGrid/>
        </w:rPr>
        <w:t>42%</w:t>
      </w:r>
      <w:r>
        <w:rPr>
          <w:rFonts w:hint="eastAsia"/>
          <w:snapToGrid/>
        </w:rPr>
        <w:t>的人在</w:t>
      </w:r>
      <w:r>
        <w:rPr>
          <w:snapToGrid/>
        </w:rPr>
        <w:t>农业部门，</w:t>
      </w:r>
      <w:r>
        <w:rPr>
          <w:rFonts w:hint="eastAsia"/>
          <w:snapToGrid/>
        </w:rPr>
        <w:t>而农业部门</w:t>
      </w:r>
      <w:r>
        <w:rPr>
          <w:snapToGrid/>
        </w:rPr>
        <w:t>占国</w:t>
      </w:r>
      <w:r>
        <w:rPr>
          <w:rFonts w:hint="eastAsia"/>
          <w:snapToGrid/>
        </w:rPr>
        <w:t>内</w:t>
      </w:r>
      <w:r>
        <w:rPr>
          <w:snapToGrid/>
        </w:rPr>
        <w:t>生产</w:t>
      </w:r>
      <w:r>
        <w:rPr>
          <w:rFonts w:hint="eastAsia"/>
          <w:snapToGrid/>
        </w:rPr>
        <w:t>总值</w:t>
      </w:r>
      <w:r>
        <w:rPr>
          <w:snapToGrid/>
        </w:rPr>
        <w:t>约</w:t>
      </w:r>
      <w:r>
        <w:rPr>
          <w:snapToGrid/>
        </w:rPr>
        <w:t>30%</w:t>
      </w:r>
      <w:r>
        <w:rPr>
          <w:rFonts w:hint="eastAsia"/>
          <w:snapToGrid/>
        </w:rPr>
        <w:t>，</w:t>
      </w:r>
      <w:r>
        <w:rPr>
          <w:snapToGrid/>
        </w:rPr>
        <w:t>可</w:t>
      </w:r>
      <w:r>
        <w:rPr>
          <w:rFonts w:hint="eastAsia"/>
          <w:snapToGrid/>
        </w:rPr>
        <w:t>以这么说</w:t>
      </w:r>
      <w:r>
        <w:rPr>
          <w:snapToGrid/>
        </w:rPr>
        <w:t>：</w:t>
      </w:r>
      <w:r>
        <w:rPr>
          <w:rFonts w:hint="eastAsia"/>
          <w:snapToGrid/>
        </w:rPr>
        <w:t>每</w:t>
      </w:r>
      <w:r>
        <w:rPr>
          <w:snapToGrid/>
        </w:rPr>
        <w:t>位从事经济活动的人抚养</w:t>
      </w:r>
      <w:r>
        <w:rPr>
          <w:snapToGrid/>
        </w:rPr>
        <w:t>1.</w:t>
      </w:r>
      <w:r>
        <w:rPr>
          <w:rFonts w:hint="eastAsia"/>
          <w:snapToGrid/>
        </w:rPr>
        <w:t>5</w:t>
      </w:r>
      <w:r>
        <w:rPr>
          <w:snapToGrid/>
        </w:rPr>
        <w:t>人。由于农</w:t>
      </w:r>
      <w:r>
        <w:rPr>
          <w:rFonts w:hint="eastAsia"/>
          <w:snapToGrid/>
        </w:rPr>
        <w:t>耕地</w:t>
      </w:r>
      <w:r>
        <w:rPr>
          <w:snapToGrid/>
        </w:rPr>
        <w:t>和土地改革，在建立</w:t>
      </w:r>
      <w:r>
        <w:rPr>
          <w:rFonts w:hint="eastAsia"/>
          <w:snapToGrid/>
        </w:rPr>
        <w:t>私营</w:t>
      </w:r>
      <w:r>
        <w:rPr>
          <w:snapToGrid/>
        </w:rPr>
        <w:t>农耕部门方面取得了</w:t>
      </w:r>
      <w:r>
        <w:rPr>
          <w:rFonts w:hint="eastAsia"/>
          <w:snapToGrid/>
        </w:rPr>
        <w:t>某</w:t>
      </w:r>
      <w:r>
        <w:rPr>
          <w:snapToGrid/>
        </w:rPr>
        <w:t>些进展。</w:t>
      </w:r>
      <w:r>
        <w:rPr>
          <w:rFonts w:hint="eastAsia"/>
          <w:snapToGrid/>
        </w:rPr>
        <w:t>由于在美国财力和人力支助下实施了“土地”方案，约</w:t>
      </w:r>
      <w:r>
        <w:rPr>
          <w:rFonts w:hint="eastAsia"/>
          <w:snapToGrid/>
        </w:rPr>
        <w:t>90%</w:t>
      </w:r>
      <w:r>
        <w:rPr>
          <w:rFonts w:hint="eastAsia"/>
          <w:snapToGrid/>
        </w:rPr>
        <w:t>原集体农庄的和</w:t>
      </w:r>
      <w:r>
        <w:rPr>
          <w:rFonts w:hint="eastAsia"/>
          <w:snapToGrid/>
        </w:rPr>
        <w:t>Sovkhozes</w:t>
      </w:r>
      <w:r>
        <w:rPr>
          <w:rFonts w:hint="eastAsia"/>
          <w:snapToGrid/>
        </w:rPr>
        <w:t>在私有资产基础上转变成了其它形式的企业。但还不够效率。这些拥有人</w:t>
      </w:r>
      <w:r>
        <w:rPr>
          <w:snapToGrid/>
        </w:rPr>
        <w:t>不具备必要的技术设备，而国家</w:t>
      </w:r>
      <w:r>
        <w:rPr>
          <w:rFonts w:hint="eastAsia"/>
          <w:snapToGrid/>
        </w:rPr>
        <w:t>则没有</w:t>
      </w:r>
      <w:r>
        <w:rPr>
          <w:snapToGrid/>
        </w:rPr>
        <w:t>能</w:t>
      </w:r>
      <w:r>
        <w:rPr>
          <w:rFonts w:hint="eastAsia"/>
          <w:snapToGrid/>
        </w:rPr>
        <w:t>力提供</w:t>
      </w:r>
      <w:r>
        <w:rPr>
          <w:snapToGrid/>
        </w:rPr>
        <w:t>补助金或贷款，</w:t>
      </w:r>
      <w:r>
        <w:rPr>
          <w:rFonts w:hint="eastAsia"/>
          <w:snapToGrid/>
        </w:rPr>
        <w:t>来</w:t>
      </w:r>
      <w:r>
        <w:rPr>
          <w:snapToGrid/>
        </w:rPr>
        <w:t>推动加速他们的农耕活动。</w:t>
      </w:r>
    </w:p>
    <w:p w:rsidR="00000000" w:rsidRDefault="00000000">
      <w:pPr>
        <w:ind w:firstLine="539"/>
        <w:rPr>
          <w:snapToGrid/>
        </w:rPr>
      </w:pPr>
      <w:r>
        <w:rPr>
          <w:snapToGrid/>
        </w:rPr>
        <w:t>115.</w:t>
      </w:r>
      <w:r>
        <w:rPr>
          <w:rFonts w:hint="eastAsia"/>
          <w:snapToGrid/>
        </w:rPr>
        <w:t xml:space="preserve">  </w:t>
      </w:r>
      <w:r>
        <w:rPr>
          <w:snapToGrid/>
        </w:rPr>
        <w:t>1996</w:t>
      </w:r>
      <w:r>
        <w:rPr>
          <w:snapToGrid/>
        </w:rPr>
        <w:t>年，摩尔多瓦共和国通过了一项整顿和调整</w:t>
      </w:r>
      <w:r>
        <w:rPr>
          <w:rFonts w:hint="eastAsia"/>
          <w:snapToGrid/>
        </w:rPr>
        <w:t>产</w:t>
      </w:r>
      <w:r>
        <w:rPr>
          <w:snapToGrid/>
        </w:rPr>
        <w:t>业的工业政策。由于</w:t>
      </w:r>
      <w:r>
        <w:rPr>
          <w:rFonts w:hint="eastAsia"/>
          <w:snapToGrid/>
        </w:rPr>
        <w:t>全面</w:t>
      </w:r>
      <w:r>
        <w:rPr>
          <w:snapToGrid/>
        </w:rPr>
        <w:t>的危</w:t>
      </w:r>
      <w:r>
        <w:rPr>
          <w:rFonts w:hint="eastAsia"/>
          <w:snapToGrid/>
        </w:rPr>
        <w:t>机</w:t>
      </w:r>
      <w:r>
        <w:rPr>
          <w:snapToGrid/>
        </w:rPr>
        <w:t>，大部分</w:t>
      </w:r>
      <w:r>
        <w:rPr>
          <w:rFonts w:hint="eastAsia"/>
          <w:snapToGrid/>
        </w:rPr>
        <w:t>工业企</w:t>
      </w:r>
      <w:r>
        <w:rPr>
          <w:snapToGrid/>
        </w:rPr>
        <w:t>业已经或将很快倒闭。国</w:t>
      </w:r>
      <w:r>
        <w:rPr>
          <w:rFonts w:hint="eastAsia"/>
          <w:snapToGrid/>
        </w:rPr>
        <w:t>内</w:t>
      </w:r>
      <w:r>
        <w:rPr>
          <w:snapToGrid/>
        </w:rPr>
        <w:t>生产总值急剧地下跌，从</w:t>
      </w:r>
      <w:r>
        <w:rPr>
          <w:snapToGrid/>
        </w:rPr>
        <w:t>1990</w:t>
      </w:r>
      <w:r>
        <w:rPr>
          <w:snapToGrid/>
        </w:rPr>
        <w:t>年的</w:t>
      </w:r>
      <w:r>
        <w:rPr>
          <w:snapToGrid/>
        </w:rPr>
        <w:t>38.9%</w:t>
      </w:r>
      <w:r>
        <w:rPr>
          <w:snapToGrid/>
        </w:rPr>
        <w:t>，下跌至</w:t>
      </w:r>
      <w:r>
        <w:rPr>
          <w:snapToGrid/>
        </w:rPr>
        <w:t>1999</w:t>
      </w:r>
      <w:r>
        <w:rPr>
          <w:snapToGrid/>
        </w:rPr>
        <w:t>年的</w:t>
      </w:r>
      <w:r>
        <w:rPr>
          <w:snapToGrid/>
        </w:rPr>
        <w:t>16.2%</w:t>
      </w:r>
      <w:r>
        <w:rPr>
          <w:snapToGrid/>
        </w:rPr>
        <w:t>。下跌是由于技术</w:t>
      </w:r>
      <w:r>
        <w:rPr>
          <w:rFonts w:hint="eastAsia"/>
          <w:snapToGrid/>
        </w:rPr>
        <w:t>仍然</w:t>
      </w:r>
      <w:r>
        <w:rPr>
          <w:snapToGrid/>
        </w:rPr>
        <w:t>普遍陈旧</w:t>
      </w:r>
      <w:r>
        <w:rPr>
          <w:rFonts w:hint="eastAsia"/>
          <w:snapToGrid/>
        </w:rPr>
        <w:t>落后</w:t>
      </w:r>
      <w:r>
        <w:rPr>
          <w:snapToGrid/>
        </w:rPr>
        <w:t>，和有经验劳工的剩余状况所致。通货膨胀率持续增长。由于能源</w:t>
      </w:r>
      <w:r>
        <w:rPr>
          <w:rFonts w:hint="eastAsia"/>
          <w:snapToGrid/>
        </w:rPr>
        <w:t>关</w:t>
      </w:r>
      <w:r>
        <w:rPr>
          <w:snapToGrid/>
        </w:rPr>
        <w:t>税的大幅度上涨，导致了消费</w:t>
      </w:r>
      <w:r>
        <w:rPr>
          <w:rFonts w:hint="eastAsia"/>
          <w:snapToGrid/>
        </w:rPr>
        <w:t>品</w:t>
      </w:r>
      <w:r>
        <w:rPr>
          <w:snapToGrid/>
        </w:rPr>
        <w:t>价格的持续上升。摩尔多瓦共和国进口</w:t>
      </w:r>
      <w:r>
        <w:rPr>
          <w:snapToGrid/>
        </w:rPr>
        <w:t>98%</w:t>
      </w:r>
      <w:r>
        <w:rPr>
          <w:snapToGrid/>
        </w:rPr>
        <w:t>的电力和燃料。财政</w:t>
      </w:r>
      <w:r>
        <w:rPr>
          <w:rFonts w:hint="eastAsia"/>
          <w:snapToGrid/>
        </w:rPr>
        <w:t>危机</w:t>
      </w:r>
      <w:r>
        <w:rPr>
          <w:snapToGrid/>
        </w:rPr>
        <w:t>严重影响了国家货币，</w:t>
      </w:r>
      <w:r>
        <w:rPr>
          <w:rFonts w:hint="eastAsia"/>
          <w:snapToGrid/>
        </w:rPr>
        <w:t>致使</w:t>
      </w:r>
      <w:r>
        <w:rPr>
          <w:snapToGrid/>
        </w:rPr>
        <w:t>货币率贬值</w:t>
      </w:r>
      <w:r>
        <w:rPr>
          <w:rFonts w:hint="eastAsia"/>
          <w:snapToGrid/>
        </w:rPr>
        <w:t>率</w:t>
      </w:r>
      <w:r>
        <w:rPr>
          <w:snapToGrid/>
        </w:rPr>
        <w:t>超过</w:t>
      </w:r>
      <w:r>
        <w:rPr>
          <w:snapToGrid/>
        </w:rPr>
        <w:t>200%</w:t>
      </w:r>
      <w:r>
        <w:rPr>
          <w:snapToGrid/>
        </w:rPr>
        <w:t>。由于高价格和税</w:t>
      </w:r>
      <w:r>
        <w:rPr>
          <w:rFonts w:hint="eastAsia"/>
          <w:snapToGrid/>
        </w:rPr>
        <w:t>率</w:t>
      </w:r>
      <w:r>
        <w:rPr>
          <w:snapToGrid/>
        </w:rPr>
        <w:t>，改变了服务部门的结构。人口的收入下降。就业者人数也缩减。这项经济指数与生产量的削减成比例。</w:t>
      </w:r>
      <w:r>
        <w:rPr>
          <w:snapToGrid/>
        </w:rPr>
        <w:t>1998</w:t>
      </w:r>
      <w:r>
        <w:rPr>
          <w:snapToGrid/>
        </w:rPr>
        <w:t>年由于企业</w:t>
      </w:r>
      <w:r>
        <w:rPr>
          <w:rFonts w:hint="eastAsia"/>
          <w:snapToGrid/>
        </w:rPr>
        <w:t>过</w:t>
      </w:r>
      <w:r>
        <w:rPr>
          <w:snapToGrid/>
        </w:rPr>
        <w:t>剩现象造成的</w:t>
      </w:r>
      <w:r>
        <w:rPr>
          <w:rFonts w:hint="eastAsia"/>
          <w:snapToGrid/>
        </w:rPr>
        <w:t>官方</w:t>
      </w:r>
      <w:r>
        <w:rPr>
          <w:snapToGrid/>
        </w:rPr>
        <w:t>失业率为</w:t>
      </w:r>
      <w:r>
        <w:rPr>
          <w:snapToGrid/>
        </w:rPr>
        <w:t>37,000</w:t>
      </w:r>
      <w:r>
        <w:rPr>
          <w:snapToGrid/>
        </w:rPr>
        <w:t>人，削减了企业的活动量，或致使企业倒闭。预算中</w:t>
      </w:r>
      <w:r>
        <w:rPr>
          <w:rFonts w:hint="eastAsia"/>
          <w:snapToGrid/>
        </w:rPr>
        <w:t>的</w:t>
      </w:r>
      <w:r>
        <w:rPr>
          <w:snapToGrid/>
        </w:rPr>
        <w:t>间接税占约</w:t>
      </w:r>
      <w:r>
        <w:rPr>
          <w:snapToGrid/>
        </w:rPr>
        <w:t>60%</w:t>
      </w:r>
      <w:r>
        <w:rPr>
          <w:snapToGrid/>
        </w:rPr>
        <w:t>，直接税收占</w:t>
      </w:r>
      <w:r>
        <w:rPr>
          <w:snapToGrid/>
        </w:rPr>
        <w:t>1/3,</w:t>
      </w:r>
      <w:r>
        <w:rPr>
          <w:snapToGrid/>
        </w:rPr>
        <w:t>而</w:t>
      </w:r>
      <w:r>
        <w:rPr>
          <w:snapToGrid/>
        </w:rPr>
        <w:t>50%</w:t>
      </w:r>
      <w:r>
        <w:rPr>
          <w:snapToGrid/>
        </w:rPr>
        <w:t>的税收用于社会文化目的。进出正在口削减。</w:t>
      </w:r>
    </w:p>
    <w:p w:rsidR="00000000" w:rsidRDefault="00000000">
      <w:pPr>
        <w:ind w:firstLine="539"/>
        <w:rPr>
          <w:snapToGrid/>
        </w:rPr>
      </w:pPr>
      <w:r>
        <w:rPr>
          <w:snapToGrid/>
        </w:rPr>
        <w:t>116.</w:t>
      </w:r>
      <w:r>
        <w:rPr>
          <w:rFonts w:hint="eastAsia"/>
          <w:snapToGrid/>
        </w:rPr>
        <w:t xml:space="preserve">  </w:t>
      </w:r>
      <w:r>
        <w:rPr>
          <w:snapToGrid/>
        </w:rPr>
        <w:t>尽管处于这样的情况，民主改革</w:t>
      </w:r>
      <w:r>
        <w:rPr>
          <w:rFonts w:hint="eastAsia"/>
          <w:snapToGrid/>
        </w:rPr>
        <w:t>已</w:t>
      </w:r>
      <w:r>
        <w:rPr>
          <w:snapToGrid/>
        </w:rPr>
        <w:t>不可逆转；然而，这些改革尚未达到从而将确保国家自我发展的决定性阶段。目前，</w:t>
      </w:r>
      <w:r>
        <w:rPr>
          <w:snapToGrid/>
        </w:rPr>
        <w:t>80%</w:t>
      </w:r>
      <w:r>
        <w:rPr>
          <w:snapToGrid/>
        </w:rPr>
        <w:t>以上的人口靠一美元，甚至更低的收入生活。与</w:t>
      </w:r>
      <w:r>
        <w:rPr>
          <w:snapToGrid/>
        </w:rPr>
        <w:t>1999</w:t>
      </w:r>
      <w:r>
        <w:rPr>
          <w:snapToGrid/>
        </w:rPr>
        <w:t>年相比，</w:t>
      </w:r>
      <w:r>
        <w:rPr>
          <w:rFonts w:hint="eastAsia"/>
          <w:snapToGrid/>
        </w:rPr>
        <w:t>吉尼系数表明</w:t>
      </w:r>
      <w:r>
        <w:rPr>
          <w:snapToGrid/>
        </w:rPr>
        <w:t>公民现有收入分配的差别程度</w:t>
      </w:r>
      <w:r>
        <w:rPr>
          <w:rFonts w:hint="eastAsia"/>
          <w:snapToGrid/>
        </w:rPr>
        <w:t>翻了一番，因此接近于</w:t>
      </w:r>
      <w:r>
        <w:rPr>
          <w:snapToGrid/>
        </w:rPr>
        <w:t>0.8</w:t>
      </w:r>
      <w:r>
        <w:rPr>
          <w:rFonts w:hint="eastAsia"/>
          <w:snapToGrid/>
        </w:rPr>
        <w:t>的临界限度。</w:t>
      </w:r>
    </w:p>
    <w:p w:rsidR="00000000" w:rsidRDefault="00000000">
      <w:pPr>
        <w:ind w:firstLine="539"/>
        <w:rPr>
          <w:snapToGrid/>
        </w:rPr>
      </w:pPr>
      <w:r>
        <w:rPr>
          <w:snapToGrid/>
        </w:rPr>
        <w:t>117.</w:t>
      </w:r>
      <w:r>
        <w:rPr>
          <w:rFonts w:hint="eastAsia"/>
          <w:snapToGrid/>
        </w:rPr>
        <w:t xml:space="preserve">  </w:t>
      </w:r>
      <w:r>
        <w:rPr>
          <w:snapToGrid/>
        </w:rPr>
        <w:t>国</w:t>
      </w:r>
      <w:r>
        <w:rPr>
          <w:rFonts w:hint="eastAsia"/>
          <w:snapToGrid/>
        </w:rPr>
        <w:t>内</w:t>
      </w:r>
      <w:r>
        <w:rPr>
          <w:snapToGrid/>
        </w:rPr>
        <w:t>生产总值的下跌意味着社会付出的巨大代价持续加</w:t>
      </w:r>
      <w:r>
        <w:rPr>
          <w:rFonts w:hint="eastAsia"/>
          <w:snapToGrid/>
        </w:rPr>
        <w:t>深</w:t>
      </w:r>
      <w:r>
        <w:rPr>
          <w:snapToGrid/>
        </w:rPr>
        <w:t>。全国总体人口都</w:t>
      </w:r>
      <w:r>
        <w:rPr>
          <w:rFonts w:hint="eastAsia"/>
          <w:snapToGrid/>
        </w:rPr>
        <w:t>感</w:t>
      </w:r>
      <w:r>
        <w:rPr>
          <w:snapToGrid/>
        </w:rPr>
        <w:t>受</w:t>
      </w:r>
      <w:r>
        <w:rPr>
          <w:rFonts w:hint="eastAsia"/>
          <w:snapToGrid/>
        </w:rPr>
        <w:t>着</w:t>
      </w:r>
      <w:r>
        <w:rPr>
          <w:snapToGrid/>
        </w:rPr>
        <w:t>这些代价的不良影响，</w:t>
      </w:r>
      <w:r>
        <w:rPr>
          <w:rFonts w:hint="eastAsia"/>
          <w:snapToGrid/>
        </w:rPr>
        <w:t>然而，</w:t>
      </w:r>
      <w:r>
        <w:rPr>
          <w:snapToGrid/>
        </w:rPr>
        <w:t>这些后果对处境最不利的社会阶层：儿童、老年人和残疾人的影响最大。根据战略调查和改革中心以及摩尔多瓦</w:t>
      </w:r>
      <w:r>
        <w:rPr>
          <w:rFonts w:hint="eastAsia"/>
          <w:snapToGrid/>
        </w:rPr>
        <w:t>Soros</w:t>
      </w:r>
      <w:r>
        <w:rPr>
          <w:snapToGrid/>
        </w:rPr>
        <w:t>基金举行的一项民意测验，共和国人口中只有</w:t>
      </w:r>
      <w:r>
        <w:rPr>
          <w:snapToGrid/>
        </w:rPr>
        <w:t>5%</w:t>
      </w:r>
      <w:r>
        <w:rPr>
          <w:snapToGrid/>
        </w:rPr>
        <w:t>的人认为，改革对他们的生活形成了</w:t>
      </w:r>
      <w:r>
        <w:rPr>
          <w:rFonts w:hint="eastAsia"/>
          <w:snapToGrid/>
        </w:rPr>
        <w:t>积极</w:t>
      </w:r>
      <w:r>
        <w:rPr>
          <w:snapToGrid/>
        </w:rPr>
        <w:t>的影响。在国家的社会承诺与其实际财政能力</w:t>
      </w:r>
      <w:r>
        <w:rPr>
          <w:rFonts w:hint="eastAsia"/>
          <w:snapToGrid/>
        </w:rPr>
        <w:t>有</w:t>
      </w:r>
      <w:r>
        <w:rPr>
          <w:snapToGrid/>
        </w:rPr>
        <w:t>差别的背景下，公民之间的社会差别形成了社会两极分化的现象。</w:t>
      </w:r>
    </w:p>
    <w:p w:rsidR="00000000" w:rsidRDefault="00000000">
      <w:pPr>
        <w:ind w:firstLine="539"/>
        <w:rPr>
          <w:snapToGrid/>
        </w:rPr>
      </w:pPr>
      <w:r>
        <w:rPr>
          <w:snapToGrid/>
        </w:rPr>
        <w:t>118.</w:t>
      </w:r>
      <w:r>
        <w:rPr>
          <w:rFonts w:hint="eastAsia"/>
          <w:snapToGrid/>
        </w:rPr>
        <w:t xml:space="preserve">  </w:t>
      </w:r>
      <w:r>
        <w:rPr>
          <w:snapToGrid/>
        </w:rPr>
        <w:t>在所宣称的意向与实际生活之间存在着相当大的差别。尽管议会通过了一系列的法律，然而</w:t>
      </w:r>
      <w:r>
        <w:rPr>
          <w:rFonts w:hint="eastAsia"/>
          <w:snapToGrid/>
        </w:rPr>
        <w:t>，</w:t>
      </w:r>
      <w:r>
        <w:rPr>
          <w:snapToGrid/>
        </w:rPr>
        <w:t>另外还有一些</w:t>
      </w:r>
      <w:r>
        <w:rPr>
          <w:snapToGrid/>
        </w:rPr>
        <w:t>(</w:t>
      </w:r>
      <w:r>
        <w:rPr>
          <w:snapToGrid/>
        </w:rPr>
        <w:t>关于</w:t>
      </w:r>
      <w:r>
        <w:rPr>
          <w:rFonts w:hint="eastAsia"/>
          <w:snapToGrid/>
        </w:rPr>
        <w:t>强制</w:t>
      </w:r>
      <w:r>
        <w:rPr>
          <w:snapToGrid/>
        </w:rPr>
        <w:t>医疗保险、国家养恤金、国家保证的最低医疗服务、私营养恤金基金、社会保险等其他方面</w:t>
      </w:r>
      <w:r>
        <w:rPr>
          <w:snapToGrid/>
        </w:rPr>
        <w:t>)</w:t>
      </w:r>
      <w:r>
        <w:rPr>
          <w:snapToGrid/>
        </w:rPr>
        <w:t>法律正处于</w:t>
      </w:r>
      <w:r>
        <w:rPr>
          <w:rFonts w:hint="eastAsia"/>
          <w:snapToGrid/>
        </w:rPr>
        <w:t>初期</w:t>
      </w:r>
      <w:r>
        <w:rPr>
          <w:snapToGrid/>
        </w:rPr>
        <w:t>阶段，而且政府已经为各种社会类别指定了有关社会保险的许多规范法案。尽管依照法律采取了措施，摩尔多瓦共和国人口的健康状况一直在恶化。长期的经济危</w:t>
      </w:r>
      <w:r>
        <w:rPr>
          <w:rFonts w:hint="eastAsia"/>
          <w:snapToGrid/>
        </w:rPr>
        <w:t>机</w:t>
      </w:r>
      <w:r>
        <w:rPr>
          <w:snapToGrid/>
        </w:rPr>
        <w:t>大幅度地</w:t>
      </w:r>
      <w:r>
        <w:rPr>
          <w:rFonts w:hint="eastAsia"/>
          <w:snapToGrid/>
        </w:rPr>
        <w:t>降低</w:t>
      </w:r>
      <w:r>
        <w:rPr>
          <w:snapToGrid/>
        </w:rPr>
        <w:t>了生活水准，加剧了社会</w:t>
      </w:r>
      <w:r>
        <w:rPr>
          <w:rFonts w:hint="eastAsia"/>
          <w:snapToGrid/>
        </w:rPr>
        <w:t>的</w:t>
      </w:r>
      <w:r>
        <w:rPr>
          <w:snapToGrid/>
        </w:rPr>
        <w:t>不</w:t>
      </w:r>
      <w:r>
        <w:rPr>
          <w:rFonts w:hint="eastAsia"/>
          <w:snapToGrid/>
        </w:rPr>
        <w:t>安</w:t>
      </w:r>
      <w:r>
        <w:rPr>
          <w:snapToGrid/>
        </w:rPr>
        <w:t>全和压力。</w:t>
      </w:r>
    </w:p>
    <w:p w:rsidR="00000000" w:rsidRDefault="00000000">
      <w:pPr>
        <w:ind w:firstLine="539"/>
        <w:rPr>
          <w:snapToGrid/>
        </w:rPr>
      </w:pPr>
      <w:r>
        <w:rPr>
          <w:snapToGrid/>
        </w:rPr>
        <w:t>119.</w:t>
      </w:r>
      <w:r>
        <w:rPr>
          <w:rFonts w:hint="eastAsia"/>
          <w:snapToGrid/>
        </w:rPr>
        <w:t xml:space="preserve">  </w:t>
      </w:r>
      <w:r>
        <w:rPr>
          <w:snapToGrid/>
        </w:rPr>
        <w:t>出生率下跌，死亡率增长。</w:t>
      </w:r>
      <w:r>
        <w:rPr>
          <w:snapToGrid/>
        </w:rPr>
        <w:t>1990</w:t>
      </w:r>
      <w:r>
        <w:rPr>
          <w:snapToGrid/>
        </w:rPr>
        <w:t>至</w:t>
      </w:r>
      <w:r>
        <w:rPr>
          <w:snapToGrid/>
        </w:rPr>
        <w:t>1999</w:t>
      </w:r>
      <w:r>
        <w:rPr>
          <w:snapToGrid/>
        </w:rPr>
        <w:t>年期间，死亡率增长了</w:t>
      </w:r>
      <w:r>
        <w:rPr>
          <w:snapToGrid/>
        </w:rPr>
        <w:t>17.5%</w:t>
      </w:r>
      <w:r>
        <w:rPr>
          <w:snapToGrid/>
        </w:rPr>
        <w:t>，乡村的比率</w:t>
      </w:r>
      <w:r>
        <w:rPr>
          <w:rFonts w:hint="eastAsia"/>
          <w:snapToGrid/>
        </w:rPr>
        <w:t>更</w:t>
      </w:r>
      <w:r>
        <w:rPr>
          <w:snapToGrid/>
        </w:rPr>
        <w:t>高</w:t>
      </w:r>
      <w:r>
        <w:rPr>
          <w:snapToGrid/>
        </w:rPr>
        <w:t>(40</w:t>
      </w:r>
      <w:r>
        <w:rPr>
          <w:snapToGrid/>
        </w:rPr>
        <w:t>至</w:t>
      </w:r>
      <w:r>
        <w:rPr>
          <w:snapToGrid/>
        </w:rPr>
        <w:t>45%)</w:t>
      </w:r>
      <w:r>
        <w:rPr>
          <w:snapToGrid/>
        </w:rPr>
        <w:t>，而出生率则下降了</w:t>
      </w:r>
      <w:r>
        <w:rPr>
          <w:snapToGrid/>
        </w:rPr>
        <w:t>42.9%</w:t>
      </w:r>
      <w:r>
        <w:rPr>
          <w:snapToGrid/>
        </w:rPr>
        <w:t>。男性死亡率比女性高。</w:t>
      </w:r>
    </w:p>
    <w:p w:rsidR="00000000" w:rsidRDefault="00000000">
      <w:pPr>
        <w:ind w:firstLine="539"/>
        <w:rPr>
          <w:snapToGrid/>
        </w:rPr>
      </w:pPr>
      <w:r>
        <w:rPr>
          <w:snapToGrid/>
        </w:rPr>
        <w:t>120.</w:t>
      </w:r>
      <w:r>
        <w:rPr>
          <w:rFonts w:hint="eastAsia"/>
          <w:snapToGrid/>
        </w:rPr>
        <w:t xml:space="preserve">  </w:t>
      </w:r>
      <w:r>
        <w:rPr>
          <w:snapToGrid/>
        </w:rPr>
        <w:t>妇女，尤其是怀孕妇女的健康状况出现恶化。儿童尤其是</w:t>
      </w:r>
      <w:r>
        <w:rPr>
          <w:snapToGrid/>
        </w:rPr>
        <w:t>14</w:t>
      </w:r>
      <w:r>
        <w:rPr>
          <w:snapToGrid/>
        </w:rPr>
        <w:t>岁以下儿童的健康状况一直在下降。虽然人口与医生的比例是</w:t>
      </w:r>
      <w:r>
        <w:rPr>
          <w:snapToGrid/>
        </w:rPr>
        <w:t>10,</w:t>
      </w:r>
      <w:r>
        <w:rPr>
          <w:rFonts w:hint="eastAsia"/>
          <w:snapToGrid/>
        </w:rPr>
        <w:t>000</w:t>
      </w:r>
      <w:r>
        <w:rPr>
          <w:rFonts w:hint="eastAsia"/>
          <w:snapToGrid/>
        </w:rPr>
        <w:t>：</w:t>
      </w:r>
      <w:r>
        <w:rPr>
          <w:snapToGrid/>
        </w:rPr>
        <w:t>39.6,</w:t>
      </w:r>
      <w:r>
        <w:rPr>
          <w:rFonts w:hint="eastAsia"/>
          <w:snapToGrid/>
        </w:rPr>
        <w:t>足以照顾整个人口，然而，按每一居民计算的基本医疗服务则在减少。由于资金不足，乡村地区的医疗援助极差。每年医院病床数量都在减少。医疗设备、诊疗器具和必需的医药长期短缺。所有这些对人口形成了长期的不利影响，并危及摩尔多瓦的人力资本。</w:t>
      </w:r>
    </w:p>
    <w:p w:rsidR="00000000" w:rsidRDefault="00000000">
      <w:pPr>
        <w:spacing w:after="320"/>
        <w:ind w:firstLine="539"/>
        <w:rPr>
          <w:rFonts w:hint="eastAsia"/>
          <w:snapToGrid/>
        </w:rPr>
      </w:pPr>
      <w:r>
        <w:rPr>
          <w:snapToGrid/>
        </w:rPr>
        <w:t xml:space="preserve">121.  </w:t>
      </w:r>
      <w:r>
        <w:rPr>
          <w:snapToGrid/>
        </w:rPr>
        <w:t>资源的不足不利地影响了国家文化机构的活动。一方面，获得文化服务的机会减少，另一方面，文化活动</w:t>
      </w:r>
      <w:r>
        <w:rPr>
          <w:rFonts w:hint="eastAsia"/>
          <w:snapToGrid/>
        </w:rPr>
        <w:t>市</w:t>
      </w:r>
      <w:r>
        <w:rPr>
          <w:snapToGrid/>
        </w:rPr>
        <w:t>场出现了</w:t>
      </w:r>
      <w:r>
        <w:rPr>
          <w:rFonts w:hint="eastAsia"/>
          <w:snapToGrid/>
        </w:rPr>
        <w:t>取决于</w:t>
      </w:r>
      <w:r>
        <w:rPr>
          <w:snapToGrid/>
        </w:rPr>
        <w:t>人口的社会地位的变化。在文化</w:t>
      </w:r>
      <w:r>
        <w:rPr>
          <w:rFonts w:hint="eastAsia"/>
          <w:snapToGrid/>
        </w:rPr>
        <w:t>退化</w:t>
      </w:r>
      <w:r>
        <w:rPr>
          <w:snapToGrid/>
        </w:rPr>
        <w:t>的背景下，削减了获得文化资产权的机会，显而易见地削弱了社会社区的文化价值观。</w:t>
      </w:r>
    </w:p>
    <w:p w:rsidR="00000000" w:rsidRDefault="00000000">
      <w:pPr>
        <w:pStyle w:val="Heading3"/>
        <w:spacing w:after="120"/>
        <w:rPr>
          <w:kern w:val="0"/>
        </w:rPr>
      </w:pPr>
      <w:r>
        <w:rPr>
          <w:rFonts w:hint="eastAsia"/>
          <w:kern w:val="0"/>
          <w:u w:val="none"/>
        </w:rPr>
        <w:t>表</w:t>
      </w:r>
      <w:r>
        <w:rPr>
          <w:rFonts w:hint="eastAsia"/>
          <w:kern w:val="0"/>
          <w:u w:val="none"/>
        </w:rPr>
        <w:t>8</w:t>
      </w:r>
      <w:r>
        <w:rPr>
          <w:kern w:val="0"/>
          <w:u w:val="none"/>
        </w:rPr>
        <w:t>.</w:t>
      </w:r>
      <w:r>
        <w:rPr>
          <w:rFonts w:hint="eastAsia"/>
          <w:kern w:val="0"/>
          <w:u w:val="none"/>
        </w:rPr>
        <w:t xml:space="preserve">  </w:t>
      </w:r>
      <w:r>
        <w:rPr>
          <w:rFonts w:hint="eastAsia"/>
          <w:kern w:val="0"/>
        </w:rPr>
        <w:t>社会发展的主要指数</w:t>
      </w:r>
    </w:p>
    <w:tbl>
      <w:tblPr>
        <w:tblW w:w="9282" w:type="dxa"/>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011"/>
        <w:gridCol w:w="2301"/>
        <w:gridCol w:w="1638"/>
        <w:gridCol w:w="1332"/>
      </w:tblGrid>
      <w:tr w:rsidR="00000000">
        <w:tblPrEx>
          <w:tblCellMar>
            <w:top w:w="0" w:type="dxa"/>
            <w:bottom w:w="0" w:type="dxa"/>
          </w:tblCellMar>
        </w:tblPrEx>
        <w:trPr>
          <w:cantSplit/>
          <w:tblHeader/>
          <w:jc w:val="center"/>
        </w:trPr>
        <w:tc>
          <w:tcPr>
            <w:tcW w:w="4011" w:type="dxa"/>
            <w:tcBorders>
              <w:bottom w:val="single" w:sz="4" w:space="0" w:color="auto"/>
            </w:tcBorders>
          </w:tcPr>
          <w:p w:rsidR="00000000" w:rsidRDefault="00000000">
            <w:pPr>
              <w:spacing w:line="240" w:lineRule="auto"/>
              <w:jc w:val="center"/>
              <w:rPr>
                <w:bCs/>
                <w:snapToGrid/>
                <w:sz w:val="21"/>
              </w:rPr>
            </w:pPr>
            <w:r>
              <w:rPr>
                <w:rFonts w:hint="eastAsia"/>
                <w:bCs/>
                <w:snapToGrid/>
                <w:sz w:val="21"/>
              </w:rPr>
              <w:t>指</w:t>
            </w:r>
            <w:r>
              <w:rPr>
                <w:rFonts w:hint="eastAsia"/>
                <w:bCs/>
                <w:snapToGrid/>
                <w:sz w:val="21"/>
              </w:rPr>
              <w:t xml:space="preserve">  </w:t>
            </w:r>
            <w:r>
              <w:rPr>
                <w:rFonts w:hint="eastAsia"/>
                <w:bCs/>
                <w:snapToGrid/>
                <w:sz w:val="21"/>
              </w:rPr>
              <w:t>数</w:t>
            </w:r>
          </w:p>
        </w:tc>
        <w:tc>
          <w:tcPr>
            <w:tcW w:w="2301" w:type="dxa"/>
            <w:tcBorders>
              <w:bottom w:val="single" w:sz="4" w:space="0" w:color="auto"/>
            </w:tcBorders>
          </w:tcPr>
          <w:p w:rsidR="00000000" w:rsidRDefault="00000000">
            <w:pPr>
              <w:spacing w:line="240" w:lineRule="auto"/>
              <w:jc w:val="center"/>
              <w:rPr>
                <w:b/>
                <w:snapToGrid/>
                <w:sz w:val="21"/>
              </w:rPr>
            </w:pPr>
            <w:r>
              <w:rPr>
                <w:rFonts w:hint="eastAsia"/>
                <w:bCs/>
                <w:snapToGrid/>
                <w:sz w:val="21"/>
              </w:rPr>
              <w:t>衡量单位</w:t>
            </w:r>
          </w:p>
        </w:tc>
        <w:tc>
          <w:tcPr>
            <w:tcW w:w="1638" w:type="dxa"/>
            <w:tcBorders>
              <w:bottom w:val="single" w:sz="4" w:space="0" w:color="auto"/>
            </w:tcBorders>
          </w:tcPr>
          <w:p w:rsidR="00000000" w:rsidRDefault="00000000">
            <w:pPr>
              <w:spacing w:line="240" w:lineRule="auto"/>
              <w:jc w:val="center"/>
              <w:rPr>
                <w:bCs/>
                <w:snapToGrid/>
                <w:sz w:val="21"/>
              </w:rPr>
            </w:pPr>
            <w:r>
              <w:rPr>
                <w:bCs/>
                <w:snapToGrid/>
                <w:sz w:val="21"/>
              </w:rPr>
              <w:t>1998</w:t>
            </w:r>
            <w:r>
              <w:rPr>
                <w:rFonts w:hint="eastAsia"/>
                <w:bCs/>
                <w:snapToGrid/>
                <w:sz w:val="21"/>
              </w:rPr>
              <w:t>年</w:t>
            </w:r>
          </w:p>
        </w:tc>
        <w:tc>
          <w:tcPr>
            <w:tcW w:w="1332" w:type="dxa"/>
            <w:tcBorders>
              <w:bottom w:val="single" w:sz="4" w:space="0" w:color="auto"/>
            </w:tcBorders>
          </w:tcPr>
          <w:p w:rsidR="00000000" w:rsidRDefault="00000000">
            <w:pPr>
              <w:spacing w:line="240" w:lineRule="auto"/>
              <w:ind w:hanging="9"/>
              <w:jc w:val="center"/>
              <w:rPr>
                <w:rFonts w:hint="eastAsia"/>
                <w:bCs/>
                <w:snapToGrid/>
                <w:sz w:val="21"/>
              </w:rPr>
            </w:pPr>
            <w:r>
              <w:rPr>
                <w:bCs/>
                <w:snapToGrid/>
                <w:sz w:val="21"/>
              </w:rPr>
              <w:t>1999</w:t>
            </w:r>
            <w:r>
              <w:rPr>
                <w:rFonts w:hint="eastAsia"/>
                <w:bCs/>
                <w:snapToGrid/>
                <w:sz w:val="21"/>
              </w:rPr>
              <w:t>年</w:t>
            </w:r>
          </w:p>
        </w:tc>
      </w:tr>
      <w:tr w:rsidR="00000000">
        <w:tblPrEx>
          <w:tblCellMar>
            <w:top w:w="0" w:type="dxa"/>
            <w:bottom w:w="0" w:type="dxa"/>
          </w:tblCellMar>
        </w:tblPrEx>
        <w:trPr>
          <w:cantSplit/>
          <w:jc w:val="center"/>
        </w:trPr>
        <w:tc>
          <w:tcPr>
            <w:tcW w:w="4011" w:type="dxa"/>
            <w:tcBorders>
              <w:top w:val="single" w:sz="4" w:space="0" w:color="auto"/>
              <w:left w:val="single" w:sz="4" w:space="0" w:color="auto"/>
              <w:bottom w:val="nil"/>
              <w:right w:val="single" w:sz="4" w:space="0" w:color="auto"/>
            </w:tcBorders>
          </w:tcPr>
          <w:p w:rsidR="00000000" w:rsidRDefault="00000000">
            <w:pPr>
              <w:spacing w:line="240" w:lineRule="auto"/>
              <w:ind w:firstLine="276"/>
              <w:rPr>
                <w:b/>
                <w:snapToGrid/>
                <w:sz w:val="21"/>
              </w:rPr>
            </w:pPr>
            <w:r>
              <w:rPr>
                <w:rFonts w:hint="eastAsia"/>
                <w:snapToGrid/>
                <w:sz w:val="21"/>
              </w:rPr>
              <w:t>人口数量</w:t>
            </w:r>
            <w:r>
              <w:rPr>
                <w:snapToGrid/>
                <w:sz w:val="21"/>
              </w:rPr>
              <w:t>(</w:t>
            </w:r>
            <w:r>
              <w:rPr>
                <w:rFonts w:hint="eastAsia"/>
                <w:snapToGrid/>
                <w:sz w:val="21"/>
              </w:rPr>
              <w:t>年均</w:t>
            </w:r>
            <w:r>
              <w:rPr>
                <w:snapToGrid/>
                <w:sz w:val="21"/>
              </w:rPr>
              <w:t>)</w:t>
            </w:r>
          </w:p>
        </w:tc>
        <w:tc>
          <w:tcPr>
            <w:tcW w:w="2301" w:type="dxa"/>
            <w:tcBorders>
              <w:top w:val="single" w:sz="4" w:space="0" w:color="auto"/>
              <w:left w:val="single" w:sz="4" w:space="0" w:color="auto"/>
              <w:bottom w:val="nil"/>
              <w:right w:val="single" w:sz="4" w:space="0" w:color="auto"/>
            </w:tcBorders>
          </w:tcPr>
          <w:p w:rsidR="00000000" w:rsidRDefault="00000000">
            <w:pPr>
              <w:spacing w:line="240" w:lineRule="auto"/>
              <w:ind w:firstLine="45"/>
              <w:jc w:val="center"/>
              <w:rPr>
                <w:rFonts w:hint="eastAsia"/>
                <w:b/>
                <w:snapToGrid/>
                <w:sz w:val="21"/>
              </w:rPr>
            </w:pPr>
            <w:r>
              <w:rPr>
                <w:rFonts w:hint="eastAsia"/>
                <w:snapToGrid/>
                <w:sz w:val="21"/>
              </w:rPr>
              <w:t>千人</w:t>
            </w:r>
          </w:p>
        </w:tc>
        <w:tc>
          <w:tcPr>
            <w:tcW w:w="1638" w:type="dxa"/>
            <w:tcBorders>
              <w:top w:val="single" w:sz="4" w:space="0" w:color="auto"/>
              <w:left w:val="single" w:sz="4" w:space="0" w:color="auto"/>
              <w:bottom w:val="nil"/>
              <w:right w:val="single" w:sz="4" w:space="0" w:color="auto"/>
            </w:tcBorders>
          </w:tcPr>
          <w:p w:rsidR="00000000" w:rsidRDefault="00000000">
            <w:pPr>
              <w:spacing w:line="240" w:lineRule="auto"/>
              <w:ind w:right="423"/>
              <w:jc w:val="right"/>
              <w:rPr>
                <w:b/>
                <w:snapToGrid/>
                <w:sz w:val="21"/>
              </w:rPr>
            </w:pPr>
            <w:r>
              <w:rPr>
                <w:snapToGrid/>
                <w:sz w:val="21"/>
              </w:rPr>
              <w:t>3 652.7</w:t>
            </w:r>
          </w:p>
        </w:tc>
        <w:tc>
          <w:tcPr>
            <w:tcW w:w="1332" w:type="dxa"/>
            <w:tcBorders>
              <w:top w:val="single" w:sz="4" w:space="0" w:color="auto"/>
              <w:left w:val="single" w:sz="4" w:space="0" w:color="auto"/>
              <w:bottom w:val="nil"/>
              <w:right w:val="single" w:sz="4" w:space="0" w:color="auto"/>
            </w:tcBorders>
          </w:tcPr>
          <w:p w:rsidR="00000000" w:rsidRDefault="00000000">
            <w:pPr>
              <w:spacing w:line="240" w:lineRule="auto"/>
              <w:ind w:right="180" w:hanging="9"/>
              <w:jc w:val="right"/>
              <w:rPr>
                <w:b/>
                <w:snapToGrid/>
                <w:sz w:val="21"/>
              </w:rPr>
            </w:pPr>
            <w:r>
              <w:rPr>
                <w:snapToGrid/>
                <w:sz w:val="21"/>
              </w:rPr>
              <w:t>3 647.0</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b/>
                <w:snapToGrid/>
                <w:sz w:val="21"/>
              </w:rPr>
            </w:pPr>
            <w:r>
              <w:rPr>
                <w:rFonts w:hint="eastAsia"/>
                <w:snapToGrid/>
                <w:sz w:val="21"/>
              </w:rPr>
              <w:t>雇员数量</w:t>
            </w:r>
            <w:r>
              <w:rPr>
                <w:snapToGrid/>
                <w:sz w:val="21"/>
              </w:rPr>
              <w:t>(</w:t>
            </w:r>
            <w:r>
              <w:rPr>
                <w:rFonts w:hint="eastAsia"/>
                <w:snapToGrid/>
                <w:sz w:val="21"/>
              </w:rPr>
              <w:t>年均</w:t>
            </w:r>
            <w:r>
              <w:rPr>
                <w:snapToGrid/>
                <w:sz w:val="21"/>
              </w:rPr>
              <w:t>)</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snapToGrid/>
                <w:sz w:val="21"/>
              </w:rPr>
            </w:pPr>
            <w:r>
              <w:rPr>
                <w:rFonts w:hint="eastAsia"/>
                <w:snapToGrid/>
                <w:sz w:val="21"/>
              </w:rPr>
              <w:t>千人</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1 033</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845</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snapToGrid/>
                <w:sz w:val="21"/>
              </w:rPr>
            </w:pPr>
            <w:r>
              <w:rPr>
                <w:rFonts w:hint="eastAsia"/>
                <w:snapToGrid/>
                <w:sz w:val="21"/>
              </w:rPr>
              <w:t>登记的失业者</w:t>
            </w:r>
            <w:r>
              <w:rPr>
                <w:snapToGrid/>
                <w:sz w:val="21"/>
              </w:rPr>
              <w:t>(</w:t>
            </w:r>
            <w:r>
              <w:rPr>
                <w:rFonts w:hint="eastAsia"/>
                <w:snapToGrid/>
                <w:sz w:val="21"/>
              </w:rPr>
              <w:t>年均</w:t>
            </w:r>
            <w:r>
              <w:rPr>
                <w:snapToGrid/>
                <w:sz w:val="21"/>
              </w:rPr>
              <w:t>)</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snapToGrid/>
                <w:sz w:val="21"/>
              </w:rPr>
            </w:pPr>
            <w:r>
              <w:rPr>
                <w:rFonts w:hint="eastAsia"/>
                <w:snapToGrid/>
                <w:sz w:val="21"/>
              </w:rPr>
              <w:t>千人</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34</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35</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月均工资</w:t>
            </w:r>
          </w:p>
          <w:p w:rsidR="00000000" w:rsidRDefault="00000000">
            <w:pPr>
              <w:spacing w:line="240" w:lineRule="auto"/>
              <w:ind w:firstLine="276"/>
              <w:rPr>
                <w:rFonts w:hint="eastAsia"/>
                <w:snapToGrid/>
                <w:sz w:val="21"/>
              </w:rPr>
            </w:pPr>
            <w:r>
              <w:rPr>
                <w:rFonts w:hint="eastAsia"/>
                <w:snapToGrid/>
                <w:sz w:val="21"/>
              </w:rPr>
              <w:t>与上一年相比</w:t>
            </w:r>
          </w:p>
          <w:p w:rsidR="00000000" w:rsidRDefault="00000000">
            <w:pPr>
              <w:spacing w:line="240" w:lineRule="auto"/>
              <w:ind w:firstLine="276"/>
              <w:rPr>
                <w:snapToGrid/>
                <w:sz w:val="21"/>
              </w:rPr>
            </w:pPr>
            <w:r>
              <w:rPr>
                <w:rFonts w:hint="eastAsia"/>
                <w:snapToGrid/>
                <w:sz w:val="21"/>
              </w:rPr>
              <w:t>实</w:t>
            </w:r>
            <w:r>
              <w:rPr>
                <w:rFonts w:hint="eastAsia"/>
                <w:snapToGrid/>
                <w:sz w:val="21"/>
              </w:rPr>
              <w:t xml:space="preserve">  </w:t>
            </w:r>
            <w:r>
              <w:rPr>
                <w:rFonts w:hint="eastAsia"/>
                <w:snapToGrid/>
                <w:sz w:val="21"/>
              </w:rPr>
              <w:t>际</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snapToGrid/>
                <w:sz w:val="21"/>
              </w:rPr>
            </w:pPr>
            <w:r>
              <w:rPr>
                <w:rFonts w:hint="eastAsia"/>
                <w:snapToGrid/>
                <w:sz w:val="21"/>
              </w:rPr>
              <w:t>列依</w:t>
            </w:r>
            <w:r>
              <w:rPr>
                <w:snapToGrid/>
                <w:sz w:val="21"/>
              </w:rPr>
              <w:br/>
              <w:t>%</w:t>
            </w:r>
            <w:r>
              <w:rPr>
                <w:snapToGrid/>
                <w:sz w:val="21"/>
              </w:rPr>
              <w:br/>
              <w:t>%</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250.4</w:t>
            </w:r>
            <w:r>
              <w:rPr>
                <w:snapToGrid/>
                <w:sz w:val="21"/>
              </w:rPr>
              <w:br/>
              <w:t>114</w:t>
            </w:r>
            <w:r>
              <w:rPr>
                <w:snapToGrid/>
                <w:sz w:val="21"/>
              </w:rPr>
              <w:br/>
              <w:t>106</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304.6</w:t>
            </w:r>
            <w:r>
              <w:rPr>
                <w:snapToGrid/>
                <w:sz w:val="21"/>
              </w:rPr>
              <w:br/>
              <w:t>122</w:t>
            </w:r>
            <w:r>
              <w:rPr>
                <w:snapToGrid/>
                <w:sz w:val="21"/>
              </w:rPr>
              <w:br/>
              <w:t>88</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工作支付基金</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rFonts w:hint="eastAsia"/>
                <w:snapToGrid/>
                <w:sz w:val="21"/>
              </w:rPr>
            </w:pPr>
            <w:r>
              <w:rPr>
                <w:rFonts w:hint="eastAsia"/>
                <w:snapToGrid/>
                <w:sz w:val="21"/>
              </w:rPr>
              <w:t>千列依</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2 507</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2 507</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人口收入</w:t>
            </w:r>
          </w:p>
          <w:p w:rsidR="00000000" w:rsidRDefault="00000000">
            <w:pPr>
              <w:spacing w:line="240" w:lineRule="auto"/>
              <w:ind w:firstLine="276"/>
              <w:rPr>
                <w:rFonts w:hint="eastAsia"/>
                <w:snapToGrid/>
                <w:sz w:val="21"/>
              </w:rPr>
            </w:pPr>
            <w:r>
              <w:rPr>
                <w:rFonts w:hint="eastAsia"/>
                <w:snapToGrid/>
                <w:sz w:val="21"/>
              </w:rPr>
              <w:t>与上年相比</w:t>
            </w:r>
          </w:p>
          <w:p w:rsidR="00000000" w:rsidRDefault="00000000">
            <w:pPr>
              <w:spacing w:line="240" w:lineRule="auto"/>
              <w:ind w:firstLine="276"/>
              <w:rPr>
                <w:rFonts w:hint="eastAsia"/>
                <w:snapToGrid/>
                <w:sz w:val="21"/>
              </w:rPr>
            </w:pPr>
            <w:r>
              <w:rPr>
                <w:rFonts w:hint="eastAsia"/>
                <w:snapToGrid/>
                <w:sz w:val="21"/>
              </w:rPr>
              <w:t>实</w:t>
            </w:r>
            <w:r>
              <w:rPr>
                <w:rFonts w:hint="eastAsia"/>
                <w:snapToGrid/>
                <w:sz w:val="21"/>
              </w:rPr>
              <w:t xml:space="preserve">  </w:t>
            </w:r>
            <w:r>
              <w:rPr>
                <w:rFonts w:hint="eastAsia"/>
                <w:snapToGrid/>
                <w:sz w:val="21"/>
              </w:rPr>
              <w:t>际</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snapToGrid/>
                <w:sz w:val="21"/>
              </w:rPr>
            </w:pPr>
            <w:r>
              <w:rPr>
                <w:rFonts w:hint="eastAsia"/>
                <w:snapToGrid/>
                <w:sz w:val="21"/>
              </w:rPr>
              <w:t>每月人均</w:t>
            </w:r>
            <w:r>
              <w:rPr>
                <w:rFonts w:hint="eastAsia"/>
                <w:snapToGrid/>
                <w:sz w:val="21"/>
              </w:rPr>
              <w:t>/</w:t>
            </w:r>
            <w:r>
              <w:rPr>
                <w:rFonts w:hint="eastAsia"/>
                <w:snapToGrid/>
                <w:sz w:val="21"/>
              </w:rPr>
              <w:t>列依</w:t>
            </w:r>
            <w:r>
              <w:rPr>
                <w:snapToGrid/>
                <w:sz w:val="21"/>
              </w:rPr>
              <w:br/>
              <w:t>%</w:t>
            </w:r>
            <w:r>
              <w:rPr>
                <w:snapToGrid/>
                <w:sz w:val="21"/>
              </w:rPr>
              <w:br/>
              <w:t>%</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119.7</w:t>
            </w:r>
            <w:r>
              <w:rPr>
                <w:snapToGrid/>
                <w:sz w:val="21"/>
              </w:rPr>
              <w:br/>
              <w:t>93.2</w:t>
            </w:r>
            <w:r>
              <w:rPr>
                <w:snapToGrid/>
                <w:sz w:val="21"/>
              </w:rPr>
              <w:br/>
              <w:t>86.3</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132.7</w:t>
            </w:r>
            <w:r>
              <w:rPr>
                <w:snapToGrid/>
                <w:sz w:val="21"/>
              </w:rPr>
              <w:br/>
              <w:t>110.9</w:t>
            </w:r>
            <w:r>
              <w:rPr>
                <w:snapToGrid/>
                <w:sz w:val="21"/>
              </w:rPr>
              <w:br/>
              <w:t>79.8</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人口开支</w:t>
            </w:r>
          </w:p>
        </w:tc>
        <w:tc>
          <w:tcPr>
            <w:tcW w:w="2301" w:type="dxa"/>
            <w:tcBorders>
              <w:top w:val="nil"/>
              <w:left w:val="single" w:sz="4" w:space="0" w:color="auto"/>
              <w:bottom w:val="nil"/>
              <w:right w:val="single" w:sz="4" w:space="0" w:color="auto"/>
            </w:tcBorders>
          </w:tcPr>
          <w:p w:rsidR="00000000" w:rsidRDefault="00000000">
            <w:pPr>
              <w:spacing w:line="240" w:lineRule="auto"/>
              <w:ind w:hanging="60"/>
              <w:jc w:val="center"/>
              <w:rPr>
                <w:snapToGrid/>
                <w:sz w:val="21"/>
              </w:rPr>
            </w:pPr>
            <w:r>
              <w:rPr>
                <w:rFonts w:hint="eastAsia"/>
                <w:snapToGrid/>
                <w:sz w:val="21"/>
              </w:rPr>
              <w:t>千列依</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6 731</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7 281</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line="240" w:lineRule="auto"/>
              <w:ind w:firstLine="276"/>
              <w:rPr>
                <w:rFonts w:hint="eastAsia"/>
                <w:snapToGrid/>
                <w:sz w:val="21"/>
              </w:rPr>
            </w:pPr>
            <w:r>
              <w:rPr>
                <w:rFonts w:hint="eastAsia"/>
                <w:snapToGrid/>
                <w:sz w:val="21"/>
              </w:rPr>
              <w:t>货物贸易量</w:t>
            </w:r>
          </w:p>
        </w:tc>
        <w:tc>
          <w:tcPr>
            <w:tcW w:w="2301" w:type="dxa"/>
            <w:tcBorders>
              <w:top w:val="nil"/>
              <w:bottom w:val="nil"/>
            </w:tcBorders>
          </w:tcPr>
          <w:p w:rsidR="00000000" w:rsidRDefault="00000000">
            <w:pPr>
              <w:spacing w:line="240" w:lineRule="auto"/>
              <w:ind w:hanging="60"/>
              <w:jc w:val="center"/>
              <w:rPr>
                <w:snapToGrid/>
                <w:sz w:val="21"/>
              </w:rPr>
            </w:pPr>
            <w:r>
              <w:rPr>
                <w:rFonts w:hint="eastAsia"/>
                <w:snapToGrid/>
                <w:sz w:val="21"/>
              </w:rPr>
              <w:t>千列依</w:t>
            </w:r>
          </w:p>
        </w:tc>
        <w:tc>
          <w:tcPr>
            <w:tcW w:w="1638" w:type="dxa"/>
            <w:tcBorders>
              <w:top w:val="nil"/>
              <w:bottom w:val="nil"/>
            </w:tcBorders>
          </w:tcPr>
          <w:p w:rsidR="00000000" w:rsidRDefault="00000000">
            <w:pPr>
              <w:spacing w:line="240" w:lineRule="auto"/>
              <w:ind w:right="423"/>
              <w:jc w:val="right"/>
              <w:rPr>
                <w:snapToGrid/>
                <w:sz w:val="21"/>
              </w:rPr>
            </w:pPr>
            <w:r>
              <w:rPr>
                <w:snapToGrid/>
                <w:sz w:val="21"/>
              </w:rPr>
              <w:t>3 679</w:t>
            </w:r>
          </w:p>
        </w:tc>
        <w:tc>
          <w:tcPr>
            <w:tcW w:w="1332" w:type="dxa"/>
            <w:tcBorders>
              <w:top w:val="nil"/>
              <w:bottom w:val="nil"/>
            </w:tcBorders>
          </w:tcPr>
          <w:p w:rsidR="00000000" w:rsidRDefault="00000000">
            <w:pPr>
              <w:spacing w:line="240" w:lineRule="auto"/>
              <w:ind w:right="180" w:hanging="9"/>
              <w:jc w:val="right"/>
              <w:rPr>
                <w:snapToGrid/>
                <w:sz w:val="21"/>
              </w:rPr>
            </w:pPr>
            <w:r>
              <w:rPr>
                <w:snapToGrid/>
                <w:sz w:val="21"/>
              </w:rPr>
              <w:t>3 602</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snapToGrid/>
                <w:sz w:val="21"/>
              </w:rPr>
            </w:pPr>
            <w:r>
              <w:rPr>
                <w:rFonts w:hint="eastAsia"/>
                <w:snapToGrid/>
                <w:sz w:val="21"/>
              </w:rPr>
              <w:t>向人民提供的交费服务</w:t>
            </w:r>
          </w:p>
        </w:tc>
        <w:tc>
          <w:tcPr>
            <w:tcW w:w="2301" w:type="dxa"/>
            <w:tcBorders>
              <w:top w:val="nil"/>
              <w:left w:val="single" w:sz="4" w:space="0" w:color="auto"/>
              <w:bottom w:val="nil"/>
              <w:right w:val="single" w:sz="4" w:space="0" w:color="auto"/>
            </w:tcBorders>
          </w:tcPr>
          <w:p w:rsidR="00000000" w:rsidRDefault="00000000">
            <w:pPr>
              <w:spacing w:line="240" w:lineRule="auto"/>
              <w:ind w:hanging="60"/>
              <w:jc w:val="center"/>
              <w:rPr>
                <w:snapToGrid/>
                <w:sz w:val="21"/>
              </w:rPr>
            </w:pPr>
            <w:r>
              <w:rPr>
                <w:rFonts w:hint="eastAsia"/>
                <w:snapToGrid/>
                <w:sz w:val="21"/>
              </w:rPr>
              <w:t>千列依</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1 299</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1 897</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u w:val="single"/>
              </w:rPr>
            </w:pPr>
            <w:r>
              <w:rPr>
                <w:rFonts w:hint="eastAsia"/>
                <w:snapToGrid/>
                <w:sz w:val="21"/>
                <w:u w:val="single"/>
              </w:rPr>
              <w:t>教</w:t>
            </w:r>
            <w:r>
              <w:rPr>
                <w:rFonts w:hint="eastAsia"/>
                <w:snapToGrid/>
                <w:sz w:val="21"/>
                <w:u w:val="single"/>
              </w:rPr>
              <w:t xml:space="preserve">  </w:t>
            </w:r>
            <w:r>
              <w:rPr>
                <w:rFonts w:hint="eastAsia"/>
                <w:snapToGrid/>
                <w:sz w:val="21"/>
                <w:u w:val="single"/>
              </w:rPr>
              <w:t>育</w:t>
            </w:r>
          </w:p>
          <w:p w:rsidR="00000000" w:rsidRDefault="00000000">
            <w:pPr>
              <w:spacing w:line="240" w:lineRule="auto"/>
              <w:ind w:firstLine="276"/>
              <w:rPr>
                <w:rFonts w:hint="eastAsia"/>
                <w:snapToGrid/>
                <w:sz w:val="21"/>
              </w:rPr>
            </w:pPr>
            <w:r>
              <w:rPr>
                <w:rFonts w:hint="eastAsia"/>
                <w:bCs/>
                <w:snapToGrid/>
                <w:sz w:val="21"/>
              </w:rPr>
              <w:t>儿童</w:t>
            </w:r>
            <w:r>
              <w:rPr>
                <w:rFonts w:hint="eastAsia"/>
                <w:snapToGrid/>
                <w:sz w:val="21"/>
              </w:rPr>
              <w:t>人数</w:t>
            </w:r>
            <w:r>
              <w:rPr>
                <w:snapToGrid/>
                <w:sz w:val="21"/>
              </w:rPr>
              <w:t>：</w:t>
            </w:r>
            <w:r>
              <w:rPr>
                <w:rFonts w:hint="eastAsia"/>
                <w:snapToGrid/>
                <w:sz w:val="21"/>
              </w:rPr>
              <w:t>幼儿园内</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rFonts w:hint="eastAsia"/>
                <w:snapToGrid/>
                <w:sz w:val="21"/>
              </w:rPr>
            </w:pPr>
            <w:r>
              <w:rPr>
                <w:snapToGrid/>
                <w:sz w:val="21"/>
              </w:rPr>
              <w:br/>
            </w:r>
            <w:r>
              <w:rPr>
                <w:rFonts w:hint="eastAsia"/>
                <w:snapToGrid/>
                <w:sz w:val="21"/>
              </w:rPr>
              <w:t>千儿童</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br/>
              <w:t>126</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br/>
              <w:t>101.0</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b/>
                <w:snapToGrid/>
                <w:sz w:val="21"/>
              </w:rPr>
            </w:pPr>
            <w:r>
              <w:rPr>
                <w:rFonts w:hint="eastAsia"/>
                <w:snapToGrid/>
                <w:sz w:val="21"/>
              </w:rPr>
              <w:t>小学、初中和高中内</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rFonts w:hint="eastAsia"/>
                <w:snapToGrid/>
                <w:sz w:val="21"/>
              </w:rPr>
            </w:pPr>
            <w:r>
              <w:rPr>
                <w:rFonts w:hint="eastAsia"/>
                <w:snapToGrid/>
                <w:sz w:val="21"/>
              </w:rPr>
              <w:t>千学生</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650.7</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643.1</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高</w:t>
            </w:r>
            <w:r>
              <w:rPr>
                <w:rFonts w:hint="eastAsia"/>
                <w:snapToGrid/>
                <w:sz w:val="21"/>
              </w:rPr>
              <w:t xml:space="preserve">  </w:t>
            </w:r>
            <w:r>
              <w:rPr>
                <w:rFonts w:hint="eastAsia"/>
                <w:snapToGrid/>
                <w:sz w:val="21"/>
              </w:rPr>
              <w:t>中</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snapToGrid/>
                <w:sz w:val="21"/>
              </w:rPr>
            </w:pPr>
            <w:r>
              <w:rPr>
                <w:rFonts w:hint="eastAsia"/>
                <w:snapToGrid/>
                <w:sz w:val="21"/>
              </w:rPr>
              <w:t>千学生</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106.5</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112.9</w:t>
            </w:r>
          </w:p>
        </w:tc>
      </w:tr>
      <w:tr w:rsidR="00000000">
        <w:tblPrEx>
          <w:tblCellMar>
            <w:top w:w="0" w:type="dxa"/>
            <w:bottom w:w="0" w:type="dxa"/>
          </w:tblCellMar>
        </w:tblPrEx>
        <w:trPr>
          <w:cantSplit/>
          <w:jc w:val="center"/>
        </w:trPr>
        <w:tc>
          <w:tcPr>
            <w:tcW w:w="4011" w:type="dxa"/>
            <w:tcBorders>
              <w:top w:val="nil"/>
              <w:left w:val="single" w:sz="4" w:space="0" w:color="auto"/>
              <w:bottom w:val="single" w:sz="4" w:space="0" w:color="auto"/>
              <w:right w:val="single" w:sz="4" w:space="0" w:color="auto"/>
            </w:tcBorders>
          </w:tcPr>
          <w:p w:rsidR="00000000" w:rsidRDefault="00000000">
            <w:pPr>
              <w:spacing w:line="240" w:lineRule="auto"/>
              <w:ind w:firstLine="276"/>
              <w:rPr>
                <w:rFonts w:hint="eastAsia"/>
                <w:snapToGrid/>
                <w:sz w:val="21"/>
              </w:rPr>
            </w:pPr>
            <w:r>
              <w:rPr>
                <w:rFonts w:hint="eastAsia"/>
                <w:snapToGrid/>
                <w:sz w:val="21"/>
              </w:rPr>
              <w:t>教育机构的招生率</w:t>
            </w:r>
          </w:p>
          <w:p w:rsidR="00000000" w:rsidRDefault="00000000">
            <w:pPr>
              <w:spacing w:line="240" w:lineRule="auto"/>
              <w:ind w:firstLine="276"/>
              <w:rPr>
                <w:rFonts w:hint="eastAsia"/>
                <w:snapToGrid/>
                <w:sz w:val="21"/>
              </w:rPr>
            </w:pPr>
            <w:r>
              <w:rPr>
                <w:snapToGrid/>
                <w:sz w:val="21"/>
              </w:rPr>
              <w:t>(</w:t>
            </w:r>
            <w:r>
              <w:rPr>
                <w:rFonts w:hint="eastAsia"/>
                <w:snapToGrid/>
                <w:sz w:val="21"/>
              </w:rPr>
              <w:t>由预算供资</w:t>
            </w:r>
            <w:r>
              <w:rPr>
                <w:snapToGrid/>
                <w:sz w:val="21"/>
              </w:rPr>
              <w:t>)</w:t>
            </w:r>
            <w:r>
              <w:rPr>
                <w:snapToGrid/>
                <w:sz w:val="21"/>
              </w:rPr>
              <w:t>：</w:t>
            </w:r>
          </w:p>
          <w:p w:rsidR="00000000" w:rsidRDefault="00000000">
            <w:pPr>
              <w:spacing w:line="240" w:lineRule="auto"/>
              <w:ind w:firstLine="276"/>
              <w:rPr>
                <w:rFonts w:hint="eastAsia"/>
                <w:snapToGrid/>
                <w:sz w:val="21"/>
              </w:rPr>
            </w:pPr>
            <w:r>
              <w:rPr>
                <w:rFonts w:hint="eastAsia"/>
                <w:snapToGrid/>
                <w:sz w:val="21"/>
              </w:rPr>
              <w:t>大</w:t>
            </w:r>
            <w:r>
              <w:rPr>
                <w:rFonts w:hint="eastAsia"/>
                <w:snapToGrid/>
                <w:sz w:val="21"/>
              </w:rPr>
              <w:t xml:space="preserve">  </w:t>
            </w:r>
            <w:r>
              <w:rPr>
                <w:rFonts w:hint="eastAsia"/>
                <w:snapToGrid/>
                <w:sz w:val="21"/>
              </w:rPr>
              <w:t>学</w:t>
            </w:r>
          </w:p>
          <w:p w:rsidR="00000000" w:rsidRDefault="00000000">
            <w:pPr>
              <w:spacing w:line="240" w:lineRule="auto"/>
              <w:ind w:firstLine="276"/>
              <w:rPr>
                <w:rFonts w:hint="eastAsia"/>
                <w:snapToGrid/>
                <w:sz w:val="21"/>
              </w:rPr>
            </w:pPr>
            <w:r>
              <w:rPr>
                <w:rFonts w:hint="eastAsia"/>
                <w:snapToGrid/>
                <w:sz w:val="21"/>
              </w:rPr>
              <w:t>包括日间课程班</w:t>
            </w:r>
          </w:p>
        </w:tc>
        <w:tc>
          <w:tcPr>
            <w:tcW w:w="2301" w:type="dxa"/>
            <w:tcBorders>
              <w:top w:val="nil"/>
              <w:left w:val="single" w:sz="4" w:space="0" w:color="auto"/>
              <w:bottom w:val="single" w:sz="4" w:space="0" w:color="auto"/>
              <w:right w:val="single" w:sz="4" w:space="0" w:color="auto"/>
            </w:tcBorders>
          </w:tcPr>
          <w:p w:rsidR="00000000" w:rsidRDefault="00000000">
            <w:pPr>
              <w:spacing w:line="240" w:lineRule="auto"/>
              <w:jc w:val="center"/>
              <w:rPr>
                <w:rFonts w:hint="eastAsia"/>
                <w:snapToGrid/>
                <w:sz w:val="21"/>
              </w:rPr>
            </w:pPr>
            <w:r>
              <w:rPr>
                <w:snapToGrid/>
                <w:sz w:val="21"/>
              </w:rPr>
              <w:br/>
            </w:r>
            <w:r>
              <w:rPr>
                <w:snapToGrid/>
                <w:sz w:val="21"/>
              </w:rPr>
              <w:br/>
            </w:r>
            <w:r>
              <w:rPr>
                <w:rFonts w:hint="eastAsia"/>
                <w:snapToGrid/>
                <w:sz w:val="21"/>
              </w:rPr>
              <w:t>人</w:t>
            </w:r>
            <w:r>
              <w:rPr>
                <w:snapToGrid/>
                <w:sz w:val="21"/>
              </w:rPr>
              <w:br/>
            </w:r>
            <w:r>
              <w:rPr>
                <w:rFonts w:hint="eastAsia"/>
                <w:snapToGrid/>
                <w:sz w:val="21"/>
              </w:rPr>
              <w:t>人</w:t>
            </w:r>
          </w:p>
        </w:tc>
        <w:tc>
          <w:tcPr>
            <w:tcW w:w="1638" w:type="dxa"/>
            <w:tcBorders>
              <w:top w:val="nil"/>
              <w:left w:val="single" w:sz="4" w:space="0" w:color="auto"/>
              <w:bottom w:val="single" w:sz="4" w:space="0" w:color="auto"/>
              <w:right w:val="single" w:sz="4" w:space="0" w:color="auto"/>
            </w:tcBorders>
          </w:tcPr>
          <w:p w:rsidR="00000000" w:rsidRDefault="00000000">
            <w:pPr>
              <w:spacing w:line="240" w:lineRule="auto"/>
              <w:ind w:right="423"/>
              <w:jc w:val="right"/>
              <w:rPr>
                <w:snapToGrid/>
                <w:sz w:val="21"/>
              </w:rPr>
            </w:pPr>
            <w:r>
              <w:rPr>
                <w:snapToGrid/>
                <w:sz w:val="21"/>
              </w:rPr>
              <w:br/>
            </w:r>
            <w:r>
              <w:rPr>
                <w:snapToGrid/>
                <w:sz w:val="21"/>
              </w:rPr>
              <w:br/>
              <w:t>68 376</w:t>
            </w:r>
            <w:r>
              <w:rPr>
                <w:snapToGrid/>
                <w:sz w:val="21"/>
              </w:rPr>
              <w:br/>
              <w:t>253</w:t>
            </w:r>
          </w:p>
        </w:tc>
        <w:tc>
          <w:tcPr>
            <w:tcW w:w="1332" w:type="dxa"/>
            <w:tcBorders>
              <w:top w:val="nil"/>
              <w:left w:val="single" w:sz="4" w:space="0" w:color="auto"/>
              <w:bottom w:val="single" w:sz="4" w:space="0" w:color="auto"/>
              <w:right w:val="single" w:sz="4" w:space="0" w:color="auto"/>
            </w:tcBorders>
          </w:tcPr>
          <w:p w:rsidR="00000000" w:rsidRDefault="00000000">
            <w:pPr>
              <w:spacing w:line="240" w:lineRule="auto"/>
              <w:ind w:right="180" w:hanging="9"/>
              <w:jc w:val="right"/>
              <w:rPr>
                <w:snapToGrid/>
                <w:sz w:val="21"/>
              </w:rPr>
            </w:pPr>
            <w:r>
              <w:rPr>
                <w:snapToGrid/>
                <w:sz w:val="21"/>
              </w:rPr>
              <w:br/>
            </w:r>
            <w:r>
              <w:rPr>
                <w:snapToGrid/>
                <w:sz w:val="21"/>
              </w:rPr>
              <w:br/>
              <w:t>5 211</w:t>
            </w:r>
            <w:r>
              <w:rPr>
                <w:snapToGrid/>
                <w:sz w:val="21"/>
              </w:rPr>
              <w:br/>
              <w:t>4 751</w:t>
            </w:r>
          </w:p>
        </w:tc>
      </w:tr>
      <w:tr w:rsidR="00000000">
        <w:tblPrEx>
          <w:tblCellMar>
            <w:top w:w="0" w:type="dxa"/>
            <w:bottom w:w="0" w:type="dxa"/>
          </w:tblCellMar>
        </w:tblPrEx>
        <w:trPr>
          <w:cantSplit/>
          <w:jc w:val="center"/>
        </w:trPr>
        <w:tc>
          <w:tcPr>
            <w:tcW w:w="4011" w:type="dxa"/>
            <w:tcBorders>
              <w:top w:val="single" w:sz="4" w:space="0" w:color="auto"/>
              <w:left w:val="single" w:sz="4" w:space="0" w:color="auto"/>
              <w:bottom w:val="nil"/>
              <w:right w:val="single" w:sz="4" w:space="0" w:color="auto"/>
            </w:tcBorders>
          </w:tcPr>
          <w:p w:rsidR="00000000" w:rsidRDefault="00000000">
            <w:pPr>
              <w:spacing w:line="240" w:lineRule="auto"/>
              <w:ind w:firstLine="276"/>
              <w:rPr>
                <w:snapToGrid/>
                <w:sz w:val="21"/>
              </w:rPr>
            </w:pPr>
            <w:r>
              <w:rPr>
                <w:rFonts w:hint="eastAsia"/>
                <w:snapToGrid/>
                <w:sz w:val="21"/>
              </w:rPr>
              <w:t>学</w:t>
            </w:r>
            <w:r>
              <w:rPr>
                <w:snapToGrid/>
                <w:sz w:val="21"/>
              </w:rPr>
              <w:t xml:space="preserve"> </w:t>
            </w:r>
            <w:r>
              <w:rPr>
                <w:rFonts w:hint="eastAsia"/>
                <w:snapToGrid/>
                <w:sz w:val="21"/>
              </w:rPr>
              <w:t xml:space="preserve"> </w:t>
            </w:r>
            <w:r>
              <w:rPr>
                <w:rFonts w:hint="eastAsia"/>
                <w:snapToGrid/>
                <w:sz w:val="21"/>
              </w:rPr>
              <w:t>院</w:t>
            </w:r>
          </w:p>
          <w:p w:rsidR="00000000" w:rsidRDefault="00000000">
            <w:pPr>
              <w:spacing w:line="240" w:lineRule="auto"/>
              <w:ind w:firstLine="276"/>
              <w:rPr>
                <w:rFonts w:hint="eastAsia"/>
                <w:snapToGrid/>
                <w:sz w:val="21"/>
              </w:rPr>
            </w:pPr>
            <w:r>
              <w:rPr>
                <w:rFonts w:hint="eastAsia"/>
                <w:snapToGrid/>
                <w:sz w:val="21"/>
              </w:rPr>
              <w:t>包括日间课程班</w:t>
            </w:r>
          </w:p>
          <w:p w:rsidR="00000000" w:rsidRDefault="00000000">
            <w:pPr>
              <w:spacing w:line="240" w:lineRule="auto"/>
              <w:ind w:firstLine="276"/>
              <w:rPr>
                <w:rFonts w:hint="eastAsia"/>
                <w:snapToGrid/>
                <w:sz w:val="21"/>
              </w:rPr>
            </w:pPr>
            <w:r>
              <w:rPr>
                <w:rFonts w:hint="eastAsia"/>
                <w:snapToGrid/>
                <w:sz w:val="21"/>
              </w:rPr>
              <w:t>中级技校</w:t>
            </w:r>
          </w:p>
        </w:tc>
        <w:tc>
          <w:tcPr>
            <w:tcW w:w="2301" w:type="dxa"/>
            <w:tcBorders>
              <w:top w:val="single" w:sz="4" w:space="0" w:color="auto"/>
              <w:left w:val="single" w:sz="4" w:space="0" w:color="auto"/>
              <w:bottom w:val="nil"/>
              <w:right w:val="single" w:sz="4" w:space="0" w:color="auto"/>
            </w:tcBorders>
          </w:tcPr>
          <w:p w:rsidR="00000000" w:rsidRDefault="00000000">
            <w:pPr>
              <w:spacing w:line="240" w:lineRule="auto"/>
              <w:jc w:val="center"/>
              <w:rPr>
                <w:rFonts w:hint="eastAsia"/>
                <w:snapToGrid/>
                <w:sz w:val="21"/>
              </w:rPr>
            </w:pPr>
            <w:r>
              <w:rPr>
                <w:rFonts w:hint="eastAsia"/>
                <w:snapToGrid/>
                <w:sz w:val="21"/>
              </w:rPr>
              <w:t>人</w:t>
            </w:r>
            <w:r>
              <w:rPr>
                <w:snapToGrid/>
                <w:sz w:val="21"/>
              </w:rPr>
              <w:br/>
            </w:r>
            <w:r>
              <w:rPr>
                <w:rFonts w:hint="eastAsia"/>
                <w:snapToGrid/>
                <w:sz w:val="21"/>
              </w:rPr>
              <w:t>人</w:t>
            </w:r>
          </w:p>
          <w:p w:rsidR="00000000" w:rsidRDefault="00000000">
            <w:pPr>
              <w:spacing w:line="240" w:lineRule="auto"/>
              <w:jc w:val="center"/>
              <w:rPr>
                <w:rFonts w:hint="eastAsia"/>
                <w:snapToGrid/>
                <w:sz w:val="21"/>
              </w:rPr>
            </w:pPr>
            <w:r>
              <w:rPr>
                <w:rFonts w:hint="eastAsia"/>
                <w:snapToGrid/>
                <w:sz w:val="21"/>
              </w:rPr>
              <w:t>人</w:t>
            </w:r>
          </w:p>
        </w:tc>
        <w:tc>
          <w:tcPr>
            <w:tcW w:w="1638" w:type="dxa"/>
            <w:tcBorders>
              <w:top w:val="single" w:sz="4" w:space="0" w:color="auto"/>
              <w:left w:val="single" w:sz="4" w:space="0" w:color="auto"/>
              <w:bottom w:val="nil"/>
              <w:right w:val="single" w:sz="4" w:space="0" w:color="auto"/>
            </w:tcBorders>
          </w:tcPr>
          <w:p w:rsidR="00000000" w:rsidRDefault="00000000">
            <w:pPr>
              <w:spacing w:line="240" w:lineRule="auto"/>
              <w:ind w:right="423"/>
              <w:jc w:val="right"/>
              <w:rPr>
                <w:rFonts w:hint="eastAsia"/>
                <w:snapToGrid/>
                <w:sz w:val="21"/>
              </w:rPr>
            </w:pPr>
            <w:r>
              <w:rPr>
                <w:snapToGrid/>
                <w:sz w:val="21"/>
              </w:rPr>
              <w:t>42 694</w:t>
            </w:r>
            <w:r>
              <w:rPr>
                <w:snapToGrid/>
                <w:sz w:val="21"/>
              </w:rPr>
              <w:br/>
              <w:t>256</w:t>
            </w:r>
          </w:p>
          <w:p w:rsidR="00000000" w:rsidRDefault="00000000">
            <w:pPr>
              <w:spacing w:line="240" w:lineRule="auto"/>
              <w:ind w:right="423"/>
              <w:jc w:val="right"/>
              <w:rPr>
                <w:rFonts w:hint="eastAsia"/>
                <w:snapToGrid/>
                <w:sz w:val="21"/>
              </w:rPr>
            </w:pPr>
            <w:r>
              <w:rPr>
                <w:rFonts w:hint="eastAsia"/>
                <w:snapToGrid/>
                <w:sz w:val="21"/>
              </w:rPr>
              <w:t>16 279</w:t>
            </w:r>
          </w:p>
        </w:tc>
        <w:tc>
          <w:tcPr>
            <w:tcW w:w="1332" w:type="dxa"/>
            <w:tcBorders>
              <w:top w:val="single" w:sz="4" w:space="0" w:color="auto"/>
              <w:left w:val="single" w:sz="4" w:space="0" w:color="auto"/>
              <w:bottom w:val="nil"/>
              <w:right w:val="single" w:sz="4" w:space="0" w:color="auto"/>
            </w:tcBorders>
          </w:tcPr>
          <w:p w:rsidR="00000000" w:rsidRDefault="00000000">
            <w:pPr>
              <w:spacing w:line="240" w:lineRule="auto"/>
              <w:ind w:right="180" w:hanging="9"/>
              <w:jc w:val="right"/>
              <w:rPr>
                <w:rFonts w:hint="eastAsia"/>
                <w:snapToGrid/>
                <w:sz w:val="21"/>
              </w:rPr>
            </w:pPr>
            <w:r>
              <w:rPr>
                <w:snapToGrid/>
                <w:sz w:val="21"/>
              </w:rPr>
              <w:t>33 293</w:t>
            </w:r>
            <w:r>
              <w:rPr>
                <w:snapToGrid/>
                <w:sz w:val="21"/>
              </w:rPr>
              <w:br/>
              <w:t>329</w:t>
            </w:r>
          </w:p>
          <w:p w:rsidR="00000000" w:rsidRDefault="00000000">
            <w:pPr>
              <w:spacing w:line="240" w:lineRule="auto"/>
              <w:ind w:right="180" w:hanging="9"/>
              <w:jc w:val="right"/>
              <w:rPr>
                <w:rFonts w:hint="eastAsia"/>
                <w:snapToGrid/>
                <w:sz w:val="21"/>
              </w:rPr>
            </w:pPr>
            <w:r>
              <w:rPr>
                <w:rFonts w:hint="eastAsia"/>
                <w:snapToGrid/>
                <w:sz w:val="21"/>
              </w:rPr>
              <w:t>15 309</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snapToGrid/>
                <w:sz w:val="21"/>
                <w:u w:val="single"/>
              </w:rPr>
            </w:pPr>
            <w:r>
              <w:rPr>
                <w:rFonts w:hint="eastAsia"/>
                <w:snapToGrid/>
                <w:sz w:val="21"/>
                <w:u w:val="single"/>
              </w:rPr>
              <w:t>卫生保健</w:t>
            </w:r>
          </w:p>
          <w:p w:rsidR="00000000" w:rsidRDefault="00000000">
            <w:pPr>
              <w:spacing w:line="240" w:lineRule="auto"/>
              <w:ind w:firstLine="276"/>
              <w:rPr>
                <w:rFonts w:hint="eastAsia"/>
                <w:snapToGrid/>
                <w:sz w:val="21"/>
              </w:rPr>
            </w:pPr>
            <w:r>
              <w:rPr>
                <w:rFonts w:hint="eastAsia"/>
                <w:snapToGrid/>
                <w:sz w:val="21"/>
              </w:rPr>
              <w:t>医院床位</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rFonts w:hint="eastAsia"/>
                <w:snapToGrid/>
                <w:sz w:val="21"/>
              </w:rPr>
            </w:pPr>
            <w:r>
              <w:rPr>
                <w:snapToGrid/>
                <w:sz w:val="21"/>
              </w:rPr>
              <w:br/>
            </w:r>
            <w:r>
              <w:rPr>
                <w:rFonts w:hint="eastAsia"/>
                <w:snapToGrid/>
                <w:sz w:val="21"/>
              </w:rPr>
              <w:t>千床位</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br/>
              <w:t>48.3</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br/>
              <w:t>35.1</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药房能力</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snapToGrid/>
                <w:sz w:val="21"/>
              </w:rPr>
            </w:pPr>
            <w:r>
              <w:rPr>
                <w:rFonts w:hint="eastAsia"/>
                <w:snapToGrid/>
                <w:sz w:val="21"/>
              </w:rPr>
              <w:t>每班制千次访问率</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69.6</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72</w:t>
            </w:r>
          </w:p>
        </w:tc>
      </w:tr>
      <w:tr w:rsidR="00000000">
        <w:tblPrEx>
          <w:tblCellMar>
            <w:top w:w="0" w:type="dxa"/>
            <w:bottom w:w="0" w:type="dxa"/>
          </w:tblCellMar>
        </w:tblPrEx>
        <w:trPr>
          <w:cantSplit/>
          <w:trHeight w:val="219"/>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医生人数</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rFonts w:hint="eastAsia"/>
                <w:snapToGrid/>
                <w:sz w:val="21"/>
              </w:rPr>
            </w:pPr>
            <w:r>
              <w:rPr>
                <w:rFonts w:hint="eastAsia"/>
                <w:snapToGrid/>
                <w:sz w:val="21"/>
              </w:rPr>
              <w:t>千人</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16.3</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15.7</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人均医务工作人员数量</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snapToGrid/>
                <w:sz w:val="21"/>
              </w:rPr>
            </w:pPr>
            <w:r>
              <w:rPr>
                <w:rFonts w:hint="eastAsia"/>
                <w:snapToGrid/>
                <w:sz w:val="21"/>
              </w:rPr>
              <w:t>千人</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40.7</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35.9</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snapToGrid/>
                <w:sz w:val="21"/>
                <w:u w:val="single"/>
              </w:rPr>
            </w:pPr>
            <w:r>
              <w:rPr>
                <w:rFonts w:hint="eastAsia"/>
                <w:snapToGrid/>
                <w:sz w:val="21"/>
                <w:u w:val="single"/>
              </w:rPr>
              <w:t>文化和体育</w:t>
            </w:r>
          </w:p>
          <w:p w:rsidR="00000000" w:rsidRDefault="00000000">
            <w:pPr>
              <w:spacing w:line="240" w:lineRule="auto"/>
              <w:ind w:firstLine="276"/>
              <w:rPr>
                <w:rFonts w:hint="eastAsia"/>
                <w:snapToGrid/>
                <w:sz w:val="21"/>
              </w:rPr>
            </w:pPr>
            <w:r>
              <w:rPr>
                <w:rFonts w:hint="eastAsia"/>
                <w:snapToGrid/>
                <w:sz w:val="21"/>
              </w:rPr>
              <w:t>公共图书馆</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rFonts w:hint="eastAsia"/>
                <w:snapToGrid/>
                <w:sz w:val="21"/>
              </w:rPr>
            </w:pPr>
            <w:r>
              <w:rPr>
                <w:snapToGrid/>
                <w:sz w:val="21"/>
              </w:rPr>
              <w:br/>
            </w:r>
            <w:r>
              <w:rPr>
                <w:rFonts w:hint="eastAsia"/>
                <w:snapToGrid/>
                <w:sz w:val="21"/>
              </w:rPr>
              <w:t>座</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br/>
              <w:t>1 551</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br/>
              <w:t>1 439</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购书资金</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rFonts w:hint="eastAsia"/>
                <w:snapToGrid/>
                <w:sz w:val="21"/>
              </w:rPr>
            </w:pPr>
            <w:r>
              <w:rPr>
                <w:rFonts w:hint="eastAsia"/>
                <w:snapToGrid/>
                <w:sz w:val="21"/>
              </w:rPr>
              <w:t>最低购书本数</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20.8</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19.9</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剧院与音乐厅</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rFonts w:hint="eastAsia"/>
                <w:snapToGrid/>
                <w:sz w:val="21"/>
              </w:rPr>
            </w:pPr>
            <w:r>
              <w:rPr>
                <w:rFonts w:hint="eastAsia"/>
                <w:snapToGrid/>
                <w:sz w:val="21"/>
              </w:rPr>
              <w:t>座</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20</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20</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剧院音乐厅的观</w:t>
            </w:r>
            <w:r>
              <w:rPr>
                <w:rFonts w:hint="eastAsia"/>
                <w:snapToGrid/>
                <w:sz w:val="21"/>
              </w:rPr>
              <w:t>(</w:t>
            </w:r>
            <w:r>
              <w:rPr>
                <w:rFonts w:hint="eastAsia"/>
                <w:snapToGrid/>
                <w:sz w:val="21"/>
              </w:rPr>
              <w:t>听</w:t>
            </w:r>
            <w:r>
              <w:rPr>
                <w:rFonts w:hint="eastAsia"/>
                <w:snapToGrid/>
                <w:sz w:val="21"/>
              </w:rPr>
              <w:t>)</w:t>
            </w:r>
            <w:r>
              <w:rPr>
                <w:rFonts w:hint="eastAsia"/>
                <w:snapToGrid/>
                <w:sz w:val="21"/>
              </w:rPr>
              <w:t>众人数</w:t>
            </w:r>
          </w:p>
        </w:tc>
        <w:tc>
          <w:tcPr>
            <w:tcW w:w="2301" w:type="dxa"/>
            <w:tcBorders>
              <w:top w:val="nil"/>
              <w:left w:val="single" w:sz="4" w:space="0" w:color="auto"/>
              <w:bottom w:val="nil"/>
              <w:right w:val="single" w:sz="4" w:space="0" w:color="auto"/>
            </w:tcBorders>
          </w:tcPr>
          <w:p w:rsidR="00000000" w:rsidRDefault="00000000">
            <w:pPr>
              <w:spacing w:line="240" w:lineRule="auto"/>
              <w:ind w:firstLine="45"/>
              <w:jc w:val="center"/>
              <w:rPr>
                <w:rFonts w:hint="eastAsia"/>
                <w:snapToGrid/>
                <w:sz w:val="21"/>
              </w:rPr>
            </w:pPr>
            <w:r>
              <w:rPr>
                <w:rFonts w:hint="eastAsia"/>
                <w:snapToGrid/>
                <w:sz w:val="21"/>
              </w:rPr>
              <w:t>千</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578</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402</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影院设施</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rFonts w:hint="eastAsia"/>
                <w:snapToGrid/>
                <w:sz w:val="21"/>
              </w:rPr>
            </w:pPr>
            <w:r>
              <w:rPr>
                <w:rFonts w:hint="eastAsia"/>
                <w:snapToGrid/>
                <w:sz w:val="21"/>
              </w:rPr>
              <w:t>座</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512</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353</w:t>
            </w:r>
          </w:p>
        </w:tc>
      </w:tr>
      <w:tr w:rsidR="00000000">
        <w:tblPrEx>
          <w:tblCellMar>
            <w:top w:w="0" w:type="dxa"/>
            <w:bottom w:w="0" w:type="dxa"/>
          </w:tblCellMar>
        </w:tblPrEx>
        <w:trPr>
          <w:cantSplit/>
          <w:jc w:val="center"/>
        </w:trPr>
        <w:tc>
          <w:tcPr>
            <w:tcW w:w="4011" w:type="dxa"/>
            <w:tcBorders>
              <w:top w:val="nil"/>
              <w:left w:val="single" w:sz="4" w:space="0" w:color="auto"/>
              <w:bottom w:val="nil"/>
              <w:right w:val="single" w:sz="4" w:space="0" w:color="auto"/>
            </w:tcBorders>
          </w:tcPr>
          <w:p w:rsidR="00000000" w:rsidRDefault="00000000">
            <w:pPr>
              <w:spacing w:line="240" w:lineRule="auto"/>
              <w:ind w:firstLine="276"/>
              <w:rPr>
                <w:rFonts w:hint="eastAsia"/>
                <w:snapToGrid/>
                <w:sz w:val="21"/>
              </w:rPr>
            </w:pPr>
            <w:r>
              <w:rPr>
                <w:rFonts w:hint="eastAsia"/>
                <w:snapToGrid/>
                <w:sz w:val="21"/>
              </w:rPr>
              <w:t>影院观众率</w:t>
            </w:r>
          </w:p>
        </w:tc>
        <w:tc>
          <w:tcPr>
            <w:tcW w:w="2301" w:type="dxa"/>
            <w:tcBorders>
              <w:top w:val="nil"/>
              <w:left w:val="single" w:sz="4" w:space="0" w:color="auto"/>
              <w:bottom w:val="nil"/>
              <w:right w:val="single" w:sz="4" w:space="0" w:color="auto"/>
            </w:tcBorders>
          </w:tcPr>
          <w:p w:rsidR="00000000" w:rsidRDefault="00000000">
            <w:pPr>
              <w:spacing w:line="240" w:lineRule="auto"/>
              <w:jc w:val="center"/>
              <w:rPr>
                <w:rFonts w:hint="eastAsia"/>
                <w:snapToGrid/>
                <w:sz w:val="21"/>
              </w:rPr>
            </w:pPr>
            <w:r>
              <w:rPr>
                <w:rFonts w:hint="eastAsia"/>
                <w:snapToGrid/>
                <w:sz w:val="21"/>
              </w:rPr>
              <w:t>最低人数</w:t>
            </w:r>
          </w:p>
        </w:tc>
        <w:tc>
          <w:tcPr>
            <w:tcW w:w="1638" w:type="dxa"/>
            <w:tcBorders>
              <w:top w:val="nil"/>
              <w:left w:val="single" w:sz="4" w:space="0" w:color="auto"/>
              <w:bottom w:val="nil"/>
              <w:right w:val="single" w:sz="4" w:space="0" w:color="auto"/>
            </w:tcBorders>
          </w:tcPr>
          <w:p w:rsidR="00000000" w:rsidRDefault="00000000">
            <w:pPr>
              <w:spacing w:line="240" w:lineRule="auto"/>
              <w:ind w:right="423"/>
              <w:jc w:val="right"/>
              <w:rPr>
                <w:snapToGrid/>
                <w:sz w:val="21"/>
              </w:rPr>
            </w:pPr>
            <w:r>
              <w:rPr>
                <w:snapToGrid/>
                <w:sz w:val="21"/>
              </w:rPr>
              <w:t>0.16</w:t>
            </w:r>
          </w:p>
        </w:tc>
        <w:tc>
          <w:tcPr>
            <w:tcW w:w="1332" w:type="dxa"/>
            <w:tcBorders>
              <w:top w:val="nil"/>
              <w:left w:val="single" w:sz="4" w:space="0" w:color="auto"/>
              <w:bottom w:val="nil"/>
              <w:right w:val="single" w:sz="4" w:space="0" w:color="auto"/>
            </w:tcBorders>
          </w:tcPr>
          <w:p w:rsidR="00000000" w:rsidRDefault="00000000">
            <w:pPr>
              <w:spacing w:line="240" w:lineRule="auto"/>
              <w:ind w:right="180" w:hanging="9"/>
              <w:jc w:val="right"/>
              <w:rPr>
                <w:snapToGrid/>
                <w:sz w:val="21"/>
              </w:rPr>
            </w:pPr>
            <w:r>
              <w:rPr>
                <w:snapToGrid/>
                <w:sz w:val="21"/>
              </w:rPr>
              <w:t>0.06</w:t>
            </w:r>
          </w:p>
        </w:tc>
      </w:tr>
      <w:tr w:rsidR="00000000">
        <w:tblPrEx>
          <w:tblCellMar>
            <w:top w:w="0" w:type="dxa"/>
            <w:bottom w:w="0" w:type="dxa"/>
          </w:tblCellMar>
        </w:tblPrEx>
        <w:trPr>
          <w:cantSplit/>
          <w:jc w:val="center"/>
        </w:trPr>
        <w:tc>
          <w:tcPr>
            <w:tcW w:w="4011" w:type="dxa"/>
            <w:tcBorders>
              <w:top w:val="nil"/>
              <w:left w:val="single" w:sz="4" w:space="0" w:color="auto"/>
              <w:bottom w:val="single" w:sz="4" w:space="0" w:color="auto"/>
              <w:right w:val="single" w:sz="4" w:space="0" w:color="auto"/>
            </w:tcBorders>
          </w:tcPr>
          <w:p w:rsidR="00000000" w:rsidRDefault="00000000">
            <w:pPr>
              <w:spacing w:line="240" w:lineRule="auto"/>
              <w:ind w:firstLine="276"/>
              <w:rPr>
                <w:snapToGrid/>
                <w:sz w:val="21"/>
              </w:rPr>
            </w:pPr>
            <w:r>
              <w:rPr>
                <w:rFonts w:hint="eastAsia"/>
                <w:snapToGrid/>
                <w:sz w:val="21"/>
              </w:rPr>
              <w:t>参加世界冠军和奥林匹克赛的</w:t>
            </w:r>
          </w:p>
          <w:p w:rsidR="00000000" w:rsidRDefault="00000000">
            <w:pPr>
              <w:spacing w:line="240" w:lineRule="auto"/>
              <w:ind w:firstLine="276"/>
              <w:rPr>
                <w:rFonts w:hint="eastAsia"/>
                <w:snapToGrid/>
                <w:sz w:val="21"/>
              </w:rPr>
            </w:pPr>
            <w:r>
              <w:rPr>
                <w:rFonts w:hint="eastAsia"/>
                <w:snapToGrid/>
                <w:sz w:val="21"/>
              </w:rPr>
              <w:t>运动员</w:t>
            </w:r>
          </w:p>
        </w:tc>
        <w:tc>
          <w:tcPr>
            <w:tcW w:w="2301" w:type="dxa"/>
            <w:tcBorders>
              <w:top w:val="nil"/>
              <w:left w:val="single" w:sz="4" w:space="0" w:color="auto"/>
              <w:bottom w:val="single" w:sz="4" w:space="0" w:color="auto"/>
              <w:right w:val="single" w:sz="4" w:space="0" w:color="auto"/>
            </w:tcBorders>
          </w:tcPr>
          <w:p w:rsidR="00000000" w:rsidRDefault="00000000">
            <w:pPr>
              <w:spacing w:line="240" w:lineRule="auto"/>
              <w:ind w:firstLine="45"/>
              <w:jc w:val="center"/>
              <w:rPr>
                <w:rFonts w:hint="eastAsia"/>
                <w:snapToGrid/>
                <w:sz w:val="21"/>
              </w:rPr>
            </w:pPr>
            <w:r>
              <w:rPr>
                <w:rFonts w:hint="eastAsia"/>
                <w:snapToGrid/>
                <w:sz w:val="21"/>
              </w:rPr>
              <w:t>人</w:t>
            </w:r>
          </w:p>
        </w:tc>
        <w:tc>
          <w:tcPr>
            <w:tcW w:w="1638" w:type="dxa"/>
            <w:tcBorders>
              <w:top w:val="nil"/>
              <w:left w:val="single" w:sz="4" w:space="0" w:color="auto"/>
              <w:bottom w:val="single" w:sz="4" w:space="0" w:color="auto"/>
              <w:right w:val="single" w:sz="4" w:space="0" w:color="auto"/>
            </w:tcBorders>
          </w:tcPr>
          <w:p w:rsidR="00000000" w:rsidRDefault="00000000">
            <w:pPr>
              <w:spacing w:line="240" w:lineRule="auto"/>
              <w:ind w:right="423"/>
              <w:jc w:val="right"/>
              <w:rPr>
                <w:snapToGrid/>
                <w:sz w:val="21"/>
              </w:rPr>
            </w:pPr>
            <w:r>
              <w:rPr>
                <w:snapToGrid/>
                <w:sz w:val="21"/>
              </w:rPr>
              <w:t>250</w:t>
            </w:r>
          </w:p>
        </w:tc>
        <w:tc>
          <w:tcPr>
            <w:tcW w:w="1332" w:type="dxa"/>
            <w:tcBorders>
              <w:top w:val="nil"/>
              <w:left w:val="single" w:sz="4" w:space="0" w:color="auto"/>
              <w:bottom w:val="single" w:sz="4" w:space="0" w:color="auto"/>
              <w:right w:val="single" w:sz="4" w:space="0" w:color="auto"/>
            </w:tcBorders>
          </w:tcPr>
          <w:p w:rsidR="00000000" w:rsidRDefault="00000000">
            <w:pPr>
              <w:spacing w:line="240" w:lineRule="auto"/>
              <w:ind w:right="180" w:hanging="9"/>
              <w:jc w:val="right"/>
              <w:rPr>
                <w:snapToGrid/>
                <w:sz w:val="21"/>
              </w:rPr>
            </w:pPr>
            <w:r>
              <w:rPr>
                <w:snapToGrid/>
                <w:sz w:val="21"/>
              </w:rPr>
              <w:t>220</w:t>
            </w:r>
          </w:p>
        </w:tc>
      </w:tr>
    </w:tbl>
    <w:p w:rsidR="00000000" w:rsidRDefault="00000000">
      <w:pPr>
        <w:pStyle w:val="FootnoteText"/>
        <w:spacing w:before="120" w:after="120"/>
        <w:ind w:firstLine="210"/>
        <w:rPr>
          <w:sz w:val="20"/>
        </w:rPr>
      </w:pPr>
      <w:r>
        <w:rPr>
          <w:rFonts w:hint="eastAsia"/>
          <w:sz w:val="20"/>
          <w:u w:val="single"/>
        </w:rPr>
        <w:t>资料来源</w:t>
      </w:r>
      <w:r>
        <w:rPr>
          <w:rFonts w:hint="eastAsia"/>
          <w:sz w:val="20"/>
        </w:rPr>
        <w:t>：卫生部、科学和教育部以及统计和社会学分析部门。</w:t>
      </w:r>
    </w:p>
    <w:p w:rsidR="00000000" w:rsidRDefault="00000000">
      <w:pPr>
        <w:ind w:firstLine="539"/>
        <w:rPr>
          <w:snapToGrid/>
        </w:rPr>
      </w:pPr>
      <w:r>
        <w:rPr>
          <w:snapToGrid/>
        </w:rPr>
        <w:t xml:space="preserve">122.  </w:t>
      </w:r>
      <w:r>
        <w:rPr>
          <w:snapToGrid/>
        </w:rPr>
        <w:t>近几年来，摩尔多瓦共和国得以加入了诸如：欧洲委员会、欧安组织、美国促进东南欧项目、黑海经济合作协约、多瑙河</w:t>
      </w:r>
      <w:r>
        <w:rPr>
          <w:rFonts w:hint="eastAsia"/>
          <w:snapToGrid/>
        </w:rPr>
        <w:t>委员会</w:t>
      </w:r>
      <w:r>
        <w:rPr>
          <w:snapToGrid/>
        </w:rPr>
        <w:t>、多瑙河区域运作共同体、独立国家联合体、联合国欧洲经济委员会等各类国际、欧洲和区域性组织。</w:t>
      </w:r>
    </w:p>
    <w:p w:rsidR="00000000" w:rsidRDefault="00000000">
      <w:pPr>
        <w:ind w:firstLine="539"/>
        <w:rPr>
          <w:rFonts w:hint="eastAsia"/>
          <w:snapToGrid/>
        </w:rPr>
      </w:pPr>
      <w:r>
        <w:rPr>
          <w:snapToGrid/>
        </w:rPr>
        <w:t>123.</w:t>
      </w:r>
      <w:r>
        <w:rPr>
          <w:rFonts w:hint="eastAsia"/>
          <w:snapToGrid/>
        </w:rPr>
        <w:t xml:space="preserve">  </w:t>
      </w:r>
      <w:r>
        <w:rPr>
          <w:snapToGrid/>
        </w:rPr>
        <w:t>1990</w:t>
      </w:r>
      <w:r>
        <w:rPr>
          <w:snapToGrid/>
        </w:rPr>
        <w:t>年</w:t>
      </w:r>
      <w:r>
        <w:rPr>
          <w:rFonts w:hint="eastAsia"/>
          <w:snapToGrid/>
        </w:rPr>
        <w:t>7</w:t>
      </w:r>
      <w:r>
        <w:rPr>
          <w:rFonts w:hint="eastAsia"/>
          <w:snapToGrid/>
        </w:rPr>
        <w:t>月</w:t>
      </w:r>
      <w:r>
        <w:rPr>
          <w:snapToGrid/>
        </w:rPr>
        <w:t>28</w:t>
      </w:r>
      <w:r>
        <w:rPr>
          <w:snapToGrid/>
        </w:rPr>
        <w:t>日，摩尔多瓦共和国批准了《经济、社会、文化权利国际公约》</w:t>
      </w:r>
      <w:r>
        <w:rPr>
          <w:snapToGrid/>
        </w:rPr>
        <w:t>(1993</w:t>
      </w:r>
      <w:r>
        <w:rPr>
          <w:snapToGrid/>
        </w:rPr>
        <w:t>年</w:t>
      </w:r>
      <w:r>
        <w:rPr>
          <w:snapToGrid/>
        </w:rPr>
        <w:t>4</w:t>
      </w:r>
      <w:r>
        <w:rPr>
          <w:snapToGrid/>
        </w:rPr>
        <w:t>月</w:t>
      </w:r>
      <w:r>
        <w:rPr>
          <w:snapToGrid/>
        </w:rPr>
        <w:t>26</w:t>
      </w:r>
      <w:r>
        <w:rPr>
          <w:snapToGrid/>
        </w:rPr>
        <w:t>日对摩尔多瓦共和国生效</w:t>
      </w:r>
      <w:r>
        <w:rPr>
          <w:snapToGrid/>
        </w:rPr>
        <w:t>)</w:t>
      </w:r>
      <w:r>
        <w:rPr>
          <w:snapToGrid/>
        </w:rPr>
        <w:t>。根据这项《公约》条款，国家承诺通过法律和条例保障《公约》规定的权利；因此，议会着手拟订并通过各项规范法案。约有</w:t>
      </w:r>
      <w:r>
        <w:rPr>
          <w:snapToGrid/>
        </w:rPr>
        <w:t>20</w:t>
      </w:r>
      <w:r>
        <w:rPr>
          <w:snapToGrid/>
        </w:rPr>
        <w:t>项</w:t>
      </w:r>
      <w:r>
        <w:rPr>
          <w:rFonts w:hint="eastAsia"/>
          <w:snapToGrid/>
        </w:rPr>
        <w:t>关于</w:t>
      </w:r>
      <w:r>
        <w:rPr>
          <w:snapToGrid/>
        </w:rPr>
        <w:t>人权和自由，包括经济、社会和文化性质的各类法律开始生效。以下各项</w:t>
      </w:r>
      <w:r>
        <w:rPr>
          <w:snapToGrid/>
        </w:rPr>
        <w:t>(</w:t>
      </w:r>
      <w:r>
        <w:rPr>
          <w:snapToGrid/>
        </w:rPr>
        <w:t>按通过先后顺序排列的</w:t>
      </w:r>
      <w:r>
        <w:rPr>
          <w:snapToGrid/>
        </w:rPr>
        <w:t>)</w:t>
      </w:r>
      <w:r>
        <w:rPr>
          <w:snapToGrid/>
        </w:rPr>
        <w:t>法律对《公约》所列各项权利具有</w:t>
      </w:r>
      <w:r>
        <w:rPr>
          <w:rFonts w:hint="eastAsia"/>
          <w:snapToGrid/>
        </w:rPr>
        <w:t>显著</w:t>
      </w:r>
      <w:r>
        <w:rPr>
          <w:snapToGrid/>
        </w:rPr>
        <w:t>重大保障意义：《摩尔多瓦共和国</w:t>
      </w:r>
      <w:r>
        <w:rPr>
          <w:rFonts w:hint="eastAsia"/>
          <w:snapToGrid/>
        </w:rPr>
        <w:t>境内</w:t>
      </w:r>
      <w:r>
        <w:rPr>
          <w:snapToGrid/>
        </w:rPr>
        <w:t>特殊情况和政府特别形式司法体制法》</w:t>
      </w:r>
      <w:r>
        <w:rPr>
          <w:snapToGrid/>
        </w:rPr>
        <w:t>(1990</w:t>
      </w:r>
      <w:r>
        <w:rPr>
          <w:snapToGrid/>
        </w:rPr>
        <w:t>年</w:t>
      </w:r>
      <w:r>
        <w:rPr>
          <w:snapToGrid/>
        </w:rPr>
        <w:t>10</w:t>
      </w:r>
      <w:r>
        <w:rPr>
          <w:snapToGrid/>
        </w:rPr>
        <w:t>月</w:t>
      </w:r>
      <w:r>
        <w:rPr>
          <w:snapToGrid/>
        </w:rPr>
        <w:t>1</w:t>
      </w:r>
      <w:r>
        <w:rPr>
          <w:snapToGrid/>
        </w:rPr>
        <w:t>日</w:t>
      </w:r>
      <w:r>
        <w:rPr>
          <w:snapToGrid/>
        </w:rPr>
        <w:t>)</w:t>
      </w:r>
      <w:r>
        <w:rPr>
          <w:snapToGrid/>
        </w:rPr>
        <w:t>；《摩尔多瓦共和国公民地位法》</w:t>
      </w:r>
      <w:r>
        <w:rPr>
          <w:snapToGrid/>
        </w:rPr>
        <w:t>(1991</w:t>
      </w:r>
      <w:r>
        <w:rPr>
          <w:snapToGrid/>
        </w:rPr>
        <w:t>年</w:t>
      </w:r>
      <w:r>
        <w:rPr>
          <w:snapToGrid/>
        </w:rPr>
        <w:t>6</w:t>
      </w:r>
      <w:r>
        <w:rPr>
          <w:snapToGrid/>
        </w:rPr>
        <w:t>月</w:t>
      </w:r>
      <w:r>
        <w:rPr>
          <w:snapToGrid/>
        </w:rPr>
        <w:t>5</w:t>
      </w:r>
      <w:r>
        <w:rPr>
          <w:snapToGrid/>
        </w:rPr>
        <w:t>日</w:t>
      </w:r>
      <w:r>
        <w:rPr>
          <w:snapToGrid/>
        </w:rPr>
        <w:t>)</w:t>
      </w:r>
      <w:r>
        <w:rPr>
          <w:snapToGrid/>
        </w:rPr>
        <w:t>；</w:t>
      </w:r>
      <w:r>
        <w:rPr>
          <w:snapToGrid/>
        </w:rPr>
        <w:t>(</w:t>
      </w:r>
      <w:r>
        <w:rPr>
          <w:snapToGrid/>
        </w:rPr>
        <w:t>从</w:t>
      </w:r>
      <w:r>
        <w:rPr>
          <w:snapToGrid/>
        </w:rPr>
        <w:t>2000</w:t>
      </w:r>
      <w:r>
        <w:rPr>
          <w:snapToGrid/>
        </w:rPr>
        <w:t>年</w:t>
      </w:r>
      <w:r>
        <w:rPr>
          <w:snapToGrid/>
        </w:rPr>
        <w:t>6</w:t>
      </w:r>
      <w:r>
        <w:rPr>
          <w:snapToGrid/>
        </w:rPr>
        <w:t>月</w:t>
      </w:r>
      <w:r>
        <w:rPr>
          <w:snapToGrid/>
        </w:rPr>
        <w:t>2</w:t>
      </w:r>
      <w:r>
        <w:rPr>
          <w:snapToGrid/>
        </w:rPr>
        <w:t>日起</w:t>
      </w:r>
      <w:r>
        <w:rPr>
          <w:rFonts w:hint="eastAsia"/>
          <w:snapToGrid/>
        </w:rPr>
        <w:t>)</w:t>
      </w:r>
      <w:r>
        <w:rPr>
          <w:snapToGrid/>
        </w:rPr>
        <w:t>对《公民地位法》做出了新的解释、《</w:t>
      </w:r>
      <w:r>
        <w:rPr>
          <w:rFonts w:hint="eastAsia"/>
          <w:snapToGrid/>
        </w:rPr>
        <w:t>宗教</w:t>
      </w:r>
      <w:r>
        <w:rPr>
          <w:snapToGrid/>
        </w:rPr>
        <w:t>法》</w:t>
      </w:r>
      <w:r>
        <w:rPr>
          <w:snapToGrid/>
        </w:rPr>
        <w:t>(1992</w:t>
      </w:r>
      <w:r>
        <w:rPr>
          <w:snapToGrid/>
        </w:rPr>
        <w:t>年</w:t>
      </w:r>
      <w:r>
        <w:rPr>
          <w:snapToGrid/>
        </w:rPr>
        <w:t>3</w:t>
      </w:r>
      <w:r>
        <w:rPr>
          <w:snapToGrid/>
        </w:rPr>
        <w:t>月</w:t>
      </w:r>
      <w:r>
        <w:rPr>
          <w:snapToGrid/>
        </w:rPr>
        <w:t>24</w:t>
      </w:r>
      <w:r>
        <w:rPr>
          <w:snapToGrid/>
        </w:rPr>
        <w:t>日</w:t>
      </w:r>
      <w:r>
        <w:rPr>
          <w:rFonts w:hint="eastAsia"/>
          <w:snapToGrid/>
        </w:rPr>
        <w:t>)</w:t>
      </w:r>
      <w:r>
        <w:rPr>
          <w:snapToGrid/>
        </w:rPr>
        <w:t>；《集体</w:t>
      </w:r>
      <w:r>
        <w:rPr>
          <w:rFonts w:hint="eastAsia"/>
          <w:snapToGrid/>
        </w:rPr>
        <w:t>劳工</w:t>
      </w:r>
      <w:r>
        <w:rPr>
          <w:snapToGrid/>
        </w:rPr>
        <w:t>冲突解决法》</w:t>
      </w:r>
      <w:r>
        <w:rPr>
          <w:snapToGrid/>
        </w:rPr>
        <w:t>(1993</w:t>
      </w:r>
      <w:r>
        <w:rPr>
          <w:snapToGrid/>
        </w:rPr>
        <w:t>年</w:t>
      </w:r>
      <w:r>
        <w:rPr>
          <w:snapToGrid/>
        </w:rPr>
        <w:t>2</w:t>
      </w:r>
      <w:r>
        <w:rPr>
          <w:snapToGrid/>
        </w:rPr>
        <w:t>月</w:t>
      </w:r>
      <w:r>
        <w:rPr>
          <w:snapToGrid/>
        </w:rPr>
        <w:t>24</w:t>
      </w:r>
      <w:r>
        <w:rPr>
          <w:snapToGrid/>
        </w:rPr>
        <w:t>日</w:t>
      </w:r>
      <w:r>
        <w:rPr>
          <w:snapToGrid/>
        </w:rPr>
        <w:t>)</w:t>
      </w:r>
      <w:r>
        <w:rPr>
          <w:snapToGrid/>
        </w:rPr>
        <w:t>；《薪金法》</w:t>
      </w:r>
      <w:r>
        <w:rPr>
          <w:snapToGrid/>
        </w:rPr>
        <w:t>(1993</w:t>
      </w:r>
      <w:r>
        <w:rPr>
          <w:snapToGrid/>
        </w:rPr>
        <w:t>年</w:t>
      </w:r>
      <w:r>
        <w:rPr>
          <w:snapToGrid/>
        </w:rPr>
        <w:t>2</w:t>
      </w:r>
      <w:r>
        <w:rPr>
          <w:snapToGrid/>
        </w:rPr>
        <w:t>月</w:t>
      </w:r>
      <w:r>
        <w:rPr>
          <w:snapToGrid/>
        </w:rPr>
        <w:t>25</w:t>
      </w:r>
      <w:r>
        <w:rPr>
          <w:snapToGrid/>
        </w:rPr>
        <w:t>日</w:t>
      </w:r>
      <w:r>
        <w:rPr>
          <w:snapToGrid/>
        </w:rPr>
        <w:t>)</w:t>
      </w:r>
      <w:r>
        <w:rPr>
          <w:snapToGrid/>
        </w:rPr>
        <w:t>；《消费者保护法》</w:t>
      </w:r>
      <w:r>
        <w:rPr>
          <w:snapToGrid/>
        </w:rPr>
        <w:t>(1993</w:t>
      </w:r>
      <w:r>
        <w:rPr>
          <w:snapToGrid/>
        </w:rPr>
        <w:t>年</w:t>
      </w:r>
      <w:r>
        <w:rPr>
          <w:snapToGrid/>
        </w:rPr>
        <w:t>5</w:t>
      </w:r>
      <w:r>
        <w:rPr>
          <w:snapToGrid/>
        </w:rPr>
        <w:t>月</w:t>
      </w:r>
      <w:r>
        <w:rPr>
          <w:snapToGrid/>
        </w:rPr>
        <w:t>25</w:t>
      </w:r>
      <w:r>
        <w:rPr>
          <w:snapToGrid/>
        </w:rPr>
        <w:t>日</w:t>
      </w:r>
      <w:r>
        <w:rPr>
          <w:snapToGrid/>
        </w:rPr>
        <w:t>)</w:t>
      </w:r>
      <w:r>
        <w:rPr>
          <w:snapToGrid/>
        </w:rPr>
        <w:t>；</w:t>
      </w:r>
      <w:r>
        <w:rPr>
          <w:rFonts w:hint="eastAsia"/>
          <w:snapToGrid/>
        </w:rPr>
        <w:t>《</w:t>
      </w:r>
      <w:r>
        <w:rPr>
          <w:snapToGrid/>
        </w:rPr>
        <w:t>摩尔多瓦共和国境内外籍人和无国籍者司法地位法》</w:t>
      </w:r>
      <w:r>
        <w:rPr>
          <w:snapToGrid/>
        </w:rPr>
        <w:t>(1994</w:t>
      </w:r>
      <w:r>
        <w:rPr>
          <w:snapToGrid/>
        </w:rPr>
        <w:t>年</w:t>
      </w:r>
      <w:r>
        <w:rPr>
          <w:snapToGrid/>
        </w:rPr>
        <w:t>1</w:t>
      </w:r>
      <w:r>
        <w:rPr>
          <w:rFonts w:hint="eastAsia"/>
          <w:snapToGrid/>
        </w:rPr>
        <w:t>1</w:t>
      </w:r>
      <w:r>
        <w:rPr>
          <w:snapToGrid/>
        </w:rPr>
        <w:t>月</w:t>
      </w:r>
      <w:r>
        <w:rPr>
          <w:snapToGrid/>
        </w:rPr>
        <w:t>10</w:t>
      </w:r>
      <w:r>
        <w:rPr>
          <w:snapToGrid/>
        </w:rPr>
        <w:t>日</w:t>
      </w:r>
      <w:r>
        <w:rPr>
          <w:snapToGrid/>
        </w:rPr>
        <w:t>)</w:t>
      </w:r>
      <w:r>
        <w:rPr>
          <w:snapToGrid/>
        </w:rPr>
        <w:t>；《儿童权利法》</w:t>
      </w:r>
      <w:r>
        <w:rPr>
          <w:snapToGrid/>
        </w:rPr>
        <w:t>(1994</w:t>
      </w:r>
      <w:r>
        <w:rPr>
          <w:snapToGrid/>
        </w:rPr>
        <w:t>年</w:t>
      </w:r>
      <w:r>
        <w:rPr>
          <w:snapToGrid/>
        </w:rPr>
        <w:t>12</w:t>
      </w:r>
      <w:r>
        <w:rPr>
          <w:snapToGrid/>
        </w:rPr>
        <w:t>月</w:t>
      </w:r>
      <w:r>
        <w:rPr>
          <w:snapToGrid/>
        </w:rPr>
        <w:t>25</w:t>
      </w:r>
      <w:r>
        <w:rPr>
          <w:snapToGrid/>
        </w:rPr>
        <w:t>日</w:t>
      </w:r>
      <w:r>
        <w:rPr>
          <w:snapToGrid/>
        </w:rPr>
        <w:t>)</w:t>
      </w:r>
      <w:r>
        <w:rPr>
          <w:snapToGrid/>
        </w:rPr>
        <w:t>；《教育法》</w:t>
      </w:r>
      <w:r>
        <w:rPr>
          <w:snapToGrid/>
        </w:rPr>
        <w:t>(1995</w:t>
      </w:r>
      <w:r>
        <w:rPr>
          <w:snapToGrid/>
        </w:rPr>
        <w:t>年</w:t>
      </w:r>
      <w:r>
        <w:rPr>
          <w:snapToGrid/>
        </w:rPr>
        <w:t>7</w:t>
      </w:r>
      <w:r>
        <w:rPr>
          <w:snapToGrid/>
        </w:rPr>
        <w:t>月</w:t>
      </w:r>
      <w:r>
        <w:rPr>
          <w:snapToGrid/>
        </w:rPr>
        <w:t>21</w:t>
      </w:r>
      <w:r>
        <w:rPr>
          <w:snapToGrid/>
        </w:rPr>
        <w:t>日</w:t>
      </w:r>
      <w:r>
        <w:rPr>
          <w:snapToGrid/>
        </w:rPr>
        <w:t>)</w:t>
      </w:r>
      <w:r>
        <w:rPr>
          <w:snapToGrid/>
        </w:rPr>
        <w:t>和其他规范法案。</w:t>
      </w:r>
      <w:r>
        <w:rPr>
          <w:snapToGrid/>
        </w:rPr>
        <w:t>1994</w:t>
      </w:r>
      <w:r>
        <w:rPr>
          <w:snapToGrid/>
        </w:rPr>
        <w:t>年</w:t>
      </w:r>
      <w:r>
        <w:rPr>
          <w:snapToGrid/>
        </w:rPr>
        <w:t>7</w:t>
      </w:r>
      <w:r>
        <w:rPr>
          <w:snapToGrid/>
        </w:rPr>
        <w:t>月</w:t>
      </w:r>
      <w:r>
        <w:rPr>
          <w:snapToGrid/>
        </w:rPr>
        <w:t>29</w:t>
      </w:r>
      <w:r>
        <w:rPr>
          <w:snapToGrid/>
        </w:rPr>
        <w:t>日通过的《宪法》是一项至关重要的事件。</w:t>
      </w:r>
    </w:p>
    <w:p w:rsidR="00000000" w:rsidRDefault="00000000">
      <w:pPr>
        <w:ind w:firstLine="539"/>
        <w:rPr>
          <w:snapToGrid/>
        </w:rPr>
      </w:pPr>
      <w:r>
        <w:rPr>
          <w:snapToGrid/>
        </w:rPr>
        <w:t>124.</w:t>
      </w:r>
      <w:r>
        <w:rPr>
          <w:rFonts w:hint="eastAsia"/>
          <w:snapToGrid/>
        </w:rPr>
        <w:t xml:space="preserve">  </w:t>
      </w:r>
      <w:r>
        <w:rPr>
          <w:rFonts w:hint="eastAsia"/>
          <w:snapToGrid/>
        </w:rPr>
        <w:t>摩尔多瓦</w:t>
      </w:r>
      <w:r>
        <w:rPr>
          <w:snapToGrid/>
        </w:rPr>
        <w:t>共和国最高</w:t>
      </w:r>
      <w:r>
        <w:rPr>
          <w:rFonts w:hint="eastAsia"/>
          <w:snapToGrid/>
        </w:rPr>
        <w:t>法律</w:t>
      </w:r>
      <w:r>
        <w:rPr>
          <w:snapToGrid/>
        </w:rPr>
        <w:t>阐明</w:t>
      </w:r>
      <w:r>
        <w:rPr>
          <w:rFonts w:hint="eastAsia"/>
          <w:snapToGrid/>
        </w:rPr>
        <w:t>“……</w:t>
      </w:r>
      <w:r>
        <w:rPr>
          <w:snapToGrid/>
        </w:rPr>
        <w:t>一个人的尊严、权利和自由、人</w:t>
      </w:r>
      <w:r>
        <w:rPr>
          <w:rFonts w:hint="eastAsia"/>
          <w:snapToGrid/>
        </w:rPr>
        <w:t>的</w:t>
      </w:r>
      <w:r>
        <w:rPr>
          <w:snapToGrid/>
        </w:rPr>
        <w:t>个性自由发展、公正和政治多元化代表</w:t>
      </w:r>
      <w:r>
        <w:rPr>
          <w:rFonts w:hint="eastAsia"/>
          <w:snapToGrid/>
        </w:rPr>
        <w:t>着</w:t>
      </w:r>
      <w:r>
        <w:rPr>
          <w:snapToGrid/>
        </w:rPr>
        <w:t>最高的价值观，</w:t>
      </w:r>
      <w:r>
        <w:rPr>
          <w:rFonts w:hint="eastAsia"/>
          <w:snapToGrid/>
        </w:rPr>
        <w:t>它们得到保障”</w:t>
      </w:r>
      <w:r>
        <w:rPr>
          <w:snapToGrid/>
        </w:rPr>
        <w:t>(</w:t>
      </w:r>
      <w:r>
        <w:rPr>
          <w:snapToGrid/>
        </w:rPr>
        <w:t>第</w:t>
      </w:r>
      <w:r>
        <w:rPr>
          <w:snapToGrid/>
        </w:rPr>
        <w:t>1</w:t>
      </w:r>
      <w:r>
        <w:rPr>
          <w:snapToGrid/>
        </w:rPr>
        <w:t>条</w:t>
      </w:r>
      <w:r>
        <w:rPr>
          <w:rFonts w:hint="eastAsia"/>
          <w:snapToGrid/>
        </w:rPr>
        <w:t>第</w:t>
      </w:r>
      <w:r>
        <w:rPr>
          <w:rFonts w:hint="eastAsia"/>
          <w:snapToGrid/>
        </w:rPr>
        <w:t>3</w:t>
      </w:r>
      <w:r>
        <w:rPr>
          <w:rFonts w:hint="eastAsia"/>
          <w:snapToGrid/>
        </w:rPr>
        <w:t>款</w:t>
      </w:r>
      <w:r>
        <w:rPr>
          <w:snapToGrid/>
        </w:rPr>
        <w:t>)</w:t>
      </w:r>
      <w:r>
        <w:rPr>
          <w:snapToGrid/>
        </w:rPr>
        <w:t>。为确保实现这</w:t>
      </w:r>
      <w:r>
        <w:rPr>
          <w:rFonts w:hint="eastAsia"/>
          <w:snapToGrid/>
        </w:rPr>
        <w:t>一</w:t>
      </w:r>
      <w:r>
        <w:rPr>
          <w:snapToGrid/>
        </w:rPr>
        <w:t>点，宪法规定在法律和公共当局面前人人平等，</w:t>
      </w:r>
      <w:r>
        <w:rPr>
          <w:rFonts w:hint="eastAsia"/>
          <w:snapToGrid/>
        </w:rPr>
        <w:t>“……</w:t>
      </w:r>
      <w:r>
        <w:rPr>
          <w:snapToGrid/>
        </w:rPr>
        <w:t>没有诸如种族、民族或族裔血统、语言、宗教、性别、政治或其他见解、</w:t>
      </w:r>
      <w:r>
        <w:rPr>
          <w:rFonts w:hint="eastAsia"/>
          <w:snapToGrid/>
        </w:rPr>
        <w:t>财</w:t>
      </w:r>
      <w:r>
        <w:rPr>
          <w:snapToGrid/>
        </w:rPr>
        <w:t>产和社会</w:t>
      </w:r>
      <w:r>
        <w:rPr>
          <w:rFonts w:hint="eastAsia"/>
          <w:snapToGrid/>
        </w:rPr>
        <w:t>世袭</w:t>
      </w:r>
      <w:r>
        <w:rPr>
          <w:snapToGrid/>
        </w:rPr>
        <w:t>的任何区别</w:t>
      </w:r>
      <w:r>
        <w:rPr>
          <w:rFonts w:hint="eastAsia"/>
          <w:snapToGrid/>
        </w:rPr>
        <w:t>”</w:t>
      </w:r>
      <w:r>
        <w:rPr>
          <w:snapToGrid/>
        </w:rPr>
        <w:t>(</w:t>
      </w:r>
      <w:r>
        <w:rPr>
          <w:snapToGrid/>
        </w:rPr>
        <w:t>第</w:t>
      </w:r>
      <w:r>
        <w:rPr>
          <w:rFonts w:hint="eastAsia"/>
          <w:snapToGrid/>
        </w:rPr>
        <w:t>1</w:t>
      </w:r>
      <w:r>
        <w:rPr>
          <w:snapToGrid/>
        </w:rPr>
        <w:t>6</w:t>
      </w:r>
      <w:r>
        <w:rPr>
          <w:snapToGrid/>
        </w:rPr>
        <w:t>条</w:t>
      </w:r>
      <w:r>
        <w:rPr>
          <w:rFonts w:hint="eastAsia"/>
          <w:snapToGrid/>
        </w:rPr>
        <w:t>第</w:t>
      </w:r>
      <w:r>
        <w:rPr>
          <w:rFonts w:hint="eastAsia"/>
          <w:snapToGrid/>
        </w:rPr>
        <w:t>2</w:t>
      </w:r>
      <w:r>
        <w:rPr>
          <w:rFonts w:hint="eastAsia"/>
          <w:snapToGrid/>
        </w:rPr>
        <w:t>款</w:t>
      </w:r>
      <w:r>
        <w:rPr>
          <w:snapToGrid/>
        </w:rPr>
        <w:t>)</w:t>
      </w:r>
      <w:r>
        <w:rPr>
          <w:snapToGrid/>
        </w:rPr>
        <w:t>。人人有权通过国家主管法庭就侵犯他</w:t>
      </w:r>
      <w:r>
        <w:rPr>
          <w:rFonts w:hint="eastAsia"/>
          <w:snapToGrid/>
        </w:rPr>
        <w:t>/</w:t>
      </w:r>
      <w:r>
        <w:rPr>
          <w:rFonts w:hint="eastAsia"/>
          <w:snapToGrid/>
        </w:rPr>
        <w:t>她</w:t>
      </w:r>
      <w:r>
        <w:rPr>
          <w:snapToGrid/>
        </w:rPr>
        <w:t>宪法或法律保障</w:t>
      </w:r>
      <w:r>
        <w:rPr>
          <w:rFonts w:hint="eastAsia"/>
          <w:snapToGrid/>
        </w:rPr>
        <w:t>的基本权利的行为，采取有效补救。“没有法律可限制获得司法的权利”</w:t>
      </w:r>
      <w:r>
        <w:rPr>
          <w:snapToGrid/>
        </w:rPr>
        <w:t>(</w:t>
      </w:r>
      <w:r>
        <w:rPr>
          <w:snapToGrid/>
        </w:rPr>
        <w:t>第</w:t>
      </w:r>
      <w:r>
        <w:rPr>
          <w:snapToGrid/>
        </w:rPr>
        <w:t>20</w:t>
      </w:r>
      <w:r>
        <w:rPr>
          <w:snapToGrid/>
        </w:rPr>
        <w:t>条</w:t>
      </w:r>
      <w:r>
        <w:rPr>
          <w:snapToGrid/>
        </w:rPr>
        <w:t>)</w:t>
      </w:r>
      <w:r>
        <w:rPr>
          <w:snapToGrid/>
        </w:rPr>
        <w:t>。</w:t>
      </w:r>
    </w:p>
    <w:p w:rsidR="00000000" w:rsidRDefault="00000000">
      <w:pPr>
        <w:ind w:firstLine="539"/>
        <w:rPr>
          <w:snapToGrid/>
        </w:rPr>
      </w:pPr>
      <w:r>
        <w:rPr>
          <w:snapToGrid/>
        </w:rPr>
        <w:t>125.</w:t>
      </w:r>
      <w:r>
        <w:rPr>
          <w:rFonts w:hint="eastAsia"/>
          <w:snapToGrid/>
        </w:rPr>
        <w:t xml:space="preserve">  </w:t>
      </w:r>
      <w:r>
        <w:rPr>
          <w:snapToGrid/>
        </w:rPr>
        <w:t>为在没有任何诸如种族、民族、族裔血统、语言、宗教、性别、政治见解、财产、社会出身、公民地位或居住地之类区别的情况下，行使《公约》规定的各项权利，摩尔多瓦共和国规定了一</w:t>
      </w:r>
      <w:r>
        <w:rPr>
          <w:rFonts w:hint="eastAsia"/>
          <w:snapToGrid/>
        </w:rPr>
        <w:t>组</w:t>
      </w:r>
      <w:r>
        <w:rPr>
          <w:snapToGrid/>
        </w:rPr>
        <w:t>其他</w:t>
      </w:r>
      <w:r>
        <w:rPr>
          <w:rFonts w:hint="eastAsia"/>
          <w:snapToGrid/>
        </w:rPr>
        <w:t>的</w:t>
      </w:r>
      <w:r>
        <w:rPr>
          <w:snapToGrid/>
        </w:rPr>
        <w:t>规范法案，诸如：《司法组织法》、《民事诉讼法》、《刑事诉讼法》、《薪金法》、《</w:t>
      </w:r>
      <w:r>
        <w:rPr>
          <w:rFonts w:hint="eastAsia"/>
          <w:snapToGrid/>
        </w:rPr>
        <w:t>财</w:t>
      </w:r>
      <w:r>
        <w:rPr>
          <w:snapToGrid/>
        </w:rPr>
        <w:t>产所有权法》、《卫生保健法》、《教育法》、《文化法》、《</w:t>
      </w:r>
      <w:r>
        <w:rPr>
          <w:rFonts w:hint="eastAsia"/>
          <w:snapToGrid/>
        </w:rPr>
        <w:t>宗教</w:t>
      </w:r>
      <w:r>
        <w:rPr>
          <w:snapToGrid/>
        </w:rPr>
        <w:t>法》、《儿童权利法》和其他各项法律。</w:t>
      </w:r>
    </w:p>
    <w:p w:rsidR="00000000" w:rsidRDefault="00000000">
      <w:pPr>
        <w:ind w:firstLine="539"/>
        <w:rPr>
          <w:snapToGrid/>
        </w:rPr>
      </w:pPr>
      <w:r>
        <w:rPr>
          <w:snapToGrid/>
        </w:rPr>
        <w:t>126.</w:t>
      </w:r>
      <w:r>
        <w:rPr>
          <w:rFonts w:hint="eastAsia"/>
          <w:snapToGrid/>
        </w:rPr>
        <w:t xml:space="preserve">  </w:t>
      </w:r>
      <w:r>
        <w:rPr>
          <w:snapToGrid/>
        </w:rPr>
        <w:t>摩尔多瓦共和国公民平等地享有国家宪法和其他法律规定和保障的一切经济、社会和文化权利，不</w:t>
      </w:r>
      <w:r>
        <w:rPr>
          <w:rFonts w:hint="eastAsia"/>
          <w:snapToGrid/>
        </w:rPr>
        <w:t>论其</w:t>
      </w:r>
      <w:r>
        <w:rPr>
          <w:snapToGrid/>
        </w:rPr>
        <w:t>获得的公民地位</w:t>
      </w:r>
      <w:r>
        <w:rPr>
          <w:rFonts w:hint="eastAsia"/>
          <w:snapToGrid/>
        </w:rPr>
        <w:t>的办法</w:t>
      </w:r>
      <w:r>
        <w:rPr>
          <w:snapToGrid/>
        </w:rPr>
        <w:t>：</w:t>
      </w:r>
      <w:r>
        <w:rPr>
          <w:rFonts w:hint="eastAsia"/>
          <w:snapToGrid/>
        </w:rPr>
        <w:t>“……</w:t>
      </w:r>
      <w:r>
        <w:rPr>
          <w:snapToGrid/>
        </w:rPr>
        <w:t>摩尔多瓦共和国公民在法律和公共当局面前平等，平等地享有宪法或其他法律、摩尔多瓦共和国</w:t>
      </w:r>
      <w:r>
        <w:rPr>
          <w:rFonts w:hint="eastAsia"/>
          <w:snapToGrid/>
        </w:rPr>
        <w:t>作为</w:t>
      </w:r>
      <w:r>
        <w:rPr>
          <w:snapToGrid/>
        </w:rPr>
        <w:t>缔约国签订的国际协议规定的一切经济、社会和文化权利及自由</w:t>
      </w:r>
      <w:r>
        <w:rPr>
          <w:rFonts w:hint="eastAsia"/>
          <w:snapToGrid/>
        </w:rPr>
        <w:t>”</w:t>
      </w:r>
      <w:r>
        <w:rPr>
          <w:snapToGrid/>
        </w:rPr>
        <w:t>(</w:t>
      </w:r>
      <w:r>
        <w:rPr>
          <w:snapToGrid/>
        </w:rPr>
        <w:t>第</w:t>
      </w:r>
      <w:r>
        <w:rPr>
          <w:snapToGrid/>
        </w:rPr>
        <w:t>6</w:t>
      </w:r>
      <w:r>
        <w:rPr>
          <w:snapToGrid/>
        </w:rPr>
        <w:t>条</w:t>
      </w:r>
      <w:r>
        <w:rPr>
          <w:snapToGrid/>
        </w:rPr>
        <w:t>)</w:t>
      </w:r>
      <w:r>
        <w:rPr>
          <w:snapToGrid/>
        </w:rPr>
        <w:t>。除</w:t>
      </w:r>
      <w:r>
        <w:rPr>
          <w:rFonts w:hint="eastAsia"/>
          <w:snapToGrid/>
        </w:rPr>
        <w:t>了</w:t>
      </w:r>
      <w:r>
        <w:rPr>
          <w:snapToGrid/>
        </w:rPr>
        <w:t>法律</w:t>
      </w:r>
      <w:r>
        <w:rPr>
          <w:snapToGrid/>
        </w:rPr>
        <w:t>(</w:t>
      </w:r>
      <w:r>
        <w:rPr>
          <w:snapToGrid/>
        </w:rPr>
        <w:t>宪法第</w:t>
      </w:r>
      <w:r>
        <w:rPr>
          <w:snapToGrid/>
        </w:rPr>
        <w:t>19</w:t>
      </w:r>
      <w:r>
        <w:rPr>
          <w:snapToGrid/>
        </w:rPr>
        <w:t>条</w:t>
      </w:r>
      <w:r>
        <w:rPr>
          <w:rFonts w:hint="eastAsia"/>
          <w:snapToGrid/>
        </w:rPr>
        <w:t>第</w:t>
      </w:r>
      <w:r>
        <w:rPr>
          <w:rFonts w:hint="eastAsia"/>
          <w:snapToGrid/>
        </w:rPr>
        <w:t>1</w:t>
      </w:r>
      <w:r>
        <w:rPr>
          <w:rFonts w:hint="eastAsia"/>
          <w:snapToGrid/>
        </w:rPr>
        <w:t>款</w:t>
      </w:r>
      <w:r>
        <w:rPr>
          <w:snapToGrid/>
        </w:rPr>
        <w:t>；《公民地位法》第</w:t>
      </w:r>
      <w:r>
        <w:rPr>
          <w:snapToGrid/>
        </w:rPr>
        <w:t>6</w:t>
      </w:r>
      <w:r>
        <w:rPr>
          <w:snapToGrid/>
        </w:rPr>
        <w:t>条</w:t>
      </w:r>
      <w:r>
        <w:rPr>
          <w:snapToGrid/>
        </w:rPr>
        <w:t>)</w:t>
      </w:r>
      <w:r>
        <w:rPr>
          <w:rFonts w:hint="eastAsia"/>
          <w:snapToGrid/>
        </w:rPr>
        <w:t>的</w:t>
      </w:r>
      <w:r>
        <w:rPr>
          <w:snapToGrid/>
        </w:rPr>
        <w:t>规定之外，外籍人和无国籍者享有同样的权利和自由。</w:t>
      </w:r>
    </w:p>
    <w:p w:rsidR="00000000" w:rsidRDefault="00000000">
      <w:pPr>
        <w:ind w:firstLine="539"/>
        <w:rPr>
          <w:snapToGrid/>
        </w:rPr>
      </w:pPr>
      <w:r>
        <w:rPr>
          <w:snapToGrid/>
        </w:rPr>
        <w:t>127.</w:t>
      </w:r>
      <w:r>
        <w:rPr>
          <w:rFonts w:hint="eastAsia"/>
          <w:snapToGrid/>
        </w:rPr>
        <w:t xml:space="preserve">  </w:t>
      </w:r>
      <w:r>
        <w:rPr>
          <w:snapToGrid/>
        </w:rPr>
        <w:t>根据《摩尔多瓦共和国境内外籍人和无国籍者司法地位法》</w:t>
      </w:r>
      <w:r>
        <w:rPr>
          <w:snapToGrid/>
        </w:rPr>
        <w:t>(</w:t>
      </w:r>
      <w:r>
        <w:rPr>
          <w:snapToGrid/>
        </w:rPr>
        <w:t>第</w:t>
      </w:r>
      <w:r>
        <w:rPr>
          <w:snapToGrid/>
        </w:rPr>
        <w:t>1</w:t>
      </w:r>
      <w:r>
        <w:rPr>
          <w:snapToGrid/>
        </w:rPr>
        <w:t>条第</w:t>
      </w:r>
      <w:r>
        <w:rPr>
          <w:rFonts w:hint="eastAsia"/>
          <w:snapToGrid/>
        </w:rPr>
        <w:t>3</w:t>
      </w:r>
      <w:r>
        <w:rPr>
          <w:snapToGrid/>
        </w:rPr>
        <w:t>款</w:t>
      </w:r>
      <w:r>
        <w:rPr>
          <w:snapToGrid/>
        </w:rPr>
        <w:t>)</w:t>
      </w:r>
      <w:r>
        <w:rPr>
          <w:snapToGrid/>
        </w:rPr>
        <w:t>，外籍人和无国籍者在法律和公共当局面前平等，</w:t>
      </w:r>
      <w:r>
        <w:rPr>
          <w:rFonts w:hint="eastAsia"/>
          <w:snapToGrid/>
        </w:rPr>
        <w:t>“……</w:t>
      </w:r>
      <w:r>
        <w:rPr>
          <w:snapToGrid/>
        </w:rPr>
        <w:t>没有任何诸如种族、民族或族裔血统、语言、宗教、性别、政治或其他见解、财产或社会</w:t>
      </w:r>
      <w:r>
        <w:rPr>
          <w:rFonts w:hint="eastAsia"/>
          <w:snapToGrid/>
        </w:rPr>
        <w:t>世袭之类的任何区别”。法律列入了与摩尔多瓦共和国公民享有的同样的一整套权利，诸如：</w:t>
      </w:r>
    </w:p>
    <w:p w:rsidR="00000000" w:rsidRDefault="00000000">
      <w:pPr>
        <w:ind w:left="1020" w:firstLine="539"/>
        <w:rPr>
          <w:snapToGrid/>
        </w:rPr>
      </w:pPr>
      <w:r>
        <w:rPr>
          <w:rFonts w:hint="eastAsia"/>
          <w:snapToGrid/>
        </w:rPr>
        <w:t>安全工作条件权</w:t>
      </w:r>
      <w:r>
        <w:rPr>
          <w:snapToGrid/>
        </w:rPr>
        <w:t>(</w:t>
      </w:r>
      <w:r>
        <w:rPr>
          <w:snapToGrid/>
        </w:rPr>
        <w:t>第</w:t>
      </w:r>
      <w:r>
        <w:rPr>
          <w:snapToGrid/>
        </w:rPr>
        <w:t>7</w:t>
      </w:r>
      <w:r>
        <w:rPr>
          <w:snapToGrid/>
        </w:rPr>
        <w:t>条</w:t>
      </w:r>
      <w:r>
        <w:rPr>
          <w:snapToGrid/>
        </w:rPr>
        <w:t>)</w:t>
      </w:r>
      <w:r>
        <w:rPr>
          <w:snapToGrid/>
        </w:rPr>
        <w:t>；</w:t>
      </w:r>
    </w:p>
    <w:p w:rsidR="00000000" w:rsidRDefault="00000000">
      <w:pPr>
        <w:ind w:left="1020" w:firstLine="539"/>
        <w:rPr>
          <w:snapToGrid/>
        </w:rPr>
      </w:pPr>
      <w:r>
        <w:rPr>
          <w:rFonts w:hint="eastAsia"/>
          <w:snapToGrid/>
        </w:rPr>
        <w:t>娱乐和医疗保健权</w:t>
      </w:r>
      <w:r>
        <w:rPr>
          <w:snapToGrid/>
        </w:rPr>
        <w:t>(</w:t>
      </w:r>
      <w:r>
        <w:rPr>
          <w:snapToGrid/>
        </w:rPr>
        <w:t>第</w:t>
      </w:r>
      <w:r>
        <w:rPr>
          <w:snapToGrid/>
        </w:rPr>
        <w:t>8</w:t>
      </w:r>
      <w:r>
        <w:rPr>
          <w:snapToGrid/>
        </w:rPr>
        <w:t>条</w:t>
      </w:r>
      <w:r>
        <w:rPr>
          <w:rFonts w:hint="eastAsia"/>
          <w:snapToGrid/>
        </w:rPr>
        <w:t>)</w:t>
      </w:r>
      <w:r>
        <w:rPr>
          <w:snapToGrid/>
        </w:rPr>
        <w:t>；</w:t>
      </w:r>
    </w:p>
    <w:p w:rsidR="00000000" w:rsidRDefault="00000000">
      <w:pPr>
        <w:ind w:left="1020" w:firstLine="539"/>
        <w:rPr>
          <w:snapToGrid/>
        </w:rPr>
      </w:pPr>
      <w:r>
        <w:rPr>
          <w:rFonts w:hint="eastAsia"/>
          <w:snapToGrid/>
        </w:rPr>
        <w:t>领取赔偿、养恤金和其他形式社会保险金的权利</w:t>
      </w:r>
      <w:r>
        <w:rPr>
          <w:snapToGrid/>
        </w:rPr>
        <w:t>(</w:t>
      </w:r>
      <w:r>
        <w:rPr>
          <w:snapToGrid/>
        </w:rPr>
        <w:t>第</w:t>
      </w:r>
      <w:r>
        <w:rPr>
          <w:snapToGrid/>
        </w:rPr>
        <w:t>9</w:t>
      </w:r>
      <w:r>
        <w:rPr>
          <w:snapToGrid/>
        </w:rPr>
        <w:t>条；</w:t>
      </w:r>
    </w:p>
    <w:p w:rsidR="00000000" w:rsidRDefault="00000000">
      <w:pPr>
        <w:ind w:left="1020" w:firstLine="539"/>
        <w:rPr>
          <w:snapToGrid/>
        </w:rPr>
      </w:pPr>
      <w:r>
        <w:rPr>
          <w:rFonts w:hint="eastAsia"/>
          <w:snapToGrid/>
        </w:rPr>
        <w:t>拥有居所和财产的权利</w:t>
      </w:r>
      <w:r>
        <w:rPr>
          <w:snapToGrid/>
        </w:rPr>
        <w:t>(</w:t>
      </w:r>
      <w:r>
        <w:rPr>
          <w:snapToGrid/>
        </w:rPr>
        <w:t>第</w:t>
      </w:r>
      <w:r>
        <w:rPr>
          <w:snapToGrid/>
        </w:rPr>
        <w:t>11</w:t>
      </w:r>
      <w:r>
        <w:rPr>
          <w:snapToGrid/>
        </w:rPr>
        <w:t>条</w:t>
      </w:r>
      <w:r>
        <w:rPr>
          <w:snapToGrid/>
        </w:rPr>
        <w:t>)</w:t>
      </w:r>
      <w:r>
        <w:rPr>
          <w:snapToGrid/>
        </w:rPr>
        <w:t>；</w:t>
      </w:r>
    </w:p>
    <w:p w:rsidR="00000000" w:rsidRDefault="00000000">
      <w:pPr>
        <w:ind w:left="1020" w:firstLine="539"/>
        <w:rPr>
          <w:snapToGrid/>
        </w:rPr>
      </w:pPr>
      <w:r>
        <w:rPr>
          <w:rFonts w:hint="eastAsia"/>
          <w:snapToGrid/>
        </w:rPr>
        <w:t>继承权</w:t>
      </w:r>
      <w:r>
        <w:rPr>
          <w:snapToGrid/>
        </w:rPr>
        <w:t>(</w:t>
      </w:r>
      <w:r>
        <w:rPr>
          <w:snapToGrid/>
        </w:rPr>
        <w:t>第</w:t>
      </w:r>
      <w:r>
        <w:rPr>
          <w:snapToGrid/>
        </w:rPr>
        <w:t>11</w:t>
      </w:r>
      <w:r>
        <w:rPr>
          <w:snapToGrid/>
        </w:rPr>
        <w:t>条</w:t>
      </w:r>
      <w:r>
        <w:rPr>
          <w:snapToGrid/>
        </w:rPr>
        <w:t>)</w:t>
      </w:r>
      <w:r>
        <w:rPr>
          <w:snapToGrid/>
        </w:rPr>
        <w:t>；</w:t>
      </w:r>
    </w:p>
    <w:p w:rsidR="00000000" w:rsidRDefault="00000000">
      <w:pPr>
        <w:ind w:left="1020" w:firstLine="539"/>
        <w:rPr>
          <w:snapToGrid/>
        </w:rPr>
      </w:pPr>
      <w:r>
        <w:rPr>
          <w:rFonts w:hint="eastAsia"/>
          <w:snapToGrid/>
        </w:rPr>
        <w:t>文学、艺术科学活动版权</w:t>
      </w:r>
      <w:r>
        <w:rPr>
          <w:snapToGrid/>
        </w:rPr>
        <w:t>(</w:t>
      </w:r>
      <w:r>
        <w:rPr>
          <w:snapToGrid/>
        </w:rPr>
        <w:t>第</w:t>
      </w:r>
      <w:r>
        <w:rPr>
          <w:snapToGrid/>
        </w:rPr>
        <w:t>11</w:t>
      </w:r>
      <w:r>
        <w:rPr>
          <w:snapToGrid/>
        </w:rPr>
        <w:t>条</w:t>
      </w:r>
      <w:r>
        <w:rPr>
          <w:snapToGrid/>
        </w:rPr>
        <w:t>)</w:t>
      </w:r>
      <w:r>
        <w:rPr>
          <w:snapToGrid/>
        </w:rPr>
        <w:t>；</w:t>
      </w:r>
    </w:p>
    <w:p w:rsidR="00000000" w:rsidRDefault="00000000">
      <w:pPr>
        <w:ind w:left="1020" w:firstLine="539"/>
        <w:rPr>
          <w:snapToGrid/>
        </w:rPr>
      </w:pPr>
      <w:r>
        <w:rPr>
          <w:rFonts w:hint="eastAsia"/>
          <w:snapToGrid/>
        </w:rPr>
        <w:t>教育权</w:t>
      </w:r>
      <w:r>
        <w:rPr>
          <w:snapToGrid/>
        </w:rPr>
        <w:t>(</w:t>
      </w:r>
      <w:r>
        <w:rPr>
          <w:snapToGrid/>
        </w:rPr>
        <w:t>第</w:t>
      </w:r>
      <w:r>
        <w:rPr>
          <w:snapToGrid/>
        </w:rPr>
        <w:t>12</w:t>
      </w:r>
      <w:r>
        <w:rPr>
          <w:snapToGrid/>
        </w:rPr>
        <w:t>条</w:t>
      </w:r>
      <w:r>
        <w:rPr>
          <w:snapToGrid/>
        </w:rPr>
        <w:t>)</w:t>
      </w:r>
      <w:r>
        <w:rPr>
          <w:snapToGrid/>
        </w:rPr>
        <w:t>；</w:t>
      </w:r>
    </w:p>
    <w:p w:rsidR="00000000" w:rsidRDefault="00000000">
      <w:pPr>
        <w:ind w:left="1020" w:firstLine="539"/>
        <w:rPr>
          <w:snapToGrid/>
        </w:rPr>
      </w:pPr>
      <w:r>
        <w:rPr>
          <w:rFonts w:hint="eastAsia"/>
          <w:snapToGrid/>
        </w:rPr>
        <w:t>有权成为各类社会，包括合作组织和生产协会的合伙人</w:t>
      </w:r>
      <w:r>
        <w:rPr>
          <w:snapToGrid/>
        </w:rPr>
        <w:t>(</w:t>
      </w:r>
      <w:r>
        <w:rPr>
          <w:snapToGrid/>
        </w:rPr>
        <w:t>第</w:t>
      </w:r>
      <w:r>
        <w:rPr>
          <w:snapToGrid/>
        </w:rPr>
        <w:t>13</w:t>
      </w:r>
      <w:r>
        <w:rPr>
          <w:snapToGrid/>
        </w:rPr>
        <w:t>条</w:t>
      </w:r>
      <w:r>
        <w:rPr>
          <w:snapToGrid/>
        </w:rPr>
        <w:t>)</w:t>
      </w:r>
      <w:r>
        <w:rPr>
          <w:snapToGrid/>
        </w:rPr>
        <w:t>；</w:t>
      </w:r>
    </w:p>
    <w:p w:rsidR="00000000" w:rsidRDefault="00000000">
      <w:pPr>
        <w:ind w:left="1020" w:firstLine="539"/>
        <w:rPr>
          <w:snapToGrid/>
        </w:rPr>
      </w:pPr>
      <w:r>
        <w:rPr>
          <w:rFonts w:hint="eastAsia"/>
          <w:snapToGrid/>
        </w:rPr>
        <w:t>有权得到国家主管法庭和其他公共当局的有效补救</w:t>
      </w:r>
      <w:r>
        <w:rPr>
          <w:rFonts w:hint="eastAsia"/>
          <w:snapToGrid/>
        </w:rPr>
        <w:t>(</w:t>
      </w:r>
      <w:r>
        <w:rPr>
          <w:rFonts w:hint="eastAsia"/>
          <w:snapToGrid/>
        </w:rPr>
        <w:t>第</w:t>
      </w:r>
      <w:r>
        <w:rPr>
          <w:snapToGrid/>
        </w:rPr>
        <w:t>17</w:t>
      </w:r>
      <w:r>
        <w:rPr>
          <w:snapToGrid/>
        </w:rPr>
        <w:t>条</w:t>
      </w:r>
      <w:r>
        <w:rPr>
          <w:snapToGrid/>
        </w:rPr>
        <w:t>)</w:t>
      </w:r>
      <w:r>
        <w:rPr>
          <w:snapToGrid/>
        </w:rPr>
        <w:t>。</w:t>
      </w:r>
    </w:p>
    <w:p w:rsidR="00000000" w:rsidRDefault="00000000">
      <w:pPr>
        <w:ind w:firstLine="539"/>
        <w:rPr>
          <w:snapToGrid/>
        </w:rPr>
      </w:pPr>
      <w:r>
        <w:rPr>
          <w:snapToGrid/>
        </w:rPr>
        <w:t>128.</w:t>
      </w:r>
      <w:r>
        <w:rPr>
          <w:rFonts w:hint="eastAsia"/>
          <w:snapToGrid/>
        </w:rPr>
        <w:t xml:space="preserve">  </w:t>
      </w:r>
      <w:r>
        <w:rPr>
          <w:snapToGrid/>
        </w:rPr>
        <w:t>《宪法》第</w:t>
      </w:r>
      <w:r>
        <w:rPr>
          <w:rFonts w:hint="eastAsia"/>
          <w:snapToGrid/>
        </w:rPr>
        <w:t>4</w:t>
      </w:r>
      <w:r>
        <w:rPr>
          <w:snapToGrid/>
        </w:rPr>
        <w:t>条第</w:t>
      </w:r>
      <w:r>
        <w:rPr>
          <w:rFonts w:hint="eastAsia"/>
          <w:snapToGrid/>
        </w:rPr>
        <w:t>2</w:t>
      </w:r>
      <w:r>
        <w:rPr>
          <w:snapToGrid/>
        </w:rPr>
        <w:t>款还规定了外籍人和无国籍者的权利，阐明一旦摩尔多瓦共和国</w:t>
      </w:r>
      <w:r>
        <w:rPr>
          <w:rFonts w:hint="eastAsia"/>
          <w:snapToGrid/>
        </w:rPr>
        <w:t>作为</w:t>
      </w:r>
      <w:r>
        <w:rPr>
          <w:snapToGrid/>
        </w:rPr>
        <w:t>缔约国</w:t>
      </w:r>
      <w:r>
        <w:rPr>
          <w:rFonts w:hint="eastAsia"/>
          <w:snapToGrid/>
        </w:rPr>
        <w:t>加入</w:t>
      </w:r>
      <w:r>
        <w:rPr>
          <w:snapToGrid/>
        </w:rPr>
        <w:t>的人权公约和条约与摩尔多瓦共和国国内法之间出现任何差别，国际文书享有优先</w:t>
      </w:r>
      <w:r>
        <w:rPr>
          <w:rFonts w:hint="eastAsia"/>
          <w:snapToGrid/>
        </w:rPr>
        <w:t>地位</w:t>
      </w:r>
      <w:r>
        <w:rPr>
          <w:snapToGrid/>
        </w:rPr>
        <w:t>。这项宪法准则直接地列入了《摩尔多瓦共和国外籍人和无国籍者司法地位法</w:t>
      </w:r>
      <w:r>
        <w:rPr>
          <w:rFonts w:hint="eastAsia"/>
          <w:snapToGrid/>
        </w:rPr>
        <w:t>》</w:t>
      </w:r>
      <w:r>
        <w:rPr>
          <w:snapToGrid/>
        </w:rPr>
        <w:t>(</w:t>
      </w:r>
      <w:r>
        <w:rPr>
          <w:snapToGrid/>
        </w:rPr>
        <w:t>第</w:t>
      </w:r>
      <w:r>
        <w:rPr>
          <w:snapToGrid/>
        </w:rPr>
        <w:t>26</w:t>
      </w:r>
      <w:r>
        <w:rPr>
          <w:snapToGrid/>
        </w:rPr>
        <w:t>条</w:t>
      </w:r>
      <w:r>
        <w:rPr>
          <w:rFonts w:hint="eastAsia"/>
          <w:snapToGrid/>
        </w:rPr>
        <w:t>)</w:t>
      </w:r>
      <w:r>
        <w:rPr>
          <w:snapToGrid/>
        </w:rPr>
        <w:t>。</w:t>
      </w:r>
    </w:p>
    <w:p w:rsidR="00000000" w:rsidRDefault="00000000">
      <w:pPr>
        <w:ind w:firstLine="539"/>
        <w:rPr>
          <w:snapToGrid/>
        </w:rPr>
      </w:pPr>
      <w:r>
        <w:rPr>
          <w:snapToGrid/>
        </w:rPr>
        <w:t>129.</w:t>
      </w:r>
      <w:r>
        <w:rPr>
          <w:rFonts w:hint="eastAsia"/>
          <w:snapToGrid/>
        </w:rPr>
        <w:t xml:space="preserve">  </w:t>
      </w:r>
      <w:r>
        <w:rPr>
          <w:snapToGrid/>
        </w:rPr>
        <w:t>宪法保障人人有权就侵犯其基本权利和利益的行为得到有效的补救</w:t>
      </w:r>
      <w:r>
        <w:rPr>
          <w:snapToGrid/>
        </w:rPr>
        <w:t>(</w:t>
      </w:r>
      <w:r>
        <w:rPr>
          <w:snapToGrid/>
        </w:rPr>
        <w:t>第</w:t>
      </w:r>
      <w:r>
        <w:rPr>
          <w:snapToGrid/>
        </w:rPr>
        <w:t>20</w:t>
      </w:r>
      <w:r>
        <w:rPr>
          <w:snapToGrid/>
        </w:rPr>
        <w:t>条</w:t>
      </w:r>
      <w:r>
        <w:rPr>
          <w:snapToGrid/>
        </w:rPr>
        <w:t>)</w:t>
      </w:r>
      <w:r>
        <w:rPr>
          <w:snapToGrid/>
        </w:rPr>
        <w:t>。受伤害者有理由提出</w:t>
      </w:r>
      <w:r>
        <w:rPr>
          <w:rFonts w:hint="eastAsia"/>
          <w:snapToGrid/>
        </w:rPr>
        <w:t>补救</w:t>
      </w:r>
      <w:r>
        <w:rPr>
          <w:snapToGrid/>
        </w:rPr>
        <w:t>权的要求</w:t>
      </w:r>
      <w:r>
        <w:rPr>
          <w:snapToGrid/>
        </w:rPr>
        <w:t>(</w:t>
      </w:r>
      <w:r>
        <w:rPr>
          <w:snapToGrid/>
        </w:rPr>
        <w:t>第</w:t>
      </w:r>
      <w:r>
        <w:rPr>
          <w:snapToGrid/>
        </w:rPr>
        <w:t>53</w:t>
      </w:r>
      <w:r>
        <w:rPr>
          <w:snapToGrid/>
        </w:rPr>
        <w:t>条</w:t>
      </w:r>
      <w:r>
        <w:rPr>
          <w:rFonts w:hint="eastAsia"/>
          <w:snapToGrid/>
        </w:rPr>
        <w:t>)</w:t>
      </w:r>
      <w:r>
        <w:rPr>
          <w:snapToGrid/>
        </w:rPr>
        <w:t>。</w:t>
      </w:r>
    </w:p>
    <w:p w:rsidR="00000000" w:rsidRDefault="00000000">
      <w:pPr>
        <w:ind w:firstLine="539"/>
        <w:rPr>
          <w:snapToGrid/>
        </w:rPr>
      </w:pPr>
      <w:r>
        <w:rPr>
          <w:snapToGrid/>
        </w:rPr>
        <w:t>130.</w:t>
      </w:r>
      <w:r>
        <w:rPr>
          <w:rFonts w:hint="eastAsia"/>
          <w:snapToGrid/>
        </w:rPr>
        <w:t xml:space="preserve">  </w:t>
      </w:r>
      <w:r>
        <w:rPr>
          <w:snapToGrid/>
        </w:rPr>
        <w:t>根据法律，国家应对调查机构和法庭在</w:t>
      </w:r>
      <w:r>
        <w:rPr>
          <w:rFonts w:hint="eastAsia"/>
          <w:snapToGrid/>
        </w:rPr>
        <w:t>刑事</w:t>
      </w:r>
      <w:r>
        <w:rPr>
          <w:snapToGrid/>
        </w:rPr>
        <w:t>诉讼程序中的错误行为可能造成的任何损害承担责任。《刑事诉讼法》第</w:t>
      </w:r>
      <w:r>
        <w:rPr>
          <w:snapToGrid/>
        </w:rPr>
        <w:t>6</w:t>
      </w:r>
      <w:r>
        <w:rPr>
          <w:snapToGrid/>
        </w:rPr>
        <w:t>条规定，任何遭非法逮捕或拘留</w:t>
      </w:r>
      <w:r>
        <w:rPr>
          <w:rFonts w:hint="eastAsia"/>
          <w:snapToGrid/>
        </w:rPr>
        <w:t>的</w:t>
      </w:r>
      <w:r>
        <w:rPr>
          <w:snapToGrid/>
        </w:rPr>
        <w:t>个人有权</w:t>
      </w:r>
      <w:r>
        <w:rPr>
          <w:rFonts w:hint="eastAsia"/>
          <w:snapToGrid/>
        </w:rPr>
        <w:t>依法律规定的条件得到赔偿。根据在刑侦调查期间，刑事调查机构、监察厅和法院所犯的不法行，依照《损害赔偿法》来确定赔偿。根据这项法律，应就下列损害做出赔偿</w:t>
      </w:r>
      <w:r>
        <w:rPr>
          <w:snapToGrid/>
        </w:rPr>
        <w:t>(</w:t>
      </w:r>
      <w:r>
        <w:rPr>
          <w:snapToGrid/>
        </w:rPr>
        <w:t>第</w:t>
      </w:r>
      <w:r>
        <w:rPr>
          <w:snapToGrid/>
        </w:rPr>
        <w:t>1</w:t>
      </w:r>
      <w:r>
        <w:rPr>
          <w:snapToGrid/>
        </w:rPr>
        <w:t>条</w:t>
      </w:r>
      <w:r>
        <w:rPr>
          <w:snapToGrid/>
        </w:rPr>
        <w:t>)</w:t>
      </w:r>
      <w:r>
        <w:rPr>
          <w:snapToGrid/>
        </w:rPr>
        <w:t>：</w:t>
      </w:r>
    </w:p>
    <w:p w:rsidR="00000000" w:rsidRDefault="00000000">
      <w:pPr>
        <w:numPr>
          <w:ilvl w:val="0"/>
          <w:numId w:val="97"/>
        </w:numPr>
        <w:tabs>
          <w:tab w:val="clear" w:pos="2127"/>
        </w:tabs>
        <w:ind w:left="1531"/>
        <w:rPr>
          <w:rFonts w:hint="eastAsia"/>
          <w:snapToGrid/>
        </w:rPr>
      </w:pPr>
      <w:r>
        <w:rPr>
          <w:snapToGrid/>
        </w:rPr>
        <w:t>非法</w:t>
      </w:r>
      <w:r>
        <w:rPr>
          <w:rFonts w:hint="eastAsia"/>
          <w:snapToGrid/>
        </w:rPr>
        <w:t>进行官方</w:t>
      </w:r>
      <w:r>
        <w:rPr>
          <w:snapToGrid/>
        </w:rPr>
        <w:t>调查或逮捕，或非法</w:t>
      </w:r>
      <w:r>
        <w:rPr>
          <w:rFonts w:hint="eastAsia"/>
          <w:snapToGrid/>
        </w:rPr>
        <w:t>驳回</w:t>
      </w:r>
      <w:r>
        <w:rPr>
          <w:snapToGrid/>
        </w:rPr>
        <w:t>；</w:t>
      </w:r>
    </w:p>
    <w:p w:rsidR="00000000" w:rsidRDefault="00000000">
      <w:pPr>
        <w:numPr>
          <w:ilvl w:val="0"/>
          <w:numId w:val="97"/>
        </w:numPr>
        <w:tabs>
          <w:tab w:val="clear" w:pos="2127"/>
        </w:tabs>
        <w:ind w:left="1531"/>
        <w:rPr>
          <w:rFonts w:hint="eastAsia"/>
          <w:snapToGrid/>
        </w:rPr>
      </w:pPr>
      <w:r>
        <w:rPr>
          <w:snapToGrid/>
        </w:rPr>
        <w:t>非法没收财产和罚款；</w:t>
      </w:r>
    </w:p>
    <w:p w:rsidR="00000000" w:rsidRDefault="00000000">
      <w:pPr>
        <w:numPr>
          <w:ilvl w:val="0"/>
          <w:numId w:val="97"/>
        </w:numPr>
        <w:tabs>
          <w:tab w:val="clear" w:pos="2127"/>
        </w:tabs>
        <w:ind w:left="1531"/>
        <w:rPr>
          <w:snapToGrid/>
        </w:rPr>
      </w:pPr>
      <w:r>
        <w:rPr>
          <w:snapToGrid/>
        </w:rPr>
        <w:t>非法没收账户或其他文件、钱款、</w:t>
      </w:r>
      <w:r>
        <w:rPr>
          <w:rFonts w:hint="eastAsia"/>
          <w:snapToGrid/>
        </w:rPr>
        <w:t>邮票</w:t>
      </w:r>
      <w:r>
        <w:rPr>
          <w:snapToGrid/>
        </w:rPr>
        <w:t>以及非法封账</w:t>
      </w:r>
      <w:r>
        <w:rPr>
          <w:rFonts w:hint="eastAsia"/>
          <w:snapToGrid/>
        </w:rPr>
        <w:t>户</w:t>
      </w:r>
      <w:r>
        <w:rPr>
          <w:snapToGrid/>
        </w:rPr>
        <w:t>。</w:t>
      </w:r>
    </w:p>
    <w:p w:rsidR="00000000" w:rsidRDefault="00000000">
      <w:pPr>
        <w:ind w:firstLine="539"/>
        <w:rPr>
          <w:snapToGrid/>
        </w:rPr>
      </w:pPr>
      <w:r>
        <w:rPr>
          <w:snapToGrid/>
        </w:rPr>
        <w:t>131.</w:t>
      </w:r>
      <w:r>
        <w:rPr>
          <w:rFonts w:hint="eastAsia"/>
          <w:snapToGrid/>
        </w:rPr>
        <w:t xml:space="preserve">  </w:t>
      </w:r>
      <w:r>
        <w:rPr>
          <w:snapToGrid/>
        </w:rPr>
        <w:t>《民事诉讼法》还规定，对违反公民权利行为</w:t>
      </w:r>
      <w:r>
        <w:rPr>
          <w:rFonts w:hint="eastAsia"/>
          <w:snapToGrid/>
        </w:rPr>
        <w:t>采取</w:t>
      </w:r>
      <w:r>
        <w:rPr>
          <w:snapToGrid/>
        </w:rPr>
        <w:t>有效的补救</w:t>
      </w:r>
      <w:r>
        <w:rPr>
          <w:snapToGrid/>
        </w:rPr>
        <w:t>(</w:t>
      </w:r>
      <w:r>
        <w:rPr>
          <w:snapToGrid/>
        </w:rPr>
        <w:t>第</w:t>
      </w:r>
      <w:r>
        <w:rPr>
          <w:snapToGrid/>
        </w:rPr>
        <w:t>4</w:t>
      </w:r>
      <w:r>
        <w:rPr>
          <w:snapToGrid/>
        </w:rPr>
        <w:t>条</w:t>
      </w:r>
      <w:r>
        <w:rPr>
          <w:snapToGrid/>
        </w:rPr>
        <w:t>)</w:t>
      </w:r>
      <w:r>
        <w:rPr>
          <w:snapToGrid/>
        </w:rPr>
        <w:t>。这些补救</w:t>
      </w:r>
      <w:r>
        <w:rPr>
          <w:rFonts w:hint="eastAsia"/>
          <w:snapToGrid/>
        </w:rPr>
        <w:t>是</w:t>
      </w:r>
      <w:r>
        <w:rPr>
          <w:snapToGrid/>
        </w:rPr>
        <w:t>(</w:t>
      </w:r>
      <w:r>
        <w:rPr>
          <w:snapToGrid/>
        </w:rPr>
        <w:t>第</w:t>
      </w:r>
      <w:r>
        <w:rPr>
          <w:snapToGrid/>
        </w:rPr>
        <w:t>6</w:t>
      </w:r>
      <w:r>
        <w:rPr>
          <w:snapToGrid/>
        </w:rPr>
        <w:t>条</w:t>
      </w:r>
      <w:r>
        <w:rPr>
          <w:snapToGrid/>
        </w:rPr>
        <w:t>)</w:t>
      </w:r>
      <w:r>
        <w:rPr>
          <w:snapToGrid/>
        </w:rPr>
        <w:t>：</w:t>
      </w:r>
    </w:p>
    <w:p w:rsidR="00000000" w:rsidRDefault="00000000">
      <w:pPr>
        <w:numPr>
          <w:ilvl w:val="0"/>
          <w:numId w:val="98"/>
        </w:numPr>
        <w:tabs>
          <w:tab w:val="clear" w:pos="2127"/>
        </w:tabs>
        <w:ind w:left="1531"/>
        <w:rPr>
          <w:rFonts w:hint="eastAsia"/>
          <w:snapToGrid/>
        </w:rPr>
      </w:pPr>
      <w:r>
        <w:rPr>
          <w:snapToGrid/>
        </w:rPr>
        <w:t>承认上述权利；</w:t>
      </w:r>
    </w:p>
    <w:p w:rsidR="00000000" w:rsidRDefault="00000000">
      <w:pPr>
        <w:numPr>
          <w:ilvl w:val="0"/>
          <w:numId w:val="98"/>
        </w:numPr>
        <w:tabs>
          <w:tab w:val="clear" w:pos="2127"/>
        </w:tabs>
        <w:ind w:left="1531"/>
        <w:rPr>
          <w:rFonts w:hint="eastAsia"/>
          <w:snapToGrid/>
        </w:rPr>
      </w:pPr>
      <w:r>
        <w:rPr>
          <w:snapToGrid/>
        </w:rPr>
        <w:t>恢复在权利遭侵犯之前的现状，并停止侵犯这些权利的行为；</w:t>
      </w:r>
    </w:p>
    <w:p w:rsidR="00000000" w:rsidRDefault="00000000">
      <w:pPr>
        <w:numPr>
          <w:ilvl w:val="0"/>
          <w:numId w:val="98"/>
        </w:numPr>
        <w:tabs>
          <w:tab w:val="clear" w:pos="2127"/>
        </w:tabs>
        <w:ind w:left="1531"/>
        <w:rPr>
          <w:rFonts w:hint="eastAsia"/>
          <w:snapToGrid/>
        </w:rPr>
      </w:pPr>
      <w:r>
        <w:rPr>
          <w:snapToGrid/>
        </w:rPr>
        <w:t>迫使当事人做出物质赔偿；</w:t>
      </w:r>
    </w:p>
    <w:p w:rsidR="00000000" w:rsidRDefault="00000000">
      <w:pPr>
        <w:numPr>
          <w:ilvl w:val="0"/>
          <w:numId w:val="98"/>
        </w:numPr>
        <w:tabs>
          <w:tab w:val="clear" w:pos="2127"/>
        </w:tabs>
        <w:ind w:left="1531"/>
        <w:rPr>
          <w:rFonts w:hint="eastAsia"/>
          <w:snapToGrid/>
        </w:rPr>
      </w:pPr>
      <w:r>
        <w:rPr>
          <w:snapToGrid/>
        </w:rPr>
        <w:t>停止或修改法律报告；</w:t>
      </w:r>
    </w:p>
    <w:p w:rsidR="00000000" w:rsidRDefault="00000000">
      <w:pPr>
        <w:numPr>
          <w:ilvl w:val="0"/>
          <w:numId w:val="98"/>
        </w:numPr>
        <w:tabs>
          <w:tab w:val="clear" w:pos="2127"/>
        </w:tabs>
        <w:ind w:left="1531"/>
        <w:rPr>
          <w:snapToGrid/>
        </w:rPr>
      </w:pPr>
      <w:r>
        <w:rPr>
          <w:snapToGrid/>
        </w:rPr>
        <w:t>迫使侵权行为的责任者支付赔偿费并依照法律案例或协议的规定，</w:t>
      </w:r>
      <w:r>
        <w:rPr>
          <w:rFonts w:hint="eastAsia"/>
          <w:snapToGrid/>
        </w:rPr>
        <w:t>承担</w:t>
      </w:r>
      <w:r>
        <w:rPr>
          <w:snapToGrid/>
        </w:rPr>
        <w:t>法律费用</w:t>
      </w:r>
      <w:r>
        <w:rPr>
          <w:snapToGrid/>
        </w:rPr>
        <w:t>(</w:t>
      </w:r>
      <w:r>
        <w:rPr>
          <w:snapToGrid/>
        </w:rPr>
        <w:t>罚款、缓期惩罚</w:t>
      </w:r>
      <w:r>
        <w:rPr>
          <w:snapToGrid/>
        </w:rPr>
        <w:t>)</w:t>
      </w:r>
      <w:r>
        <w:rPr>
          <w:snapToGrid/>
        </w:rPr>
        <w:t>，以及其他法律规定的措施。</w:t>
      </w:r>
    </w:p>
    <w:p w:rsidR="00000000" w:rsidRDefault="00000000">
      <w:pPr>
        <w:ind w:firstLine="539"/>
        <w:rPr>
          <w:snapToGrid/>
        </w:rPr>
      </w:pPr>
      <w:r>
        <w:rPr>
          <w:snapToGrid/>
        </w:rPr>
        <w:t>132.</w:t>
      </w:r>
      <w:r>
        <w:rPr>
          <w:rFonts w:hint="eastAsia"/>
          <w:snapToGrid/>
        </w:rPr>
        <w:t xml:space="preserve">  </w:t>
      </w:r>
      <w:r>
        <w:rPr>
          <w:snapToGrid/>
        </w:rPr>
        <w:t>议会律师机构和人权中心</w:t>
      </w:r>
      <w:r>
        <w:rPr>
          <w:rFonts w:hint="eastAsia"/>
          <w:snapToGrid/>
        </w:rPr>
        <w:t>的设</w:t>
      </w:r>
      <w:r>
        <w:rPr>
          <w:snapToGrid/>
        </w:rPr>
        <w:t>立大幅度地增强了对公民权利以及外籍人和无国籍者</w:t>
      </w:r>
      <w:r>
        <w:rPr>
          <w:rFonts w:hint="eastAsia"/>
          <w:snapToGrid/>
        </w:rPr>
        <w:t>权利</w:t>
      </w:r>
      <w:r>
        <w:rPr>
          <w:snapToGrid/>
        </w:rPr>
        <w:t>的尊重。</w:t>
      </w:r>
    </w:p>
    <w:p w:rsidR="00000000" w:rsidRDefault="00000000">
      <w:pPr>
        <w:spacing w:after="320"/>
        <w:ind w:firstLine="539"/>
        <w:rPr>
          <w:snapToGrid/>
        </w:rPr>
      </w:pPr>
      <w:r>
        <w:rPr>
          <w:snapToGrid/>
        </w:rPr>
        <w:t>133.</w:t>
      </w:r>
      <w:r>
        <w:rPr>
          <w:rFonts w:hint="eastAsia"/>
          <w:snapToGrid/>
        </w:rPr>
        <w:t xml:space="preserve">  </w:t>
      </w:r>
      <w:r>
        <w:rPr>
          <w:snapToGrid/>
        </w:rPr>
        <w:t>摩尔多瓦监察专员被</w:t>
      </w:r>
      <w:r>
        <w:rPr>
          <w:rFonts w:hint="eastAsia"/>
          <w:snapToGrid/>
        </w:rPr>
        <w:t>授</w:t>
      </w:r>
      <w:r>
        <w:rPr>
          <w:snapToGrid/>
        </w:rPr>
        <w:t>权审查在摩尔多瓦共和国领土内长期或临时居住的外籍人和无国籍者通报其权利在</w:t>
      </w:r>
      <w:r>
        <w:rPr>
          <w:rFonts w:hint="eastAsia"/>
          <w:snapToGrid/>
        </w:rPr>
        <w:t>该国</w:t>
      </w:r>
      <w:r>
        <w:rPr>
          <w:snapToGrid/>
        </w:rPr>
        <w:t>领土内遭受侵犯的情况</w:t>
      </w:r>
      <w:r>
        <w:rPr>
          <w:snapToGrid/>
        </w:rPr>
        <w:t>(</w:t>
      </w:r>
      <w:r>
        <w:rPr>
          <w:snapToGrid/>
        </w:rPr>
        <w:t>《议会律师法》第</w:t>
      </w:r>
      <w:r>
        <w:rPr>
          <w:snapToGrid/>
        </w:rPr>
        <w:t>13</w:t>
      </w:r>
      <w:r>
        <w:rPr>
          <w:snapToGrid/>
        </w:rPr>
        <w:t>条</w:t>
      </w:r>
      <w:r>
        <w:rPr>
          <w:rFonts w:hint="eastAsia"/>
          <w:snapToGrid/>
        </w:rPr>
        <w:t>)</w:t>
      </w:r>
      <w:r>
        <w:rPr>
          <w:snapToGrid/>
        </w:rPr>
        <w:t>。</w:t>
      </w:r>
      <w:r>
        <w:rPr>
          <w:rFonts w:hint="eastAsia"/>
          <w:snapToGrid/>
        </w:rPr>
        <w:t>若</w:t>
      </w:r>
      <w:r>
        <w:rPr>
          <w:snapToGrid/>
        </w:rPr>
        <w:t>在国内法与摩尔多瓦共和国作为缔约国</w:t>
      </w:r>
      <w:r>
        <w:rPr>
          <w:rFonts w:hint="eastAsia"/>
          <w:snapToGrid/>
        </w:rPr>
        <w:t>加入</w:t>
      </w:r>
      <w:r>
        <w:rPr>
          <w:snapToGrid/>
        </w:rPr>
        <w:t>的国际人权条约准则之间出现含义上的分歧时，这项法律赋予议会律师直接运用</w:t>
      </w:r>
      <w:r>
        <w:rPr>
          <w:rFonts w:hint="eastAsia"/>
          <w:snapToGrid/>
        </w:rPr>
        <w:t>那</w:t>
      </w:r>
      <w:r>
        <w:rPr>
          <w:snapToGrid/>
        </w:rPr>
        <w:t>些国际法准则的权利</w:t>
      </w:r>
      <w:r>
        <w:rPr>
          <w:snapToGrid/>
        </w:rPr>
        <w:t>(</w:t>
      </w:r>
      <w:r>
        <w:rPr>
          <w:snapToGrid/>
        </w:rPr>
        <w:t>第</w:t>
      </w:r>
      <w:r>
        <w:rPr>
          <w:rFonts w:hint="eastAsia"/>
          <w:snapToGrid/>
        </w:rPr>
        <w:t>1</w:t>
      </w:r>
      <w:r>
        <w:rPr>
          <w:snapToGrid/>
        </w:rPr>
        <w:t>0</w:t>
      </w:r>
      <w:r>
        <w:rPr>
          <w:snapToGrid/>
        </w:rPr>
        <w:t>条第</w:t>
      </w:r>
      <w:r>
        <w:rPr>
          <w:snapToGrid/>
        </w:rPr>
        <w:t>2</w:t>
      </w:r>
      <w:r>
        <w:rPr>
          <w:snapToGrid/>
        </w:rPr>
        <w:t>款</w:t>
      </w:r>
      <w:r>
        <w:rPr>
          <w:snapToGrid/>
        </w:rPr>
        <w:t>)</w:t>
      </w:r>
      <w:r>
        <w:rPr>
          <w:snapToGrid/>
        </w:rPr>
        <w:t>。摩尔多瓦人权中心在开展其活动期间，只收到了</w:t>
      </w:r>
      <w:r>
        <w:rPr>
          <w:rFonts w:hint="eastAsia"/>
          <w:snapToGrid/>
        </w:rPr>
        <w:t>极少</w:t>
      </w:r>
      <w:r>
        <w:rPr>
          <w:snapToGrid/>
        </w:rPr>
        <w:t>几</w:t>
      </w:r>
      <w:r>
        <w:rPr>
          <w:rFonts w:hint="eastAsia"/>
          <w:snapToGrid/>
        </w:rPr>
        <w:t>份</w:t>
      </w:r>
      <w:r>
        <w:rPr>
          <w:snapToGrid/>
        </w:rPr>
        <w:t>外籍人和无国籍者的请愿书。这些请愿均通过与当地公共当局的双方协议得到</w:t>
      </w:r>
      <w:r>
        <w:rPr>
          <w:rFonts w:hint="eastAsia"/>
          <w:snapToGrid/>
        </w:rPr>
        <w:t>了</w:t>
      </w:r>
      <w:r>
        <w:rPr>
          <w:snapToGrid/>
        </w:rPr>
        <w:t>解决。</w:t>
      </w:r>
    </w:p>
    <w:p w:rsidR="00000000" w:rsidRDefault="00000000">
      <w:pPr>
        <w:pStyle w:val="Heading3"/>
        <w:rPr>
          <w:kern w:val="0"/>
        </w:rPr>
      </w:pPr>
      <w:r>
        <w:rPr>
          <w:rFonts w:hint="eastAsia"/>
          <w:kern w:val="0"/>
        </w:rPr>
        <w:t>第</w:t>
      </w:r>
      <w:r>
        <w:rPr>
          <w:rFonts w:hint="eastAsia"/>
          <w:kern w:val="0"/>
        </w:rPr>
        <w:t xml:space="preserve"> </w:t>
      </w:r>
      <w:r>
        <w:rPr>
          <w:rFonts w:hint="eastAsia"/>
          <w:kern w:val="0"/>
        </w:rPr>
        <w:t>三</w:t>
      </w:r>
      <w:r>
        <w:rPr>
          <w:rFonts w:hint="eastAsia"/>
          <w:kern w:val="0"/>
        </w:rPr>
        <w:t xml:space="preserve"> </w:t>
      </w:r>
      <w:r>
        <w:rPr>
          <w:rFonts w:hint="eastAsia"/>
          <w:kern w:val="0"/>
        </w:rPr>
        <w:t>条</w:t>
      </w:r>
    </w:p>
    <w:p w:rsidR="00000000" w:rsidRDefault="00000000">
      <w:pPr>
        <w:ind w:firstLine="539"/>
        <w:rPr>
          <w:snapToGrid/>
        </w:rPr>
      </w:pPr>
      <w:r>
        <w:rPr>
          <w:snapToGrid/>
        </w:rPr>
        <w:t>134.</w:t>
      </w:r>
      <w:r>
        <w:rPr>
          <w:rFonts w:hint="eastAsia"/>
          <w:snapToGrid/>
        </w:rPr>
        <w:t xml:space="preserve">  </w:t>
      </w:r>
      <w:r>
        <w:rPr>
          <w:snapToGrid/>
        </w:rPr>
        <w:t>《摩尔多瓦共和国最高法律》规定，全体公民在法律和公共当局面前享有平等的权利，没有任何诸如种族、民族、族裔、语言、宗教、性别、政治见解或其他见解、财产或社会世袭之类的区别</w:t>
      </w:r>
      <w:r>
        <w:rPr>
          <w:snapToGrid/>
        </w:rPr>
        <w:t>(</w:t>
      </w:r>
      <w:r>
        <w:rPr>
          <w:snapToGrid/>
        </w:rPr>
        <w:t>第</w:t>
      </w:r>
      <w:r>
        <w:rPr>
          <w:snapToGrid/>
        </w:rPr>
        <w:t>16</w:t>
      </w:r>
      <w:r>
        <w:rPr>
          <w:snapToGrid/>
        </w:rPr>
        <w:t>条第</w:t>
      </w:r>
      <w:r>
        <w:rPr>
          <w:rFonts w:hint="eastAsia"/>
          <w:snapToGrid/>
        </w:rPr>
        <w:t>2</w:t>
      </w:r>
      <w:r>
        <w:rPr>
          <w:snapToGrid/>
        </w:rPr>
        <w:t>款</w:t>
      </w:r>
      <w:r>
        <w:rPr>
          <w:snapToGrid/>
        </w:rPr>
        <w:t>)</w:t>
      </w:r>
      <w:r>
        <w:rPr>
          <w:snapToGrid/>
        </w:rPr>
        <w:t>。这些权利列入了《宪法》标题二之下，</w:t>
      </w:r>
      <w:r>
        <w:rPr>
          <w:rFonts w:hint="eastAsia"/>
          <w:snapToGrid/>
        </w:rPr>
        <w:t>为</w:t>
      </w:r>
      <w:r>
        <w:rPr>
          <w:snapToGrid/>
        </w:rPr>
        <w:t>此</w:t>
      </w:r>
      <w:r>
        <w:rPr>
          <w:rFonts w:hint="eastAsia"/>
          <w:snapToGrid/>
        </w:rPr>
        <w:t>，</w:t>
      </w:r>
      <w:r>
        <w:rPr>
          <w:snapToGrid/>
        </w:rPr>
        <w:t>援用了《经济、社会、文化权利国际公约》规定的各项权利</w:t>
      </w:r>
      <w:r>
        <w:rPr>
          <w:snapToGrid/>
        </w:rPr>
        <w:t>(</w:t>
      </w:r>
      <w:r>
        <w:rPr>
          <w:rFonts w:hint="eastAsia"/>
          <w:snapToGrid/>
        </w:rPr>
        <w:t>也</w:t>
      </w:r>
      <w:r>
        <w:rPr>
          <w:snapToGrid/>
        </w:rPr>
        <w:t>见上述第</w:t>
      </w:r>
      <w:r>
        <w:rPr>
          <w:snapToGrid/>
        </w:rPr>
        <w:t>2</w:t>
      </w:r>
      <w:r>
        <w:rPr>
          <w:snapToGrid/>
        </w:rPr>
        <w:t>条</w:t>
      </w:r>
      <w:r>
        <w:rPr>
          <w:snapToGrid/>
        </w:rPr>
        <w:t>)</w:t>
      </w:r>
      <w:r>
        <w:rPr>
          <w:snapToGrid/>
        </w:rPr>
        <w:t>。宪法准则规定</w:t>
      </w:r>
      <w:r>
        <w:rPr>
          <w:rFonts w:hint="eastAsia"/>
          <w:snapToGrid/>
        </w:rPr>
        <w:t>“</w:t>
      </w:r>
      <w:r>
        <w:rPr>
          <w:snapToGrid/>
        </w:rPr>
        <w:t>家庭是基于</w:t>
      </w:r>
      <w:r>
        <w:rPr>
          <w:rFonts w:hint="eastAsia"/>
          <w:snapToGrid/>
        </w:rPr>
        <w:t>一</w:t>
      </w:r>
      <w:r>
        <w:rPr>
          <w:snapToGrid/>
        </w:rPr>
        <w:t>男与一女双方结合基础上建立的，</w:t>
      </w:r>
      <w:r>
        <w:rPr>
          <w:rFonts w:hint="eastAsia"/>
          <w:snapToGrid/>
        </w:rPr>
        <w:t>赋予了</w:t>
      </w:r>
      <w:r>
        <w:rPr>
          <w:snapToGrid/>
        </w:rPr>
        <w:t>他们平等的权利，</w:t>
      </w:r>
      <w:r>
        <w:rPr>
          <w:rFonts w:hint="eastAsia"/>
          <w:snapToGrid/>
        </w:rPr>
        <w:t>及其身为</w:t>
      </w:r>
      <w:r>
        <w:rPr>
          <w:snapToGrid/>
        </w:rPr>
        <w:t>家长</w:t>
      </w:r>
      <w:r>
        <w:rPr>
          <w:rFonts w:hint="eastAsia"/>
          <w:snapToGrid/>
        </w:rPr>
        <w:t>承担着</w:t>
      </w:r>
      <w:r>
        <w:rPr>
          <w:snapToGrid/>
        </w:rPr>
        <w:t>确保其子女</w:t>
      </w:r>
      <w:r>
        <w:rPr>
          <w:rFonts w:hint="eastAsia"/>
          <w:snapToGrid/>
        </w:rPr>
        <w:t>得到</w:t>
      </w:r>
      <w:r>
        <w:rPr>
          <w:snapToGrid/>
        </w:rPr>
        <w:t>教育的权利和义务</w:t>
      </w:r>
      <w:r>
        <w:rPr>
          <w:rFonts w:hint="eastAsia"/>
          <w:snapToGrid/>
        </w:rPr>
        <w:t>”</w:t>
      </w:r>
      <w:r>
        <w:rPr>
          <w:snapToGrid/>
        </w:rPr>
        <w:t>(</w:t>
      </w:r>
      <w:r>
        <w:rPr>
          <w:snapToGrid/>
        </w:rPr>
        <w:t>第</w:t>
      </w:r>
      <w:r>
        <w:rPr>
          <w:snapToGrid/>
        </w:rPr>
        <w:t>48</w:t>
      </w:r>
      <w:r>
        <w:rPr>
          <w:snapToGrid/>
        </w:rPr>
        <w:t>条第</w:t>
      </w:r>
      <w:r>
        <w:rPr>
          <w:rFonts w:hint="eastAsia"/>
          <w:snapToGrid/>
        </w:rPr>
        <w:t>2</w:t>
      </w:r>
      <w:r>
        <w:rPr>
          <w:snapToGrid/>
        </w:rPr>
        <w:t>款</w:t>
      </w:r>
      <w:r>
        <w:rPr>
          <w:rFonts w:hint="eastAsia"/>
          <w:snapToGrid/>
        </w:rPr>
        <w:t>)</w:t>
      </w:r>
      <w:r>
        <w:rPr>
          <w:snapToGrid/>
        </w:rPr>
        <w:t>。</w:t>
      </w:r>
    </w:p>
    <w:p w:rsidR="00000000" w:rsidRDefault="00000000">
      <w:pPr>
        <w:ind w:firstLine="539"/>
        <w:rPr>
          <w:snapToGrid/>
        </w:rPr>
      </w:pPr>
      <w:r>
        <w:rPr>
          <w:snapToGrid/>
        </w:rPr>
        <w:t>135.</w:t>
      </w:r>
      <w:r>
        <w:rPr>
          <w:rFonts w:hint="eastAsia"/>
          <w:snapToGrid/>
        </w:rPr>
        <w:t xml:space="preserve">  </w:t>
      </w:r>
      <w:r>
        <w:rPr>
          <w:snapToGrid/>
        </w:rPr>
        <w:t>《摩尔多瓦共和国婚姻和家庭法》载有更多保障男女权利平等的条款。《婚姻和家庭法》第</w:t>
      </w:r>
      <w:r>
        <w:rPr>
          <w:rFonts w:hint="eastAsia"/>
          <w:snapToGrid/>
        </w:rPr>
        <w:t>3</w:t>
      </w:r>
      <w:r>
        <w:rPr>
          <w:snapToGrid/>
        </w:rPr>
        <w:t>条规定，</w:t>
      </w:r>
      <w:r>
        <w:rPr>
          <w:rFonts w:hint="eastAsia"/>
          <w:snapToGrid/>
        </w:rPr>
        <w:t>“</w:t>
      </w:r>
      <w:r>
        <w:rPr>
          <w:snapToGrid/>
        </w:rPr>
        <w:t>根据平等权利法，在家庭中男女享有平等的个人和</w:t>
      </w:r>
      <w:r>
        <w:rPr>
          <w:rFonts w:hint="eastAsia"/>
          <w:snapToGrid/>
        </w:rPr>
        <w:t>继承</w:t>
      </w:r>
      <w:r>
        <w:rPr>
          <w:snapToGrid/>
        </w:rPr>
        <w:t>权</w:t>
      </w:r>
      <w:r>
        <w:rPr>
          <w:rFonts w:hint="eastAsia"/>
          <w:snapToGrid/>
        </w:rPr>
        <w:t>”</w:t>
      </w:r>
      <w:r>
        <w:rPr>
          <w:snapToGrid/>
        </w:rPr>
        <w:t>。第</w:t>
      </w:r>
      <w:r>
        <w:rPr>
          <w:snapToGrid/>
        </w:rPr>
        <w:t>4</w:t>
      </w:r>
      <w:r>
        <w:rPr>
          <w:snapToGrid/>
        </w:rPr>
        <w:t>条规定摩尔多瓦共和国</w:t>
      </w:r>
      <w:r>
        <w:rPr>
          <w:rFonts w:hint="eastAsia"/>
          <w:snapToGrid/>
        </w:rPr>
        <w:t>“</w:t>
      </w:r>
      <w:r>
        <w:rPr>
          <w:snapToGrid/>
        </w:rPr>
        <w:t>不允许任何凭血统、社会和婚姻地位、种族和民族、性别、教育、语言、宗教、职业</w:t>
      </w:r>
      <w:r>
        <w:rPr>
          <w:rFonts w:hint="eastAsia"/>
          <w:snapToGrid/>
        </w:rPr>
        <w:t>差</w:t>
      </w:r>
      <w:r>
        <w:rPr>
          <w:snapToGrid/>
        </w:rPr>
        <w:t>别和性质、居住</w:t>
      </w:r>
      <w:r>
        <w:rPr>
          <w:rFonts w:hint="eastAsia"/>
          <w:snapToGrid/>
        </w:rPr>
        <w:t>地</w:t>
      </w:r>
      <w:r>
        <w:rPr>
          <w:snapToGrid/>
        </w:rPr>
        <w:t>和其他情况，对所规定权利的任何直接或间接地限制、在婚姻或家庭方面任何</w:t>
      </w:r>
      <w:r>
        <w:rPr>
          <w:rFonts w:hint="eastAsia"/>
          <w:snapToGrid/>
        </w:rPr>
        <w:t>享有</w:t>
      </w:r>
      <w:r>
        <w:rPr>
          <w:snapToGrid/>
        </w:rPr>
        <w:t>直接或间接的优势地位</w:t>
      </w:r>
      <w:r>
        <w:rPr>
          <w:rFonts w:hint="eastAsia"/>
          <w:snapToGrid/>
        </w:rPr>
        <w:t>”</w:t>
      </w:r>
      <w:r>
        <w:rPr>
          <w:snapToGrid/>
        </w:rPr>
        <w:t>。</w:t>
      </w:r>
    </w:p>
    <w:p w:rsidR="00000000" w:rsidRDefault="00000000">
      <w:pPr>
        <w:ind w:firstLine="539"/>
        <w:rPr>
          <w:snapToGrid/>
        </w:rPr>
      </w:pPr>
      <w:r>
        <w:rPr>
          <w:snapToGrid/>
        </w:rPr>
        <w:t>136.</w:t>
      </w:r>
      <w:r>
        <w:rPr>
          <w:rFonts w:hint="eastAsia"/>
          <w:snapToGrid/>
        </w:rPr>
        <w:t xml:space="preserve">  </w:t>
      </w:r>
      <w:r>
        <w:rPr>
          <w:snapToGrid/>
        </w:rPr>
        <w:t>为了排除任何压力并确保家庭的长期</w:t>
      </w:r>
      <w:r>
        <w:rPr>
          <w:rFonts w:hint="eastAsia"/>
          <w:snapToGrid/>
        </w:rPr>
        <w:t>稳固</w:t>
      </w:r>
      <w:r>
        <w:rPr>
          <w:snapToGrid/>
        </w:rPr>
        <w:t>，《婚姻和家庭法》</w:t>
      </w:r>
      <w:r>
        <w:rPr>
          <w:snapToGrid/>
        </w:rPr>
        <w:t>(</w:t>
      </w:r>
      <w:r>
        <w:rPr>
          <w:snapToGrid/>
        </w:rPr>
        <w:t>第</w:t>
      </w:r>
      <w:r>
        <w:rPr>
          <w:snapToGrid/>
        </w:rPr>
        <w:t>15</w:t>
      </w:r>
      <w:r>
        <w:rPr>
          <w:snapToGrid/>
        </w:rPr>
        <w:t>条</w:t>
      </w:r>
      <w:r>
        <w:rPr>
          <w:rFonts w:hint="eastAsia"/>
          <w:snapToGrid/>
        </w:rPr>
        <w:t>)</w:t>
      </w:r>
      <w:r>
        <w:rPr>
          <w:snapToGrid/>
        </w:rPr>
        <w:t>规定，</w:t>
      </w:r>
      <w:r>
        <w:rPr>
          <w:rFonts w:hint="eastAsia"/>
          <w:snapToGrid/>
        </w:rPr>
        <w:t>“</w:t>
      </w:r>
      <w:r>
        <w:rPr>
          <w:snapToGrid/>
        </w:rPr>
        <w:t>为了结成婚姻，两</w:t>
      </w:r>
      <w:r>
        <w:rPr>
          <w:rFonts w:hint="eastAsia"/>
          <w:snapToGrid/>
        </w:rPr>
        <w:t>个达到</w:t>
      </w:r>
      <w:r>
        <w:rPr>
          <w:snapToGrid/>
        </w:rPr>
        <w:t>最低</w:t>
      </w:r>
      <w:r>
        <w:rPr>
          <w:rFonts w:hint="eastAsia"/>
          <w:snapToGrid/>
        </w:rPr>
        <w:t>婚姻</w:t>
      </w:r>
      <w:r>
        <w:rPr>
          <w:snapToGrid/>
        </w:rPr>
        <w:t>年龄</w:t>
      </w:r>
      <w:r>
        <w:rPr>
          <w:rFonts w:hint="eastAsia"/>
          <w:snapToGrid/>
        </w:rPr>
        <w:t>的人必须互相同意”</w:t>
      </w:r>
      <w:r>
        <w:rPr>
          <w:snapToGrid/>
        </w:rPr>
        <w:t>。双方享有平等的权利和共同的义务。配偶双方享有平等的权利，承担着共同的义务。配偶双方共同解决有关子女教育的问题和其他家庭问题。配偶的每一方都可自由选择</w:t>
      </w:r>
      <w:r>
        <w:rPr>
          <w:rFonts w:hint="eastAsia"/>
          <w:snapToGrid/>
        </w:rPr>
        <w:t>他所</w:t>
      </w:r>
      <w:r>
        <w:rPr>
          <w:snapToGrid/>
        </w:rPr>
        <w:t>从</w:t>
      </w:r>
      <w:r>
        <w:rPr>
          <w:rFonts w:hint="eastAsia"/>
          <w:snapToGrid/>
        </w:rPr>
        <w:t>事</w:t>
      </w:r>
      <w:r>
        <w:rPr>
          <w:snapToGrid/>
        </w:rPr>
        <w:t>的工作、职业和居住</w:t>
      </w:r>
      <w:r>
        <w:rPr>
          <w:rFonts w:hint="eastAsia"/>
          <w:snapToGrid/>
        </w:rPr>
        <w:t>地</w:t>
      </w:r>
      <w:r>
        <w:rPr>
          <w:snapToGrid/>
        </w:rPr>
        <w:t>(</w:t>
      </w:r>
      <w:r>
        <w:rPr>
          <w:snapToGrid/>
        </w:rPr>
        <w:t>第</w:t>
      </w:r>
      <w:r>
        <w:rPr>
          <w:snapToGrid/>
        </w:rPr>
        <w:t>20</w:t>
      </w:r>
      <w:r>
        <w:rPr>
          <w:snapToGrid/>
        </w:rPr>
        <w:t>条</w:t>
      </w:r>
      <w:r>
        <w:rPr>
          <w:snapToGrid/>
        </w:rPr>
        <w:t>)</w:t>
      </w:r>
      <w:r>
        <w:rPr>
          <w:snapToGrid/>
        </w:rPr>
        <w:t>。</w:t>
      </w:r>
    </w:p>
    <w:p w:rsidR="00000000" w:rsidRDefault="00000000">
      <w:pPr>
        <w:ind w:firstLine="539"/>
        <w:rPr>
          <w:snapToGrid/>
        </w:rPr>
      </w:pPr>
      <w:r>
        <w:rPr>
          <w:snapToGrid/>
        </w:rPr>
        <w:t>137.</w:t>
      </w:r>
      <w:r>
        <w:rPr>
          <w:rFonts w:hint="eastAsia"/>
          <w:snapToGrid/>
        </w:rPr>
        <w:t xml:space="preserve">  </w:t>
      </w:r>
      <w:r>
        <w:rPr>
          <w:snapToGrid/>
        </w:rPr>
        <w:t>《婚姻和家庭法》阐明了他们在子女方面的权利和义务。根据第</w:t>
      </w:r>
      <w:r>
        <w:rPr>
          <w:snapToGrid/>
        </w:rPr>
        <w:t>57</w:t>
      </w:r>
      <w:r>
        <w:rPr>
          <w:snapToGrid/>
        </w:rPr>
        <w:t>条，父亲和母亲，即使在婚姻</w:t>
      </w:r>
      <w:r>
        <w:rPr>
          <w:rFonts w:hint="eastAsia"/>
          <w:snapToGrid/>
        </w:rPr>
        <w:t>解除</w:t>
      </w:r>
      <w:r>
        <w:rPr>
          <w:snapToGrid/>
        </w:rPr>
        <w:t>的情况下，在这方面也享有平等的权利和义务</w:t>
      </w:r>
      <w:r>
        <w:rPr>
          <w:snapToGrid/>
        </w:rPr>
        <w:t>(</w:t>
      </w:r>
      <w:r>
        <w:rPr>
          <w:snapToGrid/>
        </w:rPr>
        <w:t>还参见下文第</w:t>
      </w:r>
      <w:r>
        <w:rPr>
          <w:rFonts w:hint="eastAsia"/>
          <w:snapToGrid/>
        </w:rPr>
        <w:t>10</w:t>
      </w:r>
      <w:r>
        <w:rPr>
          <w:snapToGrid/>
        </w:rPr>
        <w:t>条</w:t>
      </w:r>
      <w:r>
        <w:rPr>
          <w:rFonts w:hint="eastAsia"/>
          <w:snapToGrid/>
        </w:rPr>
        <w:t>)</w:t>
      </w:r>
      <w:r>
        <w:rPr>
          <w:snapToGrid/>
        </w:rPr>
        <w:t>。</w:t>
      </w:r>
    </w:p>
    <w:p w:rsidR="00000000" w:rsidRDefault="00000000">
      <w:pPr>
        <w:ind w:firstLine="539"/>
        <w:rPr>
          <w:snapToGrid/>
        </w:rPr>
      </w:pPr>
      <w:r>
        <w:rPr>
          <w:snapToGrid/>
        </w:rPr>
        <w:t>138.</w:t>
      </w:r>
      <w:r>
        <w:rPr>
          <w:rFonts w:hint="eastAsia"/>
          <w:snapToGrid/>
        </w:rPr>
        <w:t xml:space="preserve">  </w:t>
      </w:r>
      <w:r>
        <w:rPr>
          <w:snapToGrid/>
        </w:rPr>
        <w:t>《教育法》第</w:t>
      </w:r>
      <w:r>
        <w:rPr>
          <w:snapToGrid/>
        </w:rPr>
        <w:t>6</w:t>
      </w:r>
      <w:r>
        <w:rPr>
          <w:snapToGrid/>
        </w:rPr>
        <w:t>条规定，保障每个人的教育权，没有任何诸如民族、性别、种族、年龄、血统和社会地位、政治见解和是否</w:t>
      </w:r>
      <w:r>
        <w:rPr>
          <w:rFonts w:hint="eastAsia"/>
          <w:snapToGrid/>
        </w:rPr>
        <w:t>有过</w:t>
      </w:r>
      <w:r>
        <w:rPr>
          <w:snapToGrid/>
        </w:rPr>
        <w:t>刑事前科</w:t>
      </w:r>
      <w:r>
        <w:rPr>
          <w:rFonts w:hint="eastAsia"/>
          <w:snapToGrid/>
        </w:rPr>
        <w:t>等</w:t>
      </w:r>
      <w:r>
        <w:rPr>
          <w:snapToGrid/>
        </w:rPr>
        <w:t>任何区别。</w:t>
      </w:r>
    </w:p>
    <w:p w:rsidR="00000000" w:rsidRDefault="00000000">
      <w:pPr>
        <w:ind w:firstLine="539"/>
        <w:rPr>
          <w:snapToGrid/>
        </w:rPr>
      </w:pPr>
      <w:r>
        <w:rPr>
          <w:snapToGrid/>
        </w:rPr>
        <w:t>139.</w:t>
      </w:r>
      <w:r>
        <w:rPr>
          <w:rFonts w:hint="eastAsia"/>
          <w:snapToGrid/>
        </w:rPr>
        <w:t xml:space="preserve">  </w:t>
      </w:r>
      <w:r>
        <w:rPr>
          <w:snapToGrid/>
        </w:rPr>
        <w:t>国家通过《宪法》第</w:t>
      </w:r>
      <w:r>
        <w:rPr>
          <w:snapToGrid/>
        </w:rPr>
        <w:t>19</w:t>
      </w:r>
      <w:r>
        <w:rPr>
          <w:snapToGrid/>
        </w:rPr>
        <w:t>条承诺确保男女的平等权利以及外籍人和无国籍者的权利平等。</w:t>
      </w:r>
    </w:p>
    <w:p w:rsidR="00000000" w:rsidRDefault="00000000">
      <w:pPr>
        <w:ind w:firstLine="539"/>
        <w:rPr>
          <w:snapToGrid/>
        </w:rPr>
      </w:pPr>
      <w:r>
        <w:rPr>
          <w:rFonts w:hint="eastAsia"/>
          <w:snapToGrid/>
        </w:rPr>
        <w:t>1</w:t>
      </w:r>
      <w:r>
        <w:rPr>
          <w:snapToGrid/>
        </w:rPr>
        <w:t>4</w:t>
      </w:r>
      <w:r>
        <w:rPr>
          <w:rFonts w:hint="eastAsia"/>
          <w:snapToGrid/>
        </w:rPr>
        <w:t xml:space="preserve">0.  </w:t>
      </w:r>
      <w:r>
        <w:rPr>
          <w:snapToGrid/>
        </w:rPr>
        <w:t>摩尔多瓦共和国的立法制度规定男女在法律诉讼中的平等权利。根据所有公民在法律面前平等的原则，</w:t>
      </w:r>
      <w:r>
        <w:rPr>
          <w:rFonts w:hint="eastAsia"/>
          <w:snapToGrid/>
        </w:rPr>
        <w:t>使</w:t>
      </w:r>
      <w:r>
        <w:rPr>
          <w:snapToGrid/>
        </w:rPr>
        <w:t>正义</w:t>
      </w:r>
      <w:r>
        <w:rPr>
          <w:rFonts w:hint="eastAsia"/>
          <w:snapToGrid/>
        </w:rPr>
        <w:t>得到</w:t>
      </w:r>
      <w:r>
        <w:rPr>
          <w:snapToGrid/>
        </w:rPr>
        <w:t>伸张</w:t>
      </w:r>
      <w:r>
        <w:rPr>
          <w:rFonts w:hint="eastAsia"/>
          <w:snapToGrid/>
        </w:rPr>
        <w:t>，不区分</w:t>
      </w:r>
      <w:r>
        <w:rPr>
          <w:snapToGrid/>
        </w:rPr>
        <w:t>种族、民族、族裔血统、语言、宗教、性别、政治或其他见解、财产或社会出身以及其他情况</w:t>
      </w:r>
      <w:r>
        <w:rPr>
          <w:snapToGrid/>
        </w:rPr>
        <w:t>(</w:t>
      </w:r>
      <w:r>
        <w:rPr>
          <w:snapToGrid/>
        </w:rPr>
        <w:t>《民事诉讼法》第</w:t>
      </w:r>
      <w:r>
        <w:rPr>
          <w:snapToGrid/>
        </w:rPr>
        <w:t>6</w:t>
      </w:r>
      <w:r>
        <w:rPr>
          <w:snapToGrid/>
        </w:rPr>
        <w:t>条；《司法组织法》第</w:t>
      </w:r>
      <w:r>
        <w:rPr>
          <w:snapToGrid/>
        </w:rPr>
        <w:t>8</w:t>
      </w:r>
      <w:r>
        <w:rPr>
          <w:snapToGrid/>
        </w:rPr>
        <w:t>条</w:t>
      </w:r>
      <w:r>
        <w:rPr>
          <w:snapToGrid/>
        </w:rPr>
        <w:t>)</w:t>
      </w:r>
      <w:r>
        <w:rPr>
          <w:snapToGrid/>
        </w:rPr>
        <w:t>。</w:t>
      </w:r>
    </w:p>
    <w:p w:rsidR="00000000" w:rsidRDefault="00000000">
      <w:pPr>
        <w:ind w:firstLine="539"/>
        <w:rPr>
          <w:snapToGrid/>
        </w:rPr>
      </w:pPr>
      <w:r>
        <w:rPr>
          <w:snapToGrid/>
        </w:rPr>
        <w:t>141.</w:t>
      </w:r>
      <w:r>
        <w:rPr>
          <w:rFonts w:hint="eastAsia"/>
          <w:snapToGrid/>
        </w:rPr>
        <w:t xml:space="preserve">  </w:t>
      </w:r>
      <w:r>
        <w:rPr>
          <w:snapToGrid/>
        </w:rPr>
        <w:t>为了消除对妇女就业的歧视，摩尔多瓦共和国的《刑法》规定了对拒绝雇用或者解雇怀孕妇女或哺乳母亲的惩罚条例</w:t>
      </w:r>
      <w:r>
        <w:rPr>
          <w:snapToGrid/>
        </w:rPr>
        <w:t>(</w:t>
      </w:r>
      <w:r>
        <w:rPr>
          <w:snapToGrid/>
        </w:rPr>
        <w:t>第</w:t>
      </w:r>
      <w:r>
        <w:rPr>
          <w:snapToGrid/>
        </w:rPr>
        <w:t>140</w:t>
      </w:r>
      <w:r>
        <w:rPr>
          <w:snapToGrid/>
        </w:rPr>
        <w:t>条</w:t>
      </w:r>
      <w:r>
        <w:rPr>
          <w:snapToGrid/>
        </w:rPr>
        <w:t>)</w:t>
      </w:r>
      <w:r>
        <w:rPr>
          <w:snapToGrid/>
        </w:rPr>
        <w:t>。</w:t>
      </w:r>
    </w:p>
    <w:p w:rsidR="00000000" w:rsidRDefault="00000000">
      <w:pPr>
        <w:ind w:firstLine="539"/>
        <w:rPr>
          <w:snapToGrid/>
        </w:rPr>
      </w:pPr>
      <w:r>
        <w:rPr>
          <w:snapToGrid/>
        </w:rPr>
        <w:t>142.</w:t>
      </w:r>
      <w:r>
        <w:rPr>
          <w:rFonts w:hint="eastAsia"/>
          <w:snapToGrid/>
        </w:rPr>
        <w:t xml:space="preserve">  </w:t>
      </w:r>
      <w:r>
        <w:rPr>
          <w:snapToGrid/>
        </w:rPr>
        <w:t>《刑法》还规定</w:t>
      </w:r>
      <w:r>
        <w:rPr>
          <w:rFonts w:hint="eastAsia"/>
          <w:snapToGrid/>
        </w:rPr>
        <w:t>惩罚</w:t>
      </w:r>
      <w:r>
        <w:rPr>
          <w:snapToGrid/>
        </w:rPr>
        <w:t>基于民族或种族系</w:t>
      </w:r>
      <w:r>
        <w:rPr>
          <w:rFonts w:hint="eastAsia"/>
          <w:snapToGrid/>
        </w:rPr>
        <w:t>属，直接或间接地限制公民权利，或直接或间接地使公民取得优越地位的做法</w:t>
      </w:r>
      <w:r>
        <w:rPr>
          <w:snapToGrid/>
        </w:rPr>
        <w:t xml:space="preserve"> (</w:t>
      </w:r>
      <w:r>
        <w:rPr>
          <w:snapToGrid/>
        </w:rPr>
        <w:t>第</w:t>
      </w:r>
      <w:r>
        <w:rPr>
          <w:snapToGrid/>
        </w:rPr>
        <w:t>71</w:t>
      </w:r>
      <w:r>
        <w:rPr>
          <w:snapToGrid/>
        </w:rPr>
        <w:t>条</w:t>
      </w:r>
      <w:r>
        <w:rPr>
          <w:rFonts w:hint="eastAsia"/>
          <w:snapToGrid/>
        </w:rPr>
        <w:t>)</w:t>
      </w:r>
      <w:r>
        <w:rPr>
          <w:snapToGrid/>
        </w:rPr>
        <w:t>：</w:t>
      </w:r>
      <w:r>
        <w:rPr>
          <w:rFonts w:hint="eastAsia"/>
          <w:snapToGrid/>
        </w:rPr>
        <w:t>可判处</w:t>
      </w:r>
      <w:r>
        <w:rPr>
          <w:snapToGrid/>
        </w:rPr>
        <w:t>剥夺</w:t>
      </w:r>
      <w:r>
        <w:rPr>
          <w:rFonts w:hint="eastAsia"/>
          <w:snapToGrid/>
        </w:rPr>
        <w:t>高</w:t>
      </w:r>
      <w:r>
        <w:rPr>
          <w:snapToGrid/>
        </w:rPr>
        <w:t>达三年的自由，或者可处</w:t>
      </w:r>
      <w:r>
        <w:rPr>
          <w:rFonts w:hint="eastAsia"/>
          <w:snapToGrid/>
        </w:rPr>
        <w:t>于高</w:t>
      </w:r>
      <w:r>
        <w:rPr>
          <w:snapToGrid/>
        </w:rPr>
        <w:t>达最低工资</w:t>
      </w:r>
      <w:r>
        <w:rPr>
          <w:snapToGrid/>
        </w:rPr>
        <w:t>50</w:t>
      </w:r>
      <w:r>
        <w:rPr>
          <w:rFonts w:hint="eastAsia"/>
          <w:snapToGrid/>
        </w:rPr>
        <w:t>倍</w:t>
      </w:r>
      <w:r>
        <w:rPr>
          <w:snapToGrid/>
        </w:rPr>
        <w:t>罚款。对于</w:t>
      </w:r>
      <w:r>
        <w:rPr>
          <w:rFonts w:hint="eastAsia"/>
          <w:snapToGrid/>
        </w:rPr>
        <w:t>处于较高地</w:t>
      </w:r>
      <w:r>
        <w:rPr>
          <w:snapToGrid/>
        </w:rPr>
        <w:t>位的人以暴力、欺骗或威胁方式或犯下的上述这类行为，可剥夺高</w:t>
      </w:r>
      <w:r>
        <w:rPr>
          <w:rFonts w:hint="eastAsia"/>
          <w:snapToGrid/>
        </w:rPr>
        <w:t>达</w:t>
      </w:r>
      <w:r>
        <w:rPr>
          <w:snapToGrid/>
        </w:rPr>
        <w:t>五年的自由，或</w:t>
      </w:r>
      <w:r>
        <w:rPr>
          <w:rFonts w:hint="eastAsia"/>
          <w:snapToGrid/>
        </w:rPr>
        <w:t>处以</w:t>
      </w:r>
      <w:r>
        <w:rPr>
          <w:snapToGrid/>
        </w:rPr>
        <w:t>高达最低工资</w:t>
      </w:r>
      <w:r>
        <w:rPr>
          <w:rFonts w:hint="eastAsia"/>
          <w:snapToGrid/>
        </w:rPr>
        <w:t>80</w:t>
      </w:r>
      <w:r>
        <w:rPr>
          <w:rFonts w:hint="eastAsia"/>
          <w:snapToGrid/>
        </w:rPr>
        <w:t>倍</w:t>
      </w:r>
      <w:r>
        <w:rPr>
          <w:snapToGrid/>
        </w:rPr>
        <w:t>的罚款。若由某一</w:t>
      </w:r>
      <w:r>
        <w:rPr>
          <w:rFonts w:hint="eastAsia"/>
          <w:snapToGrid/>
        </w:rPr>
        <w:t>伙</w:t>
      </w:r>
      <w:r>
        <w:rPr>
          <w:snapToGrid/>
        </w:rPr>
        <w:t>人犯下以上所述的违法行为，或造成人的</w:t>
      </w:r>
      <w:r>
        <w:rPr>
          <w:rFonts w:hint="eastAsia"/>
          <w:snapToGrid/>
        </w:rPr>
        <w:t>生命</w:t>
      </w:r>
      <w:r>
        <w:rPr>
          <w:snapToGrid/>
        </w:rPr>
        <w:t>丧失，可剥夺高达十年的自由。</w:t>
      </w:r>
      <w:r>
        <w:rPr>
          <w:snapToGrid/>
        </w:rPr>
        <w:t>(</w:t>
      </w:r>
      <w:r>
        <w:rPr>
          <w:snapToGrid/>
        </w:rPr>
        <w:t>这些是</w:t>
      </w:r>
      <w:r>
        <w:rPr>
          <w:snapToGrid/>
        </w:rPr>
        <w:t>1993</w:t>
      </w:r>
      <w:r>
        <w:rPr>
          <w:snapToGrid/>
        </w:rPr>
        <w:t>年</w:t>
      </w:r>
      <w:r>
        <w:rPr>
          <w:snapToGrid/>
        </w:rPr>
        <w:t>2</w:t>
      </w:r>
      <w:r>
        <w:rPr>
          <w:snapToGrid/>
        </w:rPr>
        <w:t>月</w:t>
      </w:r>
      <w:r>
        <w:rPr>
          <w:snapToGrid/>
        </w:rPr>
        <w:t>23</w:t>
      </w:r>
      <w:r>
        <w:rPr>
          <w:snapToGrid/>
        </w:rPr>
        <w:t>日《议会法》对《刑法》做出的修订</w:t>
      </w:r>
      <w:r>
        <w:rPr>
          <w:snapToGrid/>
        </w:rPr>
        <w:t>)</w:t>
      </w:r>
    </w:p>
    <w:p w:rsidR="00000000" w:rsidRDefault="00000000">
      <w:pPr>
        <w:ind w:firstLine="539"/>
        <w:rPr>
          <w:snapToGrid/>
        </w:rPr>
      </w:pPr>
      <w:r>
        <w:rPr>
          <w:snapToGrid/>
        </w:rPr>
        <w:t>143.</w:t>
      </w:r>
      <w:r>
        <w:rPr>
          <w:rFonts w:hint="eastAsia"/>
          <w:snapToGrid/>
        </w:rPr>
        <w:t xml:space="preserve">  </w:t>
      </w:r>
      <w:r>
        <w:rPr>
          <w:snapToGrid/>
        </w:rPr>
        <w:t>立法法令还采取了在社会活动领域增强妇女地位的措施。根据《社会政治党派和组织法》第</w:t>
      </w:r>
      <w:r>
        <w:rPr>
          <w:snapToGrid/>
        </w:rPr>
        <w:t>9</w:t>
      </w:r>
      <w:r>
        <w:rPr>
          <w:snapToGrid/>
        </w:rPr>
        <w:t>条，这些组织应当</w:t>
      </w:r>
      <w:r>
        <w:rPr>
          <w:rFonts w:hint="eastAsia"/>
          <w:snapToGrid/>
        </w:rPr>
        <w:t>促</w:t>
      </w:r>
      <w:r>
        <w:rPr>
          <w:snapToGrid/>
        </w:rPr>
        <w:t>进男女</w:t>
      </w:r>
      <w:r>
        <w:rPr>
          <w:rFonts w:hint="eastAsia"/>
          <w:snapToGrid/>
        </w:rPr>
        <w:t>在</w:t>
      </w:r>
      <w:r>
        <w:rPr>
          <w:snapToGrid/>
        </w:rPr>
        <w:t>所有各级平等的原则。</w:t>
      </w:r>
    </w:p>
    <w:p w:rsidR="00000000" w:rsidRDefault="00000000">
      <w:pPr>
        <w:ind w:firstLine="539"/>
        <w:rPr>
          <w:rFonts w:hint="eastAsia"/>
          <w:snapToGrid/>
        </w:rPr>
      </w:pPr>
      <w:r>
        <w:rPr>
          <w:snapToGrid/>
        </w:rPr>
        <w:t>144.</w:t>
      </w:r>
      <w:r>
        <w:rPr>
          <w:rFonts w:hint="eastAsia"/>
          <w:snapToGrid/>
        </w:rPr>
        <w:t xml:space="preserve">  </w:t>
      </w:r>
      <w:r>
        <w:rPr>
          <w:snapToGrid/>
        </w:rPr>
        <w:t>在近</w:t>
      </w:r>
      <w:r>
        <w:rPr>
          <w:rFonts w:hint="eastAsia"/>
          <w:snapToGrid/>
        </w:rPr>
        <w:t>三至四</w:t>
      </w:r>
      <w:r>
        <w:rPr>
          <w:snapToGrid/>
        </w:rPr>
        <w:t>年期间，有关妇女权利和自由的国家立法目标是落实和实现性别平等和防止对妇女的歧视。为实现这一目标采取的一项重要步骤是，拟定了《改善妇女条件</w:t>
      </w:r>
      <w:r>
        <w:rPr>
          <w:rFonts w:hint="eastAsia"/>
          <w:snapToGrid/>
        </w:rPr>
        <w:t>和</w:t>
      </w:r>
      <w:r>
        <w:rPr>
          <w:snapToGrid/>
        </w:rPr>
        <w:t>增强妇女对社会贡献</w:t>
      </w:r>
      <w:r>
        <w:rPr>
          <w:rFonts w:hint="eastAsia"/>
          <w:snapToGrid/>
        </w:rPr>
        <w:t>的</w:t>
      </w:r>
      <w:r>
        <w:rPr>
          <w:snapToGrid/>
        </w:rPr>
        <w:t>基本行动议案》</w:t>
      </w:r>
      <w:r>
        <w:rPr>
          <w:snapToGrid/>
        </w:rPr>
        <w:t>(1998</w:t>
      </w:r>
      <w:r>
        <w:rPr>
          <w:snapToGrid/>
        </w:rPr>
        <w:t>年</w:t>
      </w:r>
      <w:r>
        <w:rPr>
          <w:snapToGrid/>
        </w:rPr>
        <w:t>1</w:t>
      </w:r>
      <w:r>
        <w:rPr>
          <w:snapToGrid/>
        </w:rPr>
        <w:t>月</w:t>
      </w:r>
      <w:r>
        <w:rPr>
          <w:snapToGrid/>
        </w:rPr>
        <w:t>15</w:t>
      </w:r>
      <w:r>
        <w:rPr>
          <w:snapToGrid/>
        </w:rPr>
        <w:t>日第</w:t>
      </w:r>
      <w:r>
        <w:rPr>
          <w:snapToGrid/>
        </w:rPr>
        <w:t>39</w:t>
      </w:r>
      <w:r>
        <w:rPr>
          <w:snapToGrid/>
        </w:rPr>
        <w:t>号政府决定</w:t>
      </w:r>
      <w:r>
        <w:rPr>
          <w:snapToGrid/>
        </w:rPr>
        <w:t>)</w:t>
      </w:r>
      <w:r>
        <w:rPr>
          <w:snapToGrid/>
        </w:rPr>
        <w:t>。这项议案的目标是</w:t>
      </w:r>
      <w:r>
        <w:rPr>
          <w:rFonts w:hint="eastAsia"/>
          <w:snapToGrid/>
        </w:rPr>
        <w:t>推行一项特殊的</w:t>
      </w:r>
      <w:r>
        <w:rPr>
          <w:snapToGrid/>
        </w:rPr>
        <w:t>政策，从而规定并保障男女</w:t>
      </w:r>
      <w:r>
        <w:rPr>
          <w:rFonts w:hint="eastAsia"/>
          <w:snapToGrid/>
        </w:rPr>
        <w:t>之间的</w:t>
      </w:r>
      <w:r>
        <w:rPr>
          <w:snapToGrid/>
        </w:rPr>
        <w:t>权利平等。在政府的主持下，设立了家庭和儿童社会保障</w:t>
      </w:r>
      <w:r>
        <w:rPr>
          <w:rFonts w:hint="eastAsia"/>
          <w:snapToGrid/>
        </w:rPr>
        <w:t>司，主管</w:t>
      </w:r>
      <w:r>
        <w:rPr>
          <w:snapToGrid/>
        </w:rPr>
        <w:t>保护和改善妇女社会地位的</w:t>
      </w:r>
      <w:r>
        <w:rPr>
          <w:rFonts w:hint="eastAsia"/>
          <w:snapToGrid/>
        </w:rPr>
        <w:t>事务。政府的另一项决定</w:t>
      </w:r>
      <w:r>
        <w:rPr>
          <w:snapToGrid/>
        </w:rPr>
        <w:t>(1999</w:t>
      </w:r>
      <w:r>
        <w:rPr>
          <w:snapToGrid/>
        </w:rPr>
        <w:t>年</w:t>
      </w:r>
      <w:r>
        <w:rPr>
          <w:snapToGrid/>
        </w:rPr>
        <w:t>2</w:t>
      </w:r>
      <w:r>
        <w:rPr>
          <w:snapToGrid/>
        </w:rPr>
        <w:t>月</w:t>
      </w:r>
      <w:r>
        <w:rPr>
          <w:rFonts w:hint="eastAsia"/>
          <w:snapToGrid/>
        </w:rPr>
        <w:t>2</w:t>
      </w:r>
      <w:r>
        <w:rPr>
          <w:snapToGrid/>
        </w:rPr>
        <w:t>日第</w:t>
      </w:r>
      <w:r>
        <w:rPr>
          <w:snapToGrid/>
        </w:rPr>
        <w:t>74</w:t>
      </w:r>
      <w:r>
        <w:rPr>
          <w:snapToGrid/>
        </w:rPr>
        <w:t>号</w:t>
      </w:r>
      <w:r>
        <w:rPr>
          <w:rFonts w:hint="eastAsia"/>
          <w:snapToGrid/>
        </w:rPr>
        <w:t>)</w:t>
      </w:r>
      <w:r>
        <w:rPr>
          <w:snapToGrid/>
        </w:rPr>
        <w:t>建立了</w:t>
      </w:r>
      <w:r>
        <w:rPr>
          <w:rFonts w:hint="eastAsia"/>
          <w:snapToGrid/>
        </w:rPr>
        <w:t>主管</w:t>
      </w:r>
      <w:r>
        <w:rPr>
          <w:snapToGrid/>
        </w:rPr>
        <w:t>妇女问题的政府委员会。该委员会的成员由政府各类机构的代表组成，</w:t>
      </w:r>
      <w:r>
        <w:rPr>
          <w:rFonts w:hint="eastAsia"/>
          <w:snapToGrid/>
        </w:rPr>
        <w:t>负责</w:t>
      </w:r>
      <w:r>
        <w:rPr>
          <w:snapToGrid/>
        </w:rPr>
        <w:t>协调各项决定并提出有关妇女地位问题的提议。</w:t>
      </w:r>
    </w:p>
    <w:p w:rsidR="00000000" w:rsidRDefault="00000000">
      <w:pPr>
        <w:ind w:firstLine="539"/>
        <w:rPr>
          <w:snapToGrid/>
        </w:rPr>
      </w:pPr>
      <w:r>
        <w:rPr>
          <w:snapToGrid/>
        </w:rPr>
        <w:t>145.</w:t>
      </w:r>
      <w:r>
        <w:rPr>
          <w:rFonts w:hint="eastAsia"/>
          <w:snapToGrid/>
        </w:rPr>
        <w:t xml:space="preserve">  </w:t>
      </w:r>
      <w:r>
        <w:rPr>
          <w:snapToGrid/>
        </w:rPr>
        <w:t>男女之间的实际平等并不是令人满意的现实。</w:t>
      </w:r>
      <w:r>
        <w:rPr>
          <w:snapToGrid/>
        </w:rPr>
        <w:t>1999</w:t>
      </w:r>
      <w:r>
        <w:rPr>
          <w:snapToGrid/>
        </w:rPr>
        <w:t>年期间，向摩尔多瓦人权中心提出的申诉总数中</w:t>
      </w:r>
      <w:r>
        <w:rPr>
          <w:rFonts w:hint="eastAsia"/>
          <w:snapToGrid/>
        </w:rPr>
        <w:t>，约</w:t>
      </w:r>
      <w:r>
        <w:rPr>
          <w:snapToGrid/>
        </w:rPr>
        <w:t>39%</w:t>
      </w:r>
      <w:r>
        <w:rPr>
          <w:snapToGrid/>
        </w:rPr>
        <w:t>是妇女提出的许多</w:t>
      </w:r>
      <w:r>
        <w:rPr>
          <w:rFonts w:hint="eastAsia"/>
          <w:snapToGrid/>
        </w:rPr>
        <w:t>关于行使</w:t>
      </w:r>
      <w:r>
        <w:rPr>
          <w:snapToGrid/>
        </w:rPr>
        <w:t>妇女权利和自由问题</w:t>
      </w:r>
      <w:r>
        <w:rPr>
          <w:rFonts w:hint="eastAsia"/>
          <w:snapToGrid/>
        </w:rPr>
        <w:t>的申诉</w:t>
      </w:r>
      <w:r>
        <w:rPr>
          <w:snapToGrid/>
        </w:rPr>
        <w:t>；</w:t>
      </w:r>
      <w:r>
        <w:rPr>
          <w:snapToGrid/>
        </w:rPr>
        <w:t>80%</w:t>
      </w:r>
      <w:r>
        <w:rPr>
          <w:rFonts w:hint="eastAsia"/>
          <w:snapToGrid/>
        </w:rPr>
        <w:t>是</w:t>
      </w:r>
      <w:r>
        <w:rPr>
          <w:snapToGrid/>
        </w:rPr>
        <w:t>与经济和社会权利直接相关</w:t>
      </w:r>
      <w:r>
        <w:rPr>
          <w:rFonts w:hint="eastAsia"/>
          <w:snapToGrid/>
        </w:rPr>
        <w:t>的</w:t>
      </w:r>
      <w:r>
        <w:rPr>
          <w:snapToGrid/>
        </w:rPr>
        <w:t>问题。</w:t>
      </w:r>
    </w:p>
    <w:p w:rsidR="00000000" w:rsidRDefault="00000000">
      <w:pPr>
        <w:ind w:firstLine="539"/>
        <w:rPr>
          <w:rFonts w:hint="eastAsia"/>
          <w:snapToGrid/>
        </w:rPr>
      </w:pPr>
      <w:r>
        <w:rPr>
          <w:snapToGrid/>
        </w:rPr>
        <w:t>146.</w:t>
      </w:r>
      <w:r>
        <w:rPr>
          <w:rFonts w:hint="eastAsia"/>
          <w:snapToGrid/>
        </w:rPr>
        <w:t xml:space="preserve">  </w:t>
      </w:r>
      <w:r>
        <w:rPr>
          <w:snapToGrid/>
        </w:rPr>
        <w:t>摩尔多瓦共和国的妇女情况在极大程度上取决于向市场经济的转型。长期的经济衰退，生活水准骤然下降</w:t>
      </w:r>
      <w:r>
        <w:rPr>
          <w:rFonts w:hint="eastAsia"/>
          <w:snapToGrid/>
        </w:rPr>
        <w:t>，</w:t>
      </w:r>
      <w:r>
        <w:rPr>
          <w:snapToGrid/>
        </w:rPr>
        <w:t>加剧</w:t>
      </w:r>
      <w:r>
        <w:rPr>
          <w:rFonts w:hint="eastAsia"/>
          <w:snapToGrid/>
        </w:rPr>
        <w:t>情况</w:t>
      </w:r>
      <w:r>
        <w:rPr>
          <w:snapToGrid/>
        </w:rPr>
        <w:t>的恶化，对</w:t>
      </w:r>
      <w:r>
        <w:rPr>
          <w:rFonts w:hint="eastAsia"/>
          <w:snapToGrid/>
        </w:rPr>
        <w:t>在</w:t>
      </w:r>
      <w:r>
        <w:rPr>
          <w:snapToGrid/>
        </w:rPr>
        <w:t>社会中妇女的</w:t>
      </w:r>
      <w:r>
        <w:rPr>
          <w:rFonts w:hint="eastAsia"/>
          <w:snapToGrid/>
        </w:rPr>
        <w:t>情况产生</w:t>
      </w:r>
      <w:r>
        <w:rPr>
          <w:snapToGrid/>
        </w:rPr>
        <w:t>了巨大影响。妇女占全国人口</w:t>
      </w:r>
      <w:r>
        <w:rPr>
          <w:snapToGrid/>
        </w:rPr>
        <w:t>52%</w:t>
      </w:r>
      <w:r>
        <w:rPr>
          <w:snapToGrid/>
        </w:rPr>
        <w:t>，占劳动力的</w:t>
      </w:r>
      <w:r>
        <w:rPr>
          <w:snapToGrid/>
        </w:rPr>
        <w:t>51%</w:t>
      </w:r>
      <w:r>
        <w:rPr>
          <w:snapToGrid/>
        </w:rPr>
        <w:t>，并</w:t>
      </w:r>
      <w:r>
        <w:rPr>
          <w:rFonts w:hint="eastAsia"/>
          <w:snapToGrid/>
        </w:rPr>
        <w:t>创造</w:t>
      </w:r>
      <w:r>
        <w:rPr>
          <w:snapToGrid/>
        </w:rPr>
        <w:t>全国收入的</w:t>
      </w:r>
      <w:r>
        <w:rPr>
          <w:snapToGrid/>
        </w:rPr>
        <w:t>50%</w:t>
      </w:r>
      <w:r>
        <w:rPr>
          <w:snapToGrid/>
        </w:rPr>
        <w:t>，</w:t>
      </w:r>
      <w:r>
        <w:rPr>
          <w:rFonts w:hint="eastAsia"/>
          <w:snapToGrid/>
        </w:rPr>
        <w:t>然而，</w:t>
      </w:r>
      <w:r>
        <w:rPr>
          <w:snapToGrid/>
        </w:rPr>
        <w:t>在议会中仅占</w:t>
      </w:r>
      <w:r>
        <w:rPr>
          <w:snapToGrid/>
        </w:rPr>
        <w:t>9%</w:t>
      </w:r>
      <w:r>
        <w:rPr>
          <w:snapToGrid/>
        </w:rPr>
        <w:t>的比例。在摩尔多瓦共和国领导阶层中妇女的比例不足。</w:t>
      </w:r>
    </w:p>
    <w:p w:rsidR="00000000" w:rsidRDefault="00000000">
      <w:pPr>
        <w:ind w:firstLine="539"/>
        <w:rPr>
          <w:snapToGrid/>
        </w:rPr>
      </w:pPr>
      <w:r>
        <w:rPr>
          <w:snapToGrid/>
        </w:rPr>
        <w:t>147.</w:t>
      </w:r>
      <w:r>
        <w:rPr>
          <w:rFonts w:hint="eastAsia"/>
          <w:snapToGrid/>
        </w:rPr>
        <w:t xml:space="preserve">  </w:t>
      </w:r>
      <w:r>
        <w:rPr>
          <w:snapToGrid/>
        </w:rPr>
        <w:t>根据现有的最新统计数据，就业妇女的数量</w:t>
      </w:r>
      <w:r>
        <w:rPr>
          <w:rFonts w:hint="eastAsia"/>
          <w:snapToGrid/>
        </w:rPr>
        <w:t>比</w:t>
      </w:r>
      <w:r>
        <w:rPr>
          <w:snapToGrid/>
        </w:rPr>
        <w:t>男性</w:t>
      </w:r>
      <w:r>
        <w:rPr>
          <w:rFonts w:hint="eastAsia"/>
          <w:snapToGrid/>
        </w:rPr>
        <w:t>多</w:t>
      </w:r>
      <w:r>
        <w:rPr>
          <w:snapToGrid/>
        </w:rPr>
        <w:t>，然而，在商业领域妇女仅占</w:t>
      </w:r>
      <w:r>
        <w:rPr>
          <w:rFonts w:hint="eastAsia"/>
          <w:snapToGrid/>
        </w:rPr>
        <w:t>约</w:t>
      </w:r>
      <w:r>
        <w:rPr>
          <w:snapToGrid/>
        </w:rPr>
        <w:t>5%</w:t>
      </w:r>
      <w:r>
        <w:rPr>
          <w:snapToGrid/>
        </w:rPr>
        <w:t>。在经商妇女中，约有</w:t>
      </w:r>
      <w:r>
        <w:rPr>
          <w:snapToGrid/>
        </w:rPr>
        <w:t>2%</w:t>
      </w:r>
      <w:r>
        <w:rPr>
          <w:snapToGrid/>
        </w:rPr>
        <w:t>主持大型企业，</w:t>
      </w:r>
      <w:r>
        <w:rPr>
          <w:snapToGrid/>
        </w:rPr>
        <w:t>10%</w:t>
      </w:r>
      <w:r>
        <w:rPr>
          <w:snapToGrid/>
        </w:rPr>
        <w:t>掌管中型企业，</w:t>
      </w:r>
      <w:r>
        <w:rPr>
          <w:snapToGrid/>
        </w:rPr>
        <w:t>40%</w:t>
      </w:r>
      <w:r>
        <w:rPr>
          <w:snapToGrid/>
        </w:rPr>
        <w:t>负责小型企业，和</w:t>
      </w:r>
      <w:r>
        <w:rPr>
          <w:snapToGrid/>
        </w:rPr>
        <w:t>45%</w:t>
      </w:r>
      <w:r>
        <w:rPr>
          <w:rFonts w:hint="eastAsia"/>
          <w:snapToGrid/>
        </w:rPr>
        <w:t>经管</w:t>
      </w:r>
      <w:r>
        <w:rPr>
          <w:snapToGrid/>
        </w:rPr>
        <w:t>微型企业。妇女的薪金约为男性工资的</w:t>
      </w:r>
      <w:r>
        <w:rPr>
          <w:snapToGrid/>
        </w:rPr>
        <w:t>70</w:t>
      </w:r>
      <w:r>
        <w:rPr>
          <w:snapToGrid/>
        </w:rPr>
        <w:t>至</w:t>
      </w:r>
      <w:r>
        <w:rPr>
          <w:snapToGrid/>
        </w:rPr>
        <w:t>80%</w:t>
      </w:r>
      <w:r>
        <w:rPr>
          <w:snapToGrid/>
        </w:rPr>
        <w:t>。</w:t>
      </w:r>
    </w:p>
    <w:p w:rsidR="00000000" w:rsidRDefault="00000000">
      <w:pPr>
        <w:ind w:firstLine="539"/>
        <w:rPr>
          <w:snapToGrid/>
        </w:rPr>
      </w:pPr>
      <w:r>
        <w:rPr>
          <w:snapToGrid/>
        </w:rPr>
        <w:t>148.</w:t>
      </w:r>
      <w:r>
        <w:rPr>
          <w:rFonts w:hint="eastAsia"/>
          <w:snapToGrid/>
        </w:rPr>
        <w:t xml:space="preserve">  </w:t>
      </w:r>
      <w:r>
        <w:rPr>
          <w:snapToGrid/>
        </w:rPr>
        <w:t>妇女的失业比例极高。由于经济单位管理层推行的</w:t>
      </w:r>
      <w:r>
        <w:rPr>
          <w:rFonts w:hint="eastAsia"/>
          <w:snapToGrid/>
        </w:rPr>
        <w:t>不带</w:t>
      </w:r>
      <w:r>
        <w:rPr>
          <w:snapToGrid/>
        </w:rPr>
        <w:t>薪金休假、临时工作或部分工作</w:t>
      </w:r>
      <w:r>
        <w:rPr>
          <w:rFonts w:hint="eastAsia"/>
          <w:snapToGrid/>
        </w:rPr>
        <w:t>日</w:t>
      </w:r>
      <w:r>
        <w:rPr>
          <w:snapToGrid/>
        </w:rPr>
        <w:t>制，是增加妇女失业比例的因素。</w:t>
      </w:r>
    </w:p>
    <w:p w:rsidR="00000000" w:rsidRDefault="00000000">
      <w:pPr>
        <w:ind w:firstLine="539"/>
        <w:rPr>
          <w:snapToGrid/>
        </w:rPr>
      </w:pPr>
      <w:r>
        <w:rPr>
          <w:snapToGrid/>
        </w:rPr>
        <w:t>149.</w:t>
      </w:r>
      <w:r>
        <w:rPr>
          <w:rFonts w:hint="eastAsia"/>
          <w:snapToGrid/>
        </w:rPr>
        <w:t xml:space="preserve">  </w:t>
      </w:r>
      <w:r>
        <w:rPr>
          <w:snapToGrid/>
        </w:rPr>
        <w:t>由于</w:t>
      </w:r>
      <w:r>
        <w:rPr>
          <w:rFonts w:hint="eastAsia"/>
          <w:snapToGrid/>
        </w:rPr>
        <w:t>低</w:t>
      </w:r>
      <w:r>
        <w:rPr>
          <w:snapToGrid/>
        </w:rPr>
        <w:t>工资和儿童照</w:t>
      </w:r>
      <w:r>
        <w:rPr>
          <w:rFonts w:hint="eastAsia"/>
          <w:snapToGrid/>
        </w:rPr>
        <w:t>顾</w:t>
      </w:r>
      <w:r>
        <w:rPr>
          <w:snapToGrid/>
        </w:rPr>
        <w:t>补贴低，许多家庭无法行使</w:t>
      </w:r>
      <w:r>
        <w:rPr>
          <w:rFonts w:hint="eastAsia"/>
          <w:snapToGrid/>
        </w:rPr>
        <w:t>做父母亲的权利</w:t>
      </w:r>
      <w:r>
        <w:rPr>
          <w:snapToGrid/>
        </w:rPr>
        <w:t>，导致了低生育率。由于国内市场没有足够的职业，妇女被迫流向国外，寻找她们可找到的工作，沦为</w:t>
      </w:r>
      <w:r>
        <w:rPr>
          <w:rFonts w:hint="eastAsia"/>
          <w:snapToGrid/>
        </w:rPr>
        <w:t>贩卖</w:t>
      </w:r>
      <w:r>
        <w:rPr>
          <w:snapToGrid/>
        </w:rPr>
        <w:t>人口</w:t>
      </w:r>
      <w:r>
        <w:rPr>
          <w:rFonts w:hint="eastAsia"/>
          <w:snapToGrid/>
        </w:rPr>
        <w:t>行为</w:t>
      </w:r>
      <w:r>
        <w:rPr>
          <w:snapToGrid/>
        </w:rPr>
        <w:t>的受害者。在</w:t>
      </w:r>
      <w:r>
        <w:rPr>
          <w:snapToGrid/>
        </w:rPr>
        <w:t>1998</w:t>
      </w:r>
      <w:r>
        <w:rPr>
          <w:snapToGrid/>
        </w:rPr>
        <w:t>至</w:t>
      </w:r>
      <w:r>
        <w:rPr>
          <w:snapToGrid/>
        </w:rPr>
        <w:t>2000</w:t>
      </w:r>
      <w:r>
        <w:rPr>
          <w:snapToGrid/>
        </w:rPr>
        <w:t>年期间人口贩运</w:t>
      </w:r>
      <w:r>
        <w:rPr>
          <w:rFonts w:hint="eastAsia"/>
          <w:snapToGrid/>
        </w:rPr>
        <w:t>规模</w:t>
      </w:r>
      <w:r>
        <w:rPr>
          <w:snapToGrid/>
        </w:rPr>
        <w:t>相当大，促使国家采取了</w:t>
      </w:r>
      <w:r>
        <w:rPr>
          <w:rFonts w:hint="eastAsia"/>
          <w:snapToGrid/>
        </w:rPr>
        <w:t>遏制</w:t>
      </w:r>
      <w:r>
        <w:rPr>
          <w:snapToGrid/>
        </w:rPr>
        <w:t>行动。《刑法》规定，若将儿童非法偷渡出国，以及在境外遗弃被贩运的儿童，可剥夺</w:t>
      </w:r>
      <w:r>
        <w:rPr>
          <w:rFonts w:hint="eastAsia"/>
          <w:snapToGrid/>
        </w:rPr>
        <w:t>5</w:t>
      </w:r>
      <w:r>
        <w:rPr>
          <w:snapToGrid/>
        </w:rPr>
        <w:t>至</w:t>
      </w:r>
      <w:r>
        <w:rPr>
          <w:snapToGrid/>
        </w:rPr>
        <w:t>12</w:t>
      </w:r>
      <w:r>
        <w:rPr>
          <w:snapToGrid/>
        </w:rPr>
        <w:t>年的自由</w:t>
      </w:r>
      <w:r>
        <w:rPr>
          <w:snapToGrid/>
        </w:rPr>
        <w:t>(</w:t>
      </w:r>
      <w:r>
        <w:rPr>
          <w:snapToGrid/>
        </w:rPr>
        <w:t>第</w:t>
      </w:r>
      <w:r>
        <w:rPr>
          <w:snapToGrid/>
        </w:rPr>
        <w:t>112</w:t>
      </w:r>
      <w:r>
        <w:rPr>
          <w:snapToGrid/>
        </w:rPr>
        <w:t>条第</w:t>
      </w:r>
      <w:r>
        <w:rPr>
          <w:rFonts w:hint="eastAsia"/>
          <w:snapToGrid/>
        </w:rPr>
        <w:t>3</w:t>
      </w:r>
      <w:r>
        <w:rPr>
          <w:snapToGrid/>
        </w:rPr>
        <w:t>款</w:t>
      </w:r>
      <w:r>
        <w:rPr>
          <w:snapToGrid/>
        </w:rPr>
        <w:t>)</w:t>
      </w:r>
      <w:r>
        <w:rPr>
          <w:rFonts w:hint="eastAsia"/>
          <w:snapToGrid/>
        </w:rPr>
        <w:t>(</w:t>
      </w:r>
      <w:r>
        <w:rPr>
          <w:snapToGrid/>
        </w:rPr>
        <w:t>1996</w:t>
      </w:r>
      <w:r>
        <w:rPr>
          <w:snapToGrid/>
        </w:rPr>
        <w:t>年</w:t>
      </w:r>
      <w:r>
        <w:rPr>
          <w:snapToGrid/>
        </w:rPr>
        <w:t>2</w:t>
      </w:r>
      <w:r>
        <w:rPr>
          <w:snapToGrid/>
        </w:rPr>
        <w:t>月</w:t>
      </w:r>
      <w:r>
        <w:rPr>
          <w:snapToGrid/>
        </w:rPr>
        <w:t>6</w:t>
      </w:r>
      <w:r>
        <w:rPr>
          <w:rFonts w:hint="eastAsia"/>
          <w:snapToGrid/>
        </w:rPr>
        <w:t>日</w:t>
      </w:r>
      <w:r>
        <w:rPr>
          <w:snapToGrid/>
        </w:rPr>
        <w:t>议会法律</w:t>
      </w:r>
      <w:r>
        <w:rPr>
          <w:rFonts w:hint="eastAsia"/>
          <w:snapToGrid/>
        </w:rPr>
        <w:t>相应</w:t>
      </w:r>
      <w:r>
        <w:rPr>
          <w:snapToGrid/>
        </w:rPr>
        <w:t>做出修订</w:t>
      </w:r>
      <w:r>
        <w:rPr>
          <w:snapToGrid/>
        </w:rPr>
        <w:t>)</w:t>
      </w:r>
      <w:r>
        <w:rPr>
          <w:snapToGrid/>
        </w:rPr>
        <w:t>。议会中提出了对</w:t>
      </w:r>
      <w:r>
        <w:rPr>
          <w:snapToGrid/>
        </w:rPr>
        <w:t>1991</w:t>
      </w:r>
      <w:r>
        <w:rPr>
          <w:snapToGrid/>
        </w:rPr>
        <w:t>年</w:t>
      </w:r>
      <w:r>
        <w:rPr>
          <w:snapToGrid/>
        </w:rPr>
        <w:t>3</w:t>
      </w:r>
      <w:r>
        <w:rPr>
          <w:snapToGrid/>
        </w:rPr>
        <w:t>月</w:t>
      </w:r>
      <w:r>
        <w:rPr>
          <w:snapToGrid/>
        </w:rPr>
        <w:t>26</w:t>
      </w:r>
      <w:r>
        <w:rPr>
          <w:snapToGrid/>
        </w:rPr>
        <w:t>日《刑法》进行修订的议案</w:t>
      </w:r>
      <w:r>
        <w:rPr>
          <w:snapToGrid/>
        </w:rPr>
        <w:t>(</w:t>
      </w:r>
      <w:r>
        <w:rPr>
          <w:snapToGrid/>
        </w:rPr>
        <w:t>直至通过新的《刑法》</w:t>
      </w:r>
      <w:r>
        <w:rPr>
          <w:rFonts w:hint="eastAsia"/>
          <w:snapToGrid/>
        </w:rPr>
        <w:t>)</w:t>
      </w:r>
      <w:r>
        <w:rPr>
          <w:snapToGrid/>
        </w:rPr>
        <w:t>。</w:t>
      </w:r>
      <w:r>
        <w:rPr>
          <w:rFonts w:hint="eastAsia"/>
          <w:snapToGrid/>
        </w:rPr>
        <w:t>议案</w:t>
      </w:r>
      <w:r>
        <w:rPr>
          <w:snapToGrid/>
        </w:rPr>
        <w:t>载有一项明确的条款</w:t>
      </w:r>
      <w:r>
        <w:rPr>
          <w:snapToGrid/>
        </w:rPr>
        <w:t>(</w:t>
      </w:r>
      <w:r>
        <w:rPr>
          <w:snapToGrid/>
        </w:rPr>
        <w:t>第</w:t>
      </w:r>
      <w:r>
        <w:rPr>
          <w:snapToGrid/>
        </w:rPr>
        <w:t>10</w:t>
      </w:r>
      <w:r>
        <w:rPr>
          <w:rFonts w:hint="eastAsia"/>
          <w:snapToGrid/>
        </w:rPr>
        <w:t>5</w:t>
      </w:r>
      <w:r>
        <w:rPr>
          <w:snapToGrid/>
        </w:rPr>
        <w:t>条第</w:t>
      </w:r>
      <w:r>
        <w:rPr>
          <w:rFonts w:hint="eastAsia"/>
          <w:snapToGrid/>
        </w:rPr>
        <w:t>3</w:t>
      </w:r>
      <w:r>
        <w:rPr>
          <w:snapToGrid/>
        </w:rPr>
        <w:t>款</w:t>
      </w:r>
      <w:r>
        <w:rPr>
          <w:snapToGrid/>
        </w:rPr>
        <w:t>)</w:t>
      </w:r>
      <w:r>
        <w:rPr>
          <w:rFonts w:hint="eastAsia"/>
          <w:snapToGrid/>
        </w:rPr>
        <w:t>“</w:t>
      </w:r>
      <w:r>
        <w:rPr>
          <w:snapToGrid/>
        </w:rPr>
        <w:t>非法贩卖人口</w:t>
      </w:r>
      <w:r>
        <w:rPr>
          <w:rFonts w:hint="eastAsia"/>
          <w:snapToGrid/>
        </w:rPr>
        <w:t>”</w:t>
      </w:r>
      <w:r>
        <w:rPr>
          <w:snapToGrid/>
        </w:rPr>
        <w:t>阐明：</w:t>
      </w:r>
      <w:r>
        <w:rPr>
          <w:rFonts w:hint="eastAsia"/>
          <w:snapToGrid/>
        </w:rPr>
        <w:t>“</w:t>
      </w:r>
      <w:r>
        <w:rPr>
          <w:snapToGrid/>
        </w:rPr>
        <w:t>招收人员在得到或未得到他们同意的情况下，</w:t>
      </w:r>
      <w:r>
        <w:rPr>
          <w:rFonts w:hint="eastAsia"/>
          <w:snapToGrid/>
        </w:rPr>
        <w:t>将</w:t>
      </w:r>
      <w:r>
        <w:rPr>
          <w:snapToGrid/>
        </w:rPr>
        <w:t>他们贩运出国，不论是蓄意</w:t>
      </w:r>
      <w:r>
        <w:rPr>
          <w:rFonts w:hint="eastAsia"/>
          <w:snapToGrid/>
        </w:rPr>
        <w:t>，还是无</w:t>
      </w:r>
      <w:r>
        <w:rPr>
          <w:snapToGrid/>
        </w:rPr>
        <w:t>意贩卖</w:t>
      </w:r>
      <w:r>
        <w:rPr>
          <w:rFonts w:hint="eastAsia"/>
          <w:snapToGrid/>
        </w:rPr>
        <w:t>的</w:t>
      </w:r>
      <w:r>
        <w:rPr>
          <w:snapToGrid/>
        </w:rPr>
        <w:t>进一步目的或以其他方式转交给第三方从事性剥削、色情行业、奴役、武装冲突、剥削其劳动力，或者按照任何其他方式</w:t>
      </w:r>
      <w:r>
        <w:rPr>
          <w:rFonts w:hint="eastAsia"/>
          <w:snapToGrid/>
        </w:rPr>
        <w:t>为</w:t>
      </w:r>
      <w:r>
        <w:rPr>
          <w:snapToGrid/>
        </w:rPr>
        <w:t>某</w:t>
      </w:r>
      <w:r>
        <w:rPr>
          <w:rFonts w:hint="eastAsia"/>
          <w:snapToGrid/>
        </w:rPr>
        <w:t>人所</w:t>
      </w:r>
      <w:r>
        <w:rPr>
          <w:snapToGrid/>
        </w:rPr>
        <w:t>奴役</w:t>
      </w:r>
      <w:r>
        <w:rPr>
          <w:rFonts w:hint="eastAsia"/>
          <w:snapToGrid/>
        </w:rPr>
        <w:t>”都可</w:t>
      </w:r>
      <w:r>
        <w:rPr>
          <w:snapToGrid/>
        </w:rPr>
        <w:t>判处剥夺</w:t>
      </w:r>
      <w:r>
        <w:rPr>
          <w:rFonts w:hint="eastAsia"/>
          <w:snapToGrid/>
        </w:rPr>
        <w:t>为</w:t>
      </w:r>
      <w:r>
        <w:rPr>
          <w:snapToGrid/>
        </w:rPr>
        <w:t>期</w:t>
      </w:r>
      <w:r>
        <w:rPr>
          <w:rFonts w:hint="eastAsia"/>
          <w:snapToGrid/>
        </w:rPr>
        <w:t>3</w:t>
      </w:r>
      <w:r>
        <w:rPr>
          <w:snapToGrid/>
        </w:rPr>
        <w:t>至</w:t>
      </w:r>
      <w:r>
        <w:rPr>
          <w:rFonts w:hint="eastAsia"/>
          <w:snapToGrid/>
        </w:rPr>
        <w:t>7</w:t>
      </w:r>
      <w:r>
        <w:rPr>
          <w:snapToGrid/>
        </w:rPr>
        <w:t>年的自由，或者</w:t>
      </w:r>
      <w:r>
        <w:rPr>
          <w:rFonts w:hint="eastAsia"/>
          <w:snapToGrid/>
        </w:rPr>
        <w:t>按</w:t>
      </w:r>
      <w:r>
        <w:rPr>
          <w:snapToGrid/>
        </w:rPr>
        <w:t>最低的工资</w:t>
      </w:r>
      <w:r>
        <w:rPr>
          <w:rFonts w:hint="eastAsia"/>
          <w:snapToGrid/>
        </w:rPr>
        <w:t>额</w:t>
      </w:r>
      <w:r>
        <w:rPr>
          <w:snapToGrid/>
        </w:rPr>
        <w:t>处</w:t>
      </w:r>
      <w:r>
        <w:rPr>
          <w:rFonts w:hint="eastAsia"/>
          <w:snapToGrid/>
        </w:rPr>
        <w:t>以</w:t>
      </w:r>
      <w:r>
        <w:rPr>
          <w:snapToGrid/>
        </w:rPr>
        <w:t>1,500</w:t>
      </w:r>
      <w:r>
        <w:rPr>
          <w:snapToGrid/>
        </w:rPr>
        <w:t>至</w:t>
      </w:r>
      <w:r>
        <w:rPr>
          <w:snapToGrid/>
        </w:rPr>
        <w:t>3,000</w:t>
      </w:r>
      <w:r>
        <w:rPr>
          <w:rFonts w:hint="eastAsia"/>
          <w:snapToGrid/>
        </w:rPr>
        <w:t>倍最低工资的</w:t>
      </w:r>
      <w:r>
        <w:rPr>
          <w:snapToGrid/>
        </w:rPr>
        <w:t>罚款。若对某一未成年人犯有上述同样的罪行，或者持续不断地犯罪，或者按与</w:t>
      </w:r>
      <w:r>
        <w:rPr>
          <w:rFonts w:hint="eastAsia"/>
          <w:snapToGrid/>
        </w:rPr>
        <w:t>一伙</w:t>
      </w:r>
      <w:r>
        <w:rPr>
          <w:snapToGrid/>
        </w:rPr>
        <w:t>人事先达成</w:t>
      </w:r>
      <w:r>
        <w:rPr>
          <w:rFonts w:hint="eastAsia"/>
          <w:snapToGrid/>
        </w:rPr>
        <w:t>的</w:t>
      </w:r>
      <w:r>
        <w:rPr>
          <w:snapToGrid/>
        </w:rPr>
        <w:t>协议</w:t>
      </w:r>
      <w:r>
        <w:rPr>
          <w:rFonts w:hint="eastAsia"/>
          <w:snapToGrid/>
        </w:rPr>
        <w:t>犯罪</w:t>
      </w:r>
      <w:r>
        <w:rPr>
          <w:snapToGrid/>
        </w:rPr>
        <w:t>，或受害者的</w:t>
      </w:r>
      <w:r>
        <w:rPr>
          <w:rFonts w:hint="eastAsia"/>
          <w:snapToGrid/>
        </w:rPr>
        <w:t>监护人</w:t>
      </w:r>
      <w:r>
        <w:rPr>
          <w:snapToGrid/>
        </w:rPr>
        <w:t>犯有</w:t>
      </w:r>
      <w:r>
        <w:rPr>
          <w:rFonts w:hint="eastAsia"/>
          <w:snapToGrid/>
        </w:rPr>
        <w:t>此</w:t>
      </w:r>
      <w:r>
        <w:rPr>
          <w:snapToGrid/>
        </w:rPr>
        <w:t>罪行，可判处剥夺</w:t>
      </w:r>
      <w:r>
        <w:rPr>
          <w:snapToGrid/>
        </w:rPr>
        <w:t>5</w:t>
      </w:r>
      <w:r>
        <w:rPr>
          <w:snapToGrid/>
        </w:rPr>
        <w:t>至</w:t>
      </w:r>
      <w:r>
        <w:rPr>
          <w:snapToGrid/>
        </w:rPr>
        <w:t>10</w:t>
      </w:r>
      <w:r>
        <w:rPr>
          <w:snapToGrid/>
        </w:rPr>
        <w:t>年的自由。议会在对新《刑法》进行</w:t>
      </w:r>
      <w:r>
        <w:rPr>
          <w:rFonts w:hint="eastAsia"/>
          <w:snapToGrid/>
        </w:rPr>
        <w:t>二</w:t>
      </w:r>
      <w:r>
        <w:rPr>
          <w:snapToGrid/>
        </w:rPr>
        <w:t>读时，载</w:t>
      </w:r>
      <w:r>
        <w:rPr>
          <w:rFonts w:hint="eastAsia"/>
          <w:snapToGrid/>
        </w:rPr>
        <w:t>入</w:t>
      </w:r>
      <w:r>
        <w:rPr>
          <w:snapToGrid/>
        </w:rPr>
        <w:t>了同样的条款。</w:t>
      </w:r>
    </w:p>
    <w:p w:rsidR="00000000" w:rsidRDefault="00000000">
      <w:pPr>
        <w:ind w:firstLine="539"/>
        <w:rPr>
          <w:snapToGrid/>
        </w:rPr>
      </w:pPr>
      <w:r>
        <w:rPr>
          <w:snapToGrid/>
        </w:rPr>
        <w:t>150.</w:t>
      </w:r>
      <w:r>
        <w:rPr>
          <w:rFonts w:hint="eastAsia"/>
          <w:snapToGrid/>
        </w:rPr>
        <w:t xml:space="preserve">  </w:t>
      </w:r>
      <w:r>
        <w:rPr>
          <w:snapToGrid/>
        </w:rPr>
        <w:t>对于家庭内和社会中侵害妇女暴力现象，尤其是人身、经济、心理和性暴力侵害行为问题正在</w:t>
      </w:r>
      <w:r>
        <w:rPr>
          <w:rFonts w:hint="eastAsia"/>
          <w:snapToGrid/>
        </w:rPr>
        <w:t>开展</w:t>
      </w:r>
      <w:r>
        <w:rPr>
          <w:snapToGrid/>
        </w:rPr>
        <w:t>彻底的研究。这就是为何政府建议通过更多的法律</w:t>
      </w:r>
      <w:r>
        <w:rPr>
          <w:rFonts w:hint="eastAsia"/>
          <w:snapToGrid/>
        </w:rPr>
        <w:t>以</w:t>
      </w:r>
      <w:r>
        <w:rPr>
          <w:snapToGrid/>
        </w:rPr>
        <w:t>改善这种状况，从而防止这种现象的蔓延，并且将完善和修订这一领域的一系列规范法案。政府提出修订</w:t>
      </w:r>
      <w:r>
        <w:rPr>
          <w:snapToGrid/>
        </w:rPr>
        <w:t>1994</w:t>
      </w:r>
      <w:r>
        <w:rPr>
          <w:snapToGrid/>
        </w:rPr>
        <w:t>年</w:t>
      </w:r>
      <w:r>
        <w:rPr>
          <w:snapToGrid/>
        </w:rPr>
        <w:t>12</w:t>
      </w:r>
      <w:r>
        <w:rPr>
          <w:snapToGrid/>
        </w:rPr>
        <w:t>月</w:t>
      </w:r>
      <w:r>
        <w:rPr>
          <w:snapToGrid/>
        </w:rPr>
        <w:t>26</w:t>
      </w:r>
      <w:r>
        <w:rPr>
          <w:rFonts w:hint="eastAsia"/>
          <w:snapToGrid/>
        </w:rPr>
        <w:t>日</w:t>
      </w:r>
      <w:r>
        <w:rPr>
          <w:snapToGrid/>
        </w:rPr>
        <w:t>的《民事诉讼法》，增列一项完全针对家庭内暴力问题的新条款</w:t>
      </w:r>
      <w:r>
        <w:rPr>
          <w:snapToGrid/>
        </w:rPr>
        <w:t>(</w:t>
      </w:r>
      <w:r>
        <w:rPr>
          <w:snapToGrid/>
        </w:rPr>
        <w:t>第</w:t>
      </w:r>
      <w:r>
        <w:rPr>
          <w:snapToGrid/>
        </w:rPr>
        <w:t>33</w:t>
      </w:r>
      <w:r>
        <w:rPr>
          <w:snapToGrid/>
        </w:rPr>
        <w:t>条第</w:t>
      </w:r>
      <w:r>
        <w:rPr>
          <w:rFonts w:hint="eastAsia"/>
          <w:snapToGrid/>
        </w:rPr>
        <w:t>2</w:t>
      </w:r>
      <w:r>
        <w:rPr>
          <w:snapToGrid/>
        </w:rPr>
        <w:t>款</w:t>
      </w:r>
      <w:r>
        <w:rPr>
          <w:snapToGrid/>
        </w:rPr>
        <w:t>)</w:t>
      </w:r>
      <w:r>
        <w:rPr>
          <w:snapToGrid/>
        </w:rPr>
        <w:t>。根据这项条款，家庭中的每一位成员，包括同居者、</w:t>
      </w:r>
      <w:r>
        <w:rPr>
          <w:rFonts w:hint="eastAsia"/>
          <w:snapToGrid/>
        </w:rPr>
        <w:t>监护人</w:t>
      </w:r>
      <w:r>
        <w:rPr>
          <w:snapToGrid/>
        </w:rPr>
        <w:t>或照管人，在发生家庭暴力的情况下，有权向法院投诉救助。法院若</w:t>
      </w:r>
      <w:r>
        <w:rPr>
          <w:rFonts w:hint="eastAsia"/>
          <w:snapToGrid/>
        </w:rPr>
        <w:t>确</w:t>
      </w:r>
      <w:r>
        <w:rPr>
          <w:snapToGrid/>
        </w:rPr>
        <w:t>认上</w:t>
      </w:r>
      <w:r>
        <w:rPr>
          <w:rFonts w:hint="eastAsia"/>
          <w:snapToGrid/>
        </w:rPr>
        <w:t>诉</w:t>
      </w:r>
      <w:r>
        <w:rPr>
          <w:snapToGrid/>
        </w:rPr>
        <w:t>可立案调查，</w:t>
      </w:r>
      <w:r>
        <w:rPr>
          <w:rFonts w:hint="eastAsia"/>
          <w:snapToGrid/>
        </w:rPr>
        <w:t>则</w:t>
      </w:r>
      <w:r>
        <w:rPr>
          <w:snapToGrid/>
        </w:rPr>
        <w:t>将做出保护受害者</w:t>
      </w:r>
      <w:r>
        <w:rPr>
          <w:rFonts w:hint="eastAsia"/>
          <w:snapToGrid/>
        </w:rPr>
        <w:t>的</w:t>
      </w:r>
      <w:r>
        <w:rPr>
          <w:snapToGrid/>
        </w:rPr>
        <w:t>决定，</w:t>
      </w:r>
      <w:r>
        <w:rPr>
          <w:rFonts w:hint="eastAsia"/>
          <w:snapToGrid/>
        </w:rPr>
        <w:t>如：</w:t>
      </w:r>
    </w:p>
    <w:p w:rsidR="00000000" w:rsidRDefault="00000000">
      <w:pPr>
        <w:numPr>
          <w:ilvl w:val="0"/>
          <w:numId w:val="99"/>
        </w:numPr>
        <w:tabs>
          <w:tab w:val="clear" w:pos="2127"/>
        </w:tabs>
        <w:ind w:left="1531"/>
        <w:rPr>
          <w:rFonts w:hint="eastAsia"/>
          <w:snapToGrid/>
        </w:rPr>
      </w:pPr>
      <w:r>
        <w:rPr>
          <w:snapToGrid/>
        </w:rPr>
        <w:t>禁止</w:t>
      </w:r>
      <w:r>
        <w:rPr>
          <w:rFonts w:hint="eastAsia"/>
          <w:snapToGrid/>
        </w:rPr>
        <w:t>再发生</w:t>
      </w:r>
      <w:r>
        <w:rPr>
          <w:snapToGrid/>
        </w:rPr>
        <w:t>暴力行为；</w:t>
      </w:r>
    </w:p>
    <w:p w:rsidR="00000000" w:rsidRDefault="00000000">
      <w:pPr>
        <w:numPr>
          <w:ilvl w:val="0"/>
          <w:numId w:val="99"/>
        </w:numPr>
        <w:tabs>
          <w:tab w:val="clear" w:pos="2127"/>
        </w:tabs>
        <w:ind w:left="1531"/>
        <w:rPr>
          <w:rFonts w:hint="eastAsia"/>
          <w:snapToGrid/>
        </w:rPr>
      </w:pPr>
      <w:r>
        <w:rPr>
          <w:snapToGrid/>
        </w:rPr>
        <w:t>将被告移出控告方的住所；</w:t>
      </w:r>
    </w:p>
    <w:p w:rsidR="00000000" w:rsidRDefault="00000000">
      <w:pPr>
        <w:numPr>
          <w:ilvl w:val="0"/>
          <w:numId w:val="99"/>
        </w:numPr>
        <w:tabs>
          <w:tab w:val="clear" w:pos="2127"/>
        </w:tabs>
        <w:ind w:left="1531"/>
        <w:rPr>
          <w:rFonts w:hint="eastAsia"/>
          <w:snapToGrid/>
        </w:rPr>
      </w:pPr>
      <w:r>
        <w:rPr>
          <w:snapToGrid/>
        </w:rPr>
        <w:t>规定短期探访的暂行制度；</w:t>
      </w:r>
    </w:p>
    <w:p w:rsidR="00000000" w:rsidRDefault="00000000">
      <w:pPr>
        <w:numPr>
          <w:ilvl w:val="0"/>
          <w:numId w:val="99"/>
        </w:numPr>
        <w:tabs>
          <w:tab w:val="clear" w:pos="2127"/>
        </w:tabs>
        <w:ind w:left="1531"/>
        <w:rPr>
          <w:rFonts w:hint="eastAsia"/>
          <w:snapToGrid/>
        </w:rPr>
      </w:pPr>
      <w:r>
        <w:rPr>
          <w:snapToGrid/>
        </w:rPr>
        <w:t>将被告迁移至法官确定的离</w:t>
      </w:r>
      <w:r>
        <w:rPr>
          <w:rFonts w:hint="eastAsia"/>
          <w:snapToGrid/>
        </w:rPr>
        <w:t>开住所</w:t>
      </w:r>
      <w:r>
        <w:rPr>
          <w:snapToGrid/>
        </w:rPr>
        <w:t>合理</w:t>
      </w:r>
      <w:r>
        <w:rPr>
          <w:rFonts w:hint="eastAsia"/>
          <w:snapToGrid/>
        </w:rPr>
        <w:t>的</w:t>
      </w:r>
      <w:r>
        <w:rPr>
          <w:snapToGrid/>
        </w:rPr>
        <w:t>距离</w:t>
      </w:r>
      <w:r>
        <w:rPr>
          <w:rFonts w:hint="eastAsia"/>
          <w:snapToGrid/>
        </w:rPr>
        <w:t>之外</w:t>
      </w:r>
      <w:r>
        <w:rPr>
          <w:snapToGrid/>
        </w:rPr>
        <w:t>；</w:t>
      </w:r>
    </w:p>
    <w:p w:rsidR="00000000" w:rsidRDefault="00000000">
      <w:pPr>
        <w:numPr>
          <w:ilvl w:val="0"/>
          <w:numId w:val="99"/>
        </w:numPr>
        <w:tabs>
          <w:tab w:val="clear" w:pos="2127"/>
        </w:tabs>
        <w:ind w:left="1531"/>
        <w:rPr>
          <w:rFonts w:hint="eastAsia"/>
          <w:snapToGrid/>
        </w:rPr>
      </w:pPr>
      <w:r>
        <w:rPr>
          <w:snapToGrid/>
        </w:rPr>
        <w:t>禁止被告出现在配</w:t>
      </w:r>
      <w:r>
        <w:rPr>
          <w:rFonts w:hint="eastAsia"/>
          <w:snapToGrid/>
        </w:rPr>
        <w:t>偶</w:t>
      </w:r>
      <w:r>
        <w:rPr>
          <w:snapToGrid/>
        </w:rPr>
        <w:t>的工作场所和儿童受教育的地点；</w:t>
      </w:r>
    </w:p>
    <w:p w:rsidR="00000000" w:rsidRDefault="00000000">
      <w:pPr>
        <w:numPr>
          <w:ilvl w:val="0"/>
          <w:numId w:val="99"/>
        </w:numPr>
        <w:tabs>
          <w:tab w:val="clear" w:pos="2127"/>
        </w:tabs>
        <w:ind w:left="1531"/>
        <w:rPr>
          <w:rFonts w:hint="eastAsia"/>
          <w:snapToGrid/>
        </w:rPr>
      </w:pPr>
      <w:r>
        <w:rPr>
          <w:snapToGrid/>
        </w:rPr>
        <w:t>规定被告</w:t>
      </w:r>
      <w:r>
        <w:rPr>
          <w:rFonts w:hint="eastAsia"/>
          <w:snapToGrid/>
        </w:rPr>
        <w:t>接受治疗</w:t>
      </w:r>
      <w:r>
        <w:rPr>
          <w:snapToGrid/>
        </w:rPr>
        <w:t>；</w:t>
      </w:r>
    </w:p>
    <w:p w:rsidR="00000000" w:rsidRDefault="00000000">
      <w:pPr>
        <w:numPr>
          <w:ilvl w:val="0"/>
          <w:numId w:val="99"/>
        </w:numPr>
        <w:tabs>
          <w:tab w:val="clear" w:pos="2127"/>
        </w:tabs>
        <w:ind w:left="1531"/>
        <w:rPr>
          <w:rFonts w:hint="eastAsia"/>
          <w:snapToGrid/>
        </w:rPr>
      </w:pPr>
      <w:r>
        <w:rPr>
          <w:rFonts w:hint="eastAsia"/>
          <w:snapToGrid/>
        </w:rPr>
        <w:t>提供</w:t>
      </w:r>
      <w:r>
        <w:rPr>
          <w:snapToGrid/>
        </w:rPr>
        <w:t>其他类型的必要帮助，以保护家庭成员</w:t>
      </w:r>
      <w:r>
        <w:rPr>
          <w:rFonts w:hint="eastAsia"/>
          <w:snapToGrid/>
        </w:rPr>
        <w:t>，</w:t>
      </w:r>
      <w:r>
        <w:rPr>
          <w:snapToGrid/>
        </w:rPr>
        <w:t>包括未成年人。</w:t>
      </w:r>
    </w:p>
    <w:p w:rsidR="00000000" w:rsidRDefault="00000000">
      <w:pPr>
        <w:spacing w:after="320"/>
        <w:ind w:firstLine="539"/>
        <w:rPr>
          <w:rFonts w:hint="eastAsia"/>
          <w:snapToGrid/>
        </w:rPr>
      </w:pPr>
      <w:r>
        <w:rPr>
          <w:snapToGrid/>
        </w:rPr>
        <w:t>151.</w:t>
      </w:r>
      <w:r>
        <w:rPr>
          <w:rFonts w:hint="eastAsia"/>
          <w:snapToGrid/>
        </w:rPr>
        <w:t xml:space="preserve">  </w:t>
      </w:r>
      <w:r>
        <w:rPr>
          <w:snapToGrid/>
        </w:rPr>
        <w:t>警察负责根据生效的立法，执行法院的裁决。裁决有效期一年，然而，在家庭中</w:t>
      </w:r>
      <w:r>
        <w:rPr>
          <w:rFonts w:hint="eastAsia"/>
          <w:snapToGrid/>
        </w:rPr>
        <w:t>发生</w:t>
      </w:r>
      <w:r>
        <w:rPr>
          <w:snapToGrid/>
        </w:rPr>
        <w:t>持续</w:t>
      </w:r>
      <w:r>
        <w:rPr>
          <w:rFonts w:hint="eastAsia"/>
          <w:snapToGrid/>
        </w:rPr>
        <w:t>和</w:t>
      </w:r>
      <w:r>
        <w:rPr>
          <w:snapToGrid/>
        </w:rPr>
        <w:t>残酷行为</w:t>
      </w:r>
      <w:r>
        <w:rPr>
          <w:rFonts w:hint="eastAsia"/>
          <w:snapToGrid/>
        </w:rPr>
        <w:t>的</w:t>
      </w:r>
      <w:r>
        <w:rPr>
          <w:snapToGrid/>
        </w:rPr>
        <w:t>情况下，控</w:t>
      </w:r>
      <w:r>
        <w:rPr>
          <w:rFonts w:hint="eastAsia"/>
          <w:snapToGrid/>
        </w:rPr>
        <w:t>方</w:t>
      </w:r>
      <w:r>
        <w:rPr>
          <w:snapToGrid/>
        </w:rPr>
        <w:t>可要求法院延长</w:t>
      </w:r>
      <w:r>
        <w:rPr>
          <w:rFonts w:hint="eastAsia"/>
          <w:snapToGrid/>
        </w:rPr>
        <w:t>裁定的</w:t>
      </w:r>
      <w:r>
        <w:rPr>
          <w:snapToGrid/>
        </w:rPr>
        <w:t>有效期。政府建议修订</w:t>
      </w:r>
      <w:r>
        <w:rPr>
          <w:snapToGrid/>
        </w:rPr>
        <w:t xml:space="preserve"> (1990</w:t>
      </w:r>
      <w:r>
        <w:rPr>
          <w:snapToGrid/>
        </w:rPr>
        <w:t>年</w:t>
      </w:r>
      <w:r>
        <w:rPr>
          <w:snapToGrid/>
        </w:rPr>
        <w:t>12</w:t>
      </w:r>
      <w:r>
        <w:rPr>
          <w:snapToGrid/>
        </w:rPr>
        <w:t>日</w:t>
      </w:r>
      <w:r>
        <w:rPr>
          <w:snapToGrid/>
        </w:rPr>
        <w:t>18</w:t>
      </w:r>
      <w:r>
        <w:rPr>
          <w:snapToGrid/>
        </w:rPr>
        <w:t>日</w:t>
      </w:r>
      <w:r>
        <w:rPr>
          <w:rFonts w:hint="eastAsia"/>
          <w:snapToGrid/>
        </w:rPr>
        <w:t>)</w:t>
      </w:r>
      <w:r>
        <w:rPr>
          <w:snapToGrid/>
        </w:rPr>
        <w:t>《</w:t>
      </w:r>
      <w:r>
        <w:rPr>
          <w:rFonts w:hint="eastAsia"/>
          <w:snapToGrid/>
        </w:rPr>
        <w:t>警察</w:t>
      </w:r>
      <w:r>
        <w:rPr>
          <w:snapToGrid/>
        </w:rPr>
        <w:t>法》的第</w:t>
      </w:r>
      <w:r>
        <w:rPr>
          <w:snapToGrid/>
        </w:rPr>
        <w:t>12</w:t>
      </w:r>
      <w:r>
        <w:rPr>
          <w:snapToGrid/>
        </w:rPr>
        <w:t>条第</w:t>
      </w:r>
      <w:r>
        <w:rPr>
          <w:rFonts w:hint="eastAsia"/>
          <w:snapToGrid/>
        </w:rPr>
        <w:t>6</w:t>
      </w:r>
      <w:r>
        <w:rPr>
          <w:snapToGrid/>
        </w:rPr>
        <w:t>和</w:t>
      </w:r>
      <w:r>
        <w:rPr>
          <w:snapToGrid/>
        </w:rPr>
        <w:t>24</w:t>
      </w:r>
      <w:r>
        <w:rPr>
          <w:snapToGrid/>
        </w:rPr>
        <w:t>款，具体规定</w:t>
      </w:r>
      <w:r>
        <w:rPr>
          <w:rFonts w:hint="eastAsia"/>
          <w:snapToGrid/>
        </w:rPr>
        <w:t>制</w:t>
      </w:r>
      <w:r>
        <w:rPr>
          <w:snapToGrid/>
        </w:rPr>
        <w:t>止家庭暴力、实施法院裁决，并且在家庭中发生暴力的情况下提供保护。政府还建议，完善和修订</w:t>
      </w:r>
      <w:r>
        <w:rPr>
          <w:snapToGrid/>
        </w:rPr>
        <w:t>19</w:t>
      </w:r>
      <w:r>
        <w:rPr>
          <w:rFonts w:hint="eastAsia"/>
          <w:snapToGrid/>
        </w:rPr>
        <w:t>6</w:t>
      </w:r>
      <w:r>
        <w:rPr>
          <w:snapToGrid/>
        </w:rPr>
        <w:t>9</w:t>
      </w:r>
      <w:r>
        <w:rPr>
          <w:snapToGrid/>
        </w:rPr>
        <w:t>年</w:t>
      </w:r>
      <w:r>
        <w:rPr>
          <w:snapToGrid/>
        </w:rPr>
        <w:t>12</w:t>
      </w:r>
      <w:r>
        <w:rPr>
          <w:snapToGrid/>
        </w:rPr>
        <w:t>月</w:t>
      </w:r>
      <w:r>
        <w:rPr>
          <w:snapToGrid/>
        </w:rPr>
        <w:t>26</w:t>
      </w:r>
      <w:r>
        <w:rPr>
          <w:snapToGrid/>
        </w:rPr>
        <w:t>日的《婚姻和家庭法》。经增列第</w:t>
      </w:r>
      <w:r>
        <w:rPr>
          <w:snapToGrid/>
        </w:rPr>
        <w:t>4</w:t>
      </w:r>
      <w:r>
        <w:rPr>
          <w:snapToGrid/>
        </w:rPr>
        <w:t>款</w:t>
      </w:r>
      <w:r>
        <w:rPr>
          <w:rFonts w:hint="eastAsia"/>
          <w:snapToGrid/>
        </w:rPr>
        <w:t>予以</w:t>
      </w:r>
      <w:r>
        <w:rPr>
          <w:snapToGrid/>
        </w:rPr>
        <w:t>完善的第</w:t>
      </w:r>
      <w:r>
        <w:rPr>
          <w:snapToGrid/>
        </w:rPr>
        <w:t>6</w:t>
      </w:r>
      <w:r>
        <w:rPr>
          <w:snapToGrid/>
        </w:rPr>
        <w:t>条第</w:t>
      </w:r>
      <w:r>
        <w:rPr>
          <w:snapToGrid/>
        </w:rPr>
        <w:t>1</w:t>
      </w:r>
      <w:r>
        <w:rPr>
          <w:snapToGrid/>
        </w:rPr>
        <w:t>点阐明：</w:t>
      </w:r>
      <w:r>
        <w:rPr>
          <w:rFonts w:hint="eastAsia"/>
          <w:snapToGrid/>
        </w:rPr>
        <w:t>“</w:t>
      </w:r>
      <w:r>
        <w:rPr>
          <w:snapToGrid/>
        </w:rPr>
        <w:t>在家庭成员和共同生活的人员之间不允许暴力行为。若对家庭中另一位成员采取胁迫或威胁以实行控制的行为</w:t>
      </w:r>
      <w:r>
        <w:rPr>
          <w:rFonts w:hint="eastAsia"/>
          <w:snapToGrid/>
        </w:rPr>
        <w:t>，</w:t>
      </w:r>
      <w:r>
        <w:rPr>
          <w:snapToGrid/>
        </w:rPr>
        <w:t>须按照生效的法律追究责任</w:t>
      </w:r>
      <w:r>
        <w:rPr>
          <w:rFonts w:hint="eastAsia"/>
          <w:snapToGrid/>
        </w:rPr>
        <w:t>”</w:t>
      </w:r>
      <w:r>
        <w:rPr>
          <w:snapToGrid/>
        </w:rPr>
        <w:t>。第</w:t>
      </w:r>
      <w:r>
        <w:rPr>
          <w:snapToGrid/>
        </w:rPr>
        <w:t>36</w:t>
      </w:r>
      <w:r>
        <w:rPr>
          <w:snapToGrid/>
        </w:rPr>
        <w:t>条第</w:t>
      </w:r>
      <w:r>
        <w:rPr>
          <w:snapToGrid/>
        </w:rPr>
        <w:t>2</w:t>
      </w:r>
      <w:r>
        <w:rPr>
          <w:snapToGrid/>
        </w:rPr>
        <w:t>款经修订增列了一项条款。根据这项条款，当法院查明家庭内存在暴力情况时，可根据《民事诉讼法》采取必要的手段保护家庭成员免遭暴力，直至做出离婚决定为止。</w:t>
      </w:r>
    </w:p>
    <w:p w:rsidR="00000000" w:rsidRDefault="00000000">
      <w:pPr>
        <w:pStyle w:val="Heading3"/>
        <w:rPr>
          <w:kern w:val="0"/>
        </w:rPr>
      </w:pPr>
      <w:r>
        <w:rPr>
          <w:rFonts w:hint="eastAsia"/>
          <w:kern w:val="0"/>
        </w:rPr>
        <w:t>第</w:t>
      </w:r>
      <w:r>
        <w:rPr>
          <w:rFonts w:hint="eastAsia"/>
          <w:kern w:val="0"/>
        </w:rPr>
        <w:t xml:space="preserve"> </w:t>
      </w:r>
      <w:r>
        <w:rPr>
          <w:rFonts w:hint="eastAsia"/>
          <w:kern w:val="0"/>
        </w:rPr>
        <w:t>四</w:t>
      </w:r>
      <w:r>
        <w:rPr>
          <w:rFonts w:hint="eastAsia"/>
          <w:kern w:val="0"/>
        </w:rPr>
        <w:t xml:space="preserve"> </w:t>
      </w:r>
      <w:r>
        <w:rPr>
          <w:kern w:val="0"/>
        </w:rPr>
        <w:t>条</w:t>
      </w:r>
    </w:p>
    <w:p w:rsidR="00000000" w:rsidRDefault="00000000">
      <w:pPr>
        <w:ind w:firstLine="539"/>
        <w:rPr>
          <w:snapToGrid/>
        </w:rPr>
      </w:pPr>
      <w:r>
        <w:rPr>
          <w:snapToGrid/>
        </w:rPr>
        <w:t>152.</w:t>
      </w:r>
      <w:r>
        <w:rPr>
          <w:rFonts w:hint="eastAsia"/>
          <w:snapToGrid/>
        </w:rPr>
        <w:t xml:space="preserve">  </w:t>
      </w:r>
      <w:r>
        <w:rPr>
          <w:snapToGrid/>
        </w:rPr>
        <w:t>摩尔多瓦共和国宪法</w:t>
      </w:r>
      <w:r>
        <w:rPr>
          <w:snapToGrid/>
        </w:rPr>
        <w:t>(</w:t>
      </w:r>
      <w:r>
        <w:rPr>
          <w:snapToGrid/>
        </w:rPr>
        <w:t>第</w:t>
      </w:r>
      <w:r>
        <w:rPr>
          <w:snapToGrid/>
        </w:rPr>
        <w:t>54</w:t>
      </w:r>
      <w:r>
        <w:rPr>
          <w:snapToGrid/>
        </w:rPr>
        <w:t>条第</w:t>
      </w:r>
      <w:r>
        <w:rPr>
          <w:rFonts w:hint="eastAsia"/>
          <w:snapToGrid/>
        </w:rPr>
        <w:t>1</w:t>
      </w:r>
      <w:r>
        <w:rPr>
          <w:snapToGrid/>
        </w:rPr>
        <w:t>和</w:t>
      </w:r>
      <w:r>
        <w:rPr>
          <w:rFonts w:hint="eastAsia"/>
          <w:snapToGrid/>
        </w:rPr>
        <w:t>2</w:t>
      </w:r>
      <w:r>
        <w:rPr>
          <w:snapToGrid/>
        </w:rPr>
        <w:t>款</w:t>
      </w:r>
      <w:r>
        <w:rPr>
          <w:snapToGrid/>
        </w:rPr>
        <w:t>)</w:t>
      </w:r>
      <w:r>
        <w:rPr>
          <w:snapToGrid/>
        </w:rPr>
        <w:t>规定，只有按照法律才可限制行使某些权利和自由，而且只有处于保护国家安全、公共</w:t>
      </w:r>
      <w:r>
        <w:rPr>
          <w:rFonts w:hint="eastAsia"/>
          <w:snapToGrid/>
        </w:rPr>
        <w:t>秩序</w:t>
      </w:r>
      <w:r>
        <w:rPr>
          <w:snapToGrid/>
        </w:rPr>
        <w:t>、公共健康或道德、公民的权利和自由、刑事</w:t>
      </w:r>
      <w:r>
        <w:rPr>
          <w:rFonts w:hint="eastAsia"/>
          <w:snapToGrid/>
        </w:rPr>
        <w:t>立案</w:t>
      </w:r>
      <w:r>
        <w:rPr>
          <w:snapToGrid/>
        </w:rPr>
        <w:t>调查、防止自然灾害的后果或伤害的情况下才可实行限制。</w:t>
      </w:r>
      <w:r>
        <w:rPr>
          <w:rFonts w:hint="eastAsia"/>
          <w:snapToGrid/>
        </w:rPr>
        <w:t>“</w:t>
      </w:r>
      <w:r>
        <w:rPr>
          <w:snapToGrid/>
        </w:rPr>
        <w:t>限制必须于导致限制的情况相称，而且不应影响现有权利或</w:t>
      </w:r>
      <w:r>
        <w:rPr>
          <w:rFonts w:hint="eastAsia"/>
          <w:snapToGrid/>
        </w:rPr>
        <w:t>自由的存在”。</w:t>
      </w:r>
    </w:p>
    <w:p w:rsidR="00000000" w:rsidRDefault="00000000">
      <w:pPr>
        <w:ind w:firstLine="539"/>
        <w:rPr>
          <w:snapToGrid/>
        </w:rPr>
      </w:pPr>
      <w:r>
        <w:rPr>
          <w:snapToGrid/>
        </w:rPr>
        <w:t>153.</w:t>
      </w:r>
      <w:r>
        <w:rPr>
          <w:rFonts w:hint="eastAsia"/>
          <w:snapToGrid/>
        </w:rPr>
        <w:t xml:space="preserve">  </w:t>
      </w:r>
      <w:r>
        <w:rPr>
          <w:snapToGrid/>
        </w:rPr>
        <w:t>根据《摩尔多瓦共和国</w:t>
      </w:r>
      <w:r>
        <w:rPr>
          <w:rFonts w:hint="eastAsia"/>
          <w:snapToGrid/>
        </w:rPr>
        <w:t>内</w:t>
      </w:r>
      <w:r>
        <w:rPr>
          <w:snapToGrid/>
        </w:rPr>
        <w:t>特殊情况和特别政府</w:t>
      </w:r>
      <w:r>
        <w:rPr>
          <w:rFonts w:hint="eastAsia"/>
          <w:snapToGrid/>
        </w:rPr>
        <w:t>形式</w:t>
      </w:r>
      <w:r>
        <w:rPr>
          <w:snapToGrid/>
        </w:rPr>
        <w:t>法律制度法》</w:t>
      </w:r>
      <w:r>
        <w:rPr>
          <w:snapToGrid/>
        </w:rPr>
        <w:t>(</w:t>
      </w:r>
      <w:r>
        <w:rPr>
          <w:snapToGrid/>
        </w:rPr>
        <w:t>第</w:t>
      </w:r>
      <w:r>
        <w:rPr>
          <w:snapToGrid/>
        </w:rPr>
        <w:t>1</w:t>
      </w:r>
      <w:r>
        <w:rPr>
          <w:snapToGrid/>
        </w:rPr>
        <w:t>条</w:t>
      </w:r>
      <w:r>
        <w:rPr>
          <w:snapToGrid/>
        </w:rPr>
        <w:t>)</w:t>
      </w:r>
      <w:r>
        <w:rPr>
          <w:snapToGrid/>
        </w:rPr>
        <w:t>，特殊情况被视为是暂时性的，是摩尔多瓦共和国议会或总统根据宪法和明</w:t>
      </w:r>
      <w:r>
        <w:rPr>
          <w:rFonts w:hint="eastAsia"/>
          <w:snapToGrid/>
        </w:rPr>
        <w:t>确</w:t>
      </w:r>
      <w:r>
        <w:rPr>
          <w:snapToGrid/>
        </w:rPr>
        <w:t>的法律，</w:t>
      </w:r>
      <w:r>
        <w:rPr>
          <w:rFonts w:hint="eastAsia"/>
          <w:snapToGrid/>
        </w:rPr>
        <w:t>出于确保摩尔多瓦共和国公民的安全、合法性和法律秩序，在出现自然灾害、重大事故和灾难、流行病、大规模的动荡和其他特殊情况时下令宣布的状况。按照宪法第</w:t>
      </w:r>
      <w:r>
        <w:rPr>
          <w:snapToGrid/>
        </w:rPr>
        <w:t>55</w:t>
      </w:r>
      <w:r>
        <w:rPr>
          <w:snapToGrid/>
        </w:rPr>
        <w:t>条第</w:t>
      </w:r>
      <w:r>
        <w:rPr>
          <w:rFonts w:hint="eastAsia"/>
          <w:snapToGrid/>
        </w:rPr>
        <w:t>2</w:t>
      </w:r>
      <w:r>
        <w:rPr>
          <w:snapToGrid/>
        </w:rPr>
        <w:t>款规定的权利和义务，法律体制可允许按法律规定的限制</w:t>
      </w:r>
      <w:r>
        <w:rPr>
          <w:snapToGrid/>
        </w:rPr>
        <w:t>(</w:t>
      </w:r>
      <w:r>
        <w:rPr>
          <w:snapToGrid/>
        </w:rPr>
        <w:t>暂时禁止罢工、大规模的文化</w:t>
      </w:r>
      <w:r>
        <w:rPr>
          <w:rFonts w:hint="eastAsia"/>
          <w:snapToGrid/>
        </w:rPr>
        <w:t>示威</w:t>
      </w:r>
      <w:r>
        <w:rPr>
          <w:snapToGrid/>
        </w:rPr>
        <w:t>、特殊的工作</w:t>
      </w:r>
      <w:r>
        <w:rPr>
          <w:rFonts w:hint="eastAsia"/>
          <w:snapToGrid/>
        </w:rPr>
        <w:t>班制</w:t>
      </w:r>
      <w:r>
        <w:rPr>
          <w:snapToGrid/>
        </w:rPr>
        <w:t>)</w:t>
      </w:r>
      <w:r>
        <w:rPr>
          <w:snapToGrid/>
        </w:rPr>
        <w:t>。根据宪法这项条款，</w:t>
      </w:r>
      <w:r>
        <w:rPr>
          <w:rFonts w:hint="eastAsia"/>
          <w:snapToGrid/>
        </w:rPr>
        <w:t>“……</w:t>
      </w:r>
      <w:r>
        <w:rPr>
          <w:snapToGrid/>
        </w:rPr>
        <w:t>必须尊重其他公民的合法权益以及尊严</w:t>
      </w:r>
      <w:r>
        <w:rPr>
          <w:rFonts w:hint="eastAsia"/>
          <w:snapToGrid/>
        </w:rPr>
        <w:t>”</w:t>
      </w:r>
      <w:r>
        <w:rPr>
          <w:snapToGrid/>
        </w:rPr>
        <w:t>。宪法和《摩尔多瓦共和国</w:t>
      </w:r>
      <w:r>
        <w:rPr>
          <w:rFonts w:hint="eastAsia"/>
          <w:snapToGrid/>
        </w:rPr>
        <w:t>内</w:t>
      </w:r>
      <w:r>
        <w:rPr>
          <w:snapToGrid/>
        </w:rPr>
        <w:t>特殊情况和特别政府形式法律制度法》，或者任何其他法律或其他国内规范法案，都不可限制《公约》规定的权利。</w:t>
      </w:r>
    </w:p>
    <w:p w:rsidR="00000000" w:rsidRDefault="00000000">
      <w:pPr>
        <w:spacing w:after="320"/>
        <w:ind w:firstLine="539"/>
        <w:rPr>
          <w:snapToGrid/>
        </w:rPr>
      </w:pPr>
      <w:r>
        <w:rPr>
          <w:snapToGrid/>
        </w:rPr>
        <w:t>154.</w:t>
      </w:r>
      <w:r>
        <w:rPr>
          <w:rFonts w:hint="eastAsia"/>
          <w:snapToGrid/>
        </w:rPr>
        <w:t xml:space="preserve">  </w:t>
      </w:r>
      <w:r>
        <w:rPr>
          <w:snapToGrid/>
        </w:rPr>
        <w:t>自</w:t>
      </w:r>
      <w:r>
        <w:rPr>
          <w:snapToGrid/>
        </w:rPr>
        <w:t>1993</w:t>
      </w:r>
      <w:r>
        <w:rPr>
          <w:snapToGrid/>
        </w:rPr>
        <w:t>年</w:t>
      </w:r>
      <w:r>
        <w:rPr>
          <w:snapToGrid/>
        </w:rPr>
        <w:t>4</w:t>
      </w:r>
      <w:r>
        <w:rPr>
          <w:snapToGrid/>
        </w:rPr>
        <w:t>月</w:t>
      </w:r>
      <w:r>
        <w:rPr>
          <w:snapToGrid/>
        </w:rPr>
        <w:t>26</w:t>
      </w:r>
      <w:r>
        <w:rPr>
          <w:snapToGrid/>
        </w:rPr>
        <w:t>日，《经济、社会、文化权利国际公约》在摩尔多瓦共和国生效之日起，从未援引过特殊情况法律制度。</w:t>
      </w:r>
    </w:p>
    <w:p w:rsidR="00000000" w:rsidRDefault="00000000">
      <w:pPr>
        <w:pStyle w:val="Heading3"/>
        <w:rPr>
          <w:kern w:val="0"/>
        </w:rPr>
      </w:pPr>
      <w:r>
        <w:rPr>
          <w:rFonts w:hint="eastAsia"/>
          <w:kern w:val="0"/>
        </w:rPr>
        <w:t>第</w:t>
      </w:r>
      <w:r>
        <w:rPr>
          <w:rFonts w:hint="eastAsia"/>
          <w:kern w:val="0"/>
        </w:rPr>
        <w:t xml:space="preserve"> </w:t>
      </w:r>
      <w:r>
        <w:rPr>
          <w:rFonts w:hint="eastAsia"/>
          <w:kern w:val="0"/>
        </w:rPr>
        <w:t>五</w:t>
      </w:r>
      <w:r>
        <w:rPr>
          <w:rFonts w:hint="eastAsia"/>
          <w:kern w:val="0"/>
        </w:rPr>
        <w:t xml:space="preserve"> </w:t>
      </w:r>
      <w:r>
        <w:rPr>
          <w:kern w:val="0"/>
        </w:rPr>
        <w:t>条</w:t>
      </w:r>
    </w:p>
    <w:p w:rsidR="00000000" w:rsidRDefault="00000000">
      <w:pPr>
        <w:ind w:firstLine="539"/>
        <w:rPr>
          <w:rFonts w:hint="eastAsia"/>
          <w:snapToGrid/>
        </w:rPr>
      </w:pPr>
      <w:r>
        <w:rPr>
          <w:snapToGrid/>
        </w:rPr>
        <w:t>155.</w:t>
      </w:r>
      <w:r>
        <w:rPr>
          <w:rFonts w:hint="eastAsia"/>
          <w:snapToGrid/>
        </w:rPr>
        <w:t xml:space="preserve">  </w:t>
      </w:r>
      <w:r>
        <w:rPr>
          <w:snapToGrid/>
        </w:rPr>
        <w:t>根据摩尔多瓦共和国宪法</w:t>
      </w:r>
      <w:r>
        <w:rPr>
          <w:snapToGrid/>
        </w:rPr>
        <w:t>(</w:t>
      </w:r>
      <w:r>
        <w:rPr>
          <w:snapToGrid/>
        </w:rPr>
        <w:t>第</w:t>
      </w:r>
      <w:r>
        <w:rPr>
          <w:snapToGrid/>
        </w:rPr>
        <w:t>4</w:t>
      </w:r>
      <w:r>
        <w:rPr>
          <w:snapToGrid/>
        </w:rPr>
        <w:t>条</w:t>
      </w:r>
      <w:r>
        <w:rPr>
          <w:snapToGrid/>
        </w:rPr>
        <w:t>)</w:t>
      </w:r>
      <w:r>
        <w:rPr>
          <w:snapToGrid/>
        </w:rPr>
        <w:t>，宪法有关人权和自由的条款</w:t>
      </w:r>
      <w:r>
        <w:rPr>
          <w:rFonts w:hint="eastAsia"/>
          <w:snapToGrid/>
        </w:rPr>
        <w:t>，</w:t>
      </w:r>
      <w:r>
        <w:rPr>
          <w:snapToGrid/>
        </w:rPr>
        <w:t>按照《世界人权宣言》</w:t>
      </w:r>
      <w:r>
        <w:rPr>
          <w:rFonts w:hint="eastAsia"/>
          <w:snapToGrid/>
        </w:rPr>
        <w:t>和</w:t>
      </w:r>
      <w:r>
        <w:rPr>
          <w:snapToGrid/>
        </w:rPr>
        <w:t>摩尔多瓦共和国作为缔约</w:t>
      </w:r>
      <w:r>
        <w:rPr>
          <w:rFonts w:hint="eastAsia"/>
          <w:snapToGrid/>
        </w:rPr>
        <w:t>国的</w:t>
      </w:r>
      <w:r>
        <w:rPr>
          <w:snapToGrid/>
        </w:rPr>
        <w:t>各公约和其他各条</w:t>
      </w:r>
      <w:r>
        <w:rPr>
          <w:rFonts w:hint="eastAsia"/>
          <w:snapToGrid/>
        </w:rPr>
        <w:t>约进行</w:t>
      </w:r>
      <w:r>
        <w:rPr>
          <w:snapToGrid/>
        </w:rPr>
        <w:t>解释和</w:t>
      </w:r>
      <w:r>
        <w:rPr>
          <w:rFonts w:hint="eastAsia"/>
          <w:snapToGrid/>
        </w:rPr>
        <w:t>适</w:t>
      </w:r>
      <w:r>
        <w:rPr>
          <w:snapToGrid/>
        </w:rPr>
        <w:t>用。若摩尔多瓦共和国作为缔约国的各项有关基本人权的国际公约及条约与摩尔多瓦国内法有差别，那么，国际文书享有优先</w:t>
      </w:r>
      <w:r>
        <w:rPr>
          <w:rFonts w:hint="eastAsia"/>
          <w:snapToGrid/>
        </w:rPr>
        <w:t>地位</w:t>
      </w:r>
      <w:r>
        <w:rPr>
          <w:snapToGrid/>
        </w:rPr>
        <w:t>。</w:t>
      </w:r>
    </w:p>
    <w:p w:rsidR="00000000" w:rsidRDefault="00000000">
      <w:pPr>
        <w:ind w:firstLine="539"/>
        <w:rPr>
          <w:snapToGrid/>
        </w:rPr>
      </w:pPr>
      <w:r>
        <w:rPr>
          <w:snapToGrid/>
        </w:rPr>
        <w:t>156.</w:t>
      </w:r>
      <w:r>
        <w:rPr>
          <w:rFonts w:hint="eastAsia"/>
          <w:snapToGrid/>
        </w:rPr>
        <w:t xml:space="preserve">  </w:t>
      </w:r>
      <w:r>
        <w:rPr>
          <w:snapToGrid/>
        </w:rPr>
        <w:t>根据宪法第</w:t>
      </w:r>
      <w:r>
        <w:rPr>
          <w:rFonts w:hint="eastAsia"/>
          <w:snapToGrid/>
        </w:rPr>
        <w:t>8</w:t>
      </w:r>
      <w:r>
        <w:rPr>
          <w:snapToGrid/>
        </w:rPr>
        <w:t>条，摩尔多瓦共和国承诺尊重《联合国宪章》以及摩尔多瓦共和国作为缔约国的各项条约。国际</w:t>
      </w:r>
      <w:r>
        <w:rPr>
          <w:rFonts w:hint="eastAsia"/>
          <w:snapToGrid/>
        </w:rPr>
        <w:t>条约的</w:t>
      </w:r>
      <w:r>
        <w:rPr>
          <w:snapToGrid/>
        </w:rPr>
        <w:t>条款</w:t>
      </w:r>
      <w:r>
        <w:rPr>
          <w:rFonts w:hint="eastAsia"/>
          <w:snapToGrid/>
        </w:rPr>
        <w:t>若</w:t>
      </w:r>
      <w:r>
        <w:rPr>
          <w:snapToGrid/>
        </w:rPr>
        <w:t>有悖</w:t>
      </w:r>
      <w:r>
        <w:rPr>
          <w:rFonts w:hint="eastAsia"/>
          <w:snapToGrid/>
        </w:rPr>
        <w:t>于</w:t>
      </w:r>
      <w:r>
        <w:rPr>
          <w:snapToGrid/>
        </w:rPr>
        <w:t>宪法，</w:t>
      </w:r>
      <w:r>
        <w:rPr>
          <w:rFonts w:hint="eastAsia"/>
          <w:snapToGrid/>
        </w:rPr>
        <w:t>则</w:t>
      </w:r>
      <w:r>
        <w:rPr>
          <w:snapToGrid/>
        </w:rPr>
        <w:t>须先做出修订才</w:t>
      </w:r>
      <w:r>
        <w:rPr>
          <w:rFonts w:hint="eastAsia"/>
          <w:snapToGrid/>
        </w:rPr>
        <w:t>予以实施</w:t>
      </w:r>
      <w:r>
        <w:rPr>
          <w:snapToGrid/>
        </w:rPr>
        <w:t>：</w:t>
      </w:r>
      <w:r>
        <w:rPr>
          <w:rFonts w:hint="eastAsia"/>
          <w:snapToGrid/>
        </w:rPr>
        <w:t>“……</w:t>
      </w:r>
      <w:r>
        <w:rPr>
          <w:snapToGrid/>
        </w:rPr>
        <w:t>凡有悖</w:t>
      </w:r>
      <w:r>
        <w:rPr>
          <w:rFonts w:hint="eastAsia"/>
          <w:snapToGrid/>
        </w:rPr>
        <w:t>于</w:t>
      </w:r>
      <w:r>
        <w:rPr>
          <w:snapToGrid/>
        </w:rPr>
        <w:t>宪法条款的法律或任何其他司法行动，一概</w:t>
      </w:r>
      <w:r>
        <w:rPr>
          <w:rFonts w:hint="eastAsia"/>
          <w:snapToGrid/>
        </w:rPr>
        <w:t>无</w:t>
      </w:r>
      <w:r>
        <w:rPr>
          <w:snapToGrid/>
        </w:rPr>
        <w:t>司法管辖权</w:t>
      </w:r>
      <w:r>
        <w:rPr>
          <w:rFonts w:hint="eastAsia"/>
          <w:snapToGrid/>
        </w:rPr>
        <w:t>”</w:t>
      </w:r>
      <w:r>
        <w:rPr>
          <w:snapToGrid/>
        </w:rPr>
        <w:t>(</w:t>
      </w:r>
      <w:r>
        <w:rPr>
          <w:snapToGrid/>
        </w:rPr>
        <w:t>第</w:t>
      </w:r>
      <w:r>
        <w:rPr>
          <w:snapToGrid/>
        </w:rPr>
        <w:t>7</w:t>
      </w:r>
      <w:r>
        <w:rPr>
          <w:snapToGrid/>
        </w:rPr>
        <w:t>条</w:t>
      </w:r>
      <w:r>
        <w:rPr>
          <w:snapToGrid/>
        </w:rPr>
        <w:t>)</w:t>
      </w:r>
      <w:r>
        <w:rPr>
          <w:rFonts w:hint="eastAsia"/>
          <w:snapToGrid/>
        </w:rPr>
        <w:t>。</w:t>
      </w:r>
    </w:p>
    <w:p w:rsidR="00000000" w:rsidRDefault="00000000">
      <w:pPr>
        <w:ind w:firstLine="539"/>
        <w:rPr>
          <w:snapToGrid/>
        </w:rPr>
      </w:pPr>
      <w:r>
        <w:rPr>
          <w:snapToGrid/>
        </w:rPr>
        <w:t>157.</w:t>
      </w:r>
      <w:r>
        <w:rPr>
          <w:rFonts w:hint="eastAsia"/>
          <w:snapToGrid/>
        </w:rPr>
        <w:t xml:space="preserve">  </w:t>
      </w:r>
      <w:r>
        <w:rPr>
          <w:snapToGrid/>
        </w:rPr>
        <w:t>宪法法院在尊重《公约》第</w:t>
      </w:r>
      <w:r>
        <w:rPr>
          <w:snapToGrid/>
        </w:rPr>
        <w:t>5</w:t>
      </w:r>
      <w:r>
        <w:rPr>
          <w:snapToGrid/>
        </w:rPr>
        <w:t>条规定方面发挥了重要的作用。</w:t>
      </w:r>
      <w:r>
        <w:rPr>
          <w:rFonts w:hint="eastAsia"/>
          <w:snapToGrid/>
        </w:rPr>
        <w:t>法院</w:t>
      </w:r>
      <w:r>
        <w:rPr>
          <w:snapToGrid/>
        </w:rPr>
        <w:t>确保宪法的最高地位并且</w:t>
      </w:r>
      <w:r>
        <w:rPr>
          <w:rFonts w:hint="eastAsia"/>
          <w:snapToGrid/>
        </w:rPr>
        <w:t>掌握着对</w:t>
      </w:r>
      <w:r>
        <w:rPr>
          <w:snapToGrid/>
        </w:rPr>
        <w:t>法律、协议、条例以及议会的决定、总统的法令、政府的决定和行为，以及摩尔多瓦共和国作为缔约国的国际条约，是否符合宪法主管权</w:t>
      </w:r>
      <w:r>
        <w:rPr>
          <w:rFonts w:hint="eastAsia"/>
          <w:snapToGrid/>
        </w:rPr>
        <w:t>(</w:t>
      </w:r>
      <w:r>
        <w:rPr>
          <w:rFonts w:hint="eastAsia"/>
          <w:snapToGrid/>
        </w:rPr>
        <w:t>第</w:t>
      </w:r>
      <w:r>
        <w:rPr>
          <w:rFonts w:hint="eastAsia"/>
          <w:snapToGrid/>
        </w:rPr>
        <w:t>135</w:t>
      </w:r>
      <w:r>
        <w:rPr>
          <w:rFonts w:hint="eastAsia"/>
          <w:snapToGrid/>
        </w:rPr>
        <w:t>条</w:t>
      </w:r>
      <w:r>
        <w:rPr>
          <w:rFonts w:hint="eastAsia"/>
          <w:snapToGrid/>
        </w:rPr>
        <w:t>)</w:t>
      </w:r>
      <w:r>
        <w:rPr>
          <w:rFonts w:hint="eastAsia"/>
          <w:snapToGrid/>
        </w:rPr>
        <w:t>；</w:t>
      </w:r>
      <w:r>
        <w:rPr>
          <w:snapToGrid/>
        </w:rPr>
        <w:t>宪法法院的裁决是不可逆转和不可上诉</w:t>
      </w:r>
      <w:r>
        <w:rPr>
          <w:rFonts w:hint="eastAsia"/>
          <w:snapToGrid/>
        </w:rPr>
        <w:t>的</w:t>
      </w:r>
      <w:r>
        <w:rPr>
          <w:snapToGrid/>
        </w:rPr>
        <w:t>。</w:t>
      </w:r>
    </w:p>
    <w:p w:rsidR="00000000" w:rsidRDefault="00000000">
      <w:pPr>
        <w:spacing w:after="320"/>
        <w:ind w:firstLine="539"/>
        <w:rPr>
          <w:snapToGrid/>
        </w:rPr>
      </w:pPr>
      <w:r>
        <w:rPr>
          <w:snapToGrid/>
        </w:rPr>
        <w:t>158.</w:t>
      </w:r>
      <w:r>
        <w:rPr>
          <w:rFonts w:hint="eastAsia"/>
          <w:snapToGrid/>
        </w:rPr>
        <w:t xml:space="preserve">  </w:t>
      </w:r>
      <w:r>
        <w:rPr>
          <w:snapToGrid/>
        </w:rPr>
        <w:t>若国内</w:t>
      </w:r>
      <w:r>
        <w:rPr>
          <w:rFonts w:hint="eastAsia"/>
          <w:snapToGrid/>
        </w:rPr>
        <w:t>司</w:t>
      </w:r>
      <w:r>
        <w:rPr>
          <w:snapToGrid/>
        </w:rPr>
        <w:t>法有悖国际法准则，议会律师有权在其活动范围内直接引用国际法准则</w:t>
      </w:r>
      <w:r>
        <w:rPr>
          <w:snapToGrid/>
        </w:rPr>
        <w:t>(</w:t>
      </w:r>
      <w:r>
        <w:rPr>
          <w:snapToGrid/>
        </w:rPr>
        <w:t>《议会律师法》第</w:t>
      </w:r>
      <w:r>
        <w:rPr>
          <w:rFonts w:hint="eastAsia"/>
          <w:snapToGrid/>
        </w:rPr>
        <w:t>10</w:t>
      </w:r>
      <w:r>
        <w:rPr>
          <w:snapToGrid/>
        </w:rPr>
        <w:t>条第</w:t>
      </w:r>
      <w:r>
        <w:rPr>
          <w:rFonts w:hint="eastAsia"/>
          <w:snapToGrid/>
        </w:rPr>
        <w:t>2</w:t>
      </w:r>
      <w:r>
        <w:rPr>
          <w:snapToGrid/>
        </w:rPr>
        <w:t>款</w:t>
      </w:r>
      <w:r>
        <w:rPr>
          <w:rFonts w:hint="eastAsia"/>
          <w:snapToGrid/>
        </w:rPr>
        <w:t>)</w:t>
      </w:r>
      <w:r>
        <w:rPr>
          <w:snapToGrid/>
        </w:rPr>
        <w:t>。根据</w:t>
      </w:r>
      <w:r>
        <w:rPr>
          <w:rFonts w:hint="eastAsia"/>
          <w:snapToGrid/>
        </w:rPr>
        <w:t>规定的法律</w:t>
      </w:r>
      <w:r>
        <w:rPr>
          <w:snapToGrid/>
        </w:rPr>
        <w:t>(</w:t>
      </w:r>
      <w:r>
        <w:rPr>
          <w:snapToGrid/>
        </w:rPr>
        <w:t>第</w:t>
      </w:r>
      <w:r>
        <w:rPr>
          <w:snapToGrid/>
        </w:rPr>
        <w:t>31</w:t>
      </w:r>
      <w:r>
        <w:rPr>
          <w:snapToGrid/>
        </w:rPr>
        <w:t>条</w:t>
      </w:r>
      <w:r>
        <w:rPr>
          <w:snapToGrid/>
        </w:rPr>
        <w:t>)</w:t>
      </w:r>
      <w:r>
        <w:rPr>
          <w:snapToGrid/>
        </w:rPr>
        <w:t>，议会</w:t>
      </w:r>
      <w:r>
        <w:rPr>
          <w:rFonts w:hint="eastAsia"/>
          <w:snapToGrid/>
        </w:rPr>
        <w:t>律师</w:t>
      </w:r>
      <w:r>
        <w:rPr>
          <w:snapToGrid/>
        </w:rPr>
        <w:t>有权向宪法法院通报</w:t>
      </w:r>
      <w:r>
        <w:rPr>
          <w:rFonts w:hint="eastAsia"/>
          <w:snapToGrid/>
        </w:rPr>
        <w:t>其</w:t>
      </w:r>
      <w:r>
        <w:rPr>
          <w:snapToGrid/>
        </w:rPr>
        <w:t>主管的</w:t>
      </w:r>
      <w:r>
        <w:rPr>
          <w:rFonts w:hint="eastAsia"/>
          <w:snapToGrid/>
        </w:rPr>
        <w:t>事务</w:t>
      </w:r>
      <w:r>
        <w:rPr>
          <w:snapToGrid/>
        </w:rPr>
        <w:t>，</w:t>
      </w:r>
      <w:r>
        <w:rPr>
          <w:rFonts w:hint="eastAsia"/>
          <w:snapToGrid/>
        </w:rPr>
        <w:t>而</w:t>
      </w:r>
      <w:r>
        <w:rPr>
          <w:snapToGrid/>
        </w:rPr>
        <w:t>且曾多次通报</w:t>
      </w:r>
      <w:r>
        <w:rPr>
          <w:rFonts w:hint="eastAsia"/>
          <w:snapToGrid/>
        </w:rPr>
        <w:t>过</w:t>
      </w:r>
      <w:r>
        <w:rPr>
          <w:snapToGrid/>
        </w:rPr>
        <w:t>。</w:t>
      </w:r>
    </w:p>
    <w:p w:rsidR="00000000" w:rsidRDefault="00000000">
      <w:pPr>
        <w:pStyle w:val="Heading3"/>
        <w:rPr>
          <w:kern w:val="0"/>
        </w:rPr>
      </w:pPr>
      <w:r>
        <w:rPr>
          <w:rFonts w:hint="eastAsia"/>
          <w:kern w:val="0"/>
        </w:rPr>
        <w:t>第</w:t>
      </w:r>
      <w:r>
        <w:rPr>
          <w:rFonts w:hint="eastAsia"/>
          <w:kern w:val="0"/>
        </w:rPr>
        <w:t xml:space="preserve"> </w:t>
      </w:r>
      <w:r>
        <w:rPr>
          <w:rFonts w:hint="eastAsia"/>
          <w:kern w:val="0"/>
        </w:rPr>
        <w:t>六</w:t>
      </w:r>
      <w:r>
        <w:rPr>
          <w:rFonts w:hint="eastAsia"/>
          <w:kern w:val="0"/>
        </w:rPr>
        <w:t xml:space="preserve"> </w:t>
      </w:r>
      <w:r>
        <w:rPr>
          <w:kern w:val="0"/>
        </w:rPr>
        <w:t>条</w:t>
      </w:r>
    </w:p>
    <w:p w:rsidR="00000000" w:rsidRDefault="00000000">
      <w:pPr>
        <w:ind w:firstLine="539"/>
        <w:rPr>
          <w:snapToGrid/>
        </w:rPr>
      </w:pPr>
      <w:r>
        <w:rPr>
          <w:snapToGrid/>
        </w:rPr>
        <w:t>15</w:t>
      </w:r>
      <w:r>
        <w:rPr>
          <w:rFonts w:hint="eastAsia"/>
          <w:snapToGrid/>
        </w:rPr>
        <w:t xml:space="preserve">9.  </w:t>
      </w:r>
      <w:r>
        <w:rPr>
          <w:snapToGrid/>
        </w:rPr>
        <w:t>摩尔多瓦共和国是劳工组织</w:t>
      </w:r>
      <w:r>
        <w:rPr>
          <w:snapToGrid/>
        </w:rPr>
        <w:t>1964</w:t>
      </w:r>
      <w:r>
        <w:rPr>
          <w:snapToGrid/>
        </w:rPr>
        <w:t>年《就业政策公约》</w:t>
      </w:r>
      <w:r>
        <w:rPr>
          <w:snapToGrid/>
        </w:rPr>
        <w:t>(</w:t>
      </w:r>
      <w:r>
        <w:rPr>
          <w:snapToGrid/>
        </w:rPr>
        <w:t>第</w:t>
      </w:r>
      <w:r>
        <w:rPr>
          <w:snapToGrid/>
        </w:rPr>
        <w:t>122</w:t>
      </w:r>
      <w:r>
        <w:rPr>
          <w:rFonts w:hint="eastAsia"/>
          <w:snapToGrid/>
        </w:rPr>
        <w:t>号</w:t>
      </w:r>
      <w:r>
        <w:rPr>
          <w:rFonts w:hint="eastAsia"/>
          <w:snapToGrid/>
        </w:rPr>
        <w:t>)</w:t>
      </w:r>
      <w:r>
        <w:rPr>
          <w:rFonts w:hint="eastAsia"/>
          <w:snapToGrid/>
        </w:rPr>
        <w:t>的缔约国，由议会于</w:t>
      </w:r>
      <w:r>
        <w:rPr>
          <w:snapToGrid/>
        </w:rPr>
        <w:t>1995</w:t>
      </w:r>
      <w:r>
        <w:rPr>
          <w:snapToGrid/>
        </w:rPr>
        <w:t>年</w:t>
      </w:r>
      <w:r>
        <w:rPr>
          <w:snapToGrid/>
        </w:rPr>
        <w:t>9</w:t>
      </w:r>
      <w:r>
        <w:rPr>
          <w:snapToGrid/>
        </w:rPr>
        <w:t>月</w:t>
      </w:r>
      <w:r>
        <w:rPr>
          <w:snapToGrid/>
        </w:rPr>
        <w:t>26</w:t>
      </w:r>
      <w:r>
        <w:rPr>
          <w:snapToGrid/>
        </w:rPr>
        <w:t>日</w:t>
      </w:r>
      <w:r>
        <w:rPr>
          <w:rFonts w:hint="eastAsia"/>
          <w:snapToGrid/>
        </w:rPr>
        <w:t>按</w:t>
      </w:r>
      <w:r>
        <w:rPr>
          <w:snapToGrid/>
        </w:rPr>
        <w:t>第</w:t>
      </w:r>
      <w:r>
        <w:rPr>
          <w:snapToGrid/>
        </w:rPr>
        <w:t>593-</w:t>
      </w:r>
      <w:r>
        <w:rPr>
          <w:rFonts w:hint="eastAsia"/>
          <w:snapToGrid/>
        </w:rPr>
        <w:t>XIII</w:t>
      </w:r>
      <w:r>
        <w:rPr>
          <w:rFonts w:hint="eastAsia"/>
          <w:snapToGrid/>
        </w:rPr>
        <w:t>号法案批准，并于</w:t>
      </w:r>
      <w:r>
        <w:rPr>
          <w:snapToGrid/>
        </w:rPr>
        <w:t>1997</w:t>
      </w:r>
      <w:r>
        <w:rPr>
          <w:snapToGrid/>
        </w:rPr>
        <w:t>年</w:t>
      </w:r>
      <w:r>
        <w:rPr>
          <w:snapToGrid/>
        </w:rPr>
        <w:t>8</w:t>
      </w:r>
      <w:r>
        <w:rPr>
          <w:snapToGrid/>
        </w:rPr>
        <w:t>月</w:t>
      </w:r>
      <w:r>
        <w:rPr>
          <w:snapToGrid/>
        </w:rPr>
        <w:t>12</w:t>
      </w:r>
      <w:r>
        <w:rPr>
          <w:snapToGrid/>
        </w:rPr>
        <w:t>日起生效。摩尔多瓦也是</w:t>
      </w:r>
      <w:r>
        <w:rPr>
          <w:snapToGrid/>
        </w:rPr>
        <w:t>1958</w:t>
      </w:r>
      <w:r>
        <w:rPr>
          <w:snapToGrid/>
        </w:rPr>
        <w:t>年《歧视</w:t>
      </w:r>
      <w:r>
        <w:rPr>
          <w:snapToGrid/>
        </w:rPr>
        <w:t>(</w:t>
      </w:r>
      <w:r>
        <w:rPr>
          <w:snapToGrid/>
        </w:rPr>
        <w:t>就业和职业</w:t>
      </w:r>
      <w:r>
        <w:rPr>
          <w:snapToGrid/>
        </w:rPr>
        <w:t>)</w:t>
      </w:r>
      <w:r>
        <w:rPr>
          <w:rFonts w:hint="eastAsia"/>
          <w:snapToGrid/>
        </w:rPr>
        <w:t>问题</w:t>
      </w:r>
      <w:r>
        <w:rPr>
          <w:snapToGrid/>
        </w:rPr>
        <w:t>公约》</w:t>
      </w:r>
      <w:r>
        <w:rPr>
          <w:snapToGrid/>
        </w:rPr>
        <w:t>(</w:t>
      </w:r>
      <w:r>
        <w:rPr>
          <w:snapToGrid/>
        </w:rPr>
        <w:t>第</w:t>
      </w:r>
      <w:r>
        <w:rPr>
          <w:snapToGrid/>
        </w:rPr>
        <w:t>111</w:t>
      </w:r>
      <w:r>
        <w:rPr>
          <w:snapToGrid/>
        </w:rPr>
        <w:t>号</w:t>
      </w:r>
      <w:r>
        <w:rPr>
          <w:rFonts w:hint="eastAsia"/>
          <w:snapToGrid/>
        </w:rPr>
        <w:t>)</w:t>
      </w:r>
      <w:r>
        <w:rPr>
          <w:snapToGrid/>
        </w:rPr>
        <w:t>的缔约国，</w:t>
      </w:r>
      <w:r>
        <w:rPr>
          <w:rFonts w:hint="eastAsia"/>
          <w:snapToGrid/>
        </w:rPr>
        <w:t>由</w:t>
      </w:r>
      <w:r>
        <w:rPr>
          <w:snapToGrid/>
        </w:rPr>
        <w:t>议会</w:t>
      </w:r>
      <w:r>
        <w:rPr>
          <w:rFonts w:hint="eastAsia"/>
          <w:snapToGrid/>
        </w:rPr>
        <w:t>于</w:t>
      </w:r>
      <w:r>
        <w:rPr>
          <w:snapToGrid/>
        </w:rPr>
        <w:t>1995</w:t>
      </w:r>
      <w:r>
        <w:rPr>
          <w:snapToGrid/>
        </w:rPr>
        <w:t>年</w:t>
      </w:r>
      <w:r>
        <w:rPr>
          <w:snapToGrid/>
        </w:rPr>
        <w:t>9</w:t>
      </w:r>
      <w:r>
        <w:rPr>
          <w:snapToGrid/>
        </w:rPr>
        <w:t>月</w:t>
      </w:r>
      <w:r>
        <w:rPr>
          <w:snapToGrid/>
        </w:rPr>
        <w:t>26</w:t>
      </w:r>
      <w:r>
        <w:rPr>
          <w:snapToGrid/>
        </w:rPr>
        <w:t>日</w:t>
      </w:r>
      <w:r>
        <w:rPr>
          <w:rFonts w:hint="eastAsia"/>
          <w:snapToGrid/>
        </w:rPr>
        <w:t>按</w:t>
      </w:r>
      <w:r>
        <w:rPr>
          <w:snapToGrid/>
        </w:rPr>
        <w:t>第</w:t>
      </w:r>
      <w:r>
        <w:rPr>
          <w:snapToGrid/>
        </w:rPr>
        <w:t>593-</w:t>
      </w:r>
      <w:r>
        <w:rPr>
          <w:rFonts w:hint="eastAsia"/>
          <w:snapToGrid/>
        </w:rPr>
        <w:t>XIII</w:t>
      </w:r>
      <w:r>
        <w:rPr>
          <w:rFonts w:hint="eastAsia"/>
          <w:snapToGrid/>
        </w:rPr>
        <w:t>号法案批准，自</w:t>
      </w:r>
      <w:r>
        <w:rPr>
          <w:snapToGrid/>
        </w:rPr>
        <w:t>1997</w:t>
      </w:r>
      <w:r>
        <w:rPr>
          <w:snapToGrid/>
        </w:rPr>
        <w:t>年</w:t>
      </w:r>
      <w:r>
        <w:rPr>
          <w:snapToGrid/>
        </w:rPr>
        <w:t>8</w:t>
      </w:r>
      <w:r>
        <w:rPr>
          <w:snapToGrid/>
        </w:rPr>
        <w:t>月</w:t>
      </w:r>
      <w:r>
        <w:rPr>
          <w:snapToGrid/>
        </w:rPr>
        <w:t>12</w:t>
      </w:r>
      <w:r>
        <w:rPr>
          <w:snapToGrid/>
        </w:rPr>
        <w:t>日起生效。摩尔多瓦共和国</w:t>
      </w:r>
      <w:r>
        <w:rPr>
          <w:rFonts w:hint="eastAsia"/>
          <w:snapToGrid/>
        </w:rPr>
        <w:t>还是《消除一切形式种族歧视国际公约》的缔约国，由议会于</w:t>
      </w:r>
      <w:r>
        <w:rPr>
          <w:snapToGrid/>
        </w:rPr>
        <w:t>1991</w:t>
      </w:r>
      <w:r>
        <w:rPr>
          <w:snapToGrid/>
        </w:rPr>
        <w:t>年</w:t>
      </w:r>
      <w:r>
        <w:rPr>
          <w:snapToGrid/>
        </w:rPr>
        <w:t>9</w:t>
      </w:r>
      <w:r>
        <w:rPr>
          <w:snapToGrid/>
        </w:rPr>
        <w:t>月</w:t>
      </w:r>
      <w:r>
        <w:rPr>
          <w:snapToGrid/>
        </w:rPr>
        <w:t>10</w:t>
      </w:r>
      <w:r>
        <w:rPr>
          <w:rFonts w:hint="eastAsia"/>
          <w:snapToGrid/>
        </w:rPr>
        <w:t>日按第</w:t>
      </w:r>
      <w:r>
        <w:rPr>
          <w:rFonts w:hint="eastAsia"/>
          <w:snapToGrid/>
        </w:rPr>
        <w:t>707-XII</w:t>
      </w:r>
      <w:r>
        <w:rPr>
          <w:rFonts w:hint="eastAsia"/>
          <w:snapToGrid/>
        </w:rPr>
        <w:t>号法案批准，自</w:t>
      </w:r>
      <w:r>
        <w:rPr>
          <w:snapToGrid/>
        </w:rPr>
        <w:t>1993</w:t>
      </w:r>
      <w:r>
        <w:rPr>
          <w:snapToGrid/>
        </w:rPr>
        <w:t>年</w:t>
      </w:r>
      <w:r>
        <w:rPr>
          <w:snapToGrid/>
        </w:rPr>
        <w:t>2</w:t>
      </w:r>
      <w:r>
        <w:rPr>
          <w:snapToGrid/>
        </w:rPr>
        <w:t>月</w:t>
      </w:r>
      <w:r>
        <w:rPr>
          <w:snapToGrid/>
        </w:rPr>
        <w:t>25</w:t>
      </w:r>
      <w:r>
        <w:rPr>
          <w:snapToGrid/>
        </w:rPr>
        <w:t>日起生效。议会</w:t>
      </w:r>
      <w:r>
        <w:rPr>
          <w:rFonts w:hint="eastAsia"/>
          <w:snapToGrid/>
        </w:rPr>
        <w:t>于</w:t>
      </w:r>
      <w:r>
        <w:rPr>
          <w:snapToGrid/>
        </w:rPr>
        <w:t>1994</w:t>
      </w:r>
      <w:r>
        <w:rPr>
          <w:snapToGrid/>
        </w:rPr>
        <w:t>年</w:t>
      </w:r>
      <w:r>
        <w:rPr>
          <w:snapToGrid/>
        </w:rPr>
        <w:t>8</w:t>
      </w:r>
      <w:r>
        <w:rPr>
          <w:snapToGrid/>
        </w:rPr>
        <w:t>月</w:t>
      </w:r>
      <w:r>
        <w:rPr>
          <w:snapToGrid/>
        </w:rPr>
        <w:t>24</w:t>
      </w:r>
      <w:r>
        <w:rPr>
          <w:snapToGrid/>
        </w:rPr>
        <w:t>日</w:t>
      </w:r>
      <w:r>
        <w:rPr>
          <w:rFonts w:hint="eastAsia"/>
          <w:snapToGrid/>
        </w:rPr>
        <w:t>按</w:t>
      </w:r>
      <w:r>
        <w:rPr>
          <w:snapToGrid/>
        </w:rPr>
        <w:t>第</w:t>
      </w:r>
      <w:r>
        <w:rPr>
          <w:snapToGrid/>
        </w:rPr>
        <w:t>87</w:t>
      </w:r>
      <w:r>
        <w:rPr>
          <w:rFonts w:hint="eastAsia"/>
          <w:snapToGrid/>
        </w:rPr>
        <w:t>-XIII</w:t>
      </w:r>
      <w:r>
        <w:rPr>
          <w:rFonts w:hint="eastAsia"/>
          <w:snapToGrid/>
        </w:rPr>
        <w:t>法案批准了《消除对妇女一切形式歧视公约》并且自</w:t>
      </w:r>
      <w:r>
        <w:rPr>
          <w:snapToGrid/>
        </w:rPr>
        <w:t>1994</w:t>
      </w:r>
      <w:r>
        <w:rPr>
          <w:snapToGrid/>
        </w:rPr>
        <w:t>年</w:t>
      </w:r>
      <w:r>
        <w:rPr>
          <w:snapToGrid/>
        </w:rPr>
        <w:t>7</w:t>
      </w:r>
      <w:r>
        <w:rPr>
          <w:snapToGrid/>
        </w:rPr>
        <w:t>月</w:t>
      </w:r>
      <w:r>
        <w:rPr>
          <w:rFonts w:hint="eastAsia"/>
          <w:snapToGrid/>
        </w:rPr>
        <w:t>31</w:t>
      </w:r>
      <w:r>
        <w:rPr>
          <w:snapToGrid/>
        </w:rPr>
        <w:t>日起生效。根据《国际劳工组织规章》第</w:t>
      </w:r>
      <w:r>
        <w:rPr>
          <w:snapToGrid/>
        </w:rPr>
        <w:t>22</w:t>
      </w:r>
      <w:r>
        <w:rPr>
          <w:snapToGrid/>
        </w:rPr>
        <w:t>条，摩尔多瓦于</w:t>
      </w:r>
      <w:r>
        <w:rPr>
          <w:snapToGrid/>
        </w:rPr>
        <w:t>1999</w:t>
      </w:r>
      <w:r>
        <w:rPr>
          <w:snapToGrid/>
        </w:rPr>
        <w:t>年</w:t>
      </w:r>
      <w:r>
        <w:rPr>
          <w:snapToGrid/>
        </w:rPr>
        <w:t>1</w:t>
      </w:r>
      <w:r>
        <w:rPr>
          <w:snapToGrid/>
        </w:rPr>
        <w:t>月</w:t>
      </w:r>
      <w:r>
        <w:rPr>
          <w:snapToGrid/>
        </w:rPr>
        <w:t>25</w:t>
      </w:r>
      <w:r>
        <w:rPr>
          <w:snapToGrid/>
        </w:rPr>
        <w:t>日提交了</w:t>
      </w:r>
      <w:r>
        <w:rPr>
          <w:rFonts w:hint="eastAsia"/>
          <w:snapToGrid/>
        </w:rPr>
        <w:t>各</w:t>
      </w:r>
      <w:r>
        <w:rPr>
          <w:snapToGrid/>
        </w:rPr>
        <w:t>报告。</w:t>
      </w:r>
    </w:p>
    <w:p w:rsidR="00000000" w:rsidRDefault="00000000">
      <w:pPr>
        <w:ind w:firstLine="539"/>
        <w:rPr>
          <w:snapToGrid/>
        </w:rPr>
      </w:pPr>
      <w:r>
        <w:rPr>
          <w:snapToGrid/>
        </w:rPr>
        <w:t>1</w:t>
      </w:r>
      <w:r>
        <w:rPr>
          <w:rFonts w:hint="eastAsia"/>
          <w:snapToGrid/>
        </w:rPr>
        <w:t xml:space="preserve">60.  </w:t>
      </w:r>
      <w:r>
        <w:rPr>
          <w:rFonts w:hint="eastAsia"/>
          <w:snapToGrid/>
        </w:rPr>
        <w:t>在国民经济体制内运作的各不同层次市场中，劳务市场占有重要的地位。劳力和职位空缺之间的关系由众多的因素确定。最为重要的一些因素是，经济、技术和结构变革的状况、劳动力的受训程度及其流动性。</w:t>
      </w:r>
    </w:p>
    <w:p w:rsidR="00000000" w:rsidRDefault="00000000">
      <w:pPr>
        <w:ind w:firstLine="539"/>
        <w:rPr>
          <w:snapToGrid/>
        </w:rPr>
      </w:pPr>
      <w:r>
        <w:rPr>
          <w:snapToGrid/>
        </w:rPr>
        <w:t>16</w:t>
      </w:r>
      <w:r>
        <w:rPr>
          <w:rFonts w:hint="eastAsia"/>
          <w:snapToGrid/>
        </w:rPr>
        <w:t>1.</w:t>
      </w:r>
      <w:r>
        <w:rPr>
          <w:snapToGrid/>
        </w:rPr>
        <w:t xml:space="preserve"> </w:t>
      </w:r>
      <w:r>
        <w:rPr>
          <w:rFonts w:hint="eastAsia"/>
          <w:snapToGrid/>
        </w:rPr>
        <w:t xml:space="preserve"> </w:t>
      </w:r>
      <w:r>
        <w:rPr>
          <w:snapToGrid/>
        </w:rPr>
        <w:t>首先失业显然是由于经济衰退、根据市场原则实行的经济单位整顿、技术的迅速演变，以及落后的专业培训所致。最佳和质量性就业是社会持久发展的一个要素。不能实行全面的就业造成了人力资源的损失，致使经济发展的步履减缓。就业是一个</w:t>
      </w:r>
      <w:r>
        <w:rPr>
          <w:rFonts w:hint="eastAsia"/>
          <w:snapToGrid/>
        </w:rPr>
        <w:t>国家</w:t>
      </w:r>
      <w:r>
        <w:rPr>
          <w:snapToGrid/>
        </w:rPr>
        <w:t>的问题。附件载有摩尔多瓦共和国</w:t>
      </w:r>
      <w:r>
        <w:rPr>
          <w:snapToGrid/>
        </w:rPr>
        <w:t>1995</w:t>
      </w:r>
      <w:r>
        <w:rPr>
          <w:snapToGrid/>
        </w:rPr>
        <w:t>年至</w:t>
      </w:r>
      <w:r>
        <w:rPr>
          <w:snapToGrid/>
        </w:rPr>
        <w:t>1998</w:t>
      </w:r>
      <w:r>
        <w:rPr>
          <w:snapToGrid/>
        </w:rPr>
        <w:t>年期间的就业结构状况</w:t>
      </w:r>
      <w:r>
        <w:rPr>
          <w:snapToGrid/>
        </w:rPr>
        <w:t>(</w:t>
      </w:r>
      <w:r>
        <w:rPr>
          <w:snapToGrid/>
        </w:rPr>
        <w:t>附录一</w:t>
      </w:r>
      <w:r>
        <w:rPr>
          <w:rFonts w:hint="eastAsia"/>
          <w:snapToGrid/>
        </w:rPr>
        <w:t>)</w:t>
      </w:r>
      <w:r>
        <w:rPr>
          <w:snapToGrid/>
        </w:rPr>
        <w:t>。</w:t>
      </w:r>
    </w:p>
    <w:p w:rsidR="00000000" w:rsidRDefault="00000000">
      <w:pPr>
        <w:ind w:firstLine="539"/>
        <w:rPr>
          <w:snapToGrid/>
        </w:rPr>
      </w:pPr>
      <w:r>
        <w:rPr>
          <w:snapToGrid/>
        </w:rPr>
        <w:t>16</w:t>
      </w:r>
      <w:r>
        <w:rPr>
          <w:rFonts w:hint="eastAsia"/>
          <w:snapToGrid/>
        </w:rPr>
        <w:t xml:space="preserve">2.  </w:t>
      </w:r>
      <w:r>
        <w:rPr>
          <w:snapToGrid/>
        </w:rPr>
        <w:t>摩尔多瓦运用了劳工组织建议的调研办法</w:t>
      </w:r>
      <w:r>
        <w:rPr>
          <w:rFonts w:hint="eastAsia"/>
          <w:snapToGrid/>
        </w:rPr>
        <w:t>来</w:t>
      </w:r>
      <w:r>
        <w:rPr>
          <w:snapToGrid/>
        </w:rPr>
        <w:t>研究劳务市场。其中一个办法是调查家庭劳力状况。这是摩尔多瓦共和国</w:t>
      </w:r>
      <w:r>
        <w:rPr>
          <w:snapToGrid/>
        </w:rPr>
        <w:t>1998</w:t>
      </w:r>
      <w:r>
        <w:rPr>
          <w:snapToGrid/>
        </w:rPr>
        <w:t>年第一次展开的研究。</w:t>
      </w:r>
    </w:p>
    <w:p w:rsidR="00000000" w:rsidRDefault="00000000">
      <w:pPr>
        <w:ind w:firstLine="539"/>
        <w:rPr>
          <w:snapToGrid/>
        </w:rPr>
      </w:pPr>
      <w:r>
        <w:rPr>
          <w:snapToGrid/>
        </w:rPr>
        <w:t>16</w:t>
      </w:r>
      <w:r>
        <w:rPr>
          <w:rFonts w:hint="eastAsia"/>
          <w:snapToGrid/>
        </w:rPr>
        <w:t xml:space="preserve">3.  </w:t>
      </w:r>
      <w:r>
        <w:rPr>
          <w:snapToGrid/>
        </w:rPr>
        <w:t>根据</w:t>
      </w:r>
      <w:r>
        <w:rPr>
          <w:snapToGrid/>
        </w:rPr>
        <w:t>2000</w:t>
      </w:r>
      <w:r>
        <w:rPr>
          <w:snapToGrid/>
        </w:rPr>
        <w:t>年调研结果获得的资料，失业人口占总体人口</w:t>
      </w:r>
      <w:r>
        <w:rPr>
          <w:snapToGrid/>
        </w:rPr>
        <w:t>41.</w:t>
      </w:r>
      <w:r>
        <w:rPr>
          <w:rFonts w:hint="eastAsia"/>
          <w:snapToGrid/>
        </w:rPr>
        <w:t>5%</w:t>
      </w:r>
      <w:r>
        <w:rPr>
          <w:rFonts w:hint="eastAsia"/>
          <w:snapToGrid/>
        </w:rPr>
        <w:t>，占可从事经济活动人口的</w:t>
      </w:r>
      <w:r>
        <w:rPr>
          <w:snapToGrid/>
        </w:rPr>
        <w:t>91.5%</w:t>
      </w:r>
      <w:r>
        <w:rPr>
          <w:snapToGrid/>
        </w:rPr>
        <w:t>。</w:t>
      </w:r>
      <w:r>
        <w:rPr>
          <w:snapToGrid/>
        </w:rPr>
        <w:t>(</w:t>
      </w:r>
      <w:r>
        <w:rPr>
          <w:snapToGrid/>
        </w:rPr>
        <w:t>按总体人口</w:t>
      </w:r>
      <w:r>
        <w:rPr>
          <w:rFonts w:hint="eastAsia"/>
          <w:snapToGrid/>
        </w:rPr>
        <w:t>的</w:t>
      </w:r>
      <w:r>
        <w:rPr>
          <w:snapToGrid/>
        </w:rPr>
        <w:t>就业人数计算</w:t>
      </w:r>
      <w:r>
        <w:rPr>
          <w:snapToGrid/>
        </w:rPr>
        <w:t>)</w:t>
      </w:r>
      <w:r>
        <w:rPr>
          <w:snapToGrid/>
        </w:rPr>
        <w:t>男性就业率</w:t>
      </w:r>
      <w:r>
        <w:rPr>
          <w:snapToGrid/>
        </w:rPr>
        <w:t>(42.</w:t>
      </w:r>
      <w:r>
        <w:rPr>
          <w:rFonts w:hint="eastAsia"/>
          <w:snapToGrid/>
        </w:rPr>
        <w:t>8</w:t>
      </w:r>
      <w:r>
        <w:rPr>
          <w:snapToGrid/>
        </w:rPr>
        <w:t>%)</w:t>
      </w:r>
      <w:r>
        <w:rPr>
          <w:snapToGrid/>
        </w:rPr>
        <w:t>高于女性</w:t>
      </w:r>
      <w:r>
        <w:rPr>
          <w:snapToGrid/>
        </w:rPr>
        <w:t>(40.4%)</w:t>
      </w:r>
      <w:r>
        <w:rPr>
          <w:snapToGrid/>
        </w:rPr>
        <w:t>。</w:t>
      </w:r>
      <w:r>
        <w:rPr>
          <w:snapToGrid/>
        </w:rPr>
        <w:t>15</w:t>
      </w:r>
      <w:r>
        <w:rPr>
          <w:snapToGrid/>
        </w:rPr>
        <w:t>岁或以上</w:t>
      </w:r>
      <w:r>
        <w:rPr>
          <w:rFonts w:hint="eastAsia"/>
          <w:snapToGrid/>
        </w:rPr>
        <w:t>年龄</w:t>
      </w:r>
      <w:r>
        <w:rPr>
          <w:snapToGrid/>
        </w:rPr>
        <w:t>的就业者占人口的</w:t>
      </w:r>
      <w:r>
        <w:rPr>
          <w:snapToGrid/>
        </w:rPr>
        <w:t>54.8%</w:t>
      </w:r>
      <w:r>
        <w:rPr>
          <w:snapToGrid/>
        </w:rPr>
        <w:t>。</w:t>
      </w:r>
      <w:r>
        <w:rPr>
          <w:rFonts w:hint="eastAsia"/>
          <w:snapToGrid/>
        </w:rPr>
        <w:t>15</w:t>
      </w:r>
      <w:r>
        <w:rPr>
          <w:rFonts w:hint="eastAsia"/>
          <w:snapToGrid/>
        </w:rPr>
        <w:t>岁及以上的就业者占人口的</w:t>
      </w:r>
      <w:r>
        <w:rPr>
          <w:rFonts w:hint="eastAsia"/>
          <w:snapToGrid/>
        </w:rPr>
        <w:t>54.8%</w:t>
      </w:r>
      <w:r>
        <w:rPr>
          <w:rFonts w:hint="eastAsia"/>
          <w:snapToGrid/>
        </w:rPr>
        <w:t>。</w:t>
      </w:r>
      <w:r>
        <w:rPr>
          <w:snapToGrid/>
        </w:rPr>
        <w:t>这一类</w:t>
      </w:r>
      <w:r>
        <w:rPr>
          <w:rFonts w:hint="eastAsia"/>
          <w:snapToGrid/>
        </w:rPr>
        <w:t>组</w:t>
      </w:r>
      <w:r>
        <w:rPr>
          <w:snapToGrid/>
        </w:rPr>
        <w:t>中的</w:t>
      </w:r>
      <w:r>
        <w:rPr>
          <w:rFonts w:hint="eastAsia"/>
          <w:snapToGrid/>
        </w:rPr>
        <w:t>女性</w:t>
      </w:r>
      <w:r>
        <w:rPr>
          <w:snapToGrid/>
        </w:rPr>
        <w:t>数量较大，但是</w:t>
      </w:r>
      <w:r>
        <w:rPr>
          <w:rFonts w:hint="eastAsia"/>
          <w:snapToGrid/>
        </w:rPr>
        <w:t>她</w:t>
      </w:r>
      <w:r>
        <w:rPr>
          <w:snapToGrid/>
        </w:rPr>
        <w:t>们的就业率</w:t>
      </w:r>
      <w:r>
        <w:rPr>
          <w:snapToGrid/>
        </w:rPr>
        <w:t>(52.2%)</w:t>
      </w:r>
      <w:r>
        <w:rPr>
          <w:rFonts w:hint="eastAsia"/>
          <w:snapToGrid/>
        </w:rPr>
        <w:t>低</w:t>
      </w:r>
      <w:r>
        <w:rPr>
          <w:snapToGrid/>
        </w:rPr>
        <w:t>于男性</w:t>
      </w:r>
      <w:r>
        <w:rPr>
          <w:snapToGrid/>
        </w:rPr>
        <w:t>(57.</w:t>
      </w:r>
      <w:r>
        <w:rPr>
          <w:rFonts w:hint="eastAsia"/>
          <w:snapToGrid/>
        </w:rPr>
        <w:t>7</w:t>
      </w:r>
      <w:r>
        <w:rPr>
          <w:snapToGrid/>
        </w:rPr>
        <w:t>%)</w:t>
      </w:r>
      <w:r>
        <w:rPr>
          <w:snapToGrid/>
        </w:rPr>
        <w:t>。城镇</w:t>
      </w:r>
      <w:r>
        <w:rPr>
          <w:snapToGrid/>
        </w:rPr>
        <w:t>(38.2)</w:t>
      </w:r>
      <w:r>
        <w:rPr>
          <w:snapToGrid/>
        </w:rPr>
        <w:t>与乡村地区</w:t>
      </w:r>
      <w:r>
        <w:rPr>
          <w:snapToGrid/>
        </w:rPr>
        <w:t>(</w:t>
      </w:r>
      <w:r>
        <w:rPr>
          <w:rFonts w:hint="eastAsia"/>
          <w:snapToGrid/>
        </w:rPr>
        <w:t>4</w:t>
      </w:r>
      <w:r>
        <w:rPr>
          <w:snapToGrid/>
        </w:rPr>
        <w:t>3.9%)</w:t>
      </w:r>
      <w:r>
        <w:rPr>
          <w:snapToGrid/>
        </w:rPr>
        <w:t>就业比率相差甚大。成年人占就业人口</w:t>
      </w:r>
      <w:r>
        <w:rPr>
          <w:rFonts w:hint="eastAsia"/>
          <w:snapToGrid/>
        </w:rPr>
        <w:t>的</w:t>
      </w:r>
      <w:r>
        <w:rPr>
          <w:snapToGrid/>
        </w:rPr>
        <w:t>77.9%</w:t>
      </w:r>
      <w:r>
        <w:rPr>
          <w:snapToGrid/>
        </w:rPr>
        <w:t>。</w:t>
      </w:r>
      <w:r>
        <w:rPr>
          <w:rFonts w:hint="eastAsia"/>
          <w:snapToGrid/>
        </w:rPr>
        <w:t>该</w:t>
      </w:r>
      <w:r>
        <w:rPr>
          <w:snapToGrid/>
        </w:rPr>
        <w:t>年的就业</w:t>
      </w:r>
      <w:r>
        <w:rPr>
          <w:rFonts w:hint="eastAsia"/>
          <w:snapToGrid/>
        </w:rPr>
        <w:t>者</w:t>
      </w:r>
      <w:r>
        <w:rPr>
          <w:snapToGrid/>
        </w:rPr>
        <w:t>比例于</w:t>
      </w:r>
      <w:r>
        <w:rPr>
          <w:rFonts w:hint="eastAsia"/>
          <w:snapToGrid/>
        </w:rPr>
        <w:t>上</w:t>
      </w:r>
      <w:r>
        <w:rPr>
          <w:snapToGrid/>
        </w:rPr>
        <w:t>年的比例</w:t>
      </w:r>
      <w:r>
        <w:rPr>
          <w:snapToGrid/>
        </w:rPr>
        <w:t>(40.9%)</w:t>
      </w:r>
      <w:r>
        <w:rPr>
          <w:rFonts w:hint="eastAsia"/>
          <w:snapToGrid/>
        </w:rPr>
        <w:t>相比无</w:t>
      </w:r>
      <w:r>
        <w:rPr>
          <w:snapToGrid/>
        </w:rPr>
        <w:t>显著差别。</w:t>
      </w:r>
    </w:p>
    <w:p w:rsidR="00000000" w:rsidRDefault="00000000">
      <w:pPr>
        <w:ind w:firstLine="539"/>
        <w:rPr>
          <w:snapToGrid/>
        </w:rPr>
      </w:pPr>
      <w:r>
        <w:rPr>
          <w:snapToGrid/>
        </w:rPr>
        <w:t>16</w:t>
      </w:r>
      <w:r>
        <w:rPr>
          <w:rFonts w:hint="eastAsia"/>
          <w:snapToGrid/>
        </w:rPr>
        <w:t xml:space="preserve">4.  </w:t>
      </w:r>
      <w:r>
        <w:rPr>
          <w:snapToGrid/>
        </w:rPr>
        <w:t>按照职业分布的就业人口表明，薪金</w:t>
      </w:r>
      <w:r>
        <w:rPr>
          <w:rFonts w:hint="eastAsia"/>
          <w:snapToGrid/>
        </w:rPr>
        <w:t>赚</w:t>
      </w:r>
      <w:r>
        <w:rPr>
          <w:snapToGrid/>
        </w:rPr>
        <w:t>取者的数量最大：</w:t>
      </w:r>
      <w:r>
        <w:rPr>
          <w:snapToGrid/>
        </w:rPr>
        <w:t>62.8%</w:t>
      </w:r>
      <w:r>
        <w:rPr>
          <w:snapToGrid/>
        </w:rPr>
        <w:t>。就业总人数中</w:t>
      </w:r>
      <w:r>
        <w:rPr>
          <w:rFonts w:hint="eastAsia"/>
          <w:snapToGrid/>
        </w:rPr>
        <w:t>有</w:t>
      </w:r>
      <w:r>
        <w:rPr>
          <w:snapToGrid/>
        </w:rPr>
        <w:t>55.6%</w:t>
      </w:r>
      <w:r>
        <w:rPr>
          <w:rFonts w:hint="eastAsia"/>
          <w:snapToGrid/>
        </w:rPr>
        <w:t>从事</w:t>
      </w:r>
      <w:r>
        <w:rPr>
          <w:snapToGrid/>
        </w:rPr>
        <w:t>商</w:t>
      </w:r>
      <w:r>
        <w:rPr>
          <w:rFonts w:hint="eastAsia"/>
          <w:snapToGrid/>
        </w:rPr>
        <w:t>业</w:t>
      </w:r>
      <w:r>
        <w:rPr>
          <w:snapToGrid/>
        </w:rPr>
        <w:t>，只有</w:t>
      </w:r>
      <w:r>
        <w:rPr>
          <w:snapToGrid/>
        </w:rPr>
        <w:t>10.2%</w:t>
      </w:r>
      <w:r>
        <w:rPr>
          <w:snapToGrid/>
        </w:rPr>
        <w:t>从事工业。</w:t>
      </w:r>
    </w:p>
    <w:p w:rsidR="00000000" w:rsidRDefault="00000000">
      <w:pPr>
        <w:ind w:firstLine="539"/>
        <w:rPr>
          <w:snapToGrid/>
        </w:rPr>
      </w:pPr>
      <w:r>
        <w:rPr>
          <w:snapToGrid/>
        </w:rPr>
        <w:t>16</w:t>
      </w:r>
      <w:r>
        <w:rPr>
          <w:rFonts w:hint="eastAsia"/>
          <w:snapToGrid/>
        </w:rPr>
        <w:t xml:space="preserve">5.  </w:t>
      </w:r>
      <w:r>
        <w:rPr>
          <w:snapToGrid/>
        </w:rPr>
        <w:t>按照财产所有权的形式，就业人口分布如下：</w:t>
      </w:r>
      <w:r>
        <w:rPr>
          <w:snapToGrid/>
        </w:rPr>
        <w:t>68.4%</w:t>
      </w:r>
      <w:r>
        <w:rPr>
          <w:snapToGrid/>
        </w:rPr>
        <w:t>从事私营部门的工作；</w:t>
      </w:r>
      <w:r>
        <w:rPr>
          <w:snapToGrid/>
        </w:rPr>
        <w:t>25.6%</w:t>
      </w:r>
      <w:r>
        <w:rPr>
          <w:snapToGrid/>
        </w:rPr>
        <w:t>从事公共部门工作；和</w:t>
      </w:r>
      <w:r>
        <w:rPr>
          <w:snapToGrid/>
        </w:rPr>
        <w:t>72.2%</w:t>
      </w:r>
      <w:r>
        <w:rPr>
          <w:snapToGrid/>
        </w:rPr>
        <w:t>就业人口</w:t>
      </w:r>
      <w:r>
        <w:rPr>
          <w:rFonts w:hint="eastAsia"/>
          <w:snapToGrid/>
        </w:rPr>
        <w:t>受雇于</w:t>
      </w:r>
      <w:r>
        <w:rPr>
          <w:snapToGrid/>
        </w:rPr>
        <w:t>乡村地区生活的私营部门。农业是一个重要的私营部门部份，占</w:t>
      </w:r>
      <w:r>
        <w:rPr>
          <w:rFonts w:hint="eastAsia"/>
          <w:snapToGrid/>
        </w:rPr>
        <w:t>私营</w:t>
      </w:r>
      <w:r>
        <w:rPr>
          <w:snapToGrid/>
        </w:rPr>
        <w:t>部门就业者的</w:t>
      </w:r>
      <w:r>
        <w:rPr>
          <w:snapToGrid/>
        </w:rPr>
        <w:t>69.2%</w:t>
      </w:r>
      <w:r>
        <w:rPr>
          <w:snapToGrid/>
        </w:rPr>
        <w:t>。根据国民经济活动，就业人口主要集中在农业</w:t>
      </w:r>
      <w:r>
        <w:rPr>
          <w:snapToGrid/>
        </w:rPr>
        <w:t>(5</w:t>
      </w:r>
      <w:r>
        <w:rPr>
          <w:rFonts w:hint="eastAsia"/>
          <w:snapToGrid/>
        </w:rPr>
        <w:t>0.</w:t>
      </w:r>
      <w:r>
        <w:rPr>
          <w:snapToGrid/>
        </w:rPr>
        <w:t>9%)</w:t>
      </w:r>
      <w:r>
        <w:rPr>
          <w:snapToGrid/>
        </w:rPr>
        <w:t>，这部份农业就业人口中</w:t>
      </w:r>
      <w:r>
        <w:rPr>
          <w:snapToGrid/>
        </w:rPr>
        <w:t>44%</w:t>
      </w:r>
      <w:r>
        <w:rPr>
          <w:snapToGrid/>
        </w:rPr>
        <w:t>在</w:t>
      </w:r>
      <w:r>
        <w:rPr>
          <w:snapToGrid/>
        </w:rPr>
        <w:t>35</w:t>
      </w:r>
      <w:r>
        <w:rPr>
          <w:rFonts w:hint="eastAsia"/>
          <w:snapToGrid/>
        </w:rPr>
        <w:t>至</w:t>
      </w:r>
      <w:r>
        <w:rPr>
          <w:rFonts w:hint="eastAsia"/>
          <w:snapToGrid/>
        </w:rPr>
        <w:t>4</w:t>
      </w:r>
      <w:r>
        <w:rPr>
          <w:snapToGrid/>
        </w:rPr>
        <w:t>9</w:t>
      </w:r>
      <w:r>
        <w:rPr>
          <w:snapToGrid/>
        </w:rPr>
        <w:t>岁之间。</w:t>
      </w:r>
    </w:p>
    <w:p w:rsidR="00000000" w:rsidRDefault="00000000">
      <w:pPr>
        <w:ind w:firstLine="539"/>
        <w:rPr>
          <w:snapToGrid/>
        </w:rPr>
      </w:pPr>
      <w:r>
        <w:rPr>
          <w:snapToGrid/>
        </w:rPr>
        <w:t>16</w:t>
      </w:r>
      <w:r>
        <w:rPr>
          <w:rFonts w:hint="eastAsia"/>
          <w:snapToGrid/>
        </w:rPr>
        <w:t xml:space="preserve">6.  </w:t>
      </w:r>
      <w:r>
        <w:rPr>
          <w:snapToGrid/>
        </w:rPr>
        <w:t>失业仍然是共和国的重大问题。根据劳工组织，</w:t>
      </w:r>
      <w:r>
        <w:rPr>
          <w:snapToGrid/>
        </w:rPr>
        <w:t>1999</w:t>
      </w:r>
      <w:r>
        <w:rPr>
          <w:snapToGrid/>
        </w:rPr>
        <w:t>年失业人数超过</w:t>
      </w:r>
      <w:r>
        <w:rPr>
          <w:snapToGrid/>
        </w:rPr>
        <w:t>187,</w:t>
      </w:r>
      <w:r>
        <w:rPr>
          <w:rFonts w:hint="eastAsia"/>
          <w:snapToGrid/>
        </w:rPr>
        <w:t>000</w:t>
      </w:r>
      <w:r>
        <w:rPr>
          <w:rFonts w:hint="eastAsia"/>
          <w:snapToGrid/>
        </w:rPr>
        <w:t>人。失业率达</w:t>
      </w:r>
      <w:r>
        <w:rPr>
          <w:snapToGrid/>
        </w:rPr>
        <w:t>11.1%</w:t>
      </w:r>
      <w:r>
        <w:rPr>
          <w:snapToGrid/>
        </w:rPr>
        <w:t>，城镇地区更高。根据劳工组织，</w:t>
      </w:r>
      <w:r>
        <w:rPr>
          <w:snapToGrid/>
        </w:rPr>
        <w:t>2000</w:t>
      </w:r>
      <w:r>
        <w:rPr>
          <w:snapToGrid/>
        </w:rPr>
        <w:t>年失业人数超过</w:t>
      </w:r>
      <w:r>
        <w:rPr>
          <w:snapToGrid/>
        </w:rPr>
        <w:t>140,</w:t>
      </w:r>
      <w:r>
        <w:rPr>
          <w:rFonts w:hint="eastAsia"/>
          <w:snapToGrid/>
        </w:rPr>
        <w:t>000(</w:t>
      </w:r>
      <w:r>
        <w:rPr>
          <w:snapToGrid/>
        </w:rPr>
        <w:t>8.5%)</w:t>
      </w:r>
      <w:r>
        <w:rPr>
          <w:snapToGrid/>
        </w:rPr>
        <w:t>。按照性别，男性失业率为</w:t>
      </w:r>
      <w:r>
        <w:rPr>
          <w:snapToGrid/>
        </w:rPr>
        <w:t>9.7%</w:t>
      </w:r>
      <w:r>
        <w:rPr>
          <w:snapToGrid/>
        </w:rPr>
        <w:t>，女性</w:t>
      </w:r>
      <w:r>
        <w:rPr>
          <w:snapToGrid/>
        </w:rPr>
        <w:t>7.2%</w:t>
      </w:r>
      <w:r>
        <w:rPr>
          <w:snapToGrid/>
        </w:rPr>
        <w:t>。青年人</w:t>
      </w:r>
      <w:r>
        <w:rPr>
          <w:snapToGrid/>
        </w:rPr>
        <w:t>(15</w:t>
      </w:r>
      <w:r>
        <w:rPr>
          <w:snapToGrid/>
        </w:rPr>
        <w:t>至</w:t>
      </w:r>
      <w:r>
        <w:rPr>
          <w:snapToGrid/>
        </w:rPr>
        <w:t>24</w:t>
      </w:r>
      <w:r>
        <w:rPr>
          <w:snapToGrid/>
        </w:rPr>
        <w:t>岁</w:t>
      </w:r>
      <w:r>
        <w:rPr>
          <w:snapToGrid/>
        </w:rPr>
        <w:t>)</w:t>
      </w:r>
      <w:r>
        <w:rPr>
          <w:snapToGrid/>
        </w:rPr>
        <w:t>的失业率最高</w:t>
      </w:r>
      <w:r>
        <w:rPr>
          <w:rFonts w:hint="eastAsia"/>
          <w:snapToGrid/>
          <w:spacing w:val="-50"/>
        </w:rPr>
        <w:t>―</w:t>
      </w:r>
      <w:r>
        <w:rPr>
          <w:rFonts w:hint="eastAsia"/>
          <w:snapToGrid/>
        </w:rPr>
        <w:t>―</w:t>
      </w:r>
      <w:r>
        <w:rPr>
          <w:rFonts w:hint="eastAsia"/>
          <w:snapToGrid/>
        </w:rPr>
        <w:t>1</w:t>
      </w:r>
      <w:r>
        <w:rPr>
          <w:snapToGrid/>
        </w:rPr>
        <w:t>5.8%</w:t>
      </w:r>
      <w:r>
        <w:rPr>
          <w:snapToGrid/>
        </w:rPr>
        <w:t>。</w:t>
      </w:r>
      <w:r>
        <w:rPr>
          <w:rFonts w:hint="eastAsia"/>
          <w:snapToGrid/>
        </w:rPr>
        <w:t>官方</w:t>
      </w:r>
      <w:r>
        <w:rPr>
          <w:snapToGrid/>
        </w:rPr>
        <w:t>失业率仅为</w:t>
      </w:r>
      <w:r>
        <w:rPr>
          <w:snapToGrid/>
        </w:rPr>
        <w:t>2%</w:t>
      </w:r>
      <w:r>
        <w:rPr>
          <w:snapToGrid/>
        </w:rPr>
        <w:t>。</w:t>
      </w:r>
      <w:r>
        <w:rPr>
          <w:snapToGrid/>
        </w:rPr>
        <w:t>2000</w:t>
      </w:r>
      <w:r>
        <w:rPr>
          <w:snapToGrid/>
        </w:rPr>
        <w:t>年在劳务交易所注册的失业人数是</w:t>
      </w:r>
      <w:r>
        <w:rPr>
          <w:snapToGrid/>
        </w:rPr>
        <w:t>50,800</w:t>
      </w:r>
      <w:r>
        <w:rPr>
          <w:snapToGrid/>
        </w:rPr>
        <w:t>。摩尔多瓦共和国</w:t>
      </w:r>
      <w:r>
        <w:rPr>
          <w:snapToGrid/>
        </w:rPr>
        <w:t>1991</w:t>
      </w:r>
      <w:r>
        <w:rPr>
          <w:snapToGrid/>
        </w:rPr>
        <w:t>至</w:t>
      </w:r>
      <w:r>
        <w:rPr>
          <w:snapToGrid/>
        </w:rPr>
        <w:t>1999</w:t>
      </w:r>
      <w:r>
        <w:rPr>
          <w:snapToGrid/>
        </w:rPr>
        <w:t>年期间就业变动情况载于附件</w:t>
      </w:r>
      <w:r>
        <w:rPr>
          <w:snapToGrid/>
        </w:rPr>
        <w:t>(</w:t>
      </w:r>
      <w:r>
        <w:rPr>
          <w:snapToGrid/>
        </w:rPr>
        <w:t>附录二</w:t>
      </w:r>
      <w:r>
        <w:rPr>
          <w:snapToGrid/>
        </w:rPr>
        <w:t>)</w:t>
      </w:r>
      <w:r>
        <w:rPr>
          <w:snapToGrid/>
        </w:rPr>
        <w:t>。</w:t>
      </w:r>
    </w:p>
    <w:p w:rsidR="00000000" w:rsidRDefault="00000000">
      <w:pPr>
        <w:ind w:firstLine="539"/>
        <w:rPr>
          <w:snapToGrid/>
        </w:rPr>
      </w:pPr>
      <w:r>
        <w:rPr>
          <w:snapToGrid/>
        </w:rPr>
        <w:t>16</w:t>
      </w:r>
      <w:r>
        <w:rPr>
          <w:rFonts w:hint="eastAsia"/>
          <w:snapToGrid/>
        </w:rPr>
        <w:t xml:space="preserve">7.  </w:t>
      </w:r>
      <w:r>
        <w:rPr>
          <w:snapToGrid/>
        </w:rPr>
        <w:t>由于潜在的失业，劳务市场</w:t>
      </w:r>
      <w:r>
        <w:rPr>
          <w:rFonts w:hint="eastAsia"/>
          <w:snapToGrid/>
        </w:rPr>
        <w:t>也</w:t>
      </w:r>
      <w:r>
        <w:rPr>
          <w:snapToGrid/>
        </w:rPr>
        <w:t>极为紧张。</w:t>
      </w:r>
      <w:r>
        <w:rPr>
          <w:snapToGrid/>
        </w:rPr>
        <w:t>2000</w:t>
      </w:r>
      <w:r>
        <w:rPr>
          <w:snapToGrid/>
        </w:rPr>
        <w:t>年，</w:t>
      </w:r>
      <w:r>
        <w:rPr>
          <w:rFonts w:hint="eastAsia"/>
          <w:snapToGrid/>
        </w:rPr>
        <w:t>99,</w:t>
      </w:r>
      <w:r>
        <w:rPr>
          <w:snapToGrid/>
        </w:rPr>
        <w:t>800</w:t>
      </w:r>
      <w:r>
        <w:rPr>
          <w:snapToGrid/>
        </w:rPr>
        <w:t>人</w:t>
      </w:r>
      <w:r>
        <w:rPr>
          <w:rFonts w:hint="eastAsia"/>
          <w:snapToGrid/>
        </w:rPr>
        <w:t>因</w:t>
      </w:r>
      <w:r>
        <w:rPr>
          <w:snapToGrid/>
        </w:rPr>
        <w:t>被迫解雇</w:t>
      </w:r>
      <w:r>
        <w:rPr>
          <w:rFonts w:hint="eastAsia"/>
          <w:snapToGrid/>
        </w:rPr>
        <w:t>而</w:t>
      </w:r>
      <w:r>
        <w:rPr>
          <w:snapToGrid/>
        </w:rPr>
        <w:t>失业，并由于工作班</w:t>
      </w:r>
      <w:r>
        <w:rPr>
          <w:rFonts w:hint="eastAsia"/>
          <w:snapToGrid/>
        </w:rPr>
        <w:t>制</w:t>
      </w:r>
      <w:r>
        <w:rPr>
          <w:snapToGrid/>
        </w:rPr>
        <w:t>的</w:t>
      </w:r>
      <w:r>
        <w:rPr>
          <w:rFonts w:hint="eastAsia"/>
          <w:snapToGrid/>
        </w:rPr>
        <w:t>缩</w:t>
      </w:r>
      <w:r>
        <w:rPr>
          <w:snapToGrid/>
        </w:rPr>
        <w:t>减，</w:t>
      </w:r>
      <w:r>
        <w:rPr>
          <w:snapToGrid/>
        </w:rPr>
        <w:t>22,400</w:t>
      </w:r>
      <w:r>
        <w:rPr>
          <w:snapToGrid/>
        </w:rPr>
        <w:t>人失业。今年上半年</w:t>
      </w:r>
      <w:r>
        <w:rPr>
          <w:rFonts w:hint="eastAsia"/>
          <w:snapToGrid/>
        </w:rPr>
        <w:t>初，失业人数比眼下少</w:t>
      </w:r>
      <w:r>
        <w:rPr>
          <w:snapToGrid/>
        </w:rPr>
        <w:t>(</w:t>
      </w:r>
      <w:r>
        <w:rPr>
          <w:snapToGrid/>
        </w:rPr>
        <w:t>分别为</w:t>
      </w:r>
      <w:r>
        <w:rPr>
          <w:snapToGrid/>
        </w:rPr>
        <w:t>85,800</w:t>
      </w:r>
      <w:r>
        <w:rPr>
          <w:snapToGrid/>
        </w:rPr>
        <w:t>人和</w:t>
      </w:r>
      <w:r>
        <w:rPr>
          <w:snapToGrid/>
        </w:rPr>
        <w:t>22,</w:t>
      </w:r>
      <w:r>
        <w:rPr>
          <w:rFonts w:hint="eastAsia"/>
          <w:snapToGrid/>
        </w:rPr>
        <w:t>100</w:t>
      </w:r>
      <w:r>
        <w:rPr>
          <w:rFonts w:hint="eastAsia"/>
          <w:snapToGrid/>
        </w:rPr>
        <w:t>人</w:t>
      </w:r>
      <w:r>
        <w:rPr>
          <w:rFonts w:hint="eastAsia"/>
          <w:snapToGrid/>
        </w:rPr>
        <w:t>)</w:t>
      </w:r>
      <w:r>
        <w:rPr>
          <w:rFonts w:hint="eastAsia"/>
          <w:snapToGrid/>
        </w:rPr>
        <w:t>。</w:t>
      </w:r>
    </w:p>
    <w:p w:rsidR="00000000" w:rsidRDefault="00000000">
      <w:pPr>
        <w:ind w:firstLine="539"/>
        <w:rPr>
          <w:snapToGrid/>
        </w:rPr>
      </w:pPr>
      <w:r>
        <w:rPr>
          <w:snapToGrid/>
        </w:rPr>
        <w:t>16</w:t>
      </w:r>
      <w:r>
        <w:rPr>
          <w:rFonts w:hint="eastAsia"/>
          <w:snapToGrid/>
        </w:rPr>
        <w:t xml:space="preserve">8.  </w:t>
      </w:r>
      <w:r>
        <w:rPr>
          <w:snapToGrid/>
        </w:rPr>
        <w:t>社会和经济生活的急剧变革，通过各不同人类活动部门之间劳动力的重新分配，某些活动形式消失</w:t>
      </w:r>
      <w:r>
        <w:rPr>
          <w:rFonts w:hint="eastAsia"/>
          <w:snapToGrid/>
        </w:rPr>
        <w:t>，</w:t>
      </w:r>
      <w:r>
        <w:rPr>
          <w:snapToGrid/>
        </w:rPr>
        <w:t>新活动形式出现，各部门之间的重新分配等等，造成了失业率的增长</w:t>
      </w:r>
      <w:r>
        <w:rPr>
          <w:snapToGrid/>
        </w:rPr>
        <w:t>(</w:t>
      </w:r>
      <w:r>
        <w:rPr>
          <w:snapToGrid/>
        </w:rPr>
        <w:t>附录三</w:t>
      </w:r>
      <w:r>
        <w:rPr>
          <w:rFonts w:hint="eastAsia"/>
          <w:snapToGrid/>
        </w:rPr>
        <w:t>)</w:t>
      </w:r>
      <w:r>
        <w:rPr>
          <w:snapToGrid/>
        </w:rPr>
        <w:t>。</w:t>
      </w:r>
      <w:r>
        <w:rPr>
          <w:snapToGrid/>
        </w:rPr>
        <w:t>199</w:t>
      </w:r>
      <w:r>
        <w:rPr>
          <w:rFonts w:hint="eastAsia"/>
          <w:snapToGrid/>
        </w:rPr>
        <w:t>6</w:t>
      </w:r>
      <w:r>
        <w:rPr>
          <w:snapToGrid/>
        </w:rPr>
        <w:t>年，农业部门</w:t>
      </w:r>
      <w:r>
        <w:rPr>
          <w:rFonts w:hint="eastAsia"/>
          <w:snapToGrid/>
        </w:rPr>
        <w:t>的</w:t>
      </w:r>
      <w:r>
        <w:rPr>
          <w:snapToGrid/>
        </w:rPr>
        <w:t>雇</w:t>
      </w:r>
      <w:r>
        <w:rPr>
          <w:rFonts w:hint="eastAsia"/>
          <w:snapToGrid/>
        </w:rPr>
        <w:t>用人数为</w:t>
      </w:r>
      <w:r>
        <w:rPr>
          <w:snapToGrid/>
        </w:rPr>
        <w:t>43.4%</w:t>
      </w:r>
      <w:r>
        <w:rPr>
          <w:snapToGrid/>
        </w:rPr>
        <w:t>，然而</w:t>
      </w:r>
      <w:r>
        <w:rPr>
          <w:rFonts w:hint="eastAsia"/>
          <w:snapToGrid/>
        </w:rPr>
        <w:t>，</w:t>
      </w:r>
      <w:r>
        <w:rPr>
          <w:snapToGrid/>
        </w:rPr>
        <w:t>1999</w:t>
      </w:r>
      <w:r>
        <w:rPr>
          <w:snapToGrid/>
        </w:rPr>
        <w:t>年只有</w:t>
      </w:r>
      <w:r>
        <w:rPr>
          <w:snapToGrid/>
        </w:rPr>
        <w:t>31.1%</w:t>
      </w:r>
      <w:r>
        <w:rPr>
          <w:snapToGrid/>
        </w:rPr>
        <w:t>。</w:t>
      </w:r>
      <w:r>
        <w:rPr>
          <w:snapToGrid/>
        </w:rPr>
        <w:t>1996</w:t>
      </w:r>
      <w:r>
        <w:rPr>
          <w:snapToGrid/>
        </w:rPr>
        <w:t>至</w:t>
      </w:r>
      <w:r>
        <w:rPr>
          <w:snapToGrid/>
        </w:rPr>
        <w:t>1999</w:t>
      </w:r>
      <w:r>
        <w:rPr>
          <w:snapToGrid/>
        </w:rPr>
        <w:t>年的统计分析表明，某些部门雇用</w:t>
      </w:r>
      <w:r>
        <w:rPr>
          <w:rFonts w:hint="eastAsia"/>
          <w:snapToGrid/>
        </w:rPr>
        <w:t>的</w:t>
      </w:r>
      <w:r>
        <w:rPr>
          <w:snapToGrid/>
        </w:rPr>
        <w:t>人员百分比</w:t>
      </w:r>
      <w:r>
        <w:rPr>
          <w:rFonts w:hint="eastAsia"/>
          <w:snapToGrid/>
        </w:rPr>
        <w:t>未</w:t>
      </w:r>
      <w:r>
        <w:rPr>
          <w:snapToGrid/>
        </w:rPr>
        <w:t>出现相当大程度的变化，但与此同时，在工业</w:t>
      </w:r>
      <w:r>
        <w:rPr>
          <w:snapToGrid/>
        </w:rPr>
        <w:t>(</w:t>
      </w:r>
      <w:r>
        <w:rPr>
          <w:snapToGrid/>
        </w:rPr>
        <w:t>从</w:t>
      </w:r>
      <w:r>
        <w:rPr>
          <w:snapToGrid/>
        </w:rPr>
        <w:t>14.8%</w:t>
      </w:r>
      <w:r>
        <w:rPr>
          <w:rFonts w:hint="eastAsia"/>
          <w:snapToGrid/>
        </w:rPr>
        <w:t>上升</w:t>
      </w:r>
      <w:r>
        <w:rPr>
          <w:snapToGrid/>
        </w:rPr>
        <w:t>至</w:t>
      </w:r>
      <w:r>
        <w:rPr>
          <w:snapToGrid/>
        </w:rPr>
        <w:t>16.3%)</w:t>
      </w:r>
      <w:r>
        <w:rPr>
          <w:snapToGrid/>
        </w:rPr>
        <w:t>、国家行政和保护部门</w:t>
      </w:r>
      <w:r>
        <w:rPr>
          <w:snapToGrid/>
        </w:rPr>
        <w:t>(</w:t>
      </w:r>
      <w:r>
        <w:rPr>
          <w:snapToGrid/>
        </w:rPr>
        <w:t>从</w:t>
      </w:r>
      <w:r>
        <w:rPr>
          <w:snapToGrid/>
        </w:rPr>
        <w:t>2.6%</w:t>
      </w:r>
      <w:r>
        <w:rPr>
          <w:snapToGrid/>
        </w:rPr>
        <w:t>上升至</w:t>
      </w:r>
      <w:r>
        <w:rPr>
          <w:snapToGrid/>
        </w:rPr>
        <w:t>6.0%)</w:t>
      </w:r>
      <w:r>
        <w:rPr>
          <w:snapToGrid/>
        </w:rPr>
        <w:t>、资产转让</w:t>
      </w:r>
      <w:r>
        <w:rPr>
          <w:snapToGrid/>
        </w:rPr>
        <w:t>(</w:t>
      </w:r>
      <w:r>
        <w:rPr>
          <w:snapToGrid/>
        </w:rPr>
        <w:t>从</w:t>
      </w:r>
      <w:r>
        <w:rPr>
          <w:snapToGrid/>
        </w:rPr>
        <w:t>2.7%</w:t>
      </w:r>
      <w:r>
        <w:rPr>
          <w:snapToGrid/>
        </w:rPr>
        <w:t>提高至</w:t>
      </w:r>
      <w:r>
        <w:rPr>
          <w:snapToGrid/>
        </w:rPr>
        <w:t>3.4%)</w:t>
      </w:r>
      <w:r>
        <w:rPr>
          <w:snapToGrid/>
        </w:rPr>
        <w:t>、教育</w:t>
      </w:r>
      <w:r>
        <w:rPr>
          <w:snapToGrid/>
        </w:rPr>
        <w:t>(</w:t>
      </w:r>
      <w:r>
        <w:rPr>
          <w:rFonts w:hint="eastAsia"/>
          <w:snapToGrid/>
        </w:rPr>
        <w:t>从</w:t>
      </w:r>
      <w:r>
        <w:rPr>
          <w:rFonts w:hint="eastAsia"/>
          <w:snapToGrid/>
        </w:rPr>
        <w:t>1</w:t>
      </w:r>
      <w:r>
        <w:rPr>
          <w:snapToGrid/>
        </w:rPr>
        <w:t>2.4%</w:t>
      </w:r>
      <w:r>
        <w:rPr>
          <w:snapToGrid/>
        </w:rPr>
        <w:t>增加至</w:t>
      </w:r>
      <w:r>
        <w:rPr>
          <w:snapToGrid/>
        </w:rPr>
        <w:t>16.3%)</w:t>
      </w:r>
      <w:r>
        <w:rPr>
          <w:snapToGrid/>
        </w:rPr>
        <w:t>，和卫生与医疗援助</w:t>
      </w:r>
      <w:r>
        <w:rPr>
          <w:snapToGrid/>
        </w:rPr>
        <w:t>(</w:t>
      </w:r>
      <w:r>
        <w:rPr>
          <w:snapToGrid/>
        </w:rPr>
        <w:t>从</w:t>
      </w:r>
      <w:r>
        <w:rPr>
          <w:snapToGrid/>
        </w:rPr>
        <w:t>7.7%</w:t>
      </w:r>
      <w:r>
        <w:rPr>
          <w:snapToGrid/>
        </w:rPr>
        <w:t>提高至</w:t>
      </w:r>
      <w:r>
        <w:rPr>
          <w:snapToGrid/>
        </w:rPr>
        <w:t>9.2%)</w:t>
      </w:r>
      <w:r>
        <w:rPr>
          <w:rFonts w:hint="eastAsia"/>
          <w:snapToGrid/>
        </w:rPr>
        <w:t>等方面</w:t>
      </w:r>
      <w:r>
        <w:rPr>
          <w:snapToGrid/>
        </w:rPr>
        <w:t>则出现了变化。</w:t>
      </w:r>
    </w:p>
    <w:p w:rsidR="00000000" w:rsidRDefault="00000000">
      <w:pPr>
        <w:ind w:firstLine="539"/>
        <w:rPr>
          <w:snapToGrid/>
        </w:rPr>
      </w:pPr>
      <w:r>
        <w:rPr>
          <w:snapToGrid/>
        </w:rPr>
        <w:t>16</w:t>
      </w:r>
      <w:r>
        <w:rPr>
          <w:rFonts w:hint="eastAsia"/>
          <w:snapToGrid/>
        </w:rPr>
        <w:t xml:space="preserve">9.  </w:t>
      </w:r>
      <w:r>
        <w:rPr>
          <w:snapToGrid/>
        </w:rPr>
        <w:t>创造就业条件已经成为根据经济标准，开拓需求的一项</w:t>
      </w:r>
      <w:r>
        <w:rPr>
          <w:rFonts w:hint="eastAsia"/>
          <w:snapToGrid/>
        </w:rPr>
        <w:t>专门功</w:t>
      </w:r>
      <w:r>
        <w:rPr>
          <w:snapToGrid/>
        </w:rPr>
        <w:t>能。国家</w:t>
      </w:r>
      <w:r>
        <w:rPr>
          <w:rFonts w:hint="eastAsia"/>
          <w:snapToGrid/>
        </w:rPr>
        <w:t>应</w:t>
      </w:r>
      <w:r>
        <w:rPr>
          <w:snapToGrid/>
        </w:rPr>
        <w:t>进行干预，推动劳工队伍代理机构的行动，以实现供求之间的平衡。为实现供求、工会和雇主之间的良好关系，国家应认识到就业政策的作用；不仅如此，国家应确定和行使这项</w:t>
      </w:r>
      <w:r>
        <w:rPr>
          <w:rFonts w:hint="eastAsia"/>
          <w:snapToGrid/>
        </w:rPr>
        <w:t>政策</w:t>
      </w:r>
      <w:r>
        <w:rPr>
          <w:snapToGrid/>
        </w:rPr>
        <w:t>，并且应与各有关的行为者长期合作。</w:t>
      </w:r>
    </w:p>
    <w:p w:rsidR="00000000" w:rsidRDefault="00000000">
      <w:pPr>
        <w:ind w:firstLine="539"/>
        <w:rPr>
          <w:snapToGrid/>
        </w:rPr>
      </w:pPr>
      <w:r>
        <w:rPr>
          <w:rFonts w:hint="eastAsia"/>
          <w:snapToGrid/>
        </w:rPr>
        <w:t xml:space="preserve">170.  </w:t>
      </w:r>
      <w:r>
        <w:rPr>
          <w:snapToGrid/>
        </w:rPr>
        <w:t>国家就业服务局在行使对劳务市场的参与和社会保护政策方面</w:t>
      </w:r>
      <w:r>
        <w:rPr>
          <w:rFonts w:hint="eastAsia"/>
          <w:snapToGrid/>
        </w:rPr>
        <w:t>地位</w:t>
      </w:r>
      <w:r>
        <w:rPr>
          <w:snapToGrid/>
        </w:rPr>
        <w:t>重大。劳务利用部门代表</w:t>
      </w:r>
      <w:r>
        <w:rPr>
          <w:rFonts w:hint="eastAsia"/>
          <w:snapToGrid/>
          <w:spacing w:val="8"/>
        </w:rPr>
        <w:t>着</w:t>
      </w:r>
      <w:r>
        <w:rPr>
          <w:snapToGrid/>
          <w:spacing w:val="8"/>
        </w:rPr>
        <w:t>政府服务部门。在摩尔多瓦共和国领土内设有</w:t>
      </w:r>
      <w:r>
        <w:rPr>
          <w:snapToGrid/>
          <w:spacing w:val="8"/>
        </w:rPr>
        <w:t>12</w:t>
      </w:r>
      <w:r>
        <w:rPr>
          <w:snapToGrid/>
          <w:spacing w:val="8"/>
        </w:rPr>
        <w:t>家劳务交易所。</w:t>
      </w:r>
      <w:r>
        <w:rPr>
          <w:snapToGrid/>
          <w:spacing w:val="8"/>
        </w:rPr>
        <w:t>2000</w:t>
      </w:r>
      <w:r>
        <w:rPr>
          <w:snapToGrid/>
          <w:spacing w:val="8"/>
        </w:rPr>
        <w:t>年期间，按照经济代理的要求，挑选并雇用了</w:t>
      </w:r>
      <w:r>
        <w:rPr>
          <w:snapToGrid/>
          <w:spacing w:val="8"/>
        </w:rPr>
        <w:t>22,100</w:t>
      </w:r>
      <w:r>
        <w:rPr>
          <w:snapToGrid/>
          <w:spacing w:val="8"/>
        </w:rPr>
        <w:t>人</w:t>
      </w:r>
      <w:r>
        <w:rPr>
          <w:snapToGrid/>
          <w:spacing w:val="8"/>
        </w:rPr>
        <w:t>(12,</w:t>
      </w:r>
      <w:r>
        <w:rPr>
          <w:rFonts w:hint="eastAsia"/>
          <w:snapToGrid/>
          <w:spacing w:val="8"/>
        </w:rPr>
        <w:t>100</w:t>
      </w:r>
      <w:r>
        <w:rPr>
          <w:rFonts w:hint="eastAsia"/>
          <w:snapToGrid/>
          <w:spacing w:val="8"/>
        </w:rPr>
        <w:t>名女性</w:t>
      </w:r>
      <w:r>
        <w:rPr>
          <w:rFonts w:hint="eastAsia"/>
          <w:snapToGrid/>
          <w:spacing w:val="8"/>
        </w:rPr>
        <w:t>)</w:t>
      </w:r>
      <w:r>
        <w:rPr>
          <w:rFonts w:hint="eastAsia"/>
          <w:snapToGrid/>
          <w:spacing w:val="8"/>
        </w:rPr>
        <w:t>。这占年初注册失业者人数</w:t>
      </w:r>
      <w:r>
        <w:rPr>
          <w:snapToGrid/>
          <w:spacing w:val="8"/>
        </w:rPr>
        <w:t>(50,</w:t>
      </w:r>
      <w:r>
        <w:rPr>
          <w:rFonts w:hint="eastAsia"/>
          <w:snapToGrid/>
          <w:spacing w:val="8"/>
        </w:rPr>
        <w:t>800)</w:t>
      </w:r>
      <w:r>
        <w:rPr>
          <w:rFonts w:hint="eastAsia"/>
          <w:snapToGrid/>
          <w:spacing w:val="8"/>
        </w:rPr>
        <w:t>的</w:t>
      </w:r>
      <w:r>
        <w:rPr>
          <w:snapToGrid/>
          <w:spacing w:val="8"/>
        </w:rPr>
        <w:t>43.4%</w:t>
      </w:r>
      <w:r>
        <w:rPr>
          <w:rFonts w:hint="eastAsia"/>
          <w:snapToGrid/>
          <w:spacing w:val="8"/>
        </w:rPr>
        <w:t>。</w:t>
      </w:r>
      <w:r>
        <w:rPr>
          <w:snapToGrid/>
          <w:spacing w:val="8"/>
        </w:rPr>
        <w:t>2000</w:t>
      </w:r>
      <w:r>
        <w:rPr>
          <w:snapToGrid/>
          <w:spacing w:val="8"/>
        </w:rPr>
        <w:t>年</w:t>
      </w:r>
      <w:r>
        <w:rPr>
          <w:rFonts w:hint="eastAsia"/>
          <w:snapToGrid/>
          <w:spacing w:val="8"/>
        </w:rPr>
        <w:t>劳务交易所为</w:t>
      </w:r>
      <w:r>
        <w:rPr>
          <w:snapToGrid/>
          <w:spacing w:val="8"/>
        </w:rPr>
        <w:t>18,100</w:t>
      </w:r>
      <w:r>
        <w:rPr>
          <w:snapToGrid/>
          <w:spacing w:val="8"/>
        </w:rPr>
        <w:t>人找到了工作</w:t>
      </w:r>
      <w:r>
        <w:rPr>
          <w:snapToGrid/>
          <w:spacing w:val="8"/>
        </w:rPr>
        <w:t>(9,500</w:t>
      </w:r>
      <w:r>
        <w:rPr>
          <w:snapToGrid/>
          <w:spacing w:val="8"/>
        </w:rPr>
        <w:t>名女性、</w:t>
      </w:r>
      <w:r>
        <w:rPr>
          <w:snapToGrid/>
          <w:spacing w:val="8"/>
        </w:rPr>
        <w:t>2,800</w:t>
      </w:r>
      <w:r>
        <w:rPr>
          <w:snapToGrid/>
          <w:spacing w:val="8"/>
        </w:rPr>
        <w:t>名</w:t>
      </w:r>
      <w:r>
        <w:rPr>
          <w:snapToGrid/>
          <w:spacing w:val="8"/>
        </w:rPr>
        <w:t>25</w:t>
      </w:r>
      <w:r>
        <w:rPr>
          <w:snapToGrid/>
          <w:spacing w:val="8"/>
        </w:rPr>
        <w:t>至</w:t>
      </w:r>
      <w:r>
        <w:rPr>
          <w:snapToGrid/>
          <w:spacing w:val="8"/>
        </w:rPr>
        <w:t>29</w:t>
      </w:r>
      <w:r>
        <w:rPr>
          <w:snapToGrid/>
          <w:spacing w:val="8"/>
        </w:rPr>
        <w:t>岁的青年，和</w:t>
      </w:r>
      <w:r>
        <w:rPr>
          <w:snapToGrid/>
          <w:spacing w:val="8"/>
        </w:rPr>
        <w:t>1,800</w:t>
      </w:r>
      <w:r>
        <w:rPr>
          <w:snapToGrid/>
        </w:rPr>
        <w:t>名</w:t>
      </w:r>
      <w:r>
        <w:rPr>
          <w:snapToGrid/>
        </w:rPr>
        <w:t>50</w:t>
      </w:r>
      <w:r>
        <w:rPr>
          <w:snapToGrid/>
        </w:rPr>
        <w:t>至</w:t>
      </w:r>
      <w:r>
        <w:rPr>
          <w:snapToGrid/>
        </w:rPr>
        <w:t>59</w:t>
      </w:r>
      <w:r>
        <w:rPr>
          <w:snapToGrid/>
        </w:rPr>
        <w:t>岁者</w:t>
      </w:r>
      <w:r>
        <w:rPr>
          <w:rFonts w:hint="eastAsia"/>
          <w:snapToGrid/>
        </w:rPr>
        <w:t>)</w:t>
      </w:r>
      <w:r>
        <w:rPr>
          <w:snapToGrid/>
        </w:rPr>
        <w:t>。</w:t>
      </w:r>
    </w:p>
    <w:p w:rsidR="00000000" w:rsidRDefault="00000000">
      <w:pPr>
        <w:ind w:firstLine="539"/>
        <w:rPr>
          <w:rFonts w:hint="eastAsia"/>
          <w:snapToGrid/>
        </w:rPr>
      </w:pPr>
      <w:r>
        <w:rPr>
          <w:snapToGrid/>
        </w:rPr>
        <w:t>17</w:t>
      </w:r>
      <w:r>
        <w:rPr>
          <w:rFonts w:hint="eastAsia"/>
          <w:snapToGrid/>
        </w:rPr>
        <w:t xml:space="preserve">1.  </w:t>
      </w:r>
      <w:r>
        <w:rPr>
          <w:snapToGrid/>
        </w:rPr>
        <w:t>关于经济单位</w:t>
      </w:r>
      <w:r>
        <w:rPr>
          <w:rFonts w:hint="eastAsia"/>
          <w:snapToGrid/>
        </w:rPr>
        <w:t>空额</w:t>
      </w:r>
      <w:r>
        <w:rPr>
          <w:snapToGrid/>
        </w:rPr>
        <w:t>的立法</w:t>
      </w:r>
      <w:r>
        <w:rPr>
          <w:snapToGrid/>
        </w:rPr>
        <w:t>(</w:t>
      </w:r>
      <w:r>
        <w:rPr>
          <w:snapToGrid/>
        </w:rPr>
        <w:t>《就业法》第</w:t>
      </w:r>
      <w:r>
        <w:rPr>
          <w:snapToGrid/>
        </w:rPr>
        <w:t>10</w:t>
      </w:r>
      <w:r>
        <w:rPr>
          <w:snapToGrid/>
        </w:rPr>
        <w:t>条</w:t>
      </w:r>
      <w:r>
        <w:rPr>
          <w:snapToGrid/>
        </w:rPr>
        <w:t>)</w:t>
      </w:r>
      <w:r>
        <w:rPr>
          <w:snapToGrid/>
        </w:rPr>
        <w:t>不起作用。有关</w:t>
      </w:r>
      <w:r>
        <w:rPr>
          <w:rFonts w:hint="eastAsia"/>
          <w:snapToGrid/>
        </w:rPr>
        <w:t>空额</w:t>
      </w:r>
      <w:r>
        <w:rPr>
          <w:snapToGrid/>
        </w:rPr>
        <w:t>情况的资料提供不足，</w:t>
      </w:r>
      <w:r>
        <w:rPr>
          <w:rFonts w:hint="eastAsia"/>
          <w:snapToGrid/>
        </w:rPr>
        <w:t>致使</w:t>
      </w:r>
      <w:r>
        <w:rPr>
          <w:snapToGrid/>
        </w:rPr>
        <w:t>劳务交易所</w:t>
      </w:r>
      <w:r>
        <w:rPr>
          <w:rFonts w:hint="eastAsia"/>
          <w:snapToGrid/>
        </w:rPr>
        <w:t>难以</w:t>
      </w:r>
      <w:r>
        <w:rPr>
          <w:snapToGrid/>
        </w:rPr>
        <w:t>雇用失业人员。劳务交易所与经济代理人携手合作，可</w:t>
      </w:r>
      <w:r>
        <w:rPr>
          <w:rFonts w:hint="eastAsia"/>
          <w:snapToGrid/>
        </w:rPr>
        <w:t>掌握</w:t>
      </w:r>
      <w:r>
        <w:rPr>
          <w:snapToGrid/>
        </w:rPr>
        <w:t>有关出缺的</w:t>
      </w:r>
      <w:r>
        <w:rPr>
          <w:rFonts w:hint="eastAsia"/>
          <w:snapToGrid/>
        </w:rPr>
        <w:t>全部情况</w:t>
      </w:r>
      <w:r>
        <w:rPr>
          <w:snapToGrid/>
        </w:rPr>
        <w:t>，从而使得劳务介绍行之有效。国家机构无法控制</w:t>
      </w:r>
      <w:r>
        <w:rPr>
          <w:rFonts w:hint="eastAsia"/>
          <w:snapToGrid/>
        </w:rPr>
        <w:t>对</w:t>
      </w:r>
      <w:r>
        <w:rPr>
          <w:snapToGrid/>
        </w:rPr>
        <w:t>劳务立法</w:t>
      </w:r>
      <w:r>
        <w:rPr>
          <w:rFonts w:hint="eastAsia"/>
          <w:snapToGrid/>
        </w:rPr>
        <w:t>的尊重</w:t>
      </w:r>
      <w:r>
        <w:rPr>
          <w:snapToGrid/>
        </w:rPr>
        <w:t>、就业，以及企业</w:t>
      </w:r>
      <w:r>
        <w:rPr>
          <w:rFonts w:hint="eastAsia"/>
          <w:snapToGrid/>
        </w:rPr>
        <w:t>有工作职位的实证</w:t>
      </w:r>
      <w:r>
        <w:rPr>
          <w:snapToGrid/>
        </w:rPr>
        <w:t>，</w:t>
      </w:r>
      <w:r>
        <w:rPr>
          <w:rFonts w:hint="eastAsia"/>
          <w:snapToGrid/>
        </w:rPr>
        <w:t>致</w:t>
      </w:r>
      <w:r>
        <w:rPr>
          <w:snapToGrid/>
        </w:rPr>
        <w:t>使得劳务市场的情况更为困难。</w:t>
      </w:r>
      <w:r>
        <w:rPr>
          <w:snapToGrid/>
        </w:rPr>
        <w:t>2000</w:t>
      </w:r>
      <w:r>
        <w:rPr>
          <w:snapToGrid/>
        </w:rPr>
        <w:t>年</w:t>
      </w:r>
      <w:r>
        <w:rPr>
          <w:rFonts w:hint="eastAsia"/>
          <w:snapToGrid/>
        </w:rPr>
        <w:t>1</w:t>
      </w:r>
      <w:r>
        <w:rPr>
          <w:snapToGrid/>
        </w:rPr>
        <w:t>月</w:t>
      </w:r>
      <w:r>
        <w:rPr>
          <w:snapToGrid/>
        </w:rPr>
        <w:t>1</w:t>
      </w:r>
      <w:r>
        <w:rPr>
          <w:snapToGrid/>
        </w:rPr>
        <w:t>日，有</w:t>
      </w:r>
      <w:r>
        <w:rPr>
          <w:snapToGrid/>
        </w:rPr>
        <w:t>8,200</w:t>
      </w:r>
      <w:r>
        <w:rPr>
          <w:snapToGrid/>
        </w:rPr>
        <w:t>家</w:t>
      </w:r>
      <w:r>
        <w:rPr>
          <w:snapToGrid/>
        </w:rPr>
        <w:t>20</w:t>
      </w:r>
      <w:r>
        <w:rPr>
          <w:snapToGrid/>
        </w:rPr>
        <w:t>名以上雇员的企业有</w:t>
      </w:r>
      <w:r>
        <w:rPr>
          <w:rFonts w:hint="eastAsia"/>
          <w:snapToGrid/>
        </w:rPr>
        <w:t>空</w:t>
      </w:r>
      <w:r>
        <w:rPr>
          <w:snapToGrid/>
        </w:rPr>
        <w:t>缺，比劳务交易所登记的数量高</w:t>
      </w:r>
      <w:r>
        <w:rPr>
          <w:snapToGrid/>
        </w:rPr>
        <w:t>3.8</w:t>
      </w:r>
      <w:r>
        <w:rPr>
          <w:snapToGrid/>
        </w:rPr>
        <w:t>倍。</w:t>
      </w:r>
      <w:r>
        <w:rPr>
          <w:rFonts w:hint="eastAsia"/>
          <w:snapToGrid/>
        </w:rPr>
        <w:t>至于</w:t>
      </w:r>
      <w:r>
        <w:rPr>
          <w:snapToGrid/>
        </w:rPr>
        <w:t>不到</w:t>
      </w:r>
      <w:r>
        <w:rPr>
          <w:rFonts w:hint="eastAsia"/>
          <w:snapToGrid/>
        </w:rPr>
        <w:t>20</w:t>
      </w:r>
      <w:r>
        <w:rPr>
          <w:rFonts w:hint="eastAsia"/>
          <w:snapToGrid/>
        </w:rPr>
        <w:t>名</w:t>
      </w:r>
      <w:r>
        <w:rPr>
          <w:snapToGrid/>
        </w:rPr>
        <w:t>雇员的企业</w:t>
      </w:r>
      <w:r>
        <w:rPr>
          <w:rFonts w:hint="eastAsia"/>
          <w:snapToGrid/>
        </w:rPr>
        <w:t>空</w:t>
      </w:r>
      <w:r>
        <w:rPr>
          <w:snapToGrid/>
        </w:rPr>
        <w:t>缺情况则更难掌握。</w:t>
      </w:r>
      <w:r>
        <w:rPr>
          <w:snapToGrid/>
        </w:rPr>
        <w:t>2000</w:t>
      </w:r>
      <w:r>
        <w:rPr>
          <w:snapToGrid/>
        </w:rPr>
        <w:t>年</w:t>
      </w:r>
      <w:r>
        <w:rPr>
          <w:snapToGrid/>
        </w:rPr>
        <w:t>10</w:t>
      </w:r>
      <w:r>
        <w:rPr>
          <w:snapToGrid/>
        </w:rPr>
        <w:t>月</w:t>
      </w:r>
      <w:r>
        <w:rPr>
          <w:snapToGrid/>
        </w:rPr>
        <w:t>1</w:t>
      </w:r>
      <w:r>
        <w:rPr>
          <w:snapToGrid/>
        </w:rPr>
        <w:t>日劳务交易所注册的</w:t>
      </w:r>
      <w:r>
        <w:rPr>
          <w:rFonts w:hint="eastAsia"/>
          <w:snapToGrid/>
        </w:rPr>
        <w:t>空</w:t>
      </w:r>
      <w:r>
        <w:rPr>
          <w:snapToGrid/>
        </w:rPr>
        <w:t>缺名额为</w:t>
      </w:r>
      <w:r>
        <w:rPr>
          <w:snapToGrid/>
        </w:rPr>
        <w:t>2,331,</w:t>
      </w:r>
      <w:r>
        <w:rPr>
          <w:rFonts w:hint="eastAsia"/>
          <w:snapToGrid/>
        </w:rPr>
        <w:t>其中</w:t>
      </w:r>
      <w:r>
        <w:rPr>
          <w:snapToGrid/>
        </w:rPr>
        <w:t>1,923</w:t>
      </w:r>
      <w:r>
        <w:rPr>
          <w:rFonts w:hint="eastAsia"/>
          <w:snapToGrid/>
        </w:rPr>
        <w:t>个是</w:t>
      </w:r>
      <w:r>
        <w:rPr>
          <w:snapToGrid/>
        </w:rPr>
        <w:t>工人出缺</w:t>
      </w:r>
      <w:r>
        <w:rPr>
          <w:rFonts w:hint="eastAsia"/>
          <w:snapToGrid/>
        </w:rPr>
        <w:t>名</w:t>
      </w:r>
      <w:r>
        <w:rPr>
          <w:snapToGrid/>
        </w:rPr>
        <w:t>额，大部分是收入较低</w:t>
      </w:r>
      <w:r>
        <w:rPr>
          <w:rFonts w:hint="eastAsia"/>
          <w:snapToGrid/>
        </w:rPr>
        <w:t>的非</w:t>
      </w:r>
      <w:r>
        <w:rPr>
          <w:snapToGrid/>
        </w:rPr>
        <w:t>熟练工</w:t>
      </w:r>
      <w:r>
        <w:rPr>
          <w:rFonts w:hint="eastAsia"/>
          <w:snapToGrid/>
        </w:rPr>
        <w:t>员额</w:t>
      </w:r>
      <w:r>
        <w:rPr>
          <w:snapToGrid/>
        </w:rPr>
        <w:t>。</w:t>
      </w:r>
      <w:r>
        <w:rPr>
          <w:snapToGrid/>
        </w:rPr>
        <w:t>2000</w:t>
      </w:r>
      <w:r>
        <w:rPr>
          <w:snapToGrid/>
        </w:rPr>
        <w:t>年</w:t>
      </w:r>
      <w:r>
        <w:rPr>
          <w:rFonts w:hint="eastAsia"/>
          <w:snapToGrid/>
        </w:rPr>
        <w:t>1</w:t>
      </w:r>
      <w:r>
        <w:rPr>
          <w:snapToGrid/>
        </w:rPr>
        <w:t>月至</w:t>
      </w:r>
      <w:r>
        <w:rPr>
          <w:snapToGrid/>
        </w:rPr>
        <w:t>12</w:t>
      </w:r>
      <w:r>
        <w:rPr>
          <w:snapToGrid/>
        </w:rPr>
        <w:t>月期间劳务交易所登记的</w:t>
      </w:r>
      <w:r>
        <w:rPr>
          <w:rFonts w:hint="eastAsia"/>
          <w:snapToGrid/>
        </w:rPr>
        <w:t>空</w:t>
      </w:r>
      <w:r>
        <w:rPr>
          <w:snapToGrid/>
        </w:rPr>
        <w:t>缺额情况载于附件</w:t>
      </w:r>
      <w:r>
        <w:rPr>
          <w:snapToGrid/>
        </w:rPr>
        <w:t>(</w:t>
      </w:r>
      <w:r>
        <w:rPr>
          <w:snapToGrid/>
        </w:rPr>
        <w:t>附录</w:t>
      </w:r>
      <w:r>
        <w:rPr>
          <w:snapToGrid/>
        </w:rPr>
        <w:t>4)</w:t>
      </w:r>
      <w:r>
        <w:rPr>
          <w:snapToGrid/>
        </w:rPr>
        <w:t>。</w:t>
      </w:r>
    </w:p>
    <w:p w:rsidR="00000000" w:rsidRDefault="00000000">
      <w:pPr>
        <w:ind w:firstLine="539"/>
        <w:rPr>
          <w:snapToGrid/>
        </w:rPr>
      </w:pPr>
      <w:r>
        <w:rPr>
          <w:snapToGrid/>
        </w:rPr>
        <w:t>17</w:t>
      </w:r>
      <w:r>
        <w:rPr>
          <w:rFonts w:hint="eastAsia"/>
          <w:snapToGrid/>
        </w:rPr>
        <w:t xml:space="preserve">2.  </w:t>
      </w:r>
      <w:r>
        <w:rPr>
          <w:snapToGrid/>
        </w:rPr>
        <w:t>同时，还有为那些不具备失业地位</w:t>
      </w:r>
      <w:r>
        <w:rPr>
          <w:rFonts w:hint="eastAsia"/>
          <w:snapToGrid/>
        </w:rPr>
        <w:t>者</w:t>
      </w:r>
      <w:r>
        <w:rPr>
          <w:snapToGrid/>
        </w:rPr>
        <w:t>(</w:t>
      </w:r>
      <w:r>
        <w:rPr>
          <w:snapToGrid/>
        </w:rPr>
        <w:t>被解雇者或者其工作班制被削减</w:t>
      </w:r>
      <w:r>
        <w:rPr>
          <w:rFonts w:hint="eastAsia"/>
          <w:snapToGrid/>
        </w:rPr>
        <w:t>的人</w:t>
      </w:r>
      <w:r>
        <w:rPr>
          <w:snapToGrid/>
        </w:rPr>
        <w:t>、拥有农耕</w:t>
      </w:r>
      <w:r>
        <w:rPr>
          <w:rFonts w:hint="eastAsia"/>
          <w:snapToGrid/>
        </w:rPr>
        <w:t>田的</w:t>
      </w:r>
      <w:r>
        <w:rPr>
          <w:snapToGrid/>
        </w:rPr>
        <w:t>人、</w:t>
      </w:r>
      <w:r>
        <w:rPr>
          <w:snapToGrid/>
        </w:rPr>
        <w:t>16</w:t>
      </w:r>
      <w:r>
        <w:rPr>
          <w:snapToGrid/>
        </w:rPr>
        <w:t>岁以下者</w:t>
      </w:r>
      <w:r>
        <w:rPr>
          <w:rFonts w:hint="eastAsia"/>
          <w:snapToGrid/>
        </w:rPr>
        <w:t>．养恤金领取者及其他人</w:t>
      </w:r>
      <w:r>
        <w:rPr>
          <w:snapToGrid/>
        </w:rPr>
        <w:t>)</w:t>
      </w:r>
      <w:r>
        <w:rPr>
          <w:rFonts w:hint="eastAsia"/>
          <w:snapToGrid/>
        </w:rPr>
        <w:t>提供空缺信息。</w:t>
      </w:r>
    </w:p>
    <w:p w:rsidR="00000000" w:rsidRDefault="00000000">
      <w:pPr>
        <w:ind w:firstLine="539"/>
        <w:rPr>
          <w:snapToGrid/>
        </w:rPr>
      </w:pPr>
      <w:r>
        <w:rPr>
          <w:snapToGrid/>
        </w:rPr>
        <w:t>17</w:t>
      </w:r>
      <w:r>
        <w:rPr>
          <w:rFonts w:hint="eastAsia"/>
          <w:snapToGrid/>
        </w:rPr>
        <w:t xml:space="preserve">3.  </w:t>
      </w:r>
      <w:r>
        <w:rPr>
          <w:snapToGrid/>
        </w:rPr>
        <w:t>为了选择必要的经济代理工作人员，确立了新的办法：</w:t>
      </w:r>
      <w:r>
        <w:rPr>
          <w:rFonts w:hint="eastAsia"/>
          <w:snapToGrid/>
        </w:rPr>
        <w:t>举办</w:t>
      </w:r>
      <w:r>
        <w:rPr>
          <w:snapToGrid/>
        </w:rPr>
        <w:t>职位交易会和</w:t>
      </w:r>
      <w:r>
        <w:rPr>
          <w:rFonts w:hint="eastAsia"/>
          <w:snapToGrid/>
        </w:rPr>
        <w:t>为</w:t>
      </w:r>
      <w:r>
        <w:rPr>
          <w:snapToGrid/>
        </w:rPr>
        <w:t>失业者提供心理支持，以便他们通过失业者俱乐部获得</w:t>
      </w:r>
      <w:r>
        <w:rPr>
          <w:rFonts w:hint="eastAsia"/>
          <w:snapToGrid/>
        </w:rPr>
        <w:t>空缺</w:t>
      </w:r>
      <w:r>
        <w:rPr>
          <w:snapToGrid/>
        </w:rPr>
        <w:t>职位。例如，在</w:t>
      </w:r>
      <w:r>
        <w:rPr>
          <w:rFonts w:hint="eastAsia"/>
          <w:snapToGrid/>
        </w:rPr>
        <w:t>1999</w:t>
      </w:r>
      <w:r>
        <w:rPr>
          <w:snapToGrid/>
        </w:rPr>
        <w:t>年期间，</w:t>
      </w:r>
      <w:r>
        <w:rPr>
          <w:rFonts w:hint="eastAsia"/>
          <w:snapToGrid/>
        </w:rPr>
        <w:t>Chisinau</w:t>
      </w:r>
      <w:r>
        <w:rPr>
          <w:rFonts w:hint="eastAsia"/>
          <w:snapToGrid/>
        </w:rPr>
        <w:t>市劳务交易所组织了九次职位交易会。这些交易会使得</w:t>
      </w:r>
      <w:r>
        <w:rPr>
          <w:snapToGrid/>
        </w:rPr>
        <w:t>53</w:t>
      </w:r>
      <w:r>
        <w:rPr>
          <w:snapToGrid/>
        </w:rPr>
        <w:t>人就业。</w:t>
      </w:r>
      <w:r>
        <w:rPr>
          <w:snapToGrid/>
        </w:rPr>
        <w:t>2000</w:t>
      </w:r>
      <w:r>
        <w:rPr>
          <w:snapToGrid/>
        </w:rPr>
        <w:t>年</w:t>
      </w:r>
      <w:r>
        <w:rPr>
          <w:snapToGrid/>
        </w:rPr>
        <w:t>1</w:t>
      </w:r>
      <w:r>
        <w:rPr>
          <w:snapToGrid/>
        </w:rPr>
        <w:t>月至</w:t>
      </w:r>
      <w:r>
        <w:rPr>
          <w:snapToGrid/>
        </w:rPr>
        <w:t>9</w:t>
      </w:r>
      <w:r>
        <w:rPr>
          <w:snapToGrid/>
        </w:rPr>
        <w:t>月期间，</w:t>
      </w:r>
      <w:r>
        <w:rPr>
          <w:rFonts w:hint="eastAsia"/>
          <w:snapToGrid/>
        </w:rPr>
        <w:t>Chisinau</w:t>
      </w:r>
      <w:r>
        <w:rPr>
          <w:rFonts w:hint="eastAsia"/>
          <w:snapToGrid/>
        </w:rPr>
        <w:t>市与</w:t>
      </w:r>
      <w:r>
        <w:rPr>
          <w:rFonts w:hint="eastAsia"/>
          <w:snapToGrid/>
        </w:rPr>
        <w:t>Orhei</w:t>
      </w:r>
      <w:r>
        <w:rPr>
          <w:rFonts w:hint="eastAsia"/>
          <w:snapToGrid/>
        </w:rPr>
        <w:t>县劳务交易所组办了九次职位交易会。</w:t>
      </w:r>
    </w:p>
    <w:p w:rsidR="00000000" w:rsidRDefault="00000000">
      <w:pPr>
        <w:ind w:firstLine="539"/>
        <w:rPr>
          <w:snapToGrid/>
        </w:rPr>
      </w:pPr>
      <w:r>
        <w:rPr>
          <w:snapToGrid/>
        </w:rPr>
        <w:t>17</w:t>
      </w:r>
      <w:r>
        <w:rPr>
          <w:rFonts w:hint="eastAsia"/>
          <w:snapToGrid/>
        </w:rPr>
        <w:t xml:space="preserve">4.  </w:t>
      </w:r>
      <w:r>
        <w:rPr>
          <w:snapToGrid/>
        </w:rPr>
        <w:t>为了改善长期失业</w:t>
      </w:r>
      <w:r>
        <w:rPr>
          <w:rFonts w:hint="eastAsia"/>
          <w:snapToGrid/>
        </w:rPr>
        <w:t>非</w:t>
      </w:r>
      <w:r>
        <w:rPr>
          <w:snapToGrid/>
        </w:rPr>
        <w:t>熟练工</w:t>
      </w:r>
      <w:r>
        <w:rPr>
          <w:rFonts w:hint="eastAsia"/>
          <w:snapToGrid/>
        </w:rPr>
        <w:t>人</w:t>
      </w:r>
      <w:r>
        <w:rPr>
          <w:snapToGrid/>
        </w:rPr>
        <w:t>的市场</w:t>
      </w:r>
      <w:r>
        <w:rPr>
          <w:rFonts w:hint="eastAsia"/>
          <w:snapToGrid/>
        </w:rPr>
        <w:t>情况</w:t>
      </w:r>
      <w:r>
        <w:rPr>
          <w:snapToGrid/>
        </w:rPr>
        <w:t>，组织了</w:t>
      </w:r>
      <w:r>
        <w:rPr>
          <w:rFonts w:hint="eastAsia"/>
          <w:snapToGrid/>
        </w:rPr>
        <w:t>政府支付的</w:t>
      </w:r>
      <w:r>
        <w:rPr>
          <w:snapToGrid/>
        </w:rPr>
        <w:t>工程。</w:t>
      </w:r>
      <w:r>
        <w:rPr>
          <w:rFonts w:hint="eastAsia"/>
          <w:snapToGrid/>
        </w:rPr>
        <w:t>然而，</w:t>
      </w:r>
      <w:r>
        <w:rPr>
          <w:snapToGrid/>
        </w:rPr>
        <w:t>失业者</w:t>
      </w:r>
      <w:r>
        <w:rPr>
          <w:rFonts w:hint="eastAsia"/>
          <w:snapToGrid/>
        </w:rPr>
        <w:t>们则拒绝从事</w:t>
      </w:r>
      <w:r>
        <w:rPr>
          <w:snapToGrid/>
        </w:rPr>
        <w:t>这些工作，因为</w:t>
      </w:r>
      <w:r>
        <w:rPr>
          <w:rFonts w:hint="eastAsia"/>
          <w:snapToGrid/>
        </w:rPr>
        <w:t>工资额太低</w:t>
      </w:r>
      <w:r>
        <w:rPr>
          <w:snapToGrid/>
        </w:rPr>
        <w:t>。</w:t>
      </w:r>
      <w:r>
        <w:rPr>
          <w:rFonts w:hint="eastAsia"/>
          <w:snapToGrid/>
        </w:rPr>
        <w:t>1999</w:t>
      </w:r>
      <w:r>
        <w:rPr>
          <w:snapToGrid/>
        </w:rPr>
        <w:t>年期间，这方面的行动为</w:t>
      </w:r>
      <w:r>
        <w:rPr>
          <w:rFonts w:hint="eastAsia"/>
          <w:snapToGrid/>
        </w:rPr>
        <w:t>约</w:t>
      </w:r>
      <w:r>
        <w:rPr>
          <w:snapToGrid/>
        </w:rPr>
        <w:t>900</w:t>
      </w:r>
      <w:r>
        <w:rPr>
          <w:rFonts w:hint="eastAsia"/>
          <w:snapToGrid/>
        </w:rPr>
        <w:t>人</w:t>
      </w:r>
      <w:r>
        <w:rPr>
          <w:snapToGrid/>
        </w:rPr>
        <w:t>提供了工作。在</w:t>
      </w:r>
      <w:r>
        <w:rPr>
          <w:snapToGrid/>
        </w:rPr>
        <w:t>2000</w:t>
      </w:r>
      <w:r>
        <w:rPr>
          <w:snapToGrid/>
        </w:rPr>
        <w:t>年期间，雇用</w:t>
      </w:r>
      <w:r>
        <w:rPr>
          <w:rFonts w:hint="eastAsia"/>
          <w:snapToGrid/>
        </w:rPr>
        <w:t>了</w:t>
      </w:r>
      <w:r>
        <w:rPr>
          <w:snapToGrid/>
        </w:rPr>
        <w:t>1,127</w:t>
      </w:r>
      <w:r>
        <w:rPr>
          <w:snapToGrid/>
        </w:rPr>
        <w:t>名失业者。</w:t>
      </w:r>
    </w:p>
    <w:p w:rsidR="00000000" w:rsidRDefault="00000000">
      <w:pPr>
        <w:ind w:firstLine="539"/>
        <w:rPr>
          <w:rFonts w:hint="eastAsia"/>
          <w:snapToGrid/>
        </w:rPr>
      </w:pPr>
      <w:r>
        <w:rPr>
          <w:snapToGrid/>
        </w:rPr>
        <w:t>17</w:t>
      </w:r>
      <w:r>
        <w:rPr>
          <w:rFonts w:hint="eastAsia"/>
          <w:snapToGrid/>
        </w:rPr>
        <w:t xml:space="preserve">5.  </w:t>
      </w:r>
      <w:r>
        <w:rPr>
          <w:snapToGrid/>
        </w:rPr>
        <w:t>在生活水准下降的背景情况下，青年人，尤其是</w:t>
      </w:r>
      <w:r>
        <w:rPr>
          <w:snapToGrid/>
        </w:rPr>
        <w:t>16</w:t>
      </w:r>
      <w:r>
        <w:rPr>
          <w:snapToGrid/>
        </w:rPr>
        <w:t>岁以下者，残疾者、妇女和即将</w:t>
      </w:r>
      <w:r>
        <w:rPr>
          <w:rFonts w:hint="eastAsia"/>
          <w:snapToGrid/>
        </w:rPr>
        <w:t>领取</w:t>
      </w:r>
      <w:r>
        <w:rPr>
          <w:snapToGrid/>
        </w:rPr>
        <w:t>养恤金</w:t>
      </w:r>
      <w:r>
        <w:rPr>
          <w:rFonts w:hint="eastAsia"/>
          <w:snapToGrid/>
        </w:rPr>
        <w:t>的人</w:t>
      </w:r>
      <w:r>
        <w:rPr>
          <w:snapToGrid/>
        </w:rPr>
        <w:t>境况极为令人担忧。劳务市场上没有对这些人的需求。劳务交易所难以说</w:t>
      </w:r>
      <w:r>
        <w:rPr>
          <w:rFonts w:hint="eastAsia"/>
          <w:snapToGrid/>
        </w:rPr>
        <w:t>服雇主们</w:t>
      </w:r>
      <w:r>
        <w:rPr>
          <w:snapToGrid/>
        </w:rPr>
        <w:t>雇用这些人。</w:t>
      </w:r>
      <w:r>
        <w:rPr>
          <w:rFonts w:hint="eastAsia"/>
          <w:snapToGrid/>
        </w:rPr>
        <w:t>为</w:t>
      </w:r>
      <w:r>
        <w:rPr>
          <w:snapToGrid/>
        </w:rPr>
        <w:t>上述各类人员评估出缺的现行机制无法运作</w:t>
      </w:r>
      <w:r>
        <w:rPr>
          <w:rFonts w:hint="eastAsia"/>
          <w:snapToGrid/>
        </w:rPr>
        <w:t>(</w:t>
      </w:r>
      <w:r>
        <w:rPr>
          <w:snapToGrid/>
        </w:rPr>
        <w:t>因为这些机制</w:t>
      </w:r>
      <w:r>
        <w:rPr>
          <w:rFonts w:hint="eastAsia"/>
          <w:snapToGrid/>
        </w:rPr>
        <w:t>太正式</w:t>
      </w:r>
      <w:r>
        <w:rPr>
          <w:snapToGrid/>
        </w:rPr>
        <w:t>)</w:t>
      </w:r>
      <w:r>
        <w:rPr>
          <w:rFonts w:hint="eastAsia"/>
          <w:snapToGrid/>
        </w:rPr>
        <w:t>而且</w:t>
      </w:r>
      <w:r>
        <w:rPr>
          <w:snapToGrid/>
        </w:rPr>
        <w:t>不能解决这些人的问题。有些劳务交易所做了无法做的工作：通过地方市政厅的决定，为</w:t>
      </w:r>
      <w:r>
        <w:rPr>
          <w:snapToGrid/>
        </w:rPr>
        <w:t>3,774</w:t>
      </w:r>
      <w:r>
        <w:rPr>
          <w:snapToGrid/>
        </w:rPr>
        <w:t>人找到了工作</w:t>
      </w:r>
      <w:r>
        <w:rPr>
          <w:snapToGrid/>
        </w:rPr>
        <w:t>(</w:t>
      </w:r>
      <w:r>
        <w:rPr>
          <w:snapToGrid/>
        </w:rPr>
        <w:t>包括</w:t>
      </w:r>
      <w:r>
        <w:rPr>
          <w:snapToGrid/>
        </w:rPr>
        <w:t>1,96</w:t>
      </w:r>
      <w:r>
        <w:rPr>
          <w:rFonts w:hint="eastAsia"/>
          <w:snapToGrid/>
        </w:rPr>
        <w:t>3</w:t>
      </w:r>
      <w:r>
        <w:rPr>
          <w:snapToGrid/>
        </w:rPr>
        <w:t>名青年人、</w:t>
      </w:r>
      <w:r>
        <w:rPr>
          <w:snapToGrid/>
        </w:rPr>
        <w:t>989</w:t>
      </w:r>
      <w:r>
        <w:rPr>
          <w:snapToGrid/>
        </w:rPr>
        <w:t>名残疾人、</w:t>
      </w:r>
      <w:r>
        <w:rPr>
          <w:snapToGrid/>
        </w:rPr>
        <w:t>822</w:t>
      </w:r>
      <w:r>
        <w:rPr>
          <w:snapToGrid/>
        </w:rPr>
        <w:t>名</w:t>
      </w:r>
      <w:r>
        <w:rPr>
          <w:snapToGrid/>
        </w:rPr>
        <w:t>16</w:t>
      </w:r>
      <w:r>
        <w:rPr>
          <w:snapToGrid/>
        </w:rPr>
        <w:t>岁以下</w:t>
      </w:r>
      <w:r>
        <w:rPr>
          <w:rFonts w:hint="eastAsia"/>
          <w:snapToGrid/>
        </w:rPr>
        <w:t>少年</w:t>
      </w:r>
      <w:r>
        <w:rPr>
          <w:snapToGrid/>
        </w:rPr>
        <w:t>)</w:t>
      </w:r>
      <w:r>
        <w:rPr>
          <w:snapToGrid/>
        </w:rPr>
        <w:t>。</w:t>
      </w:r>
      <w:r>
        <w:rPr>
          <w:snapToGrid/>
        </w:rPr>
        <w:t>2000</w:t>
      </w:r>
      <w:r>
        <w:rPr>
          <w:snapToGrid/>
        </w:rPr>
        <w:t>年上半年期间采取措施，雇用了</w:t>
      </w:r>
      <w:r>
        <w:rPr>
          <w:rFonts w:hint="eastAsia"/>
          <w:snapToGrid/>
        </w:rPr>
        <w:t>1,</w:t>
      </w:r>
      <w:r>
        <w:rPr>
          <w:snapToGrid/>
        </w:rPr>
        <w:t>272</w:t>
      </w:r>
      <w:r>
        <w:rPr>
          <w:snapToGrid/>
        </w:rPr>
        <w:t>人，</w:t>
      </w:r>
      <w:r>
        <w:rPr>
          <w:rFonts w:hint="eastAsia"/>
          <w:snapToGrid/>
        </w:rPr>
        <w:t>即占</w:t>
      </w:r>
      <w:r>
        <w:rPr>
          <w:snapToGrid/>
        </w:rPr>
        <w:t>失业人口</w:t>
      </w:r>
      <w:r>
        <w:rPr>
          <w:snapToGrid/>
        </w:rPr>
        <w:t>33.7%(1,111</w:t>
      </w:r>
      <w:r>
        <w:rPr>
          <w:snapToGrid/>
        </w:rPr>
        <w:t>青年人、</w:t>
      </w:r>
      <w:r>
        <w:rPr>
          <w:snapToGrid/>
        </w:rPr>
        <w:t>87</w:t>
      </w:r>
      <w:r>
        <w:rPr>
          <w:snapToGrid/>
        </w:rPr>
        <w:t>名残疾者、</w:t>
      </w:r>
      <w:r>
        <w:rPr>
          <w:snapToGrid/>
        </w:rPr>
        <w:t>74</w:t>
      </w:r>
      <w:r>
        <w:rPr>
          <w:snapToGrid/>
        </w:rPr>
        <w:t>名</w:t>
      </w:r>
      <w:r>
        <w:rPr>
          <w:snapToGrid/>
        </w:rPr>
        <w:t>16</w:t>
      </w:r>
      <w:r>
        <w:rPr>
          <w:snapToGrid/>
        </w:rPr>
        <w:t>岁以下</w:t>
      </w:r>
      <w:r>
        <w:rPr>
          <w:rFonts w:hint="eastAsia"/>
          <w:snapToGrid/>
        </w:rPr>
        <w:t>少年</w:t>
      </w:r>
      <w:r>
        <w:rPr>
          <w:snapToGrid/>
        </w:rPr>
        <w:t>)</w:t>
      </w:r>
      <w:r>
        <w:rPr>
          <w:snapToGrid/>
        </w:rPr>
        <w:t>。</w:t>
      </w:r>
    </w:p>
    <w:p w:rsidR="00000000" w:rsidRDefault="00000000">
      <w:pPr>
        <w:ind w:firstLine="539"/>
        <w:rPr>
          <w:snapToGrid/>
        </w:rPr>
      </w:pPr>
      <w:r>
        <w:rPr>
          <w:rFonts w:hint="eastAsia"/>
          <w:snapToGrid/>
        </w:rPr>
        <w:t xml:space="preserve">176.  </w:t>
      </w:r>
      <w:r>
        <w:rPr>
          <w:rFonts w:hint="eastAsia"/>
          <w:snapToGrid/>
        </w:rPr>
        <w:t>国家的就业政策旨在争取提高就业水平，支持工作人员获得资格和重新获得资格。这一目标的重要性在于竭尽一切可能落实国际标准，包括摩尔多瓦共和国议会批准的劳工组织各项</w:t>
      </w:r>
      <w:r>
        <w:rPr>
          <w:rFonts w:hint="eastAsia"/>
          <w:snapToGrid/>
        </w:rPr>
        <w:t>(</w:t>
      </w:r>
      <w:r>
        <w:rPr>
          <w:rFonts w:hint="eastAsia"/>
          <w:snapToGrid/>
        </w:rPr>
        <w:t>第</w:t>
      </w:r>
      <w:r>
        <w:rPr>
          <w:snapToGrid/>
        </w:rPr>
        <w:t>29</w:t>
      </w:r>
      <w:r>
        <w:rPr>
          <w:snapToGrid/>
        </w:rPr>
        <w:t>、</w:t>
      </w:r>
      <w:r>
        <w:rPr>
          <w:snapToGrid/>
        </w:rPr>
        <w:t>47</w:t>
      </w:r>
      <w:r>
        <w:rPr>
          <w:snapToGrid/>
        </w:rPr>
        <w:t>、</w:t>
      </w:r>
      <w:r>
        <w:rPr>
          <w:snapToGrid/>
        </w:rPr>
        <w:t>81</w:t>
      </w:r>
      <w:r>
        <w:rPr>
          <w:snapToGrid/>
        </w:rPr>
        <w:t>、</w:t>
      </w:r>
      <w:r>
        <w:rPr>
          <w:snapToGrid/>
        </w:rPr>
        <w:t>88</w:t>
      </w:r>
      <w:r>
        <w:rPr>
          <w:snapToGrid/>
        </w:rPr>
        <w:t>、</w:t>
      </w:r>
      <w:r>
        <w:rPr>
          <w:snapToGrid/>
        </w:rPr>
        <w:t>95</w:t>
      </w:r>
      <w:r>
        <w:rPr>
          <w:snapToGrid/>
        </w:rPr>
        <w:t>、</w:t>
      </w:r>
      <w:r>
        <w:rPr>
          <w:snapToGrid/>
        </w:rPr>
        <w:t>100</w:t>
      </w:r>
      <w:r>
        <w:rPr>
          <w:snapToGrid/>
        </w:rPr>
        <w:t>、</w:t>
      </w:r>
      <w:r>
        <w:rPr>
          <w:snapToGrid/>
        </w:rPr>
        <w:t>111</w:t>
      </w:r>
      <w:r>
        <w:rPr>
          <w:snapToGrid/>
        </w:rPr>
        <w:t>、</w:t>
      </w:r>
      <w:r>
        <w:rPr>
          <w:snapToGrid/>
        </w:rPr>
        <w:t>117</w:t>
      </w:r>
      <w:r>
        <w:rPr>
          <w:snapToGrid/>
        </w:rPr>
        <w:t>、</w:t>
      </w:r>
      <w:r>
        <w:rPr>
          <w:rFonts w:hint="eastAsia"/>
          <w:snapToGrid/>
        </w:rPr>
        <w:t>1</w:t>
      </w:r>
      <w:r>
        <w:rPr>
          <w:snapToGrid/>
        </w:rPr>
        <w:t>22</w:t>
      </w:r>
      <w:r>
        <w:rPr>
          <w:snapToGrid/>
        </w:rPr>
        <w:t>、</w:t>
      </w:r>
      <w:r>
        <w:rPr>
          <w:snapToGrid/>
        </w:rPr>
        <w:t>129</w:t>
      </w:r>
      <w:r>
        <w:rPr>
          <w:snapToGrid/>
        </w:rPr>
        <w:t>、</w:t>
      </w:r>
      <w:r>
        <w:rPr>
          <w:snapToGrid/>
        </w:rPr>
        <w:t>144</w:t>
      </w:r>
      <w:r>
        <w:rPr>
          <w:snapToGrid/>
        </w:rPr>
        <w:t>及其</w:t>
      </w:r>
      <w:r>
        <w:rPr>
          <w:rFonts w:hint="eastAsia"/>
          <w:snapToGrid/>
        </w:rPr>
        <w:t>它</w:t>
      </w:r>
      <w:r>
        <w:rPr>
          <w:snapToGrid/>
        </w:rPr>
        <w:t>)</w:t>
      </w:r>
      <w:r>
        <w:rPr>
          <w:rFonts w:hint="eastAsia"/>
          <w:snapToGrid/>
        </w:rPr>
        <w:t>公约。</w:t>
      </w:r>
    </w:p>
    <w:p w:rsidR="00000000" w:rsidRDefault="00000000">
      <w:pPr>
        <w:ind w:firstLine="539"/>
        <w:rPr>
          <w:rFonts w:hint="eastAsia"/>
          <w:snapToGrid/>
        </w:rPr>
      </w:pPr>
      <w:r>
        <w:rPr>
          <w:snapToGrid/>
        </w:rPr>
        <w:t>17</w:t>
      </w:r>
      <w:r>
        <w:rPr>
          <w:rFonts w:hint="eastAsia"/>
          <w:snapToGrid/>
        </w:rPr>
        <w:t>7</w:t>
      </w:r>
      <w:r>
        <w:rPr>
          <w:snapToGrid/>
        </w:rPr>
        <w:t>.</w:t>
      </w:r>
      <w:r>
        <w:rPr>
          <w:rFonts w:hint="eastAsia"/>
          <w:snapToGrid/>
        </w:rPr>
        <w:t xml:space="preserve">  </w:t>
      </w:r>
      <w:r>
        <w:rPr>
          <w:snapToGrid/>
        </w:rPr>
        <w:t>目前政府方面采取了更为</w:t>
      </w:r>
      <w:r>
        <w:rPr>
          <w:rFonts w:hint="eastAsia"/>
          <w:snapToGrid/>
        </w:rPr>
        <w:t>积极</w:t>
      </w:r>
      <w:r>
        <w:rPr>
          <w:snapToGrid/>
        </w:rPr>
        <w:t>的干预行动，</w:t>
      </w:r>
      <w:r>
        <w:rPr>
          <w:rFonts w:hint="eastAsia"/>
          <w:snapToGrid/>
        </w:rPr>
        <w:t>拟重新提出</w:t>
      </w:r>
      <w:r>
        <w:rPr>
          <w:snapToGrid/>
        </w:rPr>
        <w:t>经济政策，从而</w:t>
      </w:r>
      <w:r>
        <w:rPr>
          <w:rFonts w:hint="eastAsia"/>
          <w:snapToGrid/>
        </w:rPr>
        <w:t>促进</w:t>
      </w:r>
      <w:r>
        <w:rPr>
          <w:snapToGrid/>
        </w:rPr>
        <w:t>内外资金</w:t>
      </w:r>
      <w:r>
        <w:rPr>
          <w:rFonts w:hint="eastAsia"/>
          <w:snapToGrid/>
        </w:rPr>
        <w:t>的调动</w:t>
      </w:r>
      <w:r>
        <w:rPr>
          <w:snapToGrid/>
        </w:rPr>
        <w:t>、创造就业、通过宏观机制刺激需求，并</w:t>
      </w:r>
      <w:r>
        <w:rPr>
          <w:rFonts w:hint="eastAsia"/>
          <w:snapToGrid/>
        </w:rPr>
        <w:t>支持</w:t>
      </w:r>
      <w:r>
        <w:rPr>
          <w:snapToGrid/>
        </w:rPr>
        <w:t>小型生产者。所有这些将吸收大部分的劳动力。</w:t>
      </w:r>
    </w:p>
    <w:p w:rsidR="00000000" w:rsidRDefault="00000000">
      <w:pPr>
        <w:ind w:firstLine="539"/>
        <w:rPr>
          <w:snapToGrid/>
        </w:rPr>
      </w:pPr>
      <w:r>
        <w:rPr>
          <w:snapToGrid/>
        </w:rPr>
        <w:t>17</w:t>
      </w:r>
      <w:r>
        <w:rPr>
          <w:rFonts w:hint="eastAsia"/>
          <w:snapToGrid/>
        </w:rPr>
        <w:t xml:space="preserve">8.  </w:t>
      </w:r>
      <w:r>
        <w:rPr>
          <w:snapToGrid/>
        </w:rPr>
        <w:t>为了积极促进劳务市场，采取了下列各项</w:t>
      </w:r>
      <w:r>
        <w:rPr>
          <w:rFonts w:hint="eastAsia"/>
          <w:snapToGrid/>
        </w:rPr>
        <w:t>措施</w:t>
      </w:r>
      <w:r>
        <w:rPr>
          <w:snapToGrid/>
        </w:rPr>
        <w:t>：</w:t>
      </w:r>
    </w:p>
    <w:p w:rsidR="00000000" w:rsidRDefault="00000000">
      <w:pPr>
        <w:numPr>
          <w:ilvl w:val="0"/>
          <w:numId w:val="90"/>
        </w:numPr>
        <w:rPr>
          <w:rFonts w:hint="eastAsia"/>
          <w:snapToGrid/>
        </w:rPr>
      </w:pPr>
      <w:r>
        <w:rPr>
          <w:snapToGrid/>
        </w:rPr>
        <w:t>制定出</w:t>
      </w:r>
      <w:r>
        <w:rPr>
          <w:rFonts w:hint="eastAsia"/>
          <w:snapToGrid/>
        </w:rPr>
        <w:t>关于支持</w:t>
      </w:r>
      <w:r>
        <w:rPr>
          <w:snapToGrid/>
        </w:rPr>
        <w:t>经济代理人</w:t>
      </w:r>
      <w:r>
        <w:rPr>
          <w:rFonts w:hint="eastAsia"/>
          <w:snapToGrid/>
        </w:rPr>
        <w:t>开创新工作职位的</w:t>
      </w:r>
      <w:r>
        <w:rPr>
          <w:snapToGrid/>
        </w:rPr>
        <w:t>财政</w:t>
      </w:r>
      <w:r>
        <w:rPr>
          <w:rFonts w:hint="eastAsia"/>
          <w:snapToGrid/>
        </w:rPr>
        <w:t>支助</w:t>
      </w:r>
      <w:r>
        <w:rPr>
          <w:snapToGrid/>
        </w:rPr>
        <w:t>条例；</w:t>
      </w:r>
    </w:p>
    <w:p w:rsidR="00000000" w:rsidRDefault="00000000">
      <w:pPr>
        <w:numPr>
          <w:ilvl w:val="0"/>
          <w:numId w:val="90"/>
        </w:numPr>
        <w:rPr>
          <w:snapToGrid/>
        </w:rPr>
      </w:pPr>
      <w:r>
        <w:rPr>
          <w:rFonts w:hint="eastAsia"/>
          <w:snapToGrid/>
        </w:rPr>
        <w:t>制定了以</w:t>
      </w:r>
      <w:r>
        <w:rPr>
          <w:rFonts w:hint="eastAsia"/>
          <w:snapToGrid/>
          <w:spacing w:val="2"/>
        </w:rPr>
        <w:t>下</w:t>
      </w:r>
      <w:r>
        <w:rPr>
          <w:snapToGrid/>
          <w:spacing w:val="2"/>
        </w:rPr>
        <w:t>法律和决定</w:t>
      </w:r>
      <w:r>
        <w:rPr>
          <w:rFonts w:hint="eastAsia"/>
          <w:snapToGrid/>
          <w:spacing w:val="2"/>
        </w:rPr>
        <w:t>。并</w:t>
      </w:r>
      <w:r>
        <w:rPr>
          <w:snapToGrid/>
          <w:spacing w:val="2"/>
        </w:rPr>
        <w:t>提</w:t>
      </w:r>
      <w:r>
        <w:rPr>
          <w:rFonts w:hint="eastAsia"/>
          <w:snapToGrid/>
          <w:spacing w:val="2"/>
        </w:rPr>
        <w:t>交</w:t>
      </w:r>
      <w:r>
        <w:rPr>
          <w:snapToGrid/>
          <w:spacing w:val="2"/>
        </w:rPr>
        <w:t>审查：《失业者法律》、《建立全国就业和职业</w:t>
      </w:r>
      <w:r>
        <w:rPr>
          <w:rFonts w:hint="eastAsia"/>
          <w:snapToGrid/>
          <w:spacing w:val="2"/>
        </w:rPr>
        <w:t>介绍</w:t>
      </w:r>
      <w:r>
        <w:rPr>
          <w:snapToGrid/>
          <w:spacing w:val="2"/>
        </w:rPr>
        <w:t>所的法律》、《关于促使经济代理</w:t>
      </w:r>
      <w:r>
        <w:rPr>
          <w:rFonts w:hint="eastAsia"/>
          <w:snapToGrid/>
          <w:spacing w:val="2"/>
        </w:rPr>
        <w:t>人</w:t>
      </w:r>
      <w:r>
        <w:rPr>
          <w:snapToGrid/>
          <w:spacing w:val="2"/>
        </w:rPr>
        <w:t>雇用教育机构毕业生办法的决定》、《关于</w:t>
      </w:r>
      <w:r>
        <w:rPr>
          <w:rFonts w:hint="eastAsia"/>
          <w:snapToGrid/>
          <w:spacing w:val="2"/>
        </w:rPr>
        <w:t>举办承包</w:t>
      </w:r>
      <w:r>
        <w:rPr>
          <w:snapToGrid/>
          <w:spacing w:val="2"/>
        </w:rPr>
        <w:t>人活动为失业者提供</w:t>
      </w:r>
      <w:r>
        <w:rPr>
          <w:snapToGrid/>
        </w:rPr>
        <w:t>资金支助的决定》和《政府议案》。就上述各项制定规范法案将促使劳务市场的改善。</w:t>
      </w:r>
    </w:p>
    <w:p w:rsidR="00000000" w:rsidRDefault="00000000">
      <w:pPr>
        <w:ind w:firstLine="539"/>
        <w:rPr>
          <w:snapToGrid/>
        </w:rPr>
      </w:pPr>
      <w:r>
        <w:rPr>
          <w:snapToGrid/>
        </w:rPr>
        <w:t>1</w:t>
      </w:r>
      <w:r>
        <w:rPr>
          <w:rFonts w:hint="eastAsia"/>
          <w:snapToGrid/>
        </w:rPr>
        <w:t xml:space="preserve">79.  </w:t>
      </w:r>
      <w:r>
        <w:rPr>
          <w:snapToGrid/>
        </w:rPr>
        <w:t>私营部门的出现使得劳工概念已陈旧落后。劳工</w:t>
      </w:r>
      <w:r>
        <w:rPr>
          <w:rFonts w:hint="eastAsia"/>
          <w:snapToGrid/>
        </w:rPr>
        <w:t>部</w:t>
      </w:r>
      <w:r>
        <w:rPr>
          <w:snapToGrid/>
        </w:rPr>
        <w:t>努力实现立法的现代化。发展市场经济、为企业创造发展条件、改革养恤金制度，</w:t>
      </w:r>
      <w:r>
        <w:rPr>
          <w:rFonts w:hint="eastAsia"/>
          <w:snapToGrid/>
        </w:rPr>
        <w:t>而且若要</w:t>
      </w:r>
      <w:r>
        <w:rPr>
          <w:snapToGrid/>
        </w:rPr>
        <w:t>创造提高生活水准</w:t>
      </w:r>
      <w:r>
        <w:rPr>
          <w:rFonts w:hint="eastAsia"/>
          <w:snapToGrid/>
        </w:rPr>
        <w:t>的可能性，就</w:t>
      </w:r>
      <w:r>
        <w:rPr>
          <w:snapToGrid/>
        </w:rPr>
        <w:t>必须运用某些现代、灵活和简便准则和程序。有关《劳工法》的议案、有关《劳工</w:t>
      </w:r>
      <w:r>
        <w:rPr>
          <w:rFonts w:hint="eastAsia"/>
          <w:snapToGrid/>
        </w:rPr>
        <w:t>视察</w:t>
      </w:r>
      <w:r>
        <w:rPr>
          <w:snapToGrid/>
        </w:rPr>
        <w:t>法》的提案以及其他一些提案已经编撰就绪，提交给上级机构</w:t>
      </w:r>
      <w:r>
        <w:rPr>
          <w:rFonts w:hint="eastAsia"/>
          <w:snapToGrid/>
        </w:rPr>
        <w:t>供</w:t>
      </w:r>
      <w:r>
        <w:rPr>
          <w:snapToGrid/>
        </w:rPr>
        <w:t>审查和通过。</w:t>
      </w:r>
    </w:p>
    <w:p w:rsidR="00000000" w:rsidRDefault="00000000">
      <w:pPr>
        <w:ind w:firstLine="539"/>
        <w:rPr>
          <w:snapToGrid/>
        </w:rPr>
      </w:pPr>
      <w:r>
        <w:rPr>
          <w:snapToGrid/>
        </w:rPr>
        <w:t>1</w:t>
      </w:r>
      <w:r>
        <w:rPr>
          <w:rFonts w:hint="eastAsia"/>
          <w:snapToGrid/>
        </w:rPr>
        <w:t xml:space="preserve">80.  </w:t>
      </w:r>
      <w:r>
        <w:rPr>
          <w:rFonts w:hint="eastAsia"/>
          <w:snapToGrid/>
        </w:rPr>
        <w:t>摩尔多瓦共和国落实了《就业法》</w:t>
      </w:r>
      <w:r>
        <w:rPr>
          <w:rFonts w:hint="eastAsia"/>
          <w:snapToGrid/>
        </w:rPr>
        <w:t>(</w:t>
      </w:r>
      <w:r>
        <w:rPr>
          <w:snapToGrid/>
        </w:rPr>
        <w:t>1992</w:t>
      </w:r>
      <w:r>
        <w:rPr>
          <w:snapToGrid/>
        </w:rPr>
        <w:t>年</w:t>
      </w:r>
      <w:r>
        <w:rPr>
          <w:snapToGrid/>
        </w:rPr>
        <w:t>7</w:t>
      </w:r>
      <w:r>
        <w:rPr>
          <w:snapToGrid/>
        </w:rPr>
        <w:t>月</w:t>
      </w:r>
      <w:r>
        <w:rPr>
          <w:snapToGrid/>
        </w:rPr>
        <w:t>1</w:t>
      </w:r>
      <w:r>
        <w:rPr>
          <w:rFonts w:hint="eastAsia"/>
          <w:snapToGrid/>
        </w:rPr>
        <w:t>日起</w:t>
      </w:r>
      <w:r>
        <w:rPr>
          <w:snapToGrid/>
        </w:rPr>
        <w:t>)</w:t>
      </w:r>
      <w:r>
        <w:rPr>
          <w:rFonts w:hint="eastAsia"/>
          <w:snapToGrid/>
        </w:rPr>
        <w:t>，宣布了劳工自由。当人们受雇时，他们享有政府雇用服务部门提供的免费服务。根据法律，不强迫任何人从事工作。公民自愿不从事工作，不得凭此追究行政或刑事责任。根据第</w:t>
      </w:r>
      <w:r>
        <w:rPr>
          <w:snapToGrid/>
        </w:rPr>
        <w:t>5</w:t>
      </w:r>
      <w:r>
        <w:rPr>
          <w:snapToGrid/>
        </w:rPr>
        <w:t>条，法律适用摩尔多瓦共和国的全体公民、外籍人和无国籍者，但</w:t>
      </w:r>
      <w:r>
        <w:rPr>
          <w:rFonts w:hint="eastAsia"/>
          <w:snapToGrid/>
        </w:rPr>
        <w:t>是</w:t>
      </w:r>
      <w:r>
        <w:rPr>
          <w:snapToGrid/>
        </w:rPr>
        <w:t>，国家间</w:t>
      </w:r>
      <w:r>
        <w:rPr>
          <w:rFonts w:hint="eastAsia"/>
          <w:snapToGrid/>
        </w:rPr>
        <w:t>协议已规定</w:t>
      </w:r>
      <w:r>
        <w:rPr>
          <w:snapToGrid/>
        </w:rPr>
        <w:t>的情况例外。暂时在海外受雇的摩尔多瓦公民应尊重海外各国的立法，但</w:t>
      </w:r>
      <w:r>
        <w:rPr>
          <w:rFonts w:hint="eastAsia"/>
          <w:snapToGrid/>
        </w:rPr>
        <w:t>是</w:t>
      </w:r>
      <w:r>
        <w:rPr>
          <w:snapToGrid/>
        </w:rPr>
        <w:t>国家间</w:t>
      </w:r>
      <w:r>
        <w:rPr>
          <w:rFonts w:hint="eastAsia"/>
          <w:snapToGrid/>
        </w:rPr>
        <w:t>协议规定</w:t>
      </w:r>
      <w:r>
        <w:rPr>
          <w:snapToGrid/>
        </w:rPr>
        <w:t>的情况例外。</w:t>
      </w:r>
    </w:p>
    <w:p w:rsidR="00000000" w:rsidRDefault="00000000">
      <w:pPr>
        <w:ind w:firstLine="539"/>
        <w:rPr>
          <w:snapToGrid/>
        </w:rPr>
      </w:pPr>
      <w:r>
        <w:rPr>
          <w:snapToGrid/>
        </w:rPr>
        <w:t>18</w:t>
      </w:r>
      <w:r>
        <w:rPr>
          <w:rFonts w:hint="eastAsia"/>
          <w:snapToGrid/>
        </w:rPr>
        <w:t xml:space="preserve">1.  </w:t>
      </w:r>
      <w:r>
        <w:rPr>
          <w:snapToGrid/>
        </w:rPr>
        <w:t>为了提高就业，减轻失业的影响后果和</w:t>
      </w:r>
      <w:r>
        <w:rPr>
          <w:rFonts w:hint="eastAsia"/>
          <w:snapToGrid/>
        </w:rPr>
        <w:t>因失</w:t>
      </w:r>
      <w:r>
        <w:rPr>
          <w:snapToGrid/>
        </w:rPr>
        <w:t>业对人口形成的社会不安全，共和国正在制订</w:t>
      </w:r>
      <w:r>
        <w:rPr>
          <w:rFonts w:hint="eastAsia"/>
          <w:snapToGrid/>
        </w:rPr>
        <w:t>国家</w:t>
      </w:r>
      <w:r>
        <w:rPr>
          <w:snapToGrid/>
        </w:rPr>
        <w:t>和地方就业方案。因此，根据政府</w:t>
      </w:r>
      <w:r>
        <w:rPr>
          <w:snapToGrid/>
        </w:rPr>
        <w:t>1998</w:t>
      </w:r>
      <w:r>
        <w:rPr>
          <w:snapToGrid/>
        </w:rPr>
        <w:t>年</w:t>
      </w:r>
      <w:r>
        <w:rPr>
          <w:snapToGrid/>
        </w:rPr>
        <w:t>3</w:t>
      </w:r>
      <w:r>
        <w:rPr>
          <w:snapToGrid/>
        </w:rPr>
        <w:t>月</w:t>
      </w:r>
      <w:r>
        <w:rPr>
          <w:snapToGrid/>
        </w:rPr>
        <w:t>20</w:t>
      </w:r>
      <w:r>
        <w:rPr>
          <w:rFonts w:hint="eastAsia"/>
          <w:snapToGrid/>
        </w:rPr>
        <w:t>日</w:t>
      </w:r>
      <w:r>
        <w:rPr>
          <w:snapToGrid/>
        </w:rPr>
        <w:t>第</w:t>
      </w:r>
      <w:r>
        <w:rPr>
          <w:snapToGrid/>
        </w:rPr>
        <w:t>317</w:t>
      </w:r>
      <w:r>
        <w:rPr>
          <w:snapToGrid/>
        </w:rPr>
        <w:t>号决定，颁布了</w:t>
      </w:r>
      <w:r>
        <w:rPr>
          <w:snapToGrid/>
        </w:rPr>
        <w:t>1998</w:t>
      </w:r>
      <w:r>
        <w:rPr>
          <w:snapToGrid/>
        </w:rPr>
        <w:t>至</w:t>
      </w:r>
      <w:r>
        <w:rPr>
          <w:snapToGrid/>
        </w:rPr>
        <w:t>2000</w:t>
      </w:r>
      <w:r>
        <w:rPr>
          <w:snapToGrid/>
        </w:rPr>
        <w:t>年政府就业方案。劳工、社会保护和家庭事务部拟定了这项方案。方案</w:t>
      </w:r>
      <w:r>
        <w:rPr>
          <w:rFonts w:hint="eastAsia"/>
          <w:snapToGrid/>
        </w:rPr>
        <w:t>拟</w:t>
      </w:r>
      <w:r>
        <w:rPr>
          <w:snapToGrid/>
        </w:rPr>
        <w:t>定</w:t>
      </w:r>
      <w:r>
        <w:rPr>
          <w:rFonts w:hint="eastAsia"/>
          <w:snapToGrid/>
        </w:rPr>
        <w:t>了</w:t>
      </w:r>
      <w:r>
        <w:rPr>
          <w:snapToGrid/>
        </w:rPr>
        <w:t>劳工部、各部门、劳务服务部、地方公共行政机构和经济单位组织</w:t>
      </w:r>
      <w:r>
        <w:rPr>
          <w:rFonts w:hint="eastAsia"/>
          <w:snapToGrid/>
        </w:rPr>
        <w:t>的</w:t>
      </w:r>
      <w:r>
        <w:rPr>
          <w:snapToGrid/>
        </w:rPr>
        <w:t>活动，</w:t>
      </w:r>
      <w:r>
        <w:rPr>
          <w:rFonts w:hint="eastAsia"/>
          <w:snapToGrid/>
        </w:rPr>
        <w:t>以</w:t>
      </w:r>
      <w:r>
        <w:rPr>
          <w:snapToGrid/>
        </w:rPr>
        <w:t>实现就业领域的国家政策。其中最重要的章节之一是</w:t>
      </w:r>
      <w:r>
        <w:rPr>
          <w:rFonts w:hint="eastAsia"/>
          <w:snapToGrid/>
        </w:rPr>
        <w:t>“</w:t>
      </w:r>
      <w:r>
        <w:rPr>
          <w:snapToGrid/>
        </w:rPr>
        <w:t>失业者的专业培训</w:t>
      </w:r>
      <w:r>
        <w:rPr>
          <w:rFonts w:hint="eastAsia"/>
          <w:snapToGrid/>
        </w:rPr>
        <w:t>”</w:t>
      </w:r>
      <w:r>
        <w:rPr>
          <w:snapToGrid/>
        </w:rPr>
        <w:t>。为实现经济部门的最佳</w:t>
      </w:r>
      <w:r>
        <w:rPr>
          <w:rFonts w:hint="eastAsia"/>
          <w:snapToGrid/>
        </w:rPr>
        <w:t>实绩，国家必须在培训方案协助下发展具有竞争力和胜任的劳工队伍。劳工服务部门以</w:t>
      </w:r>
      <w:r>
        <w:rPr>
          <w:snapToGrid/>
        </w:rPr>
        <w:t>各</w:t>
      </w:r>
      <w:r>
        <w:rPr>
          <w:rFonts w:hint="eastAsia"/>
          <w:snapToGrid/>
        </w:rPr>
        <w:t>种不同方式制定了对失业者开展职业培训的活动：</w:t>
      </w:r>
    </w:p>
    <w:p w:rsidR="00000000" w:rsidRDefault="00000000">
      <w:pPr>
        <w:numPr>
          <w:ilvl w:val="0"/>
          <w:numId w:val="92"/>
        </w:numPr>
        <w:rPr>
          <w:rFonts w:hint="eastAsia"/>
          <w:snapToGrid/>
        </w:rPr>
      </w:pPr>
      <w:r>
        <w:rPr>
          <w:rFonts w:hint="eastAsia"/>
          <w:snapToGrid/>
        </w:rPr>
        <w:t>向</w:t>
      </w:r>
      <w:r>
        <w:rPr>
          <w:snapToGrid/>
        </w:rPr>
        <w:t>成年人口</w:t>
      </w:r>
      <w:r>
        <w:rPr>
          <w:rFonts w:hint="eastAsia"/>
          <w:snapToGrid/>
        </w:rPr>
        <w:t>提供有关</w:t>
      </w:r>
      <w:r>
        <w:rPr>
          <w:snapToGrid/>
        </w:rPr>
        <w:t>共和国员额</w:t>
      </w:r>
      <w:r>
        <w:rPr>
          <w:rFonts w:hint="eastAsia"/>
          <w:snapToGrid/>
        </w:rPr>
        <w:t>空缺和</w:t>
      </w:r>
      <w:r>
        <w:rPr>
          <w:snapToGrid/>
        </w:rPr>
        <w:t>教育机构、有关职业方面的教育和职业培训方面的专业信息；</w:t>
      </w:r>
    </w:p>
    <w:p w:rsidR="00000000" w:rsidRDefault="00000000">
      <w:pPr>
        <w:numPr>
          <w:ilvl w:val="0"/>
          <w:numId w:val="92"/>
        </w:numPr>
        <w:rPr>
          <w:snapToGrid/>
        </w:rPr>
      </w:pPr>
      <w:r>
        <w:rPr>
          <w:snapToGrid/>
        </w:rPr>
        <w:t>为失业成年人口提供专业咨询，目的在于提供</w:t>
      </w:r>
      <w:r>
        <w:rPr>
          <w:rFonts w:hint="eastAsia"/>
          <w:snapToGrid/>
        </w:rPr>
        <w:t>选择</w:t>
      </w:r>
      <w:r>
        <w:rPr>
          <w:snapToGrid/>
        </w:rPr>
        <w:t>职业和活动领域方面的协助。</w:t>
      </w:r>
    </w:p>
    <w:p w:rsidR="00000000" w:rsidRDefault="00000000">
      <w:pPr>
        <w:ind w:firstLine="539"/>
        <w:rPr>
          <w:snapToGrid/>
        </w:rPr>
      </w:pPr>
      <w:r>
        <w:rPr>
          <w:snapToGrid/>
        </w:rPr>
        <w:t>18</w:t>
      </w:r>
      <w:r>
        <w:rPr>
          <w:rFonts w:hint="eastAsia"/>
          <w:snapToGrid/>
        </w:rPr>
        <w:t xml:space="preserve">2.  </w:t>
      </w:r>
      <w:r>
        <w:rPr>
          <w:snapToGrid/>
        </w:rPr>
        <w:t>在</w:t>
      </w:r>
      <w:r>
        <w:rPr>
          <w:snapToGrid/>
        </w:rPr>
        <w:t>2000</w:t>
      </w:r>
      <w:r>
        <w:rPr>
          <w:snapToGrid/>
        </w:rPr>
        <w:t>年的上半年期间，劳工服务部</w:t>
      </w:r>
      <w:r>
        <w:rPr>
          <w:rFonts w:hint="eastAsia"/>
          <w:snapToGrid/>
        </w:rPr>
        <w:t>为</w:t>
      </w:r>
      <w:r>
        <w:rPr>
          <w:snapToGrid/>
        </w:rPr>
        <w:t>35</w:t>
      </w:r>
      <w:r>
        <w:rPr>
          <w:rFonts w:hint="eastAsia"/>
          <w:snapToGrid/>
        </w:rPr>
        <w:t>种</w:t>
      </w:r>
      <w:r>
        <w:rPr>
          <w:snapToGrid/>
        </w:rPr>
        <w:t>职业</w:t>
      </w:r>
      <w:r>
        <w:rPr>
          <w:rFonts w:hint="eastAsia"/>
          <w:snapToGrid/>
        </w:rPr>
        <w:t>举办了</w:t>
      </w:r>
      <w:r>
        <w:rPr>
          <w:snapToGrid/>
        </w:rPr>
        <w:t>培训班。这些培训班</w:t>
      </w:r>
      <w:r>
        <w:rPr>
          <w:rFonts w:hint="eastAsia"/>
          <w:snapToGrid/>
        </w:rPr>
        <w:t>招收</w:t>
      </w:r>
      <w:r>
        <w:rPr>
          <w:snapToGrid/>
        </w:rPr>
        <w:t>了</w:t>
      </w:r>
      <w:r>
        <w:rPr>
          <w:snapToGrid/>
        </w:rPr>
        <w:t>1,866</w:t>
      </w:r>
      <w:r>
        <w:rPr>
          <w:snapToGrid/>
        </w:rPr>
        <w:t>名学员，其中</w:t>
      </w:r>
      <w:r>
        <w:rPr>
          <w:snapToGrid/>
        </w:rPr>
        <w:t>1,439</w:t>
      </w:r>
      <w:r>
        <w:rPr>
          <w:snapToGrid/>
        </w:rPr>
        <w:t>名女</w:t>
      </w:r>
      <w:r>
        <w:rPr>
          <w:rFonts w:hint="eastAsia"/>
          <w:snapToGrid/>
        </w:rPr>
        <w:t>性</w:t>
      </w:r>
      <w:r>
        <w:rPr>
          <w:snapToGrid/>
        </w:rPr>
        <w:t>。失业基金为培训提供了</w:t>
      </w:r>
      <w:r>
        <w:rPr>
          <w:snapToGrid/>
        </w:rPr>
        <w:t>948,</w:t>
      </w:r>
      <w:r>
        <w:rPr>
          <w:rFonts w:hint="eastAsia"/>
          <w:snapToGrid/>
        </w:rPr>
        <w:t>300</w:t>
      </w:r>
      <w:r>
        <w:rPr>
          <w:rFonts w:hint="eastAsia"/>
          <w:snapToGrid/>
        </w:rPr>
        <w:t>雷的</w:t>
      </w:r>
      <w:r>
        <w:rPr>
          <w:snapToGrid/>
        </w:rPr>
        <w:t>经费。由于为社会保护措施提供的资金不足，职业教育部门出现了</w:t>
      </w:r>
      <w:r>
        <w:rPr>
          <w:rFonts w:hint="eastAsia"/>
          <w:snapToGrid/>
        </w:rPr>
        <w:t>赤字</w:t>
      </w:r>
      <w:r>
        <w:rPr>
          <w:snapToGrid/>
        </w:rPr>
        <w:t>。</w:t>
      </w:r>
    </w:p>
    <w:p w:rsidR="00000000" w:rsidRDefault="00000000">
      <w:pPr>
        <w:ind w:firstLine="539"/>
        <w:rPr>
          <w:snapToGrid/>
        </w:rPr>
      </w:pPr>
      <w:r>
        <w:rPr>
          <w:snapToGrid/>
        </w:rPr>
        <w:t>18</w:t>
      </w:r>
      <w:r>
        <w:rPr>
          <w:rFonts w:hint="eastAsia"/>
          <w:snapToGrid/>
        </w:rPr>
        <w:t xml:space="preserve">3.  </w:t>
      </w:r>
      <w:r>
        <w:rPr>
          <w:snapToGrid/>
        </w:rPr>
        <w:t>由于国民经济的经济财政危机，极</w:t>
      </w:r>
      <w:r>
        <w:rPr>
          <w:rFonts w:hint="eastAsia"/>
          <w:snapToGrid/>
        </w:rPr>
        <w:t>其</w:t>
      </w:r>
      <w:r>
        <w:rPr>
          <w:snapToGrid/>
        </w:rPr>
        <w:t>难以面对劳务市场展开促进活动。</w:t>
      </w:r>
      <w:r>
        <w:rPr>
          <w:rFonts w:hint="eastAsia"/>
          <w:snapToGrid/>
        </w:rPr>
        <w:t>因此各</w:t>
      </w:r>
      <w:r>
        <w:rPr>
          <w:snapToGrid/>
        </w:rPr>
        <w:t>方案提供的手段不能得到兑现，但是，</w:t>
      </w:r>
      <w:r>
        <w:rPr>
          <w:rFonts w:hint="eastAsia"/>
          <w:snapToGrid/>
        </w:rPr>
        <w:t>还是</w:t>
      </w:r>
      <w:r>
        <w:rPr>
          <w:snapToGrid/>
        </w:rPr>
        <w:t>得到坚持不懈</w:t>
      </w:r>
      <w:r>
        <w:rPr>
          <w:rFonts w:hint="eastAsia"/>
          <w:snapToGrid/>
        </w:rPr>
        <w:t>的</w:t>
      </w:r>
      <w:r>
        <w:rPr>
          <w:snapToGrid/>
        </w:rPr>
        <w:t>促进。有关</w:t>
      </w:r>
      <w:r>
        <w:rPr>
          <w:snapToGrid/>
        </w:rPr>
        <w:t>2001</w:t>
      </w:r>
      <w:r>
        <w:rPr>
          <w:snapToGrid/>
        </w:rPr>
        <w:t>至</w:t>
      </w:r>
      <w:r>
        <w:rPr>
          <w:snapToGrid/>
        </w:rPr>
        <w:t>2002</w:t>
      </w:r>
      <w:r>
        <w:rPr>
          <w:snapToGrid/>
        </w:rPr>
        <w:t>全国就业和职业方案的议案最近</w:t>
      </w:r>
      <w:r>
        <w:rPr>
          <w:rFonts w:hint="eastAsia"/>
          <w:snapToGrid/>
        </w:rPr>
        <w:t>已拟订</w:t>
      </w:r>
      <w:r>
        <w:rPr>
          <w:snapToGrid/>
        </w:rPr>
        <w:t>就绪，并呈送政府各部、雇主和工会。</w:t>
      </w:r>
    </w:p>
    <w:p w:rsidR="00000000" w:rsidRDefault="00000000">
      <w:pPr>
        <w:ind w:firstLine="539"/>
        <w:rPr>
          <w:snapToGrid/>
        </w:rPr>
      </w:pPr>
      <w:r>
        <w:rPr>
          <w:snapToGrid/>
        </w:rPr>
        <w:t>18</w:t>
      </w:r>
      <w:r>
        <w:rPr>
          <w:rFonts w:hint="eastAsia"/>
          <w:snapToGrid/>
        </w:rPr>
        <w:t xml:space="preserve">4.  </w:t>
      </w:r>
      <w:r>
        <w:rPr>
          <w:snapToGrid/>
        </w:rPr>
        <w:t>宪法第</w:t>
      </w:r>
      <w:r>
        <w:rPr>
          <w:snapToGrid/>
        </w:rPr>
        <w:t>43</w:t>
      </w:r>
      <w:r>
        <w:rPr>
          <w:snapToGrid/>
        </w:rPr>
        <w:t>条确认了工</w:t>
      </w:r>
      <w:r>
        <w:rPr>
          <w:snapToGrid/>
          <w:spacing w:val="4"/>
        </w:rPr>
        <w:t>作权和对工作的保护，并且规定人人有工作权、自由地选择</w:t>
      </w:r>
      <w:r>
        <w:rPr>
          <w:rFonts w:hint="eastAsia"/>
          <w:snapToGrid/>
          <w:spacing w:val="4"/>
        </w:rPr>
        <w:t>他</w:t>
      </w:r>
      <w:r>
        <w:rPr>
          <w:rFonts w:hint="eastAsia"/>
          <w:snapToGrid/>
          <w:spacing w:val="4"/>
        </w:rPr>
        <w:t>/</w:t>
      </w:r>
      <w:r>
        <w:rPr>
          <w:rFonts w:hint="eastAsia"/>
          <w:snapToGrid/>
          <w:spacing w:val="4"/>
        </w:rPr>
        <w:t>她的职业，在公平和满意的条件下工作，以及得到防止失业的保护</w:t>
      </w:r>
      <w:r>
        <w:rPr>
          <w:snapToGrid/>
          <w:spacing w:val="4"/>
        </w:rPr>
        <w:t>(</w:t>
      </w:r>
      <w:r>
        <w:rPr>
          <w:snapToGrid/>
          <w:spacing w:val="4"/>
        </w:rPr>
        <w:t>第</w:t>
      </w:r>
      <w:r>
        <w:rPr>
          <w:snapToGrid/>
          <w:spacing w:val="4"/>
        </w:rPr>
        <w:t>43</w:t>
      </w:r>
      <w:r>
        <w:rPr>
          <w:snapToGrid/>
          <w:spacing w:val="4"/>
        </w:rPr>
        <w:t>条第</w:t>
      </w:r>
      <w:r>
        <w:rPr>
          <w:snapToGrid/>
          <w:spacing w:val="4"/>
        </w:rPr>
        <w:t>1</w:t>
      </w:r>
      <w:r>
        <w:rPr>
          <w:snapToGrid/>
          <w:spacing w:val="4"/>
        </w:rPr>
        <w:t>款</w:t>
      </w:r>
      <w:r>
        <w:rPr>
          <w:snapToGrid/>
          <w:spacing w:val="4"/>
        </w:rPr>
        <w:t>)</w:t>
      </w:r>
      <w:r>
        <w:rPr>
          <w:snapToGrid/>
          <w:spacing w:val="4"/>
        </w:rPr>
        <w:t>。《摩尔多瓦共和国劳工法》</w:t>
      </w:r>
      <w:r>
        <w:rPr>
          <w:rFonts w:hint="eastAsia"/>
          <w:snapToGrid/>
          <w:spacing w:val="4"/>
        </w:rPr>
        <w:t>规定</w:t>
      </w:r>
      <w:r>
        <w:rPr>
          <w:snapToGrid/>
          <w:spacing w:val="4"/>
        </w:rPr>
        <w:t>了就业</w:t>
      </w:r>
      <w:r>
        <w:rPr>
          <w:rFonts w:hint="eastAsia"/>
          <w:snapToGrid/>
          <w:spacing w:val="4"/>
        </w:rPr>
        <w:t>保障</w:t>
      </w:r>
      <w:r>
        <w:rPr>
          <w:snapToGrid/>
          <w:spacing w:val="4"/>
        </w:rPr>
        <w:t>(17</w:t>
      </w:r>
      <w:r>
        <w:rPr>
          <w:snapToGrid/>
          <w:spacing w:val="4"/>
        </w:rPr>
        <w:t>条</w:t>
      </w:r>
      <w:r>
        <w:rPr>
          <w:snapToGrid/>
          <w:spacing w:val="4"/>
        </w:rPr>
        <w:t>)</w:t>
      </w:r>
      <w:r>
        <w:rPr>
          <w:snapToGrid/>
        </w:rPr>
        <w:t>，其中阐明：</w:t>
      </w:r>
    </w:p>
    <w:p w:rsidR="00000000" w:rsidRDefault="00000000">
      <w:pPr>
        <w:numPr>
          <w:ilvl w:val="0"/>
          <w:numId w:val="95"/>
        </w:numPr>
        <w:rPr>
          <w:rFonts w:hint="eastAsia"/>
          <w:snapToGrid/>
        </w:rPr>
      </w:pPr>
      <w:r>
        <w:rPr>
          <w:snapToGrid/>
        </w:rPr>
        <w:t>禁止拒绝雇用；</w:t>
      </w:r>
    </w:p>
    <w:p w:rsidR="00000000" w:rsidRDefault="00000000">
      <w:pPr>
        <w:numPr>
          <w:ilvl w:val="0"/>
          <w:numId w:val="95"/>
        </w:numPr>
        <w:rPr>
          <w:snapToGrid/>
        </w:rPr>
      </w:pPr>
      <w:r>
        <w:rPr>
          <w:snapToGrid/>
        </w:rPr>
        <w:t>在就业方面，不得由于性别、种族、民主、语言、社会血统、物质</w:t>
      </w:r>
      <w:r>
        <w:rPr>
          <w:rFonts w:hint="eastAsia"/>
          <w:snapToGrid/>
        </w:rPr>
        <w:t>状</w:t>
      </w:r>
      <w:r>
        <w:rPr>
          <w:snapToGrid/>
        </w:rPr>
        <w:t>况、宗教、信仰、</w:t>
      </w:r>
      <w:r>
        <w:rPr>
          <w:rFonts w:hint="eastAsia"/>
          <w:snapToGrid/>
        </w:rPr>
        <w:t>与社团的关系</w:t>
      </w:r>
      <w:r>
        <w:rPr>
          <w:snapToGrid/>
        </w:rPr>
        <w:t>和与工资</w:t>
      </w:r>
      <w:r>
        <w:rPr>
          <w:rFonts w:hint="eastAsia"/>
          <w:snapToGrid/>
        </w:rPr>
        <w:t>挣</w:t>
      </w:r>
      <w:r>
        <w:rPr>
          <w:snapToGrid/>
        </w:rPr>
        <w:t>取者所允许的资格不相关的其他情况，对权利进行直接或间接</w:t>
      </w:r>
      <w:r>
        <w:rPr>
          <w:rFonts w:hint="eastAsia"/>
          <w:snapToGrid/>
        </w:rPr>
        <w:t>的</w:t>
      </w:r>
      <w:r>
        <w:rPr>
          <w:snapToGrid/>
        </w:rPr>
        <w:t>限制，或者享有任何直接或间接</w:t>
      </w:r>
      <w:r>
        <w:rPr>
          <w:rFonts w:hint="eastAsia"/>
          <w:snapToGrid/>
        </w:rPr>
        <w:t>的优势。对于需要社会和法律保护的人在工作地点采取区别、解雇、偏好和限制做法，不可认为是歧视；这些不是根据国家规定的活动形式或具体照管条件确定的。</w:t>
      </w:r>
    </w:p>
    <w:p w:rsidR="00000000" w:rsidRDefault="00000000">
      <w:pPr>
        <w:spacing w:after="240"/>
        <w:ind w:firstLine="539"/>
        <w:rPr>
          <w:rFonts w:hint="eastAsia"/>
          <w:snapToGrid/>
        </w:rPr>
      </w:pPr>
      <w:r>
        <w:rPr>
          <w:snapToGrid/>
        </w:rPr>
        <w:t>18</w:t>
      </w:r>
      <w:r>
        <w:rPr>
          <w:rFonts w:hint="eastAsia"/>
          <w:snapToGrid/>
        </w:rPr>
        <w:t xml:space="preserve">5.  </w:t>
      </w:r>
      <w:r>
        <w:rPr>
          <w:snapToGrid/>
        </w:rPr>
        <w:t>《劳工法》第</w:t>
      </w:r>
      <w:r>
        <w:rPr>
          <w:rFonts w:hint="eastAsia"/>
          <w:snapToGrid/>
        </w:rPr>
        <w:t>三</w:t>
      </w:r>
      <w:r>
        <w:rPr>
          <w:snapToGrid/>
        </w:rPr>
        <w:t>章规定了就业保障和对工作权的保障。</w:t>
      </w:r>
      <w:r>
        <w:rPr>
          <w:snapToGrid/>
        </w:rPr>
        <w:t>1993</w:t>
      </w:r>
      <w:r>
        <w:rPr>
          <w:snapToGrid/>
        </w:rPr>
        <w:t>年</w:t>
      </w:r>
      <w:r>
        <w:rPr>
          <w:snapToGrid/>
        </w:rPr>
        <w:t>2</w:t>
      </w:r>
      <w:r>
        <w:rPr>
          <w:snapToGrid/>
        </w:rPr>
        <w:t>月</w:t>
      </w:r>
      <w:r>
        <w:rPr>
          <w:snapToGrid/>
        </w:rPr>
        <w:t>25</w:t>
      </w:r>
      <w:r>
        <w:rPr>
          <w:snapToGrid/>
        </w:rPr>
        <w:t>日第</w:t>
      </w:r>
      <w:r>
        <w:rPr>
          <w:snapToGrid/>
        </w:rPr>
        <w:t>130</w:t>
      </w:r>
      <w:r>
        <w:rPr>
          <w:rFonts w:hint="eastAsia"/>
          <w:snapToGrid/>
        </w:rPr>
        <w:t>5</w:t>
      </w:r>
      <w:r>
        <w:rPr>
          <w:snapToGrid/>
        </w:rPr>
        <w:t>号《薪金法》规定，向每个人支付规定的报酬，不得</w:t>
      </w:r>
      <w:r>
        <w:rPr>
          <w:rFonts w:hint="eastAsia"/>
          <w:snapToGrid/>
        </w:rPr>
        <w:t>有</w:t>
      </w:r>
      <w:r>
        <w:rPr>
          <w:snapToGrid/>
        </w:rPr>
        <w:t>任何</w:t>
      </w:r>
      <w:r>
        <w:rPr>
          <w:rFonts w:hint="eastAsia"/>
          <w:snapToGrid/>
        </w:rPr>
        <w:t>诸如</w:t>
      </w:r>
      <w:r>
        <w:rPr>
          <w:snapToGrid/>
        </w:rPr>
        <w:t>年龄、性别、种族或民族</w:t>
      </w:r>
      <w:r>
        <w:rPr>
          <w:rFonts w:hint="eastAsia"/>
          <w:snapToGrid/>
        </w:rPr>
        <w:t>系属、政治见解、教派和物质情况之类的区别</w:t>
      </w:r>
      <w:r>
        <w:rPr>
          <w:snapToGrid/>
        </w:rPr>
        <w:t>(</w:t>
      </w:r>
      <w:r>
        <w:rPr>
          <w:snapToGrid/>
        </w:rPr>
        <w:t>第</w:t>
      </w:r>
      <w:r>
        <w:rPr>
          <w:rFonts w:hint="eastAsia"/>
          <w:snapToGrid/>
        </w:rPr>
        <w:t>3</w:t>
      </w:r>
      <w:r>
        <w:rPr>
          <w:snapToGrid/>
        </w:rPr>
        <w:t>条</w:t>
      </w:r>
      <w:r>
        <w:rPr>
          <w:snapToGrid/>
        </w:rPr>
        <w:t>)</w:t>
      </w:r>
      <w:r>
        <w:rPr>
          <w:rFonts w:hint="eastAsia"/>
          <w:snapToGrid/>
        </w:rPr>
        <w:t>。</w:t>
      </w:r>
    </w:p>
    <w:p w:rsidR="00000000" w:rsidRDefault="00000000">
      <w:pPr>
        <w:pStyle w:val="Heading3"/>
        <w:spacing w:after="120"/>
        <w:rPr>
          <w:kern w:val="0"/>
        </w:rPr>
      </w:pPr>
      <w:r>
        <w:rPr>
          <w:rFonts w:hint="eastAsia"/>
          <w:kern w:val="0"/>
          <w:u w:val="none"/>
        </w:rPr>
        <w:t>表</w:t>
      </w:r>
      <w:r>
        <w:rPr>
          <w:rFonts w:hint="eastAsia"/>
          <w:kern w:val="0"/>
          <w:u w:val="none"/>
        </w:rPr>
        <w:t>9</w:t>
      </w:r>
      <w:r>
        <w:rPr>
          <w:kern w:val="0"/>
          <w:u w:val="none"/>
        </w:rPr>
        <w:t>.</w:t>
      </w:r>
      <w:r>
        <w:rPr>
          <w:rFonts w:hint="eastAsia"/>
          <w:kern w:val="0"/>
          <w:u w:val="none"/>
        </w:rPr>
        <w:t xml:space="preserve">  </w:t>
      </w:r>
      <w:r>
        <w:rPr>
          <w:kern w:val="0"/>
        </w:rPr>
        <w:t>2000</w:t>
      </w:r>
      <w:r>
        <w:rPr>
          <w:kern w:val="0"/>
        </w:rPr>
        <w:t>年</w:t>
      </w:r>
      <w:r>
        <w:rPr>
          <w:kern w:val="0"/>
        </w:rPr>
        <w:t>1</w:t>
      </w:r>
      <w:r>
        <w:rPr>
          <w:kern w:val="0"/>
        </w:rPr>
        <w:t>月至</w:t>
      </w:r>
      <w:r>
        <w:rPr>
          <w:rFonts w:hint="eastAsia"/>
          <w:kern w:val="0"/>
        </w:rPr>
        <w:t>9</w:t>
      </w:r>
      <w:r>
        <w:rPr>
          <w:kern w:val="0"/>
        </w:rPr>
        <w:t>月劳</w:t>
      </w:r>
      <w:r>
        <w:rPr>
          <w:rFonts w:hint="eastAsia"/>
          <w:kern w:val="0"/>
        </w:rPr>
        <w:t>务</w:t>
      </w:r>
      <w:r>
        <w:rPr>
          <w:kern w:val="0"/>
        </w:rPr>
        <w:t>交易所登记的出缺情况</w:t>
      </w:r>
    </w:p>
    <w:tbl>
      <w:tblPr>
        <w:tblW w:w="9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5"/>
        <w:gridCol w:w="879"/>
        <w:gridCol w:w="879"/>
        <w:gridCol w:w="880"/>
        <w:gridCol w:w="879"/>
        <w:gridCol w:w="879"/>
        <w:gridCol w:w="880"/>
        <w:gridCol w:w="879"/>
        <w:gridCol w:w="879"/>
        <w:gridCol w:w="880"/>
      </w:tblGrid>
      <w:tr w:rsidR="00000000">
        <w:tblPrEx>
          <w:tblCellMar>
            <w:top w:w="0" w:type="dxa"/>
            <w:bottom w:w="0" w:type="dxa"/>
          </w:tblCellMar>
        </w:tblPrEx>
        <w:tc>
          <w:tcPr>
            <w:tcW w:w="1785" w:type="dxa"/>
            <w:tcBorders>
              <w:left w:val="single" w:sz="4" w:space="0" w:color="auto"/>
            </w:tcBorders>
            <w:tcMar>
              <w:left w:w="57" w:type="dxa"/>
              <w:right w:w="85" w:type="dxa"/>
            </w:tcMar>
          </w:tcPr>
          <w:p w:rsidR="00000000" w:rsidRDefault="00000000">
            <w:pPr>
              <w:spacing w:before="120" w:after="120" w:line="200" w:lineRule="exact"/>
              <w:jc w:val="center"/>
              <w:rPr>
                <w:snapToGrid/>
                <w:sz w:val="22"/>
              </w:rPr>
            </w:pPr>
            <w:r>
              <w:rPr>
                <w:rFonts w:hint="eastAsia"/>
                <w:snapToGrid/>
                <w:sz w:val="22"/>
              </w:rPr>
              <w:t>劳工交易所</w:t>
            </w:r>
          </w:p>
        </w:tc>
        <w:tc>
          <w:tcPr>
            <w:tcW w:w="879" w:type="dxa"/>
            <w:tcMar>
              <w:left w:w="57" w:type="dxa"/>
              <w:right w:w="85" w:type="dxa"/>
            </w:tcMar>
          </w:tcPr>
          <w:p w:rsidR="00000000" w:rsidRDefault="00000000">
            <w:pPr>
              <w:spacing w:before="120" w:after="120" w:line="200" w:lineRule="exact"/>
              <w:jc w:val="center"/>
              <w:rPr>
                <w:snapToGrid/>
                <w:sz w:val="22"/>
              </w:rPr>
            </w:pPr>
            <w:r>
              <w:rPr>
                <w:rFonts w:hint="eastAsia"/>
                <w:snapToGrid/>
                <w:sz w:val="22"/>
              </w:rPr>
              <w:t>一</w:t>
            </w:r>
            <w:r>
              <w:rPr>
                <w:snapToGrid/>
                <w:sz w:val="22"/>
              </w:rPr>
              <w:t xml:space="preserve"> </w:t>
            </w:r>
            <w:r>
              <w:rPr>
                <w:rFonts w:hint="eastAsia"/>
                <w:snapToGrid/>
                <w:sz w:val="22"/>
              </w:rPr>
              <w:t>月</w:t>
            </w:r>
          </w:p>
        </w:tc>
        <w:tc>
          <w:tcPr>
            <w:tcW w:w="879" w:type="dxa"/>
            <w:tcMar>
              <w:left w:w="57" w:type="dxa"/>
              <w:right w:w="85" w:type="dxa"/>
            </w:tcMar>
          </w:tcPr>
          <w:p w:rsidR="00000000" w:rsidRDefault="00000000">
            <w:pPr>
              <w:spacing w:before="120" w:after="120" w:line="200" w:lineRule="exact"/>
              <w:jc w:val="center"/>
              <w:rPr>
                <w:snapToGrid/>
                <w:sz w:val="22"/>
              </w:rPr>
            </w:pPr>
            <w:r>
              <w:rPr>
                <w:rFonts w:hint="eastAsia"/>
                <w:snapToGrid/>
                <w:sz w:val="22"/>
              </w:rPr>
              <w:t>二</w:t>
            </w:r>
            <w:r>
              <w:rPr>
                <w:snapToGrid/>
                <w:sz w:val="22"/>
              </w:rPr>
              <w:t xml:space="preserve"> </w:t>
            </w:r>
            <w:r>
              <w:rPr>
                <w:rFonts w:hint="eastAsia"/>
                <w:snapToGrid/>
                <w:sz w:val="22"/>
              </w:rPr>
              <w:t>月</w:t>
            </w:r>
          </w:p>
        </w:tc>
        <w:tc>
          <w:tcPr>
            <w:tcW w:w="880" w:type="dxa"/>
            <w:tcMar>
              <w:left w:w="57" w:type="dxa"/>
              <w:right w:w="85" w:type="dxa"/>
            </w:tcMar>
          </w:tcPr>
          <w:p w:rsidR="00000000" w:rsidRDefault="00000000">
            <w:pPr>
              <w:spacing w:before="120" w:after="120" w:line="200" w:lineRule="exact"/>
              <w:jc w:val="center"/>
              <w:rPr>
                <w:rFonts w:hint="eastAsia"/>
                <w:snapToGrid/>
                <w:sz w:val="22"/>
              </w:rPr>
            </w:pPr>
            <w:r>
              <w:rPr>
                <w:rFonts w:hint="eastAsia"/>
                <w:snapToGrid/>
                <w:sz w:val="22"/>
              </w:rPr>
              <w:t>三</w:t>
            </w:r>
            <w:r>
              <w:rPr>
                <w:snapToGrid/>
                <w:sz w:val="22"/>
              </w:rPr>
              <w:t xml:space="preserve"> </w:t>
            </w:r>
            <w:r>
              <w:rPr>
                <w:rFonts w:hint="eastAsia"/>
                <w:snapToGrid/>
                <w:sz w:val="22"/>
              </w:rPr>
              <w:t>月</w:t>
            </w:r>
          </w:p>
        </w:tc>
        <w:tc>
          <w:tcPr>
            <w:tcW w:w="879" w:type="dxa"/>
            <w:tcMar>
              <w:left w:w="57" w:type="dxa"/>
              <w:right w:w="85" w:type="dxa"/>
            </w:tcMar>
          </w:tcPr>
          <w:p w:rsidR="00000000" w:rsidRDefault="00000000">
            <w:pPr>
              <w:spacing w:before="120" w:after="120" w:line="200" w:lineRule="exact"/>
              <w:jc w:val="center"/>
              <w:rPr>
                <w:rFonts w:hint="eastAsia"/>
                <w:snapToGrid/>
                <w:sz w:val="22"/>
              </w:rPr>
            </w:pPr>
            <w:r>
              <w:rPr>
                <w:rFonts w:hint="eastAsia"/>
                <w:snapToGrid/>
                <w:sz w:val="22"/>
              </w:rPr>
              <w:t>四</w:t>
            </w:r>
            <w:r>
              <w:rPr>
                <w:snapToGrid/>
                <w:sz w:val="22"/>
              </w:rPr>
              <w:t xml:space="preserve"> </w:t>
            </w:r>
            <w:r>
              <w:rPr>
                <w:rFonts w:hint="eastAsia"/>
                <w:snapToGrid/>
                <w:sz w:val="22"/>
              </w:rPr>
              <w:t>月</w:t>
            </w:r>
          </w:p>
        </w:tc>
        <w:tc>
          <w:tcPr>
            <w:tcW w:w="879" w:type="dxa"/>
            <w:tcMar>
              <w:left w:w="57" w:type="dxa"/>
              <w:right w:w="85" w:type="dxa"/>
            </w:tcMar>
          </w:tcPr>
          <w:p w:rsidR="00000000" w:rsidRDefault="00000000">
            <w:pPr>
              <w:spacing w:before="120" w:after="120" w:line="200" w:lineRule="exact"/>
              <w:jc w:val="center"/>
              <w:rPr>
                <w:rFonts w:hint="eastAsia"/>
                <w:snapToGrid/>
                <w:sz w:val="22"/>
              </w:rPr>
            </w:pPr>
            <w:r>
              <w:rPr>
                <w:rFonts w:hint="eastAsia"/>
                <w:snapToGrid/>
                <w:sz w:val="22"/>
              </w:rPr>
              <w:t>五</w:t>
            </w:r>
            <w:r>
              <w:rPr>
                <w:snapToGrid/>
                <w:sz w:val="22"/>
              </w:rPr>
              <w:t xml:space="preserve"> </w:t>
            </w:r>
            <w:r>
              <w:rPr>
                <w:rFonts w:hint="eastAsia"/>
                <w:snapToGrid/>
                <w:sz w:val="22"/>
              </w:rPr>
              <w:t>月</w:t>
            </w:r>
          </w:p>
        </w:tc>
        <w:tc>
          <w:tcPr>
            <w:tcW w:w="880" w:type="dxa"/>
            <w:tcMar>
              <w:left w:w="57" w:type="dxa"/>
              <w:right w:w="85" w:type="dxa"/>
            </w:tcMar>
          </w:tcPr>
          <w:p w:rsidR="00000000" w:rsidRDefault="00000000">
            <w:pPr>
              <w:spacing w:before="120" w:after="120" w:line="200" w:lineRule="exact"/>
              <w:jc w:val="center"/>
              <w:rPr>
                <w:rFonts w:hint="eastAsia"/>
                <w:snapToGrid/>
                <w:sz w:val="22"/>
              </w:rPr>
            </w:pPr>
            <w:r>
              <w:rPr>
                <w:rFonts w:hint="eastAsia"/>
                <w:snapToGrid/>
                <w:sz w:val="22"/>
              </w:rPr>
              <w:t>六</w:t>
            </w:r>
            <w:r>
              <w:rPr>
                <w:snapToGrid/>
                <w:sz w:val="22"/>
              </w:rPr>
              <w:t xml:space="preserve"> </w:t>
            </w:r>
            <w:r>
              <w:rPr>
                <w:rFonts w:hint="eastAsia"/>
                <w:snapToGrid/>
                <w:sz w:val="22"/>
              </w:rPr>
              <w:t>月</w:t>
            </w:r>
          </w:p>
        </w:tc>
        <w:tc>
          <w:tcPr>
            <w:tcW w:w="879" w:type="dxa"/>
            <w:tcMar>
              <w:left w:w="57" w:type="dxa"/>
              <w:right w:w="85" w:type="dxa"/>
            </w:tcMar>
          </w:tcPr>
          <w:p w:rsidR="00000000" w:rsidRDefault="00000000">
            <w:pPr>
              <w:spacing w:before="120" w:after="120" w:line="200" w:lineRule="exact"/>
              <w:jc w:val="center"/>
              <w:rPr>
                <w:rFonts w:hint="eastAsia"/>
                <w:snapToGrid/>
                <w:sz w:val="22"/>
              </w:rPr>
            </w:pPr>
            <w:r>
              <w:rPr>
                <w:rFonts w:hint="eastAsia"/>
                <w:snapToGrid/>
                <w:sz w:val="22"/>
              </w:rPr>
              <w:t>七</w:t>
            </w:r>
            <w:r>
              <w:rPr>
                <w:snapToGrid/>
                <w:sz w:val="22"/>
              </w:rPr>
              <w:t xml:space="preserve"> </w:t>
            </w:r>
            <w:r>
              <w:rPr>
                <w:rFonts w:hint="eastAsia"/>
                <w:snapToGrid/>
                <w:sz w:val="22"/>
              </w:rPr>
              <w:t>月</w:t>
            </w:r>
          </w:p>
        </w:tc>
        <w:tc>
          <w:tcPr>
            <w:tcW w:w="879" w:type="dxa"/>
            <w:tcMar>
              <w:left w:w="57" w:type="dxa"/>
              <w:right w:w="85" w:type="dxa"/>
            </w:tcMar>
          </w:tcPr>
          <w:p w:rsidR="00000000" w:rsidRDefault="00000000">
            <w:pPr>
              <w:spacing w:before="120" w:after="120" w:line="200" w:lineRule="exact"/>
              <w:jc w:val="center"/>
              <w:rPr>
                <w:rFonts w:hint="eastAsia"/>
                <w:snapToGrid/>
                <w:sz w:val="22"/>
              </w:rPr>
            </w:pPr>
            <w:r>
              <w:rPr>
                <w:rFonts w:hint="eastAsia"/>
                <w:snapToGrid/>
                <w:sz w:val="22"/>
              </w:rPr>
              <w:t>八</w:t>
            </w:r>
            <w:r>
              <w:rPr>
                <w:snapToGrid/>
                <w:sz w:val="22"/>
              </w:rPr>
              <w:t xml:space="preserve"> </w:t>
            </w:r>
            <w:r>
              <w:rPr>
                <w:rFonts w:hint="eastAsia"/>
                <w:snapToGrid/>
                <w:sz w:val="22"/>
              </w:rPr>
              <w:t>月</w:t>
            </w:r>
          </w:p>
        </w:tc>
        <w:tc>
          <w:tcPr>
            <w:tcW w:w="880" w:type="dxa"/>
            <w:tcMar>
              <w:left w:w="57" w:type="dxa"/>
              <w:right w:w="85" w:type="dxa"/>
            </w:tcMar>
          </w:tcPr>
          <w:p w:rsidR="00000000" w:rsidRDefault="00000000">
            <w:pPr>
              <w:spacing w:before="120" w:after="120" w:line="200" w:lineRule="exact"/>
              <w:jc w:val="center"/>
              <w:rPr>
                <w:rFonts w:hint="eastAsia"/>
                <w:snapToGrid/>
                <w:sz w:val="22"/>
              </w:rPr>
            </w:pPr>
            <w:r>
              <w:rPr>
                <w:rFonts w:hint="eastAsia"/>
                <w:snapToGrid/>
                <w:sz w:val="22"/>
              </w:rPr>
              <w:t>九</w:t>
            </w:r>
            <w:r>
              <w:rPr>
                <w:snapToGrid/>
                <w:sz w:val="22"/>
              </w:rPr>
              <w:t xml:space="preserve"> </w:t>
            </w:r>
            <w:r>
              <w:rPr>
                <w:rFonts w:hint="eastAsia"/>
                <w:snapToGrid/>
                <w:sz w:val="22"/>
              </w:rPr>
              <w:t>月</w:t>
            </w:r>
          </w:p>
        </w:tc>
      </w:tr>
      <w:tr w:rsidR="00000000">
        <w:tblPrEx>
          <w:tblCellMar>
            <w:top w:w="0" w:type="dxa"/>
            <w:bottom w:w="0" w:type="dxa"/>
          </w:tblCellMar>
        </w:tblPrEx>
        <w:tc>
          <w:tcPr>
            <w:tcW w:w="1785" w:type="dxa"/>
            <w:tcBorders>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Chisinau</w:t>
            </w:r>
            <w:r>
              <w:rPr>
                <w:rFonts w:hint="eastAsia"/>
                <w:snapToGrid/>
                <w:sz w:val="22"/>
              </w:rPr>
              <w:t>市</w:t>
            </w:r>
          </w:p>
        </w:tc>
        <w:tc>
          <w:tcPr>
            <w:tcW w:w="879"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392</w:t>
            </w:r>
          </w:p>
        </w:tc>
        <w:tc>
          <w:tcPr>
            <w:tcW w:w="879"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513</w:t>
            </w:r>
          </w:p>
        </w:tc>
        <w:tc>
          <w:tcPr>
            <w:tcW w:w="880"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516</w:t>
            </w:r>
          </w:p>
        </w:tc>
        <w:tc>
          <w:tcPr>
            <w:tcW w:w="879"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718</w:t>
            </w:r>
          </w:p>
        </w:tc>
        <w:tc>
          <w:tcPr>
            <w:tcW w:w="879"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829</w:t>
            </w:r>
          </w:p>
        </w:tc>
        <w:tc>
          <w:tcPr>
            <w:tcW w:w="880"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812</w:t>
            </w:r>
          </w:p>
        </w:tc>
        <w:tc>
          <w:tcPr>
            <w:tcW w:w="879"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729</w:t>
            </w:r>
          </w:p>
        </w:tc>
        <w:tc>
          <w:tcPr>
            <w:tcW w:w="879"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611</w:t>
            </w:r>
          </w:p>
        </w:tc>
        <w:tc>
          <w:tcPr>
            <w:tcW w:w="880" w:type="dxa"/>
            <w:tcBorders>
              <w:bottom w:val="nil"/>
            </w:tcBorders>
            <w:tcMar>
              <w:left w:w="57" w:type="dxa"/>
              <w:right w:w="85" w:type="dxa"/>
            </w:tcMar>
          </w:tcPr>
          <w:p w:rsidR="00000000" w:rsidRDefault="00000000">
            <w:pPr>
              <w:spacing w:line="240" w:lineRule="auto"/>
              <w:ind w:right="107"/>
              <w:jc w:val="right"/>
              <w:rPr>
                <w:snapToGrid/>
                <w:sz w:val="22"/>
              </w:rPr>
            </w:pPr>
            <w:r>
              <w:rPr>
                <w:snapToGrid/>
                <w:sz w:val="22"/>
              </w:rPr>
              <w:t>1408</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snapToGrid/>
                <w:sz w:val="22"/>
              </w:rPr>
            </w:pPr>
            <w:r>
              <w:rPr>
                <w:snapToGrid/>
                <w:sz w:val="22"/>
              </w:rPr>
              <w:t>TAU Gagauzia</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59</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93</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122</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118</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91</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142</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67</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51</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Balti</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385</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454</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520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589</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513</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706</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744</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627</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298</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Cahul</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121</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88</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123</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234</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247</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181</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14</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Chisinau</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180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147</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190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228</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228</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295</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283</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259</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185</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Edinet</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74</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95</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116</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96</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104</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129</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116</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183</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Lapusna</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85</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88</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148</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115</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110</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175</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160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118</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37</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Orhei</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117</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153</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188</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210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169</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275</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170</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255</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37</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Soroca</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72</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142</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137</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343</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396</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169</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257</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258</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194</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Tighina</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126</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122</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116</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142</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120</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88</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99</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124</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51</w:t>
            </w:r>
          </w:p>
        </w:tc>
      </w:tr>
      <w:tr w:rsidR="00000000">
        <w:tblPrEx>
          <w:tblCellMar>
            <w:top w:w="0" w:type="dxa"/>
            <w:bottom w:w="0" w:type="dxa"/>
          </w:tblCellMar>
        </w:tblPrEx>
        <w:tc>
          <w:tcPr>
            <w:tcW w:w="1785" w:type="dxa"/>
            <w:tcBorders>
              <w:top w:val="nil"/>
              <w:left w:val="single" w:sz="4" w:space="0" w:color="auto"/>
              <w:bottom w:val="nil"/>
            </w:tcBorders>
            <w:tcMar>
              <w:left w:w="57" w:type="dxa"/>
              <w:right w:w="85" w:type="dxa"/>
            </w:tcMar>
          </w:tcPr>
          <w:p w:rsidR="00000000" w:rsidRDefault="00000000">
            <w:pPr>
              <w:spacing w:line="240" w:lineRule="auto"/>
              <w:ind w:firstLine="105"/>
              <w:rPr>
                <w:rFonts w:hint="eastAsia"/>
                <w:snapToGrid/>
                <w:sz w:val="22"/>
              </w:rPr>
            </w:pPr>
            <w:r>
              <w:rPr>
                <w:snapToGrid/>
                <w:sz w:val="22"/>
              </w:rPr>
              <w:t>Taraclia</w:t>
            </w:r>
            <w:r>
              <w:rPr>
                <w:rFonts w:hint="eastAsia"/>
                <w:snapToGrid/>
                <w:sz w:val="22"/>
              </w:rPr>
              <w:t>县</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49</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61</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62</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88</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48</w:t>
            </w:r>
          </w:p>
        </w:tc>
        <w:tc>
          <w:tcPr>
            <w:tcW w:w="879"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50</w:t>
            </w:r>
          </w:p>
        </w:tc>
        <w:tc>
          <w:tcPr>
            <w:tcW w:w="880" w:type="dxa"/>
            <w:tcBorders>
              <w:top w:val="nil"/>
              <w:bottom w:val="nil"/>
            </w:tcBorders>
            <w:tcMar>
              <w:left w:w="57" w:type="dxa"/>
              <w:right w:w="85" w:type="dxa"/>
            </w:tcMar>
          </w:tcPr>
          <w:p w:rsidR="00000000" w:rsidRDefault="00000000">
            <w:pPr>
              <w:spacing w:line="240" w:lineRule="auto"/>
              <w:ind w:right="107"/>
              <w:jc w:val="right"/>
              <w:rPr>
                <w:snapToGrid/>
                <w:sz w:val="22"/>
              </w:rPr>
            </w:pPr>
            <w:r>
              <w:rPr>
                <w:snapToGrid/>
                <w:sz w:val="22"/>
              </w:rPr>
              <w:t>40</w:t>
            </w:r>
          </w:p>
        </w:tc>
      </w:tr>
      <w:tr w:rsidR="00000000">
        <w:tblPrEx>
          <w:tblCellMar>
            <w:top w:w="0" w:type="dxa"/>
            <w:bottom w:w="0" w:type="dxa"/>
          </w:tblCellMar>
        </w:tblPrEx>
        <w:tc>
          <w:tcPr>
            <w:tcW w:w="1785" w:type="dxa"/>
            <w:tcBorders>
              <w:top w:val="nil"/>
              <w:left w:val="single" w:sz="4" w:space="0" w:color="auto"/>
            </w:tcBorders>
            <w:tcMar>
              <w:left w:w="57" w:type="dxa"/>
              <w:right w:w="85" w:type="dxa"/>
            </w:tcMar>
          </w:tcPr>
          <w:p w:rsidR="00000000" w:rsidRDefault="00000000">
            <w:pPr>
              <w:spacing w:line="240" w:lineRule="auto"/>
              <w:ind w:firstLine="105"/>
              <w:rPr>
                <w:rFonts w:hint="eastAsia"/>
                <w:snapToGrid/>
                <w:sz w:val="22"/>
                <w:lang w:val="fr-FR"/>
              </w:rPr>
            </w:pPr>
            <w:r>
              <w:rPr>
                <w:snapToGrid/>
                <w:sz w:val="22"/>
              </w:rPr>
              <w:t>Ungheni</w:t>
            </w:r>
            <w:r>
              <w:rPr>
                <w:rFonts w:hint="eastAsia"/>
                <w:snapToGrid/>
                <w:sz w:val="22"/>
                <w:lang w:val="fr-FR"/>
              </w:rPr>
              <w:t>县</w:t>
            </w:r>
          </w:p>
        </w:tc>
        <w:tc>
          <w:tcPr>
            <w:tcW w:w="879"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152</w:t>
            </w:r>
          </w:p>
        </w:tc>
        <w:tc>
          <w:tcPr>
            <w:tcW w:w="879"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107</w:t>
            </w:r>
          </w:p>
        </w:tc>
        <w:tc>
          <w:tcPr>
            <w:tcW w:w="880"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193</w:t>
            </w:r>
          </w:p>
        </w:tc>
        <w:tc>
          <w:tcPr>
            <w:tcW w:w="879"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144</w:t>
            </w:r>
          </w:p>
        </w:tc>
        <w:tc>
          <w:tcPr>
            <w:tcW w:w="879"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92</w:t>
            </w:r>
          </w:p>
        </w:tc>
        <w:tc>
          <w:tcPr>
            <w:tcW w:w="880"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178</w:t>
            </w:r>
          </w:p>
        </w:tc>
        <w:tc>
          <w:tcPr>
            <w:tcW w:w="879"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158</w:t>
            </w:r>
          </w:p>
        </w:tc>
        <w:tc>
          <w:tcPr>
            <w:tcW w:w="879"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78</w:t>
            </w:r>
          </w:p>
        </w:tc>
        <w:tc>
          <w:tcPr>
            <w:tcW w:w="880" w:type="dxa"/>
            <w:tcBorders>
              <w:top w:val="nil"/>
            </w:tcBorders>
            <w:tcMar>
              <w:left w:w="57" w:type="dxa"/>
              <w:right w:w="85" w:type="dxa"/>
            </w:tcMar>
          </w:tcPr>
          <w:p w:rsidR="00000000" w:rsidRDefault="00000000">
            <w:pPr>
              <w:spacing w:line="240" w:lineRule="auto"/>
              <w:ind w:right="107"/>
              <w:jc w:val="right"/>
              <w:rPr>
                <w:snapToGrid/>
                <w:sz w:val="22"/>
              </w:rPr>
            </w:pPr>
            <w:r>
              <w:rPr>
                <w:snapToGrid/>
                <w:sz w:val="22"/>
              </w:rPr>
              <w:t>4</w:t>
            </w:r>
          </w:p>
        </w:tc>
      </w:tr>
      <w:tr w:rsidR="00000000">
        <w:tblPrEx>
          <w:tblCellMar>
            <w:top w:w="0" w:type="dxa"/>
            <w:bottom w:w="0" w:type="dxa"/>
          </w:tblCellMar>
        </w:tblPrEx>
        <w:tc>
          <w:tcPr>
            <w:tcW w:w="1785" w:type="dxa"/>
            <w:tcBorders>
              <w:left w:val="single" w:sz="4" w:space="0" w:color="auto"/>
            </w:tcBorders>
            <w:tcMar>
              <w:left w:w="57" w:type="dxa"/>
              <w:right w:w="85" w:type="dxa"/>
            </w:tcMar>
          </w:tcPr>
          <w:p w:rsidR="00000000" w:rsidRDefault="00000000">
            <w:pPr>
              <w:spacing w:line="240" w:lineRule="auto"/>
              <w:ind w:firstLine="105"/>
              <w:jc w:val="left"/>
              <w:rPr>
                <w:rFonts w:hint="eastAsia"/>
                <w:snapToGrid/>
                <w:sz w:val="22"/>
                <w:lang w:val="fr-FR"/>
              </w:rPr>
            </w:pPr>
            <w:r>
              <w:rPr>
                <w:rFonts w:hint="eastAsia"/>
                <w:snapToGrid/>
                <w:sz w:val="22"/>
                <w:lang w:val="fr-FR"/>
              </w:rPr>
              <w:t>合</w:t>
            </w:r>
            <w:r>
              <w:rPr>
                <w:snapToGrid/>
                <w:sz w:val="22"/>
                <w:lang w:val="fr-FR"/>
              </w:rPr>
              <w:t xml:space="preserve">  </w:t>
            </w:r>
            <w:r>
              <w:rPr>
                <w:rFonts w:hint="eastAsia"/>
                <w:snapToGrid/>
                <w:sz w:val="22"/>
                <w:lang w:val="fr-FR"/>
              </w:rPr>
              <w:t>计</w:t>
            </w:r>
          </w:p>
        </w:tc>
        <w:tc>
          <w:tcPr>
            <w:tcW w:w="879" w:type="dxa"/>
            <w:tcMar>
              <w:left w:w="57" w:type="dxa"/>
              <w:right w:w="85" w:type="dxa"/>
            </w:tcMar>
          </w:tcPr>
          <w:p w:rsidR="00000000" w:rsidRDefault="00000000">
            <w:pPr>
              <w:spacing w:line="240" w:lineRule="auto"/>
              <w:ind w:right="107"/>
              <w:jc w:val="right"/>
              <w:rPr>
                <w:snapToGrid/>
                <w:sz w:val="22"/>
              </w:rPr>
            </w:pPr>
            <w:r>
              <w:rPr>
                <w:snapToGrid/>
                <w:sz w:val="22"/>
              </w:rPr>
              <w:t>1 763</w:t>
            </w:r>
          </w:p>
        </w:tc>
        <w:tc>
          <w:tcPr>
            <w:tcW w:w="879" w:type="dxa"/>
            <w:tcMar>
              <w:left w:w="57" w:type="dxa"/>
              <w:right w:w="85" w:type="dxa"/>
            </w:tcMar>
          </w:tcPr>
          <w:p w:rsidR="00000000" w:rsidRDefault="00000000">
            <w:pPr>
              <w:spacing w:line="240" w:lineRule="auto"/>
              <w:ind w:right="107"/>
              <w:jc w:val="right"/>
              <w:rPr>
                <w:snapToGrid/>
                <w:sz w:val="22"/>
              </w:rPr>
            </w:pPr>
            <w:r>
              <w:rPr>
                <w:snapToGrid/>
                <w:sz w:val="22"/>
              </w:rPr>
              <w:t>2 002</w:t>
            </w:r>
          </w:p>
        </w:tc>
        <w:tc>
          <w:tcPr>
            <w:tcW w:w="880" w:type="dxa"/>
            <w:tcMar>
              <w:left w:w="57" w:type="dxa"/>
              <w:right w:w="85" w:type="dxa"/>
            </w:tcMar>
          </w:tcPr>
          <w:p w:rsidR="00000000" w:rsidRDefault="00000000">
            <w:pPr>
              <w:spacing w:line="240" w:lineRule="auto"/>
              <w:ind w:right="107"/>
              <w:jc w:val="right"/>
              <w:rPr>
                <w:snapToGrid/>
                <w:sz w:val="22"/>
              </w:rPr>
            </w:pPr>
            <w:r>
              <w:rPr>
                <w:snapToGrid/>
                <w:sz w:val="22"/>
              </w:rPr>
              <w:t>2 415</w:t>
            </w:r>
          </w:p>
        </w:tc>
        <w:tc>
          <w:tcPr>
            <w:tcW w:w="879" w:type="dxa"/>
            <w:tcMar>
              <w:left w:w="57" w:type="dxa"/>
              <w:right w:w="85" w:type="dxa"/>
            </w:tcMar>
          </w:tcPr>
          <w:p w:rsidR="00000000" w:rsidRDefault="00000000">
            <w:pPr>
              <w:spacing w:line="240" w:lineRule="auto"/>
              <w:ind w:right="107"/>
              <w:jc w:val="right"/>
              <w:rPr>
                <w:snapToGrid/>
                <w:sz w:val="22"/>
              </w:rPr>
            </w:pPr>
            <w:r>
              <w:rPr>
                <w:snapToGrid/>
                <w:sz w:val="22"/>
              </w:rPr>
              <w:t>2 874</w:t>
            </w:r>
          </w:p>
        </w:tc>
        <w:tc>
          <w:tcPr>
            <w:tcW w:w="879" w:type="dxa"/>
            <w:tcMar>
              <w:left w:w="57" w:type="dxa"/>
              <w:right w:w="85" w:type="dxa"/>
            </w:tcMar>
          </w:tcPr>
          <w:p w:rsidR="00000000" w:rsidRDefault="00000000">
            <w:pPr>
              <w:spacing w:line="240" w:lineRule="auto"/>
              <w:ind w:right="107"/>
              <w:jc w:val="right"/>
              <w:rPr>
                <w:snapToGrid/>
                <w:sz w:val="22"/>
              </w:rPr>
            </w:pPr>
            <w:r>
              <w:rPr>
                <w:snapToGrid/>
                <w:sz w:val="22"/>
              </w:rPr>
              <w:t>2 837</w:t>
            </w:r>
          </w:p>
        </w:tc>
        <w:tc>
          <w:tcPr>
            <w:tcW w:w="880" w:type="dxa"/>
            <w:tcMar>
              <w:left w:w="57" w:type="dxa"/>
              <w:right w:w="85" w:type="dxa"/>
            </w:tcMar>
          </w:tcPr>
          <w:p w:rsidR="00000000" w:rsidRDefault="00000000">
            <w:pPr>
              <w:spacing w:line="240" w:lineRule="auto"/>
              <w:ind w:right="107"/>
              <w:jc w:val="right"/>
              <w:rPr>
                <w:snapToGrid/>
                <w:sz w:val="22"/>
              </w:rPr>
            </w:pPr>
            <w:r>
              <w:rPr>
                <w:snapToGrid/>
                <w:sz w:val="22"/>
              </w:rPr>
              <w:t>3 247</w:t>
            </w:r>
          </w:p>
        </w:tc>
        <w:tc>
          <w:tcPr>
            <w:tcW w:w="879" w:type="dxa"/>
            <w:tcMar>
              <w:left w:w="57" w:type="dxa"/>
              <w:right w:w="85" w:type="dxa"/>
            </w:tcMar>
          </w:tcPr>
          <w:p w:rsidR="00000000" w:rsidRDefault="00000000">
            <w:pPr>
              <w:spacing w:line="240" w:lineRule="auto"/>
              <w:jc w:val="center"/>
              <w:rPr>
                <w:snapToGrid/>
                <w:sz w:val="22"/>
              </w:rPr>
            </w:pPr>
            <w:r>
              <w:rPr>
                <w:snapToGrid/>
                <w:sz w:val="22"/>
              </w:rPr>
              <w:t>3 153</w:t>
            </w:r>
          </w:p>
        </w:tc>
        <w:tc>
          <w:tcPr>
            <w:tcW w:w="879" w:type="dxa"/>
            <w:tcMar>
              <w:left w:w="57" w:type="dxa"/>
              <w:right w:w="85" w:type="dxa"/>
            </w:tcMar>
          </w:tcPr>
          <w:p w:rsidR="00000000" w:rsidRDefault="00000000">
            <w:pPr>
              <w:spacing w:line="240" w:lineRule="auto"/>
              <w:jc w:val="center"/>
              <w:rPr>
                <w:snapToGrid/>
                <w:sz w:val="22"/>
              </w:rPr>
            </w:pPr>
            <w:r>
              <w:rPr>
                <w:snapToGrid/>
                <w:sz w:val="22"/>
              </w:rPr>
              <w:t>2 811</w:t>
            </w:r>
          </w:p>
        </w:tc>
        <w:tc>
          <w:tcPr>
            <w:tcW w:w="880" w:type="dxa"/>
            <w:tcMar>
              <w:left w:w="57" w:type="dxa"/>
              <w:right w:w="85" w:type="dxa"/>
            </w:tcMar>
          </w:tcPr>
          <w:p w:rsidR="00000000" w:rsidRDefault="00000000">
            <w:pPr>
              <w:spacing w:line="240" w:lineRule="auto"/>
              <w:ind w:right="107"/>
              <w:jc w:val="right"/>
              <w:rPr>
                <w:snapToGrid/>
                <w:sz w:val="22"/>
              </w:rPr>
            </w:pPr>
            <w:r>
              <w:rPr>
                <w:snapToGrid/>
                <w:sz w:val="22"/>
              </w:rPr>
              <w:t>2 331</w:t>
            </w:r>
          </w:p>
        </w:tc>
      </w:tr>
    </w:tbl>
    <w:p w:rsidR="00000000" w:rsidRDefault="00000000">
      <w:pPr>
        <w:pStyle w:val="Heading3"/>
        <w:spacing w:before="480" w:after="120"/>
        <w:rPr>
          <w:rFonts w:hint="eastAsia"/>
          <w:kern w:val="0"/>
        </w:rPr>
      </w:pPr>
      <w:r>
        <w:rPr>
          <w:rFonts w:hint="eastAsia"/>
          <w:kern w:val="0"/>
          <w:u w:val="none"/>
        </w:rPr>
        <w:t>表</w:t>
      </w:r>
      <w:r>
        <w:rPr>
          <w:kern w:val="0"/>
          <w:u w:val="none"/>
        </w:rPr>
        <w:t xml:space="preserve">10.  </w:t>
      </w:r>
      <w:r>
        <w:rPr>
          <w:kern w:val="0"/>
        </w:rPr>
        <w:t>1991</w:t>
      </w:r>
      <w:r>
        <w:rPr>
          <w:kern w:val="0"/>
        </w:rPr>
        <w:t>至</w:t>
      </w:r>
      <w:r>
        <w:rPr>
          <w:kern w:val="0"/>
        </w:rPr>
        <w:t>2000</w:t>
      </w:r>
      <w:r>
        <w:rPr>
          <w:kern w:val="0"/>
        </w:rPr>
        <w:t>年摩尔多瓦共和国</w:t>
      </w:r>
      <w:r>
        <w:rPr>
          <w:rFonts w:hint="eastAsia"/>
          <w:kern w:val="0"/>
        </w:rPr>
        <w:t>失</w:t>
      </w:r>
      <w:r>
        <w:rPr>
          <w:kern w:val="0"/>
        </w:rPr>
        <w:t>业</w:t>
      </w:r>
      <w:r>
        <w:rPr>
          <w:rFonts w:hint="eastAsia"/>
          <w:kern w:val="0"/>
        </w:rPr>
        <w:t>变更</w:t>
      </w:r>
      <w:r>
        <w:rPr>
          <w:kern w:val="0"/>
        </w:rPr>
        <w:t>情况</w:t>
      </w:r>
      <w:r>
        <w:rPr>
          <w:rFonts w:hint="eastAsia"/>
          <w:kern w:val="0"/>
          <w:u w:val="none"/>
        </w:rPr>
        <w:t>，</w:t>
      </w:r>
      <w:r>
        <w:rPr>
          <w:kern w:val="0"/>
        </w:rPr>
        <w:br/>
      </w:r>
      <w:r>
        <w:rPr>
          <w:rFonts w:hint="eastAsia"/>
          <w:kern w:val="0"/>
        </w:rPr>
        <w:t>所采取的社会保护措施</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3"/>
        <w:gridCol w:w="820"/>
        <w:gridCol w:w="820"/>
        <w:gridCol w:w="820"/>
        <w:gridCol w:w="820"/>
        <w:gridCol w:w="820"/>
        <w:gridCol w:w="820"/>
        <w:gridCol w:w="820"/>
        <w:gridCol w:w="820"/>
        <w:gridCol w:w="820"/>
        <w:gridCol w:w="821"/>
      </w:tblGrid>
      <w:tr w:rsidR="00000000">
        <w:tblPrEx>
          <w:tblCellMar>
            <w:top w:w="0" w:type="dxa"/>
            <w:bottom w:w="0" w:type="dxa"/>
          </w:tblCellMar>
        </w:tblPrEx>
        <w:trPr>
          <w:trHeight w:val="245"/>
          <w:tblHeader/>
        </w:trPr>
        <w:tc>
          <w:tcPr>
            <w:tcW w:w="1183" w:type="dxa"/>
            <w:tcMar>
              <w:left w:w="28" w:type="dxa"/>
              <w:right w:w="57" w:type="dxa"/>
            </w:tcMar>
          </w:tcPr>
          <w:p w:rsidR="00000000" w:rsidRDefault="00000000">
            <w:pPr>
              <w:spacing w:before="120" w:after="120" w:line="240" w:lineRule="exact"/>
              <w:jc w:val="center"/>
              <w:rPr>
                <w:rFonts w:hint="eastAsia"/>
                <w:snapToGrid/>
                <w:sz w:val="20"/>
              </w:rPr>
            </w:pPr>
            <w:r>
              <w:rPr>
                <w:rFonts w:hint="eastAsia"/>
                <w:snapToGrid/>
                <w:sz w:val="20"/>
              </w:rPr>
              <w:t>措</w:t>
            </w:r>
            <w:r>
              <w:rPr>
                <w:rFonts w:hint="eastAsia"/>
                <w:snapToGrid/>
                <w:sz w:val="20"/>
              </w:rPr>
              <w:t xml:space="preserve">  </w:t>
            </w:r>
            <w:r>
              <w:rPr>
                <w:rFonts w:hint="eastAsia"/>
                <w:snapToGrid/>
                <w:sz w:val="20"/>
              </w:rPr>
              <w:t>施</w:t>
            </w:r>
          </w:p>
        </w:tc>
        <w:tc>
          <w:tcPr>
            <w:tcW w:w="820" w:type="dxa"/>
            <w:tcMar>
              <w:left w:w="28" w:type="dxa"/>
              <w:right w:w="57" w:type="dxa"/>
            </w:tcMar>
          </w:tcPr>
          <w:p w:rsidR="00000000" w:rsidRDefault="00000000">
            <w:pPr>
              <w:spacing w:before="120" w:after="120" w:line="240" w:lineRule="exact"/>
              <w:jc w:val="center"/>
              <w:rPr>
                <w:rFonts w:hint="eastAsia"/>
                <w:snapToGrid/>
                <w:sz w:val="20"/>
              </w:rPr>
            </w:pPr>
            <w:r>
              <w:rPr>
                <w:snapToGrid/>
                <w:sz w:val="20"/>
              </w:rPr>
              <w:t>1991</w:t>
            </w:r>
          </w:p>
        </w:tc>
        <w:tc>
          <w:tcPr>
            <w:tcW w:w="820" w:type="dxa"/>
            <w:tcMar>
              <w:left w:w="28" w:type="dxa"/>
              <w:right w:w="57" w:type="dxa"/>
            </w:tcMar>
          </w:tcPr>
          <w:p w:rsidR="00000000" w:rsidRDefault="00000000">
            <w:pPr>
              <w:spacing w:before="120" w:after="120" w:line="240" w:lineRule="exact"/>
              <w:jc w:val="center"/>
              <w:rPr>
                <w:snapToGrid/>
                <w:sz w:val="20"/>
              </w:rPr>
            </w:pPr>
            <w:r>
              <w:rPr>
                <w:snapToGrid/>
                <w:sz w:val="20"/>
              </w:rPr>
              <w:t>1992</w:t>
            </w:r>
          </w:p>
        </w:tc>
        <w:tc>
          <w:tcPr>
            <w:tcW w:w="820" w:type="dxa"/>
            <w:tcMar>
              <w:left w:w="28" w:type="dxa"/>
              <w:right w:w="57" w:type="dxa"/>
            </w:tcMar>
          </w:tcPr>
          <w:p w:rsidR="00000000" w:rsidRDefault="00000000">
            <w:pPr>
              <w:spacing w:before="120" w:after="120" w:line="240" w:lineRule="exact"/>
              <w:jc w:val="center"/>
              <w:rPr>
                <w:snapToGrid/>
                <w:sz w:val="20"/>
              </w:rPr>
            </w:pPr>
            <w:r>
              <w:rPr>
                <w:snapToGrid/>
                <w:sz w:val="20"/>
              </w:rPr>
              <w:t>1993</w:t>
            </w:r>
          </w:p>
        </w:tc>
        <w:tc>
          <w:tcPr>
            <w:tcW w:w="820" w:type="dxa"/>
            <w:tcMar>
              <w:left w:w="28" w:type="dxa"/>
              <w:right w:w="57" w:type="dxa"/>
            </w:tcMar>
          </w:tcPr>
          <w:p w:rsidR="00000000" w:rsidRDefault="00000000">
            <w:pPr>
              <w:spacing w:before="120" w:after="120" w:line="240" w:lineRule="exact"/>
              <w:jc w:val="center"/>
              <w:rPr>
                <w:snapToGrid/>
                <w:sz w:val="20"/>
              </w:rPr>
            </w:pPr>
            <w:r>
              <w:rPr>
                <w:snapToGrid/>
                <w:sz w:val="20"/>
              </w:rPr>
              <w:t>1994</w:t>
            </w:r>
          </w:p>
        </w:tc>
        <w:tc>
          <w:tcPr>
            <w:tcW w:w="820" w:type="dxa"/>
            <w:tcMar>
              <w:left w:w="28" w:type="dxa"/>
              <w:right w:w="57" w:type="dxa"/>
            </w:tcMar>
          </w:tcPr>
          <w:p w:rsidR="00000000" w:rsidRDefault="00000000">
            <w:pPr>
              <w:spacing w:before="120" w:after="120" w:line="240" w:lineRule="exact"/>
              <w:jc w:val="center"/>
              <w:rPr>
                <w:snapToGrid/>
                <w:sz w:val="20"/>
              </w:rPr>
            </w:pPr>
            <w:r>
              <w:rPr>
                <w:snapToGrid/>
                <w:sz w:val="20"/>
              </w:rPr>
              <w:t>1995</w:t>
            </w:r>
          </w:p>
        </w:tc>
        <w:tc>
          <w:tcPr>
            <w:tcW w:w="820" w:type="dxa"/>
            <w:tcMar>
              <w:left w:w="28" w:type="dxa"/>
              <w:right w:w="57" w:type="dxa"/>
            </w:tcMar>
          </w:tcPr>
          <w:p w:rsidR="00000000" w:rsidRDefault="00000000">
            <w:pPr>
              <w:spacing w:before="120" w:after="120" w:line="240" w:lineRule="exact"/>
              <w:jc w:val="center"/>
              <w:rPr>
                <w:snapToGrid/>
                <w:sz w:val="20"/>
              </w:rPr>
            </w:pPr>
            <w:r>
              <w:rPr>
                <w:snapToGrid/>
                <w:sz w:val="20"/>
              </w:rPr>
              <w:t>1996</w:t>
            </w:r>
          </w:p>
        </w:tc>
        <w:tc>
          <w:tcPr>
            <w:tcW w:w="820" w:type="dxa"/>
            <w:tcMar>
              <w:left w:w="28" w:type="dxa"/>
              <w:right w:w="57" w:type="dxa"/>
            </w:tcMar>
          </w:tcPr>
          <w:p w:rsidR="00000000" w:rsidRDefault="00000000">
            <w:pPr>
              <w:spacing w:before="120" w:after="120" w:line="240" w:lineRule="exact"/>
              <w:jc w:val="center"/>
              <w:rPr>
                <w:snapToGrid/>
                <w:sz w:val="20"/>
              </w:rPr>
            </w:pPr>
            <w:r>
              <w:rPr>
                <w:snapToGrid/>
                <w:sz w:val="20"/>
              </w:rPr>
              <w:t>1997</w:t>
            </w:r>
          </w:p>
        </w:tc>
        <w:tc>
          <w:tcPr>
            <w:tcW w:w="820" w:type="dxa"/>
            <w:tcMar>
              <w:left w:w="28" w:type="dxa"/>
              <w:right w:w="57" w:type="dxa"/>
            </w:tcMar>
          </w:tcPr>
          <w:p w:rsidR="00000000" w:rsidRDefault="00000000">
            <w:pPr>
              <w:spacing w:before="120" w:after="120" w:line="240" w:lineRule="exact"/>
              <w:jc w:val="center"/>
              <w:rPr>
                <w:snapToGrid/>
                <w:sz w:val="20"/>
              </w:rPr>
            </w:pPr>
            <w:r>
              <w:rPr>
                <w:snapToGrid/>
                <w:sz w:val="20"/>
              </w:rPr>
              <w:t>1998</w:t>
            </w:r>
          </w:p>
        </w:tc>
        <w:tc>
          <w:tcPr>
            <w:tcW w:w="820" w:type="dxa"/>
            <w:tcMar>
              <w:left w:w="28" w:type="dxa"/>
              <w:right w:w="57" w:type="dxa"/>
            </w:tcMar>
          </w:tcPr>
          <w:p w:rsidR="00000000" w:rsidRDefault="00000000">
            <w:pPr>
              <w:spacing w:before="120" w:after="120" w:line="240" w:lineRule="exact"/>
              <w:jc w:val="center"/>
              <w:rPr>
                <w:snapToGrid/>
                <w:sz w:val="20"/>
              </w:rPr>
            </w:pPr>
            <w:r>
              <w:rPr>
                <w:snapToGrid/>
                <w:sz w:val="20"/>
              </w:rPr>
              <w:t>1999</w:t>
            </w:r>
          </w:p>
        </w:tc>
        <w:tc>
          <w:tcPr>
            <w:tcW w:w="821" w:type="dxa"/>
            <w:tcMar>
              <w:left w:w="28" w:type="dxa"/>
              <w:right w:w="57" w:type="dxa"/>
            </w:tcMar>
          </w:tcPr>
          <w:p w:rsidR="00000000" w:rsidRDefault="00000000">
            <w:pPr>
              <w:spacing w:before="120" w:after="120" w:line="240" w:lineRule="exact"/>
              <w:jc w:val="center"/>
              <w:rPr>
                <w:snapToGrid/>
                <w:sz w:val="20"/>
              </w:rPr>
            </w:pPr>
            <w:r>
              <w:rPr>
                <w:snapToGrid/>
                <w:sz w:val="20"/>
              </w:rPr>
              <w:t>2000</w:t>
            </w:r>
          </w:p>
        </w:tc>
      </w:tr>
      <w:tr w:rsidR="00000000">
        <w:tblPrEx>
          <w:tblCellMar>
            <w:top w:w="0" w:type="dxa"/>
            <w:bottom w:w="0" w:type="dxa"/>
          </w:tblCellMar>
        </w:tblPrEx>
        <w:trPr>
          <w:trHeight w:val="34"/>
        </w:trPr>
        <w:tc>
          <w:tcPr>
            <w:tcW w:w="1183" w:type="dxa"/>
            <w:tcBorders>
              <w:bottom w:val="nil"/>
            </w:tcBorders>
            <w:tcMar>
              <w:left w:w="0" w:type="dxa"/>
              <w:right w:w="0" w:type="dxa"/>
            </w:tcMar>
          </w:tcPr>
          <w:p w:rsidR="00000000" w:rsidRDefault="00000000">
            <w:pPr>
              <w:spacing w:line="240" w:lineRule="exact"/>
              <w:jc w:val="center"/>
              <w:rPr>
                <w:snapToGrid/>
                <w:sz w:val="20"/>
              </w:rPr>
            </w:pPr>
            <w:r>
              <w:rPr>
                <w:rFonts w:hint="eastAsia"/>
                <w:snapToGrid/>
                <w:sz w:val="20"/>
              </w:rPr>
              <w:t>交介绍处</w:t>
            </w:r>
            <w:r>
              <w:rPr>
                <w:snapToGrid/>
                <w:sz w:val="20"/>
              </w:rPr>
              <w:br/>
              <w:t>(</w:t>
            </w:r>
            <w:r>
              <w:rPr>
                <w:rFonts w:hint="eastAsia"/>
                <w:snapToGrid/>
                <w:sz w:val="20"/>
              </w:rPr>
              <w:t>人数</w:t>
            </w:r>
            <w:r>
              <w:rPr>
                <w:snapToGrid/>
                <w:sz w:val="20"/>
              </w:rPr>
              <w:t>)</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59 309</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48 375</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40 068</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38 684</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45 365</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46 333</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49 518</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63 296</w:t>
            </w:r>
          </w:p>
        </w:tc>
        <w:tc>
          <w:tcPr>
            <w:tcW w:w="820"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57 834</w:t>
            </w:r>
          </w:p>
        </w:tc>
        <w:tc>
          <w:tcPr>
            <w:tcW w:w="821" w:type="dxa"/>
            <w:tcBorders>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50 848</w:t>
            </w: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jc w:val="center"/>
              <w:rPr>
                <w:snapToGrid/>
                <w:sz w:val="20"/>
              </w:rPr>
            </w:pPr>
            <w:r>
              <w:rPr>
                <w:rFonts w:hint="eastAsia"/>
                <w:snapToGrid/>
                <w:sz w:val="20"/>
              </w:rPr>
              <w:t>雇</w:t>
            </w:r>
            <w:r>
              <w:rPr>
                <w:rFonts w:hint="eastAsia"/>
                <w:snapToGrid/>
                <w:sz w:val="20"/>
              </w:rPr>
              <w:t xml:space="preserve">  </w:t>
            </w:r>
            <w:r>
              <w:rPr>
                <w:rFonts w:hint="eastAsia"/>
                <w:snapToGrid/>
                <w:sz w:val="20"/>
              </w:rPr>
              <w:t>用</w:t>
            </w:r>
            <w:r>
              <w:rPr>
                <w:snapToGrid/>
                <w:sz w:val="20"/>
              </w:rPr>
              <w:br/>
            </w:r>
            <w:r>
              <w:rPr>
                <w:rFonts w:hint="eastAsia"/>
                <w:snapToGrid/>
                <w:sz w:val="20"/>
              </w:rPr>
              <w:t>(</w:t>
            </w:r>
            <w:r>
              <w:rPr>
                <w:rFonts w:hint="eastAsia"/>
                <w:snapToGrid/>
                <w:sz w:val="20"/>
              </w:rPr>
              <w:t>人数</w:t>
            </w:r>
            <w:r>
              <w:rPr>
                <w:snapToGrid/>
                <w:sz w:val="20"/>
              </w:rPr>
              <w:t>)</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29 315</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11 809</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11 916</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11 020</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16 480</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19 573</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21 078</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22 386</w:t>
            </w:r>
          </w:p>
        </w:tc>
        <w:tc>
          <w:tcPr>
            <w:tcW w:w="820"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19 121</w:t>
            </w:r>
          </w:p>
        </w:tc>
        <w:tc>
          <w:tcPr>
            <w:tcW w:w="821" w:type="dxa"/>
            <w:tcBorders>
              <w:top w:val="nil"/>
              <w:bottom w:val="nil"/>
            </w:tcBorders>
            <w:tcMar>
              <w:left w:w="28" w:type="dxa"/>
              <w:right w:w="57" w:type="dxa"/>
            </w:tcMar>
          </w:tcPr>
          <w:p w:rsidR="00000000" w:rsidRDefault="00000000">
            <w:pPr>
              <w:spacing w:after="120" w:line="240" w:lineRule="exact"/>
              <w:jc w:val="right"/>
              <w:rPr>
                <w:snapToGrid/>
                <w:position w:val="-10"/>
                <w:sz w:val="20"/>
              </w:rPr>
            </w:pPr>
            <w:r>
              <w:rPr>
                <w:snapToGrid/>
                <w:position w:val="-10"/>
                <w:sz w:val="20"/>
              </w:rPr>
              <w:t>22 085</w:t>
            </w:r>
          </w:p>
        </w:tc>
      </w:tr>
      <w:tr w:rsidR="00000000">
        <w:tblPrEx>
          <w:tblCellMar>
            <w:top w:w="0" w:type="dxa"/>
            <w:bottom w:w="0" w:type="dxa"/>
          </w:tblCellMar>
        </w:tblPrEx>
        <w:trPr>
          <w:trHeight w:val="675"/>
        </w:trPr>
        <w:tc>
          <w:tcPr>
            <w:tcW w:w="1183" w:type="dxa"/>
            <w:tcBorders>
              <w:top w:val="nil"/>
              <w:bottom w:val="nil"/>
            </w:tcBorders>
            <w:tcMar>
              <w:left w:w="0" w:type="dxa"/>
              <w:right w:w="0" w:type="dxa"/>
            </w:tcMar>
          </w:tcPr>
          <w:p w:rsidR="00000000" w:rsidRDefault="00000000">
            <w:pPr>
              <w:spacing w:line="240" w:lineRule="exact"/>
              <w:ind w:left="288" w:hanging="288"/>
              <w:jc w:val="left"/>
              <w:rPr>
                <w:snapToGrid/>
                <w:sz w:val="20"/>
              </w:rPr>
            </w:pPr>
            <w:r>
              <w:rPr>
                <w:rFonts w:hint="eastAsia"/>
                <w:snapToGrid/>
                <w:sz w:val="20"/>
              </w:rPr>
              <w:t>领取失业补贴金者</w:t>
            </w:r>
            <w:r>
              <w:rPr>
                <w:snapToGrid/>
                <w:sz w:val="20"/>
              </w:rPr>
              <w:t>(</w:t>
            </w:r>
            <w:r>
              <w:rPr>
                <w:rFonts w:hint="eastAsia"/>
                <w:snapToGrid/>
                <w:sz w:val="20"/>
              </w:rPr>
              <w:t>人数</w:t>
            </w:r>
            <w:r>
              <w:rPr>
                <w:snapToGrid/>
                <w:sz w:val="20"/>
              </w:rPr>
              <w:t>)</w:t>
            </w:r>
          </w:p>
        </w:tc>
        <w:tc>
          <w:tcPr>
            <w:tcW w:w="820" w:type="dxa"/>
            <w:tcBorders>
              <w:top w:val="nil"/>
              <w:bottom w:val="nil"/>
            </w:tcBorders>
            <w:tcMar>
              <w:left w:w="28" w:type="dxa"/>
              <w:right w:w="57" w:type="dxa"/>
            </w:tcMar>
          </w:tcPr>
          <w:p w:rsidR="00000000" w:rsidRDefault="00000000">
            <w:pPr>
              <w:spacing w:line="240" w:lineRule="exact"/>
              <w:jc w:val="right"/>
              <w:rPr>
                <w:snapToGrid/>
                <w:sz w:val="20"/>
              </w:rPr>
            </w:pPr>
          </w:p>
        </w:tc>
        <w:tc>
          <w:tcPr>
            <w:tcW w:w="820"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p>
        </w:tc>
        <w:tc>
          <w:tcPr>
            <w:tcW w:w="820"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r>
              <w:rPr>
                <w:snapToGrid/>
                <w:position w:val="-10"/>
                <w:sz w:val="20"/>
              </w:rPr>
              <w:t>12 961</w:t>
            </w:r>
          </w:p>
        </w:tc>
        <w:tc>
          <w:tcPr>
            <w:tcW w:w="820"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r>
              <w:rPr>
                <w:snapToGrid/>
                <w:position w:val="-10"/>
                <w:sz w:val="20"/>
              </w:rPr>
              <w:t>14 881</w:t>
            </w:r>
          </w:p>
        </w:tc>
        <w:tc>
          <w:tcPr>
            <w:tcW w:w="820"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r>
              <w:rPr>
                <w:snapToGrid/>
                <w:position w:val="-10"/>
                <w:sz w:val="20"/>
              </w:rPr>
              <w:t>19 747</w:t>
            </w:r>
          </w:p>
        </w:tc>
        <w:tc>
          <w:tcPr>
            <w:tcW w:w="820"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r>
              <w:rPr>
                <w:snapToGrid/>
                <w:position w:val="-10"/>
                <w:sz w:val="20"/>
              </w:rPr>
              <w:t>19 563</w:t>
            </w:r>
          </w:p>
        </w:tc>
        <w:tc>
          <w:tcPr>
            <w:tcW w:w="820"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r>
              <w:rPr>
                <w:snapToGrid/>
                <w:position w:val="-10"/>
                <w:sz w:val="20"/>
              </w:rPr>
              <w:t>18 180</w:t>
            </w:r>
          </w:p>
        </w:tc>
        <w:tc>
          <w:tcPr>
            <w:tcW w:w="820"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r>
              <w:rPr>
                <w:snapToGrid/>
                <w:position w:val="-10"/>
                <w:sz w:val="20"/>
              </w:rPr>
              <w:t>19 921</w:t>
            </w:r>
          </w:p>
        </w:tc>
        <w:tc>
          <w:tcPr>
            <w:tcW w:w="820"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r>
              <w:rPr>
                <w:snapToGrid/>
                <w:position w:val="-10"/>
                <w:sz w:val="20"/>
              </w:rPr>
              <w:t>25 315</w:t>
            </w:r>
          </w:p>
        </w:tc>
        <w:tc>
          <w:tcPr>
            <w:tcW w:w="821" w:type="dxa"/>
            <w:tcBorders>
              <w:top w:val="nil"/>
              <w:bottom w:val="nil"/>
            </w:tcBorders>
            <w:tcMar>
              <w:left w:w="28" w:type="dxa"/>
              <w:right w:w="57" w:type="dxa"/>
            </w:tcMar>
          </w:tcPr>
          <w:p w:rsidR="00000000" w:rsidRDefault="00000000">
            <w:pPr>
              <w:spacing w:before="120" w:after="120" w:line="240" w:lineRule="exact"/>
              <w:jc w:val="right"/>
              <w:rPr>
                <w:snapToGrid/>
                <w:position w:val="-10"/>
                <w:sz w:val="20"/>
              </w:rPr>
            </w:pPr>
            <w:r>
              <w:rPr>
                <w:snapToGrid/>
                <w:position w:val="-10"/>
                <w:sz w:val="20"/>
              </w:rPr>
              <w:t>23 740</w:t>
            </w: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ind w:left="288" w:hanging="288"/>
              <w:jc w:val="left"/>
              <w:rPr>
                <w:snapToGrid/>
                <w:sz w:val="20"/>
              </w:rPr>
            </w:pPr>
            <w:r>
              <w:rPr>
                <w:rFonts w:hint="eastAsia"/>
                <w:snapToGrid/>
                <w:sz w:val="20"/>
              </w:rPr>
              <w:t>失业补贴金</w:t>
            </w:r>
            <w:r>
              <w:rPr>
                <w:rFonts w:hint="eastAsia"/>
                <w:snapToGrid/>
                <w:sz w:val="20"/>
              </w:rPr>
              <w:t xml:space="preserve">  </w:t>
            </w:r>
            <w:r>
              <w:rPr>
                <w:rFonts w:hint="eastAsia"/>
                <w:snapToGrid/>
                <w:sz w:val="20"/>
              </w:rPr>
              <w:t>额</w:t>
            </w:r>
            <w:r>
              <w:rPr>
                <w:snapToGrid/>
                <w:sz w:val="20"/>
              </w:rPr>
              <w:t>(</w:t>
            </w:r>
            <w:r>
              <w:rPr>
                <w:rFonts w:hint="eastAsia"/>
                <w:snapToGrid/>
                <w:sz w:val="20"/>
              </w:rPr>
              <w:t>列依</w:t>
            </w:r>
            <w:r>
              <w:rPr>
                <w:snapToGrid/>
                <w:sz w:val="20"/>
              </w:rPr>
              <w:t>)</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41.2</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14 856.6</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231.2</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1 709.3</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5 173.1</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5 839.1</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6 478.0</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8 659.39</w:t>
            </w:r>
          </w:p>
        </w:tc>
        <w:tc>
          <w:tcPr>
            <w:tcW w:w="820" w:type="dxa"/>
            <w:tcBorders>
              <w:top w:val="nil"/>
              <w:bottom w:val="nil"/>
            </w:tcBorders>
            <w:tcMar>
              <w:left w:w="0" w:type="dxa"/>
              <w:right w:w="0" w:type="dxa"/>
            </w:tcMar>
          </w:tcPr>
          <w:p w:rsidR="00000000" w:rsidRDefault="00000000">
            <w:pPr>
              <w:spacing w:before="120" w:line="24" w:lineRule="atLeast"/>
              <w:jc w:val="right"/>
              <w:rPr>
                <w:snapToGrid/>
                <w:sz w:val="20"/>
              </w:rPr>
            </w:pPr>
            <w:r>
              <w:rPr>
                <w:snapToGrid/>
                <w:sz w:val="20"/>
              </w:rPr>
              <w:t>7 930.73</w:t>
            </w:r>
          </w:p>
        </w:tc>
        <w:tc>
          <w:tcPr>
            <w:tcW w:w="821" w:type="dxa"/>
            <w:tcBorders>
              <w:top w:val="nil"/>
              <w:bottom w:val="nil"/>
            </w:tcBorders>
            <w:tcMar>
              <w:left w:w="0" w:type="dxa"/>
              <w:right w:w="0" w:type="dxa"/>
            </w:tcMar>
          </w:tcPr>
          <w:p w:rsidR="00000000" w:rsidRDefault="00000000">
            <w:pPr>
              <w:spacing w:line="24" w:lineRule="atLeast"/>
              <w:jc w:val="center"/>
              <w:rPr>
                <w:snapToGrid/>
                <w:sz w:val="20"/>
              </w:rPr>
            </w:pP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ind w:left="288" w:hanging="288"/>
              <w:jc w:val="left"/>
              <w:rPr>
                <w:snapToGrid/>
                <w:sz w:val="20"/>
              </w:rPr>
            </w:pPr>
            <w:r>
              <w:rPr>
                <w:rFonts w:hint="eastAsia"/>
                <w:snapToGrid/>
                <w:sz w:val="20"/>
              </w:rPr>
              <w:t>招入专业培训班的失业者</w:t>
            </w:r>
            <w:r>
              <w:rPr>
                <w:snapToGrid/>
                <w:sz w:val="20"/>
              </w:rPr>
              <w:t>(</w:t>
            </w:r>
            <w:r>
              <w:rPr>
                <w:rFonts w:hint="eastAsia"/>
                <w:snapToGrid/>
                <w:sz w:val="20"/>
              </w:rPr>
              <w:t>从年初起计算</w:t>
            </w:r>
            <w:r>
              <w:rPr>
                <w:snapToGrid/>
                <w:sz w:val="20"/>
              </w:rPr>
              <w:t>)(</w:t>
            </w:r>
            <w:r>
              <w:rPr>
                <w:rFonts w:hint="eastAsia"/>
                <w:snapToGrid/>
                <w:sz w:val="20"/>
              </w:rPr>
              <w:t>人数</w:t>
            </w:r>
            <w:r>
              <w:rPr>
                <w:snapToGrid/>
                <w:sz w:val="20"/>
              </w:rPr>
              <w:t>)</w:t>
            </w:r>
          </w:p>
        </w:tc>
        <w:tc>
          <w:tcPr>
            <w:tcW w:w="820" w:type="dxa"/>
            <w:tcBorders>
              <w:top w:val="nil"/>
              <w:bottom w:val="nil"/>
            </w:tcBorders>
            <w:tcMar>
              <w:left w:w="28" w:type="dxa"/>
              <w:right w:w="57" w:type="dxa"/>
            </w:tcMar>
          </w:tcPr>
          <w:p w:rsidR="00000000" w:rsidRDefault="00000000">
            <w:pPr>
              <w:spacing w:before="240"/>
              <w:jc w:val="right"/>
              <w:rPr>
                <w:snapToGrid/>
                <w:sz w:val="20"/>
              </w:rPr>
            </w:pP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49</w:t>
            </w:r>
            <w:r>
              <w:rPr>
                <w:snapToGrid/>
                <w:position w:val="-10"/>
                <w:sz w:val="20"/>
              </w:rPr>
              <w:br/>
            </w:r>
            <w:r>
              <w:rPr>
                <w:snapToGrid/>
                <w:position w:val="-10"/>
                <w:sz w:val="20"/>
              </w:rPr>
              <w:br/>
              <w:t>27</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1 257</w:t>
            </w:r>
            <w:r>
              <w:rPr>
                <w:snapToGrid/>
                <w:sz w:val="20"/>
              </w:rPr>
              <w:br/>
            </w:r>
            <w:r>
              <w:rPr>
                <w:snapToGrid/>
                <w:sz w:val="20"/>
              </w:rPr>
              <w:br/>
              <w:t>712</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5 170</w:t>
            </w:r>
            <w:r>
              <w:rPr>
                <w:snapToGrid/>
                <w:sz w:val="20"/>
              </w:rPr>
              <w:br/>
            </w:r>
            <w:r>
              <w:rPr>
                <w:snapToGrid/>
                <w:sz w:val="20"/>
              </w:rPr>
              <w:br/>
              <w:t>2 723</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7 511</w:t>
            </w:r>
            <w:r>
              <w:rPr>
                <w:snapToGrid/>
                <w:sz w:val="20"/>
              </w:rPr>
              <w:br/>
            </w:r>
            <w:r>
              <w:rPr>
                <w:snapToGrid/>
                <w:sz w:val="20"/>
              </w:rPr>
              <w:br/>
              <w:t>5 188</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8 927</w:t>
            </w:r>
            <w:r>
              <w:rPr>
                <w:snapToGrid/>
                <w:sz w:val="20"/>
              </w:rPr>
              <w:br/>
            </w:r>
            <w:r>
              <w:rPr>
                <w:snapToGrid/>
                <w:sz w:val="20"/>
              </w:rPr>
              <w:br/>
              <w:t>5 436</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10 583</w:t>
            </w:r>
            <w:r>
              <w:rPr>
                <w:snapToGrid/>
                <w:sz w:val="20"/>
              </w:rPr>
              <w:br/>
            </w:r>
            <w:r>
              <w:rPr>
                <w:snapToGrid/>
                <w:sz w:val="20"/>
              </w:rPr>
              <w:br/>
              <w:t>6 749</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11 456</w:t>
            </w:r>
            <w:r>
              <w:rPr>
                <w:snapToGrid/>
                <w:sz w:val="20"/>
              </w:rPr>
              <w:br/>
            </w:r>
            <w:r>
              <w:rPr>
                <w:snapToGrid/>
                <w:sz w:val="20"/>
              </w:rPr>
              <w:br/>
              <w:t>7 263</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10 216</w:t>
            </w:r>
            <w:r>
              <w:rPr>
                <w:snapToGrid/>
                <w:sz w:val="20"/>
              </w:rPr>
              <w:br/>
            </w:r>
            <w:r>
              <w:rPr>
                <w:snapToGrid/>
                <w:sz w:val="20"/>
              </w:rPr>
              <w:br/>
              <w:t>7 286</w:t>
            </w:r>
          </w:p>
        </w:tc>
        <w:tc>
          <w:tcPr>
            <w:tcW w:w="821" w:type="dxa"/>
            <w:tcBorders>
              <w:top w:val="nil"/>
              <w:bottom w:val="nil"/>
            </w:tcBorders>
            <w:tcMar>
              <w:left w:w="28" w:type="dxa"/>
              <w:right w:w="57" w:type="dxa"/>
            </w:tcMar>
          </w:tcPr>
          <w:p w:rsidR="00000000" w:rsidRDefault="00000000">
            <w:pPr>
              <w:spacing w:before="120" w:after="120" w:line="240" w:lineRule="exact"/>
              <w:jc w:val="center"/>
              <w:rPr>
                <w:snapToGrid/>
                <w:position w:val="-10"/>
                <w:sz w:val="20"/>
              </w:rPr>
            </w:pP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ind w:left="288" w:hanging="288"/>
              <w:jc w:val="left"/>
              <w:rPr>
                <w:snapToGrid/>
                <w:sz w:val="20"/>
              </w:rPr>
            </w:pPr>
            <w:r>
              <w:rPr>
                <w:rFonts w:hint="eastAsia"/>
                <w:snapToGrid/>
                <w:sz w:val="20"/>
              </w:rPr>
              <w:t>专业培训的经费</w:t>
            </w:r>
            <w:r>
              <w:rPr>
                <w:snapToGrid/>
                <w:sz w:val="20"/>
              </w:rPr>
              <w:br/>
              <w:t>(</w:t>
            </w:r>
            <w:r>
              <w:rPr>
                <w:rFonts w:hint="eastAsia"/>
                <w:snapToGrid/>
                <w:sz w:val="20"/>
              </w:rPr>
              <w:t>列依</w:t>
            </w:r>
            <w:r>
              <w:rPr>
                <w:snapToGrid/>
                <w:sz w:val="20"/>
              </w:rPr>
              <w:t>)</w:t>
            </w:r>
          </w:p>
        </w:tc>
        <w:tc>
          <w:tcPr>
            <w:tcW w:w="820" w:type="dxa"/>
            <w:tcBorders>
              <w:top w:val="nil"/>
              <w:bottom w:val="nil"/>
            </w:tcBorders>
            <w:tcMar>
              <w:left w:w="0" w:type="dxa"/>
              <w:right w:w="0" w:type="dxa"/>
            </w:tcMar>
          </w:tcPr>
          <w:p w:rsidR="00000000" w:rsidRDefault="00000000">
            <w:pPr>
              <w:spacing w:before="240"/>
              <w:jc w:val="right"/>
              <w:rPr>
                <w:snapToGrid/>
                <w:sz w:val="20"/>
              </w:rPr>
            </w:pPr>
          </w:p>
        </w:tc>
        <w:tc>
          <w:tcPr>
            <w:tcW w:w="820" w:type="dxa"/>
            <w:tcBorders>
              <w:top w:val="nil"/>
              <w:bottom w:val="nil"/>
            </w:tcBorders>
            <w:tcMar>
              <w:left w:w="0" w:type="dxa"/>
              <w:right w:w="0" w:type="dxa"/>
            </w:tcMar>
          </w:tcPr>
          <w:p w:rsidR="00000000" w:rsidRDefault="00000000">
            <w:pPr>
              <w:spacing w:before="120" w:line="288" w:lineRule="auto"/>
              <w:jc w:val="right"/>
              <w:rPr>
                <w:snapToGrid/>
                <w:sz w:val="20"/>
              </w:rPr>
            </w:pPr>
            <w:r>
              <w:rPr>
                <w:snapToGrid/>
                <w:sz w:val="20"/>
              </w:rPr>
              <w:t>126 521</w:t>
            </w:r>
          </w:p>
        </w:tc>
        <w:tc>
          <w:tcPr>
            <w:tcW w:w="820" w:type="dxa"/>
            <w:tcBorders>
              <w:top w:val="nil"/>
              <w:bottom w:val="nil"/>
            </w:tcBorders>
            <w:tcMar>
              <w:left w:w="0" w:type="dxa"/>
              <w:right w:w="0" w:type="dxa"/>
            </w:tcMar>
          </w:tcPr>
          <w:p w:rsidR="00000000" w:rsidRDefault="00000000">
            <w:pPr>
              <w:spacing w:before="120" w:line="288" w:lineRule="auto"/>
              <w:jc w:val="right"/>
              <w:rPr>
                <w:snapToGrid/>
                <w:sz w:val="20"/>
              </w:rPr>
            </w:pPr>
            <w:r>
              <w:rPr>
                <w:snapToGrid/>
                <w:sz w:val="20"/>
              </w:rPr>
              <w:t>46.4</w:t>
            </w:r>
          </w:p>
        </w:tc>
        <w:tc>
          <w:tcPr>
            <w:tcW w:w="820" w:type="dxa"/>
            <w:tcBorders>
              <w:top w:val="nil"/>
              <w:bottom w:val="nil"/>
            </w:tcBorders>
            <w:tcMar>
              <w:left w:w="0" w:type="dxa"/>
              <w:right w:w="0" w:type="dxa"/>
            </w:tcMar>
          </w:tcPr>
          <w:p w:rsidR="00000000" w:rsidRDefault="00000000">
            <w:pPr>
              <w:spacing w:before="120" w:line="288" w:lineRule="auto"/>
              <w:jc w:val="right"/>
              <w:rPr>
                <w:snapToGrid/>
                <w:sz w:val="20"/>
              </w:rPr>
            </w:pPr>
            <w:r>
              <w:rPr>
                <w:snapToGrid/>
                <w:sz w:val="20"/>
              </w:rPr>
              <w:t>731.3</w:t>
            </w:r>
          </w:p>
        </w:tc>
        <w:tc>
          <w:tcPr>
            <w:tcW w:w="820" w:type="dxa"/>
            <w:tcBorders>
              <w:top w:val="nil"/>
              <w:bottom w:val="nil"/>
            </w:tcBorders>
            <w:tcMar>
              <w:left w:w="0" w:type="dxa"/>
              <w:right w:w="57" w:type="dxa"/>
            </w:tcMar>
          </w:tcPr>
          <w:p w:rsidR="00000000" w:rsidRDefault="00000000">
            <w:pPr>
              <w:spacing w:before="120" w:line="288" w:lineRule="auto"/>
              <w:jc w:val="right"/>
              <w:rPr>
                <w:snapToGrid/>
                <w:spacing w:val="0"/>
                <w:sz w:val="20"/>
              </w:rPr>
            </w:pPr>
            <w:r>
              <w:rPr>
                <w:snapToGrid/>
                <w:spacing w:val="0"/>
                <w:sz w:val="20"/>
              </w:rPr>
              <w:t>1 503.3</w:t>
            </w:r>
          </w:p>
        </w:tc>
        <w:tc>
          <w:tcPr>
            <w:tcW w:w="820" w:type="dxa"/>
            <w:tcBorders>
              <w:top w:val="nil"/>
              <w:bottom w:val="nil"/>
            </w:tcBorders>
            <w:tcMar>
              <w:left w:w="0" w:type="dxa"/>
              <w:right w:w="57" w:type="dxa"/>
            </w:tcMar>
          </w:tcPr>
          <w:p w:rsidR="00000000" w:rsidRDefault="00000000">
            <w:pPr>
              <w:spacing w:before="120" w:line="288" w:lineRule="auto"/>
              <w:jc w:val="right"/>
              <w:rPr>
                <w:snapToGrid/>
                <w:spacing w:val="0"/>
                <w:sz w:val="20"/>
              </w:rPr>
            </w:pPr>
            <w:r>
              <w:rPr>
                <w:snapToGrid/>
                <w:spacing w:val="0"/>
                <w:sz w:val="20"/>
              </w:rPr>
              <w:t>2.144.5</w:t>
            </w:r>
          </w:p>
        </w:tc>
        <w:tc>
          <w:tcPr>
            <w:tcW w:w="820" w:type="dxa"/>
            <w:tcBorders>
              <w:top w:val="nil"/>
              <w:bottom w:val="nil"/>
            </w:tcBorders>
            <w:tcMar>
              <w:left w:w="0" w:type="dxa"/>
              <w:right w:w="57" w:type="dxa"/>
            </w:tcMar>
          </w:tcPr>
          <w:p w:rsidR="00000000" w:rsidRDefault="00000000">
            <w:pPr>
              <w:spacing w:before="120" w:line="288" w:lineRule="auto"/>
              <w:jc w:val="right"/>
              <w:rPr>
                <w:snapToGrid/>
                <w:spacing w:val="0"/>
                <w:sz w:val="20"/>
              </w:rPr>
            </w:pPr>
            <w:r>
              <w:rPr>
                <w:snapToGrid/>
                <w:spacing w:val="0"/>
                <w:sz w:val="20"/>
              </w:rPr>
              <w:t>2.382.5</w:t>
            </w:r>
          </w:p>
        </w:tc>
        <w:tc>
          <w:tcPr>
            <w:tcW w:w="820" w:type="dxa"/>
            <w:tcBorders>
              <w:top w:val="nil"/>
              <w:bottom w:val="nil"/>
            </w:tcBorders>
            <w:tcMar>
              <w:left w:w="0" w:type="dxa"/>
              <w:right w:w="0" w:type="dxa"/>
            </w:tcMar>
          </w:tcPr>
          <w:p w:rsidR="00000000" w:rsidRDefault="00000000">
            <w:pPr>
              <w:spacing w:before="120" w:line="288" w:lineRule="auto"/>
              <w:jc w:val="right"/>
              <w:rPr>
                <w:snapToGrid/>
                <w:sz w:val="20"/>
              </w:rPr>
            </w:pPr>
            <w:r>
              <w:rPr>
                <w:snapToGrid/>
                <w:sz w:val="20"/>
              </w:rPr>
              <w:t>3 862.50</w:t>
            </w:r>
          </w:p>
        </w:tc>
        <w:tc>
          <w:tcPr>
            <w:tcW w:w="820" w:type="dxa"/>
            <w:tcBorders>
              <w:top w:val="nil"/>
              <w:bottom w:val="nil"/>
            </w:tcBorders>
            <w:tcMar>
              <w:left w:w="0" w:type="dxa"/>
              <w:right w:w="0" w:type="dxa"/>
            </w:tcMar>
          </w:tcPr>
          <w:p w:rsidR="00000000" w:rsidRDefault="00000000">
            <w:pPr>
              <w:spacing w:before="120" w:line="288" w:lineRule="auto"/>
              <w:jc w:val="right"/>
              <w:rPr>
                <w:snapToGrid/>
                <w:sz w:val="20"/>
              </w:rPr>
            </w:pPr>
            <w:r>
              <w:rPr>
                <w:snapToGrid/>
                <w:sz w:val="20"/>
              </w:rPr>
              <w:t>1 351.0</w:t>
            </w:r>
          </w:p>
        </w:tc>
        <w:tc>
          <w:tcPr>
            <w:tcW w:w="821"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9 023</w:t>
            </w: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ind w:left="260" w:hanging="260"/>
              <w:jc w:val="left"/>
              <w:rPr>
                <w:snapToGrid/>
                <w:sz w:val="20"/>
              </w:rPr>
            </w:pPr>
            <w:r>
              <w:rPr>
                <w:rFonts w:hint="eastAsia"/>
                <w:snapToGrid/>
                <w:sz w:val="20"/>
              </w:rPr>
              <w:t>政府支付工程雇用的失业者</w:t>
            </w:r>
            <w:r>
              <w:rPr>
                <w:snapToGrid/>
                <w:sz w:val="20"/>
              </w:rPr>
              <w:t>(</w:t>
            </w:r>
            <w:r>
              <w:rPr>
                <w:rFonts w:hint="eastAsia"/>
                <w:snapToGrid/>
                <w:sz w:val="20"/>
              </w:rPr>
              <w:t>人数</w:t>
            </w:r>
            <w:r>
              <w:rPr>
                <w:snapToGrid/>
                <w:sz w:val="20"/>
              </w:rPr>
              <w:t>)</w:t>
            </w:r>
          </w:p>
        </w:tc>
        <w:tc>
          <w:tcPr>
            <w:tcW w:w="820" w:type="dxa"/>
            <w:tcBorders>
              <w:top w:val="nil"/>
              <w:bottom w:val="nil"/>
            </w:tcBorders>
            <w:tcMar>
              <w:left w:w="28" w:type="dxa"/>
              <w:right w:w="57" w:type="dxa"/>
            </w:tcMar>
          </w:tcPr>
          <w:p w:rsidR="00000000" w:rsidRDefault="00000000">
            <w:pPr>
              <w:spacing w:before="360"/>
              <w:jc w:val="right"/>
              <w:rPr>
                <w:snapToGrid/>
                <w:sz w:val="20"/>
              </w:rPr>
            </w:pPr>
          </w:p>
        </w:tc>
        <w:tc>
          <w:tcPr>
            <w:tcW w:w="820" w:type="dxa"/>
            <w:tcBorders>
              <w:top w:val="nil"/>
              <w:bottom w:val="nil"/>
            </w:tcBorders>
            <w:tcMar>
              <w:left w:w="28" w:type="dxa"/>
              <w:right w:w="57" w:type="dxa"/>
            </w:tcMar>
          </w:tcPr>
          <w:p w:rsidR="00000000" w:rsidRDefault="00000000">
            <w:pPr>
              <w:spacing w:before="360"/>
              <w:jc w:val="right"/>
              <w:rPr>
                <w:snapToGrid/>
                <w:sz w:val="20"/>
              </w:rPr>
            </w:pPr>
            <w:r>
              <w:rPr>
                <w:snapToGrid/>
                <w:sz w:val="20"/>
              </w:rPr>
              <w:t>14</w:t>
            </w:r>
          </w:p>
        </w:tc>
        <w:tc>
          <w:tcPr>
            <w:tcW w:w="820" w:type="dxa"/>
            <w:tcBorders>
              <w:top w:val="nil"/>
              <w:bottom w:val="nil"/>
            </w:tcBorders>
            <w:tcMar>
              <w:left w:w="28" w:type="dxa"/>
              <w:right w:w="57" w:type="dxa"/>
            </w:tcMar>
          </w:tcPr>
          <w:p w:rsidR="00000000" w:rsidRDefault="00000000">
            <w:pPr>
              <w:spacing w:before="360"/>
              <w:jc w:val="right"/>
              <w:rPr>
                <w:snapToGrid/>
                <w:sz w:val="20"/>
              </w:rPr>
            </w:pPr>
            <w:r>
              <w:rPr>
                <w:snapToGrid/>
                <w:sz w:val="20"/>
              </w:rPr>
              <w:t>256</w:t>
            </w:r>
          </w:p>
        </w:tc>
        <w:tc>
          <w:tcPr>
            <w:tcW w:w="820" w:type="dxa"/>
            <w:tcBorders>
              <w:top w:val="nil"/>
              <w:bottom w:val="nil"/>
            </w:tcBorders>
            <w:tcMar>
              <w:left w:w="28" w:type="dxa"/>
              <w:right w:w="57" w:type="dxa"/>
            </w:tcMar>
          </w:tcPr>
          <w:p w:rsidR="00000000" w:rsidRDefault="00000000">
            <w:pPr>
              <w:spacing w:before="360"/>
              <w:jc w:val="right"/>
              <w:rPr>
                <w:snapToGrid/>
                <w:sz w:val="20"/>
              </w:rPr>
            </w:pPr>
            <w:r>
              <w:rPr>
                <w:snapToGrid/>
                <w:sz w:val="20"/>
              </w:rPr>
              <w:t>510</w:t>
            </w:r>
          </w:p>
        </w:tc>
        <w:tc>
          <w:tcPr>
            <w:tcW w:w="820" w:type="dxa"/>
            <w:tcBorders>
              <w:top w:val="nil"/>
              <w:bottom w:val="nil"/>
            </w:tcBorders>
            <w:tcMar>
              <w:left w:w="28" w:type="dxa"/>
              <w:right w:w="57" w:type="dxa"/>
            </w:tcMar>
          </w:tcPr>
          <w:p w:rsidR="00000000" w:rsidRDefault="00000000">
            <w:pPr>
              <w:spacing w:before="360"/>
              <w:jc w:val="right"/>
              <w:rPr>
                <w:snapToGrid/>
                <w:sz w:val="20"/>
              </w:rPr>
            </w:pPr>
            <w:r>
              <w:rPr>
                <w:snapToGrid/>
                <w:sz w:val="20"/>
              </w:rPr>
              <w:t>595</w:t>
            </w:r>
          </w:p>
        </w:tc>
        <w:tc>
          <w:tcPr>
            <w:tcW w:w="820" w:type="dxa"/>
            <w:tcBorders>
              <w:top w:val="nil"/>
              <w:bottom w:val="nil"/>
            </w:tcBorders>
            <w:tcMar>
              <w:left w:w="28" w:type="dxa"/>
              <w:right w:w="57" w:type="dxa"/>
            </w:tcMar>
          </w:tcPr>
          <w:p w:rsidR="00000000" w:rsidRDefault="00000000">
            <w:pPr>
              <w:spacing w:before="360"/>
              <w:jc w:val="right"/>
              <w:rPr>
                <w:snapToGrid/>
                <w:sz w:val="20"/>
              </w:rPr>
            </w:pPr>
            <w:r>
              <w:rPr>
                <w:snapToGrid/>
                <w:sz w:val="20"/>
              </w:rPr>
              <w:t>737</w:t>
            </w:r>
          </w:p>
        </w:tc>
        <w:tc>
          <w:tcPr>
            <w:tcW w:w="820" w:type="dxa"/>
            <w:tcBorders>
              <w:top w:val="nil"/>
              <w:bottom w:val="nil"/>
            </w:tcBorders>
            <w:tcMar>
              <w:left w:w="28" w:type="dxa"/>
              <w:right w:w="57" w:type="dxa"/>
            </w:tcMar>
          </w:tcPr>
          <w:p w:rsidR="00000000" w:rsidRDefault="00000000">
            <w:pPr>
              <w:spacing w:before="360"/>
              <w:jc w:val="right"/>
              <w:rPr>
                <w:snapToGrid/>
                <w:sz w:val="20"/>
              </w:rPr>
            </w:pPr>
            <w:r>
              <w:rPr>
                <w:snapToGrid/>
                <w:sz w:val="20"/>
              </w:rPr>
              <w:t>971</w:t>
            </w:r>
          </w:p>
        </w:tc>
        <w:tc>
          <w:tcPr>
            <w:tcW w:w="820" w:type="dxa"/>
            <w:tcBorders>
              <w:top w:val="nil"/>
              <w:bottom w:val="nil"/>
            </w:tcBorders>
            <w:tcMar>
              <w:left w:w="28" w:type="dxa"/>
              <w:right w:w="57" w:type="dxa"/>
            </w:tcMar>
          </w:tcPr>
          <w:p w:rsidR="00000000" w:rsidRDefault="00000000">
            <w:pPr>
              <w:spacing w:before="360"/>
              <w:jc w:val="right"/>
              <w:rPr>
                <w:snapToGrid/>
                <w:sz w:val="20"/>
              </w:rPr>
            </w:pPr>
            <w:r>
              <w:rPr>
                <w:snapToGrid/>
                <w:sz w:val="20"/>
              </w:rPr>
              <w:t>1 360</w:t>
            </w:r>
          </w:p>
        </w:tc>
        <w:tc>
          <w:tcPr>
            <w:tcW w:w="820" w:type="dxa"/>
            <w:tcBorders>
              <w:top w:val="nil"/>
              <w:bottom w:val="nil"/>
            </w:tcBorders>
            <w:tcMar>
              <w:left w:w="28" w:type="dxa"/>
              <w:right w:w="57" w:type="dxa"/>
            </w:tcMar>
          </w:tcPr>
          <w:p w:rsidR="00000000" w:rsidRDefault="00000000">
            <w:pPr>
              <w:spacing w:before="360"/>
              <w:jc w:val="right"/>
              <w:rPr>
                <w:snapToGrid/>
                <w:sz w:val="20"/>
              </w:rPr>
            </w:pPr>
            <w:r>
              <w:rPr>
                <w:snapToGrid/>
                <w:sz w:val="20"/>
              </w:rPr>
              <w:t>839</w:t>
            </w:r>
          </w:p>
        </w:tc>
        <w:tc>
          <w:tcPr>
            <w:tcW w:w="821" w:type="dxa"/>
            <w:tcBorders>
              <w:top w:val="nil"/>
              <w:bottom w:val="nil"/>
            </w:tcBorders>
            <w:tcMar>
              <w:left w:w="28" w:type="dxa"/>
              <w:right w:w="57" w:type="dxa"/>
            </w:tcMar>
          </w:tcPr>
          <w:p w:rsidR="00000000" w:rsidRDefault="00000000">
            <w:pPr>
              <w:spacing w:before="360"/>
              <w:jc w:val="right"/>
              <w:rPr>
                <w:snapToGrid/>
                <w:sz w:val="20"/>
              </w:rPr>
            </w:pPr>
            <w:r>
              <w:rPr>
                <w:snapToGrid/>
                <w:sz w:val="20"/>
              </w:rPr>
              <w:t>1 127</w:t>
            </w: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ind w:left="260" w:hanging="260"/>
              <w:jc w:val="left"/>
              <w:rPr>
                <w:snapToGrid/>
                <w:sz w:val="20"/>
              </w:rPr>
            </w:pPr>
            <w:r>
              <w:rPr>
                <w:rFonts w:hint="eastAsia"/>
                <w:snapToGrid/>
                <w:sz w:val="20"/>
              </w:rPr>
              <w:t>政</w:t>
            </w:r>
            <w:r>
              <w:rPr>
                <w:rFonts w:hint="eastAsia"/>
                <w:snapToGrid/>
                <w:spacing w:val="4"/>
                <w:sz w:val="20"/>
              </w:rPr>
              <w:t>府支付工程的经费</w:t>
            </w:r>
            <w:r>
              <w:rPr>
                <w:snapToGrid/>
                <w:spacing w:val="4"/>
                <w:sz w:val="20"/>
              </w:rPr>
              <w:br/>
            </w:r>
            <w:r>
              <w:rPr>
                <w:snapToGrid/>
                <w:sz w:val="20"/>
              </w:rPr>
              <w:t>(</w:t>
            </w:r>
            <w:r>
              <w:rPr>
                <w:rFonts w:hint="eastAsia"/>
                <w:snapToGrid/>
                <w:sz w:val="20"/>
              </w:rPr>
              <w:t>千列依</w:t>
            </w:r>
            <w:r>
              <w:rPr>
                <w:snapToGrid/>
                <w:sz w:val="20"/>
              </w:rPr>
              <w:t>)</w:t>
            </w:r>
          </w:p>
        </w:tc>
        <w:tc>
          <w:tcPr>
            <w:tcW w:w="820" w:type="dxa"/>
            <w:tcBorders>
              <w:top w:val="nil"/>
              <w:bottom w:val="nil"/>
            </w:tcBorders>
            <w:tcMar>
              <w:left w:w="28" w:type="dxa"/>
              <w:right w:w="57" w:type="dxa"/>
            </w:tcMar>
          </w:tcPr>
          <w:p w:rsidR="00000000" w:rsidRDefault="00000000">
            <w:pPr>
              <w:spacing w:before="240"/>
              <w:jc w:val="right"/>
              <w:rPr>
                <w:snapToGrid/>
                <w:sz w:val="20"/>
              </w:rPr>
            </w:pPr>
          </w:p>
        </w:tc>
        <w:tc>
          <w:tcPr>
            <w:tcW w:w="820" w:type="dxa"/>
            <w:tcBorders>
              <w:top w:val="nil"/>
              <w:bottom w:val="nil"/>
            </w:tcBorders>
            <w:tcMar>
              <w:left w:w="28" w:type="dxa"/>
              <w:right w:w="57" w:type="dxa"/>
            </w:tcMar>
          </w:tcPr>
          <w:p w:rsidR="00000000" w:rsidRDefault="00000000">
            <w:pPr>
              <w:spacing w:before="240"/>
              <w:jc w:val="right"/>
              <w:rPr>
                <w:snapToGrid/>
                <w:sz w:val="20"/>
              </w:rPr>
            </w:pPr>
          </w:p>
        </w:tc>
        <w:tc>
          <w:tcPr>
            <w:tcW w:w="820" w:type="dxa"/>
            <w:tcBorders>
              <w:top w:val="nil"/>
              <w:bottom w:val="nil"/>
            </w:tcBorders>
            <w:tcMar>
              <w:left w:w="28" w:type="dxa"/>
              <w:right w:w="57" w:type="dxa"/>
            </w:tcMar>
          </w:tcPr>
          <w:p w:rsidR="00000000" w:rsidRDefault="00000000">
            <w:pPr>
              <w:spacing w:before="240"/>
              <w:jc w:val="right"/>
              <w:rPr>
                <w:snapToGrid/>
                <w:sz w:val="20"/>
              </w:rPr>
            </w:pP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8.87</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1.66</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0.2</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1.17</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2.67</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2.02</w:t>
            </w:r>
          </w:p>
        </w:tc>
        <w:tc>
          <w:tcPr>
            <w:tcW w:w="821" w:type="dxa"/>
            <w:tcBorders>
              <w:top w:val="nil"/>
              <w:bottom w:val="nil"/>
            </w:tcBorders>
            <w:tcMar>
              <w:left w:w="28" w:type="dxa"/>
              <w:right w:w="57" w:type="dxa"/>
            </w:tcMar>
          </w:tcPr>
          <w:p w:rsidR="00000000" w:rsidRDefault="00000000">
            <w:pPr>
              <w:spacing w:before="240"/>
              <w:jc w:val="right"/>
              <w:rPr>
                <w:snapToGrid/>
                <w:sz w:val="20"/>
              </w:rPr>
            </w:pPr>
            <w:r>
              <w:rPr>
                <w:snapToGrid/>
                <w:sz w:val="20"/>
              </w:rPr>
              <w:t>-</w:t>
            </w: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after="120" w:line="240" w:lineRule="exact"/>
              <w:ind w:left="260" w:hanging="260"/>
              <w:jc w:val="left"/>
              <w:rPr>
                <w:snapToGrid/>
                <w:sz w:val="20"/>
              </w:rPr>
            </w:pPr>
            <w:r>
              <w:rPr>
                <w:rFonts w:hint="eastAsia"/>
                <w:snapToGrid/>
                <w:sz w:val="20"/>
              </w:rPr>
              <w:t>年终登记在册的失业者</w:t>
            </w:r>
            <w:r>
              <w:rPr>
                <w:snapToGrid/>
                <w:sz w:val="20"/>
              </w:rPr>
              <w:t>(</w:t>
            </w:r>
            <w:r>
              <w:rPr>
                <w:rFonts w:hint="eastAsia"/>
                <w:snapToGrid/>
                <w:sz w:val="20"/>
              </w:rPr>
              <w:t>人数</w:t>
            </w:r>
            <w:r>
              <w:rPr>
                <w:snapToGrid/>
                <w:sz w:val="20"/>
              </w:rPr>
              <w:t>)</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78</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15 001</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14 113</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20 554</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24 543</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23 426</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27 973</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32 021</w:t>
            </w:r>
          </w:p>
        </w:tc>
        <w:tc>
          <w:tcPr>
            <w:tcW w:w="820" w:type="dxa"/>
            <w:tcBorders>
              <w:top w:val="nil"/>
              <w:bottom w:val="nil"/>
            </w:tcBorders>
            <w:tcMar>
              <w:left w:w="28" w:type="dxa"/>
              <w:right w:w="57" w:type="dxa"/>
            </w:tcMar>
          </w:tcPr>
          <w:p w:rsidR="00000000" w:rsidRDefault="00000000">
            <w:pPr>
              <w:spacing w:before="240"/>
              <w:jc w:val="right"/>
              <w:rPr>
                <w:snapToGrid/>
                <w:sz w:val="20"/>
              </w:rPr>
            </w:pPr>
            <w:r>
              <w:rPr>
                <w:snapToGrid/>
                <w:sz w:val="20"/>
              </w:rPr>
              <w:t>34 918</w:t>
            </w:r>
          </w:p>
        </w:tc>
        <w:tc>
          <w:tcPr>
            <w:tcW w:w="821" w:type="dxa"/>
            <w:tcBorders>
              <w:top w:val="nil"/>
              <w:bottom w:val="nil"/>
            </w:tcBorders>
            <w:tcMar>
              <w:left w:w="28" w:type="dxa"/>
              <w:right w:w="57" w:type="dxa"/>
            </w:tcMar>
          </w:tcPr>
          <w:p w:rsidR="00000000" w:rsidRDefault="00000000">
            <w:pPr>
              <w:spacing w:before="240"/>
              <w:jc w:val="right"/>
              <w:rPr>
                <w:snapToGrid/>
                <w:sz w:val="20"/>
              </w:rPr>
            </w:pPr>
            <w:r>
              <w:rPr>
                <w:snapToGrid/>
                <w:sz w:val="20"/>
              </w:rPr>
              <w:t>28 873</w:t>
            </w: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ind w:left="260" w:hanging="260"/>
              <w:jc w:val="left"/>
              <w:rPr>
                <w:snapToGrid/>
                <w:sz w:val="20"/>
              </w:rPr>
            </w:pPr>
            <w:r>
              <w:rPr>
                <w:rFonts w:hint="eastAsia"/>
                <w:snapToGrid/>
                <w:sz w:val="20"/>
              </w:rPr>
              <w:t>其中：被经济单位解雇者</w:t>
            </w:r>
            <w:r>
              <w:rPr>
                <w:snapToGrid/>
                <w:sz w:val="20"/>
              </w:rPr>
              <w:br/>
              <w:t>(</w:t>
            </w:r>
            <w:r>
              <w:rPr>
                <w:rFonts w:hint="eastAsia"/>
                <w:snapToGrid/>
                <w:sz w:val="20"/>
              </w:rPr>
              <w:t>千人</w:t>
            </w:r>
            <w:r>
              <w:rPr>
                <w:snapToGrid/>
                <w:sz w:val="20"/>
              </w:rPr>
              <w:t>)</w:t>
            </w:r>
          </w:p>
        </w:tc>
        <w:tc>
          <w:tcPr>
            <w:tcW w:w="820"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60</w:t>
            </w:r>
          </w:p>
        </w:tc>
        <w:tc>
          <w:tcPr>
            <w:tcW w:w="820"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22.1</w:t>
            </w:r>
          </w:p>
        </w:tc>
        <w:tc>
          <w:tcPr>
            <w:tcW w:w="820"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24.5</w:t>
            </w:r>
          </w:p>
        </w:tc>
        <w:tc>
          <w:tcPr>
            <w:tcW w:w="820"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24.2</w:t>
            </w:r>
          </w:p>
        </w:tc>
        <w:tc>
          <w:tcPr>
            <w:tcW w:w="820"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13.2</w:t>
            </w:r>
          </w:p>
        </w:tc>
        <w:tc>
          <w:tcPr>
            <w:tcW w:w="820"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11.9</w:t>
            </w:r>
          </w:p>
        </w:tc>
        <w:tc>
          <w:tcPr>
            <w:tcW w:w="820" w:type="dxa"/>
            <w:tcBorders>
              <w:top w:val="nil"/>
              <w:bottom w:val="nil"/>
            </w:tcBorders>
            <w:tcMar>
              <w:left w:w="28" w:type="dxa"/>
              <w:right w:w="57" w:type="dxa"/>
            </w:tcMar>
          </w:tcPr>
          <w:p w:rsidR="00000000" w:rsidRDefault="00000000">
            <w:pPr>
              <w:spacing w:before="320"/>
              <w:jc w:val="right"/>
              <w:rPr>
                <w:snapToGrid/>
                <w:sz w:val="20"/>
              </w:rPr>
            </w:pPr>
            <w:r>
              <w:rPr>
                <w:snapToGrid/>
                <w:sz w:val="20"/>
              </w:rPr>
              <w:t>12.5</w:t>
            </w:r>
          </w:p>
        </w:tc>
        <w:tc>
          <w:tcPr>
            <w:tcW w:w="820"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13.3</w:t>
            </w:r>
          </w:p>
        </w:tc>
        <w:tc>
          <w:tcPr>
            <w:tcW w:w="820"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17.6</w:t>
            </w:r>
          </w:p>
        </w:tc>
        <w:tc>
          <w:tcPr>
            <w:tcW w:w="821" w:type="dxa"/>
            <w:tcBorders>
              <w:top w:val="nil"/>
              <w:bottom w:val="nil"/>
            </w:tcBorders>
            <w:tcMar>
              <w:left w:w="28" w:type="dxa"/>
              <w:right w:w="57" w:type="dxa"/>
            </w:tcMar>
          </w:tcPr>
          <w:p w:rsidR="00000000" w:rsidRDefault="00000000">
            <w:pPr>
              <w:spacing w:before="320" w:after="120" w:line="240" w:lineRule="exact"/>
              <w:jc w:val="right"/>
              <w:rPr>
                <w:snapToGrid/>
                <w:sz w:val="20"/>
              </w:rPr>
            </w:pPr>
            <w:r>
              <w:rPr>
                <w:snapToGrid/>
                <w:sz w:val="20"/>
              </w:rPr>
              <w:t>11 873</w:t>
            </w: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ind w:left="260" w:hanging="260"/>
              <w:jc w:val="left"/>
              <w:rPr>
                <w:snapToGrid/>
                <w:sz w:val="20"/>
              </w:rPr>
            </w:pPr>
            <w:r>
              <w:rPr>
                <w:rFonts w:hint="eastAsia"/>
                <w:snapToGrid/>
                <w:sz w:val="20"/>
              </w:rPr>
              <w:t>年终出缺员额</w:t>
            </w:r>
            <w:r>
              <w:rPr>
                <w:snapToGrid/>
                <w:sz w:val="20"/>
              </w:rPr>
              <w:t>(</w:t>
            </w:r>
            <w:r>
              <w:rPr>
                <w:rFonts w:hint="eastAsia"/>
                <w:snapToGrid/>
                <w:sz w:val="20"/>
              </w:rPr>
              <w:t>单位</w:t>
            </w:r>
            <w:r>
              <w:rPr>
                <w:snapToGrid/>
                <w:sz w:val="20"/>
              </w:rPr>
              <w:t>)</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7 364</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868</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589</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718</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1 016</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1 977</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1 388</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1 128</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1 242</w:t>
            </w:r>
          </w:p>
        </w:tc>
        <w:tc>
          <w:tcPr>
            <w:tcW w:w="821"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1 884</w:t>
            </w:r>
          </w:p>
        </w:tc>
      </w:tr>
      <w:tr w:rsidR="00000000">
        <w:tblPrEx>
          <w:tblCellMar>
            <w:top w:w="0" w:type="dxa"/>
            <w:bottom w:w="0" w:type="dxa"/>
          </w:tblCellMar>
        </w:tblPrEx>
        <w:trPr>
          <w:trHeight w:val="34"/>
        </w:trPr>
        <w:tc>
          <w:tcPr>
            <w:tcW w:w="1183" w:type="dxa"/>
            <w:tcBorders>
              <w:top w:val="nil"/>
              <w:bottom w:val="nil"/>
            </w:tcBorders>
            <w:tcMar>
              <w:left w:w="0" w:type="dxa"/>
              <w:right w:w="0" w:type="dxa"/>
            </w:tcMar>
          </w:tcPr>
          <w:p w:rsidR="00000000" w:rsidRDefault="00000000">
            <w:pPr>
              <w:spacing w:line="240" w:lineRule="exact"/>
              <w:ind w:left="260" w:hanging="260"/>
              <w:jc w:val="left"/>
              <w:rPr>
                <w:rFonts w:hint="eastAsia"/>
                <w:snapToGrid/>
                <w:sz w:val="20"/>
              </w:rPr>
            </w:pPr>
            <w:r>
              <w:rPr>
                <w:rFonts w:hint="eastAsia"/>
                <w:snapToGrid/>
                <w:sz w:val="20"/>
              </w:rPr>
              <w:t>其中</w:t>
            </w:r>
            <w:r>
              <w:rPr>
                <w:snapToGrid/>
                <w:sz w:val="20"/>
              </w:rPr>
              <w:t>：</w:t>
            </w:r>
            <w:r>
              <w:rPr>
                <w:rFonts w:hint="eastAsia"/>
                <w:snapToGrid/>
                <w:sz w:val="20"/>
              </w:rPr>
              <w:t>工人员额</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6 689</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702</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415</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473</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602</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1 156</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853</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834</w:t>
            </w:r>
          </w:p>
        </w:tc>
        <w:tc>
          <w:tcPr>
            <w:tcW w:w="820"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938</w:t>
            </w:r>
          </w:p>
        </w:tc>
        <w:tc>
          <w:tcPr>
            <w:tcW w:w="821" w:type="dxa"/>
            <w:tcBorders>
              <w:top w:val="nil"/>
              <w:bottom w:val="nil"/>
            </w:tcBorders>
            <w:tcMar>
              <w:left w:w="28" w:type="dxa"/>
              <w:right w:w="57" w:type="dxa"/>
            </w:tcMar>
          </w:tcPr>
          <w:p w:rsidR="00000000" w:rsidRDefault="00000000">
            <w:pPr>
              <w:spacing w:before="120" w:line="288" w:lineRule="auto"/>
              <w:jc w:val="right"/>
              <w:rPr>
                <w:snapToGrid/>
                <w:sz w:val="20"/>
              </w:rPr>
            </w:pPr>
            <w:r>
              <w:rPr>
                <w:snapToGrid/>
                <w:sz w:val="20"/>
              </w:rPr>
              <w:t>1 564</w:t>
            </w:r>
          </w:p>
        </w:tc>
      </w:tr>
      <w:tr w:rsidR="00000000">
        <w:tblPrEx>
          <w:tblCellMar>
            <w:top w:w="0" w:type="dxa"/>
            <w:bottom w:w="0" w:type="dxa"/>
          </w:tblCellMar>
        </w:tblPrEx>
        <w:trPr>
          <w:trHeight w:val="34"/>
        </w:trPr>
        <w:tc>
          <w:tcPr>
            <w:tcW w:w="1183" w:type="dxa"/>
            <w:tcBorders>
              <w:top w:val="nil"/>
            </w:tcBorders>
            <w:tcMar>
              <w:left w:w="28" w:type="dxa"/>
              <w:right w:w="57" w:type="dxa"/>
            </w:tcMar>
          </w:tcPr>
          <w:p w:rsidR="00000000" w:rsidRDefault="00000000">
            <w:pPr>
              <w:spacing w:before="120" w:after="120" w:line="240" w:lineRule="exact"/>
              <w:jc w:val="center"/>
              <w:rPr>
                <w:snapToGrid/>
                <w:sz w:val="20"/>
              </w:rPr>
            </w:pPr>
            <w:r>
              <w:rPr>
                <w:rFonts w:hint="eastAsia"/>
                <w:snapToGrid/>
                <w:sz w:val="20"/>
              </w:rPr>
              <w:t>失业率</w:t>
            </w:r>
            <w:r>
              <w:rPr>
                <w:snapToGrid/>
                <w:sz w:val="20"/>
              </w:rPr>
              <w:t>(%)</w:t>
            </w:r>
          </w:p>
        </w:tc>
        <w:tc>
          <w:tcPr>
            <w:tcW w:w="820" w:type="dxa"/>
            <w:tcBorders>
              <w:top w:val="nil"/>
            </w:tcBorders>
            <w:tcMar>
              <w:left w:w="28" w:type="dxa"/>
              <w:right w:w="57" w:type="dxa"/>
            </w:tcMar>
          </w:tcPr>
          <w:p w:rsidR="00000000" w:rsidRDefault="00000000">
            <w:pPr>
              <w:spacing w:before="120"/>
              <w:jc w:val="right"/>
              <w:rPr>
                <w:snapToGrid/>
                <w:sz w:val="20"/>
              </w:rPr>
            </w:pPr>
          </w:p>
        </w:tc>
        <w:tc>
          <w:tcPr>
            <w:tcW w:w="820" w:type="dxa"/>
            <w:tcBorders>
              <w:top w:val="nil"/>
            </w:tcBorders>
            <w:tcMar>
              <w:left w:w="28" w:type="dxa"/>
              <w:right w:w="57" w:type="dxa"/>
            </w:tcMar>
          </w:tcPr>
          <w:p w:rsidR="00000000" w:rsidRDefault="00000000">
            <w:pPr>
              <w:spacing w:before="120"/>
              <w:jc w:val="right"/>
              <w:rPr>
                <w:snapToGrid/>
                <w:sz w:val="20"/>
              </w:rPr>
            </w:pPr>
          </w:p>
        </w:tc>
        <w:tc>
          <w:tcPr>
            <w:tcW w:w="820" w:type="dxa"/>
            <w:tcBorders>
              <w:top w:val="nil"/>
            </w:tcBorders>
            <w:tcMar>
              <w:left w:w="28" w:type="dxa"/>
              <w:right w:w="57" w:type="dxa"/>
            </w:tcMar>
          </w:tcPr>
          <w:p w:rsidR="00000000" w:rsidRDefault="00000000">
            <w:pPr>
              <w:spacing w:before="120"/>
              <w:jc w:val="right"/>
              <w:rPr>
                <w:snapToGrid/>
                <w:sz w:val="20"/>
              </w:rPr>
            </w:pPr>
            <w:r>
              <w:rPr>
                <w:snapToGrid/>
                <w:sz w:val="20"/>
              </w:rPr>
              <w:t>0.9</w:t>
            </w:r>
          </w:p>
        </w:tc>
        <w:tc>
          <w:tcPr>
            <w:tcW w:w="820" w:type="dxa"/>
            <w:tcBorders>
              <w:top w:val="nil"/>
            </w:tcBorders>
            <w:tcMar>
              <w:left w:w="28" w:type="dxa"/>
              <w:right w:w="57" w:type="dxa"/>
            </w:tcMar>
          </w:tcPr>
          <w:p w:rsidR="00000000" w:rsidRDefault="00000000">
            <w:pPr>
              <w:spacing w:before="120"/>
              <w:jc w:val="right"/>
              <w:rPr>
                <w:snapToGrid/>
                <w:sz w:val="20"/>
              </w:rPr>
            </w:pPr>
            <w:r>
              <w:rPr>
                <w:snapToGrid/>
                <w:sz w:val="20"/>
              </w:rPr>
              <w:t>1.2</w:t>
            </w:r>
          </w:p>
        </w:tc>
        <w:tc>
          <w:tcPr>
            <w:tcW w:w="820" w:type="dxa"/>
            <w:tcBorders>
              <w:top w:val="nil"/>
            </w:tcBorders>
            <w:tcMar>
              <w:left w:w="28" w:type="dxa"/>
              <w:right w:w="57" w:type="dxa"/>
            </w:tcMar>
          </w:tcPr>
          <w:p w:rsidR="00000000" w:rsidRDefault="00000000">
            <w:pPr>
              <w:spacing w:before="120"/>
              <w:jc w:val="right"/>
              <w:rPr>
                <w:snapToGrid/>
                <w:sz w:val="20"/>
              </w:rPr>
            </w:pPr>
            <w:r>
              <w:rPr>
                <w:snapToGrid/>
                <w:sz w:val="20"/>
              </w:rPr>
              <w:t>1.4</w:t>
            </w:r>
          </w:p>
        </w:tc>
        <w:tc>
          <w:tcPr>
            <w:tcW w:w="820" w:type="dxa"/>
            <w:tcBorders>
              <w:top w:val="nil"/>
            </w:tcBorders>
            <w:tcMar>
              <w:left w:w="28" w:type="dxa"/>
              <w:right w:w="57" w:type="dxa"/>
            </w:tcMar>
          </w:tcPr>
          <w:p w:rsidR="00000000" w:rsidRDefault="00000000">
            <w:pPr>
              <w:spacing w:before="120"/>
              <w:jc w:val="right"/>
              <w:rPr>
                <w:snapToGrid/>
                <w:sz w:val="20"/>
              </w:rPr>
            </w:pPr>
            <w:r>
              <w:rPr>
                <w:snapToGrid/>
                <w:sz w:val="20"/>
              </w:rPr>
              <w:t>1.5</w:t>
            </w:r>
          </w:p>
        </w:tc>
        <w:tc>
          <w:tcPr>
            <w:tcW w:w="820" w:type="dxa"/>
            <w:tcBorders>
              <w:top w:val="nil"/>
            </w:tcBorders>
            <w:tcMar>
              <w:left w:w="28" w:type="dxa"/>
              <w:right w:w="57" w:type="dxa"/>
            </w:tcMar>
          </w:tcPr>
          <w:p w:rsidR="00000000" w:rsidRDefault="00000000">
            <w:pPr>
              <w:spacing w:before="120"/>
              <w:jc w:val="right"/>
              <w:rPr>
                <w:snapToGrid/>
                <w:sz w:val="20"/>
              </w:rPr>
            </w:pPr>
            <w:r>
              <w:rPr>
                <w:snapToGrid/>
                <w:sz w:val="20"/>
              </w:rPr>
              <w:t>1.8</w:t>
            </w:r>
          </w:p>
        </w:tc>
        <w:tc>
          <w:tcPr>
            <w:tcW w:w="820" w:type="dxa"/>
            <w:tcBorders>
              <w:top w:val="nil"/>
            </w:tcBorders>
            <w:tcMar>
              <w:left w:w="28" w:type="dxa"/>
              <w:right w:w="57" w:type="dxa"/>
            </w:tcMar>
          </w:tcPr>
          <w:p w:rsidR="00000000" w:rsidRDefault="00000000">
            <w:pPr>
              <w:spacing w:before="120"/>
              <w:jc w:val="right"/>
              <w:rPr>
                <w:snapToGrid/>
                <w:sz w:val="20"/>
              </w:rPr>
            </w:pPr>
            <w:r>
              <w:rPr>
                <w:snapToGrid/>
                <w:sz w:val="20"/>
              </w:rPr>
              <w:t>1.8</w:t>
            </w:r>
          </w:p>
        </w:tc>
        <w:tc>
          <w:tcPr>
            <w:tcW w:w="820" w:type="dxa"/>
            <w:tcBorders>
              <w:top w:val="nil"/>
            </w:tcBorders>
            <w:tcMar>
              <w:left w:w="28" w:type="dxa"/>
              <w:right w:w="57" w:type="dxa"/>
            </w:tcMar>
          </w:tcPr>
          <w:p w:rsidR="00000000" w:rsidRDefault="00000000">
            <w:pPr>
              <w:spacing w:before="120"/>
              <w:jc w:val="right"/>
              <w:rPr>
                <w:snapToGrid/>
                <w:sz w:val="20"/>
              </w:rPr>
            </w:pPr>
            <w:r>
              <w:rPr>
                <w:snapToGrid/>
                <w:sz w:val="20"/>
              </w:rPr>
              <w:t>2.0</w:t>
            </w:r>
          </w:p>
        </w:tc>
        <w:tc>
          <w:tcPr>
            <w:tcW w:w="821" w:type="dxa"/>
            <w:tcBorders>
              <w:top w:val="nil"/>
            </w:tcBorders>
            <w:tcMar>
              <w:left w:w="28" w:type="dxa"/>
              <w:right w:w="57" w:type="dxa"/>
            </w:tcMar>
          </w:tcPr>
          <w:p w:rsidR="00000000" w:rsidRDefault="00000000">
            <w:pPr>
              <w:spacing w:before="120"/>
              <w:jc w:val="right"/>
              <w:rPr>
                <w:snapToGrid/>
                <w:sz w:val="20"/>
              </w:rPr>
            </w:pPr>
            <w:r>
              <w:rPr>
                <w:snapToGrid/>
                <w:sz w:val="20"/>
              </w:rPr>
              <w:t>2. 1</w:t>
            </w:r>
          </w:p>
        </w:tc>
      </w:tr>
    </w:tbl>
    <w:p w:rsidR="00000000" w:rsidRDefault="00000000">
      <w:pPr>
        <w:pStyle w:val="FootnoteText"/>
        <w:spacing w:before="240"/>
        <w:rPr>
          <w:sz w:val="22"/>
        </w:rPr>
      </w:pPr>
      <w:r>
        <w:rPr>
          <w:rFonts w:hint="eastAsia"/>
          <w:sz w:val="22"/>
          <w:u w:val="single"/>
        </w:rPr>
        <w:t>资料来源</w:t>
      </w:r>
      <w:r>
        <w:rPr>
          <w:rFonts w:hint="eastAsia"/>
          <w:sz w:val="22"/>
        </w:rPr>
        <w:t>：</w:t>
      </w:r>
      <w:r>
        <w:rPr>
          <w:sz w:val="22"/>
        </w:rPr>
        <w:t>国家就业</w:t>
      </w:r>
      <w:r>
        <w:rPr>
          <w:rFonts w:hint="eastAsia"/>
          <w:sz w:val="22"/>
        </w:rPr>
        <w:t>事</w:t>
      </w:r>
      <w:r>
        <w:rPr>
          <w:sz w:val="22"/>
        </w:rPr>
        <w:t>务</w:t>
      </w:r>
      <w:r>
        <w:rPr>
          <w:rFonts w:hint="eastAsia"/>
          <w:sz w:val="22"/>
        </w:rPr>
        <w:t>局</w:t>
      </w:r>
      <w:r>
        <w:rPr>
          <w:sz w:val="22"/>
        </w:rPr>
        <w:t>1991</w:t>
      </w:r>
      <w:r>
        <w:rPr>
          <w:sz w:val="22"/>
        </w:rPr>
        <w:t>至</w:t>
      </w:r>
      <w:r>
        <w:rPr>
          <w:sz w:val="22"/>
        </w:rPr>
        <w:t>1999</w:t>
      </w:r>
      <w:r>
        <w:rPr>
          <w:sz w:val="22"/>
        </w:rPr>
        <w:t>年</w:t>
      </w:r>
      <w:r>
        <w:rPr>
          <w:rFonts w:hint="eastAsia"/>
          <w:sz w:val="22"/>
        </w:rPr>
        <w:t>的</w:t>
      </w:r>
      <w:r>
        <w:rPr>
          <w:sz w:val="22"/>
        </w:rPr>
        <w:t>统计报告。</w:t>
      </w:r>
    </w:p>
    <w:p w:rsidR="00000000" w:rsidRDefault="00000000">
      <w:pPr>
        <w:pStyle w:val="Heading3"/>
        <w:spacing w:before="120" w:after="120"/>
        <w:rPr>
          <w:rFonts w:hint="eastAsia"/>
          <w:sz w:val="22"/>
        </w:rPr>
      </w:pPr>
      <w:r>
        <w:rPr>
          <w:u w:val="none"/>
        </w:rPr>
        <w:br w:type="page"/>
      </w:r>
      <w:r>
        <w:rPr>
          <w:rFonts w:hint="eastAsia"/>
          <w:sz w:val="22"/>
          <w:u w:val="none"/>
        </w:rPr>
        <w:t>表</w:t>
      </w:r>
      <w:r>
        <w:rPr>
          <w:sz w:val="22"/>
          <w:u w:val="none"/>
        </w:rPr>
        <w:t>11</w:t>
      </w:r>
      <w:r>
        <w:rPr>
          <w:rFonts w:hint="eastAsia"/>
          <w:sz w:val="22"/>
          <w:u w:val="none"/>
        </w:rPr>
        <w:t xml:space="preserve">.  </w:t>
      </w:r>
      <w:r>
        <w:rPr>
          <w:rFonts w:hint="eastAsia"/>
          <w:sz w:val="22"/>
        </w:rPr>
        <w:t>按照经济部门重新分配的劳动力</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658"/>
        <w:gridCol w:w="1443"/>
        <w:gridCol w:w="1482"/>
        <w:gridCol w:w="1404"/>
        <w:gridCol w:w="1331"/>
      </w:tblGrid>
      <w:tr w:rsidR="00000000">
        <w:tblPrEx>
          <w:tblCellMar>
            <w:top w:w="0" w:type="dxa"/>
            <w:bottom w:w="0" w:type="dxa"/>
          </w:tblCellMar>
        </w:tblPrEx>
        <w:trPr>
          <w:cantSplit/>
        </w:trPr>
        <w:tc>
          <w:tcPr>
            <w:tcW w:w="3658" w:type="dxa"/>
            <w:vMerge w:val="restart"/>
            <w:vAlign w:val="center"/>
          </w:tcPr>
          <w:p w:rsidR="00000000" w:rsidRDefault="00000000">
            <w:pPr>
              <w:jc w:val="center"/>
              <w:rPr>
                <w:rFonts w:hint="eastAsia"/>
                <w:snapToGrid/>
                <w:sz w:val="22"/>
              </w:rPr>
            </w:pPr>
            <w:r>
              <w:rPr>
                <w:rFonts w:hint="eastAsia"/>
                <w:snapToGrid/>
                <w:sz w:val="22"/>
              </w:rPr>
              <w:t>部</w:t>
            </w:r>
            <w:r>
              <w:rPr>
                <w:rFonts w:hint="eastAsia"/>
                <w:snapToGrid/>
                <w:sz w:val="22"/>
              </w:rPr>
              <w:t xml:space="preserve">  </w:t>
            </w:r>
            <w:r>
              <w:rPr>
                <w:rFonts w:hint="eastAsia"/>
                <w:snapToGrid/>
                <w:sz w:val="22"/>
              </w:rPr>
              <w:t>门</w:t>
            </w:r>
          </w:p>
        </w:tc>
        <w:tc>
          <w:tcPr>
            <w:tcW w:w="2925" w:type="dxa"/>
            <w:gridSpan w:val="2"/>
            <w:tcBorders>
              <w:bottom w:val="single" w:sz="6" w:space="0" w:color="auto"/>
            </w:tcBorders>
          </w:tcPr>
          <w:p w:rsidR="00000000" w:rsidRDefault="00000000">
            <w:pPr>
              <w:spacing w:before="60"/>
              <w:jc w:val="center"/>
              <w:rPr>
                <w:snapToGrid/>
                <w:sz w:val="22"/>
              </w:rPr>
            </w:pPr>
            <w:r>
              <w:rPr>
                <w:rFonts w:hint="eastAsia"/>
                <w:snapToGrid/>
                <w:sz w:val="22"/>
              </w:rPr>
              <w:t>平均工作人员，人员</w:t>
            </w:r>
          </w:p>
        </w:tc>
        <w:tc>
          <w:tcPr>
            <w:tcW w:w="2735" w:type="dxa"/>
            <w:gridSpan w:val="2"/>
            <w:tcBorders>
              <w:bottom w:val="single" w:sz="6" w:space="0" w:color="auto"/>
            </w:tcBorders>
          </w:tcPr>
          <w:p w:rsidR="00000000" w:rsidRDefault="00000000">
            <w:pPr>
              <w:spacing w:before="60"/>
              <w:jc w:val="center"/>
              <w:rPr>
                <w:snapToGrid/>
                <w:sz w:val="22"/>
              </w:rPr>
            </w:pPr>
            <w:r>
              <w:rPr>
                <w:rFonts w:hint="eastAsia"/>
                <w:snapToGrid/>
                <w:sz w:val="22"/>
              </w:rPr>
              <w:t>按部门计算的雇员</w:t>
            </w:r>
            <w:r>
              <w:rPr>
                <w:snapToGrid/>
                <w:sz w:val="22"/>
              </w:rPr>
              <w:t xml:space="preserve"> %</w:t>
            </w:r>
          </w:p>
        </w:tc>
      </w:tr>
      <w:tr w:rsidR="00000000">
        <w:tblPrEx>
          <w:tblCellMar>
            <w:top w:w="0" w:type="dxa"/>
            <w:bottom w:w="0" w:type="dxa"/>
          </w:tblCellMar>
        </w:tblPrEx>
        <w:trPr>
          <w:cantSplit/>
        </w:trPr>
        <w:tc>
          <w:tcPr>
            <w:tcW w:w="3658" w:type="dxa"/>
            <w:vMerge/>
            <w:tcBorders>
              <w:bottom w:val="single" w:sz="6" w:space="0" w:color="auto"/>
            </w:tcBorders>
          </w:tcPr>
          <w:p w:rsidR="00000000" w:rsidRDefault="00000000">
            <w:pPr>
              <w:rPr>
                <w:snapToGrid/>
                <w:sz w:val="22"/>
              </w:rPr>
            </w:pPr>
          </w:p>
        </w:tc>
        <w:tc>
          <w:tcPr>
            <w:tcW w:w="1443" w:type="dxa"/>
            <w:tcBorders>
              <w:top w:val="single" w:sz="6" w:space="0" w:color="auto"/>
              <w:bottom w:val="single" w:sz="6" w:space="0" w:color="auto"/>
            </w:tcBorders>
          </w:tcPr>
          <w:p w:rsidR="00000000" w:rsidRDefault="00000000">
            <w:pPr>
              <w:spacing w:before="60"/>
              <w:jc w:val="center"/>
              <w:rPr>
                <w:rFonts w:hint="eastAsia"/>
                <w:snapToGrid/>
                <w:sz w:val="22"/>
              </w:rPr>
            </w:pPr>
            <w:r>
              <w:rPr>
                <w:snapToGrid/>
                <w:sz w:val="22"/>
              </w:rPr>
              <w:t>1996</w:t>
            </w:r>
            <w:r>
              <w:rPr>
                <w:rFonts w:hint="eastAsia"/>
                <w:snapToGrid/>
                <w:sz w:val="22"/>
              </w:rPr>
              <w:t>年</w:t>
            </w:r>
          </w:p>
        </w:tc>
        <w:tc>
          <w:tcPr>
            <w:tcW w:w="1482" w:type="dxa"/>
            <w:tcBorders>
              <w:top w:val="single" w:sz="6" w:space="0" w:color="auto"/>
              <w:bottom w:val="single" w:sz="6" w:space="0" w:color="auto"/>
            </w:tcBorders>
          </w:tcPr>
          <w:p w:rsidR="00000000" w:rsidRDefault="00000000">
            <w:pPr>
              <w:spacing w:before="60"/>
              <w:jc w:val="center"/>
              <w:rPr>
                <w:rFonts w:hint="eastAsia"/>
                <w:snapToGrid/>
                <w:sz w:val="22"/>
              </w:rPr>
            </w:pPr>
            <w:r>
              <w:rPr>
                <w:snapToGrid/>
                <w:sz w:val="22"/>
              </w:rPr>
              <w:t>1999</w:t>
            </w:r>
            <w:r>
              <w:rPr>
                <w:rFonts w:hint="eastAsia"/>
                <w:snapToGrid/>
                <w:sz w:val="22"/>
              </w:rPr>
              <w:t>年</w:t>
            </w:r>
          </w:p>
        </w:tc>
        <w:tc>
          <w:tcPr>
            <w:tcW w:w="1404" w:type="dxa"/>
            <w:tcBorders>
              <w:top w:val="single" w:sz="6" w:space="0" w:color="auto"/>
              <w:bottom w:val="single" w:sz="6" w:space="0" w:color="auto"/>
            </w:tcBorders>
          </w:tcPr>
          <w:p w:rsidR="00000000" w:rsidRDefault="00000000">
            <w:pPr>
              <w:spacing w:before="60"/>
              <w:jc w:val="center"/>
              <w:rPr>
                <w:rFonts w:hint="eastAsia"/>
                <w:snapToGrid/>
                <w:sz w:val="22"/>
              </w:rPr>
            </w:pPr>
            <w:r>
              <w:rPr>
                <w:snapToGrid/>
                <w:sz w:val="22"/>
              </w:rPr>
              <w:t>1996</w:t>
            </w:r>
            <w:r>
              <w:rPr>
                <w:rFonts w:hint="eastAsia"/>
                <w:snapToGrid/>
                <w:sz w:val="22"/>
              </w:rPr>
              <w:t>年</w:t>
            </w:r>
          </w:p>
        </w:tc>
        <w:tc>
          <w:tcPr>
            <w:tcW w:w="1331" w:type="dxa"/>
            <w:tcBorders>
              <w:top w:val="single" w:sz="6" w:space="0" w:color="auto"/>
              <w:bottom w:val="single" w:sz="6" w:space="0" w:color="auto"/>
            </w:tcBorders>
          </w:tcPr>
          <w:p w:rsidR="00000000" w:rsidRDefault="00000000">
            <w:pPr>
              <w:spacing w:before="60"/>
              <w:jc w:val="center"/>
              <w:rPr>
                <w:rFonts w:hint="eastAsia"/>
                <w:snapToGrid/>
                <w:sz w:val="22"/>
              </w:rPr>
            </w:pPr>
            <w:r>
              <w:rPr>
                <w:snapToGrid/>
                <w:sz w:val="22"/>
              </w:rPr>
              <w:t>1999</w:t>
            </w:r>
            <w:r>
              <w:rPr>
                <w:rFonts w:hint="eastAsia"/>
                <w:snapToGrid/>
                <w:sz w:val="22"/>
              </w:rPr>
              <w:t>年</w:t>
            </w:r>
          </w:p>
        </w:tc>
      </w:tr>
      <w:tr w:rsidR="00000000">
        <w:tblPrEx>
          <w:tblCellMar>
            <w:top w:w="0" w:type="dxa"/>
            <w:bottom w:w="0" w:type="dxa"/>
          </w:tblCellMar>
        </w:tblPrEx>
        <w:trPr>
          <w:cantSplit/>
        </w:trPr>
        <w:tc>
          <w:tcPr>
            <w:tcW w:w="3658" w:type="dxa"/>
            <w:tcBorders>
              <w:top w:val="single" w:sz="6" w:space="0" w:color="auto"/>
              <w:bottom w:val="nil"/>
            </w:tcBorders>
          </w:tcPr>
          <w:p w:rsidR="00000000" w:rsidRDefault="00000000">
            <w:pPr>
              <w:spacing w:line="22" w:lineRule="atLeast"/>
              <w:ind w:firstLine="207"/>
              <w:rPr>
                <w:rFonts w:hint="eastAsia"/>
                <w:snapToGrid/>
                <w:sz w:val="22"/>
              </w:rPr>
            </w:pPr>
            <w:r>
              <w:rPr>
                <w:snapToGrid/>
                <w:sz w:val="22"/>
              </w:rPr>
              <w:t xml:space="preserve">  </w:t>
            </w:r>
            <w:r>
              <w:rPr>
                <w:rFonts w:hint="eastAsia"/>
                <w:snapToGrid/>
                <w:sz w:val="22"/>
              </w:rPr>
              <w:t>总</w:t>
            </w:r>
            <w:r>
              <w:rPr>
                <w:rFonts w:hint="eastAsia"/>
                <w:snapToGrid/>
                <w:sz w:val="22"/>
              </w:rPr>
              <w:t xml:space="preserve">  </w:t>
            </w:r>
            <w:r>
              <w:rPr>
                <w:rFonts w:hint="eastAsia"/>
                <w:snapToGrid/>
                <w:sz w:val="22"/>
              </w:rPr>
              <w:t>计</w:t>
            </w:r>
          </w:p>
        </w:tc>
        <w:tc>
          <w:tcPr>
            <w:tcW w:w="1443" w:type="dxa"/>
            <w:tcBorders>
              <w:top w:val="single" w:sz="6" w:space="0" w:color="auto"/>
              <w:bottom w:val="nil"/>
            </w:tcBorders>
          </w:tcPr>
          <w:p w:rsidR="00000000" w:rsidRDefault="00000000">
            <w:pPr>
              <w:spacing w:line="22" w:lineRule="atLeast"/>
              <w:ind w:right="163"/>
              <w:jc w:val="center"/>
              <w:rPr>
                <w:snapToGrid/>
                <w:sz w:val="22"/>
              </w:rPr>
            </w:pPr>
            <w:r>
              <w:rPr>
                <w:snapToGrid/>
                <w:sz w:val="22"/>
              </w:rPr>
              <w:t>1 184 279</w:t>
            </w:r>
          </w:p>
        </w:tc>
        <w:tc>
          <w:tcPr>
            <w:tcW w:w="1482" w:type="dxa"/>
            <w:tcBorders>
              <w:top w:val="single" w:sz="6" w:space="0" w:color="auto"/>
              <w:bottom w:val="nil"/>
            </w:tcBorders>
          </w:tcPr>
          <w:p w:rsidR="00000000" w:rsidRDefault="00000000">
            <w:pPr>
              <w:tabs>
                <w:tab w:val="right" w:pos="881"/>
              </w:tabs>
              <w:spacing w:line="22" w:lineRule="atLeast"/>
              <w:ind w:right="280"/>
              <w:jc w:val="right"/>
              <w:rPr>
                <w:snapToGrid/>
                <w:sz w:val="22"/>
              </w:rPr>
            </w:pPr>
            <w:r>
              <w:rPr>
                <w:snapToGrid/>
                <w:sz w:val="22"/>
              </w:rPr>
              <w:t>810 284</w:t>
            </w:r>
          </w:p>
        </w:tc>
        <w:tc>
          <w:tcPr>
            <w:tcW w:w="1404" w:type="dxa"/>
            <w:tcBorders>
              <w:top w:val="single" w:sz="6" w:space="0" w:color="auto"/>
              <w:bottom w:val="nil"/>
            </w:tcBorders>
          </w:tcPr>
          <w:p w:rsidR="00000000" w:rsidRDefault="00000000">
            <w:pPr>
              <w:tabs>
                <w:tab w:val="right" w:pos="881"/>
              </w:tabs>
              <w:spacing w:line="22" w:lineRule="atLeast"/>
              <w:ind w:right="280"/>
              <w:jc w:val="right"/>
              <w:rPr>
                <w:snapToGrid/>
                <w:sz w:val="22"/>
              </w:rPr>
            </w:pPr>
            <w:r>
              <w:rPr>
                <w:snapToGrid/>
                <w:sz w:val="22"/>
              </w:rPr>
              <w:t>100</w:t>
            </w:r>
          </w:p>
        </w:tc>
        <w:tc>
          <w:tcPr>
            <w:tcW w:w="1331" w:type="dxa"/>
            <w:tcBorders>
              <w:top w:val="single" w:sz="6" w:space="0" w:color="auto"/>
              <w:bottom w:val="nil"/>
            </w:tcBorders>
          </w:tcPr>
          <w:p w:rsidR="00000000" w:rsidRDefault="00000000">
            <w:pPr>
              <w:tabs>
                <w:tab w:val="right" w:pos="881"/>
              </w:tabs>
              <w:spacing w:line="22" w:lineRule="atLeast"/>
              <w:ind w:right="280"/>
              <w:jc w:val="right"/>
              <w:rPr>
                <w:snapToGrid/>
                <w:sz w:val="22"/>
              </w:rPr>
            </w:pPr>
            <w:r>
              <w:rPr>
                <w:snapToGrid/>
                <w:sz w:val="22"/>
              </w:rPr>
              <w:t>100</w:t>
            </w:r>
          </w:p>
        </w:tc>
      </w:tr>
      <w:tr w:rsidR="00000000">
        <w:tblPrEx>
          <w:tblCellMar>
            <w:top w:w="0" w:type="dxa"/>
            <w:bottom w:w="0" w:type="dxa"/>
          </w:tblCellMar>
        </w:tblPrEx>
        <w:trPr>
          <w:cantSplit/>
        </w:trPr>
        <w:tc>
          <w:tcPr>
            <w:tcW w:w="3658" w:type="dxa"/>
            <w:tcBorders>
              <w:top w:val="nil"/>
            </w:tcBorders>
          </w:tcPr>
          <w:p w:rsidR="00000000" w:rsidRDefault="00000000">
            <w:pPr>
              <w:spacing w:line="22" w:lineRule="atLeast"/>
              <w:ind w:firstLine="207"/>
              <w:rPr>
                <w:snapToGrid/>
                <w:sz w:val="22"/>
              </w:rPr>
            </w:pPr>
            <w:r>
              <w:rPr>
                <w:rFonts w:hint="eastAsia"/>
                <w:snapToGrid/>
                <w:sz w:val="22"/>
              </w:rPr>
              <w:t>农业、狩猎、林业</w:t>
            </w:r>
          </w:p>
        </w:tc>
        <w:tc>
          <w:tcPr>
            <w:tcW w:w="1443" w:type="dxa"/>
            <w:tcBorders>
              <w:top w:val="nil"/>
            </w:tcBorders>
          </w:tcPr>
          <w:p w:rsidR="00000000" w:rsidRDefault="00000000">
            <w:pPr>
              <w:tabs>
                <w:tab w:val="right" w:pos="959"/>
              </w:tabs>
              <w:spacing w:line="22" w:lineRule="atLeast"/>
              <w:ind w:right="268"/>
              <w:jc w:val="right"/>
              <w:rPr>
                <w:snapToGrid/>
                <w:sz w:val="22"/>
              </w:rPr>
            </w:pPr>
            <w:r>
              <w:rPr>
                <w:snapToGrid/>
                <w:sz w:val="22"/>
              </w:rPr>
              <w:t>513 687</w:t>
            </w:r>
          </w:p>
        </w:tc>
        <w:tc>
          <w:tcPr>
            <w:tcW w:w="1482" w:type="dxa"/>
            <w:tcBorders>
              <w:top w:val="nil"/>
            </w:tcBorders>
          </w:tcPr>
          <w:p w:rsidR="00000000" w:rsidRDefault="00000000">
            <w:pPr>
              <w:tabs>
                <w:tab w:val="right" w:pos="881"/>
              </w:tabs>
              <w:spacing w:line="22" w:lineRule="atLeast"/>
              <w:ind w:right="280"/>
              <w:jc w:val="right"/>
              <w:rPr>
                <w:snapToGrid/>
                <w:sz w:val="22"/>
              </w:rPr>
            </w:pPr>
            <w:r>
              <w:rPr>
                <w:snapToGrid/>
                <w:sz w:val="22"/>
              </w:rPr>
              <w:t>266 167</w:t>
            </w:r>
          </w:p>
        </w:tc>
        <w:tc>
          <w:tcPr>
            <w:tcW w:w="1404" w:type="dxa"/>
            <w:tcBorders>
              <w:top w:val="nil"/>
            </w:tcBorders>
          </w:tcPr>
          <w:p w:rsidR="00000000" w:rsidRDefault="00000000">
            <w:pPr>
              <w:tabs>
                <w:tab w:val="right" w:pos="881"/>
              </w:tabs>
              <w:spacing w:line="22" w:lineRule="atLeast"/>
              <w:ind w:right="280"/>
              <w:jc w:val="right"/>
              <w:rPr>
                <w:snapToGrid/>
                <w:sz w:val="22"/>
              </w:rPr>
            </w:pPr>
            <w:r>
              <w:rPr>
                <w:snapToGrid/>
                <w:sz w:val="22"/>
              </w:rPr>
              <w:t>43.4</w:t>
            </w:r>
          </w:p>
        </w:tc>
        <w:tc>
          <w:tcPr>
            <w:tcW w:w="1331" w:type="dxa"/>
            <w:tcBorders>
              <w:top w:val="nil"/>
            </w:tcBorders>
          </w:tcPr>
          <w:p w:rsidR="00000000" w:rsidRDefault="00000000">
            <w:pPr>
              <w:tabs>
                <w:tab w:val="right" w:pos="881"/>
              </w:tabs>
              <w:spacing w:line="22" w:lineRule="atLeast"/>
              <w:ind w:right="280"/>
              <w:jc w:val="right"/>
              <w:rPr>
                <w:snapToGrid/>
                <w:sz w:val="22"/>
              </w:rPr>
            </w:pPr>
            <w:r>
              <w:rPr>
                <w:snapToGrid/>
                <w:sz w:val="22"/>
              </w:rPr>
              <w:t>32.8</w:t>
            </w:r>
          </w:p>
        </w:tc>
      </w:tr>
      <w:tr w:rsidR="00000000">
        <w:tblPrEx>
          <w:tblCellMar>
            <w:top w:w="0" w:type="dxa"/>
            <w:bottom w:w="0" w:type="dxa"/>
          </w:tblCellMar>
        </w:tblPrEx>
        <w:trPr>
          <w:cantSplit/>
        </w:trPr>
        <w:tc>
          <w:tcPr>
            <w:tcW w:w="3658" w:type="dxa"/>
          </w:tcPr>
          <w:p w:rsidR="00000000" w:rsidRDefault="00000000">
            <w:pPr>
              <w:spacing w:line="22" w:lineRule="atLeast"/>
              <w:ind w:firstLine="207"/>
              <w:rPr>
                <w:rFonts w:hint="eastAsia"/>
                <w:snapToGrid/>
                <w:sz w:val="22"/>
              </w:rPr>
            </w:pPr>
            <w:r>
              <w:rPr>
                <w:rFonts w:hint="eastAsia"/>
                <w:snapToGrid/>
                <w:sz w:val="22"/>
              </w:rPr>
              <w:t>行</w:t>
            </w:r>
            <w:r>
              <w:rPr>
                <w:rFonts w:hint="eastAsia"/>
                <w:snapToGrid/>
                <w:sz w:val="22"/>
              </w:rPr>
              <w:t xml:space="preserve">  </w:t>
            </w:r>
            <w:r>
              <w:rPr>
                <w:rFonts w:hint="eastAsia"/>
                <w:snapToGrid/>
                <w:sz w:val="22"/>
              </w:rPr>
              <w:t>业</w:t>
            </w:r>
            <w:r>
              <w:rPr>
                <w:snapToGrid/>
                <w:sz w:val="22"/>
              </w:rPr>
              <w:t xml:space="preserve">     </w:t>
            </w:r>
          </w:p>
          <w:p w:rsidR="00000000" w:rsidRDefault="00000000">
            <w:pPr>
              <w:spacing w:line="22" w:lineRule="atLeast"/>
              <w:ind w:firstLine="207"/>
              <w:rPr>
                <w:rFonts w:hint="eastAsia"/>
                <w:snapToGrid/>
                <w:sz w:val="22"/>
              </w:rPr>
            </w:pPr>
            <w:r>
              <w:rPr>
                <w:rFonts w:hint="eastAsia"/>
                <w:snapToGrid/>
                <w:sz w:val="22"/>
              </w:rPr>
              <w:t>合</w:t>
            </w:r>
            <w:r>
              <w:rPr>
                <w:rFonts w:hint="eastAsia"/>
                <w:snapToGrid/>
                <w:sz w:val="22"/>
              </w:rPr>
              <w:t xml:space="preserve">  </w:t>
            </w:r>
            <w:r>
              <w:rPr>
                <w:rFonts w:hint="eastAsia"/>
                <w:snapToGrid/>
                <w:sz w:val="22"/>
              </w:rPr>
              <w:t>计</w:t>
            </w:r>
          </w:p>
          <w:p w:rsidR="00000000" w:rsidRDefault="00000000">
            <w:pPr>
              <w:spacing w:line="22" w:lineRule="atLeast"/>
              <w:ind w:firstLine="207"/>
              <w:rPr>
                <w:snapToGrid/>
                <w:sz w:val="22"/>
              </w:rPr>
            </w:pPr>
            <w:r>
              <w:rPr>
                <w:rFonts w:hint="eastAsia"/>
                <w:snapToGrid/>
                <w:sz w:val="22"/>
              </w:rPr>
              <w:t>包</w:t>
            </w:r>
            <w:r>
              <w:rPr>
                <w:rFonts w:hint="eastAsia"/>
                <w:snapToGrid/>
                <w:sz w:val="22"/>
              </w:rPr>
              <w:t xml:space="preserve">  </w:t>
            </w:r>
            <w:r>
              <w:rPr>
                <w:rFonts w:hint="eastAsia"/>
                <w:snapToGrid/>
                <w:sz w:val="22"/>
              </w:rPr>
              <w:t>括：</w:t>
            </w:r>
          </w:p>
        </w:tc>
        <w:tc>
          <w:tcPr>
            <w:tcW w:w="1443" w:type="dxa"/>
          </w:tcPr>
          <w:p w:rsidR="00000000" w:rsidRDefault="00000000">
            <w:pPr>
              <w:tabs>
                <w:tab w:val="right" w:pos="959"/>
              </w:tabs>
              <w:spacing w:line="22" w:lineRule="atLeast"/>
              <w:ind w:right="268"/>
              <w:jc w:val="right"/>
              <w:rPr>
                <w:snapToGrid/>
                <w:sz w:val="22"/>
              </w:rPr>
            </w:pPr>
            <w:r>
              <w:rPr>
                <w:snapToGrid/>
                <w:sz w:val="22"/>
              </w:rPr>
              <w:br/>
              <w:t>175 507</w:t>
            </w:r>
          </w:p>
        </w:tc>
        <w:tc>
          <w:tcPr>
            <w:tcW w:w="1482" w:type="dxa"/>
          </w:tcPr>
          <w:p w:rsidR="00000000" w:rsidRDefault="00000000">
            <w:pPr>
              <w:tabs>
                <w:tab w:val="right" w:pos="881"/>
              </w:tabs>
              <w:spacing w:line="22" w:lineRule="atLeast"/>
              <w:ind w:right="280"/>
              <w:jc w:val="right"/>
              <w:rPr>
                <w:snapToGrid/>
                <w:sz w:val="22"/>
              </w:rPr>
            </w:pPr>
            <w:r>
              <w:rPr>
                <w:snapToGrid/>
                <w:sz w:val="22"/>
              </w:rPr>
              <w:br/>
              <w:t>127 978</w:t>
            </w:r>
          </w:p>
        </w:tc>
        <w:tc>
          <w:tcPr>
            <w:tcW w:w="1404" w:type="dxa"/>
          </w:tcPr>
          <w:p w:rsidR="00000000" w:rsidRDefault="00000000">
            <w:pPr>
              <w:tabs>
                <w:tab w:val="right" w:pos="881"/>
              </w:tabs>
              <w:spacing w:line="22" w:lineRule="atLeast"/>
              <w:ind w:right="280"/>
              <w:jc w:val="right"/>
              <w:rPr>
                <w:snapToGrid/>
                <w:sz w:val="22"/>
              </w:rPr>
            </w:pPr>
            <w:r>
              <w:rPr>
                <w:snapToGrid/>
                <w:sz w:val="22"/>
              </w:rPr>
              <w:br/>
              <w:t>14.8</w:t>
            </w:r>
          </w:p>
        </w:tc>
        <w:tc>
          <w:tcPr>
            <w:tcW w:w="1331" w:type="dxa"/>
          </w:tcPr>
          <w:p w:rsidR="00000000" w:rsidRDefault="00000000">
            <w:pPr>
              <w:tabs>
                <w:tab w:val="right" w:pos="881"/>
              </w:tabs>
              <w:spacing w:line="22" w:lineRule="atLeast"/>
              <w:ind w:right="280"/>
              <w:jc w:val="right"/>
              <w:rPr>
                <w:snapToGrid/>
                <w:sz w:val="22"/>
              </w:rPr>
            </w:pPr>
            <w:r>
              <w:rPr>
                <w:snapToGrid/>
                <w:sz w:val="22"/>
              </w:rPr>
              <w:br/>
              <w:t>15.8</w:t>
            </w:r>
          </w:p>
        </w:tc>
      </w:tr>
      <w:tr w:rsidR="00000000">
        <w:tblPrEx>
          <w:tblCellMar>
            <w:top w:w="0" w:type="dxa"/>
            <w:bottom w:w="0" w:type="dxa"/>
          </w:tblCellMar>
        </w:tblPrEx>
        <w:trPr>
          <w:cantSplit/>
        </w:trPr>
        <w:tc>
          <w:tcPr>
            <w:tcW w:w="3658" w:type="dxa"/>
          </w:tcPr>
          <w:p w:rsidR="00000000" w:rsidRDefault="00000000">
            <w:pPr>
              <w:spacing w:line="22" w:lineRule="atLeast"/>
              <w:ind w:firstLine="207"/>
              <w:rPr>
                <w:rFonts w:hint="eastAsia"/>
                <w:iCs/>
                <w:snapToGrid/>
                <w:sz w:val="22"/>
              </w:rPr>
            </w:pPr>
            <w:r>
              <w:rPr>
                <w:rFonts w:hint="eastAsia"/>
                <w:iCs/>
                <w:snapToGrid/>
                <w:sz w:val="22"/>
              </w:rPr>
              <w:t>采</w:t>
            </w:r>
            <w:r>
              <w:rPr>
                <w:rFonts w:hint="eastAsia"/>
                <w:iCs/>
                <w:snapToGrid/>
                <w:sz w:val="22"/>
              </w:rPr>
              <w:t xml:space="preserve">  </w:t>
            </w:r>
            <w:r>
              <w:rPr>
                <w:rFonts w:hint="eastAsia"/>
                <w:iCs/>
                <w:snapToGrid/>
                <w:sz w:val="22"/>
              </w:rPr>
              <w:t>矿</w:t>
            </w:r>
          </w:p>
        </w:tc>
        <w:tc>
          <w:tcPr>
            <w:tcW w:w="1443" w:type="dxa"/>
          </w:tcPr>
          <w:p w:rsidR="00000000" w:rsidRDefault="00000000">
            <w:pPr>
              <w:tabs>
                <w:tab w:val="right" w:pos="959"/>
              </w:tabs>
              <w:spacing w:line="22" w:lineRule="atLeast"/>
              <w:ind w:right="268"/>
              <w:jc w:val="right"/>
              <w:rPr>
                <w:snapToGrid/>
                <w:sz w:val="22"/>
              </w:rPr>
            </w:pPr>
            <w:r>
              <w:rPr>
                <w:snapToGrid/>
                <w:sz w:val="22"/>
              </w:rPr>
              <w:t>3 791</w:t>
            </w:r>
          </w:p>
        </w:tc>
        <w:tc>
          <w:tcPr>
            <w:tcW w:w="1482" w:type="dxa"/>
          </w:tcPr>
          <w:p w:rsidR="00000000" w:rsidRDefault="00000000">
            <w:pPr>
              <w:tabs>
                <w:tab w:val="right" w:pos="881"/>
              </w:tabs>
              <w:spacing w:line="22" w:lineRule="atLeast"/>
              <w:ind w:right="280"/>
              <w:jc w:val="right"/>
              <w:rPr>
                <w:snapToGrid/>
                <w:sz w:val="22"/>
              </w:rPr>
            </w:pPr>
            <w:r>
              <w:rPr>
                <w:snapToGrid/>
                <w:sz w:val="22"/>
              </w:rPr>
              <w:t>2 538</w:t>
            </w:r>
          </w:p>
        </w:tc>
        <w:tc>
          <w:tcPr>
            <w:tcW w:w="1404" w:type="dxa"/>
          </w:tcPr>
          <w:p w:rsidR="00000000" w:rsidRDefault="00000000">
            <w:pPr>
              <w:tabs>
                <w:tab w:val="right" w:pos="881"/>
              </w:tabs>
              <w:spacing w:line="22" w:lineRule="atLeast"/>
              <w:ind w:right="280"/>
              <w:jc w:val="right"/>
              <w:rPr>
                <w:snapToGrid/>
                <w:sz w:val="22"/>
              </w:rPr>
            </w:pPr>
            <w:r>
              <w:rPr>
                <w:snapToGrid/>
                <w:sz w:val="22"/>
              </w:rPr>
              <w:t>0.3</w:t>
            </w:r>
          </w:p>
        </w:tc>
        <w:tc>
          <w:tcPr>
            <w:tcW w:w="1331" w:type="dxa"/>
          </w:tcPr>
          <w:p w:rsidR="00000000" w:rsidRDefault="00000000">
            <w:pPr>
              <w:tabs>
                <w:tab w:val="right" w:pos="881"/>
              </w:tabs>
              <w:spacing w:line="22" w:lineRule="atLeast"/>
              <w:ind w:right="280"/>
              <w:jc w:val="right"/>
              <w:rPr>
                <w:snapToGrid/>
                <w:sz w:val="22"/>
              </w:rPr>
            </w:pPr>
            <w:r>
              <w:rPr>
                <w:snapToGrid/>
                <w:sz w:val="22"/>
              </w:rPr>
              <w:t>0.3</w:t>
            </w:r>
          </w:p>
        </w:tc>
      </w:tr>
      <w:tr w:rsidR="00000000">
        <w:tblPrEx>
          <w:tblCellMar>
            <w:top w:w="0" w:type="dxa"/>
            <w:bottom w:w="0" w:type="dxa"/>
          </w:tblCellMar>
        </w:tblPrEx>
        <w:trPr>
          <w:cantSplit/>
        </w:trPr>
        <w:tc>
          <w:tcPr>
            <w:tcW w:w="3658" w:type="dxa"/>
          </w:tcPr>
          <w:p w:rsidR="00000000" w:rsidRDefault="00000000">
            <w:pPr>
              <w:spacing w:line="22" w:lineRule="atLeast"/>
              <w:ind w:firstLine="207"/>
              <w:rPr>
                <w:rFonts w:hint="eastAsia"/>
                <w:iCs/>
                <w:snapToGrid/>
                <w:sz w:val="22"/>
              </w:rPr>
            </w:pPr>
            <w:r>
              <w:rPr>
                <w:rFonts w:hint="eastAsia"/>
                <w:iCs/>
                <w:snapToGrid/>
                <w:sz w:val="22"/>
              </w:rPr>
              <w:t>加</w:t>
            </w:r>
            <w:r>
              <w:rPr>
                <w:rFonts w:hint="eastAsia"/>
                <w:iCs/>
                <w:snapToGrid/>
                <w:sz w:val="22"/>
              </w:rPr>
              <w:t xml:space="preserve">  </w:t>
            </w:r>
            <w:r>
              <w:rPr>
                <w:rFonts w:hint="eastAsia"/>
                <w:iCs/>
                <w:snapToGrid/>
                <w:sz w:val="22"/>
              </w:rPr>
              <w:t>工</w:t>
            </w:r>
          </w:p>
        </w:tc>
        <w:tc>
          <w:tcPr>
            <w:tcW w:w="1443" w:type="dxa"/>
          </w:tcPr>
          <w:p w:rsidR="00000000" w:rsidRDefault="00000000">
            <w:pPr>
              <w:tabs>
                <w:tab w:val="right" w:pos="959"/>
              </w:tabs>
              <w:spacing w:line="22" w:lineRule="atLeast"/>
              <w:ind w:right="268"/>
              <w:jc w:val="right"/>
              <w:rPr>
                <w:snapToGrid/>
                <w:sz w:val="22"/>
              </w:rPr>
            </w:pPr>
            <w:r>
              <w:rPr>
                <w:snapToGrid/>
                <w:sz w:val="22"/>
              </w:rPr>
              <w:t>149 401</w:t>
            </w:r>
          </w:p>
        </w:tc>
        <w:tc>
          <w:tcPr>
            <w:tcW w:w="1482" w:type="dxa"/>
          </w:tcPr>
          <w:p w:rsidR="00000000" w:rsidRDefault="00000000">
            <w:pPr>
              <w:tabs>
                <w:tab w:val="right" w:pos="881"/>
              </w:tabs>
              <w:spacing w:line="22" w:lineRule="atLeast"/>
              <w:ind w:right="280"/>
              <w:jc w:val="right"/>
              <w:rPr>
                <w:snapToGrid/>
                <w:sz w:val="22"/>
              </w:rPr>
            </w:pPr>
            <w:r>
              <w:rPr>
                <w:snapToGrid/>
                <w:sz w:val="22"/>
              </w:rPr>
              <w:t>102 982</w:t>
            </w:r>
          </w:p>
        </w:tc>
        <w:tc>
          <w:tcPr>
            <w:tcW w:w="1404" w:type="dxa"/>
          </w:tcPr>
          <w:p w:rsidR="00000000" w:rsidRDefault="00000000">
            <w:pPr>
              <w:tabs>
                <w:tab w:val="right" w:pos="881"/>
              </w:tabs>
              <w:spacing w:line="22" w:lineRule="atLeast"/>
              <w:ind w:right="280"/>
              <w:jc w:val="right"/>
              <w:rPr>
                <w:snapToGrid/>
                <w:sz w:val="22"/>
              </w:rPr>
            </w:pPr>
            <w:r>
              <w:rPr>
                <w:snapToGrid/>
                <w:sz w:val="22"/>
              </w:rPr>
              <w:t>12.6</w:t>
            </w:r>
          </w:p>
        </w:tc>
        <w:tc>
          <w:tcPr>
            <w:tcW w:w="1331" w:type="dxa"/>
          </w:tcPr>
          <w:p w:rsidR="00000000" w:rsidRDefault="00000000">
            <w:pPr>
              <w:tabs>
                <w:tab w:val="right" w:pos="881"/>
              </w:tabs>
              <w:spacing w:line="22" w:lineRule="atLeast"/>
              <w:ind w:right="280"/>
              <w:jc w:val="right"/>
              <w:rPr>
                <w:snapToGrid/>
                <w:sz w:val="22"/>
              </w:rPr>
            </w:pPr>
            <w:r>
              <w:rPr>
                <w:snapToGrid/>
                <w:sz w:val="22"/>
              </w:rPr>
              <w:t>12.7</w:t>
            </w:r>
          </w:p>
        </w:tc>
      </w:tr>
      <w:tr w:rsidR="00000000">
        <w:tblPrEx>
          <w:tblCellMar>
            <w:top w:w="0" w:type="dxa"/>
            <w:bottom w:w="0" w:type="dxa"/>
          </w:tblCellMar>
        </w:tblPrEx>
        <w:trPr>
          <w:cantSplit/>
        </w:trPr>
        <w:tc>
          <w:tcPr>
            <w:tcW w:w="3658" w:type="dxa"/>
          </w:tcPr>
          <w:p w:rsidR="00000000" w:rsidRDefault="00000000">
            <w:pPr>
              <w:spacing w:line="22" w:lineRule="atLeast"/>
              <w:ind w:firstLine="207"/>
              <w:rPr>
                <w:iCs/>
                <w:snapToGrid/>
                <w:sz w:val="22"/>
              </w:rPr>
            </w:pPr>
            <w:r>
              <w:rPr>
                <w:rFonts w:hint="eastAsia"/>
                <w:iCs/>
                <w:snapToGrid/>
                <w:sz w:val="22"/>
              </w:rPr>
              <w:t>电力、天然气和供水</w:t>
            </w:r>
          </w:p>
        </w:tc>
        <w:tc>
          <w:tcPr>
            <w:tcW w:w="1443" w:type="dxa"/>
          </w:tcPr>
          <w:p w:rsidR="00000000" w:rsidRDefault="00000000">
            <w:pPr>
              <w:tabs>
                <w:tab w:val="right" w:pos="959"/>
              </w:tabs>
              <w:spacing w:line="22" w:lineRule="atLeast"/>
              <w:ind w:right="268"/>
              <w:jc w:val="right"/>
              <w:rPr>
                <w:snapToGrid/>
                <w:sz w:val="22"/>
              </w:rPr>
            </w:pPr>
            <w:r>
              <w:rPr>
                <w:snapToGrid/>
                <w:sz w:val="22"/>
              </w:rPr>
              <w:t>22 315</w:t>
            </w:r>
          </w:p>
        </w:tc>
        <w:tc>
          <w:tcPr>
            <w:tcW w:w="1482" w:type="dxa"/>
          </w:tcPr>
          <w:p w:rsidR="00000000" w:rsidRDefault="00000000">
            <w:pPr>
              <w:tabs>
                <w:tab w:val="right" w:pos="881"/>
              </w:tabs>
              <w:spacing w:line="22" w:lineRule="atLeast"/>
              <w:ind w:right="280"/>
              <w:jc w:val="right"/>
              <w:rPr>
                <w:snapToGrid/>
                <w:sz w:val="22"/>
              </w:rPr>
            </w:pPr>
            <w:r>
              <w:rPr>
                <w:snapToGrid/>
                <w:sz w:val="22"/>
              </w:rPr>
              <w:t>22 459</w:t>
            </w:r>
          </w:p>
        </w:tc>
        <w:tc>
          <w:tcPr>
            <w:tcW w:w="1404" w:type="dxa"/>
          </w:tcPr>
          <w:p w:rsidR="00000000" w:rsidRDefault="00000000">
            <w:pPr>
              <w:tabs>
                <w:tab w:val="right" w:pos="881"/>
              </w:tabs>
              <w:spacing w:line="22" w:lineRule="atLeast"/>
              <w:ind w:right="280"/>
              <w:jc w:val="right"/>
              <w:rPr>
                <w:snapToGrid/>
                <w:sz w:val="22"/>
              </w:rPr>
            </w:pPr>
            <w:r>
              <w:rPr>
                <w:snapToGrid/>
                <w:sz w:val="22"/>
              </w:rPr>
              <w:t>1.9</w:t>
            </w:r>
          </w:p>
        </w:tc>
        <w:tc>
          <w:tcPr>
            <w:tcW w:w="1331" w:type="dxa"/>
          </w:tcPr>
          <w:p w:rsidR="00000000" w:rsidRDefault="00000000">
            <w:pPr>
              <w:tabs>
                <w:tab w:val="right" w:pos="881"/>
              </w:tabs>
              <w:spacing w:line="22" w:lineRule="atLeast"/>
              <w:ind w:right="280"/>
              <w:jc w:val="right"/>
              <w:rPr>
                <w:snapToGrid/>
                <w:sz w:val="22"/>
              </w:rPr>
            </w:pPr>
            <w:r>
              <w:rPr>
                <w:snapToGrid/>
                <w:sz w:val="22"/>
              </w:rPr>
              <w:t>2.7</w:t>
            </w:r>
          </w:p>
        </w:tc>
      </w:tr>
      <w:tr w:rsidR="00000000">
        <w:tblPrEx>
          <w:tblCellMar>
            <w:top w:w="0" w:type="dxa"/>
            <w:bottom w:w="0" w:type="dxa"/>
          </w:tblCellMar>
        </w:tblPrEx>
        <w:trPr>
          <w:cantSplit/>
        </w:trPr>
        <w:tc>
          <w:tcPr>
            <w:tcW w:w="3658" w:type="dxa"/>
          </w:tcPr>
          <w:p w:rsidR="00000000" w:rsidRDefault="00000000">
            <w:pPr>
              <w:spacing w:line="22" w:lineRule="atLeast"/>
              <w:ind w:firstLine="207"/>
              <w:rPr>
                <w:rFonts w:hint="eastAsia"/>
                <w:snapToGrid/>
                <w:sz w:val="22"/>
              </w:rPr>
            </w:pPr>
            <w:r>
              <w:rPr>
                <w:rFonts w:hint="eastAsia"/>
                <w:snapToGrid/>
                <w:sz w:val="22"/>
              </w:rPr>
              <w:t>建</w:t>
            </w:r>
            <w:r>
              <w:rPr>
                <w:rFonts w:hint="eastAsia"/>
                <w:snapToGrid/>
                <w:sz w:val="22"/>
              </w:rPr>
              <w:t xml:space="preserve">  </w:t>
            </w:r>
            <w:r>
              <w:rPr>
                <w:rFonts w:hint="eastAsia"/>
                <w:snapToGrid/>
                <w:sz w:val="22"/>
              </w:rPr>
              <w:t>筑</w:t>
            </w:r>
          </w:p>
        </w:tc>
        <w:tc>
          <w:tcPr>
            <w:tcW w:w="1443" w:type="dxa"/>
          </w:tcPr>
          <w:p w:rsidR="00000000" w:rsidRDefault="00000000">
            <w:pPr>
              <w:tabs>
                <w:tab w:val="right" w:pos="959"/>
              </w:tabs>
              <w:spacing w:line="22" w:lineRule="atLeast"/>
              <w:ind w:right="268"/>
              <w:jc w:val="right"/>
              <w:rPr>
                <w:snapToGrid/>
                <w:sz w:val="22"/>
              </w:rPr>
            </w:pPr>
            <w:r>
              <w:rPr>
                <w:snapToGrid/>
                <w:sz w:val="22"/>
              </w:rPr>
              <w:t>39 804</w:t>
            </w:r>
          </w:p>
        </w:tc>
        <w:tc>
          <w:tcPr>
            <w:tcW w:w="1482" w:type="dxa"/>
          </w:tcPr>
          <w:p w:rsidR="00000000" w:rsidRDefault="00000000">
            <w:pPr>
              <w:tabs>
                <w:tab w:val="right" w:pos="881"/>
              </w:tabs>
              <w:spacing w:line="22" w:lineRule="atLeast"/>
              <w:ind w:right="280"/>
              <w:jc w:val="right"/>
              <w:rPr>
                <w:snapToGrid/>
                <w:sz w:val="22"/>
              </w:rPr>
            </w:pPr>
            <w:r>
              <w:rPr>
                <w:snapToGrid/>
                <w:sz w:val="22"/>
              </w:rPr>
              <w:t>23 974</w:t>
            </w:r>
          </w:p>
        </w:tc>
        <w:tc>
          <w:tcPr>
            <w:tcW w:w="1404" w:type="dxa"/>
          </w:tcPr>
          <w:p w:rsidR="00000000" w:rsidRDefault="00000000">
            <w:pPr>
              <w:tabs>
                <w:tab w:val="right" w:pos="881"/>
              </w:tabs>
              <w:spacing w:line="22" w:lineRule="atLeast"/>
              <w:ind w:right="280"/>
              <w:jc w:val="right"/>
              <w:rPr>
                <w:snapToGrid/>
                <w:sz w:val="22"/>
              </w:rPr>
            </w:pPr>
            <w:r>
              <w:rPr>
                <w:snapToGrid/>
                <w:sz w:val="22"/>
              </w:rPr>
              <w:t>3.4</w:t>
            </w:r>
          </w:p>
        </w:tc>
        <w:tc>
          <w:tcPr>
            <w:tcW w:w="1331" w:type="dxa"/>
          </w:tcPr>
          <w:p w:rsidR="00000000" w:rsidRDefault="00000000">
            <w:pPr>
              <w:tabs>
                <w:tab w:val="right" w:pos="881"/>
              </w:tabs>
              <w:spacing w:line="22" w:lineRule="atLeast"/>
              <w:ind w:right="280"/>
              <w:jc w:val="right"/>
              <w:rPr>
                <w:snapToGrid/>
                <w:sz w:val="22"/>
              </w:rPr>
            </w:pPr>
            <w:r>
              <w:rPr>
                <w:snapToGrid/>
                <w:sz w:val="22"/>
              </w:rPr>
              <w:t>2.9</w:t>
            </w:r>
          </w:p>
        </w:tc>
      </w:tr>
      <w:tr w:rsidR="00000000">
        <w:tblPrEx>
          <w:tblCellMar>
            <w:top w:w="0" w:type="dxa"/>
            <w:bottom w:w="0" w:type="dxa"/>
          </w:tblCellMar>
        </w:tblPrEx>
        <w:trPr>
          <w:cantSplit/>
        </w:trPr>
        <w:tc>
          <w:tcPr>
            <w:tcW w:w="3658" w:type="dxa"/>
          </w:tcPr>
          <w:p w:rsidR="00000000" w:rsidRDefault="00000000">
            <w:pPr>
              <w:spacing w:line="22" w:lineRule="atLeast"/>
              <w:ind w:firstLine="207"/>
              <w:rPr>
                <w:rFonts w:hint="eastAsia"/>
                <w:snapToGrid/>
                <w:sz w:val="22"/>
              </w:rPr>
            </w:pPr>
            <w:r>
              <w:rPr>
                <w:rFonts w:hint="eastAsia"/>
                <w:snapToGrid/>
                <w:sz w:val="22"/>
              </w:rPr>
              <w:t>批发贸易</w:t>
            </w:r>
          </w:p>
        </w:tc>
        <w:tc>
          <w:tcPr>
            <w:tcW w:w="1443" w:type="dxa"/>
          </w:tcPr>
          <w:p w:rsidR="00000000" w:rsidRDefault="00000000">
            <w:pPr>
              <w:tabs>
                <w:tab w:val="right" w:pos="959"/>
              </w:tabs>
              <w:spacing w:line="22" w:lineRule="atLeast"/>
              <w:ind w:right="268"/>
              <w:jc w:val="right"/>
              <w:rPr>
                <w:snapToGrid/>
                <w:sz w:val="22"/>
              </w:rPr>
            </w:pPr>
            <w:r>
              <w:rPr>
                <w:snapToGrid/>
                <w:sz w:val="22"/>
              </w:rPr>
              <w:t>54 857</w:t>
            </w:r>
          </w:p>
        </w:tc>
        <w:tc>
          <w:tcPr>
            <w:tcW w:w="1482" w:type="dxa"/>
          </w:tcPr>
          <w:p w:rsidR="00000000" w:rsidRDefault="00000000">
            <w:pPr>
              <w:tabs>
                <w:tab w:val="right" w:pos="881"/>
              </w:tabs>
              <w:spacing w:line="22" w:lineRule="atLeast"/>
              <w:ind w:right="280"/>
              <w:jc w:val="right"/>
              <w:rPr>
                <w:snapToGrid/>
                <w:sz w:val="22"/>
              </w:rPr>
            </w:pPr>
            <w:r>
              <w:rPr>
                <w:snapToGrid/>
                <w:sz w:val="22"/>
              </w:rPr>
              <w:t>35 454</w:t>
            </w:r>
          </w:p>
        </w:tc>
        <w:tc>
          <w:tcPr>
            <w:tcW w:w="1404" w:type="dxa"/>
          </w:tcPr>
          <w:p w:rsidR="00000000" w:rsidRDefault="00000000">
            <w:pPr>
              <w:tabs>
                <w:tab w:val="right" w:pos="881"/>
              </w:tabs>
              <w:spacing w:line="22" w:lineRule="atLeast"/>
              <w:ind w:right="280"/>
              <w:jc w:val="right"/>
              <w:rPr>
                <w:snapToGrid/>
                <w:sz w:val="22"/>
              </w:rPr>
            </w:pPr>
            <w:r>
              <w:rPr>
                <w:snapToGrid/>
                <w:sz w:val="22"/>
              </w:rPr>
              <w:t>4.6</w:t>
            </w:r>
          </w:p>
        </w:tc>
        <w:tc>
          <w:tcPr>
            <w:tcW w:w="1331" w:type="dxa"/>
          </w:tcPr>
          <w:p w:rsidR="00000000" w:rsidRDefault="00000000">
            <w:pPr>
              <w:tabs>
                <w:tab w:val="right" w:pos="881"/>
              </w:tabs>
              <w:spacing w:line="22" w:lineRule="atLeast"/>
              <w:ind w:right="280"/>
              <w:jc w:val="right"/>
              <w:rPr>
                <w:snapToGrid/>
                <w:sz w:val="22"/>
              </w:rPr>
            </w:pPr>
            <w:r>
              <w:rPr>
                <w:snapToGrid/>
                <w:sz w:val="22"/>
              </w:rPr>
              <w:t>4.4</w:t>
            </w:r>
          </w:p>
        </w:tc>
      </w:tr>
      <w:tr w:rsidR="00000000">
        <w:tblPrEx>
          <w:tblCellMar>
            <w:top w:w="0" w:type="dxa"/>
            <w:bottom w:w="0" w:type="dxa"/>
          </w:tblCellMar>
        </w:tblPrEx>
        <w:trPr>
          <w:cantSplit/>
        </w:trPr>
        <w:tc>
          <w:tcPr>
            <w:tcW w:w="3658" w:type="dxa"/>
          </w:tcPr>
          <w:p w:rsidR="00000000" w:rsidRDefault="00000000">
            <w:pPr>
              <w:spacing w:line="22" w:lineRule="atLeast"/>
              <w:ind w:firstLine="207"/>
              <w:rPr>
                <w:rFonts w:hint="eastAsia"/>
                <w:snapToGrid/>
                <w:sz w:val="22"/>
              </w:rPr>
            </w:pPr>
            <w:r>
              <w:rPr>
                <w:rFonts w:hint="eastAsia"/>
                <w:snapToGrid/>
                <w:sz w:val="22"/>
              </w:rPr>
              <w:t>旅馆和餐厅</w:t>
            </w:r>
          </w:p>
        </w:tc>
        <w:tc>
          <w:tcPr>
            <w:tcW w:w="1443" w:type="dxa"/>
          </w:tcPr>
          <w:p w:rsidR="00000000" w:rsidRDefault="00000000">
            <w:pPr>
              <w:tabs>
                <w:tab w:val="right" w:pos="959"/>
              </w:tabs>
              <w:spacing w:line="22" w:lineRule="atLeast"/>
              <w:ind w:right="268"/>
              <w:jc w:val="right"/>
              <w:rPr>
                <w:snapToGrid/>
                <w:sz w:val="22"/>
              </w:rPr>
            </w:pPr>
            <w:r>
              <w:rPr>
                <w:snapToGrid/>
                <w:sz w:val="22"/>
              </w:rPr>
              <w:t>5 782</w:t>
            </w:r>
          </w:p>
        </w:tc>
        <w:tc>
          <w:tcPr>
            <w:tcW w:w="1482" w:type="dxa"/>
          </w:tcPr>
          <w:p w:rsidR="00000000" w:rsidRDefault="00000000">
            <w:pPr>
              <w:tabs>
                <w:tab w:val="right" w:pos="881"/>
              </w:tabs>
              <w:spacing w:line="22" w:lineRule="atLeast"/>
              <w:ind w:right="280"/>
              <w:jc w:val="right"/>
              <w:rPr>
                <w:snapToGrid/>
                <w:sz w:val="22"/>
              </w:rPr>
            </w:pPr>
            <w:r>
              <w:rPr>
                <w:snapToGrid/>
                <w:sz w:val="22"/>
              </w:rPr>
              <w:t>3 630</w:t>
            </w:r>
          </w:p>
        </w:tc>
        <w:tc>
          <w:tcPr>
            <w:tcW w:w="1404" w:type="dxa"/>
          </w:tcPr>
          <w:p w:rsidR="00000000" w:rsidRDefault="00000000">
            <w:pPr>
              <w:tabs>
                <w:tab w:val="right" w:pos="881"/>
              </w:tabs>
              <w:spacing w:line="22" w:lineRule="atLeast"/>
              <w:ind w:right="280"/>
              <w:jc w:val="right"/>
              <w:rPr>
                <w:snapToGrid/>
                <w:sz w:val="22"/>
              </w:rPr>
            </w:pPr>
            <w:r>
              <w:rPr>
                <w:snapToGrid/>
                <w:sz w:val="22"/>
              </w:rPr>
              <w:t>0.5</w:t>
            </w:r>
          </w:p>
        </w:tc>
        <w:tc>
          <w:tcPr>
            <w:tcW w:w="1331" w:type="dxa"/>
          </w:tcPr>
          <w:p w:rsidR="00000000" w:rsidRDefault="00000000">
            <w:pPr>
              <w:tabs>
                <w:tab w:val="right" w:pos="881"/>
              </w:tabs>
              <w:spacing w:line="22" w:lineRule="atLeast"/>
              <w:ind w:right="280"/>
              <w:jc w:val="right"/>
              <w:rPr>
                <w:snapToGrid/>
                <w:sz w:val="22"/>
              </w:rPr>
            </w:pPr>
            <w:r>
              <w:rPr>
                <w:snapToGrid/>
                <w:sz w:val="22"/>
              </w:rPr>
              <w:t>0.4</w:t>
            </w:r>
          </w:p>
        </w:tc>
      </w:tr>
      <w:tr w:rsidR="00000000">
        <w:tblPrEx>
          <w:tblCellMar>
            <w:top w:w="0" w:type="dxa"/>
            <w:bottom w:w="0" w:type="dxa"/>
          </w:tblCellMar>
        </w:tblPrEx>
        <w:trPr>
          <w:cantSplit/>
        </w:trPr>
        <w:tc>
          <w:tcPr>
            <w:tcW w:w="3658" w:type="dxa"/>
          </w:tcPr>
          <w:p w:rsidR="00000000" w:rsidRDefault="00000000">
            <w:pPr>
              <w:spacing w:line="264" w:lineRule="auto"/>
              <w:ind w:firstLine="207"/>
              <w:rPr>
                <w:rFonts w:hint="eastAsia"/>
                <w:snapToGrid/>
                <w:sz w:val="22"/>
              </w:rPr>
            </w:pPr>
            <w:r>
              <w:rPr>
                <w:rFonts w:hint="eastAsia"/>
                <w:snapToGrid/>
                <w:sz w:val="22"/>
              </w:rPr>
              <w:t>运输通信</w:t>
            </w:r>
          </w:p>
        </w:tc>
        <w:tc>
          <w:tcPr>
            <w:tcW w:w="1443" w:type="dxa"/>
          </w:tcPr>
          <w:p w:rsidR="00000000" w:rsidRDefault="00000000">
            <w:pPr>
              <w:tabs>
                <w:tab w:val="right" w:pos="959"/>
              </w:tabs>
              <w:spacing w:line="264" w:lineRule="auto"/>
              <w:ind w:right="268"/>
              <w:jc w:val="right"/>
              <w:rPr>
                <w:snapToGrid/>
                <w:sz w:val="22"/>
              </w:rPr>
            </w:pPr>
            <w:r>
              <w:rPr>
                <w:snapToGrid/>
                <w:sz w:val="22"/>
              </w:rPr>
              <w:t>81 475</w:t>
            </w:r>
          </w:p>
        </w:tc>
        <w:tc>
          <w:tcPr>
            <w:tcW w:w="1482" w:type="dxa"/>
          </w:tcPr>
          <w:p w:rsidR="00000000" w:rsidRDefault="00000000">
            <w:pPr>
              <w:tabs>
                <w:tab w:val="right" w:pos="881"/>
              </w:tabs>
              <w:spacing w:line="264" w:lineRule="auto"/>
              <w:ind w:right="280"/>
              <w:jc w:val="right"/>
              <w:rPr>
                <w:snapToGrid/>
                <w:sz w:val="22"/>
              </w:rPr>
            </w:pPr>
            <w:r>
              <w:rPr>
                <w:snapToGrid/>
                <w:sz w:val="22"/>
              </w:rPr>
              <w:t>48 725</w:t>
            </w:r>
          </w:p>
        </w:tc>
        <w:tc>
          <w:tcPr>
            <w:tcW w:w="1404" w:type="dxa"/>
          </w:tcPr>
          <w:p w:rsidR="00000000" w:rsidRDefault="00000000">
            <w:pPr>
              <w:tabs>
                <w:tab w:val="right" w:pos="881"/>
              </w:tabs>
              <w:spacing w:line="264" w:lineRule="auto"/>
              <w:ind w:right="280"/>
              <w:jc w:val="right"/>
              <w:rPr>
                <w:snapToGrid/>
                <w:sz w:val="22"/>
              </w:rPr>
            </w:pPr>
            <w:r>
              <w:rPr>
                <w:snapToGrid/>
                <w:sz w:val="22"/>
              </w:rPr>
              <w:t>6.9</w:t>
            </w:r>
          </w:p>
        </w:tc>
        <w:tc>
          <w:tcPr>
            <w:tcW w:w="1331" w:type="dxa"/>
          </w:tcPr>
          <w:p w:rsidR="00000000" w:rsidRDefault="00000000">
            <w:pPr>
              <w:tabs>
                <w:tab w:val="right" w:pos="881"/>
              </w:tabs>
              <w:spacing w:line="264" w:lineRule="auto"/>
              <w:ind w:right="280"/>
              <w:jc w:val="right"/>
              <w:rPr>
                <w:snapToGrid/>
                <w:sz w:val="22"/>
              </w:rPr>
            </w:pPr>
            <w:r>
              <w:rPr>
                <w:snapToGrid/>
                <w:sz w:val="22"/>
              </w:rPr>
              <w:t>6.0</w:t>
            </w:r>
          </w:p>
        </w:tc>
      </w:tr>
      <w:tr w:rsidR="00000000">
        <w:tblPrEx>
          <w:tblCellMar>
            <w:top w:w="0" w:type="dxa"/>
            <w:bottom w:w="0" w:type="dxa"/>
          </w:tblCellMar>
        </w:tblPrEx>
        <w:trPr>
          <w:cantSplit/>
        </w:trPr>
        <w:tc>
          <w:tcPr>
            <w:tcW w:w="3658" w:type="dxa"/>
          </w:tcPr>
          <w:p w:rsidR="00000000" w:rsidRDefault="00000000">
            <w:pPr>
              <w:spacing w:line="264" w:lineRule="auto"/>
              <w:ind w:firstLine="207"/>
              <w:rPr>
                <w:rFonts w:hint="eastAsia"/>
                <w:snapToGrid/>
                <w:sz w:val="22"/>
              </w:rPr>
            </w:pPr>
            <w:r>
              <w:rPr>
                <w:rFonts w:hint="eastAsia"/>
                <w:snapToGrid/>
                <w:sz w:val="22"/>
              </w:rPr>
              <w:t>金融活动</w:t>
            </w:r>
          </w:p>
        </w:tc>
        <w:tc>
          <w:tcPr>
            <w:tcW w:w="1443" w:type="dxa"/>
          </w:tcPr>
          <w:p w:rsidR="00000000" w:rsidRDefault="00000000">
            <w:pPr>
              <w:tabs>
                <w:tab w:val="right" w:pos="959"/>
              </w:tabs>
              <w:spacing w:line="264" w:lineRule="auto"/>
              <w:ind w:right="268"/>
              <w:jc w:val="right"/>
              <w:rPr>
                <w:snapToGrid/>
                <w:sz w:val="22"/>
              </w:rPr>
            </w:pPr>
            <w:r>
              <w:rPr>
                <w:snapToGrid/>
                <w:sz w:val="22"/>
              </w:rPr>
              <w:t>9 508</w:t>
            </w:r>
          </w:p>
        </w:tc>
        <w:tc>
          <w:tcPr>
            <w:tcW w:w="1482" w:type="dxa"/>
          </w:tcPr>
          <w:p w:rsidR="00000000" w:rsidRDefault="00000000">
            <w:pPr>
              <w:tabs>
                <w:tab w:val="right" w:pos="881"/>
              </w:tabs>
              <w:spacing w:line="264" w:lineRule="auto"/>
              <w:ind w:right="280"/>
              <w:jc w:val="right"/>
              <w:rPr>
                <w:snapToGrid/>
                <w:sz w:val="22"/>
              </w:rPr>
            </w:pPr>
            <w:r>
              <w:rPr>
                <w:snapToGrid/>
                <w:sz w:val="22"/>
              </w:rPr>
              <w:t>6 883</w:t>
            </w:r>
          </w:p>
        </w:tc>
        <w:tc>
          <w:tcPr>
            <w:tcW w:w="1404" w:type="dxa"/>
          </w:tcPr>
          <w:p w:rsidR="00000000" w:rsidRDefault="00000000">
            <w:pPr>
              <w:tabs>
                <w:tab w:val="right" w:pos="881"/>
              </w:tabs>
              <w:spacing w:line="264" w:lineRule="auto"/>
              <w:ind w:right="280"/>
              <w:jc w:val="right"/>
              <w:rPr>
                <w:snapToGrid/>
                <w:sz w:val="22"/>
              </w:rPr>
            </w:pPr>
            <w:r>
              <w:rPr>
                <w:snapToGrid/>
                <w:sz w:val="22"/>
              </w:rPr>
              <w:t>0.8</w:t>
            </w:r>
          </w:p>
        </w:tc>
        <w:tc>
          <w:tcPr>
            <w:tcW w:w="1331" w:type="dxa"/>
          </w:tcPr>
          <w:p w:rsidR="00000000" w:rsidRDefault="00000000">
            <w:pPr>
              <w:tabs>
                <w:tab w:val="right" w:pos="881"/>
              </w:tabs>
              <w:spacing w:line="264" w:lineRule="auto"/>
              <w:ind w:right="280"/>
              <w:jc w:val="right"/>
              <w:rPr>
                <w:snapToGrid/>
                <w:sz w:val="22"/>
              </w:rPr>
            </w:pPr>
            <w:r>
              <w:rPr>
                <w:snapToGrid/>
                <w:sz w:val="22"/>
              </w:rPr>
              <w:t>0.8</w:t>
            </w:r>
          </w:p>
        </w:tc>
      </w:tr>
      <w:tr w:rsidR="00000000">
        <w:tblPrEx>
          <w:tblCellMar>
            <w:top w:w="0" w:type="dxa"/>
            <w:bottom w:w="0" w:type="dxa"/>
          </w:tblCellMar>
        </w:tblPrEx>
        <w:trPr>
          <w:cantSplit/>
        </w:trPr>
        <w:tc>
          <w:tcPr>
            <w:tcW w:w="3658" w:type="dxa"/>
          </w:tcPr>
          <w:p w:rsidR="00000000" w:rsidRDefault="00000000">
            <w:pPr>
              <w:spacing w:line="264" w:lineRule="auto"/>
              <w:ind w:firstLine="207"/>
              <w:rPr>
                <w:rFonts w:hint="eastAsia"/>
                <w:snapToGrid/>
                <w:sz w:val="22"/>
              </w:rPr>
            </w:pPr>
            <w:r>
              <w:rPr>
                <w:rFonts w:hint="eastAsia"/>
                <w:snapToGrid/>
                <w:sz w:val="22"/>
              </w:rPr>
              <w:t>资产转让</w:t>
            </w:r>
          </w:p>
        </w:tc>
        <w:tc>
          <w:tcPr>
            <w:tcW w:w="1443" w:type="dxa"/>
          </w:tcPr>
          <w:p w:rsidR="00000000" w:rsidRDefault="00000000">
            <w:pPr>
              <w:tabs>
                <w:tab w:val="right" w:pos="959"/>
              </w:tabs>
              <w:spacing w:line="264" w:lineRule="auto"/>
              <w:ind w:right="268"/>
              <w:jc w:val="right"/>
              <w:rPr>
                <w:snapToGrid/>
                <w:sz w:val="22"/>
              </w:rPr>
            </w:pPr>
            <w:r>
              <w:rPr>
                <w:snapToGrid/>
                <w:sz w:val="22"/>
              </w:rPr>
              <w:t>31 800</w:t>
            </w:r>
          </w:p>
        </w:tc>
        <w:tc>
          <w:tcPr>
            <w:tcW w:w="1482" w:type="dxa"/>
          </w:tcPr>
          <w:p w:rsidR="00000000" w:rsidRDefault="00000000">
            <w:pPr>
              <w:tabs>
                <w:tab w:val="right" w:pos="881"/>
              </w:tabs>
              <w:spacing w:line="264" w:lineRule="auto"/>
              <w:ind w:right="280"/>
              <w:jc w:val="right"/>
              <w:rPr>
                <w:snapToGrid/>
                <w:sz w:val="22"/>
              </w:rPr>
            </w:pPr>
            <w:r>
              <w:rPr>
                <w:snapToGrid/>
                <w:sz w:val="22"/>
              </w:rPr>
              <w:t>26 871</w:t>
            </w:r>
          </w:p>
        </w:tc>
        <w:tc>
          <w:tcPr>
            <w:tcW w:w="1404" w:type="dxa"/>
          </w:tcPr>
          <w:p w:rsidR="00000000" w:rsidRDefault="00000000">
            <w:pPr>
              <w:tabs>
                <w:tab w:val="right" w:pos="881"/>
              </w:tabs>
              <w:spacing w:line="264" w:lineRule="auto"/>
              <w:ind w:right="280"/>
              <w:jc w:val="right"/>
              <w:rPr>
                <w:snapToGrid/>
                <w:sz w:val="22"/>
              </w:rPr>
            </w:pPr>
            <w:r>
              <w:rPr>
                <w:snapToGrid/>
                <w:sz w:val="22"/>
              </w:rPr>
              <w:t>2.7</w:t>
            </w:r>
          </w:p>
        </w:tc>
        <w:tc>
          <w:tcPr>
            <w:tcW w:w="1331" w:type="dxa"/>
          </w:tcPr>
          <w:p w:rsidR="00000000" w:rsidRDefault="00000000">
            <w:pPr>
              <w:tabs>
                <w:tab w:val="right" w:pos="881"/>
              </w:tabs>
              <w:spacing w:line="264" w:lineRule="auto"/>
              <w:ind w:right="280"/>
              <w:jc w:val="right"/>
              <w:rPr>
                <w:snapToGrid/>
                <w:sz w:val="22"/>
              </w:rPr>
            </w:pPr>
            <w:r>
              <w:rPr>
                <w:snapToGrid/>
                <w:sz w:val="22"/>
              </w:rPr>
              <w:t>3.3</w:t>
            </w:r>
          </w:p>
        </w:tc>
      </w:tr>
      <w:tr w:rsidR="00000000">
        <w:tblPrEx>
          <w:tblCellMar>
            <w:top w:w="0" w:type="dxa"/>
            <w:bottom w:w="0" w:type="dxa"/>
          </w:tblCellMar>
        </w:tblPrEx>
        <w:trPr>
          <w:cantSplit/>
        </w:trPr>
        <w:tc>
          <w:tcPr>
            <w:tcW w:w="3658" w:type="dxa"/>
          </w:tcPr>
          <w:p w:rsidR="00000000" w:rsidRDefault="00000000">
            <w:pPr>
              <w:spacing w:line="264" w:lineRule="auto"/>
              <w:ind w:firstLine="207"/>
              <w:rPr>
                <w:rFonts w:hint="eastAsia"/>
                <w:snapToGrid/>
                <w:sz w:val="22"/>
              </w:rPr>
            </w:pPr>
            <w:r>
              <w:rPr>
                <w:rFonts w:hint="eastAsia"/>
                <w:snapToGrid/>
                <w:sz w:val="22"/>
              </w:rPr>
              <w:t>国家行政和保护</w:t>
            </w:r>
          </w:p>
        </w:tc>
        <w:tc>
          <w:tcPr>
            <w:tcW w:w="1443" w:type="dxa"/>
          </w:tcPr>
          <w:p w:rsidR="00000000" w:rsidRDefault="00000000">
            <w:pPr>
              <w:tabs>
                <w:tab w:val="right" w:pos="959"/>
              </w:tabs>
              <w:spacing w:line="264" w:lineRule="auto"/>
              <w:ind w:right="268"/>
              <w:jc w:val="right"/>
              <w:rPr>
                <w:snapToGrid/>
                <w:sz w:val="22"/>
              </w:rPr>
            </w:pPr>
            <w:r>
              <w:rPr>
                <w:snapToGrid/>
                <w:sz w:val="22"/>
              </w:rPr>
              <w:t>29 787</w:t>
            </w:r>
          </w:p>
        </w:tc>
        <w:tc>
          <w:tcPr>
            <w:tcW w:w="1482" w:type="dxa"/>
          </w:tcPr>
          <w:p w:rsidR="00000000" w:rsidRDefault="00000000">
            <w:pPr>
              <w:tabs>
                <w:tab w:val="right" w:pos="881"/>
              </w:tabs>
              <w:spacing w:line="264" w:lineRule="auto"/>
              <w:ind w:right="280"/>
              <w:jc w:val="right"/>
              <w:rPr>
                <w:snapToGrid/>
                <w:sz w:val="22"/>
              </w:rPr>
            </w:pPr>
            <w:r>
              <w:rPr>
                <w:snapToGrid/>
                <w:sz w:val="22"/>
              </w:rPr>
              <w:t>48 755</w:t>
            </w:r>
          </w:p>
        </w:tc>
        <w:tc>
          <w:tcPr>
            <w:tcW w:w="1404" w:type="dxa"/>
          </w:tcPr>
          <w:p w:rsidR="00000000" w:rsidRDefault="00000000">
            <w:pPr>
              <w:tabs>
                <w:tab w:val="right" w:pos="881"/>
              </w:tabs>
              <w:spacing w:line="264" w:lineRule="auto"/>
              <w:ind w:right="280"/>
              <w:jc w:val="right"/>
              <w:rPr>
                <w:snapToGrid/>
                <w:sz w:val="22"/>
              </w:rPr>
            </w:pPr>
            <w:r>
              <w:rPr>
                <w:snapToGrid/>
                <w:sz w:val="22"/>
              </w:rPr>
              <w:t>2.5</w:t>
            </w:r>
          </w:p>
        </w:tc>
        <w:tc>
          <w:tcPr>
            <w:tcW w:w="1331" w:type="dxa"/>
          </w:tcPr>
          <w:p w:rsidR="00000000" w:rsidRDefault="00000000">
            <w:pPr>
              <w:tabs>
                <w:tab w:val="right" w:pos="881"/>
              </w:tabs>
              <w:spacing w:line="264" w:lineRule="auto"/>
              <w:ind w:right="280"/>
              <w:jc w:val="right"/>
              <w:rPr>
                <w:snapToGrid/>
                <w:sz w:val="22"/>
              </w:rPr>
            </w:pPr>
            <w:r>
              <w:rPr>
                <w:snapToGrid/>
                <w:sz w:val="22"/>
              </w:rPr>
              <w:t>6.0</w:t>
            </w:r>
          </w:p>
        </w:tc>
      </w:tr>
      <w:tr w:rsidR="00000000">
        <w:tblPrEx>
          <w:tblCellMar>
            <w:top w:w="0" w:type="dxa"/>
            <w:bottom w:w="0" w:type="dxa"/>
          </w:tblCellMar>
        </w:tblPrEx>
        <w:trPr>
          <w:cantSplit/>
        </w:trPr>
        <w:tc>
          <w:tcPr>
            <w:tcW w:w="3658" w:type="dxa"/>
          </w:tcPr>
          <w:p w:rsidR="00000000" w:rsidRDefault="00000000">
            <w:pPr>
              <w:spacing w:line="264" w:lineRule="auto"/>
              <w:ind w:firstLine="207"/>
              <w:rPr>
                <w:rFonts w:hint="eastAsia"/>
                <w:snapToGrid/>
                <w:sz w:val="22"/>
              </w:rPr>
            </w:pPr>
            <w:r>
              <w:rPr>
                <w:rFonts w:hint="eastAsia"/>
                <w:snapToGrid/>
                <w:sz w:val="22"/>
              </w:rPr>
              <w:t>教</w:t>
            </w:r>
            <w:r>
              <w:rPr>
                <w:rFonts w:hint="eastAsia"/>
                <w:snapToGrid/>
                <w:sz w:val="22"/>
              </w:rPr>
              <w:t xml:space="preserve">  </w:t>
            </w:r>
            <w:r>
              <w:rPr>
                <w:rFonts w:hint="eastAsia"/>
                <w:snapToGrid/>
                <w:sz w:val="22"/>
              </w:rPr>
              <w:t>育</w:t>
            </w:r>
          </w:p>
        </w:tc>
        <w:tc>
          <w:tcPr>
            <w:tcW w:w="1443" w:type="dxa"/>
          </w:tcPr>
          <w:p w:rsidR="00000000" w:rsidRDefault="00000000">
            <w:pPr>
              <w:tabs>
                <w:tab w:val="right" w:pos="959"/>
              </w:tabs>
              <w:spacing w:line="264" w:lineRule="auto"/>
              <w:ind w:right="268"/>
              <w:jc w:val="right"/>
              <w:rPr>
                <w:snapToGrid/>
                <w:sz w:val="22"/>
              </w:rPr>
            </w:pPr>
            <w:r>
              <w:rPr>
                <w:snapToGrid/>
                <w:sz w:val="22"/>
              </w:rPr>
              <w:t>146 438</w:t>
            </w:r>
          </w:p>
        </w:tc>
        <w:tc>
          <w:tcPr>
            <w:tcW w:w="1482" w:type="dxa"/>
          </w:tcPr>
          <w:p w:rsidR="00000000" w:rsidRDefault="00000000">
            <w:pPr>
              <w:tabs>
                <w:tab w:val="right" w:pos="881"/>
              </w:tabs>
              <w:spacing w:line="264" w:lineRule="auto"/>
              <w:ind w:right="280"/>
              <w:jc w:val="right"/>
              <w:rPr>
                <w:snapToGrid/>
                <w:sz w:val="22"/>
              </w:rPr>
            </w:pPr>
            <w:r>
              <w:rPr>
                <w:snapToGrid/>
                <w:sz w:val="22"/>
              </w:rPr>
              <w:t>128 977</w:t>
            </w:r>
          </w:p>
        </w:tc>
        <w:tc>
          <w:tcPr>
            <w:tcW w:w="1404" w:type="dxa"/>
          </w:tcPr>
          <w:p w:rsidR="00000000" w:rsidRDefault="00000000">
            <w:pPr>
              <w:tabs>
                <w:tab w:val="right" w:pos="881"/>
              </w:tabs>
              <w:spacing w:line="264" w:lineRule="auto"/>
              <w:ind w:right="280"/>
              <w:jc w:val="right"/>
              <w:rPr>
                <w:snapToGrid/>
                <w:sz w:val="22"/>
              </w:rPr>
            </w:pPr>
            <w:r>
              <w:rPr>
                <w:snapToGrid/>
                <w:sz w:val="22"/>
              </w:rPr>
              <w:t>12.4</w:t>
            </w:r>
          </w:p>
        </w:tc>
        <w:tc>
          <w:tcPr>
            <w:tcW w:w="1331" w:type="dxa"/>
          </w:tcPr>
          <w:p w:rsidR="00000000" w:rsidRDefault="00000000">
            <w:pPr>
              <w:tabs>
                <w:tab w:val="right" w:pos="881"/>
              </w:tabs>
              <w:spacing w:line="264" w:lineRule="auto"/>
              <w:ind w:right="280"/>
              <w:jc w:val="right"/>
              <w:rPr>
                <w:snapToGrid/>
                <w:sz w:val="22"/>
              </w:rPr>
            </w:pPr>
            <w:r>
              <w:rPr>
                <w:snapToGrid/>
                <w:sz w:val="22"/>
              </w:rPr>
              <w:t>15.9</w:t>
            </w:r>
          </w:p>
        </w:tc>
      </w:tr>
      <w:tr w:rsidR="00000000">
        <w:tblPrEx>
          <w:tblCellMar>
            <w:top w:w="0" w:type="dxa"/>
            <w:bottom w:w="0" w:type="dxa"/>
          </w:tblCellMar>
        </w:tblPrEx>
        <w:trPr>
          <w:cantSplit/>
        </w:trPr>
        <w:tc>
          <w:tcPr>
            <w:tcW w:w="3658" w:type="dxa"/>
          </w:tcPr>
          <w:p w:rsidR="00000000" w:rsidRDefault="00000000">
            <w:pPr>
              <w:spacing w:line="264" w:lineRule="auto"/>
              <w:ind w:firstLine="207"/>
              <w:rPr>
                <w:rFonts w:hint="eastAsia"/>
                <w:snapToGrid/>
                <w:sz w:val="22"/>
              </w:rPr>
            </w:pPr>
            <w:r>
              <w:rPr>
                <w:rFonts w:hint="eastAsia"/>
                <w:snapToGrid/>
                <w:sz w:val="22"/>
              </w:rPr>
              <w:t>卫生和社会援助</w:t>
            </w:r>
          </w:p>
        </w:tc>
        <w:tc>
          <w:tcPr>
            <w:tcW w:w="1443" w:type="dxa"/>
          </w:tcPr>
          <w:p w:rsidR="00000000" w:rsidRDefault="00000000">
            <w:pPr>
              <w:tabs>
                <w:tab w:val="right" w:pos="959"/>
              </w:tabs>
              <w:spacing w:line="264" w:lineRule="auto"/>
              <w:ind w:right="268"/>
              <w:jc w:val="right"/>
              <w:rPr>
                <w:snapToGrid/>
                <w:sz w:val="22"/>
              </w:rPr>
            </w:pPr>
            <w:r>
              <w:rPr>
                <w:snapToGrid/>
                <w:sz w:val="22"/>
              </w:rPr>
              <w:t>90 635</w:t>
            </w:r>
          </w:p>
        </w:tc>
        <w:tc>
          <w:tcPr>
            <w:tcW w:w="1482" w:type="dxa"/>
          </w:tcPr>
          <w:p w:rsidR="00000000" w:rsidRDefault="00000000">
            <w:pPr>
              <w:tabs>
                <w:tab w:val="right" w:pos="881"/>
              </w:tabs>
              <w:spacing w:line="264" w:lineRule="auto"/>
              <w:ind w:right="280"/>
              <w:jc w:val="right"/>
              <w:rPr>
                <w:snapToGrid/>
                <w:sz w:val="22"/>
              </w:rPr>
            </w:pPr>
            <w:r>
              <w:rPr>
                <w:snapToGrid/>
                <w:sz w:val="22"/>
              </w:rPr>
              <w:t>73 788</w:t>
            </w:r>
          </w:p>
        </w:tc>
        <w:tc>
          <w:tcPr>
            <w:tcW w:w="1404" w:type="dxa"/>
          </w:tcPr>
          <w:p w:rsidR="00000000" w:rsidRDefault="00000000">
            <w:pPr>
              <w:tabs>
                <w:tab w:val="right" w:pos="881"/>
              </w:tabs>
              <w:spacing w:line="264" w:lineRule="auto"/>
              <w:ind w:right="280"/>
              <w:jc w:val="right"/>
              <w:rPr>
                <w:snapToGrid/>
                <w:sz w:val="22"/>
              </w:rPr>
            </w:pPr>
            <w:r>
              <w:rPr>
                <w:snapToGrid/>
                <w:sz w:val="22"/>
              </w:rPr>
              <w:t>7.6</w:t>
            </w:r>
          </w:p>
        </w:tc>
        <w:tc>
          <w:tcPr>
            <w:tcW w:w="1331" w:type="dxa"/>
          </w:tcPr>
          <w:p w:rsidR="00000000" w:rsidRDefault="00000000">
            <w:pPr>
              <w:tabs>
                <w:tab w:val="right" w:pos="881"/>
              </w:tabs>
              <w:spacing w:line="264" w:lineRule="auto"/>
              <w:ind w:right="280"/>
              <w:jc w:val="right"/>
              <w:rPr>
                <w:snapToGrid/>
                <w:sz w:val="22"/>
              </w:rPr>
            </w:pPr>
            <w:r>
              <w:rPr>
                <w:snapToGrid/>
                <w:sz w:val="22"/>
              </w:rPr>
              <w:t>9.1</w:t>
            </w:r>
          </w:p>
        </w:tc>
      </w:tr>
      <w:tr w:rsidR="00000000">
        <w:tblPrEx>
          <w:tblCellMar>
            <w:top w:w="0" w:type="dxa"/>
            <w:bottom w:w="0" w:type="dxa"/>
          </w:tblCellMar>
        </w:tblPrEx>
        <w:trPr>
          <w:cantSplit/>
        </w:trPr>
        <w:tc>
          <w:tcPr>
            <w:tcW w:w="3658" w:type="dxa"/>
          </w:tcPr>
          <w:p w:rsidR="00000000" w:rsidRDefault="00000000">
            <w:pPr>
              <w:spacing w:line="264" w:lineRule="auto"/>
              <w:ind w:firstLine="207"/>
              <w:rPr>
                <w:rFonts w:hint="eastAsia"/>
                <w:snapToGrid/>
                <w:sz w:val="22"/>
              </w:rPr>
            </w:pPr>
            <w:r>
              <w:rPr>
                <w:rFonts w:hint="eastAsia"/>
                <w:snapToGrid/>
                <w:sz w:val="22"/>
              </w:rPr>
              <w:t>其它活动和服务</w:t>
            </w:r>
          </w:p>
        </w:tc>
        <w:tc>
          <w:tcPr>
            <w:tcW w:w="1443" w:type="dxa"/>
          </w:tcPr>
          <w:p w:rsidR="00000000" w:rsidRDefault="00000000">
            <w:pPr>
              <w:tabs>
                <w:tab w:val="right" w:pos="959"/>
              </w:tabs>
              <w:spacing w:line="264" w:lineRule="auto"/>
              <w:ind w:right="268"/>
              <w:jc w:val="right"/>
              <w:rPr>
                <w:snapToGrid/>
                <w:sz w:val="22"/>
              </w:rPr>
            </w:pPr>
            <w:r>
              <w:rPr>
                <w:snapToGrid/>
                <w:sz w:val="22"/>
              </w:rPr>
              <w:t>24 195</w:t>
            </w:r>
          </w:p>
        </w:tc>
        <w:tc>
          <w:tcPr>
            <w:tcW w:w="1482" w:type="dxa"/>
          </w:tcPr>
          <w:p w:rsidR="00000000" w:rsidRDefault="00000000">
            <w:pPr>
              <w:tabs>
                <w:tab w:val="right" w:pos="881"/>
              </w:tabs>
              <w:spacing w:line="264" w:lineRule="auto"/>
              <w:ind w:right="280"/>
              <w:jc w:val="right"/>
              <w:rPr>
                <w:snapToGrid/>
                <w:sz w:val="22"/>
              </w:rPr>
            </w:pPr>
            <w:r>
              <w:rPr>
                <w:snapToGrid/>
                <w:sz w:val="22"/>
              </w:rPr>
              <w:t>18 393</w:t>
            </w:r>
          </w:p>
        </w:tc>
        <w:tc>
          <w:tcPr>
            <w:tcW w:w="1404" w:type="dxa"/>
          </w:tcPr>
          <w:p w:rsidR="00000000" w:rsidRDefault="00000000">
            <w:pPr>
              <w:tabs>
                <w:tab w:val="right" w:pos="881"/>
              </w:tabs>
              <w:spacing w:line="264" w:lineRule="auto"/>
              <w:ind w:right="280"/>
              <w:jc w:val="right"/>
              <w:rPr>
                <w:snapToGrid/>
                <w:sz w:val="22"/>
              </w:rPr>
            </w:pPr>
            <w:r>
              <w:rPr>
                <w:snapToGrid/>
                <w:sz w:val="22"/>
              </w:rPr>
              <w:t>2.0</w:t>
            </w:r>
          </w:p>
        </w:tc>
        <w:tc>
          <w:tcPr>
            <w:tcW w:w="1331" w:type="dxa"/>
          </w:tcPr>
          <w:p w:rsidR="00000000" w:rsidRDefault="00000000">
            <w:pPr>
              <w:tabs>
                <w:tab w:val="right" w:pos="881"/>
              </w:tabs>
              <w:spacing w:line="264" w:lineRule="auto"/>
              <w:ind w:right="280"/>
              <w:jc w:val="right"/>
              <w:rPr>
                <w:snapToGrid/>
                <w:sz w:val="22"/>
              </w:rPr>
            </w:pPr>
            <w:r>
              <w:rPr>
                <w:snapToGrid/>
                <w:sz w:val="22"/>
              </w:rPr>
              <w:t>2.3</w:t>
            </w:r>
          </w:p>
        </w:tc>
      </w:tr>
      <w:tr w:rsidR="00000000">
        <w:tblPrEx>
          <w:tblCellMar>
            <w:top w:w="0" w:type="dxa"/>
            <w:bottom w:w="0" w:type="dxa"/>
          </w:tblCellMar>
        </w:tblPrEx>
        <w:trPr>
          <w:cantSplit/>
        </w:trPr>
        <w:tc>
          <w:tcPr>
            <w:tcW w:w="3658" w:type="dxa"/>
          </w:tcPr>
          <w:p w:rsidR="00000000" w:rsidRDefault="00000000">
            <w:pPr>
              <w:spacing w:line="264" w:lineRule="auto"/>
              <w:ind w:firstLine="207"/>
              <w:rPr>
                <w:rFonts w:hint="eastAsia"/>
                <w:snapToGrid/>
                <w:sz w:val="22"/>
              </w:rPr>
            </w:pPr>
            <w:r>
              <w:rPr>
                <w:rFonts w:hint="eastAsia"/>
                <w:snapToGrid/>
                <w:sz w:val="22"/>
              </w:rPr>
              <w:t>娱乐、文化育体活动</w:t>
            </w:r>
          </w:p>
        </w:tc>
        <w:tc>
          <w:tcPr>
            <w:tcW w:w="1443" w:type="dxa"/>
          </w:tcPr>
          <w:p w:rsidR="00000000" w:rsidRDefault="00000000">
            <w:pPr>
              <w:tabs>
                <w:tab w:val="right" w:pos="959"/>
              </w:tabs>
              <w:spacing w:line="264" w:lineRule="auto"/>
              <w:ind w:right="268"/>
              <w:jc w:val="right"/>
              <w:rPr>
                <w:snapToGrid/>
                <w:sz w:val="22"/>
              </w:rPr>
            </w:pPr>
            <w:r>
              <w:rPr>
                <w:snapToGrid/>
                <w:sz w:val="22"/>
              </w:rPr>
              <w:t>-</w:t>
            </w:r>
          </w:p>
        </w:tc>
        <w:tc>
          <w:tcPr>
            <w:tcW w:w="1482" w:type="dxa"/>
          </w:tcPr>
          <w:p w:rsidR="00000000" w:rsidRDefault="00000000">
            <w:pPr>
              <w:tabs>
                <w:tab w:val="right" w:pos="881"/>
              </w:tabs>
              <w:spacing w:line="264" w:lineRule="auto"/>
              <w:ind w:right="280"/>
              <w:jc w:val="right"/>
              <w:rPr>
                <w:snapToGrid/>
                <w:sz w:val="22"/>
              </w:rPr>
            </w:pPr>
            <w:r>
              <w:rPr>
                <w:snapToGrid/>
                <w:sz w:val="22"/>
              </w:rPr>
              <w:t>14 364</w:t>
            </w:r>
          </w:p>
        </w:tc>
        <w:tc>
          <w:tcPr>
            <w:tcW w:w="1404" w:type="dxa"/>
          </w:tcPr>
          <w:p w:rsidR="00000000" w:rsidRDefault="00000000">
            <w:pPr>
              <w:spacing w:line="264" w:lineRule="auto"/>
              <w:rPr>
                <w:snapToGrid/>
                <w:sz w:val="22"/>
              </w:rPr>
            </w:pPr>
          </w:p>
        </w:tc>
        <w:tc>
          <w:tcPr>
            <w:tcW w:w="1331" w:type="dxa"/>
          </w:tcPr>
          <w:p w:rsidR="00000000" w:rsidRDefault="00000000">
            <w:pPr>
              <w:tabs>
                <w:tab w:val="right" w:pos="881"/>
              </w:tabs>
              <w:spacing w:line="264" w:lineRule="auto"/>
              <w:ind w:right="280"/>
              <w:jc w:val="right"/>
              <w:rPr>
                <w:snapToGrid/>
                <w:sz w:val="22"/>
              </w:rPr>
            </w:pPr>
            <w:r>
              <w:rPr>
                <w:snapToGrid/>
                <w:sz w:val="22"/>
              </w:rPr>
              <w:t>1.8</w:t>
            </w:r>
          </w:p>
        </w:tc>
      </w:tr>
    </w:tbl>
    <w:p w:rsidR="00000000" w:rsidRDefault="00000000">
      <w:pPr>
        <w:pStyle w:val="FootnoteText"/>
        <w:spacing w:before="120" w:after="320"/>
        <w:rPr>
          <w:sz w:val="22"/>
        </w:rPr>
      </w:pPr>
      <w:r>
        <w:rPr>
          <w:rFonts w:hint="eastAsia"/>
          <w:sz w:val="22"/>
          <w:u w:val="single"/>
        </w:rPr>
        <w:t>资料来源</w:t>
      </w:r>
      <w:r>
        <w:rPr>
          <w:rFonts w:hint="eastAsia"/>
          <w:sz w:val="22"/>
        </w:rPr>
        <w:t>：统计和社会学分析部门关于报酬和人员流动的季度统计报告</w:t>
      </w:r>
    </w:p>
    <w:p w:rsidR="00000000" w:rsidRDefault="00000000">
      <w:pPr>
        <w:pStyle w:val="Heading3"/>
        <w:spacing w:after="120"/>
        <w:rPr>
          <w:rFonts w:hint="eastAsia"/>
        </w:rPr>
      </w:pPr>
      <w:r>
        <w:rPr>
          <w:rFonts w:hint="eastAsia"/>
          <w:u w:val="none"/>
        </w:rPr>
        <w:t>表</w:t>
      </w:r>
      <w:r>
        <w:rPr>
          <w:u w:val="none"/>
        </w:rPr>
        <w:t>12</w:t>
      </w:r>
      <w:r>
        <w:rPr>
          <w:rFonts w:hint="eastAsia"/>
          <w:u w:val="none"/>
        </w:rPr>
        <w:t xml:space="preserve">.  </w:t>
      </w:r>
      <w:r>
        <w:t>1995</w:t>
      </w:r>
      <w:r>
        <w:t>至</w:t>
      </w:r>
      <w:r>
        <w:t>1999</w:t>
      </w:r>
      <w:r>
        <w:t>年摩尔多瓦共和国的就业结构</w:t>
      </w:r>
    </w:p>
    <w:tbl>
      <w:tblPr>
        <w:tblW w:w="9318"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775"/>
        <w:gridCol w:w="1131"/>
        <w:gridCol w:w="1131"/>
        <w:gridCol w:w="1209"/>
        <w:gridCol w:w="1053"/>
        <w:gridCol w:w="1019"/>
      </w:tblGrid>
      <w:tr w:rsidR="00000000">
        <w:tblPrEx>
          <w:tblCellMar>
            <w:top w:w="0" w:type="dxa"/>
            <w:bottom w:w="0" w:type="dxa"/>
          </w:tblCellMar>
        </w:tblPrEx>
        <w:trPr>
          <w:cantSplit/>
          <w:trHeight w:val="65"/>
        </w:trPr>
        <w:tc>
          <w:tcPr>
            <w:tcW w:w="3775" w:type="dxa"/>
            <w:tcBorders>
              <w:bottom w:val="single" w:sz="6" w:space="0" w:color="auto"/>
            </w:tcBorders>
          </w:tcPr>
          <w:p w:rsidR="00000000" w:rsidRDefault="00000000">
            <w:pPr>
              <w:spacing w:line="24" w:lineRule="atLeast"/>
              <w:rPr>
                <w:snapToGrid/>
                <w:sz w:val="22"/>
              </w:rPr>
            </w:pPr>
          </w:p>
        </w:tc>
        <w:tc>
          <w:tcPr>
            <w:tcW w:w="1131" w:type="dxa"/>
            <w:tcBorders>
              <w:bottom w:val="single" w:sz="6" w:space="0" w:color="auto"/>
            </w:tcBorders>
          </w:tcPr>
          <w:p w:rsidR="00000000" w:rsidRDefault="00000000">
            <w:pPr>
              <w:spacing w:line="24" w:lineRule="atLeast"/>
              <w:rPr>
                <w:rFonts w:hint="eastAsia"/>
                <w:snapToGrid/>
                <w:sz w:val="22"/>
              </w:rPr>
            </w:pPr>
            <w:r>
              <w:rPr>
                <w:snapToGrid/>
                <w:sz w:val="22"/>
              </w:rPr>
              <w:t>1995</w:t>
            </w:r>
            <w:r>
              <w:rPr>
                <w:rFonts w:hint="eastAsia"/>
                <w:snapToGrid/>
                <w:sz w:val="22"/>
              </w:rPr>
              <w:t>年</w:t>
            </w:r>
          </w:p>
        </w:tc>
        <w:tc>
          <w:tcPr>
            <w:tcW w:w="1131" w:type="dxa"/>
            <w:tcBorders>
              <w:bottom w:val="single" w:sz="6" w:space="0" w:color="auto"/>
            </w:tcBorders>
          </w:tcPr>
          <w:p w:rsidR="00000000" w:rsidRDefault="00000000">
            <w:pPr>
              <w:spacing w:line="24" w:lineRule="atLeast"/>
              <w:rPr>
                <w:rFonts w:hint="eastAsia"/>
                <w:snapToGrid/>
                <w:sz w:val="22"/>
              </w:rPr>
            </w:pPr>
            <w:r>
              <w:rPr>
                <w:snapToGrid/>
                <w:sz w:val="22"/>
              </w:rPr>
              <w:t>1996</w:t>
            </w:r>
            <w:r>
              <w:rPr>
                <w:rFonts w:hint="eastAsia"/>
                <w:snapToGrid/>
                <w:sz w:val="22"/>
              </w:rPr>
              <w:t>年</w:t>
            </w:r>
          </w:p>
        </w:tc>
        <w:tc>
          <w:tcPr>
            <w:tcW w:w="1209" w:type="dxa"/>
            <w:tcBorders>
              <w:bottom w:val="single" w:sz="6" w:space="0" w:color="auto"/>
            </w:tcBorders>
          </w:tcPr>
          <w:p w:rsidR="00000000" w:rsidRDefault="00000000">
            <w:pPr>
              <w:spacing w:line="24" w:lineRule="atLeast"/>
              <w:rPr>
                <w:rFonts w:hint="eastAsia"/>
                <w:snapToGrid/>
                <w:sz w:val="22"/>
              </w:rPr>
            </w:pPr>
            <w:r>
              <w:rPr>
                <w:snapToGrid/>
                <w:sz w:val="22"/>
              </w:rPr>
              <w:t>1997</w:t>
            </w:r>
            <w:r>
              <w:rPr>
                <w:rFonts w:hint="eastAsia"/>
                <w:snapToGrid/>
                <w:sz w:val="22"/>
              </w:rPr>
              <w:t>年</w:t>
            </w:r>
          </w:p>
        </w:tc>
        <w:tc>
          <w:tcPr>
            <w:tcW w:w="1053" w:type="dxa"/>
            <w:tcBorders>
              <w:bottom w:val="single" w:sz="6" w:space="0" w:color="auto"/>
            </w:tcBorders>
          </w:tcPr>
          <w:p w:rsidR="00000000" w:rsidRDefault="00000000">
            <w:pPr>
              <w:spacing w:line="24" w:lineRule="atLeast"/>
              <w:rPr>
                <w:rFonts w:hint="eastAsia"/>
                <w:snapToGrid/>
                <w:sz w:val="22"/>
              </w:rPr>
            </w:pPr>
            <w:r>
              <w:rPr>
                <w:snapToGrid/>
                <w:sz w:val="22"/>
              </w:rPr>
              <w:t>1998</w:t>
            </w:r>
            <w:r>
              <w:rPr>
                <w:rFonts w:hint="eastAsia"/>
                <w:snapToGrid/>
                <w:sz w:val="22"/>
              </w:rPr>
              <w:t>年</w:t>
            </w:r>
          </w:p>
        </w:tc>
        <w:tc>
          <w:tcPr>
            <w:tcW w:w="1019" w:type="dxa"/>
            <w:tcBorders>
              <w:bottom w:val="single" w:sz="6" w:space="0" w:color="auto"/>
            </w:tcBorders>
          </w:tcPr>
          <w:p w:rsidR="00000000" w:rsidRDefault="00000000">
            <w:pPr>
              <w:spacing w:line="24" w:lineRule="atLeast"/>
              <w:rPr>
                <w:rFonts w:hint="eastAsia"/>
                <w:snapToGrid/>
                <w:sz w:val="22"/>
              </w:rPr>
            </w:pPr>
            <w:r>
              <w:rPr>
                <w:snapToGrid/>
                <w:sz w:val="22"/>
              </w:rPr>
              <w:t>1999</w:t>
            </w:r>
            <w:r>
              <w:rPr>
                <w:rFonts w:hint="eastAsia"/>
                <w:snapToGrid/>
                <w:sz w:val="22"/>
              </w:rPr>
              <w:t>年</w:t>
            </w:r>
          </w:p>
        </w:tc>
      </w:tr>
      <w:tr w:rsidR="00000000">
        <w:tblPrEx>
          <w:tblCellMar>
            <w:top w:w="0" w:type="dxa"/>
            <w:bottom w:w="0" w:type="dxa"/>
          </w:tblCellMar>
        </w:tblPrEx>
        <w:trPr>
          <w:cantSplit/>
        </w:trPr>
        <w:tc>
          <w:tcPr>
            <w:tcW w:w="3775" w:type="dxa"/>
            <w:tcBorders>
              <w:top w:val="single" w:sz="6" w:space="0" w:color="auto"/>
              <w:bottom w:val="nil"/>
            </w:tcBorders>
          </w:tcPr>
          <w:p w:rsidR="00000000" w:rsidRDefault="00000000">
            <w:pPr>
              <w:spacing w:line="24" w:lineRule="atLeast"/>
              <w:rPr>
                <w:rFonts w:hint="eastAsia"/>
                <w:snapToGrid/>
                <w:sz w:val="22"/>
              </w:rPr>
            </w:pPr>
            <w:r>
              <w:rPr>
                <w:rFonts w:hint="eastAsia"/>
                <w:snapToGrid/>
                <w:sz w:val="22"/>
              </w:rPr>
              <w:t>总人口</w:t>
            </w:r>
            <w:r>
              <w:rPr>
                <w:snapToGrid/>
                <w:sz w:val="22"/>
              </w:rPr>
              <w:t xml:space="preserve"> (</w:t>
            </w:r>
            <w:r>
              <w:rPr>
                <w:rFonts w:hint="eastAsia"/>
                <w:snapToGrid/>
                <w:sz w:val="22"/>
              </w:rPr>
              <w:t>千人</w:t>
            </w:r>
            <w:r>
              <w:rPr>
                <w:snapToGrid/>
                <w:sz w:val="22"/>
              </w:rPr>
              <w:t>)</w:t>
            </w:r>
            <w:r>
              <w:rPr>
                <w:snapToGrid/>
                <w:sz w:val="22"/>
              </w:rPr>
              <w:br/>
            </w:r>
            <w:r>
              <w:rPr>
                <w:rFonts w:hint="eastAsia"/>
                <w:snapToGrid/>
                <w:sz w:val="22"/>
              </w:rPr>
              <w:t>其</w:t>
            </w:r>
            <w:r>
              <w:rPr>
                <w:rFonts w:hint="eastAsia"/>
                <w:snapToGrid/>
                <w:sz w:val="22"/>
              </w:rPr>
              <w:t xml:space="preserve">  </w:t>
            </w:r>
            <w:r>
              <w:rPr>
                <w:rFonts w:hint="eastAsia"/>
                <w:snapToGrid/>
                <w:sz w:val="22"/>
              </w:rPr>
              <w:t>中：</w:t>
            </w:r>
          </w:p>
        </w:tc>
        <w:tc>
          <w:tcPr>
            <w:tcW w:w="1131" w:type="dxa"/>
            <w:tcBorders>
              <w:top w:val="single" w:sz="6" w:space="0" w:color="auto"/>
              <w:bottom w:val="nil"/>
            </w:tcBorders>
          </w:tcPr>
          <w:p w:rsidR="00000000" w:rsidRDefault="00000000">
            <w:pPr>
              <w:spacing w:line="22" w:lineRule="atLeast"/>
              <w:ind w:left="-103" w:right="178"/>
              <w:jc w:val="right"/>
              <w:rPr>
                <w:snapToGrid/>
                <w:sz w:val="22"/>
              </w:rPr>
            </w:pPr>
            <w:r>
              <w:rPr>
                <w:snapToGrid/>
                <w:sz w:val="22"/>
              </w:rPr>
              <w:t>3 604</w:t>
            </w:r>
          </w:p>
        </w:tc>
        <w:tc>
          <w:tcPr>
            <w:tcW w:w="1131" w:type="dxa"/>
            <w:tcBorders>
              <w:top w:val="single" w:sz="6" w:space="0" w:color="auto"/>
              <w:bottom w:val="nil"/>
            </w:tcBorders>
          </w:tcPr>
          <w:p w:rsidR="00000000" w:rsidRDefault="00000000">
            <w:pPr>
              <w:spacing w:line="22" w:lineRule="atLeast"/>
              <w:ind w:left="-103" w:right="178"/>
              <w:jc w:val="right"/>
              <w:rPr>
                <w:snapToGrid/>
                <w:sz w:val="22"/>
              </w:rPr>
            </w:pPr>
            <w:r>
              <w:rPr>
                <w:snapToGrid/>
                <w:sz w:val="22"/>
              </w:rPr>
              <w:t>3 599</w:t>
            </w:r>
          </w:p>
        </w:tc>
        <w:tc>
          <w:tcPr>
            <w:tcW w:w="1209" w:type="dxa"/>
            <w:tcBorders>
              <w:top w:val="single" w:sz="6" w:space="0" w:color="auto"/>
              <w:bottom w:val="nil"/>
            </w:tcBorders>
          </w:tcPr>
          <w:p w:rsidR="00000000" w:rsidRDefault="00000000">
            <w:pPr>
              <w:spacing w:line="22" w:lineRule="atLeast"/>
              <w:ind w:left="-103" w:right="178"/>
              <w:jc w:val="right"/>
              <w:rPr>
                <w:snapToGrid/>
                <w:sz w:val="22"/>
              </w:rPr>
            </w:pPr>
            <w:r>
              <w:rPr>
                <w:snapToGrid/>
                <w:sz w:val="22"/>
              </w:rPr>
              <w:t>3 654</w:t>
            </w:r>
          </w:p>
        </w:tc>
        <w:tc>
          <w:tcPr>
            <w:tcW w:w="1053" w:type="dxa"/>
            <w:tcBorders>
              <w:top w:val="single" w:sz="6" w:space="0" w:color="auto"/>
              <w:bottom w:val="nil"/>
            </w:tcBorders>
          </w:tcPr>
          <w:p w:rsidR="00000000" w:rsidRDefault="00000000">
            <w:pPr>
              <w:spacing w:line="22" w:lineRule="atLeast"/>
              <w:ind w:left="-103" w:right="178"/>
              <w:jc w:val="right"/>
              <w:rPr>
                <w:snapToGrid/>
                <w:sz w:val="22"/>
              </w:rPr>
            </w:pPr>
            <w:r>
              <w:rPr>
                <w:snapToGrid/>
                <w:sz w:val="22"/>
              </w:rPr>
              <w:t>3 652</w:t>
            </w:r>
          </w:p>
        </w:tc>
        <w:tc>
          <w:tcPr>
            <w:tcW w:w="1019" w:type="dxa"/>
            <w:tcBorders>
              <w:top w:val="single" w:sz="6" w:space="0" w:color="auto"/>
              <w:bottom w:val="nil"/>
            </w:tcBorders>
          </w:tcPr>
          <w:p w:rsidR="00000000" w:rsidRDefault="00000000">
            <w:pPr>
              <w:spacing w:line="22" w:lineRule="atLeast"/>
              <w:ind w:left="-103" w:right="178"/>
              <w:jc w:val="right"/>
              <w:rPr>
                <w:snapToGrid/>
                <w:sz w:val="22"/>
              </w:rPr>
            </w:pPr>
            <w:r>
              <w:rPr>
                <w:snapToGrid/>
                <w:sz w:val="22"/>
              </w:rPr>
              <w:t>3 646</w:t>
            </w:r>
          </w:p>
        </w:tc>
      </w:tr>
      <w:tr w:rsidR="00000000">
        <w:tblPrEx>
          <w:tblCellMar>
            <w:top w:w="0" w:type="dxa"/>
            <w:bottom w:w="0" w:type="dxa"/>
          </w:tblCellMar>
        </w:tblPrEx>
        <w:trPr>
          <w:cantSplit/>
        </w:trPr>
        <w:tc>
          <w:tcPr>
            <w:tcW w:w="3775" w:type="dxa"/>
            <w:tcBorders>
              <w:top w:val="nil"/>
            </w:tcBorders>
          </w:tcPr>
          <w:p w:rsidR="00000000" w:rsidRDefault="00000000">
            <w:pPr>
              <w:spacing w:line="24" w:lineRule="atLeast"/>
              <w:ind w:firstLine="312"/>
              <w:rPr>
                <w:snapToGrid/>
                <w:sz w:val="22"/>
              </w:rPr>
            </w:pPr>
            <w:r>
              <w:rPr>
                <w:rFonts w:hint="eastAsia"/>
                <w:snapToGrid/>
                <w:sz w:val="22"/>
              </w:rPr>
              <w:t>可从事经济活动的人口</w:t>
            </w:r>
            <w:r>
              <w:rPr>
                <w:snapToGrid/>
                <w:sz w:val="22"/>
              </w:rPr>
              <w:t>(</w:t>
            </w:r>
            <w:r>
              <w:rPr>
                <w:rFonts w:hint="eastAsia"/>
                <w:snapToGrid/>
                <w:sz w:val="22"/>
              </w:rPr>
              <w:t>千人</w:t>
            </w:r>
            <w:r>
              <w:rPr>
                <w:snapToGrid/>
                <w:sz w:val="22"/>
              </w:rPr>
              <w:t>)</w:t>
            </w:r>
          </w:p>
        </w:tc>
        <w:tc>
          <w:tcPr>
            <w:tcW w:w="1131" w:type="dxa"/>
            <w:tcBorders>
              <w:top w:val="nil"/>
            </w:tcBorders>
          </w:tcPr>
          <w:p w:rsidR="00000000" w:rsidRDefault="00000000">
            <w:pPr>
              <w:spacing w:line="22" w:lineRule="atLeast"/>
              <w:ind w:left="-103" w:right="178"/>
              <w:jc w:val="right"/>
              <w:rPr>
                <w:snapToGrid/>
                <w:sz w:val="22"/>
              </w:rPr>
            </w:pPr>
            <w:r>
              <w:rPr>
                <w:snapToGrid/>
                <w:sz w:val="22"/>
              </w:rPr>
              <w:t>1 696</w:t>
            </w:r>
          </w:p>
        </w:tc>
        <w:tc>
          <w:tcPr>
            <w:tcW w:w="1131" w:type="dxa"/>
            <w:tcBorders>
              <w:top w:val="nil"/>
            </w:tcBorders>
          </w:tcPr>
          <w:p w:rsidR="00000000" w:rsidRDefault="00000000">
            <w:pPr>
              <w:spacing w:line="22" w:lineRule="atLeast"/>
              <w:ind w:left="-103" w:right="178"/>
              <w:jc w:val="right"/>
              <w:rPr>
                <w:snapToGrid/>
                <w:sz w:val="22"/>
              </w:rPr>
            </w:pPr>
            <w:r>
              <w:rPr>
                <w:snapToGrid/>
                <w:sz w:val="22"/>
              </w:rPr>
              <w:t>1 686</w:t>
            </w:r>
          </w:p>
        </w:tc>
        <w:tc>
          <w:tcPr>
            <w:tcW w:w="1209" w:type="dxa"/>
            <w:tcBorders>
              <w:top w:val="nil"/>
            </w:tcBorders>
          </w:tcPr>
          <w:p w:rsidR="00000000" w:rsidRDefault="00000000">
            <w:pPr>
              <w:spacing w:line="22" w:lineRule="atLeast"/>
              <w:ind w:left="-103" w:right="178"/>
              <w:jc w:val="right"/>
              <w:rPr>
                <w:snapToGrid/>
                <w:sz w:val="22"/>
              </w:rPr>
            </w:pPr>
            <w:r>
              <w:rPr>
                <w:snapToGrid/>
                <w:sz w:val="22"/>
              </w:rPr>
              <w:t>1 671</w:t>
            </w:r>
          </w:p>
        </w:tc>
        <w:tc>
          <w:tcPr>
            <w:tcW w:w="1053" w:type="dxa"/>
            <w:tcBorders>
              <w:top w:val="nil"/>
            </w:tcBorders>
          </w:tcPr>
          <w:p w:rsidR="00000000" w:rsidRDefault="00000000">
            <w:pPr>
              <w:spacing w:line="22" w:lineRule="atLeast"/>
              <w:ind w:left="-103" w:right="178"/>
              <w:jc w:val="right"/>
              <w:rPr>
                <w:snapToGrid/>
                <w:sz w:val="22"/>
              </w:rPr>
            </w:pPr>
            <w:r>
              <w:rPr>
                <w:snapToGrid/>
                <w:sz w:val="22"/>
              </w:rPr>
              <w:t>1 809</w:t>
            </w:r>
          </w:p>
        </w:tc>
        <w:tc>
          <w:tcPr>
            <w:tcW w:w="1019" w:type="dxa"/>
            <w:tcBorders>
              <w:top w:val="nil"/>
            </w:tcBorders>
          </w:tcPr>
          <w:p w:rsidR="00000000" w:rsidRDefault="00000000">
            <w:pPr>
              <w:spacing w:line="22" w:lineRule="atLeast"/>
              <w:ind w:left="-103" w:right="178"/>
              <w:jc w:val="right"/>
              <w:rPr>
                <w:snapToGrid/>
                <w:sz w:val="22"/>
              </w:rPr>
            </w:pPr>
            <w:r>
              <w:rPr>
                <w:snapToGrid/>
                <w:sz w:val="22"/>
              </w:rPr>
              <w:t>1 682</w:t>
            </w:r>
          </w:p>
        </w:tc>
      </w:tr>
      <w:tr w:rsidR="00000000">
        <w:tblPrEx>
          <w:tblCellMar>
            <w:top w:w="0" w:type="dxa"/>
            <w:bottom w:w="0" w:type="dxa"/>
          </w:tblCellMar>
        </w:tblPrEx>
        <w:trPr>
          <w:cantSplit/>
        </w:trPr>
        <w:tc>
          <w:tcPr>
            <w:tcW w:w="3775" w:type="dxa"/>
          </w:tcPr>
          <w:p w:rsidR="00000000" w:rsidRDefault="00000000">
            <w:pPr>
              <w:spacing w:line="24" w:lineRule="atLeast"/>
              <w:ind w:firstLine="312"/>
              <w:rPr>
                <w:snapToGrid/>
                <w:sz w:val="22"/>
              </w:rPr>
            </w:pPr>
            <w:r>
              <w:rPr>
                <w:rFonts w:hint="eastAsia"/>
                <w:snapToGrid/>
                <w:sz w:val="22"/>
              </w:rPr>
              <w:t>与总人口的比例</w:t>
            </w:r>
            <w:r>
              <w:rPr>
                <w:snapToGrid/>
                <w:sz w:val="22"/>
              </w:rPr>
              <w:t xml:space="preserve"> (%)</w:t>
            </w:r>
          </w:p>
        </w:tc>
        <w:tc>
          <w:tcPr>
            <w:tcW w:w="1131" w:type="dxa"/>
          </w:tcPr>
          <w:p w:rsidR="00000000" w:rsidRDefault="00000000">
            <w:pPr>
              <w:spacing w:line="22" w:lineRule="atLeast"/>
              <w:ind w:left="-103" w:right="178"/>
              <w:jc w:val="right"/>
              <w:rPr>
                <w:snapToGrid/>
                <w:sz w:val="22"/>
              </w:rPr>
            </w:pPr>
            <w:r>
              <w:rPr>
                <w:snapToGrid/>
                <w:sz w:val="22"/>
              </w:rPr>
              <w:t>47.1</w:t>
            </w:r>
          </w:p>
        </w:tc>
        <w:tc>
          <w:tcPr>
            <w:tcW w:w="1131" w:type="dxa"/>
          </w:tcPr>
          <w:p w:rsidR="00000000" w:rsidRDefault="00000000">
            <w:pPr>
              <w:spacing w:line="22" w:lineRule="atLeast"/>
              <w:ind w:left="-103" w:right="178"/>
              <w:jc w:val="right"/>
              <w:rPr>
                <w:snapToGrid/>
                <w:sz w:val="22"/>
              </w:rPr>
            </w:pPr>
            <w:r>
              <w:rPr>
                <w:snapToGrid/>
                <w:sz w:val="22"/>
              </w:rPr>
              <w:t>46.8</w:t>
            </w:r>
          </w:p>
        </w:tc>
        <w:tc>
          <w:tcPr>
            <w:tcW w:w="1209" w:type="dxa"/>
          </w:tcPr>
          <w:p w:rsidR="00000000" w:rsidRDefault="00000000">
            <w:pPr>
              <w:spacing w:line="22" w:lineRule="atLeast"/>
              <w:ind w:left="-103" w:right="178"/>
              <w:jc w:val="right"/>
              <w:rPr>
                <w:snapToGrid/>
                <w:sz w:val="22"/>
              </w:rPr>
            </w:pPr>
            <w:r>
              <w:rPr>
                <w:snapToGrid/>
                <w:sz w:val="22"/>
              </w:rPr>
              <w:t>45.7</w:t>
            </w:r>
          </w:p>
        </w:tc>
        <w:tc>
          <w:tcPr>
            <w:tcW w:w="1053" w:type="dxa"/>
          </w:tcPr>
          <w:p w:rsidR="00000000" w:rsidRDefault="00000000">
            <w:pPr>
              <w:spacing w:line="22" w:lineRule="atLeast"/>
              <w:ind w:left="-103" w:right="178"/>
              <w:jc w:val="right"/>
              <w:rPr>
                <w:snapToGrid/>
                <w:sz w:val="22"/>
              </w:rPr>
            </w:pPr>
            <w:r>
              <w:rPr>
                <w:snapToGrid/>
                <w:sz w:val="22"/>
              </w:rPr>
              <w:t>49.5</w:t>
            </w:r>
          </w:p>
        </w:tc>
        <w:tc>
          <w:tcPr>
            <w:tcW w:w="1019" w:type="dxa"/>
          </w:tcPr>
          <w:p w:rsidR="00000000" w:rsidRDefault="00000000">
            <w:pPr>
              <w:spacing w:line="22" w:lineRule="atLeast"/>
              <w:ind w:left="-103" w:right="178"/>
              <w:jc w:val="right"/>
              <w:rPr>
                <w:snapToGrid/>
                <w:sz w:val="22"/>
              </w:rPr>
            </w:pPr>
            <w:r>
              <w:rPr>
                <w:snapToGrid/>
                <w:sz w:val="22"/>
              </w:rPr>
              <w:t>46.1</w:t>
            </w:r>
          </w:p>
        </w:tc>
      </w:tr>
      <w:tr w:rsidR="00000000">
        <w:tblPrEx>
          <w:tblCellMar>
            <w:top w:w="0" w:type="dxa"/>
            <w:bottom w:w="0" w:type="dxa"/>
          </w:tblCellMar>
        </w:tblPrEx>
        <w:trPr>
          <w:cantSplit/>
        </w:trPr>
        <w:tc>
          <w:tcPr>
            <w:tcW w:w="3775" w:type="dxa"/>
          </w:tcPr>
          <w:p w:rsidR="00000000" w:rsidRDefault="00000000">
            <w:pPr>
              <w:spacing w:line="24" w:lineRule="atLeast"/>
              <w:ind w:firstLine="312"/>
              <w:rPr>
                <w:snapToGrid/>
                <w:sz w:val="22"/>
              </w:rPr>
            </w:pPr>
            <w:r>
              <w:rPr>
                <w:rFonts w:hint="eastAsia"/>
                <w:snapToGrid/>
                <w:sz w:val="22"/>
              </w:rPr>
              <w:t>经济中雇用的人口</w:t>
            </w:r>
            <w:r>
              <w:rPr>
                <w:rFonts w:hint="eastAsia"/>
                <w:snapToGrid/>
                <w:sz w:val="22"/>
              </w:rPr>
              <w:t>(</w:t>
            </w:r>
            <w:r>
              <w:rPr>
                <w:rFonts w:hint="eastAsia"/>
                <w:snapToGrid/>
                <w:sz w:val="22"/>
              </w:rPr>
              <w:t>千人</w:t>
            </w:r>
            <w:r>
              <w:rPr>
                <w:snapToGrid/>
                <w:sz w:val="22"/>
              </w:rPr>
              <w:t>.)</w:t>
            </w:r>
          </w:p>
        </w:tc>
        <w:tc>
          <w:tcPr>
            <w:tcW w:w="1131" w:type="dxa"/>
          </w:tcPr>
          <w:p w:rsidR="00000000" w:rsidRDefault="00000000">
            <w:pPr>
              <w:spacing w:line="22" w:lineRule="atLeast"/>
              <w:ind w:left="-103" w:right="178"/>
              <w:jc w:val="right"/>
              <w:rPr>
                <w:snapToGrid/>
                <w:sz w:val="22"/>
              </w:rPr>
            </w:pPr>
            <w:r>
              <w:rPr>
                <w:snapToGrid/>
                <w:sz w:val="22"/>
              </w:rPr>
              <w:t>1 673</w:t>
            </w:r>
          </w:p>
        </w:tc>
        <w:tc>
          <w:tcPr>
            <w:tcW w:w="1131" w:type="dxa"/>
          </w:tcPr>
          <w:p w:rsidR="00000000" w:rsidRDefault="00000000">
            <w:pPr>
              <w:spacing w:line="22" w:lineRule="atLeast"/>
              <w:ind w:left="-103" w:right="178"/>
              <w:jc w:val="right"/>
              <w:rPr>
                <w:snapToGrid/>
                <w:sz w:val="22"/>
              </w:rPr>
            </w:pPr>
            <w:r>
              <w:rPr>
                <w:snapToGrid/>
                <w:sz w:val="22"/>
              </w:rPr>
              <w:t>1 660</w:t>
            </w:r>
          </w:p>
        </w:tc>
        <w:tc>
          <w:tcPr>
            <w:tcW w:w="1209" w:type="dxa"/>
          </w:tcPr>
          <w:p w:rsidR="00000000" w:rsidRDefault="00000000">
            <w:pPr>
              <w:spacing w:line="22" w:lineRule="atLeast"/>
              <w:ind w:left="-103" w:right="178"/>
              <w:jc w:val="right"/>
              <w:rPr>
                <w:snapToGrid/>
                <w:sz w:val="22"/>
              </w:rPr>
            </w:pPr>
            <w:r>
              <w:rPr>
                <w:snapToGrid/>
                <w:sz w:val="22"/>
              </w:rPr>
              <w:t>1 646</w:t>
            </w:r>
          </w:p>
        </w:tc>
        <w:tc>
          <w:tcPr>
            <w:tcW w:w="1053" w:type="dxa"/>
          </w:tcPr>
          <w:p w:rsidR="00000000" w:rsidRDefault="00000000">
            <w:pPr>
              <w:spacing w:line="22" w:lineRule="atLeast"/>
              <w:ind w:left="-103" w:right="178"/>
              <w:jc w:val="right"/>
              <w:rPr>
                <w:snapToGrid/>
                <w:sz w:val="22"/>
              </w:rPr>
            </w:pPr>
            <w:r>
              <w:rPr>
                <w:snapToGrid/>
                <w:sz w:val="22"/>
              </w:rPr>
              <w:t>1 642</w:t>
            </w:r>
          </w:p>
        </w:tc>
        <w:tc>
          <w:tcPr>
            <w:tcW w:w="1019" w:type="dxa"/>
          </w:tcPr>
          <w:p w:rsidR="00000000" w:rsidRDefault="00000000">
            <w:pPr>
              <w:spacing w:line="22" w:lineRule="atLeast"/>
              <w:ind w:left="-103" w:right="178"/>
              <w:jc w:val="right"/>
              <w:rPr>
                <w:snapToGrid/>
                <w:sz w:val="22"/>
              </w:rPr>
            </w:pPr>
            <w:r>
              <w:rPr>
                <w:snapToGrid/>
                <w:sz w:val="22"/>
              </w:rPr>
              <w:t>1 496</w:t>
            </w:r>
          </w:p>
        </w:tc>
      </w:tr>
      <w:tr w:rsidR="00000000">
        <w:tblPrEx>
          <w:tblCellMar>
            <w:top w:w="0" w:type="dxa"/>
            <w:bottom w:w="0" w:type="dxa"/>
          </w:tblCellMar>
        </w:tblPrEx>
        <w:trPr>
          <w:cantSplit/>
        </w:trPr>
        <w:tc>
          <w:tcPr>
            <w:tcW w:w="3775" w:type="dxa"/>
          </w:tcPr>
          <w:p w:rsidR="00000000" w:rsidRDefault="00000000">
            <w:pPr>
              <w:spacing w:line="24" w:lineRule="atLeast"/>
              <w:rPr>
                <w:snapToGrid/>
                <w:sz w:val="22"/>
              </w:rPr>
            </w:pPr>
            <w:r>
              <w:rPr>
                <w:rFonts w:hint="eastAsia"/>
                <w:snapToGrid/>
                <w:sz w:val="22"/>
              </w:rPr>
              <w:t>下列各项所雇用的人员比例：</w:t>
            </w:r>
          </w:p>
        </w:tc>
        <w:tc>
          <w:tcPr>
            <w:tcW w:w="1131" w:type="dxa"/>
          </w:tcPr>
          <w:p w:rsidR="00000000" w:rsidRDefault="00000000">
            <w:pPr>
              <w:spacing w:line="22" w:lineRule="atLeast"/>
              <w:ind w:left="-103" w:right="178"/>
              <w:jc w:val="right"/>
              <w:rPr>
                <w:snapToGrid/>
                <w:sz w:val="22"/>
              </w:rPr>
            </w:pPr>
          </w:p>
        </w:tc>
        <w:tc>
          <w:tcPr>
            <w:tcW w:w="1131" w:type="dxa"/>
          </w:tcPr>
          <w:p w:rsidR="00000000" w:rsidRDefault="00000000">
            <w:pPr>
              <w:spacing w:line="22" w:lineRule="atLeast"/>
              <w:ind w:left="-103" w:right="178"/>
              <w:jc w:val="right"/>
              <w:rPr>
                <w:snapToGrid/>
                <w:sz w:val="22"/>
              </w:rPr>
            </w:pPr>
          </w:p>
        </w:tc>
        <w:tc>
          <w:tcPr>
            <w:tcW w:w="1209" w:type="dxa"/>
          </w:tcPr>
          <w:p w:rsidR="00000000" w:rsidRDefault="00000000">
            <w:pPr>
              <w:spacing w:line="22" w:lineRule="atLeast"/>
              <w:ind w:left="-103" w:right="178"/>
              <w:jc w:val="right"/>
              <w:rPr>
                <w:snapToGrid/>
                <w:sz w:val="22"/>
              </w:rPr>
            </w:pPr>
          </w:p>
        </w:tc>
        <w:tc>
          <w:tcPr>
            <w:tcW w:w="1053" w:type="dxa"/>
          </w:tcPr>
          <w:p w:rsidR="00000000" w:rsidRDefault="00000000">
            <w:pPr>
              <w:spacing w:line="22" w:lineRule="atLeast"/>
              <w:ind w:left="-103" w:right="178"/>
              <w:jc w:val="right"/>
              <w:rPr>
                <w:snapToGrid/>
                <w:sz w:val="22"/>
              </w:rPr>
            </w:pPr>
          </w:p>
        </w:tc>
        <w:tc>
          <w:tcPr>
            <w:tcW w:w="1019" w:type="dxa"/>
          </w:tcPr>
          <w:p w:rsidR="00000000" w:rsidRDefault="00000000">
            <w:pPr>
              <w:spacing w:line="22" w:lineRule="atLeast"/>
              <w:ind w:left="-103" w:right="178"/>
              <w:jc w:val="right"/>
              <w:rPr>
                <w:snapToGrid/>
                <w:sz w:val="22"/>
              </w:rPr>
            </w:pPr>
          </w:p>
        </w:tc>
      </w:tr>
      <w:tr w:rsidR="00000000">
        <w:tblPrEx>
          <w:tblCellMar>
            <w:top w:w="0" w:type="dxa"/>
            <w:bottom w:w="0" w:type="dxa"/>
          </w:tblCellMar>
        </w:tblPrEx>
        <w:trPr>
          <w:cantSplit/>
        </w:trPr>
        <w:tc>
          <w:tcPr>
            <w:tcW w:w="3775" w:type="dxa"/>
          </w:tcPr>
          <w:p w:rsidR="00000000" w:rsidRDefault="00000000">
            <w:pPr>
              <w:spacing w:line="24" w:lineRule="atLeast"/>
              <w:ind w:firstLine="312"/>
              <w:rPr>
                <w:rFonts w:hint="eastAsia"/>
                <w:snapToGrid/>
                <w:sz w:val="22"/>
              </w:rPr>
            </w:pPr>
            <w:r>
              <w:rPr>
                <w:rFonts w:hint="eastAsia"/>
                <w:snapToGrid/>
                <w:sz w:val="22"/>
              </w:rPr>
              <w:t>农</w:t>
            </w:r>
            <w:r>
              <w:rPr>
                <w:rFonts w:hint="eastAsia"/>
                <w:snapToGrid/>
                <w:sz w:val="22"/>
              </w:rPr>
              <w:t xml:space="preserve">  </w:t>
            </w:r>
            <w:r>
              <w:rPr>
                <w:rFonts w:hint="eastAsia"/>
                <w:snapToGrid/>
                <w:sz w:val="22"/>
              </w:rPr>
              <w:t>业</w:t>
            </w:r>
          </w:p>
        </w:tc>
        <w:tc>
          <w:tcPr>
            <w:tcW w:w="1131" w:type="dxa"/>
          </w:tcPr>
          <w:p w:rsidR="00000000" w:rsidRDefault="00000000">
            <w:pPr>
              <w:spacing w:line="22" w:lineRule="atLeast"/>
              <w:ind w:left="-103" w:right="178"/>
              <w:jc w:val="right"/>
              <w:rPr>
                <w:snapToGrid/>
                <w:sz w:val="22"/>
              </w:rPr>
            </w:pPr>
            <w:r>
              <w:rPr>
                <w:snapToGrid/>
                <w:sz w:val="22"/>
              </w:rPr>
              <w:t>46.1</w:t>
            </w:r>
          </w:p>
        </w:tc>
        <w:tc>
          <w:tcPr>
            <w:tcW w:w="1131" w:type="dxa"/>
          </w:tcPr>
          <w:p w:rsidR="00000000" w:rsidRDefault="00000000">
            <w:pPr>
              <w:spacing w:line="22" w:lineRule="atLeast"/>
              <w:ind w:left="-103" w:right="178"/>
              <w:jc w:val="right"/>
              <w:rPr>
                <w:snapToGrid/>
                <w:sz w:val="22"/>
              </w:rPr>
            </w:pPr>
            <w:r>
              <w:rPr>
                <w:snapToGrid/>
                <w:sz w:val="22"/>
              </w:rPr>
              <w:t>42.8</w:t>
            </w:r>
          </w:p>
        </w:tc>
        <w:tc>
          <w:tcPr>
            <w:tcW w:w="1209" w:type="dxa"/>
          </w:tcPr>
          <w:p w:rsidR="00000000" w:rsidRDefault="00000000">
            <w:pPr>
              <w:spacing w:line="22" w:lineRule="atLeast"/>
              <w:ind w:left="-103" w:right="178"/>
              <w:jc w:val="right"/>
              <w:rPr>
                <w:snapToGrid/>
                <w:sz w:val="22"/>
              </w:rPr>
            </w:pPr>
            <w:r>
              <w:rPr>
                <w:snapToGrid/>
                <w:sz w:val="22"/>
              </w:rPr>
              <w:t>41.5</w:t>
            </w:r>
          </w:p>
        </w:tc>
        <w:tc>
          <w:tcPr>
            <w:tcW w:w="1053" w:type="dxa"/>
          </w:tcPr>
          <w:p w:rsidR="00000000" w:rsidRDefault="00000000">
            <w:pPr>
              <w:spacing w:line="22" w:lineRule="atLeast"/>
              <w:ind w:left="-103" w:right="178"/>
              <w:jc w:val="right"/>
              <w:rPr>
                <w:snapToGrid/>
                <w:sz w:val="22"/>
              </w:rPr>
            </w:pPr>
            <w:r>
              <w:rPr>
                <w:snapToGrid/>
                <w:sz w:val="22"/>
              </w:rPr>
              <w:t>45.6</w:t>
            </w:r>
          </w:p>
        </w:tc>
        <w:tc>
          <w:tcPr>
            <w:tcW w:w="1019" w:type="dxa"/>
          </w:tcPr>
          <w:p w:rsidR="00000000" w:rsidRDefault="00000000">
            <w:pPr>
              <w:spacing w:line="22" w:lineRule="atLeast"/>
              <w:ind w:left="-103" w:right="178"/>
              <w:jc w:val="right"/>
              <w:rPr>
                <w:snapToGrid/>
                <w:sz w:val="22"/>
              </w:rPr>
            </w:pPr>
            <w:r>
              <w:rPr>
                <w:snapToGrid/>
                <w:sz w:val="22"/>
              </w:rPr>
              <w:t>48.8</w:t>
            </w:r>
          </w:p>
        </w:tc>
      </w:tr>
      <w:tr w:rsidR="00000000">
        <w:tblPrEx>
          <w:tblCellMar>
            <w:top w:w="0" w:type="dxa"/>
            <w:bottom w:w="0" w:type="dxa"/>
          </w:tblCellMar>
        </w:tblPrEx>
        <w:trPr>
          <w:cantSplit/>
        </w:trPr>
        <w:tc>
          <w:tcPr>
            <w:tcW w:w="3775" w:type="dxa"/>
          </w:tcPr>
          <w:p w:rsidR="00000000" w:rsidRDefault="00000000">
            <w:pPr>
              <w:spacing w:line="24" w:lineRule="atLeast"/>
              <w:ind w:firstLine="312"/>
              <w:rPr>
                <w:rFonts w:hint="eastAsia"/>
                <w:snapToGrid/>
                <w:sz w:val="22"/>
              </w:rPr>
            </w:pPr>
            <w:r>
              <w:rPr>
                <w:rFonts w:hint="eastAsia"/>
                <w:snapToGrid/>
                <w:sz w:val="22"/>
              </w:rPr>
              <w:t>工</w:t>
            </w:r>
            <w:r>
              <w:rPr>
                <w:rFonts w:hint="eastAsia"/>
                <w:snapToGrid/>
                <w:sz w:val="22"/>
              </w:rPr>
              <w:t xml:space="preserve">  </w:t>
            </w:r>
            <w:r>
              <w:rPr>
                <w:rFonts w:hint="eastAsia"/>
                <w:snapToGrid/>
                <w:sz w:val="22"/>
              </w:rPr>
              <w:t>业</w:t>
            </w:r>
          </w:p>
        </w:tc>
        <w:tc>
          <w:tcPr>
            <w:tcW w:w="1131" w:type="dxa"/>
          </w:tcPr>
          <w:p w:rsidR="00000000" w:rsidRDefault="00000000">
            <w:pPr>
              <w:spacing w:line="22" w:lineRule="atLeast"/>
              <w:ind w:left="-103" w:right="178"/>
              <w:jc w:val="right"/>
              <w:rPr>
                <w:snapToGrid/>
                <w:sz w:val="22"/>
              </w:rPr>
            </w:pPr>
            <w:r>
              <w:rPr>
                <w:snapToGrid/>
                <w:sz w:val="22"/>
              </w:rPr>
              <w:t>11.9</w:t>
            </w:r>
          </w:p>
        </w:tc>
        <w:tc>
          <w:tcPr>
            <w:tcW w:w="1131" w:type="dxa"/>
          </w:tcPr>
          <w:p w:rsidR="00000000" w:rsidRDefault="00000000">
            <w:pPr>
              <w:spacing w:line="22" w:lineRule="atLeast"/>
              <w:ind w:left="-103" w:right="178"/>
              <w:jc w:val="right"/>
              <w:rPr>
                <w:snapToGrid/>
                <w:sz w:val="22"/>
              </w:rPr>
            </w:pPr>
            <w:r>
              <w:rPr>
                <w:snapToGrid/>
                <w:sz w:val="22"/>
              </w:rPr>
              <w:t>11.7</w:t>
            </w:r>
          </w:p>
        </w:tc>
        <w:tc>
          <w:tcPr>
            <w:tcW w:w="1209" w:type="dxa"/>
          </w:tcPr>
          <w:p w:rsidR="00000000" w:rsidRDefault="00000000">
            <w:pPr>
              <w:spacing w:line="22" w:lineRule="atLeast"/>
              <w:ind w:left="-103" w:right="178"/>
              <w:jc w:val="right"/>
              <w:rPr>
                <w:snapToGrid/>
                <w:sz w:val="22"/>
              </w:rPr>
            </w:pPr>
            <w:r>
              <w:rPr>
                <w:snapToGrid/>
                <w:sz w:val="22"/>
              </w:rPr>
              <w:t>11.6</w:t>
            </w:r>
          </w:p>
        </w:tc>
        <w:tc>
          <w:tcPr>
            <w:tcW w:w="1053" w:type="dxa"/>
          </w:tcPr>
          <w:p w:rsidR="00000000" w:rsidRDefault="00000000">
            <w:pPr>
              <w:spacing w:line="22" w:lineRule="atLeast"/>
              <w:ind w:left="-103" w:right="178"/>
              <w:jc w:val="right"/>
              <w:rPr>
                <w:snapToGrid/>
                <w:sz w:val="22"/>
              </w:rPr>
            </w:pPr>
            <w:r>
              <w:rPr>
                <w:snapToGrid/>
                <w:sz w:val="22"/>
              </w:rPr>
              <w:t>11.0</w:t>
            </w:r>
          </w:p>
        </w:tc>
        <w:tc>
          <w:tcPr>
            <w:tcW w:w="1019" w:type="dxa"/>
          </w:tcPr>
          <w:p w:rsidR="00000000" w:rsidRDefault="00000000">
            <w:pPr>
              <w:spacing w:line="22" w:lineRule="atLeast"/>
              <w:ind w:left="-103" w:right="178"/>
              <w:jc w:val="right"/>
              <w:rPr>
                <w:snapToGrid/>
                <w:sz w:val="22"/>
              </w:rPr>
            </w:pPr>
            <w:r>
              <w:rPr>
                <w:snapToGrid/>
                <w:sz w:val="22"/>
              </w:rPr>
              <w:t>10.7</w:t>
            </w:r>
          </w:p>
        </w:tc>
      </w:tr>
      <w:tr w:rsidR="00000000">
        <w:tblPrEx>
          <w:tblCellMar>
            <w:top w:w="0" w:type="dxa"/>
            <w:bottom w:w="0" w:type="dxa"/>
          </w:tblCellMar>
        </w:tblPrEx>
        <w:trPr>
          <w:cantSplit/>
        </w:trPr>
        <w:tc>
          <w:tcPr>
            <w:tcW w:w="3775" w:type="dxa"/>
          </w:tcPr>
          <w:p w:rsidR="00000000" w:rsidRDefault="00000000">
            <w:pPr>
              <w:spacing w:line="24" w:lineRule="atLeast"/>
              <w:ind w:firstLine="312"/>
              <w:rPr>
                <w:rFonts w:hint="eastAsia"/>
                <w:snapToGrid/>
                <w:sz w:val="22"/>
              </w:rPr>
            </w:pPr>
            <w:r>
              <w:rPr>
                <w:rFonts w:hint="eastAsia"/>
                <w:snapToGrid/>
                <w:sz w:val="22"/>
              </w:rPr>
              <w:t>建</w:t>
            </w:r>
            <w:r>
              <w:rPr>
                <w:rFonts w:hint="eastAsia"/>
                <w:snapToGrid/>
                <w:sz w:val="22"/>
              </w:rPr>
              <w:t xml:space="preserve">  </w:t>
            </w:r>
            <w:r>
              <w:rPr>
                <w:rFonts w:hint="eastAsia"/>
                <w:snapToGrid/>
                <w:sz w:val="22"/>
              </w:rPr>
              <w:t>筑</w:t>
            </w:r>
          </w:p>
        </w:tc>
        <w:tc>
          <w:tcPr>
            <w:tcW w:w="1131" w:type="dxa"/>
          </w:tcPr>
          <w:p w:rsidR="00000000" w:rsidRDefault="00000000">
            <w:pPr>
              <w:spacing w:line="22" w:lineRule="atLeast"/>
              <w:ind w:left="-103" w:right="178"/>
              <w:jc w:val="right"/>
              <w:rPr>
                <w:snapToGrid/>
                <w:sz w:val="22"/>
              </w:rPr>
            </w:pPr>
            <w:r>
              <w:rPr>
                <w:snapToGrid/>
                <w:sz w:val="22"/>
              </w:rPr>
              <w:t>4.1</w:t>
            </w:r>
          </w:p>
        </w:tc>
        <w:tc>
          <w:tcPr>
            <w:tcW w:w="1131" w:type="dxa"/>
          </w:tcPr>
          <w:p w:rsidR="00000000" w:rsidRDefault="00000000">
            <w:pPr>
              <w:spacing w:line="22" w:lineRule="atLeast"/>
              <w:ind w:left="-103" w:right="178"/>
              <w:jc w:val="right"/>
              <w:rPr>
                <w:snapToGrid/>
                <w:sz w:val="22"/>
              </w:rPr>
            </w:pPr>
            <w:r>
              <w:rPr>
                <w:snapToGrid/>
                <w:sz w:val="22"/>
              </w:rPr>
              <w:t>3.3</w:t>
            </w:r>
          </w:p>
        </w:tc>
        <w:tc>
          <w:tcPr>
            <w:tcW w:w="1209" w:type="dxa"/>
          </w:tcPr>
          <w:p w:rsidR="00000000" w:rsidRDefault="00000000">
            <w:pPr>
              <w:spacing w:line="22" w:lineRule="atLeast"/>
              <w:ind w:left="-103" w:right="178"/>
              <w:jc w:val="right"/>
              <w:rPr>
                <w:snapToGrid/>
                <w:sz w:val="22"/>
              </w:rPr>
            </w:pPr>
            <w:r>
              <w:rPr>
                <w:snapToGrid/>
                <w:sz w:val="22"/>
              </w:rPr>
              <w:t>3.2</w:t>
            </w:r>
          </w:p>
        </w:tc>
        <w:tc>
          <w:tcPr>
            <w:tcW w:w="1053" w:type="dxa"/>
          </w:tcPr>
          <w:p w:rsidR="00000000" w:rsidRDefault="00000000">
            <w:pPr>
              <w:spacing w:line="22" w:lineRule="atLeast"/>
              <w:ind w:left="-103" w:right="178"/>
              <w:jc w:val="right"/>
              <w:rPr>
                <w:snapToGrid/>
                <w:sz w:val="22"/>
              </w:rPr>
            </w:pPr>
            <w:r>
              <w:rPr>
                <w:snapToGrid/>
                <w:sz w:val="22"/>
              </w:rPr>
              <w:t>3.5</w:t>
            </w:r>
          </w:p>
        </w:tc>
        <w:tc>
          <w:tcPr>
            <w:tcW w:w="1019" w:type="dxa"/>
          </w:tcPr>
          <w:p w:rsidR="00000000" w:rsidRDefault="00000000">
            <w:pPr>
              <w:spacing w:line="22" w:lineRule="atLeast"/>
              <w:ind w:left="-103" w:right="178"/>
              <w:jc w:val="right"/>
              <w:rPr>
                <w:snapToGrid/>
                <w:sz w:val="22"/>
              </w:rPr>
            </w:pPr>
            <w:r>
              <w:rPr>
                <w:snapToGrid/>
                <w:sz w:val="22"/>
              </w:rPr>
              <w:t>2.9</w:t>
            </w:r>
          </w:p>
        </w:tc>
      </w:tr>
      <w:tr w:rsidR="00000000">
        <w:tblPrEx>
          <w:tblCellMar>
            <w:top w:w="0" w:type="dxa"/>
            <w:bottom w:w="0" w:type="dxa"/>
          </w:tblCellMar>
        </w:tblPrEx>
        <w:trPr>
          <w:cantSplit/>
        </w:trPr>
        <w:tc>
          <w:tcPr>
            <w:tcW w:w="3775" w:type="dxa"/>
          </w:tcPr>
          <w:p w:rsidR="00000000" w:rsidRDefault="00000000">
            <w:pPr>
              <w:spacing w:line="24" w:lineRule="atLeast"/>
              <w:ind w:firstLine="312"/>
              <w:rPr>
                <w:rFonts w:hint="eastAsia"/>
                <w:snapToGrid/>
                <w:sz w:val="22"/>
              </w:rPr>
            </w:pPr>
            <w:r>
              <w:rPr>
                <w:rFonts w:hint="eastAsia"/>
                <w:snapToGrid/>
                <w:sz w:val="22"/>
              </w:rPr>
              <w:t>服</w:t>
            </w:r>
            <w:r>
              <w:rPr>
                <w:rFonts w:hint="eastAsia"/>
                <w:snapToGrid/>
                <w:sz w:val="22"/>
              </w:rPr>
              <w:t xml:space="preserve">  </w:t>
            </w:r>
            <w:r>
              <w:rPr>
                <w:rFonts w:hint="eastAsia"/>
                <w:snapToGrid/>
                <w:sz w:val="22"/>
              </w:rPr>
              <w:t>务</w:t>
            </w:r>
          </w:p>
        </w:tc>
        <w:tc>
          <w:tcPr>
            <w:tcW w:w="1131" w:type="dxa"/>
          </w:tcPr>
          <w:p w:rsidR="00000000" w:rsidRDefault="00000000">
            <w:pPr>
              <w:spacing w:line="22" w:lineRule="atLeast"/>
              <w:ind w:left="-103" w:right="178"/>
              <w:jc w:val="right"/>
              <w:rPr>
                <w:snapToGrid/>
                <w:sz w:val="22"/>
              </w:rPr>
            </w:pPr>
            <w:r>
              <w:rPr>
                <w:snapToGrid/>
                <w:sz w:val="22"/>
              </w:rPr>
              <w:t>37.9</w:t>
            </w:r>
          </w:p>
        </w:tc>
        <w:tc>
          <w:tcPr>
            <w:tcW w:w="1131" w:type="dxa"/>
          </w:tcPr>
          <w:p w:rsidR="00000000" w:rsidRDefault="00000000">
            <w:pPr>
              <w:spacing w:line="22" w:lineRule="atLeast"/>
              <w:ind w:left="-103" w:right="178"/>
              <w:jc w:val="right"/>
              <w:rPr>
                <w:snapToGrid/>
                <w:sz w:val="22"/>
              </w:rPr>
            </w:pPr>
            <w:r>
              <w:rPr>
                <w:snapToGrid/>
                <w:sz w:val="22"/>
              </w:rPr>
              <w:t>42.2</w:t>
            </w:r>
          </w:p>
        </w:tc>
        <w:tc>
          <w:tcPr>
            <w:tcW w:w="1209" w:type="dxa"/>
          </w:tcPr>
          <w:p w:rsidR="00000000" w:rsidRDefault="00000000">
            <w:pPr>
              <w:spacing w:line="22" w:lineRule="atLeast"/>
              <w:ind w:left="-103" w:right="178"/>
              <w:jc w:val="right"/>
              <w:rPr>
                <w:snapToGrid/>
                <w:sz w:val="22"/>
              </w:rPr>
            </w:pPr>
            <w:r>
              <w:rPr>
                <w:snapToGrid/>
                <w:sz w:val="22"/>
              </w:rPr>
              <w:t>43.7</w:t>
            </w:r>
          </w:p>
        </w:tc>
        <w:tc>
          <w:tcPr>
            <w:tcW w:w="1053" w:type="dxa"/>
          </w:tcPr>
          <w:p w:rsidR="00000000" w:rsidRDefault="00000000">
            <w:pPr>
              <w:spacing w:line="22" w:lineRule="atLeast"/>
              <w:ind w:left="-103" w:right="178"/>
              <w:jc w:val="right"/>
              <w:rPr>
                <w:snapToGrid/>
                <w:sz w:val="22"/>
              </w:rPr>
            </w:pPr>
            <w:r>
              <w:rPr>
                <w:snapToGrid/>
                <w:sz w:val="22"/>
              </w:rPr>
              <w:t>39.9</w:t>
            </w:r>
          </w:p>
        </w:tc>
        <w:tc>
          <w:tcPr>
            <w:tcW w:w="1019" w:type="dxa"/>
          </w:tcPr>
          <w:p w:rsidR="00000000" w:rsidRDefault="00000000">
            <w:pPr>
              <w:spacing w:line="22" w:lineRule="atLeast"/>
              <w:ind w:left="-103" w:right="178"/>
              <w:jc w:val="right"/>
              <w:rPr>
                <w:snapToGrid/>
                <w:sz w:val="22"/>
              </w:rPr>
            </w:pPr>
            <w:r>
              <w:rPr>
                <w:snapToGrid/>
                <w:sz w:val="22"/>
              </w:rPr>
              <w:t>37.6</w:t>
            </w:r>
          </w:p>
        </w:tc>
      </w:tr>
      <w:tr w:rsidR="00000000">
        <w:tblPrEx>
          <w:tblCellMar>
            <w:top w:w="0" w:type="dxa"/>
            <w:bottom w:w="0" w:type="dxa"/>
          </w:tblCellMar>
        </w:tblPrEx>
        <w:trPr>
          <w:cantSplit/>
        </w:trPr>
        <w:tc>
          <w:tcPr>
            <w:tcW w:w="3775" w:type="dxa"/>
          </w:tcPr>
          <w:p w:rsidR="00000000" w:rsidRDefault="00000000">
            <w:pPr>
              <w:spacing w:line="24" w:lineRule="atLeast"/>
              <w:rPr>
                <w:snapToGrid/>
                <w:sz w:val="22"/>
              </w:rPr>
            </w:pPr>
            <w:r>
              <w:rPr>
                <w:rFonts w:hint="eastAsia"/>
                <w:snapToGrid/>
                <w:sz w:val="22"/>
              </w:rPr>
              <w:t>该年期间在劳务交易所登记在册的失业人数</w:t>
            </w:r>
            <w:r>
              <w:rPr>
                <w:snapToGrid/>
                <w:sz w:val="22"/>
              </w:rPr>
              <w:t xml:space="preserve"> (</w:t>
            </w:r>
            <w:r>
              <w:rPr>
                <w:rFonts w:hint="eastAsia"/>
                <w:snapToGrid/>
                <w:sz w:val="22"/>
              </w:rPr>
              <w:t>千人</w:t>
            </w:r>
            <w:r>
              <w:rPr>
                <w:snapToGrid/>
                <w:sz w:val="22"/>
              </w:rPr>
              <w:t>)</w:t>
            </w:r>
          </w:p>
        </w:tc>
        <w:tc>
          <w:tcPr>
            <w:tcW w:w="1131" w:type="dxa"/>
          </w:tcPr>
          <w:p w:rsidR="00000000" w:rsidRDefault="00000000">
            <w:pPr>
              <w:spacing w:line="22" w:lineRule="atLeast"/>
              <w:ind w:left="-103" w:right="178"/>
              <w:jc w:val="right"/>
              <w:rPr>
                <w:snapToGrid/>
                <w:sz w:val="22"/>
              </w:rPr>
            </w:pPr>
            <w:r>
              <w:rPr>
                <w:snapToGrid/>
                <w:sz w:val="22"/>
              </w:rPr>
              <w:t>45.4</w:t>
            </w:r>
          </w:p>
        </w:tc>
        <w:tc>
          <w:tcPr>
            <w:tcW w:w="1131" w:type="dxa"/>
          </w:tcPr>
          <w:p w:rsidR="00000000" w:rsidRDefault="00000000">
            <w:pPr>
              <w:spacing w:line="22" w:lineRule="atLeast"/>
              <w:ind w:left="-103" w:right="178"/>
              <w:jc w:val="right"/>
              <w:rPr>
                <w:snapToGrid/>
                <w:sz w:val="22"/>
              </w:rPr>
            </w:pPr>
            <w:r>
              <w:rPr>
                <w:snapToGrid/>
                <w:sz w:val="22"/>
              </w:rPr>
              <w:t>46.3</w:t>
            </w:r>
          </w:p>
        </w:tc>
        <w:tc>
          <w:tcPr>
            <w:tcW w:w="1209" w:type="dxa"/>
          </w:tcPr>
          <w:p w:rsidR="00000000" w:rsidRDefault="00000000">
            <w:pPr>
              <w:spacing w:line="22" w:lineRule="atLeast"/>
              <w:ind w:left="-103" w:right="178"/>
              <w:jc w:val="right"/>
              <w:rPr>
                <w:snapToGrid/>
                <w:sz w:val="22"/>
              </w:rPr>
            </w:pPr>
            <w:r>
              <w:rPr>
                <w:snapToGrid/>
                <w:sz w:val="22"/>
              </w:rPr>
              <w:t>49.5</w:t>
            </w:r>
          </w:p>
        </w:tc>
        <w:tc>
          <w:tcPr>
            <w:tcW w:w="1053" w:type="dxa"/>
          </w:tcPr>
          <w:p w:rsidR="00000000" w:rsidRDefault="00000000">
            <w:pPr>
              <w:spacing w:line="22" w:lineRule="atLeast"/>
              <w:ind w:left="-103" w:right="178"/>
              <w:jc w:val="right"/>
              <w:rPr>
                <w:snapToGrid/>
                <w:sz w:val="22"/>
              </w:rPr>
            </w:pPr>
            <w:r>
              <w:rPr>
                <w:snapToGrid/>
                <w:sz w:val="22"/>
              </w:rPr>
              <w:t>63.3</w:t>
            </w:r>
          </w:p>
        </w:tc>
        <w:tc>
          <w:tcPr>
            <w:tcW w:w="1019" w:type="dxa"/>
          </w:tcPr>
          <w:p w:rsidR="00000000" w:rsidRDefault="00000000">
            <w:pPr>
              <w:spacing w:line="22" w:lineRule="atLeast"/>
              <w:ind w:left="-103" w:right="178"/>
              <w:jc w:val="right"/>
              <w:rPr>
                <w:snapToGrid/>
                <w:sz w:val="22"/>
              </w:rPr>
            </w:pPr>
            <w:r>
              <w:rPr>
                <w:snapToGrid/>
                <w:sz w:val="22"/>
              </w:rPr>
              <w:t>57.8</w:t>
            </w:r>
          </w:p>
        </w:tc>
      </w:tr>
    </w:tbl>
    <w:p w:rsidR="00000000" w:rsidRDefault="00000000">
      <w:pPr>
        <w:pStyle w:val="FootnoteText"/>
        <w:spacing w:before="120"/>
        <w:rPr>
          <w:rFonts w:hint="eastAsia"/>
          <w:sz w:val="22"/>
        </w:rPr>
      </w:pPr>
      <w:r>
        <w:rPr>
          <w:rFonts w:hint="eastAsia"/>
          <w:sz w:val="22"/>
          <w:u w:val="single"/>
        </w:rPr>
        <w:t>资料来源</w:t>
      </w:r>
      <w:r>
        <w:rPr>
          <w:rFonts w:hint="eastAsia"/>
          <w:sz w:val="22"/>
        </w:rPr>
        <w:t>：摩尔多瓦共和国统计和社会学分析部门。</w:t>
      </w:r>
    </w:p>
    <w:p w:rsidR="00000000" w:rsidRDefault="00000000">
      <w:pPr>
        <w:pStyle w:val="Heading3"/>
        <w:rPr>
          <w:rFonts w:hint="eastAsia"/>
          <w:kern w:val="0"/>
        </w:rPr>
      </w:pPr>
      <w:r>
        <w:rPr>
          <w:rFonts w:hint="eastAsia"/>
          <w:kern w:val="0"/>
        </w:rPr>
        <w:t>第</w:t>
      </w:r>
      <w:r>
        <w:rPr>
          <w:rFonts w:hint="eastAsia"/>
          <w:kern w:val="0"/>
        </w:rPr>
        <w:t xml:space="preserve"> </w:t>
      </w:r>
      <w:r>
        <w:rPr>
          <w:rFonts w:hint="eastAsia"/>
          <w:kern w:val="0"/>
        </w:rPr>
        <w:t>七</w:t>
      </w:r>
      <w:r>
        <w:rPr>
          <w:rFonts w:hint="eastAsia"/>
          <w:kern w:val="0"/>
        </w:rPr>
        <w:t xml:space="preserve"> </w:t>
      </w:r>
      <w:r>
        <w:rPr>
          <w:rFonts w:hint="eastAsia"/>
          <w:kern w:val="0"/>
        </w:rPr>
        <w:t>条</w:t>
      </w:r>
    </w:p>
    <w:p w:rsidR="00000000" w:rsidRDefault="00000000">
      <w:pPr>
        <w:rPr>
          <w:rFonts w:hint="eastAsia"/>
          <w:snapToGrid/>
        </w:rPr>
      </w:pPr>
      <w:r>
        <w:rPr>
          <w:rFonts w:hint="eastAsia"/>
          <w:snapToGrid/>
        </w:rPr>
        <w:tab/>
        <w:t>18</w:t>
      </w:r>
      <w:r>
        <w:rPr>
          <w:snapToGrid/>
        </w:rPr>
        <w:t>6</w:t>
      </w:r>
      <w:r>
        <w:rPr>
          <w:rFonts w:hint="eastAsia"/>
          <w:snapToGrid/>
        </w:rPr>
        <w:t xml:space="preserve">.  </w:t>
      </w:r>
      <w:r>
        <w:rPr>
          <w:rFonts w:hint="eastAsia"/>
          <w:snapToGrid/>
        </w:rPr>
        <w:t>摩尔多瓦共和国是劳工组织第</w:t>
      </w:r>
      <w:r>
        <w:rPr>
          <w:rFonts w:hint="eastAsia"/>
          <w:snapToGrid/>
        </w:rPr>
        <w:t>81</w:t>
      </w:r>
      <w:r>
        <w:rPr>
          <w:rFonts w:hint="eastAsia"/>
          <w:snapToGrid/>
        </w:rPr>
        <w:t>、</w:t>
      </w:r>
      <w:r>
        <w:rPr>
          <w:rFonts w:hint="eastAsia"/>
          <w:snapToGrid/>
        </w:rPr>
        <w:t>100</w:t>
      </w:r>
      <w:r>
        <w:rPr>
          <w:rFonts w:hint="eastAsia"/>
          <w:snapToGrid/>
        </w:rPr>
        <w:t>、</w:t>
      </w:r>
      <w:r>
        <w:rPr>
          <w:rFonts w:hint="eastAsia"/>
          <w:snapToGrid/>
        </w:rPr>
        <w:t>129</w:t>
      </w:r>
      <w:r>
        <w:rPr>
          <w:rFonts w:hint="eastAsia"/>
          <w:snapToGrid/>
        </w:rPr>
        <w:t>、</w:t>
      </w:r>
      <w:r>
        <w:rPr>
          <w:rFonts w:hint="eastAsia"/>
          <w:snapToGrid/>
        </w:rPr>
        <w:t>131</w:t>
      </w:r>
      <w:r>
        <w:rPr>
          <w:rFonts w:hint="eastAsia"/>
          <w:snapToGrid/>
        </w:rPr>
        <w:t>、</w:t>
      </w:r>
      <w:r>
        <w:rPr>
          <w:rFonts w:hint="eastAsia"/>
          <w:snapToGrid/>
        </w:rPr>
        <w:t>132</w:t>
      </w:r>
      <w:r>
        <w:rPr>
          <w:rFonts w:hint="eastAsia"/>
          <w:snapToGrid/>
        </w:rPr>
        <w:t>和</w:t>
      </w:r>
      <w:r>
        <w:rPr>
          <w:rFonts w:hint="eastAsia"/>
          <w:snapToGrid/>
        </w:rPr>
        <w:t>155</w:t>
      </w:r>
      <w:r>
        <w:rPr>
          <w:rFonts w:hint="eastAsia"/>
          <w:snapToGrid/>
        </w:rPr>
        <w:t>号公约的缔约国。该国于</w:t>
      </w:r>
      <w:r>
        <w:rPr>
          <w:rFonts w:hint="eastAsia"/>
          <w:snapToGrid/>
        </w:rPr>
        <w:t>2001</w:t>
      </w:r>
      <w:r>
        <w:rPr>
          <w:rFonts w:hint="eastAsia"/>
          <w:snapToGrid/>
        </w:rPr>
        <w:t>年</w:t>
      </w:r>
      <w:r>
        <w:rPr>
          <w:rFonts w:hint="eastAsia"/>
          <w:snapToGrid/>
        </w:rPr>
        <w:t>8</w:t>
      </w:r>
      <w:r>
        <w:rPr>
          <w:rFonts w:hint="eastAsia"/>
          <w:snapToGrid/>
        </w:rPr>
        <w:t>月提交了关于第</w:t>
      </w:r>
      <w:r>
        <w:rPr>
          <w:rFonts w:hint="eastAsia"/>
          <w:snapToGrid/>
        </w:rPr>
        <w:t>81</w:t>
      </w:r>
      <w:r>
        <w:rPr>
          <w:rFonts w:hint="eastAsia"/>
          <w:snapToGrid/>
        </w:rPr>
        <w:t>和第</w:t>
      </w:r>
      <w:r>
        <w:rPr>
          <w:rFonts w:hint="eastAsia"/>
          <w:snapToGrid/>
        </w:rPr>
        <w:t>132</w:t>
      </w:r>
      <w:r>
        <w:rPr>
          <w:rFonts w:hint="eastAsia"/>
          <w:snapToGrid/>
        </w:rPr>
        <w:t>号公约的报告，并于</w:t>
      </w:r>
      <w:r>
        <w:rPr>
          <w:rFonts w:hint="eastAsia"/>
          <w:snapToGrid/>
        </w:rPr>
        <w:t>1999</w:t>
      </w:r>
      <w:r>
        <w:rPr>
          <w:rFonts w:hint="eastAsia"/>
          <w:snapToGrid/>
        </w:rPr>
        <w:t>年</w:t>
      </w:r>
      <w:r>
        <w:rPr>
          <w:rFonts w:hint="eastAsia"/>
          <w:snapToGrid/>
        </w:rPr>
        <w:t>8</w:t>
      </w:r>
      <w:r>
        <w:rPr>
          <w:rFonts w:hint="eastAsia"/>
          <w:snapToGrid/>
        </w:rPr>
        <w:t>月提交了关于第</w:t>
      </w:r>
      <w:r>
        <w:rPr>
          <w:rFonts w:hint="eastAsia"/>
          <w:snapToGrid/>
        </w:rPr>
        <w:t>129</w:t>
      </w:r>
      <w:r>
        <w:rPr>
          <w:rFonts w:hint="eastAsia"/>
          <w:snapToGrid/>
        </w:rPr>
        <w:t>号公约的报告。第</w:t>
      </w:r>
      <w:r>
        <w:rPr>
          <w:rFonts w:hint="eastAsia"/>
          <w:snapToGrid/>
        </w:rPr>
        <w:t>100</w:t>
      </w:r>
      <w:r>
        <w:rPr>
          <w:rFonts w:hint="eastAsia"/>
          <w:snapToGrid/>
        </w:rPr>
        <w:t>号公约于</w:t>
      </w:r>
      <w:r>
        <w:rPr>
          <w:rFonts w:hint="eastAsia"/>
          <w:snapToGrid/>
        </w:rPr>
        <w:t>2000</w:t>
      </w:r>
      <w:r>
        <w:rPr>
          <w:rFonts w:hint="eastAsia"/>
          <w:snapToGrid/>
        </w:rPr>
        <w:t>年</w:t>
      </w:r>
      <w:r>
        <w:rPr>
          <w:rFonts w:hint="eastAsia"/>
          <w:snapToGrid/>
        </w:rPr>
        <w:t>3</w:t>
      </w:r>
      <w:r>
        <w:rPr>
          <w:rFonts w:hint="eastAsia"/>
          <w:snapToGrid/>
        </w:rPr>
        <w:t>月</w:t>
      </w:r>
      <w:r>
        <w:rPr>
          <w:rFonts w:hint="eastAsia"/>
          <w:snapToGrid/>
        </w:rPr>
        <w:t>23</w:t>
      </w:r>
      <w:r>
        <w:rPr>
          <w:rFonts w:hint="eastAsia"/>
          <w:snapToGrid/>
        </w:rPr>
        <w:t>日生效，第</w:t>
      </w:r>
      <w:r>
        <w:rPr>
          <w:rFonts w:hint="eastAsia"/>
          <w:snapToGrid/>
        </w:rPr>
        <w:t>155</w:t>
      </w:r>
      <w:r>
        <w:rPr>
          <w:rFonts w:hint="eastAsia"/>
          <w:snapToGrid/>
        </w:rPr>
        <w:t>号公约于</w:t>
      </w:r>
      <w:r>
        <w:rPr>
          <w:rFonts w:hint="eastAsia"/>
          <w:snapToGrid/>
        </w:rPr>
        <w:t>2000</w:t>
      </w:r>
      <w:r>
        <w:rPr>
          <w:rFonts w:hint="eastAsia"/>
          <w:snapToGrid/>
        </w:rPr>
        <w:t>年</w:t>
      </w:r>
      <w:r>
        <w:rPr>
          <w:rFonts w:hint="eastAsia"/>
          <w:snapToGrid/>
        </w:rPr>
        <w:t>4</w:t>
      </w:r>
      <w:r>
        <w:rPr>
          <w:rFonts w:hint="eastAsia"/>
          <w:snapToGrid/>
        </w:rPr>
        <w:t>月</w:t>
      </w:r>
      <w:r>
        <w:rPr>
          <w:rFonts w:hint="eastAsia"/>
          <w:snapToGrid/>
        </w:rPr>
        <w:t>28</w:t>
      </w:r>
      <w:r>
        <w:rPr>
          <w:rFonts w:hint="eastAsia"/>
          <w:snapToGrid/>
        </w:rPr>
        <w:t>日生效。根据《国际劳工组织章程》，不必立即在本年度内予以答复。</w:t>
      </w:r>
    </w:p>
    <w:p w:rsidR="00000000" w:rsidRDefault="00000000">
      <w:pPr>
        <w:rPr>
          <w:rFonts w:hint="eastAsia"/>
          <w:snapToGrid/>
        </w:rPr>
      </w:pPr>
      <w:r>
        <w:rPr>
          <w:rFonts w:hint="eastAsia"/>
          <w:snapToGrid/>
        </w:rPr>
        <w:tab/>
        <w:t>18</w:t>
      </w:r>
      <w:r>
        <w:rPr>
          <w:snapToGrid/>
        </w:rPr>
        <w:t>7</w:t>
      </w:r>
      <w:r>
        <w:rPr>
          <w:rFonts w:hint="eastAsia"/>
          <w:snapToGrid/>
        </w:rPr>
        <w:t xml:space="preserve">.  </w:t>
      </w:r>
      <w:r>
        <w:rPr>
          <w:rFonts w:hint="eastAsia"/>
          <w:snapToGrid/>
        </w:rPr>
        <w:t>摩尔多瓦共和国的工资制度确立于经济单位的组织形式与其活动性质之间的关系中。在私营企业中，法人和自然人之间通过集体或个人谈判来确定工资数额和支付条件。这些经济单位也可以根据雇主的财力雇佣雇佣劳动者或其代表。所有谈判结果被记入一份集体或个人雇佣合同。一个由预算资助的公共部门工人的工资根据单一的费率支付。工资水平和支付条件根据政府决定来确定，可能因部门和活动而有差异。</w:t>
      </w:r>
    </w:p>
    <w:p w:rsidR="00000000" w:rsidRDefault="00000000">
      <w:pPr>
        <w:spacing w:after="120"/>
        <w:rPr>
          <w:rFonts w:hint="eastAsia"/>
          <w:snapToGrid/>
        </w:rPr>
      </w:pPr>
      <w:r>
        <w:rPr>
          <w:rFonts w:hint="eastAsia"/>
          <w:snapToGrid/>
        </w:rPr>
        <w:tab/>
        <w:t xml:space="preserve">188.  </w:t>
      </w:r>
      <w:r>
        <w:rPr>
          <w:rFonts w:hint="eastAsia"/>
          <w:snapToGrid/>
        </w:rPr>
        <w:t>摩尔多瓦共和国的立法规定了单一的最低工资。同时，不同类别的雇员依据其工作的复杂程度获得其类别的最低报酬。国家对他们的支付情况见下表。表中的职业类别根据摩尔多瓦共和国的职务分类制度，</w:t>
      </w:r>
      <w:r>
        <w:rPr>
          <w:rFonts w:hint="eastAsia"/>
          <w:snapToGrid/>
        </w:rPr>
        <w:t>CRM006-97</w:t>
      </w:r>
      <w:r>
        <w:rPr>
          <w:rFonts w:hint="eastAsia"/>
          <w:snapToGrid/>
        </w:rPr>
        <w:t>确定。</w:t>
      </w:r>
    </w:p>
    <w:p w:rsidR="00000000" w:rsidRDefault="00000000">
      <w:pPr>
        <w:pStyle w:val="Heading3"/>
        <w:spacing w:after="120"/>
        <w:rPr>
          <w:rFonts w:hint="eastAsia"/>
          <w:kern w:val="0"/>
        </w:rPr>
      </w:pPr>
      <w:r>
        <w:rPr>
          <w:rFonts w:hint="eastAsia"/>
          <w:kern w:val="0"/>
          <w:u w:val="none"/>
        </w:rPr>
        <w:t>表</w:t>
      </w:r>
      <w:r>
        <w:rPr>
          <w:kern w:val="0"/>
          <w:u w:val="none"/>
        </w:rPr>
        <w:t xml:space="preserve"> 13.  </w:t>
      </w:r>
      <w:r>
        <w:rPr>
          <w:rFonts w:hint="eastAsia"/>
          <w:kern w:val="0"/>
        </w:rPr>
        <w:t>工资级别</w:t>
      </w:r>
    </w:p>
    <w:tbl>
      <w:tblPr>
        <w:tblW w:w="0" w:type="auto"/>
        <w:jc w:val="center"/>
        <w:tblInd w:w="155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402"/>
        <w:gridCol w:w="612"/>
        <w:gridCol w:w="2237"/>
      </w:tblGrid>
      <w:tr w:rsidR="00000000">
        <w:tblPrEx>
          <w:tblCellMar>
            <w:top w:w="0" w:type="dxa"/>
            <w:bottom w:w="0" w:type="dxa"/>
          </w:tblCellMar>
        </w:tblPrEx>
        <w:trPr>
          <w:cantSplit/>
          <w:jc w:val="center"/>
        </w:trPr>
        <w:tc>
          <w:tcPr>
            <w:tcW w:w="3402" w:type="dxa"/>
            <w:tcBorders>
              <w:right w:val="nil"/>
            </w:tcBorders>
          </w:tcPr>
          <w:p w:rsidR="00000000" w:rsidRDefault="00000000">
            <w:pPr>
              <w:pStyle w:val="a2"/>
              <w:rPr>
                <w:rFonts w:hint="eastAsia"/>
                <w:snapToGrid/>
              </w:rPr>
            </w:pPr>
            <w:r>
              <w:rPr>
                <w:rFonts w:hint="eastAsia"/>
                <w:snapToGrid/>
              </w:rPr>
              <w:t>辅助服务人员</w:t>
            </w:r>
          </w:p>
        </w:tc>
        <w:tc>
          <w:tcPr>
            <w:tcW w:w="612" w:type="dxa"/>
            <w:tcBorders>
              <w:top w:val="single" w:sz="4" w:space="0" w:color="auto"/>
              <w:left w:val="nil"/>
              <w:bottom w:val="nil"/>
            </w:tcBorders>
          </w:tcPr>
          <w:p w:rsidR="00000000" w:rsidRDefault="00000000">
            <w:pPr>
              <w:pStyle w:val="a2"/>
              <w:rPr>
                <w:snapToGrid/>
              </w:rPr>
            </w:pPr>
          </w:p>
        </w:tc>
        <w:tc>
          <w:tcPr>
            <w:tcW w:w="2237" w:type="dxa"/>
            <w:tcBorders>
              <w:top w:val="single" w:sz="4" w:space="0" w:color="auto"/>
              <w:bottom w:val="nil"/>
              <w:right w:val="single" w:sz="4" w:space="0" w:color="auto"/>
            </w:tcBorders>
          </w:tcPr>
          <w:p w:rsidR="00000000" w:rsidRDefault="00000000">
            <w:pPr>
              <w:pStyle w:val="a2"/>
              <w:jc w:val="center"/>
              <w:rPr>
                <w:snapToGrid/>
              </w:rPr>
            </w:pPr>
            <w:r>
              <w:rPr>
                <w:snapToGrid/>
              </w:rPr>
              <w:t>1.00</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rPr>
                <w:rFonts w:hint="eastAsia"/>
                <w:snapToGrid/>
              </w:rPr>
            </w:pPr>
            <w:r>
              <w:rPr>
                <w:rFonts w:hint="eastAsia"/>
                <w:snapToGrid/>
              </w:rPr>
              <w:t>工人，依据工作的复杂度：</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ind w:left="231"/>
              <w:rPr>
                <w:rFonts w:hint="eastAsia"/>
                <w:snapToGrid/>
              </w:rPr>
            </w:pPr>
            <w:r>
              <w:rPr>
                <w:rFonts w:hint="eastAsia"/>
                <w:snapToGrid/>
              </w:rPr>
              <w:t>复杂程度不高的工作</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r>
              <w:rPr>
                <w:snapToGrid/>
              </w:rPr>
              <w:t>1.00</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ind w:left="231"/>
              <w:rPr>
                <w:snapToGrid/>
              </w:rPr>
            </w:pPr>
            <w:r>
              <w:rPr>
                <w:rFonts w:hint="eastAsia"/>
                <w:snapToGrid/>
              </w:rPr>
              <w:t>简单的专业工作</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r>
              <w:rPr>
                <w:snapToGrid/>
              </w:rPr>
              <w:t>1.26</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ind w:left="231"/>
              <w:rPr>
                <w:rFonts w:hint="eastAsia"/>
                <w:snapToGrid/>
              </w:rPr>
            </w:pPr>
            <w:r>
              <w:rPr>
                <w:rFonts w:hint="eastAsia"/>
                <w:snapToGrid/>
              </w:rPr>
              <w:t>复杂的专业工作</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r>
              <w:rPr>
                <w:snapToGrid/>
              </w:rPr>
              <w:t>1.59</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ind w:left="231"/>
              <w:rPr>
                <w:rFonts w:hint="eastAsia"/>
                <w:snapToGrid/>
              </w:rPr>
            </w:pPr>
            <w:r>
              <w:rPr>
                <w:rFonts w:hint="eastAsia"/>
                <w:snapToGrid/>
              </w:rPr>
              <w:t>高度复杂的专业工作</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r>
              <w:rPr>
                <w:snapToGrid/>
              </w:rPr>
              <w:t>2.07</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rPr>
                <w:rFonts w:hint="eastAsia"/>
                <w:snapToGrid/>
              </w:rPr>
            </w:pPr>
            <w:r>
              <w:rPr>
                <w:rFonts w:hint="eastAsia"/>
                <w:snapToGrid/>
              </w:rPr>
              <w:t>办公室工作人员</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r>
              <w:rPr>
                <w:snapToGrid/>
              </w:rPr>
              <w:t>1.59</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rPr>
                <w:rFonts w:hint="eastAsia"/>
                <w:snapToGrid/>
              </w:rPr>
            </w:pPr>
            <w:r>
              <w:rPr>
                <w:rFonts w:hint="eastAsia"/>
                <w:snapToGrid/>
              </w:rPr>
              <w:t>专</w:t>
            </w:r>
            <w:r>
              <w:rPr>
                <w:rFonts w:hint="eastAsia"/>
                <w:snapToGrid/>
              </w:rPr>
              <w:t xml:space="preserve">  </w:t>
            </w:r>
            <w:r>
              <w:rPr>
                <w:rFonts w:hint="eastAsia"/>
                <w:snapToGrid/>
              </w:rPr>
              <w:t>家：</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ind w:left="231"/>
              <w:rPr>
                <w:rFonts w:hint="eastAsia"/>
                <w:snapToGrid/>
              </w:rPr>
            </w:pPr>
            <w:r>
              <w:rPr>
                <w:rFonts w:hint="eastAsia"/>
                <w:snapToGrid/>
              </w:rPr>
              <w:t>具有中等教育</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r>
              <w:rPr>
                <w:snapToGrid/>
              </w:rPr>
              <w:t>2.69</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ind w:left="231"/>
              <w:rPr>
                <w:rFonts w:hint="eastAsia"/>
                <w:snapToGrid/>
              </w:rPr>
            </w:pPr>
            <w:r>
              <w:rPr>
                <w:rFonts w:hint="eastAsia"/>
                <w:snapToGrid/>
              </w:rPr>
              <w:t>具有高等教育</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r>
              <w:rPr>
                <w:snapToGrid/>
              </w:rPr>
              <w:t>3.50</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rPr>
                <w:rFonts w:hint="eastAsia"/>
                <w:snapToGrid/>
              </w:rPr>
            </w:pPr>
            <w:r>
              <w:rPr>
                <w:rFonts w:hint="eastAsia"/>
                <w:snapToGrid/>
              </w:rPr>
              <w:t>分部的负责人</w:t>
            </w:r>
          </w:p>
        </w:tc>
        <w:tc>
          <w:tcPr>
            <w:tcW w:w="612" w:type="dxa"/>
            <w:tcBorders>
              <w:top w:val="nil"/>
              <w:left w:val="nil"/>
              <w:bottom w:val="nil"/>
            </w:tcBorders>
          </w:tcPr>
          <w:p w:rsidR="00000000" w:rsidRDefault="00000000">
            <w:pPr>
              <w:pStyle w:val="a2"/>
              <w:rPr>
                <w:snapToGrid/>
              </w:rPr>
            </w:pPr>
          </w:p>
        </w:tc>
        <w:tc>
          <w:tcPr>
            <w:tcW w:w="2237" w:type="dxa"/>
            <w:tcBorders>
              <w:top w:val="nil"/>
              <w:bottom w:val="nil"/>
              <w:right w:val="single" w:sz="4" w:space="0" w:color="auto"/>
            </w:tcBorders>
          </w:tcPr>
          <w:p w:rsidR="00000000" w:rsidRDefault="00000000">
            <w:pPr>
              <w:pStyle w:val="a2"/>
              <w:jc w:val="center"/>
              <w:rPr>
                <w:snapToGrid/>
              </w:rPr>
            </w:pPr>
            <w:r>
              <w:rPr>
                <w:snapToGrid/>
              </w:rPr>
              <w:t>3.85</w:t>
            </w:r>
          </w:p>
        </w:tc>
      </w:tr>
      <w:tr w:rsidR="00000000">
        <w:tblPrEx>
          <w:tblCellMar>
            <w:top w:w="0" w:type="dxa"/>
            <w:bottom w:w="0" w:type="dxa"/>
          </w:tblCellMar>
        </w:tblPrEx>
        <w:trPr>
          <w:cantSplit/>
          <w:jc w:val="center"/>
        </w:trPr>
        <w:tc>
          <w:tcPr>
            <w:tcW w:w="3402" w:type="dxa"/>
            <w:tcBorders>
              <w:right w:val="nil"/>
            </w:tcBorders>
          </w:tcPr>
          <w:p w:rsidR="00000000" w:rsidRDefault="00000000">
            <w:pPr>
              <w:pStyle w:val="a2"/>
              <w:rPr>
                <w:rFonts w:hint="eastAsia"/>
                <w:snapToGrid/>
              </w:rPr>
            </w:pPr>
            <w:r>
              <w:rPr>
                <w:rFonts w:hint="eastAsia"/>
                <w:snapToGrid/>
              </w:rPr>
              <w:t>领导人</w:t>
            </w:r>
          </w:p>
        </w:tc>
        <w:tc>
          <w:tcPr>
            <w:tcW w:w="612" w:type="dxa"/>
            <w:tcBorders>
              <w:top w:val="nil"/>
              <w:left w:val="nil"/>
              <w:bottom w:val="single" w:sz="4" w:space="0" w:color="auto"/>
            </w:tcBorders>
          </w:tcPr>
          <w:p w:rsidR="00000000" w:rsidRDefault="00000000">
            <w:pPr>
              <w:pStyle w:val="a2"/>
              <w:rPr>
                <w:snapToGrid/>
              </w:rPr>
            </w:pPr>
          </w:p>
        </w:tc>
        <w:tc>
          <w:tcPr>
            <w:tcW w:w="2237" w:type="dxa"/>
            <w:tcBorders>
              <w:top w:val="nil"/>
              <w:bottom w:val="single" w:sz="4" w:space="0" w:color="auto"/>
              <w:right w:val="single" w:sz="4" w:space="0" w:color="auto"/>
            </w:tcBorders>
          </w:tcPr>
          <w:p w:rsidR="00000000" w:rsidRDefault="00000000">
            <w:pPr>
              <w:pStyle w:val="a2"/>
              <w:jc w:val="center"/>
              <w:rPr>
                <w:snapToGrid/>
              </w:rPr>
            </w:pPr>
            <w:r>
              <w:rPr>
                <w:snapToGrid/>
              </w:rPr>
              <w:t>5.14</w:t>
            </w:r>
          </w:p>
        </w:tc>
      </w:tr>
    </w:tbl>
    <w:p w:rsidR="00000000" w:rsidRDefault="00000000">
      <w:pPr>
        <w:rPr>
          <w:rFonts w:hint="eastAsia"/>
          <w:snapToGrid/>
        </w:rPr>
      </w:pPr>
    </w:p>
    <w:p w:rsidR="00000000" w:rsidRDefault="00000000">
      <w:pPr>
        <w:rPr>
          <w:rFonts w:hint="eastAsia"/>
          <w:snapToGrid/>
        </w:rPr>
      </w:pPr>
      <w:r>
        <w:rPr>
          <w:rFonts w:hint="eastAsia"/>
          <w:snapToGrid/>
        </w:rPr>
        <w:tab/>
        <w:t>189.</w:t>
      </w:r>
      <w:r>
        <w:rPr>
          <w:snapToGrid/>
        </w:rPr>
        <w:t xml:space="preserve">  </w:t>
      </w:r>
      <w:r>
        <w:rPr>
          <w:rFonts w:hint="eastAsia"/>
          <w:snapToGrid/>
        </w:rPr>
        <w:t>针对第一类别的最低工资制度经由各社会伙伴们商定并通过政府决定得到合法化。各部门通过签署集体雇佣合同来合法实施该制度。因此，各部门的雇主无权以低于为此部门商定并核准的工资标准来支付雇员的报酬。例如，在加工业中，第一资格级别的最低工资为</w:t>
      </w:r>
      <w:r>
        <w:rPr>
          <w:rFonts w:hint="eastAsia"/>
          <w:snapToGrid/>
        </w:rPr>
        <w:t>115</w:t>
      </w:r>
      <w:r>
        <w:rPr>
          <w:rFonts w:hint="eastAsia"/>
          <w:snapToGrid/>
        </w:rPr>
        <w:t>列依，而在建筑业中则为</w:t>
      </w:r>
      <w:r>
        <w:rPr>
          <w:rFonts w:hint="eastAsia"/>
          <w:snapToGrid/>
        </w:rPr>
        <w:t>250</w:t>
      </w:r>
      <w:r>
        <w:rPr>
          <w:rFonts w:hint="eastAsia"/>
          <w:snapToGrid/>
        </w:rPr>
        <w:t>列依。关于工资的法律条款不在该国东部地区，即外涅斯特里亚适用。</w:t>
      </w:r>
    </w:p>
    <w:p w:rsidR="00000000" w:rsidRDefault="00000000">
      <w:pPr>
        <w:rPr>
          <w:rFonts w:hint="eastAsia"/>
          <w:snapToGrid/>
        </w:rPr>
      </w:pPr>
      <w:r>
        <w:rPr>
          <w:rFonts w:hint="eastAsia"/>
          <w:snapToGrid/>
        </w:rPr>
        <w:tab/>
      </w:r>
      <w:r>
        <w:rPr>
          <w:snapToGrid/>
        </w:rPr>
        <w:t>1</w:t>
      </w:r>
      <w:r>
        <w:rPr>
          <w:rFonts w:hint="eastAsia"/>
          <w:snapToGrid/>
        </w:rPr>
        <w:t>90.</w:t>
      </w:r>
      <w:r>
        <w:rPr>
          <w:snapToGrid/>
        </w:rPr>
        <w:t xml:space="preserve">  </w:t>
      </w:r>
      <w:r>
        <w:rPr>
          <w:rFonts w:hint="eastAsia"/>
          <w:snapToGrid/>
        </w:rPr>
        <w:t>1993</w:t>
      </w:r>
      <w:r>
        <w:rPr>
          <w:rFonts w:hint="eastAsia"/>
          <w:snapToGrid/>
        </w:rPr>
        <w:t>年</w:t>
      </w:r>
      <w:r>
        <w:rPr>
          <w:rFonts w:hint="eastAsia"/>
          <w:snapToGrid/>
        </w:rPr>
        <w:t>2</w:t>
      </w:r>
      <w:r>
        <w:rPr>
          <w:rFonts w:hint="eastAsia"/>
          <w:snapToGrid/>
        </w:rPr>
        <w:t>月</w:t>
      </w:r>
      <w:r>
        <w:rPr>
          <w:rFonts w:hint="eastAsia"/>
          <w:snapToGrid/>
        </w:rPr>
        <w:t>25</w:t>
      </w:r>
      <w:r>
        <w:rPr>
          <w:rFonts w:hint="eastAsia"/>
          <w:snapToGrid/>
        </w:rPr>
        <w:t>日第</w:t>
      </w:r>
      <w:r>
        <w:rPr>
          <w:rFonts w:hint="eastAsia"/>
          <w:snapToGrid/>
        </w:rPr>
        <w:t>1305-XII</w:t>
      </w:r>
      <w:r>
        <w:rPr>
          <w:rFonts w:hint="eastAsia"/>
          <w:snapToGrid/>
        </w:rPr>
        <w:t>号《工资法》第</w:t>
      </w:r>
      <w:r>
        <w:rPr>
          <w:rFonts w:hint="eastAsia"/>
          <w:snapToGrid/>
        </w:rPr>
        <w:t>8</w:t>
      </w:r>
      <w:r>
        <w:rPr>
          <w:rFonts w:hint="eastAsia"/>
          <w:snapToGrid/>
        </w:rPr>
        <w:t>条和《劳动法》第</w:t>
      </w:r>
      <w:r>
        <w:rPr>
          <w:rFonts w:hint="eastAsia"/>
          <w:snapToGrid/>
        </w:rPr>
        <w:t>84</w:t>
      </w:r>
      <w:r>
        <w:rPr>
          <w:rFonts w:hint="eastAsia"/>
          <w:snapToGrid/>
        </w:rPr>
        <w:t>条都规定了最低工资制度。根据这两项法案，最低工资制度必须适用于所有经济主体，对财产所有权形式不加区分，而且不得通过集体或个人雇佣合同来削减最低工资。根据《工资法》，最低工资取决于所允许支付的最低数额，以现金形式支付给从事复杂程度不高的工作或在正常条件下工作的雇员。最低工资额根据最低消费预算来确定。但是生活水平与工资之间的相互关系尚未得到确定。至于最低生活水平，也还没有一个法律基础。因此只能通过考虑具体的经济条件来决定最低工资额。该数额必须依据生产率的增长、生活费用、平均工资、当前经济状况中劳动力的变化以及其他社会经济条件予以重新考虑。不幸的是，由于最低工资被宣布为一种社会标准，并总是被用来确定各种不同的社会付款额</w:t>
      </w:r>
      <w:r>
        <w:rPr>
          <w:rFonts w:hint="eastAsia"/>
          <w:snapToGrid/>
        </w:rPr>
        <w:t>(</w:t>
      </w:r>
      <w:r>
        <w:rPr>
          <w:rFonts w:hint="eastAsia"/>
          <w:snapToGrid/>
        </w:rPr>
        <w:t>养恤金、奖学金、年金、社会补助金等</w:t>
      </w:r>
      <w:r>
        <w:rPr>
          <w:rFonts w:hint="eastAsia"/>
          <w:snapToGrid/>
        </w:rPr>
        <w:t>)</w:t>
      </w:r>
      <w:r>
        <w:rPr>
          <w:rFonts w:hint="eastAsia"/>
          <w:snapToGrid/>
        </w:rPr>
        <w:t>以及各种国家费用、税款、关税、罚金和不属于劳动结果的其他类型的付款，所以在过去六年里，该机制不曾运作。</w:t>
      </w:r>
    </w:p>
    <w:p w:rsidR="00000000" w:rsidRDefault="00000000">
      <w:pPr>
        <w:spacing w:after="320"/>
        <w:rPr>
          <w:rFonts w:hint="eastAsia"/>
          <w:snapToGrid/>
        </w:rPr>
      </w:pPr>
      <w:r>
        <w:rPr>
          <w:rFonts w:hint="eastAsia"/>
          <w:snapToGrid/>
        </w:rPr>
        <w:tab/>
        <w:t>191.</w:t>
      </w:r>
      <w:r>
        <w:rPr>
          <w:snapToGrid/>
        </w:rPr>
        <w:t xml:space="preserve">  </w:t>
      </w:r>
      <w:r>
        <w:rPr>
          <w:rFonts w:hint="eastAsia"/>
          <w:snapToGrid/>
        </w:rPr>
        <w:t>政府已向议会提交了一份关于确定和重新审查最低工资的方法的草案，该草案将能够重新确立最低工资的经济职能。根据该草案，最低工资将只是国家为雇员提供的最低保障。</w:t>
      </w:r>
    </w:p>
    <w:p w:rsidR="00000000" w:rsidRDefault="00000000">
      <w:pPr>
        <w:pStyle w:val="Heading3"/>
        <w:rPr>
          <w:rFonts w:hint="eastAsia"/>
          <w:kern w:val="0"/>
        </w:rPr>
      </w:pPr>
      <w:r>
        <w:rPr>
          <w:rFonts w:hint="eastAsia"/>
          <w:kern w:val="0"/>
          <w:u w:val="none"/>
        </w:rPr>
        <w:t>表</w:t>
      </w:r>
      <w:r>
        <w:rPr>
          <w:kern w:val="0"/>
          <w:u w:val="none"/>
        </w:rPr>
        <w:t xml:space="preserve"> 14.  </w:t>
      </w:r>
      <w:r>
        <w:rPr>
          <w:rFonts w:hint="eastAsia"/>
          <w:kern w:val="0"/>
        </w:rPr>
        <w:t>对照最低消费预算列出的最低工资演化情况数据</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50"/>
        <w:gridCol w:w="840"/>
        <w:gridCol w:w="840"/>
        <w:gridCol w:w="799"/>
        <w:gridCol w:w="932"/>
        <w:gridCol w:w="931"/>
        <w:gridCol w:w="932"/>
        <w:gridCol w:w="932"/>
      </w:tblGrid>
      <w:tr w:rsidR="00000000">
        <w:tblPrEx>
          <w:tblCellMar>
            <w:top w:w="0" w:type="dxa"/>
            <w:bottom w:w="0" w:type="dxa"/>
          </w:tblCellMar>
        </w:tblPrEx>
        <w:trPr>
          <w:cantSplit/>
        </w:trPr>
        <w:tc>
          <w:tcPr>
            <w:tcW w:w="3150" w:type="dxa"/>
            <w:tcBorders>
              <w:bottom w:val="single" w:sz="6" w:space="0" w:color="auto"/>
            </w:tcBorders>
          </w:tcPr>
          <w:p w:rsidR="00000000" w:rsidRDefault="00000000">
            <w:pPr>
              <w:rPr>
                <w:snapToGrid/>
              </w:rPr>
            </w:pPr>
          </w:p>
        </w:tc>
        <w:tc>
          <w:tcPr>
            <w:tcW w:w="840" w:type="dxa"/>
            <w:tcBorders>
              <w:bottom w:val="single" w:sz="6" w:space="0" w:color="auto"/>
            </w:tcBorders>
          </w:tcPr>
          <w:p w:rsidR="00000000" w:rsidRDefault="00000000">
            <w:pPr>
              <w:jc w:val="center"/>
              <w:rPr>
                <w:snapToGrid/>
              </w:rPr>
            </w:pPr>
            <w:r>
              <w:rPr>
                <w:snapToGrid/>
              </w:rPr>
              <w:t>1992</w:t>
            </w:r>
          </w:p>
        </w:tc>
        <w:tc>
          <w:tcPr>
            <w:tcW w:w="840" w:type="dxa"/>
            <w:tcBorders>
              <w:bottom w:val="single" w:sz="6" w:space="0" w:color="auto"/>
            </w:tcBorders>
          </w:tcPr>
          <w:p w:rsidR="00000000" w:rsidRDefault="00000000">
            <w:pPr>
              <w:jc w:val="center"/>
              <w:rPr>
                <w:snapToGrid/>
              </w:rPr>
            </w:pPr>
            <w:r>
              <w:rPr>
                <w:snapToGrid/>
              </w:rPr>
              <w:t>1993</w:t>
            </w:r>
          </w:p>
        </w:tc>
        <w:tc>
          <w:tcPr>
            <w:tcW w:w="799" w:type="dxa"/>
            <w:tcBorders>
              <w:bottom w:val="single" w:sz="6" w:space="0" w:color="auto"/>
            </w:tcBorders>
          </w:tcPr>
          <w:p w:rsidR="00000000" w:rsidRDefault="00000000">
            <w:pPr>
              <w:jc w:val="center"/>
              <w:rPr>
                <w:snapToGrid/>
              </w:rPr>
            </w:pPr>
            <w:r>
              <w:rPr>
                <w:snapToGrid/>
              </w:rPr>
              <w:t>1994</w:t>
            </w:r>
          </w:p>
        </w:tc>
        <w:tc>
          <w:tcPr>
            <w:tcW w:w="932" w:type="dxa"/>
            <w:tcBorders>
              <w:bottom w:val="single" w:sz="6" w:space="0" w:color="auto"/>
            </w:tcBorders>
          </w:tcPr>
          <w:p w:rsidR="00000000" w:rsidRDefault="00000000">
            <w:pPr>
              <w:jc w:val="center"/>
              <w:rPr>
                <w:snapToGrid/>
              </w:rPr>
            </w:pPr>
            <w:r>
              <w:rPr>
                <w:snapToGrid/>
              </w:rPr>
              <w:t>1995</w:t>
            </w:r>
          </w:p>
        </w:tc>
        <w:tc>
          <w:tcPr>
            <w:tcW w:w="931" w:type="dxa"/>
            <w:tcBorders>
              <w:bottom w:val="single" w:sz="6" w:space="0" w:color="auto"/>
            </w:tcBorders>
          </w:tcPr>
          <w:p w:rsidR="00000000" w:rsidRDefault="00000000">
            <w:pPr>
              <w:jc w:val="center"/>
              <w:rPr>
                <w:snapToGrid/>
              </w:rPr>
            </w:pPr>
            <w:r>
              <w:rPr>
                <w:snapToGrid/>
              </w:rPr>
              <w:t>1998</w:t>
            </w:r>
          </w:p>
        </w:tc>
        <w:tc>
          <w:tcPr>
            <w:tcW w:w="932" w:type="dxa"/>
            <w:tcBorders>
              <w:bottom w:val="single" w:sz="6" w:space="0" w:color="auto"/>
            </w:tcBorders>
          </w:tcPr>
          <w:p w:rsidR="00000000" w:rsidRDefault="00000000">
            <w:pPr>
              <w:jc w:val="center"/>
              <w:rPr>
                <w:snapToGrid/>
              </w:rPr>
            </w:pPr>
            <w:r>
              <w:rPr>
                <w:snapToGrid/>
              </w:rPr>
              <w:t>1999</w:t>
            </w:r>
          </w:p>
        </w:tc>
        <w:tc>
          <w:tcPr>
            <w:tcW w:w="932" w:type="dxa"/>
            <w:tcBorders>
              <w:bottom w:val="single" w:sz="6" w:space="0" w:color="auto"/>
            </w:tcBorders>
          </w:tcPr>
          <w:p w:rsidR="00000000" w:rsidRDefault="00000000">
            <w:pPr>
              <w:jc w:val="center"/>
              <w:rPr>
                <w:snapToGrid/>
              </w:rPr>
            </w:pPr>
            <w:r>
              <w:rPr>
                <w:snapToGrid/>
              </w:rPr>
              <w:t>2000</w:t>
            </w:r>
          </w:p>
        </w:tc>
      </w:tr>
      <w:tr w:rsidR="00000000">
        <w:tblPrEx>
          <w:tblCellMar>
            <w:top w:w="0" w:type="dxa"/>
            <w:bottom w:w="0" w:type="dxa"/>
          </w:tblCellMar>
        </w:tblPrEx>
        <w:trPr>
          <w:cantSplit/>
        </w:trPr>
        <w:tc>
          <w:tcPr>
            <w:tcW w:w="3150" w:type="dxa"/>
            <w:tcBorders>
              <w:bottom w:val="nil"/>
            </w:tcBorders>
          </w:tcPr>
          <w:p w:rsidR="00000000" w:rsidRDefault="00000000">
            <w:pPr>
              <w:pStyle w:val="a2"/>
              <w:rPr>
                <w:snapToGrid/>
              </w:rPr>
            </w:pPr>
            <w:r>
              <w:rPr>
                <w:rFonts w:hint="eastAsia"/>
                <w:snapToGrid/>
              </w:rPr>
              <w:t>最低工资</w:t>
            </w:r>
            <w:r>
              <w:rPr>
                <w:snapToGrid/>
              </w:rPr>
              <w:t>(</w:t>
            </w:r>
            <w:r>
              <w:rPr>
                <w:rFonts w:hint="eastAsia"/>
                <w:snapToGrid/>
              </w:rPr>
              <w:t>列依</w:t>
            </w:r>
            <w:r>
              <w:rPr>
                <w:snapToGrid/>
              </w:rPr>
              <w:t>)</w:t>
            </w:r>
          </w:p>
        </w:tc>
        <w:tc>
          <w:tcPr>
            <w:tcW w:w="840" w:type="dxa"/>
            <w:tcBorders>
              <w:bottom w:val="nil"/>
            </w:tcBorders>
          </w:tcPr>
          <w:p w:rsidR="00000000" w:rsidRDefault="00000000">
            <w:pPr>
              <w:pStyle w:val="a2"/>
              <w:jc w:val="center"/>
              <w:rPr>
                <w:snapToGrid/>
              </w:rPr>
            </w:pPr>
            <w:r>
              <w:rPr>
                <w:snapToGrid/>
              </w:rPr>
              <w:t>1.7</w:t>
            </w:r>
          </w:p>
        </w:tc>
        <w:tc>
          <w:tcPr>
            <w:tcW w:w="840" w:type="dxa"/>
            <w:tcBorders>
              <w:bottom w:val="nil"/>
            </w:tcBorders>
          </w:tcPr>
          <w:p w:rsidR="00000000" w:rsidRDefault="00000000">
            <w:pPr>
              <w:pStyle w:val="a2"/>
              <w:jc w:val="center"/>
              <w:rPr>
                <w:snapToGrid/>
              </w:rPr>
            </w:pPr>
            <w:r>
              <w:rPr>
                <w:snapToGrid/>
              </w:rPr>
              <w:t>10.0</w:t>
            </w:r>
          </w:p>
        </w:tc>
        <w:tc>
          <w:tcPr>
            <w:tcW w:w="799" w:type="dxa"/>
            <w:tcBorders>
              <w:bottom w:val="nil"/>
            </w:tcBorders>
          </w:tcPr>
          <w:p w:rsidR="00000000" w:rsidRDefault="00000000">
            <w:pPr>
              <w:pStyle w:val="a2"/>
              <w:jc w:val="center"/>
              <w:rPr>
                <w:snapToGrid/>
              </w:rPr>
            </w:pPr>
            <w:r>
              <w:rPr>
                <w:snapToGrid/>
              </w:rPr>
              <w:t>18.0</w:t>
            </w:r>
          </w:p>
        </w:tc>
        <w:tc>
          <w:tcPr>
            <w:tcW w:w="932" w:type="dxa"/>
            <w:tcBorders>
              <w:bottom w:val="nil"/>
            </w:tcBorders>
          </w:tcPr>
          <w:p w:rsidR="00000000" w:rsidRDefault="00000000">
            <w:pPr>
              <w:pStyle w:val="a2"/>
              <w:jc w:val="center"/>
              <w:rPr>
                <w:snapToGrid/>
              </w:rPr>
            </w:pPr>
            <w:r>
              <w:rPr>
                <w:snapToGrid/>
              </w:rPr>
              <w:t>18.0</w:t>
            </w:r>
          </w:p>
        </w:tc>
        <w:tc>
          <w:tcPr>
            <w:tcW w:w="931" w:type="dxa"/>
            <w:tcBorders>
              <w:bottom w:val="nil"/>
            </w:tcBorders>
          </w:tcPr>
          <w:p w:rsidR="00000000" w:rsidRDefault="00000000">
            <w:pPr>
              <w:pStyle w:val="a2"/>
              <w:jc w:val="center"/>
              <w:rPr>
                <w:snapToGrid/>
              </w:rPr>
            </w:pPr>
            <w:r>
              <w:rPr>
                <w:snapToGrid/>
              </w:rPr>
              <w:t>18.0</w:t>
            </w:r>
          </w:p>
        </w:tc>
        <w:tc>
          <w:tcPr>
            <w:tcW w:w="932" w:type="dxa"/>
            <w:tcBorders>
              <w:bottom w:val="nil"/>
            </w:tcBorders>
          </w:tcPr>
          <w:p w:rsidR="00000000" w:rsidRDefault="00000000">
            <w:pPr>
              <w:pStyle w:val="a2"/>
              <w:jc w:val="center"/>
              <w:rPr>
                <w:snapToGrid/>
              </w:rPr>
            </w:pPr>
            <w:r>
              <w:rPr>
                <w:snapToGrid/>
              </w:rPr>
              <w:t>18.0</w:t>
            </w:r>
          </w:p>
        </w:tc>
        <w:tc>
          <w:tcPr>
            <w:tcW w:w="932" w:type="dxa"/>
            <w:tcBorders>
              <w:bottom w:val="nil"/>
            </w:tcBorders>
          </w:tcPr>
          <w:p w:rsidR="00000000" w:rsidRDefault="00000000">
            <w:pPr>
              <w:pStyle w:val="a2"/>
              <w:jc w:val="center"/>
              <w:rPr>
                <w:snapToGrid/>
              </w:rPr>
            </w:pPr>
            <w:r>
              <w:rPr>
                <w:snapToGrid/>
              </w:rPr>
              <w:t>18.0</w:t>
            </w:r>
          </w:p>
        </w:tc>
      </w:tr>
      <w:tr w:rsidR="00000000">
        <w:tblPrEx>
          <w:tblCellMar>
            <w:top w:w="0" w:type="dxa"/>
            <w:bottom w:w="0" w:type="dxa"/>
          </w:tblCellMar>
        </w:tblPrEx>
        <w:trPr>
          <w:cantSplit/>
        </w:trPr>
        <w:tc>
          <w:tcPr>
            <w:tcW w:w="3150" w:type="dxa"/>
            <w:tcBorders>
              <w:top w:val="nil"/>
              <w:bottom w:val="nil"/>
            </w:tcBorders>
          </w:tcPr>
          <w:p w:rsidR="00000000" w:rsidRDefault="00000000">
            <w:pPr>
              <w:pStyle w:val="a2"/>
              <w:rPr>
                <w:snapToGrid/>
              </w:rPr>
            </w:pPr>
            <w:r>
              <w:rPr>
                <w:rFonts w:hint="eastAsia"/>
                <w:snapToGrid/>
              </w:rPr>
              <w:t>第一资格级别的最低工资</w:t>
            </w:r>
            <w:r>
              <w:rPr>
                <w:snapToGrid/>
              </w:rPr>
              <w:t>(</w:t>
            </w:r>
            <w:r>
              <w:rPr>
                <w:rFonts w:hint="eastAsia"/>
                <w:snapToGrid/>
              </w:rPr>
              <w:t>列依</w:t>
            </w:r>
            <w:r>
              <w:rPr>
                <w:snapToGrid/>
              </w:rPr>
              <w:t>)</w:t>
            </w:r>
          </w:p>
        </w:tc>
        <w:tc>
          <w:tcPr>
            <w:tcW w:w="840" w:type="dxa"/>
            <w:tcBorders>
              <w:top w:val="nil"/>
              <w:bottom w:val="nil"/>
            </w:tcBorders>
          </w:tcPr>
          <w:p w:rsidR="00000000" w:rsidRDefault="00000000">
            <w:pPr>
              <w:pStyle w:val="a2"/>
              <w:jc w:val="center"/>
              <w:rPr>
                <w:snapToGrid/>
              </w:rPr>
            </w:pPr>
          </w:p>
        </w:tc>
        <w:tc>
          <w:tcPr>
            <w:tcW w:w="840" w:type="dxa"/>
            <w:tcBorders>
              <w:top w:val="nil"/>
              <w:bottom w:val="nil"/>
            </w:tcBorders>
          </w:tcPr>
          <w:p w:rsidR="00000000" w:rsidRDefault="00000000">
            <w:pPr>
              <w:pStyle w:val="a2"/>
              <w:jc w:val="center"/>
              <w:rPr>
                <w:snapToGrid/>
              </w:rPr>
            </w:pPr>
          </w:p>
        </w:tc>
        <w:tc>
          <w:tcPr>
            <w:tcW w:w="799" w:type="dxa"/>
            <w:tcBorders>
              <w:top w:val="nil"/>
              <w:bottom w:val="nil"/>
            </w:tcBorders>
          </w:tcPr>
          <w:p w:rsidR="00000000" w:rsidRDefault="00000000">
            <w:pPr>
              <w:pStyle w:val="a2"/>
              <w:jc w:val="center"/>
              <w:rPr>
                <w:snapToGrid/>
              </w:rPr>
            </w:pPr>
          </w:p>
        </w:tc>
        <w:tc>
          <w:tcPr>
            <w:tcW w:w="932" w:type="dxa"/>
            <w:tcBorders>
              <w:top w:val="nil"/>
              <w:bottom w:val="nil"/>
            </w:tcBorders>
          </w:tcPr>
          <w:p w:rsidR="00000000" w:rsidRDefault="00000000">
            <w:pPr>
              <w:pStyle w:val="a2"/>
              <w:jc w:val="center"/>
              <w:rPr>
                <w:snapToGrid/>
              </w:rPr>
            </w:pPr>
          </w:p>
        </w:tc>
        <w:tc>
          <w:tcPr>
            <w:tcW w:w="931" w:type="dxa"/>
            <w:tcBorders>
              <w:top w:val="nil"/>
              <w:bottom w:val="nil"/>
            </w:tcBorders>
          </w:tcPr>
          <w:p w:rsidR="00000000" w:rsidRDefault="00000000">
            <w:pPr>
              <w:pStyle w:val="a2"/>
              <w:jc w:val="center"/>
              <w:rPr>
                <w:snapToGrid/>
              </w:rPr>
            </w:pPr>
            <w:r>
              <w:rPr>
                <w:snapToGrid/>
              </w:rPr>
              <w:t>65.45</w:t>
            </w:r>
          </w:p>
        </w:tc>
        <w:tc>
          <w:tcPr>
            <w:tcW w:w="932" w:type="dxa"/>
            <w:tcBorders>
              <w:top w:val="nil"/>
              <w:bottom w:val="nil"/>
            </w:tcBorders>
          </w:tcPr>
          <w:p w:rsidR="00000000" w:rsidRDefault="00000000">
            <w:pPr>
              <w:pStyle w:val="a2"/>
              <w:jc w:val="center"/>
              <w:rPr>
                <w:snapToGrid/>
              </w:rPr>
            </w:pPr>
            <w:r>
              <w:rPr>
                <w:snapToGrid/>
              </w:rPr>
              <w:t>65.45</w:t>
            </w:r>
          </w:p>
        </w:tc>
        <w:tc>
          <w:tcPr>
            <w:tcW w:w="932" w:type="dxa"/>
            <w:tcBorders>
              <w:top w:val="nil"/>
              <w:bottom w:val="nil"/>
            </w:tcBorders>
          </w:tcPr>
          <w:p w:rsidR="00000000" w:rsidRDefault="00000000">
            <w:pPr>
              <w:pStyle w:val="a2"/>
              <w:jc w:val="center"/>
              <w:rPr>
                <w:snapToGrid/>
              </w:rPr>
            </w:pPr>
            <w:r>
              <w:rPr>
                <w:snapToGrid/>
              </w:rPr>
              <w:t>65.45</w:t>
            </w:r>
          </w:p>
        </w:tc>
      </w:tr>
      <w:tr w:rsidR="00000000">
        <w:tblPrEx>
          <w:tblCellMar>
            <w:top w:w="0" w:type="dxa"/>
            <w:bottom w:w="0" w:type="dxa"/>
          </w:tblCellMar>
        </w:tblPrEx>
        <w:trPr>
          <w:cantSplit/>
        </w:trPr>
        <w:tc>
          <w:tcPr>
            <w:tcW w:w="3150" w:type="dxa"/>
            <w:tcBorders>
              <w:top w:val="nil"/>
            </w:tcBorders>
          </w:tcPr>
          <w:p w:rsidR="00000000" w:rsidRDefault="00000000">
            <w:pPr>
              <w:pStyle w:val="a2"/>
              <w:rPr>
                <w:snapToGrid/>
              </w:rPr>
            </w:pPr>
            <w:r>
              <w:rPr>
                <w:rFonts w:hint="eastAsia"/>
                <w:snapToGrid/>
              </w:rPr>
              <w:t>最低消费预算</w:t>
            </w:r>
            <w:r>
              <w:rPr>
                <w:snapToGrid/>
              </w:rPr>
              <w:t xml:space="preserve"> (</w:t>
            </w:r>
            <w:r>
              <w:rPr>
                <w:rFonts w:hint="eastAsia"/>
                <w:snapToGrid/>
              </w:rPr>
              <w:t>列依</w:t>
            </w:r>
            <w:r>
              <w:rPr>
                <w:snapToGrid/>
              </w:rPr>
              <w:t>)</w:t>
            </w:r>
          </w:p>
        </w:tc>
        <w:tc>
          <w:tcPr>
            <w:tcW w:w="840" w:type="dxa"/>
            <w:tcBorders>
              <w:top w:val="nil"/>
            </w:tcBorders>
          </w:tcPr>
          <w:p w:rsidR="00000000" w:rsidRDefault="00000000">
            <w:pPr>
              <w:pStyle w:val="a2"/>
              <w:jc w:val="center"/>
              <w:rPr>
                <w:snapToGrid/>
              </w:rPr>
            </w:pPr>
            <w:r>
              <w:rPr>
                <w:snapToGrid/>
              </w:rPr>
              <w:t>3.4</w:t>
            </w:r>
          </w:p>
        </w:tc>
        <w:tc>
          <w:tcPr>
            <w:tcW w:w="840" w:type="dxa"/>
            <w:tcBorders>
              <w:top w:val="nil"/>
            </w:tcBorders>
          </w:tcPr>
          <w:p w:rsidR="00000000" w:rsidRDefault="00000000">
            <w:pPr>
              <w:pStyle w:val="a2"/>
              <w:jc w:val="center"/>
              <w:rPr>
                <w:snapToGrid/>
              </w:rPr>
            </w:pPr>
            <w:r>
              <w:rPr>
                <w:snapToGrid/>
              </w:rPr>
              <w:t>49.3</w:t>
            </w:r>
          </w:p>
        </w:tc>
        <w:tc>
          <w:tcPr>
            <w:tcW w:w="799" w:type="dxa"/>
            <w:tcBorders>
              <w:top w:val="nil"/>
            </w:tcBorders>
          </w:tcPr>
          <w:p w:rsidR="00000000" w:rsidRDefault="00000000">
            <w:pPr>
              <w:pStyle w:val="a2"/>
              <w:jc w:val="center"/>
              <w:rPr>
                <w:snapToGrid/>
              </w:rPr>
            </w:pPr>
            <w:r>
              <w:rPr>
                <w:snapToGrid/>
              </w:rPr>
              <w:t>271.3</w:t>
            </w:r>
          </w:p>
        </w:tc>
        <w:tc>
          <w:tcPr>
            <w:tcW w:w="932" w:type="dxa"/>
            <w:tcBorders>
              <w:top w:val="nil"/>
            </w:tcBorders>
          </w:tcPr>
          <w:p w:rsidR="00000000" w:rsidRDefault="00000000">
            <w:pPr>
              <w:pStyle w:val="a2"/>
              <w:jc w:val="center"/>
              <w:rPr>
                <w:snapToGrid/>
              </w:rPr>
            </w:pPr>
            <w:r>
              <w:rPr>
                <w:snapToGrid/>
              </w:rPr>
              <w:t>310.6</w:t>
            </w:r>
          </w:p>
        </w:tc>
        <w:tc>
          <w:tcPr>
            <w:tcW w:w="931" w:type="dxa"/>
            <w:tcBorders>
              <w:top w:val="nil"/>
            </w:tcBorders>
          </w:tcPr>
          <w:p w:rsidR="00000000" w:rsidRDefault="00000000">
            <w:pPr>
              <w:pStyle w:val="a2"/>
              <w:jc w:val="center"/>
              <w:rPr>
                <w:snapToGrid/>
              </w:rPr>
            </w:pPr>
            <w:r>
              <w:rPr>
                <w:snapToGrid/>
              </w:rPr>
              <w:t>473.0</w:t>
            </w:r>
          </w:p>
        </w:tc>
        <w:tc>
          <w:tcPr>
            <w:tcW w:w="932" w:type="dxa"/>
            <w:tcBorders>
              <w:top w:val="nil"/>
            </w:tcBorders>
          </w:tcPr>
          <w:p w:rsidR="00000000" w:rsidRDefault="00000000">
            <w:pPr>
              <w:pStyle w:val="a2"/>
              <w:jc w:val="center"/>
              <w:rPr>
                <w:snapToGrid/>
              </w:rPr>
            </w:pPr>
            <w:r>
              <w:rPr>
                <w:snapToGrid/>
              </w:rPr>
              <w:t>662.0</w:t>
            </w:r>
          </w:p>
        </w:tc>
        <w:tc>
          <w:tcPr>
            <w:tcW w:w="932" w:type="dxa"/>
            <w:tcBorders>
              <w:top w:val="nil"/>
            </w:tcBorders>
          </w:tcPr>
          <w:p w:rsidR="00000000" w:rsidRDefault="00000000">
            <w:pPr>
              <w:pStyle w:val="a2"/>
              <w:jc w:val="center"/>
              <w:rPr>
                <w:snapToGrid/>
              </w:rPr>
            </w:pPr>
            <w:r>
              <w:rPr>
                <w:snapToGrid/>
              </w:rPr>
              <w:t>901.0</w:t>
            </w:r>
          </w:p>
        </w:tc>
      </w:tr>
    </w:tbl>
    <w:p w:rsidR="00000000" w:rsidRDefault="00000000">
      <w:pPr>
        <w:rPr>
          <w:rFonts w:hint="eastAsia"/>
          <w:snapToGrid/>
        </w:rPr>
      </w:pPr>
    </w:p>
    <w:p w:rsidR="00000000" w:rsidRDefault="00000000">
      <w:pPr>
        <w:rPr>
          <w:rFonts w:hint="eastAsia"/>
          <w:snapToGrid/>
        </w:rPr>
      </w:pPr>
      <w:r>
        <w:rPr>
          <w:rFonts w:hint="eastAsia"/>
          <w:snapToGrid/>
        </w:rPr>
        <w:tab/>
        <w:t>192.</w:t>
      </w:r>
      <w:r>
        <w:rPr>
          <w:snapToGrid/>
        </w:rPr>
        <w:t xml:space="preserve">  </w:t>
      </w:r>
      <w:r>
        <w:rPr>
          <w:rFonts w:hint="eastAsia"/>
          <w:snapToGrid/>
        </w:rPr>
        <w:t>国家劳工机构</w:t>
      </w:r>
      <w:r>
        <w:rPr>
          <w:rFonts w:hint="eastAsia"/>
          <w:snapToGrid/>
        </w:rPr>
        <w:t>(</w:t>
      </w:r>
      <w:r>
        <w:rPr>
          <w:rFonts w:hint="eastAsia"/>
          <w:snapToGrid/>
        </w:rPr>
        <w:t>劳动、社会保障和家庭部、劳工介绍所</w:t>
      </w:r>
      <w:r>
        <w:rPr>
          <w:rFonts w:hint="eastAsia"/>
          <w:snapToGrid/>
        </w:rPr>
        <w:t>)</w:t>
      </w:r>
      <w:r>
        <w:rPr>
          <w:rFonts w:hint="eastAsia"/>
          <w:snapToGrid/>
        </w:rPr>
        <w:t>和工会负责监督按照最低工资标准支付报酬。雇员超过</w:t>
      </w:r>
      <w:r>
        <w:rPr>
          <w:rFonts w:hint="eastAsia"/>
          <w:snapToGrid/>
        </w:rPr>
        <w:t>20</w:t>
      </w:r>
      <w:r>
        <w:rPr>
          <w:rFonts w:hint="eastAsia"/>
          <w:snapToGrid/>
        </w:rPr>
        <w:t>人的所有经济单位每年须向统计和社会分析局提供有关工作人员的分布情况</w:t>
      </w:r>
      <w:r>
        <w:rPr>
          <w:rFonts w:hint="eastAsia"/>
          <w:snapToGrid/>
        </w:rPr>
        <w:t>(</w:t>
      </w:r>
      <w:r>
        <w:rPr>
          <w:rFonts w:hint="eastAsia"/>
          <w:snapToGrid/>
        </w:rPr>
        <w:t>按工资数额</w:t>
      </w:r>
      <w:r>
        <w:rPr>
          <w:rFonts w:hint="eastAsia"/>
          <w:snapToGrid/>
        </w:rPr>
        <w:t>)</w:t>
      </w:r>
      <w:r>
        <w:rPr>
          <w:rFonts w:hint="eastAsia"/>
          <w:snapToGrid/>
        </w:rPr>
        <w:t>。报告中必须包含关于工资低于第一资格级别的费率标准的雇员情况。</w:t>
      </w:r>
      <w:r>
        <w:rPr>
          <w:rFonts w:hint="eastAsia"/>
          <w:snapToGrid/>
        </w:rPr>
        <w:t>1999</w:t>
      </w:r>
      <w:r>
        <w:rPr>
          <w:rFonts w:hint="eastAsia"/>
          <w:snapToGrid/>
        </w:rPr>
        <w:t>年</w:t>
      </w:r>
      <w:r>
        <w:rPr>
          <w:rFonts w:hint="eastAsia"/>
          <w:snapToGrid/>
        </w:rPr>
        <w:t>9</w:t>
      </w:r>
      <w:r>
        <w:rPr>
          <w:rFonts w:hint="eastAsia"/>
          <w:snapToGrid/>
        </w:rPr>
        <w:t>月，这类雇员的数目占整个劳动人口的</w:t>
      </w:r>
      <w:r>
        <w:rPr>
          <w:rFonts w:hint="eastAsia"/>
          <w:snapToGrid/>
        </w:rPr>
        <w:t>4.1%</w:t>
      </w:r>
      <w:r>
        <w:rPr>
          <w:rFonts w:hint="eastAsia"/>
          <w:snapToGrid/>
        </w:rPr>
        <w:t>，其中</w:t>
      </w:r>
      <w:r>
        <w:rPr>
          <w:rFonts w:hint="eastAsia"/>
          <w:snapToGrid/>
        </w:rPr>
        <w:t>51%</w:t>
      </w:r>
      <w:r>
        <w:rPr>
          <w:rFonts w:hint="eastAsia"/>
          <w:snapToGrid/>
        </w:rPr>
        <w:t>是农业领域中的雇员。他们的工作不按全天或整周方式安排。若要更严格地监督对最低工资制度的遵守情况，必须设立一个劳动检查局。</w:t>
      </w:r>
    </w:p>
    <w:p w:rsidR="00000000" w:rsidRDefault="00000000">
      <w:pPr>
        <w:spacing w:after="120"/>
        <w:rPr>
          <w:rFonts w:hint="eastAsia"/>
          <w:snapToGrid/>
        </w:rPr>
      </w:pPr>
      <w:r>
        <w:rPr>
          <w:rFonts w:hint="eastAsia"/>
          <w:snapToGrid/>
        </w:rPr>
        <w:tab/>
        <w:t>193.</w:t>
      </w:r>
      <w:r>
        <w:rPr>
          <w:snapToGrid/>
        </w:rPr>
        <w:t xml:space="preserve">  </w:t>
      </w:r>
      <w:r>
        <w:rPr>
          <w:rFonts w:hint="eastAsia"/>
          <w:snapToGrid/>
        </w:rPr>
        <w:t>《工资法》第</w:t>
      </w:r>
      <w:r>
        <w:rPr>
          <w:rFonts w:hint="eastAsia"/>
          <w:snapToGrid/>
        </w:rPr>
        <w:t>3</w:t>
      </w:r>
      <w:r>
        <w:rPr>
          <w:rFonts w:hint="eastAsia"/>
          <w:snapToGrid/>
        </w:rPr>
        <w:t>条规定不允许有任何形式，如基于年龄、性别、种族或民族隶属、政治见解、宗教派别或物质状况的歧视现象存在。</w:t>
      </w:r>
    </w:p>
    <w:p w:rsidR="00000000" w:rsidRDefault="00000000">
      <w:pPr>
        <w:pStyle w:val="Heading3"/>
        <w:spacing w:after="120"/>
        <w:rPr>
          <w:rFonts w:hint="eastAsia"/>
          <w:kern w:val="0"/>
        </w:rPr>
      </w:pPr>
      <w:r>
        <w:rPr>
          <w:rFonts w:hint="eastAsia"/>
          <w:kern w:val="0"/>
          <w:u w:val="none"/>
        </w:rPr>
        <w:t>表</w:t>
      </w:r>
      <w:r>
        <w:rPr>
          <w:kern w:val="0"/>
          <w:u w:val="none"/>
        </w:rPr>
        <w:t xml:space="preserve"> 15.  </w:t>
      </w:r>
      <w:r>
        <w:rPr>
          <w:rFonts w:hint="eastAsia"/>
          <w:kern w:val="0"/>
        </w:rPr>
        <w:t>按财产所有权形式列出的人员报酬情况</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828"/>
        <w:gridCol w:w="2764"/>
        <w:gridCol w:w="2768"/>
      </w:tblGrid>
      <w:tr w:rsidR="00000000">
        <w:tblPrEx>
          <w:tblCellMar>
            <w:top w:w="0" w:type="dxa"/>
            <w:bottom w:w="0" w:type="dxa"/>
          </w:tblCellMar>
        </w:tblPrEx>
        <w:trPr>
          <w:cantSplit/>
        </w:trPr>
        <w:tc>
          <w:tcPr>
            <w:tcW w:w="3828" w:type="dxa"/>
            <w:vMerge w:val="restart"/>
            <w:vAlign w:val="center"/>
          </w:tcPr>
          <w:p w:rsidR="00000000" w:rsidRDefault="00000000">
            <w:pPr>
              <w:pStyle w:val="a2"/>
              <w:jc w:val="center"/>
              <w:rPr>
                <w:rFonts w:hint="eastAsia"/>
                <w:snapToGrid/>
              </w:rPr>
            </w:pPr>
            <w:r>
              <w:rPr>
                <w:rFonts w:hint="eastAsia"/>
                <w:snapToGrid/>
              </w:rPr>
              <w:t>部</w:t>
            </w:r>
            <w:r>
              <w:rPr>
                <w:rFonts w:hint="eastAsia"/>
                <w:snapToGrid/>
              </w:rPr>
              <w:t xml:space="preserve">  </w:t>
            </w:r>
            <w:r>
              <w:rPr>
                <w:rFonts w:hint="eastAsia"/>
                <w:snapToGrid/>
              </w:rPr>
              <w:t>门</w:t>
            </w:r>
          </w:p>
        </w:tc>
        <w:tc>
          <w:tcPr>
            <w:tcW w:w="5532" w:type="dxa"/>
            <w:gridSpan w:val="2"/>
            <w:tcBorders>
              <w:bottom w:val="single" w:sz="6" w:space="0" w:color="auto"/>
            </w:tcBorders>
          </w:tcPr>
          <w:p w:rsidR="00000000" w:rsidRDefault="00000000">
            <w:pPr>
              <w:pStyle w:val="a2"/>
              <w:jc w:val="center"/>
              <w:rPr>
                <w:snapToGrid/>
              </w:rPr>
            </w:pPr>
            <w:r>
              <w:rPr>
                <w:rFonts w:hint="eastAsia"/>
                <w:snapToGrid/>
              </w:rPr>
              <w:t>月平均工资</w:t>
            </w:r>
            <w:r>
              <w:rPr>
                <w:snapToGrid/>
              </w:rPr>
              <w:t xml:space="preserve"> (</w:t>
            </w:r>
            <w:r>
              <w:rPr>
                <w:rFonts w:hint="eastAsia"/>
                <w:snapToGrid/>
              </w:rPr>
              <w:t>列依</w:t>
            </w:r>
            <w:r>
              <w:rPr>
                <w:snapToGrid/>
              </w:rPr>
              <w:t>)</w:t>
            </w:r>
          </w:p>
        </w:tc>
      </w:tr>
      <w:tr w:rsidR="00000000">
        <w:tblPrEx>
          <w:tblCellMar>
            <w:top w:w="0" w:type="dxa"/>
            <w:bottom w:w="0" w:type="dxa"/>
          </w:tblCellMar>
        </w:tblPrEx>
        <w:trPr>
          <w:cantSplit/>
        </w:trPr>
        <w:tc>
          <w:tcPr>
            <w:tcW w:w="3828" w:type="dxa"/>
            <w:vMerge/>
            <w:tcBorders>
              <w:bottom w:val="single" w:sz="4" w:space="0" w:color="auto"/>
            </w:tcBorders>
          </w:tcPr>
          <w:p w:rsidR="00000000" w:rsidRDefault="00000000">
            <w:pPr>
              <w:pStyle w:val="a2"/>
              <w:rPr>
                <w:snapToGrid/>
              </w:rPr>
            </w:pPr>
          </w:p>
        </w:tc>
        <w:tc>
          <w:tcPr>
            <w:tcW w:w="2764" w:type="dxa"/>
            <w:tcBorders>
              <w:top w:val="single" w:sz="6" w:space="0" w:color="auto"/>
              <w:bottom w:val="single" w:sz="6" w:space="0" w:color="auto"/>
            </w:tcBorders>
          </w:tcPr>
          <w:p w:rsidR="00000000" w:rsidRDefault="00000000">
            <w:pPr>
              <w:pStyle w:val="a2"/>
              <w:jc w:val="center"/>
              <w:rPr>
                <w:snapToGrid/>
              </w:rPr>
            </w:pPr>
            <w:r>
              <w:rPr>
                <w:snapToGrid/>
              </w:rPr>
              <w:t>1999</w:t>
            </w:r>
          </w:p>
        </w:tc>
        <w:tc>
          <w:tcPr>
            <w:tcW w:w="2768" w:type="dxa"/>
            <w:tcBorders>
              <w:top w:val="single" w:sz="6" w:space="0" w:color="auto"/>
              <w:bottom w:val="single" w:sz="6" w:space="0" w:color="auto"/>
            </w:tcBorders>
          </w:tcPr>
          <w:p w:rsidR="00000000" w:rsidRDefault="00000000">
            <w:pPr>
              <w:pStyle w:val="a2"/>
              <w:jc w:val="center"/>
              <w:rPr>
                <w:snapToGrid/>
              </w:rPr>
            </w:pPr>
            <w:r>
              <w:rPr>
                <w:snapToGrid/>
              </w:rPr>
              <w:t>2000 (</w:t>
            </w:r>
            <w:r>
              <w:rPr>
                <w:rFonts w:hint="eastAsia"/>
                <w:snapToGrid/>
              </w:rPr>
              <w:t>初步数据</w:t>
            </w:r>
            <w:r>
              <w:rPr>
                <w:snapToGrid/>
              </w:rPr>
              <w:t>)</w:t>
            </w:r>
          </w:p>
        </w:tc>
      </w:tr>
      <w:tr w:rsidR="00000000">
        <w:tblPrEx>
          <w:tblCellMar>
            <w:top w:w="0" w:type="dxa"/>
            <w:bottom w:w="0" w:type="dxa"/>
          </w:tblCellMar>
        </w:tblPrEx>
        <w:trPr>
          <w:cantSplit/>
        </w:trPr>
        <w:tc>
          <w:tcPr>
            <w:tcW w:w="3828" w:type="dxa"/>
            <w:tcBorders>
              <w:top w:val="single" w:sz="4" w:space="0" w:color="auto"/>
              <w:bottom w:val="nil"/>
            </w:tcBorders>
          </w:tcPr>
          <w:p w:rsidR="00000000" w:rsidRDefault="00000000">
            <w:pPr>
              <w:pStyle w:val="a2"/>
              <w:rPr>
                <w:rFonts w:hint="eastAsia"/>
                <w:snapToGrid/>
              </w:rPr>
            </w:pPr>
            <w:r>
              <w:rPr>
                <w:rFonts w:hint="eastAsia"/>
                <w:snapToGrid/>
              </w:rPr>
              <w:t>所有部门</w:t>
            </w:r>
          </w:p>
        </w:tc>
        <w:tc>
          <w:tcPr>
            <w:tcW w:w="2764" w:type="dxa"/>
            <w:tcBorders>
              <w:top w:val="single" w:sz="6" w:space="0" w:color="auto"/>
              <w:bottom w:val="nil"/>
            </w:tcBorders>
          </w:tcPr>
          <w:p w:rsidR="00000000" w:rsidRDefault="00000000">
            <w:pPr>
              <w:pStyle w:val="a2"/>
              <w:jc w:val="center"/>
              <w:rPr>
                <w:snapToGrid/>
              </w:rPr>
            </w:pPr>
            <w:r>
              <w:rPr>
                <w:snapToGrid/>
              </w:rPr>
              <w:t>304.6</w:t>
            </w:r>
          </w:p>
        </w:tc>
        <w:tc>
          <w:tcPr>
            <w:tcW w:w="2768" w:type="dxa"/>
            <w:tcBorders>
              <w:top w:val="single" w:sz="6" w:space="0" w:color="auto"/>
              <w:bottom w:val="nil"/>
            </w:tcBorders>
          </w:tcPr>
          <w:p w:rsidR="00000000" w:rsidRDefault="00000000">
            <w:pPr>
              <w:pStyle w:val="a2"/>
              <w:jc w:val="center"/>
              <w:rPr>
                <w:snapToGrid/>
              </w:rPr>
            </w:pPr>
            <w:r>
              <w:rPr>
                <w:snapToGrid/>
              </w:rPr>
              <w:t>407.7</w:t>
            </w:r>
          </w:p>
        </w:tc>
      </w:tr>
      <w:tr w:rsidR="00000000">
        <w:tblPrEx>
          <w:tblCellMar>
            <w:top w:w="0" w:type="dxa"/>
            <w:bottom w:w="0" w:type="dxa"/>
          </w:tblCellMar>
        </w:tblPrEx>
        <w:trPr>
          <w:cantSplit/>
        </w:trPr>
        <w:tc>
          <w:tcPr>
            <w:tcW w:w="3828" w:type="dxa"/>
            <w:tcBorders>
              <w:top w:val="nil"/>
            </w:tcBorders>
          </w:tcPr>
          <w:p w:rsidR="00000000" w:rsidRDefault="00000000">
            <w:pPr>
              <w:pStyle w:val="a2"/>
              <w:ind w:left="207"/>
              <w:rPr>
                <w:rFonts w:hint="eastAsia"/>
                <w:snapToGrid/>
              </w:rPr>
            </w:pPr>
            <w:r>
              <w:rPr>
                <w:rFonts w:hint="eastAsia"/>
                <w:snapToGrid/>
              </w:rPr>
              <w:t>公</w:t>
            </w:r>
            <w:r>
              <w:rPr>
                <w:rFonts w:hint="eastAsia"/>
                <w:snapToGrid/>
              </w:rPr>
              <w:t xml:space="preserve">  </w:t>
            </w:r>
            <w:r>
              <w:rPr>
                <w:rFonts w:hint="eastAsia"/>
                <w:snapToGrid/>
              </w:rPr>
              <w:t>共</w:t>
            </w:r>
          </w:p>
        </w:tc>
        <w:tc>
          <w:tcPr>
            <w:tcW w:w="2764" w:type="dxa"/>
            <w:tcBorders>
              <w:top w:val="nil"/>
            </w:tcBorders>
          </w:tcPr>
          <w:p w:rsidR="00000000" w:rsidRDefault="00000000">
            <w:pPr>
              <w:pStyle w:val="a2"/>
              <w:jc w:val="center"/>
              <w:rPr>
                <w:snapToGrid/>
              </w:rPr>
            </w:pPr>
            <w:r>
              <w:rPr>
                <w:snapToGrid/>
              </w:rPr>
              <w:t>296.3</w:t>
            </w:r>
          </w:p>
        </w:tc>
        <w:tc>
          <w:tcPr>
            <w:tcW w:w="2768" w:type="dxa"/>
            <w:tcBorders>
              <w:top w:val="nil"/>
            </w:tcBorders>
          </w:tcPr>
          <w:p w:rsidR="00000000" w:rsidRDefault="00000000">
            <w:pPr>
              <w:pStyle w:val="a2"/>
              <w:jc w:val="center"/>
              <w:rPr>
                <w:snapToGrid/>
              </w:rPr>
            </w:pPr>
            <w:r>
              <w:rPr>
                <w:snapToGrid/>
              </w:rPr>
              <w:t>379.6</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私</w:t>
            </w:r>
            <w:r>
              <w:rPr>
                <w:rFonts w:hint="eastAsia"/>
                <w:snapToGrid/>
              </w:rPr>
              <w:t xml:space="preserve">  </w:t>
            </w:r>
            <w:r>
              <w:rPr>
                <w:rFonts w:hint="eastAsia"/>
                <w:snapToGrid/>
              </w:rPr>
              <w:t>营</w:t>
            </w:r>
          </w:p>
        </w:tc>
        <w:tc>
          <w:tcPr>
            <w:tcW w:w="2764" w:type="dxa"/>
          </w:tcPr>
          <w:p w:rsidR="00000000" w:rsidRDefault="00000000">
            <w:pPr>
              <w:pStyle w:val="a2"/>
              <w:jc w:val="center"/>
              <w:rPr>
                <w:snapToGrid/>
              </w:rPr>
            </w:pPr>
            <w:r>
              <w:rPr>
                <w:snapToGrid/>
              </w:rPr>
              <w:t>256.6</w:t>
            </w:r>
          </w:p>
        </w:tc>
        <w:tc>
          <w:tcPr>
            <w:tcW w:w="2768" w:type="dxa"/>
          </w:tcPr>
          <w:p w:rsidR="00000000" w:rsidRDefault="00000000">
            <w:pPr>
              <w:pStyle w:val="a2"/>
              <w:jc w:val="center"/>
              <w:rPr>
                <w:snapToGrid/>
              </w:rPr>
            </w:pPr>
            <w:r>
              <w:rPr>
                <w:snapToGrid/>
              </w:rPr>
              <w:t>374.1</w:t>
            </w:r>
          </w:p>
        </w:tc>
      </w:tr>
      <w:tr w:rsidR="00000000">
        <w:tblPrEx>
          <w:tblCellMar>
            <w:top w:w="0" w:type="dxa"/>
            <w:bottom w:w="0" w:type="dxa"/>
          </w:tblCellMar>
        </w:tblPrEx>
        <w:trPr>
          <w:cantSplit/>
        </w:trPr>
        <w:tc>
          <w:tcPr>
            <w:tcW w:w="3828" w:type="dxa"/>
          </w:tcPr>
          <w:p w:rsidR="00000000" w:rsidRDefault="00000000">
            <w:pPr>
              <w:pStyle w:val="a2"/>
              <w:rPr>
                <w:rFonts w:hint="eastAsia"/>
                <w:snapToGrid/>
              </w:rPr>
            </w:pPr>
            <w:r>
              <w:rPr>
                <w:rFonts w:hint="eastAsia"/>
                <w:snapToGrid/>
              </w:rPr>
              <w:t>按部门</w:t>
            </w:r>
            <w:r>
              <w:rPr>
                <w:snapToGrid/>
              </w:rPr>
              <w:t>，</w:t>
            </w:r>
            <w:r>
              <w:rPr>
                <w:rFonts w:hint="eastAsia"/>
                <w:snapToGrid/>
              </w:rPr>
              <w:t>包括：</w:t>
            </w:r>
          </w:p>
        </w:tc>
        <w:tc>
          <w:tcPr>
            <w:tcW w:w="2764" w:type="dxa"/>
          </w:tcPr>
          <w:p w:rsidR="00000000" w:rsidRDefault="00000000">
            <w:pPr>
              <w:pStyle w:val="a2"/>
              <w:jc w:val="center"/>
              <w:rPr>
                <w:snapToGrid/>
              </w:rPr>
            </w:pPr>
          </w:p>
        </w:tc>
        <w:tc>
          <w:tcPr>
            <w:tcW w:w="2768" w:type="dxa"/>
          </w:tcPr>
          <w:p w:rsidR="00000000" w:rsidRDefault="00000000">
            <w:pPr>
              <w:pStyle w:val="a2"/>
              <w:jc w:val="center"/>
              <w:rPr>
                <w:snapToGrid/>
              </w:rPr>
            </w:pPr>
          </w:p>
        </w:tc>
      </w:tr>
      <w:tr w:rsidR="00000000">
        <w:tblPrEx>
          <w:tblCellMar>
            <w:top w:w="0" w:type="dxa"/>
            <w:bottom w:w="0" w:type="dxa"/>
          </w:tblCellMar>
        </w:tblPrEx>
        <w:trPr>
          <w:cantSplit/>
        </w:trPr>
        <w:tc>
          <w:tcPr>
            <w:tcW w:w="3828" w:type="dxa"/>
          </w:tcPr>
          <w:p w:rsidR="00000000" w:rsidRDefault="00000000">
            <w:pPr>
              <w:pStyle w:val="a2"/>
              <w:rPr>
                <w:rFonts w:hint="eastAsia"/>
                <w:snapToGrid/>
              </w:rPr>
            </w:pPr>
            <w:r>
              <w:rPr>
                <w:rFonts w:hint="eastAsia"/>
                <w:snapToGrid/>
              </w:rPr>
              <w:t>农业、狩猎和辅助服务</w:t>
            </w:r>
          </w:p>
        </w:tc>
        <w:tc>
          <w:tcPr>
            <w:tcW w:w="2764" w:type="dxa"/>
          </w:tcPr>
          <w:p w:rsidR="00000000" w:rsidRDefault="00000000">
            <w:pPr>
              <w:pStyle w:val="a2"/>
              <w:jc w:val="center"/>
              <w:rPr>
                <w:snapToGrid/>
              </w:rPr>
            </w:pPr>
            <w:r>
              <w:rPr>
                <w:snapToGrid/>
              </w:rPr>
              <w:t>166.7</w:t>
            </w:r>
          </w:p>
        </w:tc>
        <w:tc>
          <w:tcPr>
            <w:tcW w:w="2768" w:type="dxa"/>
          </w:tcPr>
          <w:p w:rsidR="00000000" w:rsidRDefault="00000000">
            <w:pPr>
              <w:pStyle w:val="a2"/>
              <w:jc w:val="center"/>
              <w:rPr>
                <w:snapToGrid/>
              </w:rPr>
            </w:pPr>
            <w:r>
              <w:rPr>
                <w:snapToGrid/>
              </w:rPr>
              <w:t>243.7</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公</w:t>
            </w:r>
            <w:r>
              <w:rPr>
                <w:rFonts w:hint="eastAsia"/>
                <w:snapToGrid/>
              </w:rPr>
              <w:t xml:space="preserve">  </w:t>
            </w:r>
            <w:r>
              <w:rPr>
                <w:rFonts w:hint="eastAsia"/>
                <w:snapToGrid/>
              </w:rPr>
              <w:t>共</w:t>
            </w:r>
          </w:p>
        </w:tc>
        <w:tc>
          <w:tcPr>
            <w:tcW w:w="2764" w:type="dxa"/>
          </w:tcPr>
          <w:p w:rsidR="00000000" w:rsidRDefault="00000000">
            <w:pPr>
              <w:pStyle w:val="a2"/>
              <w:jc w:val="center"/>
              <w:rPr>
                <w:snapToGrid/>
              </w:rPr>
            </w:pPr>
            <w:r>
              <w:rPr>
                <w:snapToGrid/>
              </w:rPr>
              <w:t>214.0</w:t>
            </w:r>
          </w:p>
        </w:tc>
        <w:tc>
          <w:tcPr>
            <w:tcW w:w="2768" w:type="dxa"/>
          </w:tcPr>
          <w:p w:rsidR="00000000" w:rsidRDefault="00000000">
            <w:pPr>
              <w:pStyle w:val="a2"/>
              <w:jc w:val="center"/>
              <w:rPr>
                <w:snapToGrid/>
              </w:rPr>
            </w:pPr>
            <w:r>
              <w:rPr>
                <w:snapToGrid/>
              </w:rPr>
              <w:t>331.4</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私</w:t>
            </w:r>
            <w:r>
              <w:rPr>
                <w:rFonts w:hint="eastAsia"/>
                <w:snapToGrid/>
              </w:rPr>
              <w:t xml:space="preserve">  </w:t>
            </w:r>
            <w:r>
              <w:rPr>
                <w:rFonts w:hint="eastAsia"/>
                <w:snapToGrid/>
              </w:rPr>
              <w:t>营</w:t>
            </w:r>
          </w:p>
        </w:tc>
        <w:tc>
          <w:tcPr>
            <w:tcW w:w="2764" w:type="dxa"/>
          </w:tcPr>
          <w:p w:rsidR="00000000" w:rsidRDefault="00000000">
            <w:pPr>
              <w:pStyle w:val="a2"/>
              <w:jc w:val="center"/>
              <w:rPr>
                <w:snapToGrid/>
              </w:rPr>
            </w:pPr>
            <w:r>
              <w:rPr>
                <w:snapToGrid/>
              </w:rPr>
              <w:t>157.8</w:t>
            </w:r>
          </w:p>
        </w:tc>
        <w:tc>
          <w:tcPr>
            <w:tcW w:w="2768" w:type="dxa"/>
          </w:tcPr>
          <w:p w:rsidR="00000000" w:rsidRDefault="00000000">
            <w:pPr>
              <w:pStyle w:val="a2"/>
              <w:jc w:val="center"/>
              <w:rPr>
                <w:snapToGrid/>
              </w:rPr>
            </w:pPr>
            <w:r>
              <w:rPr>
                <w:snapToGrid/>
              </w:rPr>
              <w:t>172.7</w:t>
            </w:r>
          </w:p>
        </w:tc>
      </w:tr>
      <w:tr w:rsidR="00000000">
        <w:tblPrEx>
          <w:tblCellMar>
            <w:top w:w="0" w:type="dxa"/>
            <w:bottom w:w="0" w:type="dxa"/>
          </w:tblCellMar>
        </w:tblPrEx>
        <w:trPr>
          <w:cantSplit/>
        </w:trPr>
        <w:tc>
          <w:tcPr>
            <w:tcW w:w="3828" w:type="dxa"/>
          </w:tcPr>
          <w:p w:rsidR="00000000" w:rsidRDefault="00000000">
            <w:pPr>
              <w:pStyle w:val="a2"/>
              <w:rPr>
                <w:rFonts w:hint="eastAsia"/>
                <w:snapToGrid/>
              </w:rPr>
            </w:pPr>
            <w:r>
              <w:rPr>
                <w:rFonts w:hint="eastAsia"/>
                <w:snapToGrid/>
              </w:rPr>
              <w:t>工</w:t>
            </w:r>
            <w:r>
              <w:rPr>
                <w:rFonts w:hint="eastAsia"/>
                <w:snapToGrid/>
              </w:rPr>
              <w:t xml:space="preserve">  </w:t>
            </w:r>
            <w:r>
              <w:rPr>
                <w:rFonts w:hint="eastAsia"/>
                <w:snapToGrid/>
              </w:rPr>
              <w:t>业</w:t>
            </w:r>
          </w:p>
        </w:tc>
        <w:tc>
          <w:tcPr>
            <w:tcW w:w="2764" w:type="dxa"/>
          </w:tcPr>
          <w:p w:rsidR="00000000" w:rsidRDefault="00000000">
            <w:pPr>
              <w:pStyle w:val="a2"/>
              <w:jc w:val="center"/>
              <w:rPr>
                <w:snapToGrid/>
              </w:rPr>
            </w:pPr>
            <w:r>
              <w:rPr>
                <w:snapToGrid/>
              </w:rPr>
              <w:t>537.6</w:t>
            </w:r>
          </w:p>
        </w:tc>
        <w:tc>
          <w:tcPr>
            <w:tcW w:w="2768" w:type="dxa"/>
          </w:tcPr>
          <w:p w:rsidR="00000000" w:rsidRDefault="00000000">
            <w:pPr>
              <w:pStyle w:val="a2"/>
              <w:jc w:val="center"/>
              <w:rPr>
                <w:snapToGrid/>
              </w:rPr>
            </w:pPr>
            <w:r>
              <w:rPr>
                <w:snapToGrid/>
              </w:rPr>
              <w:t>696.6</w:t>
            </w:r>
          </w:p>
        </w:tc>
      </w:tr>
      <w:tr w:rsidR="00000000">
        <w:tblPrEx>
          <w:tblCellMar>
            <w:top w:w="0" w:type="dxa"/>
            <w:bottom w:w="0" w:type="dxa"/>
          </w:tblCellMar>
        </w:tblPrEx>
        <w:trPr>
          <w:cantSplit/>
        </w:trPr>
        <w:tc>
          <w:tcPr>
            <w:tcW w:w="3828" w:type="dxa"/>
          </w:tcPr>
          <w:p w:rsidR="00000000" w:rsidRDefault="00000000">
            <w:pPr>
              <w:pStyle w:val="a2"/>
              <w:ind w:left="312"/>
              <w:rPr>
                <w:rFonts w:hint="eastAsia"/>
                <w:snapToGrid/>
              </w:rPr>
            </w:pPr>
            <w:r>
              <w:rPr>
                <w:rFonts w:hint="eastAsia"/>
                <w:snapToGrid/>
              </w:rPr>
              <w:t>公</w:t>
            </w:r>
            <w:r>
              <w:rPr>
                <w:rFonts w:hint="eastAsia"/>
                <w:snapToGrid/>
              </w:rPr>
              <w:t xml:space="preserve">  </w:t>
            </w:r>
            <w:r>
              <w:rPr>
                <w:rFonts w:hint="eastAsia"/>
                <w:snapToGrid/>
              </w:rPr>
              <w:t>共</w:t>
            </w:r>
          </w:p>
        </w:tc>
        <w:tc>
          <w:tcPr>
            <w:tcW w:w="2764" w:type="dxa"/>
          </w:tcPr>
          <w:p w:rsidR="00000000" w:rsidRDefault="00000000">
            <w:pPr>
              <w:pStyle w:val="a2"/>
              <w:jc w:val="center"/>
              <w:rPr>
                <w:snapToGrid/>
              </w:rPr>
            </w:pPr>
            <w:r>
              <w:rPr>
                <w:snapToGrid/>
              </w:rPr>
              <w:t>634.4</w:t>
            </w:r>
          </w:p>
        </w:tc>
        <w:tc>
          <w:tcPr>
            <w:tcW w:w="2768" w:type="dxa"/>
          </w:tcPr>
          <w:p w:rsidR="00000000" w:rsidRDefault="00000000">
            <w:pPr>
              <w:pStyle w:val="a2"/>
              <w:jc w:val="center"/>
              <w:rPr>
                <w:snapToGrid/>
              </w:rPr>
            </w:pPr>
            <w:r>
              <w:rPr>
                <w:snapToGrid/>
              </w:rPr>
              <w:t>792.9</w:t>
            </w:r>
          </w:p>
        </w:tc>
      </w:tr>
      <w:tr w:rsidR="00000000">
        <w:tblPrEx>
          <w:tblCellMar>
            <w:top w:w="0" w:type="dxa"/>
            <w:bottom w:w="0" w:type="dxa"/>
          </w:tblCellMar>
        </w:tblPrEx>
        <w:trPr>
          <w:cantSplit/>
        </w:trPr>
        <w:tc>
          <w:tcPr>
            <w:tcW w:w="3828" w:type="dxa"/>
          </w:tcPr>
          <w:p w:rsidR="00000000" w:rsidRDefault="00000000">
            <w:pPr>
              <w:pStyle w:val="a2"/>
              <w:ind w:left="312"/>
              <w:rPr>
                <w:rFonts w:hint="eastAsia"/>
                <w:snapToGrid/>
              </w:rPr>
            </w:pPr>
            <w:r>
              <w:rPr>
                <w:rFonts w:hint="eastAsia"/>
                <w:snapToGrid/>
              </w:rPr>
              <w:t>私</w:t>
            </w:r>
            <w:r>
              <w:rPr>
                <w:rFonts w:hint="eastAsia"/>
                <w:snapToGrid/>
              </w:rPr>
              <w:t xml:space="preserve">  </w:t>
            </w:r>
            <w:r>
              <w:rPr>
                <w:rFonts w:hint="eastAsia"/>
                <w:snapToGrid/>
              </w:rPr>
              <w:t>营</w:t>
            </w:r>
          </w:p>
        </w:tc>
        <w:tc>
          <w:tcPr>
            <w:tcW w:w="2764" w:type="dxa"/>
          </w:tcPr>
          <w:p w:rsidR="00000000" w:rsidRDefault="00000000">
            <w:pPr>
              <w:pStyle w:val="a2"/>
              <w:jc w:val="center"/>
              <w:rPr>
                <w:snapToGrid/>
              </w:rPr>
            </w:pPr>
            <w:r>
              <w:rPr>
                <w:snapToGrid/>
              </w:rPr>
              <w:t>438.2</w:t>
            </w:r>
          </w:p>
        </w:tc>
        <w:tc>
          <w:tcPr>
            <w:tcW w:w="2768" w:type="dxa"/>
          </w:tcPr>
          <w:p w:rsidR="00000000" w:rsidRDefault="00000000">
            <w:pPr>
              <w:pStyle w:val="a2"/>
              <w:jc w:val="center"/>
              <w:rPr>
                <w:snapToGrid/>
              </w:rPr>
            </w:pPr>
            <w:r>
              <w:rPr>
                <w:snapToGrid/>
              </w:rPr>
              <w:t>559.4</w:t>
            </w:r>
          </w:p>
        </w:tc>
      </w:tr>
      <w:tr w:rsidR="00000000">
        <w:tblPrEx>
          <w:tblCellMar>
            <w:top w:w="0" w:type="dxa"/>
            <w:bottom w:w="0" w:type="dxa"/>
          </w:tblCellMar>
        </w:tblPrEx>
        <w:trPr>
          <w:cantSplit/>
        </w:trPr>
        <w:tc>
          <w:tcPr>
            <w:tcW w:w="3828" w:type="dxa"/>
          </w:tcPr>
          <w:p w:rsidR="00000000" w:rsidRDefault="00000000">
            <w:pPr>
              <w:pStyle w:val="a2"/>
              <w:rPr>
                <w:rFonts w:hint="eastAsia"/>
                <w:snapToGrid/>
              </w:rPr>
            </w:pPr>
            <w:r>
              <w:rPr>
                <w:rFonts w:hint="eastAsia"/>
                <w:snapToGrid/>
              </w:rPr>
              <w:t>建</w:t>
            </w:r>
            <w:r>
              <w:rPr>
                <w:rFonts w:hint="eastAsia"/>
                <w:snapToGrid/>
              </w:rPr>
              <w:t xml:space="preserve">  </w:t>
            </w:r>
            <w:r>
              <w:rPr>
                <w:rFonts w:hint="eastAsia"/>
                <w:snapToGrid/>
              </w:rPr>
              <w:t>筑</w:t>
            </w:r>
          </w:p>
        </w:tc>
        <w:tc>
          <w:tcPr>
            <w:tcW w:w="2764" w:type="dxa"/>
          </w:tcPr>
          <w:p w:rsidR="00000000" w:rsidRDefault="00000000">
            <w:pPr>
              <w:pStyle w:val="a2"/>
              <w:jc w:val="center"/>
              <w:rPr>
                <w:snapToGrid/>
              </w:rPr>
            </w:pPr>
            <w:r>
              <w:rPr>
                <w:snapToGrid/>
              </w:rPr>
              <w:t>474.0</w:t>
            </w:r>
          </w:p>
        </w:tc>
        <w:tc>
          <w:tcPr>
            <w:tcW w:w="2768" w:type="dxa"/>
          </w:tcPr>
          <w:p w:rsidR="00000000" w:rsidRDefault="00000000">
            <w:pPr>
              <w:pStyle w:val="a2"/>
              <w:jc w:val="center"/>
              <w:rPr>
                <w:snapToGrid/>
              </w:rPr>
            </w:pPr>
            <w:r>
              <w:rPr>
                <w:snapToGrid/>
              </w:rPr>
              <w:t>586.9</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公</w:t>
            </w:r>
            <w:r>
              <w:rPr>
                <w:rFonts w:hint="eastAsia"/>
                <w:snapToGrid/>
              </w:rPr>
              <w:t xml:space="preserve">  </w:t>
            </w:r>
            <w:r>
              <w:rPr>
                <w:rFonts w:hint="eastAsia"/>
                <w:snapToGrid/>
              </w:rPr>
              <w:t>共</w:t>
            </w:r>
          </w:p>
        </w:tc>
        <w:tc>
          <w:tcPr>
            <w:tcW w:w="2764" w:type="dxa"/>
          </w:tcPr>
          <w:p w:rsidR="00000000" w:rsidRDefault="00000000">
            <w:pPr>
              <w:pStyle w:val="a2"/>
              <w:jc w:val="center"/>
              <w:rPr>
                <w:snapToGrid/>
              </w:rPr>
            </w:pPr>
            <w:r>
              <w:rPr>
                <w:snapToGrid/>
              </w:rPr>
              <w:t>415.0</w:t>
            </w:r>
          </w:p>
        </w:tc>
        <w:tc>
          <w:tcPr>
            <w:tcW w:w="2768" w:type="dxa"/>
          </w:tcPr>
          <w:p w:rsidR="00000000" w:rsidRDefault="00000000">
            <w:pPr>
              <w:pStyle w:val="a2"/>
              <w:jc w:val="center"/>
              <w:rPr>
                <w:snapToGrid/>
              </w:rPr>
            </w:pPr>
            <w:r>
              <w:rPr>
                <w:snapToGrid/>
              </w:rPr>
              <w:t>603.9</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私</w:t>
            </w:r>
            <w:r>
              <w:rPr>
                <w:rFonts w:hint="eastAsia"/>
                <w:snapToGrid/>
              </w:rPr>
              <w:t xml:space="preserve">  </w:t>
            </w:r>
            <w:r>
              <w:rPr>
                <w:rFonts w:hint="eastAsia"/>
                <w:snapToGrid/>
              </w:rPr>
              <w:t>营</w:t>
            </w:r>
          </w:p>
        </w:tc>
        <w:tc>
          <w:tcPr>
            <w:tcW w:w="2764" w:type="dxa"/>
          </w:tcPr>
          <w:p w:rsidR="00000000" w:rsidRDefault="00000000">
            <w:pPr>
              <w:pStyle w:val="a2"/>
              <w:jc w:val="center"/>
              <w:rPr>
                <w:snapToGrid/>
              </w:rPr>
            </w:pPr>
            <w:r>
              <w:rPr>
                <w:snapToGrid/>
              </w:rPr>
              <w:t>449.7</w:t>
            </w:r>
          </w:p>
        </w:tc>
        <w:tc>
          <w:tcPr>
            <w:tcW w:w="2768" w:type="dxa"/>
          </w:tcPr>
          <w:p w:rsidR="00000000" w:rsidRDefault="00000000">
            <w:pPr>
              <w:pStyle w:val="a2"/>
              <w:jc w:val="center"/>
              <w:rPr>
                <w:snapToGrid/>
              </w:rPr>
            </w:pPr>
            <w:r>
              <w:rPr>
                <w:snapToGrid/>
              </w:rPr>
              <w:t>567.5</w:t>
            </w:r>
          </w:p>
        </w:tc>
      </w:tr>
      <w:tr w:rsidR="00000000">
        <w:tblPrEx>
          <w:tblCellMar>
            <w:top w:w="0" w:type="dxa"/>
            <w:bottom w:w="0" w:type="dxa"/>
          </w:tblCellMar>
        </w:tblPrEx>
        <w:trPr>
          <w:cantSplit/>
        </w:trPr>
        <w:tc>
          <w:tcPr>
            <w:tcW w:w="3828" w:type="dxa"/>
          </w:tcPr>
          <w:p w:rsidR="00000000" w:rsidRDefault="00000000">
            <w:pPr>
              <w:pStyle w:val="a2"/>
              <w:rPr>
                <w:rFonts w:hint="eastAsia"/>
                <w:snapToGrid/>
              </w:rPr>
            </w:pPr>
            <w:r>
              <w:rPr>
                <w:rFonts w:hint="eastAsia"/>
                <w:snapToGrid/>
              </w:rPr>
              <w:t>运</w:t>
            </w:r>
            <w:r>
              <w:rPr>
                <w:rFonts w:hint="eastAsia"/>
                <w:snapToGrid/>
              </w:rPr>
              <w:t xml:space="preserve">  </w:t>
            </w:r>
            <w:r>
              <w:rPr>
                <w:rFonts w:hint="eastAsia"/>
                <w:snapToGrid/>
              </w:rPr>
              <w:t>输</w:t>
            </w:r>
          </w:p>
        </w:tc>
        <w:tc>
          <w:tcPr>
            <w:tcW w:w="2764" w:type="dxa"/>
          </w:tcPr>
          <w:p w:rsidR="00000000" w:rsidRDefault="00000000">
            <w:pPr>
              <w:pStyle w:val="a2"/>
              <w:jc w:val="center"/>
              <w:rPr>
                <w:snapToGrid/>
              </w:rPr>
            </w:pPr>
            <w:r>
              <w:rPr>
                <w:snapToGrid/>
              </w:rPr>
              <w:t>462.2</w:t>
            </w:r>
          </w:p>
        </w:tc>
        <w:tc>
          <w:tcPr>
            <w:tcW w:w="2768" w:type="dxa"/>
          </w:tcPr>
          <w:p w:rsidR="00000000" w:rsidRDefault="00000000">
            <w:pPr>
              <w:pStyle w:val="a2"/>
              <w:jc w:val="center"/>
              <w:rPr>
                <w:snapToGrid/>
              </w:rPr>
            </w:pPr>
            <w:r>
              <w:rPr>
                <w:snapToGrid/>
              </w:rPr>
              <w:t>638.8</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公</w:t>
            </w:r>
            <w:r>
              <w:rPr>
                <w:rFonts w:hint="eastAsia"/>
                <w:snapToGrid/>
              </w:rPr>
              <w:t xml:space="preserve">  </w:t>
            </w:r>
            <w:r>
              <w:rPr>
                <w:rFonts w:hint="eastAsia"/>
                <w:snapToGrid/>
              </w:rPr>
              <w:t>共</w:t>
            </w:r>
          </w:p>
        </w:tc>
        <w:tc>
          <w:tcPr>
            <w:tcW w:w="2764" w:type="dxa"/>
          </w:tcPr>
          <w:p w:rsidR="00000000" w:rsidRDefault="00000000">
            <w:pPr>
              <w:pStyle w:val="a2"/>
              <w:jc w:val="center"/>
              <w:rPr>
                <w:snapToGrid/>
              </w:rPr>
            </w:pPr>
            <w:r>
              <w:rPr>
                <w:snapToGrid/>
              </w:rPr>
              <w:t>520.3</w:t>
            </w:r>
          </w:p>
        </w:tc>
        <w:tc>
          <w:tcPr>
            <w:tcW w:w="2768" w:type="dxa"/>
          </w:tcPr>
          <w:p w:rsidR="00000000" w:rsidRDefault="00000000">
            <w:pPr>
              <w:pStyle w:val="a2"/>
              <w:jc w:val="center"/>
              <w:rPr>
                <w:snapToGrid/>
              </w:rPr>
            </w:pPr>
            <w:r>
              <w:rPr>
                <w:snapToGrid/>
              </w:rPr>
              <w:t>742.1</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私</w:t>
            </w:r>
            <w:r>
              <w:rPr>
                <w:rFonts w:hint="eastAsia"/>
                <w:snapToGrid/>
              </w:rPr>
              <w:t xml:space="preserve">  </w:t>
            </w:r>
            <w:r>
              <w:rPr>
                <w:rFonts w:hint="eastAsia"/>
                <w:snapToGrid/>
              </w:rPr>
              <w:t>营</w:t>
            </w:r>
          </w:p>
        </w:tc>
        <w:tc>
          <w:tcPr>
            <w:tcW w:w="2764" w:type="dxa"/>
          </w:tcPr>
          <w:p w:rsidR="00000000" w:rsidRDefault="00000000">
            <w:pPr>
              <w:pStyle w:val="a2"/>
              <w:jc w:val="center"/>
              <w:rPr>
                <w:snapToGrid/>
              </w:rPr>
            </w:pPr>
            <w:r>
              <w:rPr>
                <w:snapToGrid/>
              </w:rPr>
              <w:t>317.4</w:t>
            </w:r>
          </w:p>
        </w:tc>
        <w:tc>
          <w:tcPr>
            <w:tcW w:w="2768" w:type="dxa"/>
          </w:tcPr>
          <w:p w:rsidR="00000000" w:rsidRDefault="00000000">
            <w:pPr>
              <w:pStyle w:val="a2"/>
              <w:jc w:val="center"/>
              <w:rPr>
                <w:snapToGrid/>
              </w:rPr>
            </w:pPr>
            <w:r>
              <w:rPr>
                <w:snapToGrid/>
              </w:rPr>
              <w:t>399.7</w:t>
            </w:r>
          </w:p>
        </w:tc>
      </w:tr>
      <w:tr w:rsidR="00000000">
        <w:tblPrEx>
          <w:tblCellMar>
            <w:top w:w="0" w:type="dxa"/>
            <w:bottom w:w="0" w:type="dxa"/>
          </w:tblCellMar>
        </w:tblPrEx>
        <w:trPr>
          <w:cantSplit/>
        </w:trPr>
        <w:tc>
          <w:tcPr>
            <w:tcW w:w="3828" w:type="dxa"/>
          </w:tcPr>
          <w:p w:rsidR="00000000" w:rsidRDefault="00000000">
            <w:pPr>
              <w:pStyle w:val="a2"/>
              <w:rPr>
                <w:rFonts w:hint="eastAsia"/>
                <w:snapToGrid/>
              </w:rPr>
            </w:pPr>
            <w:r>
              <w:rPr>
                <w:rFonts w:hint="eastAsia"/>
                <w:snapToGrid/>
              </w:rPr>
              <w:t>商</w:t>
            </w:r>
            <w:r>
              <w:rPr>
                <w:rFonts w:hint="eastAsia"/>
                <w:snapToGrid/>
              </w:rPr>
              <w:t xml:space="preserve">  </w:t>
            </w:r>
            <w:r>
              <w:rPr>
                <w:rFonts w:hint="eastAsia"/>
                <w:snapToGrid/>
              </w:rPr>
              <w:t>业</w:t>
            </w:r>
          </w:p>
        </w:tc>
        <w:tc>
          <w:tcPr>
            <w:tcW w:w="2764" w:type="dxa"/>
          </w:tcPr>
          <w:p w:rsidR="00000000" w:rsidRDefault="00000000">
            <w:pPr>
              <w:pStyle w:val="a2"/>
              <w:jc w:val="center"/>
              <w:rPr>
                <w:snapToGrid/>
              </w:rPr>
            </w:pPr>
            <w:r>
              <w:rPr>
                <w:snapToGrid/>
              </w:rPr>
              <w:t>274.7</w:t>
            </w:r>
          </w:p>
        </w:tc>
        <w:tc>
          <w:tcPr>
            <w:tcW w:w="2768" w:type="dxa"/>
          </w:tcPr>
          <w:p w:rsidR="00000000" w:rsidRDefault="00000000">
            <w:pPr>
              <w:pStyle w:val="a2"/>
              <w:jc w:val="center"/>
              <w:rPr>
                <w:snapToGrid/>
              </w:rPr>
            </w:pPr>
            <w:r>
              <w:rPr>
                <w:snapToGrid/>
              </w:rPr>
              <w:t>363.0</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公</w:t>
            </w:r>
            <w:r>
              <w:rPr>
                <w:rFonts w:hint="eastAsia"/>
                <w:snapToGrid/>
              </w:rPr>
              <w:t xml:space="preserve">  </w:t>
            </w:r>
            <w:r>
              <w:rPr>
                <w:rFonts w:hint="eastAsia"/>
                <w:snapToGrid/>
              </w:rPr>
              <w:t>共</w:t>
            </w:r>
          </w:p>
        </w:tc>
        <w:tc>
          <w:tcPr>
            <w:tcW w:w="2764" w:type="dxa"/>
          </w:tcPr>
          <w:p w:rsidR="00000000" w:rsidRDefault="00000000">
            <w:pPr>
              <w:pStyle w:val="a2"/>
              <w:jc w:val="center"/>
              <w:rPr>
                <w:snapToGrid/>
              </w:rPr>
            </w:pPr>
            <w:r>
              <w:rPr>
                <w:snapToGrid/>
              </w:rPr>
              <w:t>489.3</w:t>
            </w:r>
          </w:p>
        </w:tc>
        <w:tc>
          <w:tcPr>
            <w:tcW w:w="2768" w:type="dxa"/>
          </w:tcPr>
          <w:p w:rsidR="00000000" w:rsidRDefault="00000000">
            <w:pPr>
              <w:pStyle w:val="a2"/>
              <w:jc w:val="center"/>
              <w:rPr>
                <w:snapToGrid/>
              </w:rPr>
            </w:pPr>
            <w:r>
              <w:rPr>
                <w:snapToGrid/>
              </w:rPr>
              <w:t>643.2</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私</w:t>
            </w:r>
            <w:r>
              <w:rPr>
                <w:rFonts w:hint="eastAsia"/>
                <w:snapToGrid/>
              </w:rPr>
              <w:t xml:space="preserve">  </w:t>
            </w:r>
            <w:r>
              <w:rPr>
                <w:rFonts w:hint="eastAsia"/>
                <w:snapToGrid/>
              </w:rPr>
              <w:t>营</w:t>
            </w:r>
          </w:p>
        </w:tc>
        <w:tc>
          <w:tcPr>
            <w:tcW w:w="2764" w:type="dxa"/>
          </w:tcPr>
          <w:p w:rsidR="00000000" w:rsidRDefault="00000000">
            <w:pPr>
              <w:pStyle w:val="a2"/>
              <w:jc w:val="center"/>
              <w:rPr>
                <w:snapToGrid/>
              </w:rPr>
            </w:pPr>
            <w:r>
              <w:rPr>
                <w:snapToGrid/>
              </w:rPr>
              <w:t>221.8</w:t>
            </w:r>
          </w:p>
        </w:tc>
        <w:tc>
          <w:tcPr>
            <w:tcW w:w="2768" w:type="dxa"/>
          </w:tcPr>
          <w:p w:rsidR="00000000" w:rsidRDefault="00000000">
            <w:pPr>
              <w:pStyle w:val="a2"/>
              <w:jc w:val="center"/>
              <w:rPr>
                <w:snapToGrid/>
              </w:rPr>
            </w:pPr>
            <w:r>
              <w:rPr>
                <w:snapToGrid/>
              </w:rPr>
              <w:t>316.8</w:t>
            </w:r>
          </w:p>
        </w:tc>
      </w:tr>
      <w:tr w:rsidR="00000000">
        <w:tblPrEx>
          <w:tblCellMar>
            <w:top w:w="0" w:type="dxa"/>
            <w:bottom w:w="0" w:type="dxa"/>
          </w:tblCellMar>
        </w:tblPrEx>
        <w:trPr>
          <w:cantSplit/>
        </w:trPr>
        <w:tc>
          <w:tcPr>
            <w:tcW w:w="3828" w:type="dxa"/>
          </w:tcPr>
          <w:p w:rsidR="00000000" w:rsidRDefault="00000000">
            <w:pPr>
              <w:pStyle w:val="a2"/>
              <w:rPr>
                <w:rFonts w:hint="eastAsia"/>
                <w:snapToGrid/>
              </w:rPr>
            </w:pPr>
            <w:r>
              <w:rPr>
                <w:rFonts w:hint="eastAsia"/>
                <w:snapToGrid/>
              </w:rPr>
              <w:t>教</w:t>
            </w:r>
            <w:r>
              <w:rPr>
                <w:rFonts w:hint="eastAsia"/>
                <w:snapToGrid/>
              </w:rPr>
              <w:t xml:space="preserve">  </w:t>
            </w:r>
            <w:r>
              <w:rPr>
                <w:rFonts w:hint="eastAsia"/>
                <w:snapToGrid/>
              </w:rPr>
              <w:t>育</w:t>
            </w:r>
          </w:p>
        </w:tc>
        <w:tc>
          <w:tcPr>
            <w:tcW w:w="2764" w:type="dxa"/>
          </w:tcPr>
          <w:p w:rsidR="00000000" w:rsidRDefault="00000000">
            <w:pPr>
              <w:pStyle w:val="a2"/>
              <w:jc w:val="center"/>
              <w:rPr>
                <w:snapToGrid/>
              </w:rPr>
            </w:pPr>
            <w:r>
              <w:rPr>
                <w:snapToGrid/>
              </w:rPr>
              <w:t>193.5</w:t>
            </w:r>
          </w:p>
        </w:tc>
        <w:tc>
          <w:tcPr>
            <w:tcW w:w="2768" w:type="dxa"/>
          </w:tcPr>
          <w:p w:rsidR="00000000" w:rsidRDefault="00000000">
            <w:pPr>
              <w:pStyle w:val="a2"/>
              <w:jc w:val="center"/>
              <w:rPr>
                <w:snapToGrid/>
              </w:rPr>
            </w:pPr>
            <w:r>
              <w:rPr>
                <w:snapToGrid/>
              </w:rPr>
              <w:t>250.3</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公</w:t>
            </w:r>
            <w:r>
              <w:rPr>
                <w:rFonts w:hint="eastAsia"/>
                <w:snapToGrid/>
              </w:rPr>
              <w:t xml:space="preserve">  </w:t>
            </w:r>
            <w:r>
              <w:rPr>
                <w:rFonts w:hint="eastAsia"/>
                <w:snapToGrid/>
              </w:rPr>
              <w:t>共</w:t>
            </w:r>
          </w:p>
        </w:tc>
        <w:tc>
          <w:tcPr>
            <w:tcW w:w="2764" w:type="dxa"/>
          </w:tcPr>
          <w:p w:rsidR="00000000" w:rsidRDefault="00000000">
            <w:pPr>
              <w:pStyle w:val="a2"/>
              <w:jc w:val="center"/>
              <w:rPr>
                <w:snapToGrid/>
              </w:rPr>
            </w:pPr>
            <w:r>
              <w:rPr>
                <w:snapToGrid/>
              </w:rPr>
              <w:t>188.0</w:t>
            </w:r>
          </w:p>
        </w:tc>
        <w:tc>
          <w:tcPr>
            <w:tcW w:w="2768" w:type="dxa"/>
          </w:tcPr>
          <w:p w:rsidR="00000000" w:rsidRDefault="00000000">
            <w:pPr>
              <w:pStyle w:val="a2"/>
              <w:jc w:val="center"/>
              <w:rPr>
                <w:snapToGrid/>
              </w:rPr>
            </w:pPr>
            <w:r>
              <w:rPr>
                <w:snapToGrid/>
              </w:rPr>
              <w:t>239.6</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私</w:t>
            </w:r>
            <w:r>
              <w:rPr>
                <w:rFonts w:hint="eastAsia"/>
                <w:snapToGrid/>
              </w:rPr>
              <w:t xml:space="preserve">  </w:t>
            </w:r>
            <w:r>
              <w:rPr>
                <w:rFonts w:hint="eastAsia"/>
                <w:snapToGrid/>
              </w:rPr>
              <w:t>营</w:t>
            </w:r>
          </w:p>
        </w:tc>
        <w:tc>
          <w:tcPr>
            <w:tcW w:w="2764" w:type="dxa"/>
          </w:tcPr>
          <w:p w:rsidR="00000000" w:rsidRDefault="00000000">
            <w:pPr>
              <w:pStyle w:val="a2"/>
              <w:jc w:val="center"/>
              <w:rPr>
                <w:snapToGrid/>
              </w:rPr>
            </w:pPr>
            <w:r>
              <w:rPr>
                <w:snapToGrid/>
              </w:rPr>
              <w:t>602.5</w:t>
            </w:r>
          </w:p>
        </w:tc>
        <w:tc>
          <w:tcPr>
            <w:tcW w:w="2768" w:type="dxa"/>
          </w:tcPr>
          <w:p w:rsidR="00000000" w:rsidRDefault="00000000">
            <w:pPr>
              <w:pStyle w:val="a2"/>
              <w:jc w:val="center"/>
              <w:rPr>
                <w:snapToGrid/>
              </w:rPr>
            </w:pPr>
            <w:r>
              <w:rPr>
                <w:snapToGrid/>
              </w:rPr>
              <w:t>850.6</w:t>
            </w:r>
          </w:p>
        </w:tc>
      </w:tr>
      <w:tr w:rsidR="00000000">
        <w:tblPrEx>
          <w:tblCellMar>
            <w:top w:w="0" w:type="dxa"/>
            <w:bottom w:w="0" w:type="dxa"/>
          </w:tblCellMar>
        </w:tblPrEx>
        <w:trPr>
          <w:cantSplit/>
        </w:trPr>
        <w:tc>
          <w:tcPr>
            <w:tcW w:w="3828" w:type="dxa"/>
          </w:tcPr>
          <w:p w:rsidR="00000000" w:rsidRDefault="00000000">
            <w:pPr>
              <w:pStyle w:val="a2"/>
              <w:rPr>
                <w:rFonts w:hint="eastAsia"/>
                <w:snapToGrid/>
              </w:rPr>
            </w:pPr>
            <w:r>
              <w:rPr>
                <w:rFonts w:hint="eastAsia"/>
                <w:snapToGrid/>
              </w:rPr>
              <w:t>卫生和社会援助</w:t>
            </w:r>
          </w:p>
        </w:tc>
        <w:tc>
          <w:tcPr>
            <w:tcW w:w="2764" w:type="dxa"/>
          </w:tcPr>
          <w:p w:rsidR="00000000" w:rsidRDefault="00000000">
            <w:pPr>
              <w:pStyle w:val="a2"/>
              <w:jc w:val="center"/>
              <w:rPr>
                <w:snapToGrid/>
              </w:rPr>
            </w:pPr>
            <w:r>
              <w:rPr>
                <w:snapToGrid/>
              </w:rPr>
              <w:t>184.1</w:t>
            </w:r>
          </w:p>
        </w:tc>
        <w:tc>
          <w:tcPr>
            <w:tcW w:w="2768" w:type="dxa"/>
          </w:tcPr>
          <w:p w:rsidR="00000000" w:rsidRDefault="00000000">
            <w:pPr>
              <w:pStyle w:val="a2"/>
              <w:jc w:val="center"/>
              <w:rPr>
                <w:snapToGrid/>
              </w:rPr>
            </w:pPr>
            <w:r>
              <w:rPr>
                <w:snapToGrid/>
              </w:rPr>
              <w:t>227.6</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公</w:t>
            </w:r>
            <w:r>
              <w:rPr>
                <w:rFonts w:hint="eastAsia"/>
                <w:snapToGrid/>
              </w:rPr>
              <w:t xml:space="preserve">  </w:t>
            </w:r>
            <w:r>
              <w:rPr>
                <w:rFonts w:hint="eastAsia"/>
                <w:snapToGrid/>
              </w:rPr>
              <w:t>共</w:t>
            </w:r>
          </w:p>
        </w:tc>
        <w:tc>
          <w:tcPr>
            <w:tcW w:w="2764" w:type="dxa"/>
          </w:tcPr>
          <w:p w:rsidR="00000000" w:rsidRDefault="00000000">
            <w:pPr>
              <w:pStyle w:val="a2"/>
              <w:jc w:val="center"/>
              <w:rPr>
                <w:snapToGrid/>
              </w:rPr>
            </w:pPr>
            <w:r>
              <w:rPr>
                <w:snapToGrid/>
              </w:rPr>
              <w:t>182.1</w:t>
            </w:r>
          </w:p>
        </w:tc>
        <w:tc>
          <w:tcPr>
            <w:tcW w:w="2768" w:type="dxa"/>
          </w:tcPr>
          <w:p w:rsidR="00000000" w:rsidRDefault="00000000">
            <w:pPr>
              <w:pStyle w:val="a2"/>
              <w:jc w:val="center"/>
              <w:rPr>
                <w:snapToGrid/>
              </w:rPr>
            </w:pPr>
            <w:r>
              <w:rPr>
                <w:snapToGrid/>
              </w:rPr>
              <w:t>225.2</w:t>
            </w:r>
          </w:p>
        </w:tc>
      </w:tr>
      <w:tr w:rsidR="00000000">
        <w:tblPrEx>
          <w:tblCellMar>
            <w:top w:w="0" w:type="dxa"/>
            <w:bottom w:w="0" w:type="dxa"/>
          </w:tblCellMar>
        </w:tblPrEx>
        <w:trPr>
          <w:cantSplit/>
        </w:trPr>
        <w:tc>
          <w:tcPr>
            <w:tcW w:w="3828" w:type="dxa"/>
          </w:tcPr>
          <w:p w:rsidR="00000000" w:rsidRDefault="00000000">
            <w:pPr>
              <w:pStyle w:val="a2"/>
              <w:ind w:left="207"/>
              <w:rPr>
                <w:rFonts w:hint="eastAsia"/>
                <w:snapToGrid/>
              </w:rPr>
            </w:pPr>
            <w:r>
              <w:rPr>
                <w:rFonts w:hint="eastAsia"/>
                <w:snapToGrid/>
              </w:rPr>
              <w:t>私</w:t>
            </w:r>
            <w:r>
              <w:rPr>
                <w:rFonts w:hint="eastAsia"/>
                <w:snapToGrid/>
              </w:rPr>
              <w:t xml:space="preserve">  </w:t>
            </w:r>
            <w:r>
              <w:rPr>
                <w:rFonts w:hint="eastAsia"/>
                <w:snapToGrid/>
              </w:rPr>
              <w:t>营</w:t>
            </w:r>
          </w:p>
        </w:tc>
        <w:tc>
          <w:tcPr>
            <w:tcW w:w="2764" w:type="dxa"/>
          </w:tcPr>
          <w:p w:rsidR="00000000" w:rsidRDefault="00000000">
            <w:pPr>
              <w:pStyle w:val="a2"/>
              <w:jc w:val="center"/>
              <w:rPr>
                <w:snapToGrid/>
              </w:rPr>
            </w:pPr>
            <w:r>
              <w:rPr>
                <w:snapToGrid/>
              </w:rPr>
              <w:t>401.9</w:t>
            </w:r>
          </w:p>
        </w:tc>
        <w:tc>
          <w:tcPr>
            <w:tcW w:w="2768" w:type="dxa"/>
          </w:tcPr>
          <w:p w:rsidR="00000000" w:rsidRDefault="00000000">
            <w:pPr>
              <w:pStyle w:val="a2"/>
              <w:jc w:val="center"/>
              <w:rPr>
                <w:snapToGrid/>
              </w:rPr>
            </w:pPr>
            <w:r>
              <w:rPr>
                <w:snapToGrid/>
              </w:rPr>
              <w:t>429.8</w:t>
            </w:r>
          </w:p>
        </w:tc>
      </w:tr>
    </w:tbl>
    <w:p w:rsidR="00000000" w:rsidRDefault="00000000">
      <w:pPr>
        <w:rPr>
          <w:snapToGrid/>
        </w:rPr>
      </w:pPr>
    </w:p>
    <w:p w:rsidR="00000000" w:rsidRDefault="00000000">
      <w:pPr>
        <w:spacing w:after="320"/>
        <w:rPr>
          <w:rFonts w:hint="eastAsia"/>
          <w:snapToGrid/>
        </w:rPr>
      </w:pPr>
      <w:r>
        <w:rPr>
          <w:snapToGrid/>
        </w:rPr>
        <w:br w:type="page"/>
      </w:r>
      <w:r>
        <w:rPr>
          <w:snapToGrid/>
        </w:rPr>
        <w:tab/>
      </w:r>
      <w:r>
        <w:rPr>
          <w:rFonts w:hint="eastAsia"/>
          <w:snapToGrid/>
        </w:rPr>
        <w:t>194.</w:t>
      </w:r>
      <w:r>
        <w:rPr>
          <w:snapToGrid/>
        </w:rPr>
        <w:t xml:space="preserve">  </w:t>
      </w:r>
      <w:r>
        <w:rPr>
          <w:rFonts w:hint="eastAsia"/>
          <w:snapToGrid/>
        </w:rPr>
        <w:t>下面根据</w:t>
      </w:r>
      <w:r>
        <w:rPr>
          <w:rFonts w:hint="eastAsia"/>
          <w:snapToGrid/>
        </w:rPr>
        <w:t>2000</w:t>
      </w:r>
      <w:r>
        <w:rPr>
          <w:rFonts w:hint="eastAsia"/>
          <w:snapToGrid/>
        </w:rPr>
        <w:t>年的初步数据，显示了雇员的报酬情况，他们的报酬取决于资金来源：</w:t>
      </w:r>
    </w:p>
    <w:tbl>
      <w:tblPr>
        <w:tblW w:w="0" w:type="auto"/>
        <w:jc w:val="center"/>
        <w:tblInd w:w="1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9"/>
        <w:gridCol w:w="2977"/>
      </w:tblGrid>
      <w:tr w:rsidR="00000000">
        <w:tblPrEx>
          <w:tblCellMar>
            <w:top w:w="0" w:type="dxa"/>
            <w:bottom w:w="0" w:type="dxa"/>
          </w:tblCellMar>
        </w:tblPrEx>
        <w:trPr>
          <w:jc w:val="center"/>
        </w:trPr>
        <w:tc>
          <w:tcPr>
            <w:tcW w:w="3899" w:type="dxa"/>
          </w:tcPr>
          <w:p w:rsidR="00000000" w:rsidRDefault="00000000">
            <w:pPr>
              <w:rPr>
                <w:rFonts w:hint="eastAsia"/>
                <w:snapToGrid/>
              </w:rPr>
            </w:pPr>
            <w:r>
              <w:rPr>
                <w:rFonts w:hint="eastAsia"/>
                <w:snapToGrid/>
              </w:rPr>
              <w:t>雇员的平均工资</w:t>
            </w:r>
            <w:r>
              <w:rPr>
                <w:rFonts w:hint="eastAsia"/>
                <w:snapToGrid/>
                <w:spacing w:val="-50"/>
              </w:rPr>
              <w:t>―</w:t>
            </w:r>
            <w:r>
              <w:rPr>
                <w:rFonts w:hint="eastAsia"/>
                <w:snapToGrid/>
              </w:rPr>
              <w:t>―合计</w:t>
            </w:r>
          </w:p>
        </w:tc>
        <w:tc>
          <w:tcPr>
            <w:tcW w:w="2977" w:type="dxa"/>
          </w:tcPr>
          <w:p w:rsidR="00000000" w:rsidRDefault="00000000">
            <w:pPr>
              <w:jc w:val="center"/>
              <w:rPr>
                <w:rFonts w:hint="eastAsia"/>
                <w:snapToGrid/>
              </w:rPr>
            </w:pPr>
            <w:r>
              <w:rPr>
                <w:snapToGrid/>
              </w:rPr>
              <w:t xml:space="preserve">407.0 </w:t>
            </w:r>
            <w:r>
              <w:rPr>
                <w:rFonts w:hint="eastAsia"/>
                <w:snapToGrid/>
              </w:rPr>
              <w:t>列依</w:t>
            </w:r>
          </w:p>
        </w:tc>
      </w:tr>
      <w:tr w:rsidR="00000000">
        <w:tblPrEx>
          <w:tblCellMar>
            <w:top w:w="0" w:type="dxa"/>
            <w:bottom w:w="0" w:type="dxa"/>
          </w:tblCellMar>
        </w:tblPrEx>
        <w:trPr>
          <w:jc w:val="center"/>
        </w:trPr>
        <w:tc>
          <w:tcPr>
            <w:tcW w:w="3899" w:type="dxa"/>
            <w:tcBorders>
              <w:bottom w:val="nil"/>
            </w:tcBorders>
          </w:tcPr>
          <w:p w:rsidR="00000000" w:rsidRDefault="00000000">
            <w:pPr>
              <w:rPr>
                <w:snapToGrid/>
              </w:rPr>
            </w:pPr>
            <w:r>
              <w:rPr>
                <w:rFonts w:hint="eastAsia"/>
                <w:snapToGrid/>
              </w:rPr>
              <w:t>包括</w:t>
            </w:r>
            <w:r>
              <w:rPr>
                <w:snapToGrid/>
              </w:rPr>
              <w:t>：</w:t>
            </w:r>
          </w:p>
        </w:tc>
        <w:tc>
          <w:tcPr>
            <w:tcW w:w="2977" w:type="dxa"/>
            <w:tcBorders>
              <w:bottom w:val="nil"/>
            </w:tcBorders>
          </w:tcPr>
          <w:p w:rsidR="00000000" w:rsidRDefault="00000000">
            <w:pPr>
              <w:jc w:val="center"/>
              <w:rPr>
                <w:snapToGrid/>
              </w:rPr>
            </w:pPr>
          </w:p>
        </w:tc>
      </w:tr>
      <w:tr w:rsidR="00000000">
        <w:tblPrEx>
          <w:tblCellMar>
            <w:top w:w="0" w:type="dxa"/>
            <w:bottom w:w="0" w:type="dxa"/>
          </w:tblCellMar>
        </w:tblPrEx>
        <w:trPr>
          <w:jc w:val="center"/>
        </w:trPr>
        <w:tc>
          <w:tcPr>
            <w:tcW w:w="3899" w:type="dxa"/>
            <w:tcBorders>
              <w:top w:val="nil"/>
              <w:bottom w:val="nil"/>
            </w:tcBorders>
          </w:tcPr>
          <w:p w:rsidR="00000000" w:rsidRDefault="00000000">
            <w:pPr>
              <w:ind w:left="213" w:firstLine="130"/>
              <w:rPr>
                <w:rFonts w:hint="eastAsia"/>
                <w:snapToGrid/>
              </w:rPr>
            </w:pPr>
            <w:r>
              <w:rPr>
                <w:rFonts w:hint="eastAsia"/>
                <w:snapToGrid/>
              </w:rPr>
              <w:t>预算部门</w:t>
            </w:r>
          </w:p>
        </w:tc>
        <w:tc>
          <w:tcPr>
            <w:tcW w:w="2977" w:type="dxa"/>
            <w:tcBorders>
              <w:top w:val="nil"/>
              <w:bottom w:val="nil"/>
            </w:tcBorders>
          </w:tcPr>
          <w:p w:rsidR="00000000" w:rsidRDefault="00000000">
            <w:pPr>
              <w:jc w:val="center"/>
              <w:rPr>
                <w:rFonts w:hint="eastAsia"/>
                <w:snapToGrid/>
              </w:rPr>
            </w:pPr>
            <w:r>
              <w:rPr>
                <w:snapToGrid/>
              </w:rPr>
              <w:t>292.9</w:t>
            </w:r>
            <w:r>
              <w:rPr>
                <w:rFonts w:hint="eastAsia"/>
                <w:snapToGrid/>
              </w:rPr>
              <w:t>列依</w:t>
            </w:r>
          </w:p>
        </w:tc>
      </w:tr>
      <w:tr w:rsidR="00000000">
        <w:tblPrEx>
          <w:tblCellMar>
            <w:top w:w="0" w:type="dxa"/>
            <w:bottom w:w="0" w:type="dxa"/>
          </w:tblCellMar>
        </w:tblPrEx>
        <w:trPr>
          <w:jc w:val="center"/>
        </w:trPr>
        <w:tc>
          <w:tcPr>
            <w:tcW w:w="3899" w:type="dxa"/>
            <w:tcBorders>
              <w:top w:val="nil"/>
            </w:tcBorders>
          </w:tcPr>
          <w:p w:rsidR="00000000" w:rsidRDefault="00000000">
            <w:pPr>
              <w:ind w:left="213" w:firstLine="130"/>
              <w:rPr>
                <w:rFonts w:hint="eastAsia"/>
                <w:snapToGrid/>
              </w:rPr>
            </w:pPr>
            <w:r>
              <w:rPr>
                <w:rFonts w:hint="eastAsia"/>
                <w:snapToGrid/>
              </w:rPr>
              <w:t>任何形式的私营企业</w:t>
            </w:r>
          </w:p>
        </w:tc>
        <w:tc>
          <w:tcPr>
            <w:tcW w:w="2977" w:type="dxa"/>
            <w:tcBorders>
              <w:top w:val="nil"/>
            </w:tcBorders>
          </w:tcPr>
          <w:p w:rsidR="00000000" w:rsidRDefault="00000000">
            <w:pPr>
              <w:jc w:val="center"/>
              <w:rPr>
                <w:rFonts w:hint="eastAsia"/>
                <w:snapToGrid/>
              </w:rPr>
            </w:pPr>
            <w:r>
              <w:rPr>
                <w:snapToGrid/>
              </w:rPr>
              <w:t xml:space="preserve">487.6 </w:t>
            </w:r>
            <w:r>
              <w:rPr>
                <w:rFonts w:hint="eastAsia"/>
                <w:snapToGrid/>
              </w:rPr>
              <w:t>列依</w:t>
            </w:r>
          </w:p>
        </w:tc>
      </w:tr>
    </w:tbl>
    <w:p w:rsidR="00000000" w:rsidRDefault="00000000">
      <w:pPr>
        <w:pStyle w:val="Heading3"/>
        <w:spacing w:before="360"/>
        <w:rPr>
          <w:kern w:val="0"/>
        </w:rPr>
      </w:pPr>
      <w:r>
        <w:rPr>
          <w:rFonts w:hint="eastAsia"/>
          <w:kern w:val="0"/>
          <w:u w:val="none"/>
        </w:rPr>
        <w:t>表</w:t>
      </w:r>
      <w:r>
        <w:rPr>
          <w:kern w:val="0"/>
          <w:u w:val="none"/>
        </w:rPr>
        <w:t xml:space="preserve"> 16.  </w:t>
      </w:r>
      <w:r>
        <w:rPr>
          <w:rFonts w:hint="eastAsia"/>
          <w:kern w:val="0"/>
        </w:rPr>
        <w:t>1994</w:t>
      </w:r>
      <w:r>
        <w:rPr>
          <w:rFonts w:hint="eastAsia"/>
          <w:kern w:val="0"/>
        </w:rPr>
        <w:t>年至</w:t>
      </w:r>
      <w:r>
        <w:rPr>
          <w:rFonts w:hint="eastAsia"/>
          <w:kern w:val="0"/>
        </w:rPr>
        <w:t>1999</w:t>
      </w:r>
      <w:r>
        <w:rPr>
          <w:rFonts w:hint="eastAsia"/>
          <w:kern w:val="0"/>
        </w:rPr>
        <w:t>年月平均工资的演变情况</w:t>
      </w:r>
      <w:r>
        <w:rPr>
          <w:kern w:val="0"/>
        </w:rPr>
        <w:t xml:space="preserve"> (</w:t>
      </w:r>
      <w:r>
        <w:rPr>
          <w:rFonts w:hint="eastAsia"/>
          <w:kern w:val="0"/>
        </w:rPr>
        <w:t>列依</w:t>
      </w:r>
      <w:r>
        <w:rPr>
          <w:kern w:val="0"/>
        </w:rPr>
        <w:t>)</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2339"/>
        <w:gridCol w:w="2339"/>
        <w:gridCol w:w="2339"/>
        <w:gridCol w:w="2339"/>
      </w:tblGrid>
      <w:tr w:rsidR="00000000">
        <w:tblPrEx>
          <w:tblCellMar>
            <w:top w:w="0" w:type="dxa"/>
            <w:bottom w:w="0" w:type="dxa"/>
          </w:tblCellMar>
        </w:tblPrEx>
        <w:trPr>
          <w:cantSplit/>
          <w:trHeight w:val="318"/>
        </w:trPr>
        <w:tc>
          <w:tcPr>
            <w:tcW w:w="2339" w:type="dxa"/>
            <w:tcBorders>
              <w:bottom w:val="single" w:sz="6" w:space="0" w:color="auto"/>
            </w:tcBorders>
          </w:tcPr>
          <w:p w:rsidR="00000000" w:rsidRDefault="00000000">
            <w:pPr>
              <w:jc w:val="center"/>
              <w:rPr>
                <w:rFonts w:hint="eastAsia"/>
                <w:snapToGrid/>
              </w:rPr>
            </w:pPr>
            <w:r>
              <w:rPr>
                <w:rFonts w:hint="eastAsia"/>
                <w:snapToGrid/>
              </w:rPr>
              <w:t>年</w:t>
            </w:r>
            <w:r>
              <w:rPr>
                <w:snapToGrid/>
              </w:rPr>
              <w:t xml:space="preserve">  </w:t>
            </w:r>
            <w:r>
              <w:rPr>
                <w:rFonts w:hint="eastAsia"/>
                <w:snapToGrid/>
              </w:rPr>
              <w:t>份</w:t>
            </w:r>
          </w:p>
        </w:tc>
        <w:tc>
          <w:tcPr>
            <w:tcW w:w="2339" w:type="dxa"/>
            <w:tcBorders>
              <w:bottom w:val="single" w:sz="6" w:space="0" w:color="auto"/>
            </w:tcBorders>
          </w:tcPr>
          <w:p w:rsidR="00000000" w:rsidRDefault="00000000">
            <w:pPr>
              <w:jc w:val="center"/>
              <w:rPr>
                <w:rFonts w:hint="eastAsia"/>
                <w:snapToGrid/>
              </w:rPr>
            </w:pPr>
            <w:r>
              <w:rPr>
                <w:rFonts w:hint="eastAsia"/>
                <w:snapToGrid/>
              </w:rPr>
              <w:t>合</w:t>
            </w:r>
            <w:r>
              <w:rPr>
                <w:snapToGrid/>
              </w:rPr>
              <w:t xml:space="preserve">  </w:t>
            </w:r>
            <w:r>
              <w:rPr>
                <w:rFonts w:hint="eastAsia"/>
                <w:snapToGrid/>
              </w:rPr>
              <w:t>计</w:t>
            </w:r>
          </w:p>
        </w:tc>
        <w:tc>
          <w:tcPr>
            <w:tcW w:w="2339" w:type="dxa"/>
            <w:tcBorders>
              <w:bottom w:val="single" w:sz="6" w:space="0" w:color="auto"/>
            </w:tcBorders>
          </w:tcPr>
          <w:p w:rsidR="00000000" w:rsidRDefault="00000000">
            <w:pPr>
              <w:jc w:val="center"/>
              <w:rPr>
                <w:rFonts w:hint="eastAsia"/>
                <w:snapToGrid/>
              </w:rPr>
            </w:pPr>
            <w:r>
              <w:rPr>
                <w:rFonts w:hint="eastAsia"/>
                <w:snapToGrid/>
              </w:rPr>
              <w:t>公共部门</w:t>
            </w:r>
          </w:p>
        </w:tc>
        <w:tc>
          <w:tcPr>
            <w:tcW w:w="2339" w:type="dxa"/>
            <w:tcBorders>
              <w:bottom w:val="single" w:sz="6" w:space="0" w:color="auto"/>
            </w:tcBorders>
          </w:tcPr>
          <w:p w:rsidR="00000000" w:rsidRDefault="00000000">
            <w:pPr>
              <w:jc w:val="center"/>
              <w:rPr>
                <w:rFonts w:hint="eastAsia"/>
                <w:snapToGrid/>
              </w:rPr>
            </w:pPr>
            <w:r>
              <w:rPr>
                <w:rFonts w:hint="eastAsia"/>
                <w:snapToGrid/>
              </w:rPr>
              <w:t>私营部门</w:t>
            </w:r>
          </w:p>
        </w:tc>
      </w:tr>
      <w:tr w:rsidR="00000000">
        <w:tblPrEx>
          <w:tblCellMar>
            <w:top w:w="0" w:type="dxa"/>
            <w:bottom w:w="0" w:type="dxa"/>
          </w:tblCellMar>
        </w:tblPrEx>
        <w:trPr>
          <w:cantSplit/>
          <w:trHeight w:val="318"/>
        </w:trPr>
        <w:tc>
          <w:tcPr>
            <w:tcW w:w="2339" w:type="dxa"/>
            <w:tcBorders>
              <w:top w:val="single" w:sz="6" w:space="0" w:color="auto"/>
              <w:bottom w:val="nil"/>
            </w:tcBorders>
          </w:tcPr>
          <w:p w:rsidR="00000000" w:rsidRDefault="00000000">
            <w:pPr>
              <w:jc w:val="center"/>
              <w:rPr>
                <w:snapToGrid/>
              </w:rPr>
            </w:pPr>
            <w:r>
              <w:rPr>
                <w:snapToGrid/>
              </w:rPr>
              <w:t>1994</w:t>
            </w:r>
          </w:p>
        </w:tc>
        <w:tc>
          <w:tcPr>
            <w:tcW w:w="2339" w:type="dxa"/>
            <w:tcBorders>
              <w:top w:val="single" w:sz="6" w:space="0" w:color="auto"/>
              <w:bottom w:val="nil"/>
            </w:tcBorders>
          </w:tcPr>
          <w:p w:rsidR="00000000" w:rsidRDefault="00000000">
            <w:pPr>
              <w:jc w:val="center"/>
              <w:rPr>
                <w:snapToGrid/>
              </w:rPr>
            </w:pPr>
            <w:r>
              <w:rPr>
                <w:snapToGrid/>
              </w:rPr>
              <w:t>108.4</w:t>
            </w:r>
          </w:p>
        </w:tc>
        <w:tc>
          <w:tcPr>
            <w:tcW w:w="2339" w:type="dxa"/>
            <w:tcBorders>
              <w:top w:val="single" w:sz="6" w:space="0" w:color="auto"/>
              <w:bottom w:val="nil"/>
            </w:tcBorders>
          </w:tcPr>
          <w:p w:rsidR="00000000" w:rsidRDefault="00000000">
            <w:pPr>
              <w:jc w:val="center"/>
              <w:rPr>
                <w:snapToGrid/>
              </w:rPr>
            </w:pPr>
            <w:r>
              <w:rPr>
                <w:snapToGrid/>
              </w:rPr>
              <w:t>112.2</w:t>
            </w:r>
          </w:p>
        </w:tc>
        <w:tc>
          <w:tcPr>
            <w:tcW w:w="2339" w:type="dxa"/>
            <w:tcBorders>
              <w:top w:val="single" w:sz="6" w:space="0" w:color="auto"/>
              <w:bottom w:val="nil"/>
            </w:tcBorders>
          </w:tcPr>
          <w:p w:rsidR="00000000" w:rsidRDefault="00000000">
            <w:pPr>
              <w:jc w:val="center"/>
              <w:rPr>
                <w:snapToGrid/>
              </w:rPr>
            </w:pPr>
            <w:r>
              <w:rPr>
                <w:snapToGrid/>
              </w:rPr>
              <w:t>104.2</w:t>
            </w:r>
          </w:p>
        </w:tc>
      </w:tr>
      <w:tr w:rsidR="00000000">
        <w:tblPrEx>
          <w:tblCellMar>
            <w:top w:w="0" w:type="dxa"/>
            <w:bottom w:w="0" w:type="dxa"/>
          </w:tblCellMar>
        </w:tblPrEx>
        <w:trPr>
          <w:cantSplit/>
          <w:trHeight w:val="318"/>
        </w:trPr>
        <w:tc>
          <w:tcPr>
            <w:tcW w:w="2339" w:type="dxa"/>
            <w:tcBorders>
              <w:top w:val="nil"/>
            </w:tcBorders>
          </w:tcPr>
          <w:p w:rsidR="00000000" w:rsidRDefault="00000000">
            <w:pPr>
              <w:jc w:val="center"/>
              <w:rPr>
                <w:snapToGrid/>
              </w:rPr>
            </w:pPr>
            <w:r>
              <w:rPr>
                <w:snapToGrid/>
              </w:rPr>
              <w:t>1995</w:t>
            </w:r>
          </w:p>
        </w:tc>
        <w:tc>
          <w:tcPr>
            <w:tcW w:w="2339" w:type="dxa"/>
            <w:tcBorders>
              <w:top w:val="nil"/>
            </w:tcBorders>
          </w:tcPr>
          <w:p w:rsidR="00000000" w:rsidRDefault="00000000">
            <w:pPr>
              <w:jc w:val="center"/>
              <w:rPr>
                <w:snapToGrid/>
              </w:rPr>
            </w:pPr>
            <w:r>
              <w:rPr>
                <w:snapToGrid/>
              </w:rPr>
              <w:t>143.2</w:t>
            </w:r>
          </w:p>
        </w:tc>
        <w:tc>
          <w:tcPr>
            <w:tcW w:w="2339" w:type="dxa"/>
            <w:tcBorders>
              <w:top w:val="nil"/>
            </w:tcBorders>
          </w:tcPr>
          <w:p w:rsidR="00000000" w:rsidRDefault="00000000">
            <w:pPr>
              <w:jc w:val="center"/>
              <w:rPr>
                <w:snapToGrid/>
              </w:rPr>
            </w:pPr>
            <w:r>
              <w:rPr>
                <w:snapToGrid/>
              </w:rPr>
              <w:t>150.3</w:t>
            </w:r>
          </w:p>
        </w:tc>
        <w:tc>
          <w:tcPr>
            <w:tcW w:w="2339" w:type="dxa"/>
            <w:tcBorders>
              <w:top w:val="nil"/>
            </w:tcBorders>
          </w:tcPr>
          <w:p w:rsidR="00000000" w:rsidRDefault="00000000">
            <w:pPr>
              <w:jc w:val="center"/>
              <w:rPr>
                <w:snapToGrid/>
              </w:rPr>
            </w:pPr>
            <w:r>
              <w:rPr>
                <w:snapToGrid/>
              </w:rPr>
              <w:t>122.4</w:t>
            </w:r>
          </w:p>
        </w:tc>
      </w:tr>
      <w:tr w:rsidR="00000000">
        <w:tblPrEx>
          <w:tblCellMar>
            <w:top w:w="0" w:type="dxa"/>
            <w:bottom w:w="0" w:type="dxa"/>
          </w:tblCellMar>
        </w:tblPrEx>
        <w:trPr>
          <w:cantSplit/>
          <w:trHeight w:val="318"/>
        </w:trPr>
        <w:tc>
          <w:tcPr>
            <w:tcW w:w="2339" w:type="dxa"/>
          </w:tcPr>
          <w:p w:rsidR="00000000" w:rsidRDefault="00000000">
            <w:pPr>
              <w:jc w:val="center"/>
              <w:rPr>
                <w:snapToGrid/>
              </w:rPr>
            </w:pPr>
            <w:r>
              <w:rPr>
                <w:snapToGrid/>
              </w:rPr>
              <w:t>1996</w:t>
            </w:r>
          </w:p>
        </w:tc>
        <w:tc>
          <w:tcPr>
            <w:tcW w:w="2339" w:type="dxa"/>
          </w:tcPr>
          <w:p w:rsidR="00000000" w:rsidRDefault="00000000">
            <w:pPr>
              <w:jc w:val="center"/>
              <w:rPr>
                <w:snapToGrid/>
              </w:rPr>
            </w:pPr>
            <w:r>
              <w:rPr>
                <w:snapToGrid/>
              </w:rPr>
              <w:t>187.1</w:t>
            </w:r>
          </w:p>
        </w:tc>
        <w:tc>
          <w:tcPr>
            <w:tcW w:w="2339" w:type="dxa"/>
          </w:tcPr>
          <w:p w:rsidR="00000000" w:rsidRDefault="00000000">
            <w:pPr>
              <w:jc w:val="center"/>
              <w:rPr>
                <w:snapToGrid/>
              </w:rPr>
            </w:pPr>
            <w:r>
              <w:rPr>
                <w:snapToGrid/>
              </w:rPr>
              <w:t>203.0</w:t>
            </w:r>
          </w:p>
        </w:tc>
        <w:tc>
          <w:tcPr>
            <w:tcW w:w="2339" w:type="dxa"/>
          </w:tcPr>
          <w:p w:rsidR="00000000" w:rsidRDefault="00000000">
            <w:pPr>
              <w:jc w:val="center"/>
              <w:rPr>
                <w:snapToGrid/>
              </w:rPr>
            </w:pPr>
            <w:r>
              <w:rPr>
                <w:snapToGrid/>
              </w:rPr>
              <w:t>151.0</w:t>
            </w:r>
          </w:p>
        </w:tc>
      </w:tr>
      <w:tr w:rsidR="00000000">
        <w:tblPrEx>
          <w:tblCellMar>
            <w:top w:w="0" w:type="dxa"/>
            <w:bottom w:w="0" w:type="dxa"/>
          </w:tblCellMar>
        </w:tblPrEx>
        <w:trPr>
          <w:cantSplit/>
          <w:trHeight w:val="318"/>
        </w:trPr>
        <w:tc>
          <w:tcPr>
            <w:tcW w:w="2339" w:type="dxa"/>
          </w:tcPr>
          <w:p w:rsidR="00000000" w:rsidRDefault="00000000">
            <w:pPr>
              <w:jc w:val="center"/>
              <w:rPr>
                <w:snapToGrid/>
              </w:rPr>
            </w:pPr>
            <w:r>
              <w:rPr>
                <w:snapToGrid/>
              </w:rPr>
              <w:t>1997</w:t>
            </w:r>
          </w:p>
        </w:tc>
        <w:tc>
          <w:tcPr>
            <w:tcW w:w="2339" w:type="dxa"/>
          </w:tcPr>
          <w:p w:rsidR="00000000" w:rsidRDefault="00000000">
            <w:pPr>
              <w:jc w:val="center"/>
              <w:rPr>
                <w:snapToGrid/>
              </w:rPr>
            </w:pPr>
            <w:r>
              <w:rPr>
                <w:snapToGrid/>
              </w:rPr>
              <w:t>219.8</w:t>
            </w:r>
          </w:p>
        </w:tc>
        <w:tc>
          <w:tcPr>
            <w:tcW w:w="2339" w:type="dxa"/>
          </w:tcPr>
          <w:p w:rsidR="00000000" w:rsidRDefault="00000000">
            <w:pPr>
              <w:jc w:val="center"/>
              <w:rPr>
                <w:snapToGrid/>
              </w:rPr>
            </w:pPr>
            <w:r>
              <w:rPr>
                <w:snapToGrid/>
              </w:rPr>
              <w:t>234.4</w:t>
            </w:r>
          </w:p>
        </w:tc>
        <w:tc>
          <w:tcPr>
            <w:tcW w:w="2339" w:type="dxa"/>
          </w:tcPr>
          <w:p w:rsidR="00000000" w:rsidRDefault="00000000">
            <w:pPr>
              <w:jc w:val="center"/>
              <w:rPr>
                <w:snapToGrid/>
              </w:rPr>
            </w:pPr>
            <w:r>
              <w:rPr>
                <w:snapToGrid/>
              </w:rPr>
              <w:t>174.3</w:t>
            </w:r>
          </w:p>
        </w:tc>
      </w:tr>
      <w:tr w:rsidR="00000000">
        <w:tblPrEx>
          <w:tblCellMar>
            <w:top w:w="0" w:type="dxa"/>
            <w:bottom w:w="0" w:type="dxa"/>
          </w:tblCellMar>
        </w:tblPrEx>
        <w:trPr>
          <w:cantSplit/>
          <w:trHeight w:val="318"/>
        </w:trPr>
        <w:tc>
          <w:tcPr>
            <w:tcW w:w="2339" w:type="dxa"/>
          </w:tcPr>
          <w:p w:rsidR="00000000" w:rsidRDefault="00000000">
            <w:pPr>
              <w:jc w:val="center"/>
              <w:rPr>
                <w:snapToGrid/>
              </w:rPr>
            </w:pPr>
            <w:r>
              <w:rPr>
                <w:snapToGrid/>
              </w:rPr>
              <w:t>1998</w:t>
            </w:r>
          </w:p>
        </w:tc>
        <w:tc>
          <w:tcPr>
            <w:tcW w:w="2339" w:type="dxa"/>
          </w:tcPr>
          <w:p w:rsidR="00000000" w:rsidRDefault="00000000">
            <w:pPr>
              <w:jc w:val="center"/>
              <w:rPr>
                <w:snapToGrid/>
              </w:rPr>
            </w:pPr>
            <w:r>
              <w:rPr>
                <w:snapToGrid/>
              </w:rPr>
              <w:t>250.4</w:t>
            </w:r>
          </w:p>
        </w:tc>
        <w:tc>
          <w:tcPr>
            <w:tcW w:w="2339" w:type="dxa"/>
          </w:tcPr>
          <w:p w:rsidR="00000000" w:rsidRDefault="00000000">
            <w:pPr>
              <w:jc w:val="center"/>
              <w:rPr>
                <w:snapToGrid/>
              </w:rPr>
            </w:pPr>
            <w:r>
              <w:rPr>
                <w:snapToGrid/>
              </w:rPr>
              <w:t>263.9</w:t>
            </w:r>
          </w:p>
        </w:tc>
        <w:tc>
          <w:tcPr>
            <w:tcW w:w="2339" w:type="dxa"/>
          </w:tcPr>
          <w:p w:rsidR="00000000" w:rsidRDefault="00000000">
            <w:pPr>
              <w:jc w:val="center"/>
              <w:rPr>
                <w:snapToGrid/>
              </w:rPr>
            </w:pPr>
            <w:r>
              <w:rPr>
                <w:snapToGrid/>
              </w:rPr>
              <w:t>194.4</w:t>
            </w:r>
          </w:p>
        </w:tc>
      </w:tr>
      <w:tr w:rsidR="00000000">
        <w:tblPrEx>
          <w:tblCellMar>
            <w:top w:w="0" w:type="dxa"/>
            <w:bottom w:w="0" w:type="dxa"/>
          </w:tblCellMar>
        </w:tblPrEx>
        <w:trPr>
          <w:cantSplit/>
          <w:trHeight w:val="319"/>
        </w:trPr>
        <w:tc>
          <w:tcPr>
            <w:tcW w:w="2339" w:type="dxa"/>
          </w:tcPr>
          <w:p w:rsidR="00000000" w:rsidRDefault="00000000">
            <w:pPr>
              <w:jc w:val="center"/>
              <w:rPr>
                <w:snapToGrid/>
              </w:rPr>
            </w:pPr>
            <w:r>
              <w:rPr>
                <w:snapToGrid/>
              </w:rPr>
              <w:t>1999</w:t>
            </w:r>
          </w:p>
        </w:tc>
        <w:tc>
          <w:tcPr>
            <w:tcW w:w="2339" w:type="dxa"/>
          </w:tcPr>
          <w:p w:rsidR="00000000" w:rsidRDefault="00000000">
            <w:pPr>
              <w:jc w:val="center"/>
              <w:rPr>
                <w:snapToGrid/>
              </w:rPr>
            </w:pPr>
            <w:r>
              <w:rPr>
                <w:snapToGrid/>
              </w:rPr>
              <w:t>304.6</w:t>
            </w:r>
          </w:p>
        </w:tc>
        <w:tc>
          <w:tcPr>
            <w:tcW w:w="2339" w:type="dxa"/>
          </w:tcPr>
          <w:p w:rsidR="00000000" w:rsidRDefault="00000000">
            <w:pPr>
              <w:jc w:val="center"/>
              <w:rPr>
                <w:snapToGrid/>
              </w:rPr>
            </w:pPr>
            <w:r>
              <w:rPr>
                <w:snapToGrid/>
              </w:rPr>
              <w:t>297.6</w:t>
            </w:r>
          </w:p>
        </w:tc>
        <w:tc>
          <w:tcPr>
            <w:tcW w:w="2339" w:type="dxa"/>
          </w:tcPr>
          <w:p w:rsidR="00000000" w:rsidRDefault="00000000">
            <w:pPr>
              <w:jc w:val="center"/>
              <w:rPr>
                <w:snapToGrid/>
              </w:rPr>
            </w:pPr>
            <w:r>
              <w:rPr>
                <w:snapToGrid/>
              </w:rPr>
              <w:t>256.6</w:t>
            </w:r>
          </w:p>
        </w:tc>
      </w:tr>
    </w:tbl>
    <w:p w:rsidR="00000000" w:rsidRDefault="00000000">
      <w:pPr>
        <w:rPr>
          <w:rFonts w:hint="eastAsia"/>
          <w:snapToGrid/>
        </w:rPr>
      </w:pPr>
      <w:r>
        <w:rPr>
          <w:snapToGrid/>
        </w:rPr>
        <w:t xml:space="preserve"> </w:t>
      </w:r>
    </w:p>
    <w:p w:rsidR="00000000" w:rsidRDefault="00000000">
      <w:pPr>
        <w:rPr>
          <w:rFonts w:hint="eastAsia"/>
          <w:snapToGrid/>
        </w:rPr>
      </w:pPr>
      <w:r>
        <w:rPr>
          <w:snapToGrid/>
        </w:rPr>
        <w:tab/>
      </w:r>
      <w:r>
        <w:rPr>
          <w:rFonts w:hint="eastAsia"/>
          <w:snapToGrid/>
        </w:rPr>
        <w:t>195.</w:t>
      </w:r>
      <w:r>
        <w:rPr>
          <w:snapToGrid/>
        </w:rPr>
        <w:t xml:space="preserve">  </w:t>
      </w:r>
      <w:r>
        <w:rPr>
          <w:rFonts w:hint="eastAsia"/>
          <w:snapToGrid/>
        </w:rPr>
        <w:t>《健康保护和安全条例》中规定了涉及最低生活条件的法律条款，而且下述规范性法案中也载明了这些条款：</w:t>
      </w:r>
    </w:p>
    <w:p w:rsidR="00000000" w:rsidRDefault="00000000">
      <w:pPr>
        <w:pStyle w:val="ac"/>
        <w:ind w:left="1155" w:firstLine="420"/>
        <w:rPr>
          <w:rFonts w:hint="eastAsia"/>
          <w:snapToGrid/>
        </w:rPr>
      </w:pPr>
      <w:r>
        <w:rPr>
          <w:rFonts w:hint="eastAsia"/>
          <w:snapToGrid/>
        </w:rPr>
        <w:t>摩尔多瓦共和国宪法；</w:t>
      </w:r>
    </w:p>
    <w:p w:rsidR="00000000" w:rsidRDefault="00000000">
      <w:pPr>
        <w:pStyle w:val="ac"/>
        <w:ind w:left="1155" w:firstLine="420"/>
        <w:rPr>
          <w:rFonts w:hint="eastAsia"/>
          <w:snapToGrid/>
        </w:rPr>
      </w:pPr>
      <w:r>
        <w:rPr>
          <w:rFonts w:hint="eastAsia"/>
          <w:snapToGrid/>
        </w:rPr>
        <w:t>摩尔多瓦共和国劳动法；</w:t>
      </w:r>
    </w:p>
    <w:p w:rsidR="00000000" w:rsidRDefault="00000000">
      <w:pPr>
        <w:pStyle w:val="ac"/>
        <w:ind w:left="1155" w:firstLine="420"/>
        <w:rPr>
          <w:rFonts w:hint="eastAsia"/>
          <w:snapToGrid/>
        </w:rPr>
      </w:pPr>
      <w:r>
        <w:rPr>
          <w:rFonts w:hint="eastAsia"/>
          <w:snapToGrid/>
        </w:rPr>
        <w:t>1991</w:t>
      </w:r>
      <w:r>
        <w:rPr>
          <w:rFonts w:hint="eastAsia"/>
          <w:snapToGrid/>
        </w:rPr>
        <w:t>年</w:t>
      </w:r>
      <w:r>
        <w:rPr>
          <w:rFonts w:hint="eastAsia"/>
          <w:snapToGrid/>
        </w:rPr>
        <w:t>7</w:t>
      </w:r>
      <w:r>
        <w:rPr>
          <w:rFonts w:hint="eastAsia"/>
          <w:snapToGrid/>
        </w:rPr>
        <w:t>月</w:t>
      </w:r>
      <w:r>
        <w:rPr>
          <w:rFonts w:hint="eastAsia"/>
          <w:snapToGrid/>
        </w:rPr>
        <w:t>2</w:t>
      </w:r>
      <w:r>
        <w:rPr>
          <w:rFonts w:hint="eastAsia"/>
          <w:snapToGrid/>
        </w:rPr>
        <w:t>日第</w:t>
      </w:r>
      <w:r>
        <w:rPr>
          <w:rFonts w:hint="eastAsia"/>
          <w:snapToGrid/>
        </w:rPr>
        <w:t>625-XII</w:t>
      </w:r>
      <w:r>
        <w:rPr>
          <w:rFonts w:hint="eastAsia"/>
          <w:snapToGrid/>
        </w:rPr>
        <w:t>号劳动保护法；</w:t>
      </w:r>
    </w:p>
    <w:p w:rsidR="00000000" w:rsidRDefault="00000000">
      <w:pPr>
        <w:pStyle w:val="ac"/>
        <w:ind w:left="1155" w:firstLine="420"/>
        <w:rPr>
          <w:rFonts w:hint="eastAsia"/>
          <w:snapToGrid/>
        </w:rPr>
      </w:pPr>
      <w:r>
        <w:rPr>
          <w:rFonts w:hint="eastAsia"/>
          <w:snapToGrid/>
        </w:rPr>
        <w:t>1993</w:t>
      </w:r>
      <w:r>
        <w:rPr>
          <w:rFonts w:hint="eastAsia"/>
          <w:snapToGrid/>
        </w:rPr>
        <w:t>年</w:t>
      </w:r>
      <w:r>
        <w:rPr>
          <w:rFonts w:hint="eastAsia"/>
          <w:snapToGrid/>
        </w:rPr>
        <w:t>6</w:t>
      </w:r>
      <w:r>
        <w:rPr>
          <w:rFonts w:hint="eastAsia"/>
          <w:snapToGrid/>
        </w:rPr>
        <w:t>月</w:t>
      </w:r>
      <w:r>
        <w:rPr>
          <w:rFonts w:hint="eastAsia"/>
          <w:snapToGrid/>
        </w:rPr>
        <w:t>16</w:t>
      </w:r>
      <w:r>
        <w:rPr>
          <w:rFonts w:hint="eastAsia"/>
          <w:snapToGrid/>
        </w:rPr>
        <w:t>日关于人口卫生――流行病安全的第</w:t>
      </w:r>
      <w:r>
        <w:rPr>
          <w:rFonts w:hint="eastAsia"/>
          <w:snapToGrid/>
        </w:rPr>
        <w:t>1513-XII</w:t>
      </w:r>
      <w:r>
        <w:rPr>
          <w:rFonts w:hint="eastAsia"/>
          <w:snapToGrid/>
        </w:rPr>
        <w:t>号法；</w:t>
      </w:r>
    </w:p>
    <w:p w:rsidR="00000000" w:rsidRDefault="00000000">
      <w:pPr>
        <w:pStyle w:val="ac"/>
        <w:ind w:left="1155" w:firstLine="420"/>
        <w:rPr>
          <w:rFonts w:hint="eastAsia"/>
          <w:snapToGrid/>
        </w:rPr>
      </w:pPr>
      <w:r>
        <w:rPr>
          <w:rFonts w:hint="eastAsia"/>
          <w:snapToGrid/>
        </w:rPr>
        <w:t>1994</w:t>
      </w:r>
      <w:r>
        <w:rPr>
          <w:rFonts w:hint="eastAsia"/>
          <w:snapToGrid/>
        </w:rPr>
        <w:t>年</w:t>
      </w:r>
      <w:r>
        <w:rPr>
          <w:rFonts w:hint="eastAsia"/>
          <w:snapToGrid/>
        </w:rPr>
        <w:t>4</w:t>
      </w:r>
      <w:r>
        <w:rPr>
          <w:rFonts w:hint="eastAsia"/>
          <w:snapToGrid/>
        </w:rPr>
        <w:t>月</w:t>
      </w:r>
      <w:r>
        <w:rPr>
          <w:rFonts w:hint="eastAsia"/>
          <w:snapToGrid/>
        </w:rPr>
        <w:t>22</w:t>
      </w:r>
      <w:r>
        <w:rPr>
          <w:rFonts w:hint="eastAsia"/>
          <w:snapToGrid/>
        </w:rPr>
        <w:t>日关于设立劳动保护特别基金的第</w:t>
      </w:r>
      <w:r>
        <w:rPr>
          <w:rFonts w:hint="eastAsia"/>
          <w:snapToGrid/>
        </w:rPr>
        <w:t>154</w:t>
      </w:r>
      <w:r>
        <w:rPr>
          <w:rFonts w:hint="eastAsia"/>
          <w:snapToGrid/>
        </w:rPr>
        <w:t>号政府决定；</w:t>
      </w:r>
    </w:p>
    <w:p w:rsidR="00000000" w:rsidRDefault="00000000">
      <w:pPr>
        <w:pStyle w:val="ac"/>
        <w:ind w:left="1155" w:firstLine="420"/>
        <w:rPr>
          <w:rFonts w:hint="eastAsia"/>
          <w:snapToGrid/>
        </w:rPr>
      </w:pPr>
      <w:r>
        <w:rPr>
          <w:rFonts w:hint="eastAsia"/>
          <w:snapToGrid/>
        </w:rPr>
        <w:t>1997</w:t>
      </w:r>
      <w:r>
        <w:rPr>
          <w:rFonts w:hint="eastAsia"/>
          <w:snapToGrid/>
        </w:rPr>
        <w:t>年</w:t>
      </w:r>
      <w:r>
        <w:rPr>
          <w:rFonts w:hint="eastAsia"/>
          <w:snapToGrid/>
        </w:rPr>
        <w:t>4</w:t>
      </w:r>
      <w:r>
        <w:rPr>
          <w:rFonts w:hint="eastAsia"/>
          <w:snapToGrid/>
        </w:rPr>
        <w:t>月</w:t>
      </w:r>
      <w:r>
        <w:rPr>
          <w:rFonts w:hint="eastAsia"/>
          <w:snapToGrid/>
        </w:rPr>
        <w:t>23</w:t>
      </w:r>
      <w:r>
        <w:rPr>
          <w:rFonts w:hint="eastAsia"/>
          <w:snapToGrid/>
        </w:rPr>
        <w:t>日核准关于调查工伤事故之方法的条例的第</w:t>
      </w:r>
      <w:r>
        <w:rPr>
          <w:rFonts w:hint="eastAsia"/>
          <w:snapToGrid/>
        </w:rPr>
        <w:t>380</w:t>
      </w:r>
      <w:r>
        <w:rPr>
          <w:rFonts w:hint="eastAsia"/>
          <w:snapToGrid/>
        </w:rPr>
        <w:t>号政府决定；</w:t>
      </w:r>
    </w:p>
    <w:p w:rsidR="00000000" w:rsidRDefault="00000000">
      <w:pPr>
        <w:pStyle w:val="ac"/>
        <w:ind w:left="1155" w:firstLine="420"/>
        <w:rPr>
          <w:rFonts w:hint="eastAsia"/>
          <w:snapToGrid/>
        </w:rPr>
      </w:pPr>
      <w:r>
        <w:rPr>
          <w:rFonts w:hint="eastAsia"/>
          <w:snapToGrid/>
        </w:rPr>
        <w:t>1993</w:t>
      </w:r>
      <w:r>
        <w:rPr>
          <w:rFonts w:hint="eastAsia"/>
          <w:snapToGrid/>
        </w:rPr>
        <w:t>年</w:t>
      </w:r>
      <w:r>
        <w:rPr>
          <w:rFonts w:hint="eastAsia"/>
          <w:snapToGrid/>
        </w:rPr>
        <w:t>3</w:t>
      </w:r>
      <w:r>
        <w:rPr>
          <w:rFonts w:hint="eastAsia"/>
          <w:snapToGrid/>
        </w:rPr>
        <w:t>月</w:t>
      </w:r>
      <w:r>
        <w:rPr>
          <w:rFonts w:hint="eastAsia"/>
          <w:snapToGrid/>
        </w:rPr>
        <w:t>31</w:t>
      </w:r>
      <w:r>
        <w:rPr>
          <w:rFonts w:hint="eastAsia"/>
          <w:snapToGrid/>
        </w:rPr>
        <w:t>日核准关于审查工作条件的条例的第</w:t>
      </w:r>
      <w:r>
        <w:rPr>
          <w:rFonts w:hint="eastAsia"/>
          <w:snapToGrid/>
        </w:rPr>
        <w:t>161</w:t>
      </w:r>
      <w:r>
        <w:rPr>
          <w:rFonts w:hint="eastAsia"/>
          <w:snapToGrid/>
        </w:rPr>
        <w:t>号政府决定；</w:t>
      </w:r>
    </w:p>
    <w:p w:rsidR="00000000" w:rsidRDefault="00000000">
      <w:pPr>
        <w:pStyle w:val="ac"/>
        <w:ind w:left="1155" w:firstLine="420"/>
        <w:rPr>
          <w:rFonts w:hint="eastAsia"/>
          <w:snapToGrid/>
        </w:rPr>
      </w:pPr>
      <w:r>
        <w:rPr>
          <w:rFonts w:hint="eastAsia"/>
          <w:snapToGrid/>
        </w:rPr>
        <w:t>经摩尔多瓦共和国公共卫生局局长核准的国民经济各部门中工作环境的卫生准则和规则。</w:t>
      </w:r>
    </w:p>
    <w:p w:rsidR="00000000" w:rsidRDefault="00000000">
      <w:pPr>
        <w:spacing w:after="320"/>
        <w:rPr>
          <w:rFonts w:hint="eastAsia"/>
          <w:snapToGrid/>
        </w:rPr>
      </w:pPr>
      <w:r>
        <w:rPr>
          <w:snapToGrid/>
        </w:rPr>
        <w:tab/>
      </w:r>
      <w:r>
        <w:rPr>
          <w:rFonts w:hint="eastAsia"/>
          <w:snapToGrid/>
        </w:rPr>
        <w:t>196.</w:t>
      </w:r>
      <w:r>
        <w:rPr>
          <w:snapToGrid/>
        </w:rPr>
        <w:t xml:space="preserve">  </w:t>
      </w:r>
      <w:r>
        <w:rPr>
          <w:rFonts w:hint="eastAsia"/>
          <w:snapToGrid/>
        </w:rPr>
        <w:t>载于这些规范性法案中的卫生保健和安全规则所规定的法律条款适用于国民经济的所有雇佣劳动者，不因经济主体的财产所有权和组织形式而有差别。</w:t>
      </w:r>
    </w:p>
    <w:p w:rsidR="00000000" w:rsidRDefault="00000000">
      <w:pPr>
        <w:pStyle w:val="Heading3"/>
        <w:rPr>
          <w:rFonts w:hint="eastAsia"/>
          <w:b/>
          <w:bCs/>
          <w:kern w:val="0"/>
        </w:rPr>
      </w:pPr>
      <w:r>
        <w:rPr>
          <w:rFonts w:hint="eastAsia"/>
          <w:kern w:val="0"/>
          <w:u w:val="none"/>
        </w:rPr>
        <w:t>表</w:t>
      </w:r>
      <w:r>
        <w:rPr>
          <w:kern w:val="0"/>
          <w:u w:val="none"/>
        </w:rPr>
        <w:t xml:space="preserve"> 17.  </w:t>
      </w:r>
      <w:r>
        <w:rPr>
          <w:rFonts w:hint="eastAsia"/>
          <w:kern w:val="0"/>
        </w:rPr>
        <w:t>1995</w:t>
      </w:r>
      <w:r>
        <w:rPr>
          <w:rFonts w:hint="eastAsia"/>
          <w:kern w:val="0"/>
        </w:rPr>
        <w:t>年至</w:t>
      </w:r>
      <w:r>
        <w:rPr>
          <w:rFonts w:hint="eastAsia"/>
          <w:kern w:val="0"/>
        </w:rPr>
        <w:t>1996</w:t>
      </w:r>
      <w:r>
        <w:rPr>
          <w:rFonts w:hint="eastAsia"/>
          <w:kern w:val="0"/>
        </w:rPr>
        <w:t>年工伤事故受害者的人数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1"/>
        <w:gridCol w:w="2729"/>
        <w:gridCol w:w="2729"/>
      </w:tblGrid>
      <w:tr w:rsidR="00000000">
        <w:tblPrEx>
          <w:tblCellMar>
            <w:top w:w="0" w:type="dxa"/>
            <w:bottom w:w="0" w:type="dxa"/>
          </w:tblCellMar>
        </w:tblPrEx>
        <w:trPr>
          <w:cantSplit/>
          <w:jc w:val="center"/>
        </w:trPr>
        <w:tc>
          <w:tcPr>
            <w:tcW w:w="2161" w:type="dxa"/>
          </w:tcPr>
          <w:p w:rsidR="00000000" w:rsidRDefault="00000000">
            <w:pPr>
              <w:spacing w:before="80"/>
              <w:jc w:val="center"/>
              <w:rPr>
                <w:rFonts w:hint="eastAsia"/>
                <w:snapToGrid/>
              </w:rPr>
            </w:pPr>
            <w:r>
              <w:rPr>
                <w:rFonts w:hint="eastAsia"/>
                <w:snapToGrid/>
              </w:rPr>
              <w:t>年</w:t>
            </w:r>
            <w:r>
              <w:rPr>
                <w:snapToGrid/>
              </w:rPr>
              <w:t xml:space="preserve">  </w:t>
            </w:r>
            <w:r>
              <w:rPr>
                <w:rFonts w:hint="eastAsia"/>
                <w:snapToGrid/>
              </w:rPr>
              <w:t>份</w:t>
            </w:r>
          </w:p>
        </w:tc>
        <w:tc>
          <w:tcPr>
            <w:tcW w:w="2729" w:type="dxa"/>
          </w:tcPr>
          <w:p w:rsidR="00000000" w:rsidRDefault="00000000">
            <w:pPr>
              <w:spacing w:before="80"/>
              <w:jc w:val="center"/>
              <w:rPr>
                <w:rFonts w:hint="eastAsia"/>
                <w:snapToGrid/>
              </w:rPr>
            </w:pPr>
            <w:r>
              <w:rPr>
                <w:rFonts w:hint="eastAsia"/>
                <w:snapToGrid/>
              </w:rPr>
              <w:t>事故受害者</w:t>
            </w:r>
          </w:p>
        </w:tc>
        <w:tc>
          <w:tcPr>
            <w:tcW w:w="2729" w:type="dxa"/>
          </w:tcPr>
          <w:p w:rsidR="00000000" w:rsidRDefault="00000000">
            <w:pPr>
              <w:spacing w:before="80"/>
              <w:jc w:val="center"/>
              <w:rPr>
                <w:rFonts w:hint="eastAsia"/>
                <w:snapToGrid/>
              </w:rPr>
            </w:pPr>
            <w:r>
              <w:rPr>
                <w:rFonts w:hint="eastAsia"/>
                <w:snapToGrid/>
              </w:rPr>
              <w:t>致命事故受害者</w:t>
            </w:r>
          </w:p>
        </w:tc>
      </w:tr>
      <w:tr w:rsidR="00000000">
        <w:tblPrEx>
          <w:tblCellMar>
            <w:top w:w="0" w:type="dxa"/>
            <w:bottom w:w="0" w:type="dxa"/>
          </w:tblCellMar>
        </w:tblPrEx>
        <w:trPr>
          <w:cantSplit/>
          <w:jc w:val="center"/>
        </w:trPr>
        <w:tc>
          <w:tcPr>
            <w:tcW w:w="2161" w:type="dxa"/>
            <w:tcBorders>
              <w:bottom w:val="nil"/>
            </w:tcBorders>
          </w:tcPr>
          <w:p w:rsidR="00000000" w:rsidRDefault="00000000">
            <w:pPr>
              <w:jc w:val="center"/>
              <w:rPr>
                <w:snapToGrid/>
              </w:rPr>
            </w:pPr>
            <w:r>
              <w:rPr>
                <w:snapToGrid/>
              </w:rPr>
              <w:t>1995</w:t>
            </w:r>
          </w:p>
        </w:tc>
        <w:tc>
          <w:tcPr>
            <w:tcW w:w="2729" w:type="dxa"/>
            <w:tcBorders>
              <w:bottom w:val="nil"/>
            </w:tcBorders>
          </w:tcPr>
          <w:p w:rsidR="00000000" w:rsidRDefault="00000000">
            <w:pPr>
              <w:jc w:val="center"/>
              <w:rPr>
                <w:snapToGrid/>
              </w:rPr>
            </w:pPr>
            <w:r>
              <w:rPr>
                <w:snapToGrid/>
              </w:rPr>
              <w:t>1 946</w:t>
            </w:r>
          </w:p>
        </w:tc>
        <w:tc>
          <w:tcPr>
            <w:tcW w:w="2729" w:type="dxa"/>
            <w:tcBorders>
              <w:bottom w:val="nil"/>
            </w:tcBorders>
          </w:tcPr>
          <w:p w:rsidR="00000000" w:rsidRDefault="00000000">
            <w:pPr>
              <w:jc w:val="center"/>
              <w:rPr>
                <w:snapToGrid/>
              </w:rPr>
            </w:pPr>
            <w:r>
              <w:rPr>
                <w:snapToGrid/>
              </w:rPr>
              <w:t>69</w:t>
            </w:r>
          </w:p>
        </w:tc>
      </w:tr>
      <w:tr w:rsidR="00000000">
        <w:tblPrEx>
          <w:tblCellMar>
            <w:top w:w="0" w:type="dxa"/>
            <w:bottom w:w="0" w:type="dxa"/>
          </w:tblCellMar>
        </w:tblPrEx>
        <w:trPr>
          <w:cantSplit/>
          <w:jc w:val="center"/>
        </w:trPr>
        <w:tc>
          <w:tcPr>
            <w:tcW w:w="2161" w:type="dxa"/>
            <w:tcBorders>
              <w:top w:val="nil"/>
              <w:bottom w:val="nil"/>
            </w:tcBorders>
          </w:tcPr>
          <w:p w:rsidR="00000000" w:rsidRDefault="00000000">
            <w:pPr>
              <w:jc w:val="center"/>
              <w:rPr>
                <w:snapToGrid/>
              </w:rPr>
            </w:pPr>
            <w:r>
              <w:rPr>
                <w:snapToGrid/>
              </w:rPr>
              <w:t>1996</w:t>
            </w:r>
          </w:p>
        </w:tc>
        <w:tc>
          <w:tcPr>
            <w:tcW w:w="2729" w:type="dxa"/>
            <w:tcBorders>
              <w:top w:val="nil"/>
              <w:bottom w:val="nil"/>
            </w:tcBorders>
          </w:tcPr>
          <w:p w:rsidR="00000000" w:rsidRDefault="00000000">
            <w:pPr>
              <w:jc w:val="center"/>
              <w:rPr>
                <w:snapToGrid/>
              </w:rPr>
            </w:pPr>
            <w:r>
              <w:rPr>
                <w:snapToGrid/>
              </w:rPr>
              <w:t>1 734</w:t>
            </w:r>
          </w:p>
        </w:tc>
        <w:tc>
          <w:tcPr>
            <w:tcW w:w="2729" w:type="dxa"/>
            <w:tcBorders>
              <w:top w:val="nil"/>
              <w:bottom w:val="nil"/>
            </w:tcBorders>
          </w:tcPr>
          <w:p w:rsidR="00000000" w:rsidRDefault="00000000">
            <w:pPr>
              <w:jc w:val="center"/>
              <w:rPr>
                <w:snapToGrid/>
              </w:rPr>
            </w:pPr>
            <w:r>
              <w:rPr>
                <w:snapToGrid/>
              </w:rPr>
              <w:t>57</w:t>
            </w:r>
          </w:p>
        </w:tc>
      </w:tr>
      <w:tr w:rsidR="00000000">
        <w:tblPrEx>
          <w:tblCellMar>
            <w:top w:w="0" w:type="dxa"/>
            <w:bottom w:w="0" w:type="dxa"/>
          </w:tblCellMar>
        </w:tblPrEx>
        <w:trPr>
          <w:cantSplit/>
          <w:jc w:val="center"/>
        </w:trPr>
        <w:tc>
          <w:tcPr>
            <w:tcW w:w="2161" w:type="dxa"/>
            <w:tcBorders>
              <w:top w:val="nil"/>
              <w:bottom w:val="nil"/>
            </w:tcBorders>
          </w:tcPr>
          <w:p w:rsidR="00000000" w:rsidRDefault="00000000">
            <w:pPr>
              <w:jc w:val="center"/>
              <w:rPr>
                <w:snapToGrid/>
              </w:rPr>
            </w:pPr>
            <w:r>
              <w:rPr>
                <w:snapToGrid/>
              </w:rPr>
              <w:t>1997</w:t>
            </w:r>
          </w:p>
        </w:tc>
        <w:tc>
          <w:tcPr>
            <w:tcW w:w="2729" w:type="dxa"/>
            <w:tcBorders>
              <w:top w:val="nil"/>
              <w:bottom w:val="nil"/>
            </w:tcBorders>
          </w:tcPr>
          <w:p w:rsidR="00000000" w:rsidRDefault="00000000">
            <w:pPr>
              <w:jc w:val="center"/>
              <w:rPr>
                <w:snapToGrid/>
              </w:rPr>
            </w:pPr>
            <w:r>
              <w:rPr>
                <w:snapToGrid/>
              </w:rPr>
              <w:t>1 307</w:t>
            </w:r>
          </w:p>
        </w:tc>
        <w:tc>
          <w:tcPr>
            <w:tcW w:w="2729" w:type="dxa"/>
            <w:tcBorders>
              <w:top w:val="nil"/>
              <w:bottom w:val="nil"/>
            </w:tcBorders>
          </w:tcPr>
          <w:p w:rsidR="00000000" w:rsidRDefault="00000000">
            <w:pPr>
              <w:jc w:val="center"/>
              <w:rPr>
                <w:snapToGrid/>
              </w:rPr>
            </w:pPr>
            <w:r>
              <w:rPr>
                <w:snapToGrid/>
              </w:rPr>
              <w:t>54</w:t>
            </w:r>
          </w:p>
        </w:tc>
      </w:tr>
      <w:tr w:rsidR="00000000">
        <w:tblPrEx>
          <w:tblCellMar>
            <w:top w:w="0" w:type="dxa"/>
            <w:bottom w:w="0" w:type="dxa"/>
          </w:tblCellMar>
        </w:tblPrEx>
        <w:trPr>
          <w:cantSplit/>
          <w:jc w:val="center"/>
        </w:trPr>
        <w:tc>
          <w:tcPr>
            <w:tcW w:w="2161" w:type="dxa"/>
            <w:tcBorders>
              <w:top w:val="nil"/>
              <w:bottom w:val="nil"/>
            </w:tcBorders>
          </w:tcPr>
          <w:p w:rsidR="00000000" w:rsidRDefault="00000000">
            <w:pPr>
              <w:jc w:val="center"/>
              <w:rPr>
                <w:snapToGrid/>
              </w:rPr>
            </w:pPr>
            <w:r>
              <w:rPr>
                <w:snapToGrid/>
              </w:rPr>
              <w:t>1998</w:t>
            </w:r>
          </w:p>
        </w:tc>
        <w:tc>
          <w:tcPr>
            <w:tcW w:w="2729" w:type="dxa"/>
            <w:tcBorders>
              <w:top w:val="nil"/>
              <w:bottom w:val="nil"/>
            </w:tcBorders>
          </w:tcPr>
          <w:p w:rsidR="00000000" w:rsidRDefault="00000000">
            <w:pPr>
              <w:jc w:val="center"/>
              <w:rPr>
                <w:snapToGrid/>
              </w:rPr>
            </w:pPr>
            <w:r>
              <w:rPr>
                <w:snapToGrid/>
              </w:rPr>
              <w:t>1 117</w:t>
            </w:r>
          </w:p>
        </w:tc>
        <w:tc>
          <w:tcPr>
            <w:tcW w:w="2729" w:type="dxa"/>
            <w:tcBorders>
              <w:top w:val="nil"/>
              <w:bottom w:val="nil"/>
            </w:tcBorders>
          </w:tcPr>
          <w:p w:rsidR="00000000" w:rsidRDefault="00000000">
            <w:pPr>
              <w:jc w:val="center"/>
              <w:rPr>
                <w:snapToGrid/>
              </w:rPr>
            </w:pPr>
            <w:r>
              <w:rPr>
                <w:snapToGrid/>
              </w:rPr>
              <w:t>49</w:t>
            </w:r>
          </w:p>
        </w:tc>
      </w:tr>
      <w:tr w:rsidR="00000000">
        <w:tblPrEx>
          <w:tblCellMar>
            <w:top w:w="0" w:type="dxa"/>
            <w:bottom w:w="0" w:type="dxa"/>
          </w:tblCellMar>
        </w:tblPrEx>
        <w:trPr>
          <w:cantSplit/>
          <w:jc w:val="center"/>
        </w:trPr>
        <w:tc>
          <w:tcPr>
            <w:tcW w:w="2161" w:type="dxa"/>
            <w:tcBorders>
              <w:top w:val="nil"/>
            </w:tcBorders>
          </w:tcPr>
          <w:p w:rsidR="00000000" w:rsidRDefault="00000000">
            <w:pPr>
              <w:jc w:val="center"/>
              <w:rPr>
                <w:snapToGrid/>
              </w:rPr>
            </w:pPr>
            <w:r>
              <w:rPr>
                <w:snapToGrid/>
              </w:rPr>
              <w:t>1999</w:t>
            </w:r>
          </w:p>
        </w:tc>
        <w:tc>
          <w:tcPr>
            <w:tcW w:w="2729" w:type="dxa"/>
            <w:tcBorders>
              <w:top w:val="nil"/>
            </w:tcBorders>
          </w:tcPr>
          <w:p w:rsidR="00000000" w:rsidRDefault="00000000">
            <w:pPr>
              <w:jc w:val="center"/>
              <w:rPr>
                <w:snapToGrid/>
              </w:rPr>
            </w:pPr>
            <w:r>
              <w:rPr>
                <w:snapToGrid/>
              </w:rPr>
              <w:t>872</w:t>
            </w:r>
          </w:p>
        </w:tc>
        <w:tc>
          <w:tcPr>
            <w:tcW w:w="2729" w:type="dxa"/>
            <w:tcBorders>
              <w:top w:val="nil"/>
            </w:tcBorders>
          </w:tcPr>
          <w:p w:rsidR="00000000" w:rsidRDefault="00000000">
            <w:pPr>
              <w:jc w:val="center"/>
              <w:rPr>
                <w:snapToGrid/>
              </w:rPr>
            </w:pPr>
            <w:r>
              <w:rPr>
                <w:snapToGrid/>
              </w:rPr>
              <w:t>45</w:t>
            </w:r>
          </w:p>
        </w:tc>
      </w:tr>
    </w:tbl>
    <w:p w:rsidR="00000000" w:rsidRDefault="00000000">
      <w:pPr>
        <w:rPr>
          <w:rFonts w:hint="eastAsia"/>
          <w:snapToGrid/>
        </w:rPr>
      </w:pPr>
    </w:p>
    <w:p w:rsidR="00000000" w:rsidRDefault="00000000">
      <w:pPr>
        <w:rPr>
          <w:rFonts w:hint="eastAsia"/>
          <w:snapToGrid/>
        </w:rPr>
      </w:pPr>
      <w:r>
        <w:rPr>
          <w:snapToGrid/>
        </w:rPr>
        <w:tab/>
      </w:r>
      <w:r>
        <w:rPr>
          <w:rFonts w:hint="eastAsia"/>
          <w:snapToGrid/>
        </w:rPr>
        <w:t>197.</w:t>
      </w:r>
      <w:r>
        <w:rPr>
          <w:snapToGrid/>
        </w:rPr>
        <w:t xml:space="preserve">  </w:t>
      </w:r>
      <w:r>
        <w:rPr>
          <w:rFonts w:hint="eastAsia"/>
          <w:snapToGrid/>
        </w:rPr>
        <w:t>从现行的一些规定来看，摩尔多瓦共和国的《妇女规章》不妨碍其在宣布独立后建立的新民主体制中地位得到提高。《宪法》规定所有公民享有平等权利。选举权和被选入领导机构的权利保证妇女有权凭她们的才能担任任何职位</w:t>
      </w:r>
      <w:r>
        <w:rPr>
          <w:rFonts w:hint="eastAsia"/>
          <w:snapToGrid/>
        </w:rPr>
        <w:t>(</w:t>
      </w:r>
      <w:r>
        <w:rPr>
          <w:rFonts w:hint="eastAsia"/>
          <w:snapToGrid/>
        </w:rPr>
        <w:t>第</w:t>
      </w:r>
      <w:r>
        <w:rPr>
          <w:rFonts w:hint="eastAsia"/>
          <w:snapToGrid/>
        </w:rPr>
        <w:t>16</w:t>
      </w:r>
      <w:r>
        <w:rPr>
          <w:rFonts w:hint="eastAsia"/>
          <w:snapToGrid/>
        </w:rPr>
        <w:t>、第</w:t>
      </w:r>
      <w:r>
        <w:rPr>
          <w:rFonts w:hint="eastAsia"/>
          <w:snapToGrid/>
        </w:rPr>
        <w:t>38</w:t>
      </w:r>
      <w:r>
        <w:rPr>
          <w:rFonts w:hint="eastAsia"/>
          <w:snapToGrid/>
        </w:rPr>
        <w:t>和第</w:t>
      </w:r>
      <w:r>
        <w:rPr>
          <w:rFonts w:hint="eastAsia"/>
          <w:snapToGrid/>
        </w:rPr>
        <w:t>39</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198.</w:t>
      </w:r>
      <w:r>
        <w:rPr>
          <w:snapToGrid/>
        </w:rPr>
        <w:t xml:space="preserve">  </w:t>
      </w:r>
      <w:r>
        <w:rPr>
          <w:rFonts w:hint="eastAsia"/>
          <w:snapToGrid/>
        </w:rPr>
        <w:t>尽管有这些条款，但妇女职业培训的程度及其能力仍然无足轻重。妇女不能参与拟订和实施社会经济发展政策的工作，也不能承担决策责任。只有少数妇女有事业并得到晋升。这其中的一个基本原因可能是社会中对妇女仍持有一种家长制的心态。因此，多数男性，而且真正令人不安的是，包括多数女性都认为家庭责任远比社会的认可更重要。这种歧视性的心态在许多情况下是挑选专业人员的依据：男性更容易受到雇佣，因为他们不用承担家庭和子女教育的负担。妇女继续深受这种现象之害，因为许多所谓的“革新”政策的效果都是巩固传统的劳动分工制度。妇女常常被迫在事业与家庭之间作出选择。造成歧视的主要原因有：日常的各种问题、家务与工作责任之间艰难的结合、对妇女的家长制观点、对她们的知识和智能持不信任或有时是否认态度。</w:t>
      </w:r>
    </w:p>
    <w:p w:rsidR="00000000" w:rsidRDefault="00000000">
      <w:pPr>
        <w:rPr>
          <w:rFonts w:hint="eastAsia"/>
          <w:snapToGrid/>
        </w:rPr>
      </w:pPr>
      <w:r>
        <w:rPr>
          <w:snapToGrid/>
        </w:rPr>
        <w:tab/>
      </w:r>
      <w:r>
        <w:rPr>
          <w:rFonts w:hint="eastAsia"/>
          <w:snapToGrid/>
        </w:rPr>
        <w:t>199.</w:t>
      </w:r>
      <w:r>
        <w:rPr>
          <w:snapToGrid/>
        </w:rPr>
        <w:t xml:space="preserve">  </w:t>
      </w:r>
      <w:r>
        <w:rPr>
          <w:rFonts w:hint="eastAsia"/>
          <w:snapToGrid/>
        </w:rPr>
        <w:t>所有企业都不得雇佣妇女从事困难和有害的工作。政府的一项决定中对此作有规定，该决定支持对那些工作条件对妇女艰巨和有害的工业、职业和工作进行命名，并支持为从事抬举和背扛重物工作的妇女制定准则</w:t>
      </w:r>
      <w:r>
        <w:rPr>
          <w:rFonts w:hint="eastAsia"/>
          <w:snapToGrid/>
        </w:rPr>
        <w:t>(1993</w:t>
      </w:r>
      <w:r>
        <w:rPr>
          <w:rFonts w:hint="eastAsia"/>
          <w:snapToGrid/>
        </w:rPr>
        <w:t>年</w:t>
      </w:r>
      <w:r>
        <w:rPr>
          <w:rFonts w:hint="eastAsia"/>
          <w:snapToGrid/>
        </w:rPr>
        <w:t>10</w:t>
      </w:r>
      <w:r>
        <w:rPr>
          <w:rFonts w:hint="eastAsia"/>
          <w:snapToGrid/>
        </w:rPr>
        <w:t>月</w:t>
      </w:r>
      <w:r>
        <w:rPr>
          <w:rFonts w:hint="eastAsia"/>
          <w:snapToGrid/>
        </w:rPr>
        <w:t>10</w:t>
      </w:r>
      <w:r>
        <w:rPr>
          <w:rFonts w:hint="eastAsia"/>
          <w:snapToGrid/>
        </w:rPr>
        <w:t>日第</w:t>
      </w:r>
      <w:r>
        <w:rPr>
          <w:rFonts w:hint="eastAsia"/>
          <w:snapToGrid/>
        </w:rPr>
        <w:t>624</w:t>
      </w:r>
      <w:r>
        <w:rPr>
          <w:rFonts w:hint="eastAsia"/>
          <w:snapToGrid/>
        </w:rPr>
        <w:t>号决定</w:t>
      </w:r>
      <w:r>
        <w:rPr>
          <w:rFonts w:hint="eastAsia"/>
          <w:snapToGrid/>
        </w:rPr>
        <w:t>)</w:t>
      </w:r>
      <w:r>
        <w:rPr>
          <w:rFonts w:hint="eastAsia"/>
          <w:snapToGrid/>
        </w:rPr>
        <w:t>。根据该准则，妇女能够抬举和背扛的最重分量为</w:t>
      </w:r>
      <w:r>
        <w:rPr>
          <w:rFonts w:hint="eastAsia"/>
          <w:snapToGrid/>
        </w:rPr>
        <w:t>10</w:t>
      </w:r>
      <w:r>
        <w:rPr>
          <w:rFonts w:hint="eastAsia"/>
          <w:snapToGrid/>
        </w:rPr>
        <w:t>公斤</w:t>
      </w:r>
      <w:r>
        <w:rPr>
          <w:rFonts w:hint="eastAsia"/>
          <w:snapToGrid/>
        </w:rPr>
        <w:t>(</w:t>
      </w:r>
      <w:r>
        <w:rPr>
          <w:rFonts w:hint="eastAsia"/>
          <w:snapToGrid/>
        </w:rPr>
        <w:t>每小时至多两次</w:t>
      </w:r>
      <w:r>
        <w:rPr>
          <w:rFonts w:hint="eastAsia"/>
          <w:snapToGrid/>
        </w:rPr>
        <w:t>)</w:t>
      </w:r>
      <w:r>
        <w:rPr>
          <w:rFonts w:hint="eastAsia"/>
          <w:snapToGrid/>
        </w:rPr>
        <w:t>。在工作时间内连续抬举和背扛重物的分量极限为</w:t>
      </w:r>
      <w:r>
        <w:rPr>
          <w:rFonts w:hint="eastAsia"/>
          <w:snapToGrid/>
        </w:rPr>
        <w:t>7</w:t>
      </w:r>
      <w:r>
        <w:rPr>
          <w:rFonts w:hint="eastAsia"/>
          <w:snapToGrid/>
        </w:rPr>
        <w:t>公斤。</w:t>
      </w:r>
    </w:p>
    <w:p w:rsidR="00000000" w:rsidRDefault="00000000">
      <w:pPr>
        <w:rPr>
          <w:rFonts w:hint="eastAsia"/>
          <w:snapToGrid/>
        </w:rPr>
      </w:pPr>
      <w:r>
        <w:rPr>
          <w:snapToGrid/>
        </w:rPr>
        <w:tab/>
      </w:r>
      <w:r>
        <w:rPr>
          <w:rFonts w:hint="eastAsia"/>
          <w:snapToGrid/>
        </w:rPr>
        <w:t>200.</w:t>
      </w:r>
      <w:r>
        <w:rPr>
          <w:snapToGrid/>
        </w:rPr>
        <w:t xml:space="preserve">  </w:t>
      </w:r>
      <w:r>
        <w:rPr>
          <w:rFonts w:hint="eastAsia"/>
          <w:snapToGrid/>
        </w:rPr>
        <w:t>如果某些重大问题得到解决，则女性和男性将能够享有均等的职业机会。改变对女性领导人的心态和态度、认识到妇女的具体问题、宣传家庭责任应享有报酬的原则等将有助于扭转妇女的状况。各部委、部门、工会总联合会理事会、摩尔多瓦共和国全国雇主联合会理事会和一些负责监督并协调男女在各自活动领域中机会均等原则落实情况的人士试图遵从全面解决问题的宗旨。虽然我们在这方面没有经验，但我们必须指出在摩尔多瓦共和国，有一种政治愿望要突出有关男女平等的问题。这也有助于改变这方面的状况。</w:t>
      </w:r>
    </w:p>
    <w:p w:rsidR="00000000" w:rsidRDefault="00000000">
      <w:pPr>
        <w:rPr>
          <w:rFonts w:hint="eastAsia"/>
          <w:snapToGrid/>
        </w:rPr>
      </w:pPr>
      <w:r>
        <w:rPr>
          <w:snapToGrid/>
        </w:rPr>
        <w:tab/>
      </w:r>
      <w:r>
        <w:rPr>
          <w:rFonts w:hint="eastAsia"/>
          <w:snapToGrid/>
        </w:rPr>
        <w:t>201.</w:t>
      </w:r>
      <w:r>
        <w:rPr>
          <w:snapToGrid/>
        </w:rPr>
        <w:t xml:space="preserve">  </w:t>
      </w:r>
      <w:r>
        <w:rPr>
          <w:rFonts w:hint="eastAsia"/>
          <w:snapToGrid/>
        </w:rPr>
        <w:t>摩尔多瓦共和国《劳动法》和集体雇佣合同中都对业余时间作了规定。《劳动法》中单有一章涉及业余时间问题。第五章包含</w:t>
      </w:r>
      <w:r>
        <w:rPr>
          <w:rFonts w:hint="eastAsia"/>
          <w:snapToGrid/>
        </w:rPr>
        <w:t>20</w:t>
      </w:r>
      <w:r>
        <w:rPr>
          <w:rFonts w:hint="eastAsia"/>
          <w:snapToGrid/>
        </w:rPr>
        <w:t>项条款，涉及业余时间、假日、假日禁止工作、假日的工作报酬以及其他一些问题。此章中规定的有关假日的准则符合国际准则并适用于国民经济中的一切雇佣劳动者。《劳动法》第</w:t>
      </w:r>
      <w:r>
        <w:rPr>
          <w:rFonts w:hint="eastAsia"/>
          <w:snapToGrid/>
        </w:rPr>
        <w:t>69</w:t>
      </w:r>
      <w:r>
        <w:rPr>
          <w:rFonts w:hint="eastAsia"/>
          <w:snapToGrid/>
        </w:rPr>
        <w:t>条规定每年有</w:t>
      </w:r>
      <w:r>
        <w:rPr>
          <w:rFonts w:hint="eastAsia"/>
          <w:snapToGrid/>
        </w:rPr>
        <w:t>10</w:t>
      </w:r>
      <w:r>
        <w:rPr>
          <w:rFonts w:hint="eastAsia"/>
          <w:snapToGrid/>
        </w:rPr>
        <w:t>天公共假日。在这些假日中所有企业、机构和组织均不得工作。第</w:t>
      </w:r>
      <w:r>
        <w:rPr>
          <w:rFonts w:hint="eastAsia"/>
          <w:snapToGrid/>
        </w:rPr>
        <w:t>71</w:t>
      </w:r>
      <w:r>
        <w:rPr>
          <w:rFonts w:hint="eastAsia"/>
          <w:snapToGrid/>
        </w:rPr>
        <w:t>和第</w:t>
      </w:r>
      <w:r>
        <w:rPr>
          <w:rFonts w:hint="eastAsia"/>
          <w:snapToGrid/>
        </w:rPr>
        <w:t>81</w:t>
      </w:r>
      <w:r>
        <w:rPr>
          <w:rFonts w:hint="eastAsia"/>
          <w:snapToGrid/>
        </w:rPr>
        <w:t>条为国民经济中的所有雇员每年的带薪假期作了规定。年假最短不得少于</w:t>
      </w:r>
      <w:r>
        <w:rPr>
          <w:rFonts w:hint="eastAsia"/>
          <w:snapToGrid/>
        </w:rPr>
        <w:t>24</w:t>
      </w:r>
      <w:r>
        <w:rPr>
          <w:rFonts w:hint="eastAsia"/>
          <w:snapToGrid/>
        </w:rPr>
        <w:t>个工作日。</w:t>
      </w:r>
    </w:p>
    <w:p w:rsidR="00000000" w:rsidRDefault="00000000">
      <w:pPr>
        <w:spacing w:after="320"/>
        <w:rPr>
          <w:snapToGrid/>
        </w:rPr>
      </w:pPr>
      <w:r>
        <w:rPr>
          <w:snapToGrid/>
        </w:rPr>
        <w:tab/>
      </w:r>
      <w:r>
        <w:rPr>
          <w:rFonts w:hint="eastAsia"/>
          <w:snapToGrid/>
        </w:rPr>
        <w:t>202.</w:t>
      </w:r>
      <w:r>
        <w:rPr>
          <w:snapToGrid/>
        </w:rPr>
        <w:t xml:space="preserve">  </w:t>
      </w:r>
      <w:r>
        <w:rPr>
          <w:rFonts w:hint="eastAsia"/>
          <w:snapToGrid/>
        </w:rPr>
        <w:t>这方面的国际援助十分重要，特别是来从方法的角度来看。在国际援助的协助下，拟订并通过了新的规范性法案和对现有法案的修正案。</w:t>
      </w:r>
    </w:p>
    <w:p w:rsidR="00000000" w:rsidRDefault="00000000">
      <w:pPr>
        <w:pStyle w:val="Heading3"/>
        <w:rPr>
          <w:rFonts w:hint="eastAsia"/>
          <w:kern w:val="0"/>
        </w:rPr>
      </w:pPr>
      <w:r>
        <w:rPr>
          <w:rFonts w:hint="eastAsia"/>
          <w:kern w:val="0"/>
        </w:rPr>
        <w:t>第</w:t>
      </w:r>
      <w:r>
        <w:rPr>
          <w:kern w:val="0"/>
        </w:rPr>
        <w:t xml:space="preserve"> </w:t>
      </w:r>
      <w:r>
        <w:rPr>
          <w:rFonts w:hint="eastAsia"/>
          <w:kern w:val="0"/>
        </w:rPr>
        <w:t>八</w:t>
      </w:r>
      <w:r>
        <w:rPr>
          <w:kern w:val="0"/>
        </w:rPr>
        <w:t xml:space="preserve"> </w:t>
      </w:r>
      <w:r>
        <w:rPr>
          <w:rFonts w:hint="eastAsia"/>
          <w:kern w:val="0"/>
        </w:rPr>
        <w:t>条</w:t>
      </w:r>
    </w:p>
    <w:p w:rsidR="00000000" w:rsidRDefault="00000000">
      <w:pPr>
        <w:rPr>
          <w:rFonts w:hint="eastAsia"/>
          <w:snapToGrid/>
        </w:rPr>
      </w:pPr>
      <w:r>
        <w:rPr>
          <w:snapToGrid/>
        </w:rPr>
        <w:tab/>
      </w:r>
      <w:r>
        <w:rPr>
          <w:rFonts w:hint="eastAsia"/>
          <w:snapToGrid/>
        </w:rPr>
        <w:t>203.</w:t>
      </w:r>
      <w:r>
        <w:rPr>
          <w:snapToGrid/>
        </w:rPr>
        <w:t xml:space="preserve">  </w:t>
      </w:r>
      <w:r>
        <w:rPr>
          <w:rFonts w:hint="eastAsia"/>
          <w:snapToGrid/>
        </w:rPr>
        <w:t>摩尔多瓦共和国是下述公约的缔约国：</w:t>
      </w:r>
    </w:p>
    <w:p w:rsidR="00000000" w:rsidRDefault="00000000">
      <w:pPr>
        <w:numPr>
          <w:ilvl w:val="0"/>
          <w:numId w:val="459"/>
        </w:numPr>
        <w:rPr>
          <w:rFonts w:hint="eastAsia"/>
          <w:snapToGrid/>
        </w:rPr>
      </w:pPr>
      <w:r>
        <w:rPr>
          <w:rFonts w:hint="eastAsia"/>
          <w:snapToGrid/>
        </w:rPr>
        <w:t>《公民权利和政治权利国际公约》</w:t>
      </w:r>
      <w:r>
        <w:rPr>
          <w:rFonts w:hint="eastAsia"/>
          <w:snapToGrid/>
        </w:rPr>
        <w:t>(1966)</w:t>
      </w:r>
      <w:r>
        <w:rPr>
          <w:rFonts w:hint="eastAsia"/>
          <w:snapToGrid/>
        </w:rPr>
        <w:t>，由</w:t>
      </w:r>
      <w:r>
        <w:rPr>
          <w:rFonts w:hint="eastAsia"/>
          <w:snapToGrid/>
        </w:rPr>
        <w:t>1990</w:t>
      </w:r>
      <w:r>
        <w:rPr>
          <w:rFonts w:hint="eastAsia"/>
          <w:snapToGrid/>
        </w:rPr>
        <w:t>年</w:t>
      </w:r>
      <w:r>
        <w:rPr>
          <w:rFonts w:hint="eastAsia"/>
          <w:snapToGrid/>
        </w:rPr>
        <w:t>7</w:t>
      </w:r>
      <w:r>
        <w:rPr>
          <w:rFonts w:hint="eastAsia"/>
          <w:snapToGrid/>
        </w:rPr>
        <w:t>月</w:t>
      </w:r>
      <w:r>
        <w:rPr>
          <w:rFonts w:hint="eastAsia"/>
          <w:snapToGrid/>
        </w:rPr>
        <w:t>28</w:t>
      </w:r>
      <w:r>
        <w:rPr>
          <w:rFonts w:hint="eastAsia"/>
          <w:snapToGrid/>
        </w:rPr>
        <w:t>日第</w:t>
      </w:r>
      <w:r>
        <w:rPr>
          <w:rFonts w:hint="eastAsia"/>
          <w:snapToGrid/>
        </w:rPr>
        <w:t>217-XII</w:t>
      </w:r>
      <w:r>
        <w:rPr>
          <w:rFonts w:hint="eastAsia"/>
          <w:snapToGrid/>
        </w:rPr>
        <w:t>号议会决定批准，自</w:t>
      </w:r>
      <w:r>
        <w:rPr>
          <w:rFonts w:hint="eastAsia"/>
          <w:snapToGrid/>
        </w:rPr>
        <w:t>1993</w:t>
      </w:r>
      <w:r>
        <w:rPr>
          <w:rFonts w:hint="eastAsia"/>
          <w:snapToGrid/>
        </w:rPr>
        <w:t>年</w:t>
      </w:r>
      <w:r>
        <w:rPr>
          <w:rFonts w:hint="eastAsia"/>
          <w:snapToGrid/>
        </w:rPr>
        <w:t>9</w:t>
      </w:r>
      <w:r>
        <w:rPr>
          <w:rFonts w:hint="eastAsia"/>
          <w:snapToGrid/>
        </w:rPr>
        <w:t>月</w:t>
      </w:r>
      <w:r>
        <w:rPr>
          <w:rFonts w:hint="eastAsia"/>
          <w:snapToGrid/>
        </w:rPr>
        <w:t>26</w:t>
      </w:r>
      <w:r>
        <w:rPr>
          <w:rFonts w:hint="eastAsia"/>
          <w:snapToGrid/>
        </w:rPr>
        <w:t>日起生效；</w:t>
      </w:r>
    </w:p>
    <w:p w:rsidR="00000000" w:rsidRDefault="00000000">
      <w:pPr>
        <w:numPr>
          <w:ilvl w:val="0"/>
          <w:numId w:val="459"/>
        </w:numPr>
        <w:rPr>
          <w:rFonts w:hint="eastAsia"/>
          <w:snapToGrid/>
        </w:rPr>
      </w:pPr>
      <w:r>
        <w:rPr>
          <w:rFonts w:hint="eastAsia"/>
          <w:snapToGrid/>
        </w:rPr>
        <w:t>劳工组织《关于结社自由及保护组织权公约》</w:t>
      </w:r>
      <w:r>
        <w:rPr>
          <w:rFonts w:hint="eastAsia"/>
          <w:snapToGrid/>
        </w:rPr>
        <w:t>(1994</w:t>
      </w:r>
      <w:r>
        <w:rPr>
          <w:rFonts w:hint="eastAsia"/>
          <w:snapToGrid/>
        </w:rPr>
        <w:t>年第</w:t>
      </w:r>
      <w:r>
        <w:rPr>
          <w:rFonts w:hint="eastAsia"/>
          <w:snapToGrid/>
        </w:rPr>
        <w:t>87</w:t>
      </w:r>
      <w:r>
        <w:rPr>
          <w:rFonts w:hint="eastAsia"/>
          <w:snapToGrid/>
        </w:rPr>
        <w:t>号</w:t>
      </w:r>
      <w:r>
        <w:rPr>
          <w:rFonts w:hint="eastAsia"/>
          <w:snapToGrid/>
        </w:rPr>
        <w:t>)</w:t>
      </w:r>
      <w:r>
        <w:rPr>
          <w:rFonts w:hint="eastAsia"/>
          <w:snapToGrid/>
        </w:rPr>
        <w:t>，由</w:t>
      </w:r>
      <w:r>
        <w:rPr>
          <w:rFonts w:hint="eastAsia"/>
          <w:snapToGrid/>
        </w:rPr>
        <w:t>1995</w:t>
      </w:r>
      <w:r>
        <w:rPr>
          <w:rFonts w:hint="eastAsia"/>
          <w:snapToGrid/>
        </w:rPr>
        <w:t>年</w:t>
      </w:r>
      <w:r>
        <w:rPr>
          <w:rFonts w:hint="eastAsia"/>
          <w:snapToGrid/>
        </w:rPr>
        <w:t>9</w:t>
      </w:r>
      <w:r>
        <w:rPr>
          <w:rFonts w:hint="eastAsia"/>
          <w:snapToGrid/>
        </w:rPr>
        <w:t>月</w:t>
      </w:r>
      <w:r>
        <w:rPr>
          <w:rFonts w:hint="eastAsia"/>
          <w:snapToGrid/>
        </w:rPr>
        <w:t>26</w:t>
      </w:r>
      <w:r>
        <w:rPr>
          <w:rFonts w:hint="eastAsia"/>
          <w:snapToGrid/>
        </w:rPr>
        <w:t>日第</w:t>
      </w:r>
      <w:r>
        <w:rPr>
          <w:rFonts w:hint="eastAsia"/>
          <w:snapToGrid/>
        </w:rPr>
        <w:t>593-XIII</w:t>
      </w:r>
      <w:r>
        <w:rPr>
          <w:rFonts w:hint="eastAsia"/>
          <w:snapToGrid/>
        </w:rPr>
        <w:t>号议会决定批准，自</w:t>
      </w:r>
      <w:r>
        <w:rPr>
          <w:rFonts w:hint="eastAsia"/>
          <w:snapToGrid/>
        </w:rPr>
        <w:t>1997</w:t>
      </w:r>
      <w:r>
        <w:rPr>
          <w:rFonts w:hint="eastAsia"/>
          <w:snapToGrid/>
        </w:rPr>
        <w:t>年</w:t>
      </w:r>
      <w:r>
        <w:rPr>
          <w:rFonts w:hint="eastAsia"/>
          <w:snapToGrid/>
        </w:rPr>
        <w:t>8</w:t>
      </w:r>
      <w:r>
        <w:rPr>
          <w:rFonts w:hint="eastAsia"/>
          <w:snapToGrid/>
        </w:rPr>
        <w:t>月</w:t>
      </w:r>
      <w:r>
        <w:rPr>
          <w:rFonts w:hint="eastAsia"/>
          <w:snapToGrid/>
        </w:rPr>
        <w:t>12</w:t>
      </w:r>
      <w:r>
        <w:rPr>
          <w:rFonts w:hint="eastAsia"/>
          <w:snapToGrid/>
        </w:rPr>
        <w:t>日起生效。关于执行该公约条款情况的报告已于</w:t>
      </w:r>
      <w:r>
        <w:rPr>
          <w:rFonts w:hint="eastAsia"/>
          <w:snapToGrid/>
        </w:rPr>
        <w:t>2000</w:t>
      </w:r>
      <w:r>
        <w:rPr>
          <w:rFonts w:hint="eastAsia"/>
          <w:snapToGrid/>
        </w:rPr>
        <w:t>年</w:t>
      </w:r>
      <w:r>
        <w:rPr>
          <w:rFonts w:hint="eastAsia"/>
          <w:snapToGrid/>
        </w:rPr>
        <w:t>8</w:t>
      </w:r>
      <w:r>
        <w:rPr>
          <w:rFonts w:hint="eastAsia"/>
          <w:snapToGrid/>
        </w:rPr>
        <w:t>月送交劳工组织。</w:t>
      </w:r>
    </w:p>
    <w:p w:rsidR="00000000" w:rsidRDefault="00000000">
      <w:pPr>
        <w:widowControl w:val="0"/>
        <w:rPr>
          <w:rFonts w:hint="eastAsia"/>
          <w:snapToGrid/>
        </w:rPr>
      </w:pPr>
      <w:r>
        <w:rPr>
          <w:snapToGrid/>
        </w:rPr>
        <w:tab/>
      </w:r>
      <w:r>
        <w:rPr>
          <w:rFonts w:hint="eastAsia"/>
          <w:snapToGrid/>
        </w:rPr>
        <w:t>204.</w:t>
      </w:r>
      <w:r>
        <w:rPr>
          <w:snapToGrid/>
        </w:rPr>
        <w:t xml:space="preserve">  </w:t>
      </w:r>
      <w:r>
        <w:rPr>
          <w:rFonts w:hint="eastAsia"/>
          <w:snapToGrid/>
        </w:rPr>
        <w:t>摩尔多瓦共和国《宪法》规定了成立工会和加入工会的权利</w:t>
      </w:r>
      <w:r>
        <w:rPr>
          <w:rFonts w:hint="eastAsia"/>
          <w:snapToGrid/>
        </w:rPr>
        <w:t>(</w:t>
      </w:r>
      <w:r>
        <w:rPr>
          <w:rFonts w:hint="eastAsia"/>
          <w:snapToGrid/>
        </w:rPr>
        <w:t>第</w:t>
      </w:r>
      <w:r>
        <w:rPr>
          <w:rFonts w:hint="eastAsia"/>
          <w:snapToGrid/>
        </w:rPr>
        <w:t>42</w:t>
      </w:r>
      <w:r>
        <w:rPr>
          <w:rFonts w:hint="eastAsia"/>
          <w:snapToGrid/>
        </w:rPr>
        <w:t>条</w:t>
      </w:r>
      <w:r>
        <w:rPr>
          <w:rFonts w:hint="eastAsia"/>
          <w:snapToGrid/>
        </w:rPr>
        <w:t>)</w:t>
      </w:r>
      <w:r>
        <w:rPr>
          <w:rFonts w:hint="eastAsia"/>
          <w:snapToGrid/>
        </w:rPr>
        <w:t>：“每个雇佣劳动者均有权成立和加入工会以保护其权利。工会根据其章程和法律条款成立并开展活动。工会有助于保护雇员的职业、经济和社会权利。”</w:t>
      </w:r>
    </w:p>
    <w:p w:rsidR="00000000" w:rsidRDefault="00000000">
      <w:pPr>
        <w:rPr>
          <w:rFonts w:hint="eastAsia"/>
          <w:snapToGrid/>
        </w:rPr>
      </w:pPr>
      <w:r>
        <w:rPr>
          <w:snapToGrid/>
        </w:rPr>
        <w:tab/>
      </w:r>
      <w:r>
        <w:rPr>
          <w:rFonts w:hint="eastAsia"/>
          <w:snapToGrid/>
        </w:rPr>
        <w:t>205.</w:t>
      </w:r>
      <w:r>
        <w:rPr>
          <w:snapToGrid/>
        </w:rPr>
        <w:t xml:space="preserve">  </w:t>
      </w:r>
      <w:r>
        <w:rPr>
          <w:rFonts w:hint="eastAsia"/>
          <w:snapToGrid/>
        </w:rPr>
        <w:t>《劳动法》第</w:t>
      </w:r>
      <w:r>
        <w:rPr>
          <w:rFonts w:hint="eastAsia"/>
          <w:snapToGrid/>
        </w:rPr>
        <w:t>232</w:t>
      </w:r>
      <w:r>
        <w:rPr>
          <w:rFonts w:hint="eastAsia"/>
          <w:snapToGrid/>
        </w:rPr>
        <w:t>条规定雇员有权自愿成立和加入机构、工会和组织，无须事先获得批准。</w:t>
      </w:r>
    </w:p>
    <w:p w:rsidR="00000000" w:rsidRDefault="00000000">
      <w:pPr>
        <w:rPr>
          <w:rFonts w:hint="eastAsia"/>
          <w:snapToGrid/>
        </w:rPr>
      </w:pPr>
      <w:r>
        <w:rPr>
          <w:snapToGrid/>
        </w:rPr>
        <w:tab/>
      </w:r>
      <w:r>
        <w:rPr>
          <w:rFonts w:hint="eastAsia"/>
          <w:snapToGrid/>
        </w:rPr>
        <w:t>206.</w:t>
      </w:r>
      <w:r>
        <w:rPr>
          <w:snapToGrid/>
        </w:rPr>
        <w:t xml:space="preserve">  </w:t>
      </w:r>
      <w:r>
        <w:rPr>
          <w:rFonts w:hint="eastAsia"/>
          <w:snapToGrid/>
        </w:rPr>
        <w:t>2000</w:t>
      </w:r>
      <w:r>
        <w:rPr>
          <w:rFonts w:hint="eastAsia"/>
          <w:snapToGrid/>
        </w:rPr>
        <w:t>年</w:t>
      </w:r>
      <w:r>
        <w:rPr>
          <w:rFonts w:hint="eastAsia"/>
          <w:snapToGrid/>
        </w:rPr>
        <w:t>7</w:t>
      </w:r>
      <w:r>
        <w:rPr>
          <w:rFonts w:hint="eastAsia"/>
          <w:snapToGrid/>
        </w:rPr>
        <w:t>月</w:t>
      </w:r>
      <w:r>
        <w:rPr>
          <w:rFonts w:hint="eastAsia"/>
          <w:snapToGrid/>
        </w:rPr>
        <w:t>7</w:t>
      </w:r>
      <w:r>
        <w:rPr>
          <w:rFonts w:hint="eastAsia"/>
          <w:snapToGrid/>
        </w:rPr>
        <w:t>日第</w:t>
      </w:r>
      <w:r>
        <w:rPr>
          <w:rFonts w:hint="eastAsia"/>
          <w:snapToGrid/>
        </w:rPr>
        <w:t>1129-XIV</w:t>
      </w:r>
      <w:r>
        <w:rPr>
          <w:rFonts w:hint="eastAsia"/>
          <w:snapToGrid/>
        </w:rPr>
        <w:t>号《工会法》于</w:t>
      </w:r>
      <w:r>
        <w:rPr>
          <w:rFonts w:hint="eastAsia"/>
          <w:snapToGrid/>
        </w:rPr>
        <w:t>2000</w:t>
      </w:r>
      <w:r>
        <w:rPr>
          <w:rFonts w:hint="eastAsia"/>
          <w:snapToGrid/>
        </w:rPr>
        <w:t>年</w:t>
      </w:r>
      <w:r>
        <w:rPr>
          <w:rFonts w:hint="eastAsia"/>
          <w:snapToGrid/>
        </w:rPr>
        <w:t>10</w:t>
      </w:r>
      <w:r>
        <w:rPr>
          <w:rFonts w:hint="eastAsia"/>
          <w:snapToGrid/>
        </w:rPr>
        <w:t>月</w:t>
      </w:r>
      <w:r>
        <w:rPr>
          <w:rFonts w:hint="eastAsia"/>
          <w:snapToGrid/>
        </w:rPr>
        <w:t>19</w:t>
      </w:r>
      <w:r>
        <w:rPr>
          <w:rFonts w:hint="eastAsia"/>
          <w:snapToGrid/>
        </w:rPr>
        <w:t>日在第</w:t>
      </w:r>
      <w:r>
        <w:rPr>
          <w:rFonts w:hint="eastAsia"/>
          <w:snapToGrid/>
        </w:rPr>
        <w:t>130-132/919</w:t>
      </w:r>
      <w:r>
        <w:rPr>
          <w:rFonts w:hint="eastAsia"/>
          <w:snapToGrid/>
        </w:rPr>
        <w:t>期《政府公报》上公布，其中规定了公民组织和加入工会的宪法权利。根据该法条款，合法生活在摩尔多瓦共和国领土内的该国公民、外国人和无国籍者均有权根据自己的选择组织机构并加入工会，无须事先从公共当局获得批准</w:t>
      </w:r>
      <w:r>
        <w:rPr>
          <w:rFonts w:hint="eastAsia"/>
          <w:snapToGrid/>
        </w:rPr>
        <w:t>(</w:t>
      </w:r>
      <w:r>
        <w:rPr>
          <w:rFonts w:hint="eastAsia"/>
          <w:snapToGrid/>
        </w:rPr>
        <w:t>第</w:t>
      </w:r>
      <w:r>
        <w:rPr>
          <w:rFonts w:hint="eastAsia"/>
          <w:snapToGrid/>
        </w:rPr>
        <w:t>7</w:t>
      </w:r>
      <w:r>
        <w:rPr>
          <w:rFonts w:hint="eastAsia"/>
          <w:snapToGrid/>
        </w:rPr>
        <w:t>条</w:t>
      </w:r>
      <w:r>
        <w:rPr>
          <w:rFonts w:hint="eastAsia"/>
          <w:snapToGrid/>
        </w:rPr>
        <w:t>)</w:t>
      </w:r>
      <w:r>
        <w:rPr>
          <w:rFonts w:hint="eastAsia"/>
          <w:snapToGrid/>
        </w:rPr>
        <w:t>。若要组织一个工会，至少须有三人提出倡议，他们被视为工会的创建者。成立基层工会须依据一项制宪会议决定。按照第</w:t>
      </w:r>
      <w:r>
        <w:rPr>
          <w:rFonts w:hint="eastAsia"/>
          <w:snapToGrid/>
        </w:rPr>
        <w:t>8</w:t>
      </w:r>
      <w:r>
        <w:rPr>
          <w:rFonts w:hint="eastAsia"/>
          <w:snapToGrid/>
        </w:rPr>
        <w:t>条第</w:t>
      </w:r>
      <w:r>
        <w:rPr>
          <w:rFonts w:hint="eastAsia"/>
          <w:snapToGrid/>
        </w:rPr>
        <w:t>3</w:t>
      </w:r>
      <w:r>
        <w:rPr>
          <w:rFonts w:hint="eastAsia"/>
          <w:snapToGrid/>
        </w:rPr>
        <w:t>款，工会应在共同利益</w:t>
      </w:r>
      <w:r>
        <w:rPr>
          <w:rFonts w:hint="eastAsia"/>
          <w:snapToGrid/>
        </w:rPr>
        <w:t>(</w:t>
      </w:r>
      <w:r>
        <w:rPr>
          <w:rFonts w:hint="eastAsia"/>
          <w:snapToGrid/>
        </w:rPr>
        <w:t>职业、部门</w:t>
      </w:r>
      <w:r>
        <w:rPr>
          <w:rFonts w:hint="eastAsia"/>
          <w:snapToGrid/>
        </w:rPr>
        <w:t>)</w:t>
      </w:r>
      <w:r>
        <w:rPr>
          <w:rFonts w:hint="eastAsia"/>
          <w:snapToGrid/>
        </w:rPr>
        <w:t>的基础上自愿组成，通常在企业、机构或组织内部开展活动，在组织形式和财产所有权形式方面没有差别。雇主无权阻止自然人加入工会。工会的活动独立于各级公共机关、政治党派、公共社团、雇主及其联合会，而且不得受到控制和被置于从属地位</w:t>
      </w:r>
      <w:r>
        <w:rPr>
          <w:rFonts w:hint="eastAsia"/>
          <w:snapToGrid/>
        </w:rPr>
        <w:t>(</w:t>
      </w:r>
      <w:r>
        <w:rPr>
          <w:rFonts w:hint="eastAsia"/>
          <w:snapToGrid/>
        </w:rPr>
        <w:t>第</w:t>
      </w:r>
      <w:r>
        <w:rPr>
          <w:rFonts w:hint="eastAsia"/>
          <w:snapToGrid/>
        </w:rPr>
        <w:t>5</w:t>
      </w:r>
      <w:r>
        <w:rPr>
          <w:rFonts w:hint="eastAsia"/>
          <w:snapToGrid/>
        </w:rPr>
        <w:t>条</w:t>
      </w:r>
      <w:r>
        <w:rPr>
          <w:rFonts w:hint="eastAsia"/>
          <w:snapToGrid/>
        </w:rPr>
        <w:t>)</w:t>
      </w:r>
      <w:r>
        <w:rPr>
          <w:rFonts w:hint="eastAsia"/>
          <w:snapToGrid/>
        </w:rPr>
        <w:t>。工会会员身份不意味着会在由《宪法》和摩尔多瓦共和国加入的各项国际协定所规定的人权和自由方面受到任何限制</w:t>
      </w:r>
      <w:r>
        <w:rPr>
          <w:rFonts w:hint="eastAsia"/>
          <w:snapToGrid/>
        </w:rPr>
        <w:t>(</w:t>
      </w:r>
      <w:r>
        <w:rPr>
          <w:rFonts w:hint="eastAsia"/>
          <w:snapToGrid/>
        </w:rPr>
        <w:t>第</w:t>
      </w:r>
      <w:r>
        <w:rPr>
          <w:rFonts w:hint="eastAsia"/>
          <w:snapToGrid/>
        </w:rPr>
        <w:t>6</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207.</w:t>
      </w:r>
      <w:r>
        <w:rPr>
          <w:snapToGrid/>
        </w:rPr>
        <w:t xml:space="preserve">  </w:t>
      </w:r>
      <w:r>
        <w:rPr>
          <w:rFonts w:hint="eastAsia"/>
          <w:snapToGrid/>
        </w:rPr>
        <w:t>第</w:t>
      </w:r>
      <w:r>
        <w:rPr>
          <w:rFonts w:hint="eastAsia"/>
          <w:snapToGrid/>
        </w:rPr>
        <w:t>4</w:t>
      </w:r>
      <w:r>
        <w:rPr>
          <w:rFonts w:hint="eastAsia"/>
          <w:snapToGrid/>
        </w:rPr>
        <w:t>条规定《工会法》适用于军事单位和内政部门</w:t>
      </w:r>
      <w:r>
        <w:rPr>
          <w:rFonts w:hint="eastAsia"/>
          <w:snapToGrid/>
        </w:rPr>
        <w:t>(</w:t>
      </w:r>
      <w:r>
        <w:rPr>
          <w:rFonts w:hint="eastAsia"/>
          <w:snapToGrid/>
        </w:rPr>
        <w:t>考虑到立法法案中载明的决定它们司法地位的独特性</w:t>
      </w:r>
      <w:r>
        <w:rPr>
          <w:rFonts w:hint="eastAsia"/>
          <w:snapToGrid/>
        </w:rPr>
        <w:t>)</w:t>
      </w:r>
      <w:r>
        <w:rPr>
          <w:rFonts w:hint="eastAsia"/>
          <w:snapToGrid/>
        </w:rPr>
        <w:t>。《基本法》第三章中规定了工会的基本权利。下面列举其中一些：</w:t>
      </w:r>
    </w:p>
    <w:p w:rsidR="00000000" w:rsidRDefault="00000000">
      <w:pPr>
        <w:numPr>
          <w:ilvl w:val="0"/>
          <w:numId w:val="408"/>
        </w:numPr>
        <w:rPr>
          <w:snapToGrid/>
        </w:rPr>
      </w:pPr>
      <w:r>
        <w:rPr>
          <w:rFonts w:hint="eastAsia"/>
          <w:snapToGrid/>
        </w:rPr>
        <w:t>工会在公共机关各级代表并保护其会员的利益；</w:t>
      </w:r>
    </w:p>
    <w:p w:rsidR="00000000" w:rsidRDefault="00000000">
      <w:pPr>
        <w:numPr>
          <w:ilvl w:val="0"/>
          <w:numId w:val="408"/>
        </w:numPr>
        <w:rPr>
          <w:snapToGrid/>
        </w:rPr>
      </w:pPr>
      <w:r>
        <w:rPr>
          <w:rFonts w:hint="eastAsia"/>
          <w:snapToGrid/>
        </w:rPr>
        <w:t>工会有权与雇主及雇主联合会和与公共行政当局进行集体谈判并订立集体雇佣合同；</w:t>
      </w:r>
    </w:p>
    <w:p w:rsidR="00000000" w:rsidRDefault="00000000">
      <w:pPr>
        <w:numPr>
          <w:ilvl w:val="0"/>
          <w:numId w:val="408"/>
        </w:numPr>
        <w:rPr>
          <w:snapToGrid/>
        </w:rPr>
      </w:pPr>
      <w:r>
        <w:rPr>
          <w:rFonts w:hint="eastAsia"/>
          <w:snapToGrid/>
        </w:rPr>
        <w:t>工会确保保护工作权和享有能维持体面生活水平的报酬的权利；</w:t>
      </w:r>
    </w:p>
    <w:p w:rsidR="00000000" w:rsidRDefault="00000000">
      <w:pPr>
        <w:numPr>
          <w:ilvl w:val="0"/>
          <w:numId w:val="408"/>
        </w:numPr>
        <w:rPr>
          <w:snapToGrid/>
        </w:rPr>
      </w:pPr>
      <w:r>
        <w:rPr>
          <w:rFonts w:hint="eastAsia"/>
          <w:snapToGrid/>
        </w:rPr>
        <w:t>工会参与拟订劳动和环境保护方面的国家政策，还参与拟订改善雇员工作条件的方案；</w:t>
      </w:r>
    </w:p>
    <w:p w:rsidR="00000000" w:rsidRDefault="00000000">
      <w:pPr>
        <w:numPr>
          <w:ilvl w:val="0"/>
          <w:numId w:val="408"/>
        </w:numPr>
        <w:rPr>
          <w:snapToGrid/>
        </w:rPr>
      </w:pPr>
      <w:r>
        <w:rPr>
          <w:rFonts w:hint="eastAsia"/>
          <w:snapToGrid/>
        </w:rPr>
        <w:t>工会为其会员提供法律援助，并根据立法参与解决个人劳资诉讼案；</w:t>
      </w:r>
    </w:p>
    <w:p w:rsidR="00000000" w:rsidRDefault="00000000">
      <w:pPr>
        <w:numPr>
          <w:ilvl w:val="0"/>
          <w:numId w:val="408"/>
        </w:numPr>
        <w:rPr>
          <w:rFonts w:hint="eastAsia"/>
          <w:snapToGrid/>
        </w:rPr>
      </w:pPr>
      <w:r>
        <w:rPr>
          <w:rFonts w:hint="eastAsia"/>
          <w:snapToGrid/>
        </w:rPr>
        <w:t>工会参与缓和集体劳资冲突。</w:t>
      </w:r>
    </w:p>
    <w:p w:rsidR="00000000" w:rsidRDefault="00000000">
      <w:pPr>
        <w:rPr>
          <w:rFonts w:hint="eastAsia"/>
          <w:snapToGrid/>
        </w:rPr>
      </w:pPr>
      <w:r>
        <w:rPr>
          <w:snapToGrid/>
        </w:rPr>
        <w:tab/>
      </w:r>
      <w:r>
        <w:rPr>
          <w:rFonts w:hint="eastAsia"/>
          <w:snapToGrid/>
        </w:rPr>
        <w:t>208.</w:t>
      </w:r>
      <w:r>
        <w:rPr>
          <w:snapToGrid/>
        </w:rPr>
        <w:t xml:space="preserve">  </w:t>
      </w:r>
      <w:r>
        <w:rPr>
          <w:rFonts w:hint="eastAsia"/>
          <w:snapToGrid/>
        </w:rPr>
        <w:t>为了保护工会会员的权利，工会组织或独立地或应各会员的要求，依法组织会议。</w:t>
      </w:r>
    </w:p>
    <w:p w:rsidR="00000000" w:rsidRDefault="00000000">
      <w:pPr>
        <w:rPr>
          <w:rFonts w:hint="eastAsia"/>
          <w:snapToGrid/>
        </w:rPr>
      </w:pPr>
      <w:r>
        <w:rPr>
          <w:snapToGrid/>
        </w:rPr>
        <w:tab/>
      </w:r>
      <w:r>
        <w:rPr>
          <w:rFonts w:hint="eastAsia"/>
          <w:snapToGrid/>
        </w:rPr>
        <w:t>209.</w:t>
      </w:r>
      <w:r>
        <w:rPr>
          <w:snapToGrid/>
        </w:rPr>
        <w:t xml:space="preserve">  </w:t>
      </w:r>
      <w:r>
        <w:rPr>
          <w:rFonts w:hint="eastAsia"/>
          <w:snapToGrid/>
        </w:rPr>
        <w:t>无视这些权利往往导致高职人员违法。例如，摩尔多瓦共和国工会总联合会的执行委员会在</w:t>
      </w:r>
      <w:r>
        <w:rPr>
          <w:rFonts w:hint="eastAsia"/>
          <w:snapToGrid/>
        </w:rPr>
        <w:t>1999</w:t>
      </w:r>
      <w:r>
        <w:rPr>
          <w:rFonts w:hint="eastAsia"/>
          <w:snapToGrid/>
        </w:rPr>
        <w:t>年</w:t>
      </w:r>
      <w:r>
        <w:rPr>
          <w:rFonts w:hint="eastAsia"/>
          <w:snapToGrid/>
        </w:rPr>
        <w:t>12</w:t>
      </w:r>
      <w:r>
        <w:rPr>
          <w:rFonts w:hint="eastAsia"/>
          <w:snapToGrid/>
        </w:rPr>
        <w:t>月</w:t>
      </w:r>
      <w:r>
        <w:rPr>
          <w:rFonts w:hint="eastAsia"/>
          <w:snapToGrid/>
        </w:rPr>
        <w:t>14</w:t>
      </w:r>
      <w:r>
        <w:rPr>
          <w:rFonts w:hint="eastAsia"/>
          <w:snapToGrid/>
        </w:rPr>
        <w:t>日第</w:t>
      </w:r>
      <w:r>
        <w:rPr>
          <w:rFonts w:hint="eastAsia"/>
          <w:snapToGrid/>
        </w:rPr>
        <w:t>68-648</w:t>
      </w:r>
      <w:r>
        <w:rPr>
          <w:rFonts w:hint="eastAsia"/>
          <w:snapToGrid/>
        </w:rPr>
        <w:t>号决定的附件中明确指出国家政府办公厅禁止基层工会的活动并限制办公室工作人员加入工会的权利，因为《政府法》没有规定公共组织的活动。合资公司“</w:t>
      </w:r>
      <w:r>
        <w:rPr>
          <w:rFonts w:hint="eastAsia"/>
          <w:snapToGrid/>
        </w:rPr>
        <w:t>Bucuria</w:t>
      </w:r>
      <w:r>
        <w:rPr>
          <w:rFonts w:hint="eastAsia"/>
          <w:snapToGrid/>
        </w:rPr>
        <w:t>”的工人、</w:t>
      </w:r>
      <w:r>
        <w:rPr>
          <w:rFonts w:hint="eastAsia"/>
          <w:snapToGrid/>
        </w:rPr>
        <w:t xml:space="preserve">Ciadir-Lunga </w:t>
      </w:r>
      <w:r>
        <w:rPr>
          <w:rFonts w:hint="eastAsia"/>
          <w:snapToGrid/>
        </w:rPr>
        <w:t>的抗雹部门和</w:t>
      </w:r>
      <w:r>
        <w:rPr>
          <w:rFonts w:hint="eastAsia"/>
          <w:snapToGrid/>
        </w:rPr>
        <w:t>Ghindeshti</w:t>
      </w:r>
      <w:r>
        <w:rPr>
          <w:rFonts w:hint="eastAsia"/>
          <w:snapToGrid/>
        </w:rPr>
        <w:t>糖厂的工人不被准许加入工会。</w:t>
      </w:r>
    </w:p>
    <w:p w:rsidR="00000000" w:rsidRDefault="00000000">
      <w:pPr>
        <w:rPr>
          <w:rFonts w:hint="eastAsia"/>
          <w:snapToGrid/>
        </w:rPr>
      </w:pPr>
      <w:r>
        <w:rPr>
          <w:snapToGrid/>
        </w:rPr>
        <w:tab/>
      </w:r>
      <w:r>
        <w:rPr>
          <w:rFonts w:hint="eastAsia"/>
          <w:snapToGrid/>
        </w:rPr>
        <w:t>210.</w:t>
      </w:r>
      <w:r>
        <w:rPr>
          <w:snapToGrid/>
        </w:rPr>
        <w:t xml:space="preserve">  </w:t>
      </w:r>
      <w:r>
        <w:rPr>
          <w:rFonts w:hint="eastAsia"/>
          <w:snapToGrid/>
        </w:rPr>
        <w:t>《公共社团法》第</w:t>
      </w:r>
      <w:r>
        <w:rPr>
          <w:rFonts w:hint="eastAsia"/>
          <w:snapToGrid/>
        </w:rPr>
        <w:t>4</w:t>
      </w:r>
      <w:r>
        <w:rPr>
          <w:rFonts w:hint="eastAsia"/>
          <w:snapToGrid/>
        </w:rPr>
        <w:t>条对公共组织的成立和活动规定了下述限制：</w:t>
      </w:r>
    </w:p>
    <w:p w:rsidR="00000000" w:rsidRDefault="00000000">
      <w:pPr>
        <w:numPr>
          <w:ilvl w:val="0"/>
          <w:numId w:val="409"/>
        </w:numPr>
        <w:rPr>
          <w:snapToGrid/>
        </w:rPr>
      </w:pPr>
      <w:r>
        <w:rPr>
          <w:rFonts w:hint="eastAsia"/>
          <w:snapToGrid/>
        </w:rPr>
        <w:t>公共社团不得倡导或采取行动企图以暴力方式改变宪法制度；不得通过宣传战争思想、实施暴力和残忍行为来破坏摩尔多瓦共和国的领土完整；也不得煽动社会、种族、民族或宗教仇恨情绪；</w:t>
      </w:r>
    </w:p>
    <w:p w:rsidR="00000000" w:rsidRDefault="00000000">
      <w:pPr>
        <w:numPr>
          <w:ilvl w:val="0"/>
          <w:numId w:val="409"/>
        </w:numPr>
        <w:rPr>
          <w:snapToGrid/>
        </w:rPr>
      </w:pPr>
      <w:r>
        <w:rPr>
          <w:rFonts w:hint="eastAsia"/>
          <w:snapToGrid/>
        </w:rPr>
        <w:t>禁止成立侵犯公民权利和利益、危害人民健康和公共道德的公共社团；</w:t>
      </w:r>
    </w:p>
    <w:p w:rsidR="00000000" w:rsidRDefault="00000000">
      <w:pPr>
        <w:numPr>
          <w:ilvl w:val="0"/>
          <w:numId w:val="409"/>
        </w:numPr>
        <w:rPr>
          <w:snapToGrid/>
        </w:rPr>
      </w:pPr>
      <w:r>
        <w:rPr>
          <w:rFonts w:hint="eastAsia"/>
          <w:snapToGrid/>
        </w:rPr>
        <w:t>禁止成立具有准军事和武装性质的公共社团；</w:t>
      </w:r>
    </w:p>
    <w:p w:rsidR="00000000" w:rsidRDefault="00000000">
      <w:pPr>
        <w:numPr>
          <w:ilvl w:val="0"/>
          <w:numId w:val="409"/>
        </w:numPr>
        <w:rPr>
          <w:snapToGrid/>
        </w:rPr>
      </w:pPr>
      <w:r>
        <w:rPr>
          <w:rFonts w:hint="eastAsia"/>
          <w:snapToGrid/>
        </w:rPr>
        <w:t>监督公共社团登记和活动的公务人员不得是公共社团的创建人；</w:t>
      </w:r>
    </w:p>
    <w:p w:rsidR="00000000" w:rsidRDefault="00000000">
      <w:pPr>
        <w:numPr>
          <w:ilvl w:val="0"/>
          <w:numId w:val="409"/>
        </w:numPr>
        <w:rPr>
          <w:snapToGrid/>
        </w:rPr>
      </w:pPr>
      <w:r>
        <w:rPr>
          <w:rFonts w:hint="eastAsia"/>
          <w:snapToGrid/>
        </w:rPr>
        <w:t>公共社团的创建人和执行机构的成员不得是政府人员或公务员；</w:t>
      </w:r>
    </w:p>
    <w:p w:rsidR="00000000" w:rsidRDefault="00000000">
      <w:pPr>
        <w:numPr>
          <w:ilvl w:val="0"/>
          <w:numId w:val="409"/>
        </w:numPr>
        <w:rPr>
          <w:rFonts w:hint="eastAsia"/>
          <w:snapToGrid/>
        </w:rPr>
      </w:pPr>
      <w:r>
        <w:rPr>
          <w:rFonts w:hint="eastAsia"/>
          <w:snapToGrid/>
        </w:rPr>
        <w:t>本法就某些公共社团的成立和特定类别的公务员加入这些社团做了其他限制。</w:t>
      </w:r>
    </w:p>
    <w:p w:rsidR="00000000" w:rsidRDefault="00000000">
      <w:pPr>
        <w:rPr>
          <w:rFonts w:hint="eastAsia"/>
          <w:snapToGrid/>
        </w:rPr>
      </w:pPr>
      <w:r>
        <w:rPr>
          <w:snapToGrid/>
        </w:rPr>
        <w:tab/>
      </w:r>
      <w:r>
        <w:rPr>
          <w:rFonts w:hint="eastAsia"/>
          <w:snapToGrid/>
        </w:rPr>
        <w:t>211.</w:t>
      </w:r>
      <w:r>
        <w:rPr>
          <w:snapToGrid/>
        </w:rPr>
        <w:t xml:space="preserve">  </w:t>
      </w:r>
      <w:r>
        <w:rPr>
          <w:rFonts w:hint="eastAsia"/>
          <w:snapToGrid/>
        </w:rPr>
        <w:t>摩尔多瓦共和国《宪法》第</w:t>
      </w:r>
      <w:r>
        <w:rPr>
          <w:rFonts w:hint="eastAsia"/>
          <w:snapToGrid/>
        </w:rPr>
        <w:t>45</w:t>
      </w:r>
      <w:r>
        <w:rPr>
          <w:rFonts w:hint="eastAsia"/>
          <w:snapToGrid/>
        </w:rPr>
        <w:t>条规定了罢工权。只有为保护雇员的经济和职业利益时才能进行罢工。</w:t>
      </w:r>
      <w:r>
        <w:rPr>
          <w:rFonts w:hint="eastAsia"/>
          <w:snapToGrid/>
        </w:rPr>
        <w:t>2000</w:t>
      </w:r>
      <w:r>
        <w:rPr>
          <w:rFonts w:hint="eastAsia"/>
          <w:snapToGrid/>
        </w:rPr>
        <w:t>年《集体劳资协议》附件第</w:t>
      </w:r>
      <w:r>
        <w:rPr>
          <w:rFonts w:hint="eastAsia"/>
          <w:snapToGrid/>
        </w:rPr>
        <w:t>5.12</w:t>
      </w:r>
      <w:r>
        <w:rPr>
          <w:rFonts w:hint="eastAsia"/>
          <w:snapToGrid/>
        </w:rPr>
        <w:t>段中规定进行罢工的目的是保护劳动人民经济和社会方面的职业利益而不得具有政治目的</w:t>
      </w:r>
      <w:r>
        <w:rPr>
          <w:rFonts w:hint="eastAsia"/>
          <w:snapToGrid/>
        </w:rPr>
        <w:t>(</w:t>
      </w:r>
      <w:r>
        <w:rPr>
          <w:rFonts w:hint="eastAsia"/>
          <w:snapToGrid/>
        </w:rPr>
        <w:t>宪法第</w:t>
      </w:r>
      <w:r>
        <w:rPr>
          <w:rFonts w:hint="eastAsia"/>
          <w:snapToGrid/>
        </w:rPr>
        <w:t>45</w:t>
      </w:r>
      <w:r>
        <w:rPr>
          <w:rFonts w:hint="eastAsia"/>
          <w:snapToGrid/>
        </w:rPr>
        <w:t>条</w:t>
      </w:r>
      <w:r>
        <w:rPr>
          <w:rFonts w:hint="eastAsia"/>
          <w:snapToGrid/>
        </w:rPr>
        <w:t>)</w:t>
      </w:r>
      <w:r>
        <w:rPr>
          <w:rFonts w:hint="eastAsia"/>
          <w:snapToGrid/>
        </w:rPr>
        <w:t>。根据</w:t>
      </w:r>
      <w:r>
        <w:rPr>
          <w:rFonts w:hint="eastAsia"/>
          <w:snapToGrid/>
        </w:rPr>
        <w:t>1993</w:t>
      </w:r>
      <w:r>
        <w:rPr>
          <w:rFonts w:hint="eastAsia"/>
          <w:snapToGrid/>
        </w:rPr>
        <w:t>年</w:t>
      </w:r>
      <w:r>
        <w:rPr>
          <w:rFonts w:hint="eastAsia"/>
          <w:snapToGrid/>
        </w:rPr>
        <w:t>2</w:t>
      </w:r>
      <w:r>
        <w:rPr>
          <w:rFonts w:hint="eastAsia"/>
          <w:snapToGrid/>
        </w:rPr>
        <w:t>月</w:t>
      </w:r>
      <w:r>
        <w:rPr>
          <w:rFonts w:hint="eastAsia"/>
          <w:snapToGrid/>
        </w:rPr>
        <w:t>24</w:t>
      </w:r>
      <w:r>
        <w:rPr>
          <w:rFonts w:hint="eastAsia"/>
          <w:snapToGrid/>
        </w:rPr>
        <w:t>日第</w:t>
      </w:r>
      <w:r>
        <w:rPr>
          <w:rFonts w:hint="eastAsia"/>
          <w:snapToGrid/>
        </w:rPr>
        <w:t>1298</w:t>
      </w:r>
      <w:r>
        <w:rPr>
          <w:rFonts w:hint="eastAsia"/>
          <w:snapToGrid/>
        </w:rPr>
        <w:t>号《解决集体劳资争议法》第</w:t>
      </w:r>
      <w:r>
        <w:rPr>
          <w:rFonts w:hint="eastAsia"/>
          <w:snapToGrid/>
        </w:rPr>
        <w:t>16</w:t>
      </w:r>
      <w:r>
        <w:rPr>
          <w:rFonts w:hint="eastAsia"/>
          <w:snapToGrid/>
        </w:rPr>
        <w:t>条，参加罢工是非强制性的。任何人不得被迫参加也不得被拒绝参加罢工。雇员进行罢工只能是为了维护其经济和社会方面的职业利益。任何罢工不得具有政治目的，而且禁止通过举行罢工来结束与解雇雇员或给雇员降职的经济单位的劳资协议</w:t>
      </w:r>
      <w:r>
        <w:rPr>
          <w:rFonts w:hint="eastAsia"/>
          <w:snapToGrid/>
        </w:rPr>
        <w:t>(</w:t>
      </w:r>
      <w:r>
        <w:rPr>
          <w:rFonts w:hint="eastAsia"/>
          <w:snapToGrid/>
        </w:rPr>
        <w:t>第</w:t>
      </w:r>
      <w:r>
        <w:rPr>
          <w:rFonts w:hint="eastAsia"/>
          <w:snapToGrid/>
        </w:rPr>
        <w:t>14</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212.</w:t>
      </w:r>
      <w:r>
        <w:rPr>
          <w:snapToGrid/>
        </w:rPr>
        <w:t xml:space="preserve">  </w:t>
      </w:r>
      <w:r>
        <w:rPr>
          <w:rFonts w:hint="eastAsia"/>
          <w:snapToGrid/>
        </w:rPr>
        <w:t>《解决集体劳资争议法》第</w:t>
      </w:r>
      <w:r>
        <w:rPr>
          <w:rFonts w:hint="eastAsia"/>
          <w:snapToGrid/>
        </w:rPr>
        <w:t>28</w:t>
      </w:r>
      <w:r>
        <w:rPr>
          <w:rFonts w:hint="eastAsia"/>
          <w:snapToGrid/>
        </w:rPr>
        <w:t>条对召集罢工和参与罢工作了限制规定。在下述情况下不允许进行罢工：</w:t>
      </w:r>
    </w:p>
    <w:p w:rsidR="00000000" w:rsidRDefault="00000000">
      <w:pPr>
        <w:numPr>
          <w:ilvl w:val="0"/>
          <w:numId w:val="410"/>
        </w:numPr>
        <w:rPr>
          <w:snapToGrid/>
        </w:rPr>
      </w:pPr>
      <w:r>
        <w:rPr>
          <w:rFonts w:hint="eastAsia"/>
          <w:snapToGrid/>
        </w:rPr>
        <w:t>如果威胁人民的生命与健康；</w:t>
      </w:r>
    </w:p>
    <w:p w:rsidR="00000000" w:rsidRDefault="00000000">
      <w:pPr>
        <w:numPr>
          <w:ilvl w:val="0"/>
          <w:numId w:val="410"/>
        </w:numPr>
        <w:rPr>
          <w:snapToGrid/>
        </w:rPr>
      </w:pPr>
      <w:r>
        <w:rPr>
          <w:rFonts w:hint="eastAsia"/>
          <w:snapToGrid/>
        </w:rPr>
        <w:t>在政府和国家行政机构中；</w:t>
      </w:r>
    </w:p>
    <w:p w:rsidR="00000000" w:rsidRDefault="00000000">
      <w:pPr>
        <w:numPr>
          <w:ilvl w:val="0"/>
          <w:numId w:val="410"/>
        </w:numPr>
        <w:rPr>
          <w:snapToGrid/>
        </w:rPr>
      </w:pPr>
      <w:r>
        <w:rPr>
          <w:rFonts w:hint="eastAsia"/>
          <w:snapToGrid/>
        </w:rPr>
        <w:t>在旨在提供法律和秩序以及保证国家安全的的单位中；</w:t>
      </w:r>
    </w:p>
    <w:p w:rsidR="00000000" w:rsidRDefault="00000000">
      <w:pPr>
        <w:numPr>
          <w:ilvl w:val="0"/>
          <w:numId w:val="410"/>
        </w:numPr>
        <w:rPr>
          <w:snapToGrid/>
        </w:rPr>
      </w:pPr>
      <w:r>
        <w:rPr>
          <w:rFonts w:hint="eastAsia"/>
          <w:snapToGrid/>
        </w:rPr>
        <w:t>在铁路和公共航空、电信、能源和国防部门；</w:t>
      </w:r>
    </w:p>
    <w:p w:rsidR="00000000" w:rsidRDefault="00000000">
      <w:pPr>
        <w:numPr>
          <w:ilvl w:val="0"/>
          <w:numId w:val="410"/>
        </w:numPr>
        <w:rPr>
          <w:snapToGrid/>
        </w:rPr>
      </w:pPr>
      <w:r>
        <w:rPr>
          <w:rFonts w:hint="eastAsia"/>
          <w:snapToGrid/>
        </w:rPr>
        <w:t>在具有连续作业制度的工业单位中，因为停止作业可能造成严重后果。</w:t>
      </w:r>
    </w:p>
    <w:p w:rsidR="00000000" w:rsidRDefault="00000000">
      <w:pPr>
        <w:pStyle w:val="Heading3"/>
        <w:rPr>
          <w:rFonts w:hint="eastAsia"/>
          <w:kern w:val="0"/>
        </w:rPr>
      </w:pPr>
      <w:r>
        <w:rPr>
          <w:rFonts w:hint="eastAsia"/>
          <w:kern w:val="0"/>
        </w:rPr>
        <w:t>第</w:t>
      </w:r>
      <w:r>
        <w:rPr>
          <w:kern w:val="0"/>
        </w:rPr>
        <w:t xml:space="preserve"> </w:t>
      </w:r>
      <w:r>
        <w:rPr>
          <w:rFonts w:hint="eastAsia"/>
          <w:kern w:val="0"/>
        </w:rPr>
        <w:t>九</w:t>
      </w:r>
      <w:r>
        <w:rPr>
          <w:kern w:val="0"/>
        </w:rPr>
        <w:t xml:space="preserve"> </w:t>
      </w:r>
      <w:r>
        <w:rPr>
          <w:rFonts w:hint="eastAsia"/>
          <w:kern w:val="0"/>
        </w:rPr>
        <w:t>条</w:t>
      </w:r>
    </w:p>
    <w:p w:rsidR="00000000" w:rsidRDefault="00000000">
      <w:pPr>
        <w:rPr>
          <w:rFonts w:hint="eastAsia"/>
          <w:snapToGrid/>
        </w:rPr>
      </w:pPr>
      <w:r>
        <w:rPr>
          <w:snapToGrid/>
        </w:rPr>
        <w:tab/>
      </w:r>
      <w:r>
        <w:rPr>
          <w:rFonts w:hint="eastAsia"/>
          <w:snapToGrid/>
        </w:rPr>
        <w:t>213.</w:t>
      </w:r>
      <w:r>
        <w:rPr>
          <w:snapToGrid/>
        </w:rPr>
        <w:t xml:space="preserve">  </w:t>
      </w:r>
      <w:r>
        <w:rPr>
          <w:rFonts w:hint="eastAsia"/>
          <w:snapToGrid/>
        </w:rPr>
        <w:t>根据《宪法》第</w:t>
      </w:r>
      <w:r>
        <w:rPr>
          <w:rFonts w:hint="eastAsia"/>
          <w:snapToGrid/>
        </w:rPr>
        <w:t>43</w:t>
      </w:r>
      <w:r>
        <w:rPr>
          <w:rFonts w:hint="eastAsia"/>
          <w:snapToGrid/>
        </w:rPr>
        <w:t>条，每个人都有权工作，有权自由选择工作的类型，有权享有公正和满意的工作条件，并且有权受到保护不遭失业威胁。雇员有权享受劳动保护措施。被视为安全和卫生的工作条件是：为妇女和年轻人制定特殊的工作时间表，确定最低工资额，每周休息，带薪假期，以及其他具体措施。</w:t>
      </w:r>
    </w:p>
    <w:p w:rsidR="00000000" w:rsidRDefault="00000000">
      <w:pPr>
        <w:rPr>
          <w:rFonts w:hint="eastAsia"/>
          <w:snapToGrid/>
        </w:rPr>
      </w:pPr>
      <w:r>
        <w:rPr>
          <w:snapToGrid/>
        </w:rPr>
        <w:tab/>
      </w:r>
      <w:r>
        <w:rPr>
          <w:rFonts w:hint="eastAsia"/>
          <w:snapToGrid/>
        </w:rPr>
        <w:t>214.</w:t>
      </w:r>
      <w:r>
        <w:rPr>
          <w:snapToGrid/>
        </w:rPr>
        <w:t xml:space="preserve">  </w:t>
      </w:r>
      <w:r>
        <w:rPr>
          <w:rFonts w:hint="eastAsia"/>
          <w:snapToGrid/>
        </w:rPr>
        <w:t>《基本法》第</w:t>
      </w:r>
      <w:r>
        <w:rPr>
          <w:rFonts w:hint="eastAsia"/>
          <w:snapToGrid/>
        </w:rPr>
        <w:t>47</w:t>
      </w:r>
      <w:r>
        <w:rPr>
          <w:rFonts w:hint="eastAsia"/>
          <w:snapToGrid/>
        </w:rPr>
        <w:t>条规定了享受社会援助和社会保障的权利：</w:t>
      </w:r>
    </w:p>
    <w:p w:rsidR="00000000" w:rsidRDefault="00000000">
      <w:pPr>
        <w:numPr>
          <w:ilvl w:val="0"/>
          <w:numId w:val="411"/>
        </w:numPr>
        <w:rPr>
          <w:snapToGrid/>
        </w:rPr>
      </w:pPr>
      <w:r>
        <w:rPr>
          <w:rFonts w:hint="eastAsia"/>
          <w:snapToGrid/>
        </w:rPr>
        <w:t>国家必须采取必要措施保障人人享有体面的生活水平，以确保其自身及家庭的健康与幸福，并保证粮食、衣物、住房、医疗援助和必要的社会服务；</w:t>
      </w:r>
    </w:p>
    <w:p w:rsidR="00000000" w:rsidRDefault="00000000">
      <w:pPr>
        <w:numPr>
          <w:ilvl w:val="0"/>
          <w:numId w:val="411"/>
        </w:numPr>
        <w:rPr>
          <w:rFonts w:hint="eastAsia"/>
          <w:snapToGrid/>
        </w:rPr>
      </w:pPr>
      <w:r>
        <w:rPr>
          <w:rFonts w:hint="eastAsia"/>
          <w:snapToGrid/>
        </w:rPr>
        <w:t>公民在失业，患病、残疾、老龄情况下或在由于自身无法控制的因素而丧失谋生手段的情况下有权享受保险。</w:t>
      </w:r>
    </w:p>
    <w:p w:rsidR="00000000" w:rsidRDefault="00000000">
      <w:pPr>
        <w:rPr>
          <w:rFonts w:hint="eastAsia"/>
          <w:snapToGrid/>
        </w:rPr>
      </w:pPr>
      <w:r>
        <w:rPr>
          <w:snapToGrid/>
        </w:rPr>
        <w:tab/>
      </w:r>
      <w:r>
        <w:rPr>
          <w:rFonts w:hint="eastAsia"/>
          <w:snapToGrid/>
        </w:rPr>
        <w:t>215.</w:t>
      </w:r>
      <w:r>
        <w:rPr>
          <w:snapToGrid/>
        </w:rPr>
        <w:t xml:space="preserve">  </w:t>
      </w:r>
      <w:r>
        <w:rPr>
          <w:rFonts w:hint="eastAsia"/>
          <w:snapToGrid/>
        </w:rPr>
        <w:t>摩尔多瓦共和国《劳动法》第十六章规定：</w:t>
      </w:r>
    </w:p>
    <w:p w:rsidR="00000000" w:rsidRDefault="00000000">
      <w:pPr>
        <w:numPr>
          <w:ilvl w:val="0"/>
          <w:numId w:val="412"/>
        </w:numPr>
        <w:rPr>
          <w:snapToGrid/>
        </w:rPr>
      </w:pPr>
      <w:r>
        <w:rPr>
          <w:rFonts w:hint="eastAsia"/>
          <w:snapToGrid/>
        </w:rPr>
        <w:t>所有雇员必须受社会保险的保护</w:t>
      </w:r>
      <w:r>
        <w:rPr>
          <w:rFonts w:hint="eastAsia"/>
          <w:snapToGrid/>
        </w:rPr>
        <w:t>(</w:t>
      </w:r>
      <w:r>
        <w:rPr>
          <w:rFonts w:hint="eastAsia"/>
          <w:snapToGrid/>
        </w:rPr>
        <w:t>第</w:t>
      </w:r>
      <w:r>
        <w:rPr>
          <w:rFonts w:hint="eastAsia"/>
          <w:snapToGrid/>
        </w:rPr>
        <w:t>244</w:t>
      </w:r>
      <w:r>
        <w:rPr>
          <w:rFonts w:hint="eastAsia"/>
          <w:snapToGrid/>
        </w:rPr>
        <w:t>条</w:t>
      </w:r>
      <w:r>
        <w:rPr>
          <w:rFonts w:hint="eastAsia"/>
          <w:snapToGrid/>
        </w:rPr>
        <w:t>)</w:t>
      </w:r>
      <w:r>
        <w:rPr>
          <w:rFonts w:hint="eastAsia"/>
          <w:snapToGrid/>
        </w:rPr>
        <w:t>；</w:t>
      </w:r>
    </w:p>
    <w:p w:rsidR="00000000" w:rsidRDefault="00000000">
      <w:pPr>
        <w:numPr>
          <w:ilvl w:val="0"/>
          <w:numId w:val="412"/>
        </w:numPr>
        <w:rPr>
          <w:snapToGrid/>
        </w:rPr>
      </w:pPr>
      <w:r>
        <w:rPr>
          <w:rFonts w:hint="eastAsia"/>
          <w:snapToGrid/>
        </w:rPr>
        <w:t>雇员的社会保险由国家支付；</w:t>
      </w:r>
    </w:p>
    <w:p w:rsidR="00000000" w:rsidRDefault="00000000">
      <w:pPr>
        <w:numPr>
          <w:ilvl w:val="0"/>
          <w:numId w:val="412"/>
        </w:numPr>
        <w:rPr>
          <w:rFonts w:hint="eastAsia"/>
          <w:snapToGrid/>
        </w:rPr>
      </w:pPr>
      <w:r>
        <w:rPr>
          <w:rFonts w:hint="eastAsia"/>
          <w:snapToGrid/>
        </w:rPr>
        <w:t>企业、机构和组织向社会保险缴款。这部分款额不得从工资中扣除。如果企业、机构和组织不支付税款，雇员也不会被剥夺享有社会保险的权利</w:t>
      </w:r>
      <w:r>
        <w:rPr>
          <w:rFonts w:hint="eastAsia"/>
          <w:snapToGrid/>
        </w:rPr>
        <w:t>(</w:t>
      </w:r>
      <w:r>
        <w:rPr>
          <w:rFonts w:hint="eastAsia"/>
          <w:snapToGrid/>
        </w:rPr>
        <w:t>第</w:t>
      </w:r>
      <w:r>
        <w:rPr>
          <w:rFonts w:hint="eastAsia"/>
          <w:snapToGrid/>
        </w:rPr>
        <w:t>245</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216.</w:t>
      </w:r>
      <w:r>
        <w:rPr>
          <w:snapToGrid/>
        </w:rPr>
        <w:t xml:space="preserve">  </w:t>
      </w:r>
      <w:r>
        <w:rPr>
          <w:rFonts w:hint="eastAsia"/>
          <w:snapToGrid/>
        </w:rPr>
        <w:t>在下述情况中雇员及其家庭成员可以获得社会保险：</w:t>
      </w:r>
    </w:p>
    <w:p w:rsidR="00000000" w:rsidRDefault="00000000">
      <w:pPr>
        <w:numPr>
          <w:ilvl w:val="0"/>
          <w:numId w:val="413"/>
        </w:numPr>
        <w:rPr>
          <w:snapToGrid/>
        </w:rPr>
      </w:pPr>
      <w:r>
        <w:rPr>
          <w:rFonts w:hint="eastAsia"/>
          <w:snapToGrid/>
        </w:rPr>
        <w:t>暂时残疾；为照料孩子提供物质援助直到孩子满</w:t>
      </w:r>
      <w:r>
        <w:rPr>
          <w:rFonts w:hint="eastAsia"/>
          <w:snapToGrid/>
        </w:rPr>
        <w:t>1</w:t>
      </w:r>
      <w:r>
        <w:rPr>
          <w:rFonts w:hint="eastAsia"/>
          <w:snapToGrid/>
        </w:rPr>
        <w:t>岁半；</w:t>
      </w:r>
    </w:p>
    <w:p w:rsidR="00000000" w:rsidRDefault="00000000">
      <w:pPr>
        <w:numPr>
          <w:ilvl w:val="0"/>
          <w:numId w:val="413"/>
        </w:numPr>
        <w:rPr>
          <w:snapToGrid/>
        </w:rPr>
      </w:pPr>
      <w:r>
        <w:rPr>
          <w:rFonts w:hint="eastAsia"/>
          <w:snapToGrid/>
        </w:rPr>
        <w:t>生育津贴，葬礼补助金；</w:t>
      </w:r>
    </w:p>
    <w:p w:rsidR="00000000" w:rsidRDefault="00000000">
      <w:pPr>
        <w:numPr>
          <w:ilvl w:val="0"/>
          <w:numId w:val="413"/>
        </w:numPr>
        <w:rPr>
          <w:rFonts w:hint="eastAsia"/>
          <w:snapToGrid/>
        </w:rPr>
      </w:pPr>
      <w:r>
        <w:rPr>
          <w:rFonts w:hint="eastAsia"/>
          <w:snapToGrid/>
        </w:rPr>
        <w:t>养老金、残疾养恤金、丧失养家人养恤金以及为某些类别工人提供的资历养恤金；</w:t>
      </w:r>
    </w:p>
    <w:p w:rsidR="00000000" w:rsidRDefault="00000000">
      <w:pPr>
        <w:rPr>
          <w:rFonts w:hint="eastAsia"/>
          <w:snapToGrid/>
        </w:rPr>
      </w:pPr>
      <w:r>
        <w:rPr>
          <w:rFonts w:hint="eastAsia"/>
          <w:snapToGrid/>
        </w:rPr>
        <w:t>社会保险也用于矿泉疗养地的治疗、预防护理、假日中心、为儿童进行补充供膳、儿童夏令营，以及其他社会措施。社会保险基金只能用于其预期目的</w:t>
      </w:r>
      <w:r>
        <w:rPr>
          <w:rFonts w:hint="eastAsia"/>
          <w:snapToGrid/>
        </w:rPr>
        <w:t>(</w:t>
      </w:r>
      <w:r>
        <w:rPr>
          <w:rFonts w:hint="eastAsia"/>
          <w:snapToGrid/>
        </w:rPr>
        <w:t>第</w:t>
      </w:r>
      <w:r>
        <w:rPr>
          <w:rFonts w:hint="eastAsia"/>
          <w:snapToGrid/>
        </w:rPr>
        <w:t>246</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217.</w:t>
      </w:r>
      <w:r>
        <w:rPr>
          <w:snapToGrid/>
        </w:rPr>
        <w:t xml:space="preserve">  </w:t>
      </w:r>
      <w:r>
        <w:rPr>
          <w:rFonts w:hint="eastAsia"/>
          <w:snapToGrid/>
        </w:rPr>
        <w:t>出现下述情况时拨发暂时残疾津贴：患病、残疾、感染结核病，由于疾病削减了职业能力或由于要照顾一位患病、被隔离和正在接受矿泉治疗的家庭成员而暂时转至另一项工作。津贴数额相当于一份工资。在患病或残疾的情况中，津贴一直发放到人员恢复工作能力或残疾程度得到补偿</w:t>
      </w:r>
      <w:r>
        <w:rPr>
          <w:rFonts w:hint="eastAsia"/>
          <w:snapToGrid/>
        </w:rPr>
        <w:t>(</w:t>
      </w:r>
      <w:r>
        <w:rPr>
          <w:rFonts w:hint="eastAsia"/>
          <w:snapToGrid/>
        </w:rPr>
        <w:t>第</w:t>
      </w:r>
      <w:r>
        <w:rPr>
          <w:rFonts w:hint="eastAsia"/>
          <w:snapToGrid/>
        </w:rPr>
        <w:t>247</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218.</w:t>
      </w:r>
      <w:r>
        <w:rPr>
          <w:snapToGrid/>
        </w:rPr>
        <w:t xml:space="preserve">  </w:t>
      </w:r>
      <w:r>
        <w:rPr>
          <w:rFonts w:hint="eastAsia"/>
          <w:snapToGrid/>
        </w:rPr>
        <w:t>根据每月收入在整个产假期间支付产假和生育津贴</w:t>
      </w:r>
      <w:r>
        <w:rPr>
          <w:rFonts w:hint="eastAsia"/>
          <w:snapToGrid/>
        </w:rPr>
        <w:t>(</w:t>
      </w:r>
      <w:r>
        <w:rPr>
          <w:rFonts w:hint="eastAsia"/>
          <w:snapToGrid/>
        </w:rPr>
        <w:t>第</w:t>
      </w:r>
      <w:r>
        <w:rPr>
          <w:rFonts w:hint="eastAsia"/>
          <w:snapToGrid/>
        </w:rPr>
        <w:t>248</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219.</w:t>
      </w:r>
      <w:r>
        <w:rPr>
          <w:snapToGrid/>
        </w:rPr>
        <w:t xml:space="preserve">  </w:t>
      </w:r>
      <w:r>
        <w:rPr>
          <w:rFonts w:hint="eastAsia"/>
          <w:snapToGrid/>
        </w:rPr>
        <w:t>生育津贴用于支付婴儿护理和喂养费用</w:t>
      </w:r>
      <w:r>
        <w:rPr>
          <w:rFonts w:hint="eastAsia"/>
          <w:snapToGrid/>
        </w:rPr>
        <w:t>(</w:t>
      </w:r>
      <w:r>
        <w:rPr>
          <w:rFonts w:hint="eastAsia"/>
          <w:snapToGrid/>
        </w:rPr>
        <w:t>第</w:t>
      </w:r>
      <w:r>
        <w:rPr>
          <w:rFonts w:hint="eastAsia"/>
          <w:snapToGrid/>
        </w:rPr>
        <w:t>249</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220.</w:t>
      </w:r>
      <w:r>
        <w:rPr>
          <w:snapToGrid/>
        </w:rPr>
        <w:t xml:space="preserve">  </w:t>
      </w:r>
      <w:r>
        <w:rPr>
          <w:rFonts w:hint="eastAsia"/>
          <w:snapToGrid/>
        </w:rPr>
        <w:t>当一名雇员或其家庭成员去世时提供葬礼补助金</w:t>
      </w:r>
      <w:r>
        <w:rPr>
          <w:rFonts w:hint="eastAsia"/>
          <w:snapToGrid/>
        </w:rPr>
        <w:t>(</w:t>
      </w:r>
      <w:r>
        <w:rPr>
          <w:rFonts w:hint="eastAsia"/>
          <w:snapToGrid/>
        </w:rPr>
        <w:t>第</w:t>
      </w:r>
      <w:r>
        <w:rPr>
          <w:rFonts w:hint="eastAsia"/>
          <w:snapToGrid/>
        </w:rPr>
        <w:t>250</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221.</w:t>
      </w:r>
      <w:r>
        <w:rPr>
          <w:snapToGrid/>
        </w:rPr>
        <w:t xml:space="preserve">  </w:t>
      </w:r>
      <w:r>
        <w:rPr>
          <w:rFonts w:hint="eastAsia"/>
          <w:snapToGrid/>
        </w:rPr>
        <w:t>立法中规定了保险的一般条件和各种社会津贴的数额</w:t>
      </w:r>
      <w:r>
        <w:rPr>
          <w:rFonts w:hint="eastAsia"/>
          <w:snapToGrid/>
        </w:rPr>
        <w:t>(</w:t>
      </w:r>
      <w:r>
        <w:rPr>
          <w:rFonts w:hint="eastAsia"/>
          <w:snapToGrid/>
        </w:rPr>
        <w:t>第</w:t>
      </w:r>
      <w:r>
        <w:rPr>
          <w:rFonts w:hint="eastAsia"/>
          <w:snapToGrid/>
        </w:rPr>
        <w:t>120-1</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222.</w:t>
      </w:r>
      <w:r>
        <w:rPr>
          <w:snapToGrid/>
        </w:rPr>
        <w:t xml:space="preserve">  </w:t>
      </w:r>
      <w:r>
        <w:rPr>
          <w:rFonts w:hint="eastAsia"/>
          <w:snapToGrid/>
        </w:rPr>
        <w:t>根据《养恤金和国家社会保险法》中规定的情况和途径，摩尔多瓦共和国公民、外国人和无国籍者均有权享有养老金、残疾津贴、丧失监护人津贴和老龄津贴。</w:t>
      </w:r>
    </w:p>
    <w:p w:rsidR="00000000" w:rsidRDefault="00000000">
      <w:pPr>
        <w:rPr>
          <w:rFonts w:hint="eastAsia"/>
          <w:snapToGrid/>
        </w:rPr>
      </w:pPr>
      <w:r>
        <w:rPr>
          <w:snapToGrid/>
        </w:rPr>
        <w:tab/>
      </w:r>
      <w:r>
        <w:rPr>
          <w:rFonts w:hint="eastAsia"/>
          <w:snapToGrid/>
        </w:rPr>
        <w:t>223.</w:t>
      </w:r>
      <w:r>
        <w:rPr>
          <w:snapToGrid/>
        </w:rPr>
        <w:t xml:space="preserve">  </w:t>
      </w:r>
      <w:r>
        <w:rPr>
          <w:rFonts w:hint="eastAsia"/>
          <w:snapToGrid/>
        </w:rPr>
        <w:t>1999</w:t>
      </w:r>
      <w:r>
        <w:rPr>
          <w:rFonts w:hint="eastAsia"/>
          <w:snapToGrid/>
        </w:rPr>
        <w:t>年</w:t>
      </w:r>
      <w:r>
        <w:rPr>
          <w:rFonts w:hint="eastAsia"/>
          <w:snapToGrid/>
        </w:rPr>
        <w:t>7</w:t>
      </w:r>
      <w:r>
        <w:rPr>
          <w:rFonts w:hint="eastAsia"/>
          <w:snapToGrid/>
        </w:rPr>
        <w:t>月</w:t>
      </w:r>
      <w:r>
        <w:rPr>
          <w:rFonts w:hint="eastAsia"/>
          <w:snapToGrid/>
        </w:rPr>
        <w:t>8</w:t>
      </w:r>
      <w:r>
        <w:rPr>
          <w:rFonts w:hint="eastAsia"/>
          <w:snapToGrid/>
        </w:rPr>
        <w:t>日第</w:t>
      </w:r>
      <w:r>
        <w:rPr>
          <w:rFonts w:hint="eastAsia"/>
          <w:snapToGrid/>
        </w:rPr>
        <w:t>489-XIV</w:t>
      </w:r>
      <w:r>
        <w:rPr>
          <w:rFonts w:hint="eastAsia"/>
          <w:snapToGrid/>
        </w:rPr>
        <w:t>号《公共社会保险制度法》为行使社会保险权提供了保障和依据。由此，社会保险权受到国家的保护并在公共保险制度下依照法律条款得到行使</w:t>
      </w:r>
      <w:r>
        <w:rPr>
          <w:rFonts w:hint="eastAsia"/>
          <w:snapToGrid/>
        </w:rPr>
        <w:t>(</w:t>
      </w:r>
      <w:r>
        <w:rPr>
          <w:rFonts w:hint="eastAsia"/>
          <w:snapToGrid/>
        </w:rPr>
        <w:t>第</w:t>
      </w:r>
      <w:r>
        <w:rPr>
          <w:rFonts w:hint="eastAsia"/>
          <w:snapToGrid/>
        </w:rPr>
        <w:t>2</w:t>
      </w:r>
      <w:r>
        <w:rPr>
          <w:rFonts w:hint="eastAsia"/>
          <w:snapToGrid/>
        </w:rPr>
        <w:t>条</w:t>
      </w:r>
      <w:r>
        <w:rPr>
          <w:rFonts w:hint="eastAsia"/>
          <w:snapToGrid/>
        </w:rPr>
        <w:t>)</w:t>
      </w:r>
      <w:r>
        <w:rPr>
          <w:rFonts w:hint="eastAsia"/>
          <w:snapToGrid/>
        </w:rPr>
        <w:t>。公共社会保险制度</w:t>
      </w:r>
      <w:r>
        <w:rPr>
          <w:rFonts w:hint="eastAsia"/>
          <w:snapToGrid/>
        </w:rPr>
        <w:t>(</w:t>
      </w:r>
      <w:r>
        <w:rPr>
          <w:rFonts w:hint="eastAsia"/>
          <w:snapToGrid/>
        </w:rPr>
        <w:t>下称公共保险制度</w:t>
      </w:r>
      <w:r>
        <w:rPr>
          <w:rFonts w:hint="eastAsia"/>
          <w:snapToGrid/>
        </w:rPr>
        <w:t>)</w:t>
      </w:r>
      <w:r>
        <w:rPr>
          <w:rFonts w:hint="eastAsia"/>
          <w:snapToGrid/>
        </w:rPr>
        <w:t>根据下述原则组织并运作：</w:t>
      </w:r>
    </w:p>
    <w:p w:rsidR="00000000" w:rsidRDefault="00000000">
      <w:pPr>
        <w:numPr>
          <w:ilvl w:val="0"/>
          <w:numId w:val="414"/>
        </w:numPr>
        <w:rPr>
          <w:snapToGrid/>
        </w:rPr>
      </w:pPr>
      <w:r>
        <w:rPr>
          <w:rFonts w:hint="eastAsia"/>
          <w:snapToGrid/>
        </w:rPr>
        <w:t>单一制度原则，根据该原则，国家在法律准则的基础上组织和保障公共保险制度；</w:t>
      </w:r>
    </w:p>
    <w:p w:rsidR="00000000" w:rsidRDefault="00000000">
      <w:pPr>
        <w:numPr>
          <w:ilvl w:val="0"/>
          <w:numId w:val="414"/>
        </w:numPr>
        <w:rPr>
          <w:snapToGrid/>
        </w:rPr>
      </w:pPr>
      <w:r>
        <w:rPr>
          <w:rFonts w:hint="eastAsia"/>
          <w:snapToGrid/>
        </w:rPr>
        <w:t>平等原则，即要在合法权利和义务范围内，向所有纳税人提供无差别的待遇；</w:t>
      </w:r>
    </w:p>
    <w:p w:rsidR="00000000" w:rsidRDefault="00000000">
      <w:pPr>
        <w:numPr>
          <w:ilvl w:val="0"/>
          <w:numId w:val="414"/>
        </w:numPr>
        <w:rPr>
          <w:snapToGrid/>
        </w:rPr>
      </w:pPr>
      <w:r>
        <w:rPr>
          <w:rFonts w:hint="eastAsia"/>
          <w:snapToGrid/>
        </w:rPr>
        <w:t>各代人之间和内部的社会团结原则，根据该原则，向公共保险制度缴款的人承担有共同义务并能从防止和限制社会风险的权利中获益；</w:t>
      </w:r>
    </w:p>
    <w:p w:rsidR="00000000" w:rsidRDefault="00000000">
      <w:pPr>
        <w:numPr>
          <w:ilvl w:val="0"/>
          <w:numId w:val="414"/>
        </w:numPr>
        <w:rPr>
          <w:snapToGrid/>
        </w:rPr>
      </w:pPr>
      <w:r>
        <w:rPr>
          <w:rFonts w:hint="eastAsia"/>
          <w:snapToGrid/>
        </w:rPr>
        <w:t>义务原则，根据该原则，自然人和法人有义务参与公共保险制度；只有在义务得到履行时，才能行使社会保险权；</w:t>
      </w:r>
    </w:p>
    <w:p w:rsidR="00000000" w:rsidRDefault="00000000">
      <w:pPr>
        <w:numPr>
          <w:ilvl w:val="0"/>
          <w:numId w:val="414"/>
        </w:numPr>
        <w:rPr>
          <w:snapToGrid/>
        </w:rPr>
      </w:pPr>
      <w:r>
        <w:rPr>
          <w:rFonts w:hint="eastAsia"/>
          <w:snapToGrid/>
        </w:rPr>
        <w:t>拨款原则，根据该原则，社会保险基金由自然人和法人所支付的税款构成；社会保险权利生效的基础是社会保险基金必须获得拨款；</w:t>
      </w:r>
    </w:p>
    <w:p w:rsidR="00000000" w:rsidRDefault="00000000">
      <w:pPr>
        <w:numPr>
          <w:ilvl w:val="0"/>
          <w:numId w:val="414"/>
        </w:numPr>
        <w:rPr>
          <w:snapToGrid/>
        </w:rPr>
      </w:pPr>
      <w:r>
        <w:rPr>
          <w:rFonts w:hint="eastAsia"/>
          <w:snapToGrid/>
        </w:rPr>
        <w:t>分配原则，社会保险基金根据此原则构成并得到再分配，以支付公共保险制度下的各种津贴；</w:t>
      </w:r>
    </w:p>
    <w:p w:rsidR="00000000" w:rsidRDefault="00000000">
      <w:pPr>
        <w:numPr>
          <w:ilvl w:val="0"/>
          <w:numId w:val="414"/>
        </w:numPr>
        <w:rPr>
          <w:rFonts w:hint="eastAsia"/>
          <w:snapToGrid/>
        </w:rPr>
      </w:pPr>
      <w:r>
        <w:rPr>
          <w:rFonts w:hint="eastAsia"/>
          <w:snapToGrid/>
        </w:rPr>
        <w:t>自主原则，根据此原则对公共保险制度进行单独管理；</w:t>
      </w:r>
    </w:p>
    <w:p w:rsidR="00000000" w:rsidRDefault="00000000">
      <w:pPr>
        <w:rPr>
          <w:rFonts w:hint="eastAsia"/>
          <w:snapToGrid/>
        </w:rPr>
      </w:pPr>
      <w:r>
        <w:rPr>
          <w:snapToGrid/>
        </w:rPr>
        <w:tab/>
      </w:r>
      <w:r>
        <w:rPr>
          <w:rFonts w:hint="eastAsia"/>
          <w:snapToGrid/>
        </w:rPr>
        <w:t>224.</w:t>
      </w:r>
      <w:r>
        <w:rPr>
          <w:snapToGrid/>
        </w:rPr>
        <w:t xml:space="preserve">  </w:t>
      </w:r>
      <w:r>
        <w:rPr>
          <w:rFonts w:hint="eastAsia"/>
          <w:snapToGrid/>
        </w:rPr>
        <w:t>共保险制度规定对下类人给予强制保险：</w:t>
      </w:r>
    </w:p>
    <w:p w:rsidR="00000000" w:rsidRDefault="00000000">
      <w:pPr>
        <w:numPr>
          <w:ilvl w:val="0"/>
          <w:numId w:val="415"/>
        </w:numPr>
        <w:rPr>
          <w:rFonts w:hint="eastAsia"/>
          <w:snapToGrid/>
        </w:rPr>
      </w:pPr>
      <w:r>
        <w:rPr>
          <w:rFonts w:hint="eastAsia"/>
          <w:snapToGrid/>
        </w:rPr>
        <w:t>具有个人劳资协议的人；</w:t>
      </w:r>
    </w:p>
    <w:p w:rsidR="00000000" w:rsidRDefault="00000000">
      <w:pPr>
        <w:numPr>
          <w:ilvl w:val="0"/>
          <w:numId w:val="415"/>
        </w:numPr>
        <w:rPr>
          <w:rFonts w:hint="eastAsia"/>
          <w:snapToGrid/>
        </w:rPr>
      </w:pPr>
      <w:r>
        <w:rPr>
          <w:rFonts w:hint="eastAsia"/>
          <w:snapToGrid/>
        </w:rPr>
        <w:t>在行政、立法或司法部门任职期间处于被选或被任命职位的人</w:t>
      </w:r>
      <w:r>
        <w:rPr>
          <w:rFonts w:hint="eastAsia"/>
          <w:snapToGrid/>
        </w:rPr>
        <w:t>(</w:t>
      </w:r>
      <w:r>
        <w:rPr>
          <w:rFonts w:hint="eastAsia"/>
          <w:snapToGrid/>
        </w:rPr>
        <w:t>在</w:t>
      </w:r>
      <w:r>
        <w:rPr>
          <w:rFonts w:hint="eastAsia"/>
          <w:snapToGrid/>
        </w:rPr>
        <w:t>(a)</w:t>
      </w:r>
      <w:r>
        <w:rPr>
          <w:rFonts w:hint="eastAsia"/>
          <w:snapToGrid/>
        </w:rPr>
        <w:t>条中有规定</w:t>
      </w:r>
      <w:r>
        <w:rPr>
          <w:rFonts w:hint="eastAsia"/>
          <w:snapToGrid/>
        </w:rPr>
        <w:t>)</w:t>
      </w:r>
      <w:r>
        <w:rPr>
          <w:rFonts w:hint="eastAsia"/>
          <w:snapToGrid/>
        </w:rPr>
        <w:t>；</w:t>
      </w:r>
    </w:p>
    <w:p w:rsidR="00000000" w:rsidRDefault="00000000">
      <w:pPr>
        <w:numPr>
          <w:ilvl w:val="0"/>
          <w:numId w:val="415"/>
        </w:numPr>
        <w:rPr>
          <w:rFonts w:hint="eastAsia"/>
          <w:snapToGrid/>
        </w:rPr>
      </w:pPr>
      <w:r>
        <w:rPr>
          <w:rFonts w:hint="eastAsia"/>
          <w:snapToGrid/>
        </w:rPr>
        <w:t>享受支助失业者基金拨发的失业津贴的人</w:t>
      </w:r>
      <w:r>
        <w:rPr>
          <w:rFonts w:hint="eastAsia"/>
          <w:snapToGrid/>
        </w:rPr>
        <w:t>(</w:t>
      </w:r>
      <w:r>
        <w:rPr>
          <w:rFonts w:hint="eastAsia"/>
          <w:snapToGrid/>
        </w:rPr>
        <w:t>下称失业工人</w:t>
      </w:r>
      <w:r>
        <w:rPr>
          <w:rFonts w:hint="eastAsia"/>
          <w:snapToGrid/>
        </w:rPr>
        <w:t>)</w:t>
      </w:r>
      <w:r>
        <w:rPr>
          <w:rFonts w:hint="eastAsia"/>
          <w:snapToGrid/>
        </w:rPr>
        <w:t>；</w:t>
      </w:r>
    </w:p>
    <w:p w:rsidR="00000000" w:rsidRDefault="00000000">
      <w:pPr>
        <w:numPr>
          <w:ilvl w:val="0"/>
          <w:numId w:val="415"/>
        </w:numPr>
        <w:rPr>
          <w:rFonts w:hint="eastAsia"/>
          <w:snapToGrid/>
        </w:rPr>
      </w:pPr>
      <w:r>
        <w:rPr>
          <w:rFonts w:hint="eastAsia"/>
          <w:snapToGrid/>
        </w:rPr>
        <w:t>享受暂时残疾、壬辰和监禁赔偿金和享受残疾养恤金的人，条件是这些款额分别由各个基金支付；</w:t>
      </w:r>
    </w:p>
    <w:p w:rsidR="00000000" w:rsidRDefault="00000000">
      <w:pPr>
        <w:numPr>
          <w:ilvl w:val="0"/>
          <w:numId w:val="415"/>
        </w:numPr>
        <w:rPr>
          <w:rFonts w:hint="eastAsia"/>
          <w:snapToGrid/>
        </w:rPr>
      </w:pPr>
      <w:r>
        <w:rPr>
          <w:rFonts w:hint="eastAsia"/>
          <w:snapToGrid/>
        </w:rPr>
        <w:t>年收入至少相当于</w:t>
      </w:r>
      <w:r>
        <w:rPr>
          <w:rFonts w:hint="eastAsia"/>
          <w:snapToGrid/>
        </w:rPr>
        <w:t>4</w:t>
      </w:r>
      <w:r>
        <w:rPr>
          <w:rFonts w:hint="eastAsia"/>
          <w:snapToGrid/>
        </w:rPr>
        <w:t>个月平均工资并符合下述情况之一的人：</w:t>
      </w:r>
    </w:p>
    <w:p w:rsidR="00000000" w:rsidRDefault="00000000">
      <w:pPr>
        <w:numPr>
          <w:ilvl w:val="1"/>
          <w:numId w:val="415"/>
        </w:numPr>
        <w:ind w:left="1995" w:hanging="105"/>
        <w:rPr>
          <w:snapToGrid/>
        </w:rPr>
      </w:pPr>
      <w:r>
        <w:rPr>
          <w:rFonts w:hint="eastAsia"/>
          <w:snapToGrid/>
        </w:rPr>
        <w:t>是某商业公司唯一的合伙人、隐名合伙人、股票持有人或管理人，但不具备个人劳资协议；</w:t>
      </w:r>
    </w:p>
    <w:p w:rsidR="00000000" w:rsidRDefault="00000000">
      <w:pPr>
        <w:numPr>
          <w:ilvl w:val="1"/>
          <w:numId w:val="415"/>
        </w:numPr>
        <w:ind w:left="1995" w:hanging="105"/>
        <w:rPr>
          <w:snapToGrid/>
        </w:rPr>
      </w:pPr>
      <w:r>
        <w:rPr>
          <w:rFonts w:hint="eastAsia"/>
          <w:snapToGrid/>
        </w:rPr>
        <w:t>是具有合同的管理人；</w:t>
      </w:r>
    </w:p>
    <w:p w:rsidR="00000000" w:rsidRDefault="00000000">
      <w:pPr>
        <w:numPr>
          <w:ilvl w:val="1"/>
          <w:numId w:val="415"/>
        </w:numPr>
        <w:ind w:left="1995" w:hanging="105"/>
        <w:rPr>
          <w:snapToGrid/>
        </w:rPr>
      </w:pPr>
      <w:r>
        <w:rPr>
          <w:rFonts w:hint="eastAsia"/>
          <w:snapToGrid/>
        </w:rPr>
        <w:t>是某家庭协会的成员；</w:t>
      </w:r>
    </w:p>
    <w:p w:rsidR="00000000" w:rsidRDefault="00000000">
      <w:pPr>
        <w:numPr>
          <w:ilvl w:val="1"/>
          <w:numId w:val="415"/>
        </w:numPr>
        <w:ind w:left="1995" w:hanging="105"/>
        <w:rPr>
          <w:snapToGrid/>
        </w:rPr>
      </w:pPr>
      <w:r>
        <w:rPr>
          <w:rFonts w:hint="eastAsia"/>
          <w:snapToGrid/>
        </w:rPr>
        <w:t>获准独立从事工作；</w:t>
      </w:r>
    </w:p>
    <w:p w:rsidR="00000000" w:rsidRDefault="00000000">
      <w:pPr>
        <w:numPr>
          <w:ilvl w:val="1"/>
          <w:numId w:val="415"/>
        </w:numPr>
        <w:ind w:left="1995" w:hanging="105"/>
        <w:rPr>
          <w:snapToGrid/>
        </w:rPr>
      </w:pPr>
      <w:r>
        <w:rPr>
          <w:rFonts w:hint="eastAsia"/>
          <w:snapToGrid/>
        </w:rPr>
        <w:t>是某国际组织雇员</w:t>
      </w:r>
      <w:r>
        <w:rPr>
          <w:rFonts w:hint="eastAsia"/>
          <w:snapToGrid/>
        </w:rPr>
        <w:t>(</w:t>
      </w:r>
      <w:r>
        <w:rPr>
          <w:rFonts w:hint="eastAsia"/>
          <w:snapToGrid/>
        </w:rPr>
        <w:t>如果该组织未给他</w:t>
      </w:r>
      <w:r>
        <w:rPr>
          <w:rFonts w:hint="eastAsia"/>
          <w:snapToGrid/>
        </w:rPr>
        <w:t>/</w:t>
      </w:r>
      <w:r>
        <w:rPr>
          <w:rFonts w:hint="eastAsia"/>
          <w:snapToGrid/>
        </w:rPr>
        <w:t>她保险</w:t>
      </w:r>
      <w:r>
        <w:rPr>
          <w:rFonts w:hint="eastAsia"/>
          <w:snapToGrid/>
        </w:rPr>
        <w:t>)</w:t>
      </w:r>
      <w:r>
        <w:rPr>
          <w:rFonts w:hint="eastAsia"/>
          <w:snapToGrid/>
        </w:rPr>
        <w:t>；</w:t>
      </w:r>
    </w:p>
    <w:p w:rsidR="00000000" w:rsidRDefault="00000000">
      <w:pPr>
        <w:numPr>
          <w:ilvl w:val="1"/>
          <w:numId w:val="415"/>
        </w:numPr>
        <w:ind w:left="1995" w:hanging="105"/>
        <w:rPr>
          <w:snapToGrid/>
        </w:rPr>
      </w:pPr>
      <w:r>
        <w:rPr>
          <w:rFonts w:hint="eastAsia"/>
          <w:snapToGrid/>
        </w:rPr>
        <w:t>是某手工业合作社成员；</w:t>
      </w:r>
    </w:p>
    <w:p w:rsidR="00000000" w:rsidRDefault="00000000">
      <w:pPr>
        <w:numPr>
          <w:ilvl w:val="1"/>
          <w:numId w:val="415"/>
        </w:numPr>
        <w:ind w:left="1995" w:hanging="105"/>
        <w:rPr>
          <w:snapToGrid/>
        </w:rPr>
      </w:pPr>
      <w:r>
        <w:rPr>
          <w:rFonts w:hint="eastAsia"/>
          <w:snapToGrid/>
        </w:rPr>
        <w:t>在某个被认可的宗教机构中工作，并未与该机构订立劳资协议；</w:t>
      </w:r>
    </w:p>
    <w:p w:rsidR="00000000" w:rsidRDefault="00000000">
      <w:pPr>
        <w:numPr>
          <w:ilvl w:val="1"/>
          <w:numId w:val="415"/>
        </w:numPr>
        <w:ind w:left="1995" w:hanging="105"/>
        <w:rPr>
          <w:rFonts w:hint="eastAsia"/>
          <w:snapToGrid/>
        </w:rPr>
      </w:pPr>
      <w:r>
        <w:rPr>
          <w:rFonts w:hint="eastAsia"/>
          <w:snapToGrid/>
        </w:rPr>
        <w:t>年龄为</w:t>
      </w:r>
      <w:r>
        <w:rPr>
          <w:rFonts w:hint="eastAsia"/>
          <w:snapToGrid/>
        </w:rPr>
        <w:t>16</w:t>
      </w:r>
      <w:r>
        <w:rPr>
          <w:rFonts w:hint="eastAsia"/>
          <w:snapToGrid/>
        </w:rPr>
        <w:t>周岁，并且根据本法律不受强制保险方面的限制；</w:t>
      </w:r>
    </w:p>
    <w:p w:rsidR="00000000" w:rsidRDefault="00000000">
      <w:pPr>
        <w:ind w:left="1040"/>
        <w:rPr>
          <w:rFonts w:hint="eastAsia"/>
          <w:snapToGrid/>
        </w:rPr>
      </w:pPr>
      <w:r>
        <w:rPr>
          <w:snapToGrid/>
        </w:rPr>
        <w:t>(f)</w:t>
      </w:r>
      <w:r>
        <w:rPr>
          <w:snapToGrid/>
        </w:rPr>
        <w:tab/>
      </w:r>
      <w:r>
        <w:rPr>
          <w:rFonts w:hint="eastAsia"/>
          <w:snapToGrid/>
        </w:rPr>
        <w:t>年收入至少为</w:t>
      </w:r>
      <w:r>
        <w:rPr>
          <w:rFonts w:hint="eastAsia"/>
          <w:snapToGrid/>
        </w:rPr>
        <w:t>3</w:t>
      </w:r>
      <w:r>
        <w:rPr>
          <w:rFonts w:hint="eastAsia"/>
          <w:snapToGrid/>
        </w:rPr>
        <w:t>个月平均工资并符合下述情况之一的人：</w:t>
      </w:r>
    </w:p>
    <w:p w:rsidR="00000000" w:rsidRDefault="00000000">
      <w:pPr>
        <w:numPr>
          <w:ilvl w:val="0"/>
          <w:numId w:val="416"/>
        </w:numPr>
        <w:tabs>
          <w:tab w:val="clear" w:pos="3091"/>
        </w:tabs>
        <w:ind w:left="2051"/>
        <w:rPr>
          <w:snapToGrid/>
        </w:rPr>
      </w:pPr>
      <w:r>
        <w:rPr>
          <w:rFonts w:hint="eastAsia"/>
          <w:snapToGrid/>
        </w:rPr>
        <w:t>拥有财产和</w:t>
      </w:r>
      <w:r>
        <w:rPr>
          <w:rFonts w:hint="eastAsia"/>
          <w:snapToGrid/>
        </w:rPr>
        <w:t>/</w:t>
      </w:r>
      <w:r>
        <w:rPr>
          <w:rFonts w:hint="eastAsia"/>
          <w:snapToGrid/>
        </w:rPr>
        <w:t>或是农场和林地的土地经纪人；</w:t>
      </w:r>
    </w:p>
    <w:p w:rsidR="00000000" w:rsidRDefault="00000000">
      <w:pPr>
        <w:numPr>
          <w:ilvl w:val="0"/>
          <w:numId w:val="416"/>
        </w:numPr>
        <w:tabs>
          <w:tab w:val="clear" w:pos="3091"/>
        </w:tabs>
        <w:ind w:left="2051"/>
        <w:rPr>
          <w:snapToGrid/>
        </w:rPr>
      </w:pPr>
      <w:r>
        <w:rPr>
          <w:rFonts w:hint="eastAsia"/>
          <w:snapToGrid/>
        </w:rPr>
        <w:t>从事农场的农业活动或从事森林方面的私人活动；</w:t>
      </w:r>
    </w:p>
    <w:p w:rsidR="00000000" w:rsidRDefault="00000000">
      <w:pPr>
        <w:numPr>
          <w:ilvl w:val="0"/>
          <w:numId w:val="416"/>
        </w:numPr>
        <w:tabs>
          <w:tab w:val="clear" w:pos="3091"/>
        </w:tabs>
        <w:ind w:left="2051"/>
        <w:rPr>
          <w:rFonts w:hint="eastAsia"/>
          <w:snapToGrid/>
        </w:rPr>
      </w:pPr>
      <w:r>
        <w:rPr>
          <w:rFonts w:hint="eastAsia"/>
          <w:snapToGrid/>
        </w:rPr>
        <w:t>是农场或其他农业协会的成员；</w:t>
      </w:r>
    </w:p>
    <w:p w:rsidR="00000000" w:rsidRDefault="00000000">
      <w:pPr>
        <w:ind w:left="1040"/>
        <w:rPr>
          <w:rFonts w:hint="eastAsia"/>
          <w:snapToGrid/>
        </w:rPr>
      </w:pPr>
      <w:r>
        <w:rPr>
          <w:snapToGrid/>
        </w:rPr>
        <w:t>(g)</w:t>
      </w:r>
      <w:r>
        <w:rPr>
          <w:snapToGrid/>
        </w:rPr>
        <w:tab/>
      </w:r>
      <w:r>
        <w:rPr>
          <w:rFonts w:hint="eastAsia"/>
          <w:snapToGrid/>
        </w:rPr>
        <w:t>年收入至少为</w:t>
      </w:r>
      <w:r>
        <w:rPr>
          <w:rFonts w:hint="eastAsia"/>
          <w:snapToGrid/>
        </w:rPr>
        <w:t>4</w:t>
      </w:r>
      <w:r>
        <w:rPr>
          <w:rFonts w:hint="eastAsia"/>
          <w:snapToGrid/>
        </w:rPr>
        <w:t>个月平均工资并符合上述一或多种情况的人</w:t>
      </w:r>
      <w:r>
        <w:rPr>
          <w:rFonts w:hint="eastAsia"/>
          <w:snapToGrid/>
        </w:rPr>
        <w:t>(</w:t>
      </w:r>
      <w:r>
        <w:rPr>
          <w:rFonts w:hint="eastAsia"/>
          <w:snapToGrid/>
        </w:rPr>
        <w:t>第</w:t>
      </w:r>
      <w:r>
        <w:rPr>
          <w:rFonts w:hint="eastAsia"/>
          <w:snapToGrid/>
        </w:rPr>
        <w:t>4</w:t>
      </w:r>
      <w:r>
        <w:rPr>
          <w:rFonts w:hint="eastAsia"/>
          <w:snapToGrid/>
        </w:rPr>
        <w:t>条</w:t>
      </w:r>
      <w:r>
        <w:rPr>
          <w:rFonts w:hint="eastAsia"/>
          <w:snapToGrid/>
        </w:rPr>
        <w:t>)</w:t>
      </w:r>
      <w:r>
        <w:rPr>
          <w:rFonts w:hint="eastAsia"/>
          <w:snapToGrid/>
        </w:rPr>
        <w:t>；</w:t>
      </w:r>
    </w:p>
    <w:p w:rsidR="00000000" w:rsidRDefault="00000000">
      <w:pPr>
        <w:rPr>
          <w:snapToGrid/>
        </w:rPr>
      </w:pPr>
      <w:r>
        <w:rPr>
          <w:snapToGrid/>
        </w:rPr>
        <w:tab/>
      </w:r>
      <w:r>
        <w:rPr>
          <w:rFonts w:hint="eastAsia"/>
          <w:snapToGrid/>
        </w:rPr>
        <w:t>225.</w:t>
      </w:r>
      <w:r>
        <w:rPr>
          <w:snapToGrid/>
        </w:rPr>
        <w:t xml:space="preserve">  </w:t>
      </w:r>
      <w:r>
        <w:rPr>
          <w:rFonts w:hint="eastAsia"/>
          <w:snapToGrid/>
        </w:rPr>
        <w:t>1995</w:t>
      </w:r>
      <w:r>
        <w:rPr>
          <w:rFonts w:hint="eastAsia"/>
          <w:snapToGrid/>
        </w:rPr>
        <w:t>年</w:t>
      </w:r>
      <w:r>
        <w:rPr>
          <w:rFonts w:hint="eastAsia"/>
          <w:snapToGrid/>
        </w:rPr>
        <w:t>6</w:t>
      </w:r>
      <w:r>
        <w:rPr>
          <w:rFonts w:hint="eastAsia"/>
          <w:snapToGrid/>
        </w:rPr>
        <w:t>月</w:t>
      </w:r>
      <w:r>
        <w:rPr>
          <w:rFonts w:hint="eastAsia"/>
          <w:snapToGrid/>
        </w:rPr>
        <w:t>30</w:t>
      </w:r>
      <w:r>
        <w:rPr>
          <w:rFonts w:hint="eastAsia"/>
          <w:snapToGrid/>
        </w:rPr>
        <w:t>日关于“核准强制社会保险的某些条件”的第</w:t>
      </w:r>
      <w:r>
        <w:rPr>
          <w:rFonts w:hint="eastAsia"/>
          <w:snapToGrid/>
        </w:rPr>
        <w:t>450</w:t>
      </w:r>
      <w:r>
        <w:rPr>
          <w:rFonts w:hint="eastAsia"/>
          <w:snapToGrid/>
        </w:rPr>
        <w:t>号政府决定规定了：</w:t>
      </w:r>
    </w:p>
    <w:p w:rsidR="00000000" w:rsidRDefault="00000000">
      <w:pPr>
        <w:numPr>
          <w:ilvl w:val="0"/>
          <w:numId w:val="417"/>
        </w:numPr>
        <w:rPr>
          <w:snapToGrid/>
        </w:rPr>
      </w:pPr>
      <w:r>
        <w:rPr>
          <w:rFonts w:hint="eastAsia"/>
          <w:snapToGrid/>
        </w:rPr>
        <w:t>根据合同工作的自然人享受强制社会保险的条件和办法；</w:t>
      </w:r>
    </w:p>
    <w:p w:rsidR="00000000" w:rsidRDefault="00000000">
      <w:pPr>
        <w:numPr>
          <w:ilvl w:val="0"/>
          <w:numId w:val="417"/>
        </w:numPr>
        <w:rPr>
          <w:snapToGrid/>
        </w:rPr>
      </w:pPr>
      <w:r>
        <w:rPr>
          <w:rFonts w:hint="eastAsia"/>
          <w:snapToGrid/>
        </w:rPr>
        <w:t>在国外工作但拥有雇佣合同的摩尔多瓦共和国公民享受强制社会保险的条件和办法；</w:t>
      </w:r>
    </w:p>
    <w:p w:rsidR="00000000" w:rsidRDefault="00000000">
      <w:pPr>
        <w:numPr>
          <w:ilvl w:val="0"/>
          <w:numId w:val="417"/>
        </w:numPr>
        <w:rPr>
          <w:rFonts w:hint="eastAsia"/>
          <w:snapToGrid/>
        </w:rPr>
      </w:pPr>
      <w:r>
        <w:rPr>
          <w:rFonts w:hint="eastAsia"/>
          <w:snapToGrid/>
        </w:rPr>
        <w:t>农场享受强制社会保险的条件和办法；</w:t>
      </w:r>
    </w:p>
    <w:p w:rsidR="00000000" w:rsidRDefault="00000000">
      <w:pPr>
        <w:rPr>
          <w:snapToGrid/>
        </w:rPr>
      </w:pPr>
      <w:r>
        <w:rPr>
          <w:snapToGrid/>
        </w:rPr>
        <w:tab/>
      </w:r>
      <w:r>
        <w:rPr>
          <w:rFonts w:hint="eastAsia"/>
          <w:snapToGrid/>
        </w:rPr>
        <w:t>226.</w:t>
      </w:r>
      <w:r>
        <w:rPr>
          <w:snapToGrid/>
        </w:rPr>
        <w:t xml:space="preserve">  </w:t>
      </w:r>
      <w:r>
        <w:rPr>
          <w:rFonts w:hint="eastAsia"/>
          <w:snapToGrid/>
        </w:rPr>
        <w:t>1999</w:t>
      </w:r>
      <w:r>
        <w:rPr>
          <w:rFonts w:hint="eastAsia"/>
          <w:snapToGrid/>
        </w:rPr>
        <w:t>年</w:t>
      </w:r>
      <w:r>
        <w:rPr>
          <w:rFonts w:hint="eastAsia"/>
          <w:snapToGrid/>
        </w:rPr>
        <w:t>7</w:t>
      </w:r>
      <w:r>
        <w:rPr>
          <w:rFonts w:hint="eastAsia"/>
          <w:snapToGrid/>
        </w:rPr>
        <w:t>月</w:t>
      </w:r>
      <w:r>
        <w:rPr>
          <w:rFonts w:hint="eastAsia"/>
          <w:snapToGrid/>
        </w:rPr>
        <w:t>8</w:t>
      </w:r>
      <w:r>
        <w:rPr>
          <w:rFonts w:hint="eastAsia"/>
          <w:snapToGrid/>
        </w:rPr>
        <w:t>日第</w:t>
      </w:r>
      <w:r>
        <w:rPr>
          <w:rFonts w:hint="eastAsia"/>
          <w:snapToGrid/>
        </w:rPr>
        <w:t>489-XIV</w:t>
      </w:r>
      <w:r>
        <w:rPr>
          <w:rFonts w:hint="eastAsia"/>
          <w:snapToGrid/>
        </w:rPr>
        <w:t>号法第</w:t>
      </w:r>
      <w:r>
        <w:rPr>
          <w:rFonts w:hint="eastAsia"/>
          <w:snapToGrid/>
        </w:rPr>
        <w:t>5</w:t>
      </w:r>
      <w:r>
        <w:rPr>
          <w:rFonts w:hint="eastAsia"/>
          <w:snapToGrid/>
        </w:rPr>
        <w:t>条中载明了对投保人的申报要求，规定如下：</w:t>
      </w:r>
    </w:p>
    <w:p w:rsidR="00000000" w:rsidRDefault="00000000">
      <w:pPr>
        <w:numPr>
          <w:ilvl w:val="0"/>
          <w:numId w:val="420"/>
        </w:numPr>
        <w:rPr>
          <w:snapToGrid/>
        </w:rPr>
      </w:pPr>
      <w:r>
        <w:rPr>
          <w:rFonts w:hint="eastAsia"/>
          <w:snapToGrid/>
        </w:rPr>
        <w:t>第</w:t>
      </w:r>
      <w:r>
        <w:rPr>
          <w:rFonts w:hint="eastAsia"/>
          <w:snapToGrid/>
        </w:rPr>
        <w:t>4</w:t>
      </w:r>
      <w:r>
        <w:rPr>
          <w:rFonts w:hint="eastAsia"/>
          <w:snapToGrid/>
        </w:rPr>
        <w:t>条第</w:t>
      </w:r>
      <w:r>
        <w:rPr>
          <w:rFonts w:hint="eastAsia"/>
          <w:snapToGrid/>
        </w:rPr>
        <w:t>1</w:t>
      </w:r>
      <w:r>
        <w:rPr>
          <w:rFonts w:hint="eastAsia"/>
          <w:snapToGrid/>
        </w:rPr>
        <w:t>、第</w:t>
      </w:r>
      <w:r>
        <w:rPr>
          <w:rFonts w:hint="eastAsia"/>
          <w:snapToGrid/>
        </w:rPr>
        <w:t>2</w:t>
      </w:r>
      <w:r>
        <w:rPr>
          <w:rFonts w:hint="eastAsia"/>
          <w:snapToGrid/>
        </w:rPr>
        <w:t>和第</w:t>
      </w:r>
      <w:r>
        <w:rPr>
          <w:rFonts w:hint="eastAsia"/>
          <w:snapToGrid/>
        </w:rPr>
        <w:t>3</w:t>
      </w:r>
      <w:r>
        <w:rPr>
          <w:rFonts w:hint="eastAsia"/>
          <w:snapToGrid/>
        </w:rPr>
        <w:t>款规定雇主必须每月，或按照本法规定的其他期限，提交一份列有所有投保雇员姓名的申报单；负责支付失业补偿的机构也必须提交这样一份申报单；</w:t>
      </w:r>
    </w:p>
    <w:p w:rsidR="00000000" w:rsidRDefault="00000000">
      <w:pPr>
        <w:numPr>
          <w:ilvl w:val="0"/>
          <w:numId w:val="420"/>
        </w:numPr>
        <w:rPr>
          <w:snapToGrid/>
        </w:rPr>
      </w:pPr>
      <w:r>
        <w:rPr>
          <w:rFonts w:hint="eastAsia"/>
          <w:snapToGrid/>
        </w:rPr>
        <w:t>根据该条第</w:t>
      </w:r>
      <w:r>
        <w:rPr>
          <w:rFonts w:hint="eastAsia"/>
          <w:snapToGrid/>
        </w:rPr>
        <w:t>5</w:t>
      </w:r>
      <w:r>
        <w:rPr>
          <w:rFonts w:hint="eastAsia"/>
          <w:snapToGrid/>
        </w:rPr>
        <w:t>至第</w:t>
      </w:r>
      <w:r>
        <w:rPr>
          <w:rFonts w:hint="eastAsia"/>
          <w:snapToGrid/>
        </w:rPr>
        <w:t>7</w:t>
      </w:r>
      <w:r>
        <w:rPr>
          <w:rFonts w:hint="eastAsia"/>
          <w:snapToGrid/>
        </w:rPr>
        <w:t>款，满</w:t>
      </w:r>
      <w:r>
        <w:rPr>
          <w:rFonts w:hint="eastAsia"/>
          <w:snapToGrid/>
        </w:rPr>
        <w:t>16</w:t>
      </w:r>
      <w:r>
        <w:rPr>
          <w:rFonts w:hint="eastAsia"/>
          <w:snapToGrid/>
        </w:rPr>
        <w:t>岁者必须在</w:t>
      </w:r>
      <w:r>
        <w:rPr>
          <w:rFonts w:hint="eastAsia"/>
          <w:snapToGrid/>
        </w:rPr>
        <w:t>30</w:t>
      </w:r>
      <w:r>
        <w:rPr>
          <w:rFonts w:hint="eastAsia"/>
          <w:snapToGrid/>
        </w:rPr>
        <w:t>日内单独提交一份保险申报单；</w:t>
      </w:r>
    </w:p>
    <w:p w:rsidR="00000000" w:rsidRDefault="00000000">
      <w:pPr>
        <w:numPr>
          <w:ilvl w:val="0"/>
          <w:numId w:val="420"/>
        </w:numPr>
        <w:rPr>
          <w:snapToGrid/>
        </w:rPr>
      </w:pPr>
      <w:r>
        <w:rPr>
          <w:rFonts w:hint="eastAsia"/>
          <w:snapToGrid/>
        </w:rPr>
        <w:t>第</w:t>
      </w:r>
      <w:r>
        <w:rPr>
          <w:rFonts w:hint="eastAsia"/>
          <w:snapToGrid/>
        </w:rPr>
        <w:t>4</w:t>
      </w:r>
      <w:r>
        <w:rPr>
          <w:rFonts w:hint="eastAsia"/>
          <w:snapToGrid/>
        </w:rPr>
        <w:t>条第</w:t>
      </w:r>
      <w:r>
        <w:rPr>
          <w:rFonts w:hint="eastAsia"/>
          <w:snapToGrid/>
        </w:rPr>
        <w:t>5</w:t>
      </w:r>
      <w:r>
        <w:rPr>
          <w:rFonts w:hint="eastAsia"/>
          <w:snapToGrid/>
        </w:rPr>
        <w:t>至第</w:t>
      </w:r>
      <w:r>
        <w:rPr>
          <w:rFonts w:hint="eastAsia"/>
          <w:snapToGrid/>
        </w:rPr>
        <w:t>7</w:t>
      </w:r>
      <w:r>
        <w:rPr>
          <w:rFonts w:hint="eastAsia"/>
          <w:snapToGrid/>
        </w:rPr>
        <w:t>款还规定同时符合该条第</w:t>
      </w:r>
      <w:r>
        <w:rPr>
          <w:rFonts w:hint="eastAsia"/>
          <w:snapToGrid/>
        </w:rPr>
        <w:t>1</w:t>
      </w:r>
      <w:r>
        <w:rPr>
          <w:rFonts w:hint="eastAsia"/>
          <w:snapToGrid/>
        </w:rPr>
        <w:t>或第</w:t>
      </w:r>
      <w:r>
        <w:rPr>
          <w:rFonts w:hint="eastAsia"/>
          <w:snapToGrid/>
        </w:rPr>
        <w:t>2</w:t>
      </w:r>
      <w:r>
        <w:rPr>
          <w:rFonts w:hint="eastAsia"/>
          <w:snapToGrid/>
        </w:rPr>
        <w:t>款中所列明的不止一种情况的人可以免交保险申报单；</w:t>
      </w:r>
    </w:p>
    <w:p w:rsidR="00000000" w:rsidRDefault="00000000">
      <w:pPr>
        <w:numPr>
          <w:ilvl w:val="0"/>
          <w:numId w:val="420"/>
        </w:numPr>
        <w:rPr>
          <w:snapToGrid/>
        </w:rPr>
      </w:pPr>
      <w:r>
        <w:rPr>
          <w:rFonts w:hint="eastAsia"/>
          <w:snapToGrid/>
        </w:rPr>
        <w:t>保险申报单必须提交给雇员住宅区或企业所在地的国家社会保险局的地区机构；</w:t>
      </w:r>
    </w:p>
    <w:p w:rsidR="00000000" w:rsidRDefault="00000000">
      <w:pPr>
        <w:rPr>
          <w:rFonts w:hint="eastAsia"/>
          <w:snapToGrid/>
        </w:rPr>
      </w:pPr>
      <w:r>
        <w:rPr>
          <w:rFonts w:hint="eastAsia"/>
          <w:snapToGrid/>
        </w:rPr>
        <w:t>根据一份个人合同，不符合第</w:t>
      </w:r>
      <w:r>
        <w:rPr>
          <w:rFonts w:hint="eastAsia"/>
          <w:snapToGrid/>
        </w:rPr>
        <w:t>4</w:t>
      </w:r>
      <w:r>
        <w:rPr>
          <w:rFonts w:hint="eastAsia"/>
          <w:snapToGrid/>
        </w:rPr>
        <w:t>条中所列各种情况的人也可受到保险</w:t>
      </w:r>
      <w:r>
        <w:rPr>
          <w:rFonts w:hint="eastAsia"/>
          <w:snapToGrid/>
        </w:rPr>
        <w:t>(</w:t>
      </w:r>
      <w:r>
        <w:rPr>
          <w:rFonts w:hint="eastAsia"/>
          <w:snapToGrid/>
        </w:rPr>
        <w:t>第</w:t>
      </w:r>
      <w:r>
        <w:rPr>
          <w:rFonts w:hint="eastAsia"/>
          <w:snapToGrid/>
        </w:rPr>
        <w:t>6</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227.</w:t>
      </w:r>
      <w:r>
        <w:rPr>
          <w:snapToGrid/>
        </w:rPr>
        <w:t xml:space="preserve">  </w:t>
      </w:r>
      <w:r>
        <w:rPr>
          <w:rFonts w:hint="eastAsia"/>
          <w:snapToGrid/>
        </w:rPr>
        <w:t>第</w:t>
      </w:r>
      <w:r>
        <w:rPr>
          <w:rFonts w:hint="eastAsia"/>
          <w:snapToGrid/>
        </w:rPr>
        <w:t>7</w:t>
      </w:r>
      <w:r>
        <w:rPr>
          <w:rFonts w:hint="eastAsia"/>
          <w:snapToGrid/>
        </w:rPr>
        <w:t>条中确定了社会保险津贴：</w:t>
      </w:r>
    </w:p>
    <w:p w:rsidR="00000000" w:rsidRDefault="00000000">
      <w:pPr>
        <w:numPr>
          <w:ilvl w:val="0"/>
          <w:numId w:val="422"/>
        </w:numPr>
        <w:rPr>
          <w:snapToGrid/>
        </w:rPr>
      </w:pPr>
      <w:r>
        <w:rPr>
          <w:rFonts w:hint="eastAsia"/>
          <w:snapToGrid/>
        </w:rPr>
        <w:t>在公共保险制度中，社会保险津贴是支付给投保人的一笔钱。它与所支付的社会保险税相关；</w:t>
      </w:r>
    </w:p>
    <w:p w:rsidR="00000000" w:rsidRDefault="00000000">
      <w:pPr>
        <w:numPr>
          <w:ilvl w:val="0"/>
          <w:numId w:val="422"/>
        </w:numPr>
        <w:rPr>
          <w:snapToGrid/>
        </w:rPr>
      </w:pPr>
      <w:r>
        <w:rPr>
          <w:rFonts w:hint="eastAsia"/>
          <w:snapToGrid/>
        </w:rPr>
        <w:t>社会保险津贴以养恤金、赔偿金或依法制定的其他支助形式提供；</w:t>
      </w:r>
    </w:p>
    <w:p w:rsidR="00000000" w:rsidRDefault="00000000">
      <w:pPr>
        <w:numPr>
          <w:ilvl w:val="0"/>
          <w:numId w:val="422"/>
        </w:numPr>
        <w:rPr>
          <w:snapToGrid/>
        </w:rPr>
      </w:pPr>
      <w:r>
        <w:rPr>
          <w:rFonts w:hint="eastAsia"/>
          <w:snapToGrid/>
        </w:rPr>
        <w:t>在公共保险制度内，社会保险是一份收入，用以弥补由于年龄、残疾、事故、疾病、孕产、失业或死亡</w:t>
      </w:r>
      <w:r>
        <w:rPr>
          <w:rFonts w:hint="eastAsia"/>
          <w:snapToGrid/>
        </w:rPr>
        <w:t>(</w:t>
      </w:r>
      <w:r>
        <w:rPr>
          <w:rFonts w:hint="eastAsia"/>
          <w:snapToGrid/>
        </w:rPr>
        <w:t>下面将这些情况称为被保风险</w:t>
      </w:r>
      <w:r>
        <w:rPr>
          <w:rFonts w:hint="eastAsia"/>
          <w:snapToGrid/>
        </w:rPr>
        <w:t>)</w:t>
      </w:r>
      <w:r>
        <w:rPr>
          <w:rFonts w:hint="eastAsia"/>
          <w:snapToGrid/>
        </w:rPr>
        <w:t>而造成的全部或部分收入损失；</w:t>
      </w:r>
    </w:p>
    <w:p w:rsidR="00000000" w:rsidRDefault="00000000">
      <w:pPr>
        <w:numPr>
          <w:ilvl w:val="0"/>
          <w:numId w:val="422"/>
        </w:numPr>
        <w:rPr>
          <w:rFonts w:hint="eastAsia"/>
          <w:snapToGrid/>
        </w:rPr>
      </w:pPr>
      <w:r>
        <w:rPr>
          <w:rFonts w:hint="eastAsia"/>
          <w:snapToGrid/>
        </w:rPr>
        <w:t>在公共保险制度内，投保人不得因同一被保风险获得一种以上的社会保险；但例外是为预防疾病提供的津贴和为从残疾状况中康复提供的津贴。</w:t>
      </w:r>
    </w:p>
    <w:p w:rsidR="00000000" w:rsidRDefault="00000000">
      <w:pPr>
        <w:rPr>
          <w:rFonts w:hint="eastAsia"/>
          <w:snapToGrid/>
        </w:rPr>
      </w:pPr>
      <w:r>
        <w:rPr>
          <w:snapToGrid/>
        </w:rPr>
        <w:tab/>
      </w:r>
      <w:r>
        <w:rPr>
          <w:rFonts w:hint="eastAsia"/>
          <w:snapToGrid/>
        </w:rPr>
        <w:t>228.</w:t>
      </w:r>
      <w:r>
        <w:rPr>
          <w:snapToGrid/>
        </w:rPr>
        <w:t xml:space="preserve">  </w:t>
      </w:r>
      <w:r>
        <w:rPr>
          <w:rFonts w:hint="eastAsia"/>
          <w:snapToGrid/>
        </w:rPr>
        <w:t>公共保险制度中的社会保险权利和义务受到一种个人社会保险编号的保证。这种编号被授予公共保险制度中的每个投保人，国家社会保险局确定个人社会保险编号及其分发方式。</w:t>
      </w:r>
    </w:p>
    <w:p w:rsidR="00000000" w:rsidRDefault="00000000">
      <w:pPr>
        <w:rPr>
          <w:rFonts w:hint="eastAsia"/>
          <w:snapToGrid/>
        </w:rPr>
      </w:pPr>
      <w:r>
        <w:rPr>
          <w:snapToGrid/>
        </w:rPr>
        <w:tab/>
      </w:r>
      <w:r>
        <w:rPr>
          <w:rFonts w:hint="eastAsia"/>
          <w:snapToGrid/>
        </w:rPr>
        <w:t>229.</w:t>
      </w:r>
      <w:r>
        <w:rPr>
          <w:snapToGrid/>
        </w:rPr>
        <w:t xml:space="preserve">  </w:t>
      </w:r>
      <w:r>
        <w:rPr>
          <w:rFonts w:hint="eastAsia"/>
          <w:snapToGrid/>
        </w:rPr>
        <w:t>根据</w:t>
      </w:r>
      <w:r>
        <w:rPr>
          <w:rFonts w:hint="eastAsia"/>
          <w:snapToGrid/>
        </w:rPr>
        <w:t>2000</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日第</w:t>
      </w:r>
      <w:r>
        <w:rPr>
          <w:rFonts w:hint="eastAsia"/>
          <w:snapToGrid/>
        </w:rPr>
        <w:t>418</w:t>
      </w:r>
      <w:r>
        <w:rPr>
          <w:rFonts w:hint="eastAsia"/>
          <w:snapToGrid/>
        </w:rPr>
        <w:t>号政府决定，启动了国家登记簿，登记公共社会保险制度的个人缴款者</w:t>
      </w:r>
      <w:r>
        <w:rPr>
          <w:rFonts w:hint="eastAsia"/>
          <w:snapToGrid/>
        </w:rPr>
        <w:t>(</w:t>
      </w:r>
      <w:r>
        <w:rPr>
          <w:rFonts w:hint="eastAsia"/>
          <w:snapToGrid/>
        </w:rPr>
        <w:t>自然人和法人</w:t>
      </w:r>
      <w:r>
        <w:rPr>
          <w:rFonts w:hint="eastAsia"/>
          <w:snapToGrid/>
        </w:rPr>
        <w:t>)</w:t>
      </w:r>
      <w:r>
        <w:rPr>
          <w:rFonts w:hint="eastAsia"/>
          <w:snapToGrid/>
        </w:rPr>
        <w:t>，存储并分析与公共保险制度中纳税人的法律地位和自然地位有关的数据资料。该登记簿还旨在保持对各类养恤金、赔偿金、补偿金和其他支付作分别记录，并向公共行政当局传递有关投保人的信息。国家登记簿由国家社会保险局掌管，其数据和文件保密。</w:t>
      </w:r>
    </w:p>
    <w:p w:rsidR="00000000" w:rsidRDefault="00000000">
      <w:pPr>
        <w:rPr>
          <w:snapToGrid/>
        </w:rPr>
      </w:pPr>
      <w:r>
        <w:rPr>
          <w:snapToGrid/>
        </w:rPr>
        <w:tab/>
      </w:r>
      <w:r>
        <w:rPr>
          <w:rFonts w:hint="eastAsia"/>
          <w:snapToGrid/>
        </w:rPr>
        <w:t>230.</w:t>
      </w:r>
      <w:r>
        <w:rPr>
          <w:snapToGrid/>
        </w:rPr>
        <w:t xml:space="preserve">  </w:t>
      </w:r>
      <w:r>
        <w:rPr>
          <w:rFonts w:hint="eastAsia"/>
          <w:snapToGrid/>
        </w:rPr>
        <w:t>国家社会保险局是维护国家利益的独立公共机构，具有法律人格，管理公共社会保险制度。其总部设在基希讷乌市</w:t>
      </w:r>
      <w:r>
        <w:rPr>
          <w:rFonts w:hint="eastAsia"/>
          <w:snapToGrid/>
        </w:rPr>
        <w:t>(</w:t>
      </w:r>
      <w:r>
        <w:rPr>
          <w:rFonts w:hint="eastAsia"/>
          <w:snapToGrid/>
        </w:rPr>
        <w:t>第</w:t>
      </w:r>
      <w:r>
        <w:rPr>
          <w:rFonts w:hint="eastAsia"/>
          <w:snapToGrid/>
        </w:rPr>
        <w:t>43</w:t>
      </w:r>
      <w:r>
        <w:rPr>
          <w:rFonts w:hint="eastAsia"/>
          <w:snapToGrid/>
        </w:rPr>
        <w:t>条</w:t>
      </w:r>
      <w:r>
        <w:rPr>
          <w:rFonts w:hint="eastAsia"/>
          <w:snapToGrid/>
        </w:rPr>
        <w:t>)</w:t>
      </w:r>
      <w:r>
        <w:rPr>
          <w:rFonts w:hint="eastAsia"/>
          <w:snapToGrid/>
        </w:rPr>
        <w:t>。根据《公共社会保险制度法》的条款规定，国家社会保险局担负有下述义务：</w:t>
      </w:r>
    </w:p>
    <w:p w:rsidR="00000000" w:rsidRDefault="00000000">
      <w:pPr>
        <w:numPr>
          <w:ilvl w:val="0"/>
          <w:numId w:val="423"/>
        </w:numPr>
        <w:rPr>
          <w:snapToGrid/>
        </w:rPr>
      </w:pPr>
      <w:r>
        <w:rPr>
          <w:rFonts w:hint="eastAsia"/>
          <w:snapToGrid/>
        </w:rPr>
        <w:t>通过其地区机构，包括社会保险基金，以及通过具有本法所规定的权利和义务的自然人和法人指导并监督执行法律条款；</w:t>
      </w:r>
    </w:p>
    <w:p w:rsidR="00000000" w:rsidRDefault="00000000">
      <w:pPr>
        <w:numPr>
          <w:ilvl w:val="0"/>
          <w:numId w:val="423"/>
        </w:numPr>
        <w:rPr>
          <w:snapToGrid/>
        </w:rPr>
      </w:pPr>
      <w:r>
        <w:rPr>
          <w:rFonts w:hint="eastAsia"/>
          <w:snapToGrid/>
        </w:rPr>
        <w:t>提交必要数据帮助编制国家社会保险预算；</w:t>
      </w:r>
    </w:p>
    <w:p w:rsidR="00000000" w:rsidRDefault="00000000">
      <w:pPr>
        <w:numPr>
          <w:ilvl w:val="0"/>
          <w:numId w:val="423"/>
        </w:numPr>
        <w:rPr>
          <w:snapToGrid/>
        </w:rPr>
      </w:pPr>
      <w:r>
        <w:rPr>
          <w:rFonts w:hint="eastAsia"/>
          <w:snapToGrid/>
        </w:rPr>
        <w:t>向政府和社会伙伴们提交关于管理国家社会保险预算情况的报告；</w:t>
      </w:r>
    </w:p>
    <w:p w:rsidR="00000000" w:rsidRDefault="00000000">
      <w:pPr>
        <w:numPr>
          <w:ilvl w:val="0"/>
          <w:numId w:val="423"/>
        </w:numPr>
        <w:rPr>
          <w:snapToGrid/>
        </w:rPr>
      </w:pPr>
      <w:r>
        <w:rPr>
          <w:rFonts w:hint="eastAsia"/>
          <w:snapToGrid/>
        </w:rPr>
        <w:t>发布关于其活动的年度报告；</w:t>
      </w:r>
    </w:p>
    <w:p w:rsidR="00000000" w:rsidRDefault="00000000">
      <w:pPr>
        <w:numPr>
          <w:ilvl w:val="0"/>
          <w:numId w:val="423"/>
        </w:numPr>
        <w:rPr>
          <w:snapToGrid/>
        </w:rPr>
      </w:pPr>
      <w:r>
        <w:rPr>
          <w:rFonts w:hint="eastAsia"/>
          <w:snapToGrid/>
        </w:rPr>
        <w:t>根据现行法律条款转让各种社会保险津贴，来自失业基金的津贴和其他津贴。</w:t>
      </w:r>
    </w:p>
    <w:p w:rsidR="00000000" w:rsidRDefault="00000000">
      <w:pPr>
        <w:numPr>
          <w:ilvl w:val="0"/>
          <w:numId w:val="423"/>
        </w:numPr>
        <w:rPr>
          <w:snapToGrid/>
        </w:rPr>
      </w:pPr>
      <w:r>
        <w:rPr>
          <w:rFonts w:hint="eastAsia"/>
          <w:snapToGrid/>
        </w:rPr>
        <w:t>根据现行法律条款从国家社会保险预算获得收入；</w:t>
      </w:r>
    </w:p>
    <w:p w:rsidR="00000000" w:rsidRDefault="00000000">
      <w:pPr>
        <w:numPr>
          <w:ilvl w:val="0"/>
          <w:numId w:val="423"/>
        </w:numPr>
        <w:rPr>
          <w:snapToGrid/>
        </w:rPr>
      </w:pPr>
      <w:r>
        <w:rPr>
          <w:rFonts w:hint="eastAsia"/>
          <w:snapToGrid/>
        </w:rPr>
        <w:t>制定有效管理公共保险制度财产的办法并确保其完整性；</w:t>
      </w:r>
    </w:p>
    <w:p w:rsidR="00000000" w:rsidRDefault="00000000">
      <w:pPr>
        <w:numPr>
          <w:ilvl w:val="0"/>
          <w:numId w:val="423"/>
        </w:numPr>
        <w:rPr>
          <w:snapToGrid/>
        </w:rPr>
      </w:pPr>
      <w:r>
        <w:rPr>
          <w:rFonts w:hint="eastAsia"/>
          <w:snapToGrid/>
        </w:rPr>
        <w:t>保护社会保险基金；</w:t>
      </w:r>
    </w:p>
    <w:p w:rsidR="00000000" w:rsidRDefault="00000000">
      <w:pPr>
        <w:numPr>
          <w:ilvl w:val="0"/>
          <w:numId w:val="423"/>
        </w:numPr>
        <w:rPr>
          <w:snapToGrid/>
        </w:rPr>
      </w:pPr>
      <w:r>
        <w:rPr>
          <w:rFonts w:hint="eastAsia"/>
          <w:snapToGrid/>
        </w:rPr>
        <w:t>保持公共保险制度中对所有纳税人的记录；</w:t>
      </w:r>
    </w:p>
    <w:p w:rsidR="00000000" w:rsidRDefault="00000000">
      <w:pPr>
        <w:numPr>
          <w:ilvl w:val="0"/>
          <w:numId w:val="423"/>
        </w:numPr>
        <w:rPr>
          <w:snapToGrid/>
        </w:rPr>
      </w:pPr>
      <w:r>
        <w:rPr>
          <w:rFonts w:hint="eastAsia"/>
          <w:snapToGrid/>
        </w:rPr>
        <w:t>根据个人社会保险编号记录国家一级社会保险的权利和义务；</w:t>
      </w:r>
    </w:p>
    <w:p w:rsidR="00000000" w:rsidRDefault="00000000">
      <w:pPr>
        <w:numPr>
          <w:ilvl w:val="0"/>
          <w:numId w:val="423"/>
        </w:numPr>
        <w:rPr>
          <w:snapToGrid/>
        </w:rPr>
      </w:pPr>
      <w:r>
        <w:rPr>
          <w:rFonts w:hint="eastAsia"/>
          <w:snapToGrid/>
        </w:rPr>
        <w:t>提供向每位投保人付款的年度证明；</w:t>
      </w:r>
    </w:p>
    <w:p w:rsidR="00000000" w:rsidRDefault="00000000">
      <w:pPr>
        <w:numPr>
          <w:ilvl w:val="0"/>
          <w:numId w:val="423"/>
        </w:numPr>
        <w:rPr>
          <w:snapToGrid/>
        </w:rPr>
      </w:pPr>
      <w:r>
        <w:rPr>
          <w:rFonts w:hint="eastAsia"/>
          <w:snapToGrid/>
        </w:rPr>
        <w:t>指导并监督体格检查活动及残疾康复情况；</w:t>
      </w:r>
    </w:p>
    <w:p w:rsidR="00000000" w:rsidRDefault="00000000">
      <w:pPr>
        <w:numPr>
          <w:ilvl w:val="0"/>
          <w:numId w:val="423"/>
        </w:numPr>
        <w:rPr>
          <w:snapToGrid/>
        </w:rPr>
      </w:pPr>
      <w:r>
        <w:rPr>
          <w:rFonts w:hint="eastAsia"/>
          <w:snapToGrid/>
        </w:rPr>
        <w:t>提交数据以便在编制预算过程中调整公共保险制度的费率标准；</w:t>
      </w:r>
    </w:p>
    <w:p w:rsidR="00000000" w:rsidRDefault="00000000">
      <w:pPr>
        <w:numPr>
          <w:ilvl w:val="0"/>
          <w:numId w:val="423"/>
        </w:numPr>
        <w:rPr>
          <w:snapToGrid/>
        </w:rPr>
      </w:pPr>
      <w:r>
        <w:rPr>
          <w:rFonts w:hint="eastAsia"/>
          <w:snapToGrid/>
        </w:rPr>
        <w:t>适用摩尔多瓦共和国加入的社会保险制度方面的国际公约；</w:t>
      </w:r>
    </w:p>
    <w:p w:rsidR="00000000" w:rsidRDefault="00000000">
      <w:pPr>
        <w:numPr>
          <w:ilvl w:val="0"/>
          <w:numId w:val="423"/>
        </w:numPr>
        <w:rPr>
          <w:snapToGrid/>
        </w:rPr>
      </w:pPr>
      <w:r>
        <w:rPr>
          <w:rFonts w:hint="eastAsia"/>
          <w:snapToGrid/>
        </w:rPr>
        <w:t>发展与其他国家中类似机构之间的关系；</w:t>
      </w:r>
    </w:p>
    <w:p w:rsidR="00000000" w:rsidRDefault="00000000">
      <w:pPr>
        <w:numPr>
          <w:ilvl w:val="0"/>
          <w:numId w:val="423"/>
        </w:numPr>
        <w:rPr>
          <w:snapToGrid/>
        </w:rPr>
      </w:pPr>
      <w:r>
        <w:rPr>
          <w:rFonts w:hint="eastAsia"/>
          <w:snapToGrid/>
        </w:rPr>
        <w:t>在社会保险领域内组织专业人员挑选、情况简介活动并培训人员；</w:t>
      </w:r>
    </w:p>
    <w:p w:rsidR="00000000" w:rsidRDefault="00000000">
      <w:pPr>
        <w:numPr>
          <w:ilvl w:val="0"/>
          <w:numId w:val="423"/>
        </w:numPr>
        <w:rPr>
          <w:snapToGrid/>
        </w:rPr>
      </w:pPr>
      <w:r>
        <w:rPr>
          <w:rFonts w:hint="eastAsia"/>
          <w:snapToGrid/>
        </w:rPr>
        <w:t>维持、扩展和保护自动计算和记录系统；</w:t>
      </w:r>
    </w:p>
    <w:p w:rsidR="00000000" w:rsidRDefault="00000000">
      <w:pPr>
        <w:numPr>
          <w:ilvl w:val="0"/>
          <w:numId w:val="423"/>
        </w:numPr>
        <w:rPr>
          <w:snapToGrid/>
        </w:rPr>
      </w:pPr>
      <w:r>
        <w:rPr>
          <w:rFonts w:hint="eastAsia"/>
          <w:snapToGrid/>
        </w:rPr>
        <w:t>在因执行本法律而引起的诉讼中充当当事方之一；</w:t>
      </w:r>
    </w:p>
    <w:p w:rsidR="00000000" w:rsidRDefault="00000000">
      <w:pPr>
        <w:numPr>
          <w:ilvl w:val="0"/>
          <w:numId w:val="423"/>
        </w:numPr>
        <w:rPr>
          <w:rFonts w:hint="eastAsia"/>
          <w:snapToGrid/>
        </w:rPr>
      </w:pPr>
      <w:r>
        <w:rPr>
          <w:rFonts w:hint="eastAsia"/>
          <w:snapToGrid/>
        </w:rPr>
        <w:t>承担由法律条款规定的其他义务</w:t>
      </w:r>
      <w:r>
        <w:rPr>
          <w:rFonts w:hint="eastAsia"/>
          <w:snapToGrid/>
        </w:rPr>
        <w:t>(</w:t>
      </w:r>
      <w:r>
        <w:rPr>
          <w:rFonts w:hint="eastAsia"/>
          <w:snapToGrid/>
        </w:rPr>
        <w:t>第</w:t>
      </w:r>
      <w:r>
        <w:rPr>
          <w:rFonts w:hint="eastAsia"/>
          <w:snapToGrid/>
        </w:rPr>
        <w:t>49</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231.</w:t>
      </w:r>
      <w:r>
        <w:rPr>
          <w:snapToGrid/>
        </w:rPr>
        <w:t xml:space="preserve">  </w:t>
      </w:r>
      <w:r>
        <w:rPr>
          <w:rFonts w:hint="eastAsia"/>
          <w:snapToGrid/>
        </w:rPr>
        <w:t>《公共社会保险制度法》第</w:t>
      </w:r>
      <w:r>
        <w:rPr>
          <w:rFonts w:hint="eastAsia"/>
          <w:snapToGrid/>
        </w:rPr>
        <w:t>9</w:t>
      </w:r>
      <w:r>
        <w:rPr>
          <w:rFonts w:hint="eastAsia"/>
          <w:snapToGrid/>
        </w:rPr>
        <w:t>条中规定如下：</w:t>
      </w:r>
    </w:p>
    <w:p w:rsidR="00000000" w:rsidRDefault="00000000">
      <w:pPr>
        <w:numPr>
          <w:ilvl w:val="0"/>
          <w:numId w:val="424"/>
        </w:numPr>
        <w:rPr>
          <w:rFonts w:hint="eastAsia"/>
          <w:snapToGrid/>
        </w:rPr>
      </w:pPr>
      <w:r>
        <w:rPr>
          <w:rFonts w:hint="eastAsia"/>
          <w:snapToGrid/>
        </w:rPr>
        <w:t>根据摩尔多瓦共和国所加入的国际协定与公约规定的条件，公共社会保险的各项权利被转交给投保人的居留国；</w:t>
      </w:r>
    </w:p>
    <w:p w:rsidR="00000000" w:rsidRDefault="00000000">
      <w:pPr>
        <w:numPr>
          <w:ilvl w:val="0"/>
          <w:numId w:val="424"/>
        </w:numPr>
        <w:rPr>
          <w:rFonts w:hint="eastAsia"/>
          <w:snapToGrid/>
        </w:rPr>
      </w:pPr>
      <w:r>
        <w:rPr>
          <w:rFonts w:hint="eastAsia"/>
          <w:snapToGrid/>
        </w:rPr>
        <w:t>社会保险的各项拨款可以依据摩尔多瓦共和国所加入的国际协定与公约规定的条件被转交给另一国并被转换为有关国家的货币或另一种商定的货币。</w:t>
      </w:r>
    </w:p>
    <w:p w:rsidR="00000000" w:rsidRDefault="00000000">
      <w:pPr>
        <w:rPr>
          <w:rFonts w:hint="eastAsia"/>
          <w:snapToGrid/>
        </w:rPr>
      </w:pPr>
      <w:r>
        <w:rPr>
          <w:snapToGrid/>
        </w:rPr>
        <w:tab/>
      </w:r>
      <w:r>
        <w:rPr>
          <w:rFonts w:hint="eastAsia"/>
          <w:snapToGrid/>
        </w:rPr>
        <w:t>232.</w:t>
      </w:r>
      <w:r>
        <w:rPr>
          <w:snapToGrid/>
        </w:rPr>
        <w:t xml:space="preserve">  </w:t>
      </w:r>
      <w:r>
        <w:rPr>
          <w:rFonts w:hint="eastAsia"/>
          <w:snapToGrid/>
        </w:rPr>
        <w:t>本法第二章题为“国家社会保险预算”，其中规定了一系列义务：编制并通过预算、用其收入来支付开支、提供基金和货币存款、填补预算赤字和以各种货币支付社会保险。</w:t>
      </w:r>
    </w:p>
    <w:p w:rsidR="00000000" w:rsidRDefault="00000000">
      <w:pPr>
        <w:rPr>
          <w:rFonts w:hint="eastAsia"/>
          <w:snapToGrid/>
        </w:rPr>
      </w:pPr>
      <w:r>
        <w:rPr>
          <w:snapToGrid/>
        </w:rPr>
        <w:tab/>
      </w:r>
      <w:r>
        <w:rPr>
          <w:rFonts w:hint="eastAsia"/>
          <w:snapToGrid/>
        </w:rPr>
        <w:t>233.</w:t>
      </w:r>
      <w:r>
        <w:rPr>
          <w:snapToGrid/>
        </w:rPr>
        <w:t xml:space="preserve">  </w:t>
      </w:r>
      <w:r>
        <w:rPr>
          <w:rFonts w:hint="eastAsia"/>
          <w:snapToGrid/>
        </w:rPr>
        <w:t>国家社会保险预算属于国家公共预算，独立于国家预算。国家社会保险预算包括公共保险制度的收入、开支和财务效益。</w:t>
      </w:r>
    </w:p>
    <w:p w:rsidR="00000000" w:rsidRDefault="00000000">
      <w:pPr>
        <w:rPr>
          <w:rFonts w:hint="eastAsia"/>
          <w:snapToGrid/>
        </w:rPr>
      </w:pPr>
      <w:r>
        <w:rPr>
          <w:snapToGrid/>
        </w:rPr>
        <w:tab/>
      </w:r>
      <w:r>
        <w:rPr>
          <w:rFonts w:hint="eastAsia"/>
          <w:snapToGrid/>
        </w:rPr>
        <w:t>234.</w:t>
      </w:r>
      <w:r>
        <w:rPr>
          <w:snapToGrid/>
        </w:rPr>
        <w:t xml:space="preserve">  </w:t>
      </w:r>
      <w:r>
        <w:rPr>
          <w:rFonts w:hint="eastAsia"/>
          <w:snapToGrid/>
        </w:rPr>
        <w:t>根据国家社会保险局的建议，政府拟订关于国家社会保险预算的议案，并将之提交给议会进行通过。国家社会保险预算的收入来自社会保险税、利息、延期支付罚金或其他收入。国家社会保险预算的支出包括组织和运转公共保险制度的费用、资助某些投资的款额和本法规定的其他开支。</w:t>
      </w:r>
    </w:p>
    <w:p w:rsidR="00000000" w:rsidRDefault="00000000">
      <w:pPr>
        <w:rPr>
          <w:rFonts w:hint="eastAsia"/>
          <w:snapToGrid/>
        </w:rPr>
      </w:pPr>
      <w:r>
        <w:rPr>
          <w:snapToGrid/>
        </w:rPr>
        <w:tab/>
      </w:r>
      <w:r>
        <w:rPr>
          <w:rFonts w:hint="eastAsia"/>
          <w:snapToGrid/>
        </w:rPr>
        <w:t>235.</w:t>
      </w:r>
      <w:r>
        <w:rPr>
          <w:snapToGrid/>
        </w:rPr>
        <w:t xml:space="preserve">  </w:t>
      </w:r>
      <w:r>
        <w:rPr>
          <w:rFonts w:hint="eastAsia"/>
          <w:snapToGrid/>
        </w:rPr>
        <w:t>国家社会保险预算每年最多为储备金基金拨出其款额的</w:t>
      </w:r>
      <w:r>
        <w:rPr>
          <w:rFonts w:hint="eastAsia"/>
          <w:snapToGrid/>
        </w:rPr>
        <w:t>3%</w:t>
      </w:r>
      <w:r>
        <w:rPr>
          <w:rFonts w:hint="eastAsia"/>
          <w:snapToGrid/>
        </w:rPr>
        <w:t>。累积储备金基金不得超过各预算年计划支出的</w:t>
      </w:r>
      <w:r>
        <w:rPr>
          <w:rFonts w:hint="eastAsia"/>
          <w:snapToGrid/>
        </w:rPr>
        <w:t>50%</w:t>
      </w:r>
      <w:r>
        <w:rPr>
          <w:rFonts w:hint="eastAsia"/>
          <w:snapToGrid/>
        </w:rPr>
        <w:t>。储备金基金用于保证社会保险服务或支付《国家社会保险预算法》所核准的其他公共保险制度开支。</w:t>
      </w:r>
    </w:p>
    <w:p w:rsidR="00000000" w:rsidRDefault="00000000">
      <w:pPr>
        <w:rPr>
          <w:rFonts w:hint="eastAsia"/>
          <w:snapToGrid/>
        </w:rPr>
      </w:pPr>
      <w:r>
        <w:rPr>
          <w:snapToGrid/>
        </w:rPr>
        <w:tab/>
      </w:r>
      <w:r>
        <w:rPr>
          <w:rFonts w:hint="eastAsia"/>
          <w:snapToGrid/>
        </w:rPr>
        <w:t>236.</w:t>
      </w:r>
      <w:r>
        <w:rPr>
          <w:snapToGrid/>
        </w:rPr>
        <w:t xml:space="preserve">  </w:t>
      </w:r>
      <w:r>
        <w:rPr>
          <w:rFonts w:hint="eastAsia"/>
          <w:snapToGrid/>
        </w:rPr>
        <w:t>每次预算余额成为下次预算的收入并被用于依法核准的目的。当前预算赤字由前一年的国家社会保险预算储备金填补，储备金耗尽后，则由储备金基金填补。存入国家社会保险预算的钱可以获得利息。利息标准由国家社会保险局和财政部或银行协会共同确定。当储备金基金用尽后，国家预算便拨款填补国家社会保险预算的赤字。如果国家社会保险预算由于执行规范性法案而减少，则由国家预算填补其赤字。</w:t>
      </w:r>
    </w:p>
    <w:p w:rsidR="00000000" w:rsidRDefault="00000000">
      <w:pPr>
        <w:rPr>
          <w:rFonts w:hint="eastAsia"/>
          <w:snapToGrid/>
        </w:rPr>
      </w:pPr>
      <w:r>
        <w:rPr>
          <w:snapToGrid/>
        </w:rPr>
        <w:tab/>
      </w:r>
      <w:r>
        <w:rPr>
          <w:rFonts w:hint="eastAsia"/>
          <w:snapToGrid/>
        </w:rPr>
        <w:t>237.</w:t>
      </w:r>
      <w:r>
        <w:rPr>
          <w:snapToGrid/>
        </w:rPr>
        <w:t xml:space="preserve">  </w:t>
      </w:r>
      <w:r>
        <w:rPr>
          <w:rFonts w:hint="eastAsia"/>
          <w:snapToGrid/>
        </w:rPr>
        <w:t>在摩尔多瓦共和国领土内，公共保险制度中的各项拨款和社会保险津贴以列依支付。按其他国家货币确定的拨款和社会保险金也根据摩尔多瓦共和国国家银行的现行汇率，以列依支付。</w:t>
      </w:r>
      <w:r>
        <w:rPr>
          <w:rFonts w:hint="eastAsia"/>
          <w:snapToGrid/>
        </w:rPr>
        <w:t>1999</w:t>
      </w:r>
      <w:r>
        <w:rPr>
          <w:rFonts w:hint="eastAsia"/>
          <w:snapToGrid/>
        </w:rPr>
        <w:t>年</w:t>
      </w:r>
      <w:r>
        <w:rPr>
          <w:rFonts w:hint="eastAsia"/>
          <w:snapToGrid/>
        </w:rPr>
        <w:t>7</w:t>
      </w:r>
      <w:r>
        <w:rPr>
          <w:rFonts w:hint="eastAsia"/>
          <w:snapToGrid/>
        </w:rPr>
        <w:t>月</w:t>
      </w:r>
      <w:r>
        <w:rPr>
          <w:rFonts w:hint="eastAsia"/>
          <w:snapToGrid/>
        </w:rPr>
        <w:t>8</w:t>
      </w:r>
      <w:r>
        <w:rPr>
          <w:rFonts w:hint="eastAsia"/>
          <w:snapToGrid/>
        </w:rPr>
        <w:t>日第</w:t>
      </w:r>
      <w:r>
        <w:rPr>
          <w:rFonts w:hint="eastAsia"/>
          <w:snapToGrid/>
        </w:rPr>
        <w:t>489</w:t>
      </w:r>
      <w:r>
        <w:rPr>
          <w:snapToGrid/>
        </w:rPr>
        <w:t>—</w:t>
      </w:r>
      <w:r>
        <w:rPr>
          <w:rFonts w:hint="eastAsia"/>
          <w:snapToGrid/>
        </w:rPr>
        <w:t>XIV</w:t>
      </w:r>
      <w:r>
        <w:rPr>
          <w:rFonts w:hint="eastAsia"/>
          <w:snapToGrid/>
        </w:rPr>
        <w:t>号法第三章中对社会保险津贴作有规定。第</w:t>
      </w:r>
      <w:r>
        <w:rPr>
          <w:rFonts w:hint="eastAsia"/>
          <w:snapToGrid/>
        </w:rPr>
        <w:t>17</w:t>
      </w:r>
      <w:r>
        <w:rPr>
          <w:rFonts w:hint="eastAsia"/>
          <w:snapToGrid/>
        </w:rPr>
        <w:t>条对公共保险制度纳税人和社会保险津贴的比例规定如下：</w:t>
      </w:r>
    </w:p>
    <w:p w:rsidR="00000000" w:rsidRDefault="00000000">
      <w:pPr>
        <w:numPr>
          <w:ilvl w:val="0"/>
          <w:numId w:val="426"/>
        </w:numPr>
        <w:rPr>
          <w:rFonts w:hint="eastAsia"/>
          <w:snapToGrid/>
        </w:rPr>
      </w:pPr>
      <w:r>
        <w:rPr>
          <w:rFonts w:hint="eastAsia"/>
          <w:snapToGrid/>
        </w:rPr>
        <w:t>向公共保险制度纳税的人应是：</w:t>
      </w:r>
    </w:p>
    <w:p w:rsidR="00000000" w:rsidRDefault="00000000">
      <w:pPr>
        <w:numPr>
          <w:ilvl w:val="1"/>
          <w:numId w:val="426"/>
        </w:numPr>
        <w:ind w:left="2041"/>
        <w:rPr>
          <w:rFonts w:hint="eastAsia"/>
          <w:snapToGrid/>
        </w:rPr>
      </w:pPr>
      <w:r>
        <w:rPr>
          <w:rFonts w:hint="eastAsia"/>
          <w:snapToGrid/>
        </w:rPr>
        <w:t>享有个人社会保险津贴的投保人</w:t>
      </w:r>
    </w:p>
    <w:p w:rsidR="00000000" w:rsidRDefault="00000000">
      <w:pPr>
        <w:numPr>
          <w:ilvl w:val="1"/>
          <w:numId w:val="426"/>
        </w:numPr>
        <w:ind w:left="2041"/>
        <w:rPr>
          <w:rFonts w:hint="eastAsia"/>
          <w:snapToGrid/>
        </w:rPr>
      </w:pPr>
      <w:r>
        <w:rPr>
          <w:rFonts w:hint="eastAsia"/>
          <w:snapToGrid/>
        </w:rPr>
        <w:t>雇主；</w:t>
      </w:r>
    </w:p>
    <w:p w:rsidR="00000000" w:rsidRDefault="00000000">
      <w:pPr>
        <w:numPr>
          <w:ilvl w:val="1"/>
          <w:numId w:val="426"/>
        </w:numPr>
        <w:ind w:left="2041"/>
        <w:rPr>
          <w:rFonts w:hint="eastAsia"/>
          <w:snapToGrid/>
        </w:rPr>
      </w:pPr>
      <w:r>
        <w:rPr>
          <w:rFonts w:hint="eastAsia"/>
          <w:snapToGrid/>
        </w:rPr>
        <w:t>根据本法，与雇佣第</w:t>
      </w:r>
      <w:r>
        <w:rPr>
          <w:rFonts w:hint="eastAsia"/>
          <w:snapToGrid/>
        </w:rPr>
        <w:t>4</w:t>
      </w:r>
      <w:r>
        <w:rPr>
          <w:rFonts w:hint="eastAsia"/>
          <w:snapToGrid/>
        </w:rPr>
        <w:t>条第</w:t>
      </w:r>
      <w:r>
        <w:rPr>
          <w:rFonts w:hint="eastAsia"/>
          <w:snapToGrid/>
        </w:rPr>
        <w:t>2</w:t>
      </w:r>
      <w:r>
        <w:rPr>
          <w:rFonts w:hint="eastAsia"/>
          <w:snapToGrid/>
        </w:rPr>
        <w:t>款中所提及的投保人的雇主类似的法人；</w:t>
      </w:r>
    </w:p>
    <w:p w:rsidR="00000000" w:rsidRDefault="00000000">
      <w:pPr>
        <w:numPr>
          <w:ilvl w:val="1"/>
          <w:numId w:val="426"/>
        </w:numPr>
        <w:ind w:left="2041"/>
        <w:rPr>
          <w:rFonts w:hint="eastAsia"/>
          <w:snapToGrid/>
        </w:rPr>
      </w:pPr>
      <w:r>
        <w:rPr>
          <w:rFonts w:hint="eastAsia"/>
          <w:snapToGrid/>
        </w:rPr>
        <w:t>失业津贴基金；</w:t>
      </w:r>
    </w:p>
    <w:p w:rsidR="00000000" w:rsidRDefault="00000000">
      <w:pPr>
        <w:numPr>
          <w:ilvl w:val="1"/>
          <w:numId w:val="426"/>
        </w:numPr>
        <w:ind w:left="2041"/>
        <w:rPr>
          <w:rFonts w:hint="eastAsia"/>
          <w:snapToGrid/>
        </w:rPr>
      </w:pPr>
      <w:r>
        <w:rPr>
          <w:rFonts w:hint="eastAsia"/>
          <w:snapToGrid/>
        </w:rPr>
        <w:t>符合本法的其他基金；</w:t>
      </w:r>
    </w:p>
    <w:p w:rsidR="00000000" w:rsidRDefault="00000000">
      <w:pPr>
        <w:numPr>
          <w:ilvl w:val="1"/>
          <w:numId w:val="426"/>
        </w:numPr>
        <w:ind w:left="2041"/>
        <w:rPr>
          <w:rFonts w:hint="eastAsia"/>
          <w:snapToGrid/>
        </w:rPr>
      </w:pPr>
      <w:r>
        <w:rPr>
          <w:rFonts w:hint="eastAsia"/>
          <w:snapToGrid/>
        </w:rPr>
        <w:t>拥有保险合同的人；</w:t>
      </w:r>
    </w:p>
    <w:p w:rsidR="00000000" w:rsidRDefault="00000000">
      <w:pPr>
        <w:numPr>
          <w:ilvl w:val="1"/>
          <w:numId w:val="426"/>
        </w:numPr>
        <w:ind w:left="2041"/>
        <w:rPr>
          <w:rFonts w:hint="eastAsia"/>
          <w:snapToGrid/>
        </w:rPr>
      </w:pPr>
      <w:r>
        <w:rPr>
          <w:rFonts w:hint="eastAsia"/>
          <w:snapToGrid/>
        </w:rPr>
        <w:t>具有个人劳资协议，但其雇主不是摩尔多瓦共和国居民的人；</w:t>
      </w:r>
    </w:p>
    <w:p w:rsidR="00000000" w:rsidRDefault="00000000">
      <w:pPr>
        <w:ind w:left="1021"/>
        <w:rPr>
          <w:snapToGrid/>
        </w:rPr>
      </w:pPr>
      <w:r>
        <w:rPr>
          <w:rFonts w:hint="eastAsia"/>
          <w:snapToGrid/>
        </w:rPr>
        <w:t>(</w:t>
      </w:r>
      <w:r>
        <w:rPr>
          <w:snapToGrid/>
        </w:rPr>
        <w:t>b</w:t>
      </w:r>
      <w:r>
        <w:rPr>
          <w:rFonts w:hint="eastAsia"/>
          <w:snapToGrid/>
        </w:rPr>
        <w:t>)</w:t>
      </w:r>
      <w:r>
        <w:rPr>
          <w:snapToGrid/>
        </w:rPr>
        <w:tab/>
      </w:r>
      <w:r>
        <w:rPr>
          <w:rFonts w:hint="eastAsia"/>
          <w:snapToGrid/>
        </w:rPr>
        <w:t>社会保险津贴的比例依据投保人工作条件是否正常或特殊而有差别；</w:t>
      </w:r>
    </w:p>
    <w:p w:rsidR="00000000" w:rsidRDefault="00000000">
      <w:pPr>
        <w:ind w:left="1021"/>
        <w:rPr>
          <w:rFonts w:hint="eastAsia"/>
          <w:snapToGrid/>
        </w:rPr>
      </w:pPr>
      <w:r>
        <w:rPr>
          <w:snapToGrid/>
        </w:rPr>
        <w:t>(c)</w:t>
      </w:r>
      <w:r>
        <w:rPr>
          <w:snapToGrid/>
        </w:rPr>
        <w:tab/>
      </w:r>
      <w:r>
        <w:rPr>
          <w:rFonts w:hint="eastAsia"/>
          <w:snapToGrid/>
        </w:rPr>
        <w:t>由《国家社会保险预算法》核准每年的社会保险津贴比例。</w:t>
      </w:r>
    </w:p>
    <w:p w:rsidR="00000000" w:rsidRDefault="00000000">
      <w:pPr>
        <w:rPr>
          <w:snapToGrid/>
        </w:rPr>
      </w:pPr>
      <w:r>
        <w:rPr>
          <w:snapToGrid/>
        </w:rPr>
        <w:tab/>
      </w:r>
      <w:r>
        <w:rPr>
          <w:rFonts w:hint="eastAsia"/>
          <w:snapToGrid/>
        </w:rPr>
        <w:t>238.</w:t>
      </w:r>
      <w:r>
        <w:rPr>
          <w:snapToGrid/>
        </w:rPr>
        <w:t xml:space="preserve">  </w:t>
      </w:r>
      <w:r>
        <w:rPr>
          <w:rFonts w:hint="eastAsia"/>
          <w:snapToGrid/>
        </w:rPr>
        <w:t>第四章第</w:t>
      </w:r>
      <w:r>
        <w:rPr>
          <w:rFonts w:hint="eastAsia"/>
          <w:snapToGrid/>
        </w:rPr>
        <w:t>39</w:t>
      </w:r>
      <w:r>
        <w:rPr>
          <w:rFonts w:hint="eastAsia"/>
          <w:snapToGrid/>
        </w:rPr>
        <w:t>条题为“养恤金”，罗列了法律准允的养恤金类别：</w:t>
      </w:r>
    </w:p>
    <w:p w:rsidR="00000000" w:rsidRDefault="00000000">
      <w:pPr>
        <w:numPr>
          <w:ilvl w:val="0"/>
          <w:numId w:val="428"/>
        </w:numPr>
        <w:rPr>
          <w:snapToGrid/>
        </w:rPr>
      </w:pPr>
      <w:r>
        <w:rPr>
          <w:rFonts w:hint="eastAsia"/>
          <w:snapToGrid/>
        </w:rPr>
        <w:t>养老金；</w:t>
      </w:r>
    </w:p>
    <w:p w:rsidR="00000000" w:rsidRDefault="00000000">
      <w:pPr>
        <w:numPr>
          <w:ilvl w:val="0"/>
          <w:numId w:val="428"/>
        </w:numPr>
        <w:rPr>
          <w:snapToGrid/>
        </w:rPr>
      </w:pPr>
      <w:r>
        <w:rPr>
          <w:rFonts w:hint="eastAsia"/>
          <w:snapToGrid/>
        </w:rPr>
        <w:t>残疾养恤金；</w:t>
      </w:r>
    </w:p>
    <w:p w:rsidR="00000000" w:rsidRDefault="00000000">
      <w:pPr>
        <w:numPr>
          <w:ilvl w:val="0"/>
          <w:numId w:val="428"/>
        </w:numPr>
        <w:rPr>
          <w:rFonts w:hint="eastAsia"/>
          <w:snapToGrid/>
        </w:rPr>
      </w:pPr>
      <w:r>
        <w:rPr>
          <w:rFonts w:hint="eastAsia"/>
          <w:snapToGrid/>
        </w:rPr>
        <w:t>遗属养恤金；</w:t>
      </w:r>
    </w:p>
    <w:p w:rsidR="00000000" w:rsidRDefault="00000000">
      <w:pPr>
        <w:rPr>
          <w:rFonts w:hint="eastAsia"/>
          <w:snapToGrid/>
        </w:rPr>
      </w:pPr>
      <w:r>
        <w:rPr>
          <w:rFonts w:hint="eastAsia"/>
          <w:snapToGrid/>
        </w:rPr>
        <w:t>本法中规定了养恤金的准予、确定和支付方法。</w:t>
      </w:r>
    </w:p>
    <w:p w:rsidR="00000000" w:rsidRDefault="00000000">
      <w:pPr>
        <w:rPr>
          <w:rFonts w:hint="eastAsia"/>
          <w:snapToGrid/>
        </w:rPr>
      </w:pPr>
      <w:r>
        <w:rPr>
          <w:snapToGrid/>
        </w:rPr>
        <w:tab/>
      </w:r>
      <w:r>
        <w:rPr>
          <w:rFonts w:hint="eastAsia"/>
          <w:snapToGrid/>
        </w:rPr>
        <w:t>239.</w:t>
      </w:r>
      <w:r>
        <w:rPr>
          <w:snapToGrid/>
        </w:rPr>
        <w:t xml:space="preserve">  </w:t>
      </w:r>
      <w:r>
        <w:rPr>
          <w:rFonts w:hint="eastAsia"/>
          <w:snapToGrid/>
        </w:rPr>
        <w:t>根据</w:t>
      </w:r>
      <w:r>
        <w:rPr>
          <w:rFonts w:hint="eastAsia"/>
          <w:snapToGrid/>
        </w:rPr>
        <w:t>1999</w:t>
      </w:r>
      <w:r>
        <w:rPr>
          <w:rFonts w:hint="eastAsia"/>
          <w:snapToGrid/>
        </w:rPr>
        <w:t>年</w:t>
      </w:r>
      <w:r>
        <w:rPr>
          <w:rFonts w:hint="eastAsia"/>
          <w:snapToGrid/>
        </w:rPr>
        <w:t>10</w:t>
      </w:r>
      <w:r>
        <w:rPr>
          <w:rFonts w:hint="eastAsia"/>
          <w:snapToGrid/>
        </w:rPr>
        <w:t>月</w:t>
      </w:r>
      <w:r>
        <w:rPr>
          <w:rFonts w:hint="eastAsia"/>
          <w:snapToGrid/>
        </w:rPr>
        <w:t>14</w:t>
      </w:r>
      <w:r>
        <w:rPr>
          <w:rFonts w:hint="eastAsia"/>
          <w:snapToGrid/>
        </w:rPr>
        <w:t>日第</w:t>
      </w:r>
      <w:r>
        <w:rPr>
          <w:rFonts w:hint="eastAsia"/>
          <w:snapToGrid/>
        </w:rPr>
        <w:t>156-XIV</w:t>
      </w:r>
      <w:r>
        <w:rPr>
          <w:rFonts w:hint="eastAsia"/>
          <w:snapToGrid/>
        </w:rPr>
        <w:t>号，《国家社会保险养恤金法》，受到保险的摩尔多瓦共和国居民有权享有养恤金。该权利由公共保险制度针对社会风险，即残疾</w:t>
      </w:r>
      <w:r>
        <w:rPr>
          <w:rFonts w:hint="eastAsia"/>
          <w:snapToGrid/>
        </w:rPr>
        <w:t>(</w:t>
      </w:r>
      <w:r>
        <w:rPr>
          <w:rFonts w:hint="eastAsia"/>
          <w:snapToGrid/>
        </w:rPr>
        <w:t>高龄、残疾</w:t>
      </w:r>
      <w:r>
        <w:rPr>
          <w:rFonts w:hint="eastAsia"/>
          <w:snapToGrid/>
        </w:rPr>
        <w:t>)</w:t>
      </w:r>
      <w:r>
        <w:rPr>
          <w:rFonts w:hint="eastAsia"/>
          <w:snapToGrid/>
        </w:rPr>
        <w:t>或养家人死亡的情况予以行使。《公共社会保险制度法》明确规定了依法享受保险的人的类别。根据该法，农业劳动者也有权享有养恤金</w:t>
      </w:r>
      <w:r>
        <w:rPr>
          <w:rFonts w:hint="eastAsia"/>
          <w:snapToGrid/>
        </w:rPr>
        <w:t>(</w:t>
      </w:r>
      <w:r>
        <w:rPr>
          <w:rFonts w:hint="eastAsia"/>
          <w:snapToGrid/>
        </w:rPr>
        <w:t>第</w:t>
      </w:r>
      <w:r>
        <w:rPr>
          <w:rFonts w:hint="eastAsia"/>
          <w:snapToGrid/>
        </w:rPr>
        <w:t>2</w:t>
      </w:r>
      <w:r>
        <w:rPr>
          <w:rFonts w:hint="eastAsia"/>
          <w:snapToGrid/>
        </w:rPr>
        <w:t>条</w:t>
      </w:r>
      <w:r>
        <w:rPr>
          <w:rFonts w:hint="eastAsia"/>
          <w:snapToGrid/>
        </w:rPr>
        <w:t>)</w:t>
      </w:r>
      <w:r>
        <w:rPr>
          <w:rFonts w:hint="eastAsia"/>
          <w:snapToGrid/>
        </w:rPr>
        <w:t>。</w:t>
      </w:r>
    </w:p>
    <w:p w:rsidR="00000000" w:rsidRDefault="00000000">
      <w:pPr>
        <w:rPr>
          <w:snapToGrid/>
        </w:rPr>
      </w:pPr>
      <w:r>
        <w:rPr>
          <w:snapToGrid/>
        </w:rPr>
        <w:tab/>
      </w:r>
      <w:r>
        <w:rPr>
          <w:rFonts w:hint="eastAsia"/>
          <w:snapToGrid/>
        </w:rPr>
        <w:t>240.</w:t>
      </w:r>
      <w:r>
        <w:rPr>
          <w:snapToGrid/>
        </w:rPr>
        <w:t xml:space="preserve">  </w:t>
      </w:r>
      <w:r>
        <w:rPr>
          <w:rFonts w:hint="eastAsia"/>
          <w:snapToGrid/>
        </w:rPr>
        <w:t>依据本法律确定了各种养恤金，并由养恤金基金支付。养恤金基金来自：</w:t>
      </w:r>
    </w:p>
    <w:p w:rsidR="00000000" w:rsidRDefault="00000000">
      <w:pPr>
        <w:numPr>
          <w:ilvl w:val="0"/>
          <w:numId w:val="430"/>
        </w:numPr>
        <w:rPr>
          <w:snapToGrid/>
        </w:rPr>
      </w:pPr>
      <w:r>
        <w:rPr>
          <w:rFonts w:hint="eastAsia"/>
          <w:snapToGrid/>
        </w:rPr>
        <w:t>雇员缴纳的税款；</w:t>
      </w:r>
    </w:p>
    <w:p w:rsidR="00000000" w:rsidRDefault="00000000">
      <w:pPr>
        <w:numPr>
          <w:ilvl w:val="0"/>
          <w:numId w:val="430"/>
        </w:numPr>
        <w:rPr>
          <w:snapToGrid/>
        </w:rPr>
      </w:pPr>
      <w:r>
        <w:rPr>
          <w:rFonts w:hint="eastAsia"/>
          <w:snapToGrid/>
        </w:rPr>
        <w:t>保险费；</w:t>
      </w:r>
    </w:p>
    <w:p w:rsidR="00000000" w:rsidRDefault="00000000">
      <w:pPr>
        <w:numPr>
          <w:ilvl w:val="0"/>
          <w:numId w:val="430"/>
        </w:numPr>
        <w:rPr>
          <w:snapToGrid/>
        </w:rPr>
      </w:pPr>
      <w:r>
        <w:rPr>
          <w:rFonts w:hint="eastAsia"/>
          <w:snapToGrid/>
        </w:rPr>
        <w:t>来自其他基金的拨款；</w:t>
      </w:r>
    </w:p>
    <w:p w:rsidR="00000000" w:rsidRDefault="00000000">
      <w:pPr>
        <w:numPr>
          <w:ilvl w:val="0"/>
          <w:numId w:val="430"/>
        </w:numPr>
        <w:rPr>
          <w:snapToGrid/>
        </w:rPr>
      </w:pPr>
      <w:r>
        <w:rPr>
          <w:rFonts w:hint="eastAsia"/>
          <w:snapToGrid/>
        </w:rPr>
        <w:t>从国家预算中扣除的款额；</w:t>
      </w:r>
    </w:p>
    <w:p w:rsidR="00000000" w:rsidRDefault="00000000">
      <w:pPr>
        <w:numPr>
          <w:ilvl w:val="0"/>
          <w:numId w:val="430"/>
        </w:numPr>
        <w:rPr>
          <w:rFonts w:hint="eastAsia"/>
          <w:snapToGrid/>
        </w:rPr>
      </w:pPr>
      <w:r>
        <w:rPr>
          <w:rFonts w:hint="eastAsia"/>
          <w:snapToGrid/>
        </w:rPr>
        <w:t>其他收入</w:t>
      </w:r>
      <w:r>
        <w:rPr>
          <w:rFonts w:hint="eastAsia"/>
          <w:snapToGrid/>
        </w:rPr>
        <w:t>(</w:t>
      </w:r>
      <w:r>
        <w:rPr>
          <w:rFonts w:hint="eastAsia"/>
          <w:snapToGrid/>
        </w:rPr>
        <w:t>第</w:t>
      </w:r>
      <w:r>
        <w:rPr>
          <w:rFonts w:hint="eastAsia"/>
          <w:snapToGrid/>
        </w:rPr>
        <w:t>4</w:t>
      </w:r>
      <w:r>
        <w:rPr>
          <w:rFonts w:hint="eastAsia"/>
          <w:snapToGrid/>
        </w:rPr>
        <w:t>条</w:t>
      </w:r>
      <w:r>
        <w:rPr>
          <w:rFonts w:hint="eastAsia"/>
          <w:snapToGrid/>
        </w:rPr>
        <w:t>)</w:t>
      </w:r>
      <w:r>
        <w:rPr>
          <w:rFonts w:hint="eastAsia"/>
          <w:snapToGrid/>
        </w:rPr>
        <w:t>。</w:t>
      </w:r>
    </w:p>
    <w:p w:rsidR="00000000" w:rsidRDefault="00000000">
      <w:pPr>
        <w:rPr>
          <w:snapToGrid/>
        </w:rPr>
      </w:pPr>
      <w:r>
        <w:rPr>
          <w:snapToGrid/>
        </w:rPr>
        <w:tab/>
      </w:r>
      <w:r>
        <w:rPr>
          <w:rFonts w:hint="eastAsia"/>
          <w:snapToGrid/>
        </w:rPr>
        <w:t>241.</w:t>
      </w:r>
      <w:r>
        <w:rPr>
          <w:snapToGrid/>
        </w:rPr>
        <w:t xml:space="preserve">  </w:t>
      </w:r>
      <w:r>
        <w:rPr>
          <w:rFonts w:hint="eastAsia"/>
          <w:snapToGrid/>
        </w:rPr>
        <w:t>本法第</w:t>
      </w:r>
      <w:r>
        <w:rPr>
          <w:rFonts w:hint="eastAsia"/>
          <w:snapToGrid/>
        </w:rPr>
        <w:t>5</w:t>
      </w:r>
      <w:r>
        <w:rPr>
          <w:rFonts w:hint="eastAsia"/>
          <w:snapToGrid/>
        </w:rPr>
        <w:t>条规定了缴款期限：</w:t>
      </w:r>
    </w:p>
    <w:p w:rsidR="00000000" w:rsidRDefault="00000000">
      <w:pPr>
        <w:numPr>
          <w:ilvl w:val="0"/>
          <w:numId w:val="431"/>
        </w:numPr>
        <w:rPr>
          <w:snapToGrid/>
        </w:rPr>
      </w:pPr>
      <w:r>
        <w:rPr>
          <w:rFonts w:hint="eastAsia"/>
          <w:snapToGrid/>
        </w:rPr>
        <w:t>在公共保险制度中，缴款期限为所有付款日的总和，包括向残疾养恤金、暂时残疾赔偿金、壬辰补偿金和监禁或失业赔偿金的受益者支付拨款的日子；</w:t>
      </w:r>
    </w:p>
    <w:p w:rsidR="00000000" w:rsidRDefault="00000000">
      <w:pPr>
        <w:numPr>
          <w:ilvl w:val="0"/>
          <w:numId w:val="431"/>
        </w:numPr>
        <w:rPr>
          <w:rFonts w:hint="eastAsia"/>
          <w:snapToGrid/>
        </w:rPr>
      </w:pPr>
      <w:r>
        <w:rPr>
          <w:rFonts w:hint="eastAsia"/>
          <w:snapToGrid/>
        </w:rPr>
        <w:t>无支付的保险期为：</w:t>
      </w:r>
    </w:p>
    <w:p w:rsidR="00000000" w:rsidRDefault="00000000">
      <w:pPr>
        <w:pStyle w:val="ac"/>
        <w:numPr>
          <w:ilvl w:val="1"/>
          <w:numId w:val="431"/>
        </w:numPr>
        <w:ind w:left="2041"/>
        <w:rPr>
          <w:snapToGrid/>
        </w:rPr>
      </w:pPr>
      <w:r>
        <w:rPr>
          <w:rFonts w:hint="eastAsia"/>
          <w:snapToGrid/>
        </w:rPr>
        <w:t>在国防部、内政部、信息与安全处和民事保护及特殊情况局中服义务兵役的时期；</w:t>
      </w:r>
    </w:p>
    <w:p w:rsidR="00000000" w:rsidRDefault="00000000">
      <w:pPr>
        <w:pStyle w:val="ac"/>
        <w:numPr>
          <w:ilvl w:val="1"/>
          <w:numId w:val="431"/>
        </w:numPr>
        <w:ind w:left="2041"/>
        <w:rPr>
          <w:snapToGrid/>
        </w:rPr>
      </w:pPr>
      <w:r>
        <w:rPr>
          <w:rFonts w:hint="eastAsia"/>
          <w:snapToGrid/>
        </w:rPr>
        <w:t>在孩子年满</w:t>
      </w:r>
      <w:r>
        <w:rPr>
          <w:rFonts w:hint="eastAsia"/>
          <w:snapToGrid/>
        </w:rPr>
        <w:t>2</w:t>
      </w:r>
      <w:r>
        <w:rPr>
          <w:rFonts w:hint="eastAsia"/>
          <w:snapToGrid/>
        </w:rPr>
        <w:t>岁以前，由父母中一方，或在父母双亡情况下由一名监护人进行照料的时期；</w:t>
      </w:r>
    </w:p>
    <w:p w:rsidR="00000000" w:rsidRDefault="00000000">
      <w:pPr>
        <w:pStyle w:val="ac"/>
        <w:numPr>
          <w:ilvl w:val="1"/>
          <w:numId w:val="431"/>
        </w:numPr>
        <w:ind w:left="2041"/>
        <w:rPr>
          <w:rFonts w:hint="eastAsia"/>
          <w:snapToGrid/>
        </w:rPr>
      </w:pPr>
      <w:r>
        <w:rPr>
          <w:rFonts w:hint="eastAsia"/>
          <w:snapToGrid/>
        </w:rPr>
        <w:t>在养老金的情况中，缴款期限包括达到领取养老金年龄以前的累积残疾期。</w:t>
      </w:r>
    </w:p>
    <w:p w:rsidR="00000000" w:rsidRDefault="00000000">
      <w:pPr>
        <w:rPr>
          <w:snapToGrid/>
        </w:rPr>
      </w:pPr>
      <w:r>
        <w:rPr>
          <w:snapToGrid/>
        </w:rPr>
        <w:tab/>
      </w:r>
      <w:r>
        <w:rPr>
          <w:rFonts w:hint="eastAsia"/>
          <w:snapToGrid/>
        </w:rPr>
        <w:t>242.</w:t>
      </w:r>
      <w:r>
        <w:rPr>
          <w:snapToGrid/>
        </w:rPr>
        <w:t xml:space="preserve">  </w:t>
      </w:r>
      <w:r>
        <w:rPr>
          <w:rFonts w:hint="eastAsia"/>
          <w:snapToGrid/>
        </w:rPr>
        <w:t>第</w:t>
      </w:r>
      <w:r>
        <w:rPr>
          <w:rFonts w:hint="eastAsia"/>
          <w:snapToGrid/>
        </w:rPr>
        <w:t>6</w:t>
      </w:r>
      <w:r>
        <w:rPr>
          <w:rFonts w:hint="eastAsia"/>
          <w:snapToGrid/>
        </w:rPr>
        <w:t>条规定了缴款期限的计算方式：</w:t>
      </w:r>
    </w:p>
    <w:p w:rsidR="00000000" w:rsidRDefault="00000000">
      <w:pPr>
        <w:numPr>
          <w:ilvl w:val="2"/>
          <w:numId w:val="431"/>
        </w:numPr>
        <w:ind w:left="1531"/>
        <w:rPr>
          <w:snapToGrid/>
        </w:rPr>
      </w:pPr>
      <w:r>
        <w:rPr>
          <w:rFonts w:hint="eastAsia"/>
          <w:snapToGrid/>
        </w:rPr>
        <w:t>缴款期限以年表示，计算方法是将缴款的月份加起来后除以</w:t>
      </w:r>
      <w:r>
        <w:rPr>
          <w:rFonts w:hint="eastAsia"/>
          <w:snapToGrid/>
        </w:rPr>
        <w:t>12</w:t>
      </w:r>
      <w:r>
        <w:rPr>
          <w:rFonts w:hint="eastAsia"/>
          <w:snapToGrid/>
        </w:rPr>
        <w:t>；</w:t>
      </w:r>
    </w:p>
    <w:p w:rsidR="00000000" w:rsidRDefault="00000000">
      <w:pPr>
        <w:numPr>
          <w:ilvl w:val="2"/>
          <w:numId w:val="431"/>
        </w:numPr>
        <w:ind w:left="1531"/>
        <w:rPr>
          <w:snapToGrid/>
        </w:rPr>
      </w:pPr>
      <w:r>
        <w:rPr>
          <w:rFonts w:hint="eastAsia"/>
          <w:snapToGrid/>
        </w:rPr>
        <w:t>缴款期限不包括未支付缴款的月份或所支付缴款的年度总额低于《公共社会保险制度法》规定的标准的月份；</w:t>
      </w:r>
    </w:p>
    <w:p w:rsidR="00000000" w:rsidRDefault="00000000">
      <w:pPr>
        <w:numPr>
          <w:ilvl w:val="2"/>
          <w:numId w:val="431"/>
        </w:numPr>
        <w:ind w:left="1531"/>
        <w:rPr>
          <w:rFonts w:hint="eastAsia"/>
          <w:snapToGrid/>
        </w:rPr>
      </w:pPr>
      <w:r>
        <w:rPr>
          <w:rFonts w:hint="eastAsia"/>
          <w:snapToGrid/>
        </w:rPr>
        <w:t>《公共社会保险制度法》规定了不同类别的纳税人支付税款的标准。</w:t>
      </w:r>
    </w:p>
    <w:p w:rsidR="00000000" w:rsidRDefault="00000000">
      <w:pPr>
        <w:rPr>
          <w:snapToGrid/>
        </w:rPr>
      </w:pPr>
      <w:r>
        <w:rPr>
          <w:snapToGrid/>
        </w:rPr>
        <w:tab/>
      </w:r>
      <w:r>
        <w:rPr>
          <w:rFonts w:hint="eastAsia"/>
          <w:snapToGrid/>
        </w:rPr>
        <w:t>243.</w:t>
      </w:r>
      <w:r>
        <w:rPr>
          <w:snapToGrid/>
        </w:rPr>
        <w:t xml:space="preserve">  </w:t>
      </w:r>
      <w:r>
        <w:rPr>
          <w:rFonts w:hint="eastAsia"/>
          <w:snapToGrid/>
        </w:rPr>
        <w:t>缴款期限根据来自个人编号的数据确定，并根据《公共社会保险制度法》得到实施</w:t>
      </w:r>
      <w:r>
        <w:rPr>
          <w:rFonts w:hint="eastAsia"/>
          <w:snapToGrid/>
        </w:rPr>
        <w:t>(</w:t>
      </w:r>
      <w:r>
        <w:rPr>
          <w:rFonts w:hint="eastAsia"/>
          <w:snapToGrid/>
        </w:rPr>
        <w:t>第</w:t>
      </w:r>
      <w:r>
        <w:rPr>
          <w:rFonts w:hint="eastAsia"/>
          <w:snapToGrid/>
        </w:rPr>
        <w:t>7</w:t>
      </w:r>
      <w:r>
        <w:rPr>
          <w:rFonts w:hint="eastAsia"/>
          <w:snapToGrid/>
        </w:rPr>
        <w:t>条</w:t>
      </w:r>
      <w:r>
        <w:rPr>
          <w:rFonts w:hint="eastAsia"/>
          <w:snapToGrid/>
        </w:rPr>
        <w:t>)</w:t>
      </w:r>
      <w:r>
        <w:rPr>
          <w:rFonts w:hint="eastAsia"/>
          <w:snapToGrid/>
        </w:rPr>
        <w:t>。养恤金按照第</w:t>
      </w:r>
      <w:r>
        <w:rPr>
          <w:rFonts w:hint="eastAsia"/>
          <w:snapToGrid/>
        </w:rPr>
        <w:t>8</w:t>
      </w:r>
      <w:r>
        <w:rPr>
          <w:rFonts w:hint="eastAsia"/>
          <w:snapToGrid/>
        </w:rPr>
        <w:t>条中载明的方法来计算：</w:t>
      </w:r>
    </w:p>
    <w:p w:rsidR="00000000" w:rsidRDefault="00000000">
      <w:pPr>
        <w:numPr>
          <w:ilvl w:val="0"/>
          <w:numId w:val="432"/>
        </w:numPr>
        <w:rPr>
          <w:snapToGrid/>
        </w:rPr>
      </w:pPr>
      <w:r>
        <w:rPr>
          <w:rFonts w:hint="eastAsia"/>
          <w:snapToGrid/>
        </w:rPr>
        <w:t>计算时须考虑整个就业时期的月平均收入；</w:t>
      </w:r>
    </w:p>
    <w:p w:rsidR="00000000" w:rsidRDefault="00000000">
      <w:pPr>
        <w:numPr>
          <w:ilvl w:val="0"/>
          <w:numId w:val="432"/>
        </w:numPr>
        <w:rPr>
          <w:rFonts w:hint="eastAsia"/>
          <w:snapToGrid/>
        </w:rPr>
      </w:pPr>
      <w:r>
        <w:rPr>
          <w:rFonts w:hint="eastAsia"/>
          <w:snapToGrid/>
        </w:rPr>
        <w:t>月平均收入依据缴款期内所支付税款的总额、缴款的比例和月份的总数来决定。计算月平均收入的公式如下：</w:t>
      </w:r>
    </w:p>
    <w:p w:rsidR="00000000" w:rsidRDefault="00000000">
      <w:pPr>
        <w:ind w:left="2080"/>
        <w:rPr>
          <w:rFonts w:hint="eastAsia"/>
          <w:snapToGrid/>
        </w:rPr>
      </w:pPr>
      <w:r>
        <w:rPr>
          <w:rFonts w:hint="eastAsia"/>
          <w:snapToGrid/>
        </w:rPr>
        <w:t>n CONi</w:t>
      </w:r>
    </w:p>
    <w:p w:rsidR="00000000" w:rsidRDefault="00000000">
      <w:pPr>
        <w:ind w:left="2080"/>
        <w:rPr>
          <w:rFonts w:hint="eastAsia"/>
          <w:snapToGrid/>
        </w:rPr>
      </w:pPr>
      <w:r>
        <w:rPr>
          <w:rFonts w:hint="eastAsia"/>
          <w:snapToGrid/>
        </w:rPr>
        <w:t xml:space="preserve">sum--------- </w:t>
      </w:r>
    </w:p>
    <w:p w:rsidR="00000000" w:rsidRDefault="00000000">
      <w:pPr>
        <w:ind w:left="2080"/>
        <w:rPr>
          <w:rFonts w:hint="eastAsia"/>
          <w:snapToGrid/>
        </w:rPr>
      </w:pPr>
      <w:r>
        <w:rPr>
          <w:rFonts w:hint="eastAsia"/>
          <w:snapToGrid/>
        </w:rPr>
        <w:tab/>
        <w:t>i=l Ci</w:t>
      </w:r>
    </w:p>
    <w:p w:rsidR="00000000" w:rsidRDefault="00000000">
      <w:pPr>
        <w:ind w:left="2080"/>
        <w:rPr>
          <w:rFonts w:hint="eastAsia"/>
          <w:snapToGrid/>
        </w:rPr>
      </w:pPr>
      <w:r>
        <w:rPr>
          <w:rFonts w:hint="eastAsia"/>
          <w:snapToGrid/>
        </w:rPr>
        <w:t>Sa=---------</w:t>
      </w:r>
    </w:p>
    <w:p w:rsidR="00000000" w:rsidRDefault="00000000">
      <w:pPr>
        <w:ind w:left="2080"/>
        <w:rPr>
          <w:rFonts w:hint="eastAsia"/>
          <w:snapToGrid/>
        </w:rPr>
      </w:pPr>
      <w:r>
        <w:rPr>
          <w:rFonts w:hint="eastAsia"/>
          <w:snapToGrid/>
        </w:rPr>
        <w:tab/>
      </w:r>
      <w:r>
        <w:rPr>
          <w:rFonts w:hint="eastAsia"/>
          <w:snapToGrid/>
        </w:rPr>
        <w:tab/>
        <w:t>n</w:t>
      </w:r>
    </w:p>
    <w:p w:rsidR="00000000" w:rsidRDefault="00000000">
      <w:pPr>
        <w:ind w:left="1040"/>
        <w:rPr>
          <w:rFonts w:hint="eastAsia"/>
          <w:snapToGrid/>
        </w:rPr>
      </w:pPr>
      <w:r>
        <w:rPr>
          <w:rFonts w:hint="eastAsia"/>
          <w:snapToGrid/>
        </w:rPr>
        <w:t>其中：</w:t>
      </w:r>
    </w:p>
    <w:p w:rsidR="00000000" w:rsidRDefault="00000000">
      <w:pPr>
        <w:ind w:left="1560"/>
        <w:rPr>
          <w:rFonts w:hint="eastAsia"/>
          <w:snapToGrid/>
        </w:rPr>
      </w:pPr>
      <w:r>
        <w:rPr>
          <w:rFonts w:hint="eastAsia"/>
          <w:snapToGrid/>
        </w:rPr>
        <w:t>Sa=</w:t>
      </w:r>
      <w:r>
        <w:rPr>
          <w:rFonts w:hint="eastAsia"/>
          <w:snapToGrid/>
        </w:rPr>
        <w:t>获得的月平均收入；</w:t>
      </w:r>
    </w:p>
    <w:p w:rsidR="00000000" w:rsidRDefault="00000000">
      <w:pPr>
        <w:ind w:left="1560"/>
        <w:rPr>
          <w:rFonts w:hint="eastAsia"/>
          <w:snapToGrid/>
        </w:rPr>
      </w:pPr>
      <w:r>
        <w:rPr>
          <w:rFonts w:hint="eastAsia"/>
          <w:snapToGrid/>
        </w:rPr>
        <w:t>CONi=</w:t>
      </w:r>
      <w:r>
        <w:rPr>
          <w:rFonts w:hint="eastAsia"/>
          <w:snapToGrid/>
        </w:rPr>
        <w:t>在</w:t>
      </w:r>
      <w:r>
        <w:rPr>
          <w:rFonts w:hint="eastAsia"/>
          <w:snapToGrid/>
        </w:rPr>
        <w:t>i</w:t>
      </w:r>
      <w:r>
        <w:rPr>
          <w:rFonts w:hint="eastAsia"/>
          <w:snapToGrid/>
        </w:rPr>
        <w:t>缴款期内的缴款总额；</w:t>
      </w:r>
    </w:p>
    <w:p w:rsidR="00000000" w:rsidRDefault="00000000">
      <w:pPr>
        <w:ind w:left="1560"/>
        <w:rPr>
          <w:rFonts w:hint="eastAsia"/>
          <w:snapToGrid/>
        </w:rPr>
      </w:pPr>
      <w:r>
        <w:rPr>
          <w:rFonts w:hint="eastAsia"/>
          <w:snapToGrid/>
        </w:rPr>
        <w:t>Ci=i</w:t>
      </w:r>
      <w:r>
        <w:rPr>
          <w:rFonts w:hint="eastAsia"/>
          <w:snapToGrid/>
        </w:rPr>
        <w:t>缴款期中确定的缴款比例</w:t>
      </w:r>
    </w:p>
    <w:p w:rsidR="00000000" w:rsidRDefault="00000000">
      <w:pPr>
        <w:ind w:left="1560"/>
        <w:rPr>
          <w:rFonts w:hint="eastAsia"/>
          <w:snapToGrid/>
        </w:rPr>
      </w:pPr>
      <w:r>
        <w:rPr>
          <w:rFonts w:hint="eastAsia"/>
          <w:snapToGrid/>
        </w:rPr>
        <w:t>n =</w:t>
      </w:r>
      <w:r>
        <w:rPr>
          <w:rFonts w:hint="eastAsia"/>
          <w:snapToGrid/>
        </w:rPr>
        <w:t>缴款的月份总数。</w:t>
      </w:r>
    </w:p>
    <w:p w:rsidR="00000000" w:rsidRDefault="00000000">
      <w:pPr>
        <w:ind w:left="1575" w:hanging="525"/>
        <w:rPr>
          <w:rFonts w:hint="eastAsia"/>
          <w:snapToGrid/>
        </w:rPr>
      </w:pPr>
      <w:r>
        <w:rPr>
          <w:snapToGrid/>
        </w:rPr>
        <w:t>(c)</w:t>
      </w:r>
      <w:r>
        <w:rPr>
          <w:snapToGrid/>
        </w:rPr>
        <w:tab/>
      </w:r>
      <w:r>
        <w:rPr>
          <w:rFonts w:hint="eastAsia"/>
          <w:snapToGrid/>
        </w:rPr>
        <w:t>对于第</w:t>
      </w:r>
      <w:r>
        <w:rPr>
          <w:rFonts w:hint="eastAsia"/>
          <w:snapToGrid/>
        </w:rPr>
        <w:t>5</w:t>
      </w:r>
      <w:r>
        <w:rPr>
          <w:rFonts w:hint="eastAsia"/>
          <w:snapToGrid/>
        </w:rPr>
        <w:t>条第</w:t>
      </w:r>
      <w:r>
        <w:rPr>
          <w:rFonts w:hint="eastAsia"/>
          <w:snapToGrid/>
        </w:rPr>
        <w:t>2</w:t>
      </w:r>
      <w:r>
        <w:rPr>
          <w:rFonts w:hint="eastAsia"/>
          <w:snapToGrid/>
        </w:rPr>
        <w:t>款中明确规定的时期，计算养恤金时考虑的是计算那天的工资额；</w:t>
      </w:r>
    </w:p>
    <w:p w:rsidR="00000000" w:rsidRDefault="00000000">
      <w:pPr>
        <w:ind w:left="1040"/>
        <w:rPr>
          <w:rFonts w:hint="eastAsia"/>
          <w:snapToGrid/>
        </w:rPr>
      </w:pPr>
      <w:r>
        <w:rPr>
          <w:snapToGrid/>
        </w:rPr>
        <w:t>(d)</w:t>
      </w:r>
      <w:r>
        <w:rPr>
          <w:snapToGrid/>
        </w:rPr>
        <w:tab/>
      </w:r>
      <w:r>
        <w:rPr>
          <w:rFonts w:hint="eastAsia"/>
          <w:snapToGrid/>
        </w:rPr>
        <w:t>缴款方式和缴款的比例由议会决定。</w:t>
      </w:r>
    </w:p>
    <w:p w:rsidR="00000000" w:rsidRDefault="00000000">
      <w:pPr>
        <w:rPr>
          <w:snapToGrid/>
        </w:rPr>
      </w:pPr>
      <w:r>
        <w:rPr>
          <w:snapToGrid/>
        </w:rPr>
        <w:tab/>
      </w:r>
      <w:r>
        <w:rPr>
          <w:rFonts w:hint="eastAsia"/>
          <w:snapToGrid/>
        </w:rPr>
        <w:t>244.</w:t>
      </w:r>
      <w:r>
        <w:rPr>
          <w:snapToGrid/>
        </w:rPr>
        <w:t xml:space="preserve">  </w:t>
      </w:r>
      <w:r>
        <w:rPr>
          <w:rFonts w:hint="eastAsia"/>
          <w:snapToGrid/>
        </w:rPr>
        <w:t>题为“养恤金”的第二章规定了养恤金的类别、享受养恤金的权利、选择的权利、最低养恤金、按年缴付的养恤金款额、享受养老金的权利、确定养老金的条件、残疾养恤金、残疾类别、确定残疾养恤金的条件、残疾养恤金的缴款期限、残疾养恤金的计算方法、遗属养恤金、享受遗属养恤金的权利、有权享受遗属养恤金的人的类别、遗属养恤金的计算方法和遗属养恤金的支付方式。在公共保险制度中，养恤金拨给下类人：</w:t>
      </w:r>
    </w:p>
    <w:p w:rsidR="00000000" w:rsidRDefault="00000000">
      <w:pPr>
        <w:numPr>
          <w:ilvl w:val="0"/>
          <w:numId w:val="434"/>
        </w:numPr>
        <w:rPr>
          <w:snapToGrid/>
        </w:rPr>
      </w:pPr>
      <w:r>
        <w:rPr>
          <w:rFonts w:hint="eastAsia"/>
          <w:snapToGrid/>
        </w:rPr>
        <w:t>退休人员；</w:t>
      </w:r>
    </w:p>
    <w:p w:rsidR="00000000" w:rsidRDefault="00000000">
      <w:pPr>
        <w:numPr>
          <w:ilvl w:val="0"/>
          <w:numId w:val="434"/>
        </w:numPr>
        <w:rPr>
          <w:snapToGrid/>
        </w:rPr>
      </w:pPr>
      <w:r>
        <w:rPr>
          <w:rFonts w:hint="eastAsia"/>
          <w:snapToGrid/>
        </w:rPr>
        <w:t>残疾人；</w:t>
      </w:r>
    </w:p>
    <w:p w:rsidR="00000000" w:rsidRDefault="00000000">
      <w:pPr>
        <w:numPr>
          <w:ilvl w:val="0"/>
          <w:numId w:val="434"/>
        </w:numPr>
        <w:rPr>
          <w:rFonts w:hint="eastAsia"/>
          <w:snapToGrid/>
        </w:rPr>
      </w:pPr>
      <w:r>
        <w:rPr>
          <w:rFonts w:hint="eastAsia"/>
          <w:snapToGrid/>
        </w:rPr>
        <w:t>遗属</w:t>
      </w:r>
      <w:r>
        <w:rPr>
          <w:rFonts w:hint="eastAsia"/>
          <w:snapToGrid/>
        </w:rPr>
        <w:t>(</w:t>
      </w:r>
      <w:r>
        <w:rPr>
          <w:rFonts w:hint="eastAsia"/>
          <w:snapToGrid/>
        </w:rPr>
        <w:t>第</w:t>
      </w:r>
      <w:r>
        <w:rPr>
          <w:rFonts w:hint="eastAsia"/>
          <w:snapToGrid/>
        </w:rPr>
        <w:t>9</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245.</w:t>
      </w:r>
      <w:r>
        <w:rPr>
          <w:snapToGrid/>
        </w:rPr>
        <w:t xml:space="preserve">  </w:t>
      </w:r>
      <w:r>
        <w:rPr>
          <w:rFonts w:hint="eastAsia"/>
          <w:snapToGrid/>
        </w:rPr>
        <w:t>每个人只能获得一种养恤金。如果某人有资格获得不止一种养恤金，则此人可以申请最优越的养恤金。自符合法律所规定的条件之日起便有权享受和申请一项养恤金。享受养恤金的权利不可被剥夺</w:t>
      </w:r>
      <w:r>
        <w:rPr>
          <w:rFonts w:hint="eastAsia"/>
          <w:snapToGrid/>
        </w:rPr>
        <w:t>(</w:t>
      </w:r>
      <w:r>
        <w:rPr>
          <w:rFonts w:hint="eastAsia"/>
          <w:snapToGrid/>
        </w:rPr>
        <w:t>第</w:t>
      </w:r>
      <w:r>
        <w:rPr>
          <w:rFonts w:hint="eastAsia"/>
          <w:snapToGrid/>
        </w:rPr>
        <w:t>10</w:t>
      </w:r>
      <w:r>
        <w:rPr>
          <w:rFonts w:hint="eastAsia"/>
          <w:snapToGrid/>
        </w:rPr>
        <w:t>条</w:t>
      </w:r>
      <w:r>
        <w:rPr>
          <w:rFonts w:hint="eastAsia"/>
          <w:snapToGrid/>
        </w:rPr>
        <w:t>)</w:t>
      </w:r>
      <w:r>
        <w:rPr>
          <w:rFonts w:hint="eastAsia"/>
          <w:snapToGrid/>
        </w:rPr>
        <w:t>。一名养恤金领取者可领取一种养恤金直到他提交申请和必须的材料要求获得另一种养恤金。在残疾养恤金领取人达到法定允许领取退休金的年龄后，其残疾养恤金便转换为退休金。如果退休金的标准低于残疾养恤金，则保留残疾养恤金</w:t>
      </w:r>
      <w:r>
        <w:rPr>
          <w:rFonts w:hint="eastAsia"/>
          <w:snapToGrid/>
        </w:rPr>
        <w:t>(</w:t>
      </w:r>
      <w:r>
        <w:rPr>
          <w:rFonts w:hint="eastAsia"/>
          <w:snapToGrid/>
        </w:rPr>
        <w:t>第</w:t>
      </w:r>
      <w:r>
        <w:rPr>
          <w:rFonts w:hint="eastAsia"/>
          <w:snapToGrid/>
        </w:rPr>
        <w:t>11</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246.</w:t>
      </w:r>
      <w:r>
        <w:rPr>
          <w:snapToGrid/>
        </w:rPr>
        <w:t xml:space="preserve">  </w:t>
      </w:r>
      <w:r>
        <w:rPr>
          <w:rFonts w:hint="eastAsia"/>
          <w:snapToGrid/>
        </w:rPr>
        <w:t>国家拨给其公民一份最低养恤金，这是一笔按月拨发的数额。拨发最低养恤金的条件是，所计算出的养恤金金额低于最低养恤金标准。退休金的最低金额为国家平均工资的</w:t>
      </w:r>
      <w:r>
        <w:rPr>
          <w:rFonts w:hint="eastAsia"/>
          <w:snapToGrid/>
        </w:rPr>
        <w:t>25%</w:t>
      </w:r>
      <w:r>
        <w:rPr>
          <w:rFonts w:hint="eastAsia"/>
          <w:snapToGrid/>
        </w:rPr>
        <w:t>。为农业劳动者提供的最低养恤金金额为最低退休金的</w:t>
      </w:r>
      <w:r>
        <w:rPr>
          <w:rFonts w:hint="eastAsia"/>
          <w:snapToGrid/>
        </w:rPr>
        <w:t>85%</w:t>
      </w:r>
      <w:r>
        <w:rPr>
          <w:rFonts w:hint="eastAsia"/>
          <w:snapToGrid/>
        </w:rPr>
        <w:t>。残疾养恤金和遗属养恤金的最低金额以最低退休金金额的百分比计算。公共保险制度中的各种养恤金每年支付；如果与以前支付数额相比，通货膨胀率增加了至少</w:t>
      </w:r>
      <w:r>
        <w:rPr>
          <w:rFonts w:hint="eastAsia"/>
          <w:snapToGrid/>
        </w:rPr>
        <w:t>5%</w:t>
      </w:r>
      <w:r>
        <w:rPr>
          <w:rFonts w:hint="eastAsia"/>
          <w:snapToGrid/>
        </w:rPr>
        <w:t>，则须作出调整</w:t>
      </w:r>
      <w:r>
        <w:rPr>
          <w:rFonts w:hint="eastAsia"/>
          <w:snapToGrid/>
        </w:rPr>
        <w:t xml:space="preserve"> (</w:t>
      </w:r>
      <w:r>
        <w:rPr>
          <w:rFonts w:hint="eastAsia"/>
          <w:snapToGrid/>
        </w:rPr>
        <w:t>第</w:t>
      </w:r>
      <w:r>
        <w:rPr>
          <w:rFonts w:hint="eastAsia"/>
          <w:snapToGrid/>
        </w:rPr>
        <w:t>13</w:t>
      </w:r>
      <w:r>
        <w:rPr>
          <w:rFonts w:hint="eastAsia"/>
          <w:snapToGrid/>
        </w:rPr>
        <w:t>条</w:t>
      </w:r>
      <w:r>
        <w:rPr>
          <w:rFonts w:hint="eastAsia"/>
          <w:snapToGrid/>
        </w:rPr>
        <w:t>)</w:t>
      </w:r>
      <w:r>
        <w:rPr>
          <w:rFonts w:hint="eastAsia"/>
          <w:snapToGrid/>
        </w:rPr>
        <w:t>。</w:t>
      </w:r>
    </w:p>
    <w:p w:rsidR="00000000" w:rsidRDefault="00000000">
      <w:pPr>
        <w:rPr>
          <w:snapToGrid/>
        </w:rPr>
      </w:pPr>
      <w:r>
        <w:rPr>
          <w:snapToGrid/>
        </w:rPr>
        <w:tab/>
      </w:r>
      <w:r>
        <w:rPr>
          <w:rFonts w:hint="eastAsia"/>
          <w:snapToGrid/>
        </w:rPr>
        <w:t>247.</w:t>
      </w:r>
      <w:r>
        <w:rPr>
          <w:snapToGrid/>
        </w:rPr>
        <w:t xml:space="preserve">  </w:t>
      </w:r>
      <w:r>
        <w:rPr>
          <w:rFonts w:hint="eastAsia"/>
          <w:snapToGrid/>
        </w:rPr>
        <w:t>若要享有第</w:t>
      </w:r>
      <w:r>
        <w:rPr>
          <w:rFonts w:hint="eastAsia"/>
          <w:snapToGrid/>
        </w:rPr>
        <w:t>14</w:t>
      </w:r>
      <w:r>
        <w:rPr>
          <w:rFonts w:hint="eastAsia"/>
          <w:snapToGrid/>
        </w:rPr>
        <w:t>条规定的退休金权利，必须满足第</w:t>
      </w:r>
      <w:r>
        <w:rPr>
          <w:rFonts w:hint="eastAsia"/>
          <w:snapToGrid/>
        </w:rPr>
        <w:t>41</w:t>
      </w:r>
      <w:r>
        <w:rPr>
          <w:rFonts w:hint="eastAsia"/>
          <w:snapToGrid/>
        </w:rPr>
        <w:t>和第</w:t>
      </w:r>
      <w:r>
        <w:rPr>
          <w:rFonts w:hint="eastAsia"/>
          <w:snapToGrid/>
        </w:rPr>
        <w:t>42</w:t>
      </w:r>
      <w:r>
        <w:rPr>
          <w:rFonts w:hint="eastAsia"/>
          <w:snapToGrid/>
        </w:rPr>
        <w:t>条中规定的条件：</w:t>
      </w:r>
    </w:p>
    <w:p w:rsidR="00000000" w:rsidRDefault="00000000">
      <w:pPr>
        <w:numPr>
          <w:ilvl w:val="0"/>
          <w:numId w:val="435"/>
        </w:numPr>
        <w:spacing w:after="320"/>
        <w:rPr>
          <w:rFonts w:hint="eastAsia"/>
          <w:snapToGrid/>
        </w:rPr>
      </w:pPr>
      <w:r>
        <w:rPr>
          <w:rFonts w:hint="eastAsia"/>
          <w:snapToGrid/>
        </w:rPr>
        <w:t>自</w:t>
      </w:r>
      <w:r>
        <w:rPr>
          <w:rFonts w:hint="eastAsia"/>
          <w:snapToGrid/>
        </w:rPr>
        <w:t>1999</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日起，退休年龄男性为</w:t>
      </w:r>
      <w:r>
        <w:rPr>
          <w:rFonts w:hint="eastAsia"/>
          <w:snapToGrid/>
        </w:rPr>
        <w:t>60</w:t>
      </w:r>
      <w:r>
        <w:rPr>
          <w:rFonts w:hint="eastAsia"/>
          <w:snapToGrid/>
        </w:rPr>
        <w:t>岁零</w:t>
      </w:r>
      <w:r>
        <w:rPr>
          <w:rFonts w:hint="eastAsia"/>
          <w:snapToGrid/>
        </w:rPr>
        <w:t>6</w:t>
      </w:r>
      <w:r>
        <w:rPr>
          <w:rFonts w:hint="eastAsia"/>
          <w:snapToGrid/>
        </w:rPr>
        <w:t>个月，女性为</w:t>
      </w:r>
      <w:r>
        <w:rPr>
          <w:rFonts w:hint="eastAsia"/>
          <w:snapToGrid/>
        </w:rPr>
        <w:t>55</w:t>
      </w:r>
      <w:r>
        <w:rPr>
          <w:rFonts w:hint="eastAsia"/>
          <w:snapToGrid/>
        </w:rPr>
        <w:t>岁零</w:t>
      </w:r>
      <w:r>
        <w:rPr>
          <w:rFonts w:hint="eastAsia"/>
          <w:snapToGrid/>
        </w:rPr>
        <w:t>6</w:t>
      </w:r>
      <w:r>
        <w:rPr>
          <w:rFonts w:hint="eastAsia"/>
          <w:snapToGrid/>
        </w:rPr>
        <w:t>个月。此后退休年龄每年增加</w:t>
      </w:r>
      <w:r>
        <w:rPr>
          <w:rFonts w:hint="eastAsia"/>
          <w:snapToGrid/>
        </w:rPr>
        <w:t>6</w:t>
      </w:r>
      <w:r>
        <w:rPr>
          <w:rFonts w:hint="eastAsia"/>
          <w:snapToGrid/>
        </w:rPr>
        <w:t>个月。自</w:t>
      </w:r>
      <w:r>
        <w:rPr>
          <w:rFonts w:hint="eastAsia"/>
          <w:snapToGrid/>
        </w:rPr>
        <w:t>2008</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日起，退休年龄将为男性</w:t>
      </w:r>
      <w:r>
        <w:rPr>
          <w:rFonts w:hint="eastAsia"/>
          <w:snapToGrid/>
        </w:rPr>
        <w:t>65</w:t>
      </w:r>
      <w:r>
        <w:rPr>
          <w:rFonts w:hint="eastAsia"/>
          <w:snapToGrid/>
        </w:rPr>
        <w:t>岁，女性</w:t>
      </w:r>
      <w:r>
        <w:rPr>
          <w:rFonts w:hint="eastAsia"/>
          <w:snapToGrid/>
        </w:rPr>
        <w:t>60</w:t>
      </w:r>
      <w:r>
        <w:rPr>
          <w:rFonts w:hint="eastAsia"/>
          <w:snapToGrid/>
        </w:rPr>
        <w:t>岁</w:t>
      </w:r>
      <w:r>
        <w:rPr>
          <w:rFonts w:hint="eastAsia"/>
          <w:snapToGrid/>
        </w:rPr>
        <w:t>(</w:t>
      </w:r>
      <w:r>
        <w:rPr>
          <w:rFonts w:hint="eastAsia"/>
          <w:snapToGrid/>
        </w:rPr>
        <w:t>见下表</w:t>
      </w:r>
      <w:r>
        <w:rPr>
          <w:rFonts w:hint="eastAsia"/>
          <w:snapToGrid/>
        </w:rPr>
        <w:t>)</w:t>
      </w:r>
      <w:r>
        <w:rPr>
          <w:rFonts w:hint="eastAsia"/>
          <w:snapToGrid/>
        </w:rPr>
        <w:t>：</w:t>
      </w:r>
    </w:p>
    <w:p w:rsidR="00000000" w:rsidRDefault="00000000">
      <w:pPr>
        <w:pStyle w:val="Heading3"/>
        <w:rPr>
          <w:kern w:val="0"/>
        </w:rPr>
      </w:pPr>
      <w:r>
        <w:rPr>
          <w:kern w:val="0"/>
          <w:u w:val="none"/>
        </w:rPr>
        <w:br w:type="page"/>
      </w:r>
      <w:r>
        <w:rPr>
          <w:rFonts w:hint="eastAsia"/>
          <w:kern w:val="0"/>
          <w:u w:val="none"/>
        </w:rPr>
        <w:t>表</w:t>
      </w:r>
      <w:r>
        <w:rPr>
          <w:kern w:val="0"/>
          <w:u w:val="none"/>
        </w:rPr>
        <w:t xml:space="preserve">18.  </w:t>
      </w:r>
      <w:r>
        <w:rPr>
          <w:rFonts w:hint="eastAsia"/>
          <w:kern w:val="0"/>
        </w:rPr>
        <w:t>退休年龄</w:t>
      </w:r>
      <w:r>
        <w:rPr>
          <w:kern w:val="0"/>
        </w:rPr>
        <w:t>，</w:t>
      </w:r>
      <w:r>
        <w:rPr>
          <w:kern w:val="0"/>
        </w:rPr>
        <w:t>1999-2008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3082" w:type="dxa"/>
            <w:vMerge w:val="restart"/>
          </w:tcPr>
          <w:p w:rsidR="00000000" w:rsidRDefault="00000000">
            <w:pPr>
              <w:pStyle w:val="a2"/>
              <w:spacing w:before="240" w:after="60" w:line="240" w:lineRule="auto"/>
              <w:jc w:val="center"/>
              <w:rPr>
                <w:rFonts w:hint="eastAsia"/>
                <w:snapToGrid/>
              </w:rPr>
            </w:pPr>
            <w:r>
              <w:rPr>
                <w:rFonts w:hint="eastAsia"/>
                <w:snapToGrid/>
              </w:rPr>
              <w:t>自</w:t>
            </w:r>
            <w:r>
              <w:rPr>
                <w:rFonts w:hint="eastAsia"/>
                <w:snapToGrid/>
              </w:rPr>
              <w:t>1</w:t>
            </w:r>
            <w:r>
              <w:rPr>
                <w:rFonts w:hint="eastAsia"/>
                <w:snapToGrid/>
              </w:rPr>
              <w:t>月起</w:t>
            </w:r>
          </w:p>
        </w:tc>
        <w:tc>
          <w:tcPr>
            <w:tcW w:w="6274" w:type="dxa"/>
            <w:gridSpan w:val="2"/>
          </w:tcPr>
          <w:p w:rsidR="00000000" w:rsidRDefault="00000000">
            <w:pPr>
              <w:pStyle w:val="a2"/>
              <w:spacing w:before="60" w:after="60" w:line="240" w:lineRule="auto"/>
              <w:jc w:val="center"/>
              <w:rPr>
                <w:rFonts w:hint="eastAsia"/>
                <w:snapToGrid/>
              </w:rPr>
            </w:pPr>
            <w:r>
              <w:rPr>
                <w:rFonts w:hint="eastAsia"/>
                <w:snapToGrid/>
              </w:rPr>
              <w:t>退休年龄</w:t>
            </w:r>
          </w:p>
        </w:tc>
      </w:tr>
      <w:tr w:rsidR="00000000">
        <w:tblPrEx>
          <w:tblCellMar>
            <w:top w:w="0" w:type="dxa"/>
            <w:bottom w:w="0" w:type="dxa"/>
          </w:tblCellMar>
        </w:tblPrEx>
        <w:trPr>
          <w:cantSplit/>
        </w:trPr>
        <w:tc>
          <w:tcPr>
            <w:tcW w:w="3082" w:type="dxa"/>
            <w:vMerge/>
          </w:tcPr>
          <w:p w:rsidR="00000000" w:rsidRDefault="00000000">
            <w:pPr>
              <w:pStyle w:val="a2"/>
              <w:spacing w:before="60" w:after="60" w:line="240" w:lineRule="auto"/>
              <w:jc w:val="center"/>
              <w:rPr>
                <w:snapToGrid/>
              </w:rPr>
            </w:pPr>
          </w:p>
        </w:tc>
        <w:tc>
          <w:tcPr>
            <w:tcW w:w="3190" w:type="dxa"/>
          </w:tcPr>
          <w:p w:rsidR="00000000" w:rsidRDefault="00000000">
            <w:pPr>
              <w:pStyle w:val="a2"/>
              <w:spacing w:before="60" w:after="60" w:line="240" w:lineRule="auto"/>
              <w:jc w:val="center"/>
              <w:rPr>
                <w:rFonts w:hint="eastAsia"/>
                <w:snapToGrid/>
              </w:rPr>
            </w:pPr>
            <w:r>
              <w:rPr>
                <w:rFonts w:hint="eastAsia"/>
                <w:snapToGrid/>
              </w:rPr>
              <w:t>男</w:t>
            </w:r>
          </w:p>
        </w:tc>
        <w:tc>
          <w:tcPr>
            <w:tcW w:w="3084" w:type="dxa"/>
          </w:tcPr>
          <w:p w:rsidR="00000000" w:rsidRDefault="00000000">
            <w:pPr>
              <w:pStyle w:val="a2"/>
              <w:spacing w:before="60" w:after="60" w:line="240" w:lineRule="auto"/>
              <w:jc w:val="center"/>
              <w:rPr>
                <w:rFonts w:hint="eastAsia"/>
                <w:snapToGrid/>
              </w:rPr>
            </w:pPr>
            <w:r>
              <w:rPr>
                <w:rFonts w:hint="eastAsia"/>
                <w:snapToGrid/>
              </w:rPr>
              <w:t>女</w:t>
            </w:r>
          </w:p>
        </w:tc>
      </w:tr>
      <w:tr w:rsidR="00000000">
        <w:tblPrEx>
          <w:tblCellMar>
            <w:top w:w="0" w:type="dxa"/>
            <w:bottom w:w="0" w:type="dxa"/>
          </w:tblCellMar>
        </w:tblPrEx>
        <w:tc>
          <w:tcPr>
            <w:tcW w:w="3082" w:type="dxa"/>
            <w:tcBorders>
              <w:bottom w:val="nil"/>
            </w:tcBorders>
          </w:tcPr>
          <w:p w:rsidR="00000000" w:rsidRDefault="00000000">
            <w:pPr>
              <w:pStyle w:val="a2"/>
              <w:spacing w:line="240" w:lineRule="auto"/>
              <w:jc w:val="center"/>
              <w:rPr>
                <w:snapToGrid/>
              </w:rPr>
            </w:pPr>
            <w:r>
              <w:rPr>
                <w:snapToGrid/>
              </w:rPr>
              <w:t>1999</w:t>
            </w:r>
          </w:p>
        </w:tc>
        <w:tc>
          <w:tcPr>
            <w:tcW w:w="3190" w:type="dxa"/>
            <w:tcBorders>
              <w:bottom w:val="nil"/>
            </w:tcBorders>
          </w:tcPr>
          <w:p w:rsidR="00000000" w:rsidRDefault="00000000">
            <w:pPr>
              <w:pStyle w:val="a2"/>
              <w:spacing w:line="240" w:lineRule="auto"/>
              <w:ind w:firstLine="275"/>
              <w:rPr>
                <w:rFonts w:hint="eastAsia"/>
                <w:snapToGrid/>
              </w:rPr>
            </w:pPr>
            <w:r>
              <w:rPr>
                <w:snapToGrid/>
              </w:rPr>
              <w:t xml:space="preserve">60 </w:t>
            </w:r>
            <w:r>
              <w:rPr>
                <w:rFonts w:hint="eastAsia"/>
                <w:snapToGrid/>
              </w:rPr>
              <w:t>岁零</w:t>
            </w:r>
            <w:r>
              <w:rPr>
                <w:snapToGrid/>
              </w:rPr>
              <w:t>6</w:t>
            </w:r>
            <w:r>
              <w:rPr>
                <w:rFonts w:hint="eastAsia"/>
                <w:snapToGrid/>
              </w:rPr>
              <w:t>个月</w:t>
            </w:r>
          </w:p>
        </w:tc>
        <w:tc>
          <w:tcPr>
            <w:tcW w:w="3084" w:type="dxa"/>
            <w:tcBorders>
              <w:bottom w:val="nil"/>
            </w:tcBorders>
          </w:tcPr>
          <w:p w:rsidR="00000000" w:rsidRDefault="00000000">
            <w:pPr>
              <w:pStyle w:val="a2"/>
              <w:spacing w:line="240" w:lineRule="auto"/>
              <w:ind w:firstLine="275"/>
              <w:rPr>
                <w:snapToGrid/>
              </w:rPr>
            </w:pPr>
            <w:r>
              <w:rPr>
                <w:snapToGrid/>
              </w:rPr>
              <w:t xml:space="preserve">55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spacing w:line="240" w:lineRule="auto"/>
              <w:jc w:val="center"/>
              <w:rPr>
                <w:snapToGrid/>
              </w:rPr>
            </w:pPr>
            <w:r>
              <w:rPr>
                <w:snapToGrid/>
              </w:rPr>
              <w:t>2000</w:t>
            </w:r>
          </w:p>
        </w:tc>
        <w:tc>
          <w:tcPr>
            <w:tcW w:w="3190" w:type="dxa"/>
            <w:tcBorders>
              <w:top w:val="nil"/>
              <w:bottom w:val="nil"/>
            </w:tcBorders>
          </w:tcPr>
          <w:p w:rsidR="00000000" w:rsidRDefault="00000000">
            <w:pPr>
              <w:pStyle w:val="a2"/>
              <w:spacing w:line="240" w:lineRule="auto"/>
              <w:ind w:firstLine="275"/>
              <w:rPr>
                <w:snapToGrid/>
              </w:rPr>
            </w:pPr>
            <w:r>
              <w:rPr>
                <w:snapToGrid/>
              </w:rPr>
              <w:t xml:space="preserve">61 </w:t>
            </w:r>
            <w:r>
              <w:rPr>
                <w:rFonts w:hint="eastAsia"/>
                <w:snapToGrid/>
              </w:rPr>
              <w:t>岁</w:t>
            </w:r>
          </w:p>
        </w:tc>
        <w:tc>
          <w:tcPr>
            <w:tcW w:w="3084" w:type="dxa"/>
            <w:tcBorders>
              <w:top w:val="nil"/>
              <w:bottom w:val="nil"/>
            </w:tcBorders>
          </w:tcPr>
          <w:p w:rsidR="00000000" w:rsidRDefault="00000000">
            <w:pPr>
              <w:pStyle w:val="a2"/>
              <w:spacing w:line="240" w:lineRule="auto"/>
              <w:ind w:firstLine="275"/>
              <w:rPr>
                <w:snapToGrid/>
              </w:rPr>
            </w:pPr>
            <w:r>
              <w:rPr>
                <w:snapToGrid/>
              </w:rPr>
              <w:t xml:space="preserve">56 </w:t>
            </w:r>
            <w:r>
              <w:rPr>
                <w:rFonts w:hint="eastAsia"/>
                <w:snapToGrid/>
              </w:rPr>
              <w:t>岁</w:t>
            </w:r>
          </w:p>
        </w:tc>
      </w:tr>
      <w:tr w:rsidR="00000000">
        <w:tblPrEx>
          <w:tblCellMar>
            <w:top w:w="0" w:type="dxa"/>
            <w:bottom w:w="0" w:type="dxa"/>
          </w:tblCellMar>
        </w:tblPrEx>
        <w:tc>
          <w:tcPr>
            <w:tcW w:w="3082" w:type="dxa"/>
            <w:tcBorders>
              <w:top w:val="nil"/>
              <w:bottom w:val="nil"/>
            </w:tcBorders>
          </w:tcPr>
          <w:p w:rsidR="00000000" w:rsidRDefault="00000000">
            <w:pPr>
              <w:pStyle w:val="a2"/>
              <w:spacing w:line="240" w:lineRule="auto"/>
              <w:jc w:val="center"/>
              <w:rPr>
                <w:snapToGrid/>
              </w:rPr>
            </w:pPr>
            <w:r>
              <w:rPr>
                <w:snapToGrid/>
              </w:rPr>
              <w:t>2001</w:t>
            </w:r>
          </w:p>
        </w:tc>
        <w:tc>
          <w:tcPr>
            <w:tcW w:w="3190" w:type="dxa"/>
            <w:tcBorders>
              <w:top w:val="nil"/>
              <w:bottom w:val="nil"/>
            </w:tcBorders>
          </w:tcPr>
          <w:p w:rsidR="00000000" w:rsidRDefault="00000000">
            <w:pPr>
              <w:pStyle w:val="a2"/>
              <w:spacing w:line="240" w:lineRule="auto"/>
              <w:ind w:firstLine="275"/>
              <w:rPr>
                <w:snapToGrid/>
              </w:rPr>
            </w:pPr>
            <w:r>
              <w:rPr>
                <w:snapToGrid/>
              </w:rPr>
              <w:t xml:space="preserve">61 </w:t>
            </w:r>
            <w:r>
              <w:rPr>
                <w:rFonts w:hint="eastAsia"/>
                <w:snapToGrid/>
              </w:rPr>
              <w:t>岁零</w:t>
            </w:r>
            <w:r>
              <w:rPr>
                <w:snapToGrid/>
              </w:rPr>
              <w:t>6</w:t>
            </w:r>
            <w:r>
              <w:rPr>
                <w:rFonts w:hint="eastAsia"/>
                <w:snapToGrid/>
              </w:rPr>
              <w:t>个</w:t>
            </w:r>
            <w:r>
              <w:rPr>
                <w:snapToGrid/>
              </w:rPr>
              <w:t>月</w:t>
            </w:r>
          </w:p>
        </w:tc>
        <w:tc>
          <w:tcPr>
            <w:tcW w:w="3084" w:type="dxa"/>
            <w:tcBorders>
              <w:top w:val="nil"/>
              <w:bottom w:val="nil"/>
            </w:tcBorders>
          </w:tcPr>
          <w:p w:rsidR="00000000" w:rsidRDefault="00000000">
            <w:pPr>
              <w:pStyle w:val="a2"/>
              <w:spacing w:line="240" w:lineRule="auto"/>
              <w:ind w:firstLine="275"/>
              <w:rPr>
                <w:snapToGrid/>
              </w:rPr>
            </w:pPr>
            <w:r>
              <w:rPr>
                <w:snapToGrid/>
              </w:rPr>
              <w:t xml:space="preserve">56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spacing w:line="240" w:lineRule="auto"/>
              <w:jc w:val="center"/>
              <w:rPr>
                <w:snapToGrid/>
              </w:rPr>
            </w:pPr>
            <w:r>
              <w:rPr>
                <w:snapToGrid/>
              </w:rPr>
              <w:t>2002</w:t>
            </w:r>
          </w:p>
        </w:tc>
        <w:tc>
          <w:tcPr>
            <w:tcW w:w="3190" w:type="dxa"/>
            <w:tcBorders>
              <w:top w:val="nil"/>
              <w:bottom w:val="nil"/>
            </w:tcBorders>
          </w:tcPr>
          <w:p w:rsidR="00000000" w:rsidRDefault="00000000">
            <w:pPr>
              <w:pStyle w:val="a2"/>
              <w:spacing w:line="240" w:lineRule="auto"/>
              <w:ind w:firstLine="275"/>
              <w:rPr>
                <w:snapToGrid/>
              </w:rPr>
            </w:pPr>
            <w:r>
              <w:rPr>
                <w:snapToGrid/>
              </w:rPr>
              <w:t xml:space="preserve">62 </w:t>
            </w:r>
            <w:r>
              <w:rPr>
                <w:rFonts w:hint="eastAsia"/>
                <w:snapToGrid/>
              </w:rPr>
              <w:t>岁</w:t>
            </w:r>
          </w:p>
        </w:tc>
        <w:tc>
          <w:tcPr>
            <w:tcW w:w="3084" w:type="dxa"/>
            <w:tcBorders>
              <w:top w:val="nil"/>
              <w:bottom w:val="nil"/>
            </w:tcBorders>
          </w:tcPr>
          <w:p w:rsidR="00000000" w:rsidRDefault="00000000">
            <w:pPr>
              <w:pStyle w:val="a2"/>
              <w:spacing w:line="240" w:lineRule="auto"/>
              <w:ind w:firstLine="275"/>
              <w:rPr>
                <w:snapToGrid/>
              </w:rPr>
            </w:pPr>
            <w:r>
              <w:rPr>
                <w:snapToGrid/>
              </w:rPr>
              <w:t xml:space="preserve">57 </w:t>
            </w:r>
            <w:r>
              <w:rPr>
                <w:rFonts w:hint="eastAsia"/>
                <w:snapToGrid/>
              </w:rPr>
              <w:t>岁</w:t>
            </w:r>
          </w:p>
        </w:tc>
      </w:tr>
      <w:tr w:rsidR="00000000">
        <w:tblPrEx>
          <w:tblCellMar>
            <w:top w:w="0" w:type="dxa"/>
            <w:bottom w:w="0" w:type="dxa"/>
          </w:tblCellMar>
        </w:tblPrEx>
        <w:tc>
          <w:tcPr>
            <w:tcW w:w="3082" w:type="dxa"/>
            <w:tcBorders>
              <w:top w:val="nil"/>
              <w:bottom w:val="nil"/>
            </w:tcBorders>
          </w:tcPr>
          <w:p w:rsidR="00000000" w:rsidRDefault="00000000">
            <w:pPr>
              <w:pStyle w:val="a2"/>
              <w:spacing w:line="240" w:lineRule="auto"/>
              <w:jc w:val="center"/>
              <w:rPr>
                <w:snapToGrid/>
              </w:rPr>
            </w:pPr>
            <w:r>
              <w:rPr>
                <w:snapToGrid/>
              </w:rPr>
              <w:t>2003</w:t>
            </w:r>
          </w:p>
        </w:tc>
        <w:tc>
          <w:tcPr>
            <w:tcW w:w="3190" w:type="dxa"/>
            <w:tcBorders>
              <w:top w:val="nil"/>
              <w:bottom w:val="nil"/>
            </w:tcBorders>
          </w:tcPr>
          <w:p w:rsidR="00000000" w:rsidRDefault="00000000">
            <w:pPr>
              <w:pStyle w:val="a2"/>
              <w:spacing w:line="240" w:lineRule="auto"/>
              <w:ind w:firstLine="275"/>
              <w:rPr>
                <w:snapToGrid/>
              </w:rPr>
            </w:pPr>
            <w:r>
              <w:rPr>
                <w:snapToGrid/>
              </w:rPr>
              <w:t xml:space="preserve">62 </w:t>
            </w:r>
            <w:r>
              <w:rPr>
                <w:rFonts w:hint="eastAsia"/>
                <w:snapToGrid/>
              </w:rPr>
              <w:t>岁零</w:t>
            </w:r>
            <w:r>
              <w:rPr>
                <w:snapToGrid/>
              </w:rPr>
              <w:t>6</w:t>
            </w:r>
            <w:r>
              <w:rPr>
                <w:rFonts w:hint="eastAsia"/>
                <w:snapToGrid/>
              </w:rPr>
              <w:t>个</w:t>
            </w:r>
            <w:r>
              <w:rPr>
                <w:snapToGrid/>
              </w:rPr>
              <w:t>月</w:t>
            </w:r>
          </w:p>
        </w:tc>
        <w:tc>
          <w:tcPr>
            <w:tcW w:w="3084" w:type="dxa"/>
            <w:tcBorders>
              <w:top w:val="nil"/>
              <w:bottom w:val="nil"/>
            </w:tcBorders>
          </w:tcPr>
          <w:p w:rsidR="00000000" w:rsidRDefault="00000000">
            <w:pPr>
              <w:pStyle w:val="a2"/>
              <w:spacing w:line="240" w:lineRule="auto"/>
              <w:ind w:firstLine="275"/>
              <w:rPr>
                <w:snapToGrid/>
              </w:rPr>
            </w:pPr>
            <w:r>
              <w:rPr>
                <w:snapToGrid/>
              </w:rPr>
              <w:t xml:space="preserve">57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spacing w:line="240" w:lineRule="auto"/>
              <w:jc w:val="center"/>
              <w:rPr>
                <w:snapToGrid/>
              </w:rPr>
            </w:pPr>
            <w:r>
              <w:rPr>
                <w:snapToGrid/>
              </w:rPr>
              <w:t>2004</w:t>
            </w:r>
          </w:p>
        </w:tc>
        <w:tc>
          <w:tcPr>
            <w:tcW w:w="3190" w:type="dxa"/>
            <w:tcBorders>
              <w:top w:val="nil"/>
              <w:bottom w:val="nil"/>
            </w:tcBorders>
          </w:tcPr>
          <w:p w:rsidR="00000000" w:rsidRDefault="00000000">
            <w:pPr>
              <w:pStyle w:val="a2"/>
              <w:spacing w:line="240" w:lineRule="auto"/>
              <w:ind w:firstLine="275"/>
              <w:rPr>
                <w:snapToGrid/>
              </w:rPr>
            </w:pPr>
            <w:r>
              <w:rPr>
                <w:snapToGrid/>
              </w:rPr>
              <w:t xml:space="preserve">63 </w:t>
            </w:r>
            <w:r>
              <w:rPr>
                <w:rFonts w:hint="eastAsia"/>
                <w:snapToGrid/>
              </w:rPr>
              <w:t>岁</w:t>
            </w:r>
          </w:p>
        </w:tc>
        <w:tc>
          <w:tcPr>
            <w:tcW w:w="3084" w:type="dxa"/>
            <w:tcBorders>
              <w:top w:val="nil"/>
              <w:bottom w:val="nil"/>
            </w:tcBorders>
          </w:tcPr>
          <w:p w:rsidR="00000000" w:rsidRDefault="00000000">
            <w:pPr>
              <w:pStyle w:val="a2"/>
              <w:spacing w:line="240" w:lineRule="auto"/>
              <w:ind w:firstLine="275"/>
              <w:rPr>
                <w:snapToGrid/>
              </w:rPr>
            </w:pPr>
            <w:r>
              <w:rPr>
                <w:snapToGrid/>
              </w:rPr>
              <w:t xml:space="preserve">58 </w:t>
            </w:r>
            <w:r>
              <w:rPr>
                <w:rFonts w:hint="eastAsia"/>
                <w:snapToGrid/>
              </w:rPr>
              <w:t>岁</w:t>
            </w:r>
          </w:p>
        </w:tc>
      </w:tr>
      <w:tr w:rsidR="00000000">
        <w:tblPrEx>
          <w:tblCellMar>
            <w:top w:w="0" w:type="dxa"/>
            <w:bottom w:w="0" w:type="dxa"/>
          </w:tblCellMar>
        </w:tblPrEx>
        <w:tc>
          <w:tcPr>
            <w:tcW w:w="3082" w:type="dxa"/>
            <w:tcBorders>
              <w:top w:val="nil"/>
              <w:bottom w:val="nil"/>
            </w:tcBorders>
          </w:tcPr>
          <w:p w:rsidR="00000000" w:rsidRDefault="00000000">
            <w:pPr>
              <w:pStyle w:val="a2"/>
              <w:spacing w:line="240" w:lineRule="auto"/>
              <w:jc w:val="center"/>
              <w:rPr>
                <w:snapToGrid/>
              </w:rPr>
            </w:pPr>
            <w:r>
              <w:rPr>
                <w:snapToGrid/>
              </w:rPr>
              <w:t>2005</w:t>
            </w:r>
          </w:p>
        </w:tc>
        <w:tc>
          <w:tcPr>
            <w:tcW w:w="3190" w:type="dxa"/>
            <w:tcBorders>
              <w:top w:val="nil"/>
              <w:bottom w:val="nil"/>
            </w:tcBorders>
          </w:tcPr>
          <w:p w:rsidR="00000000" w:rsidRDefault="00000000">
            <w:pPr>
              <w:pStyle w:val="a2"/>
              <w:spacing w:line="240" w:lineRule="auto"/>
              <w:ind w:firstLine="275"/>
              <w:rPr>
                <w:snapToGrid/>
              </w:rPr>
            </w:pPr>
            <w:r>
              <w:rPr>
                <w:snapToGrid/>
              </w:rPr>
              <w:t xml:space="preserve">63 </w:t>
            </w:r>
            <w:r>
              <w:rPr>
                <w:rFonts w:hint="eastAsia"/>
                <w:snapToGrid/>
              </w:rPr>
              <w:t>岁零</w:t>
            </w:r>
            <w:r>
              <w:rPr>
                <w:snapToGrid/>
              </w:rPr>
              <w:t>6</w:t>
            </w:r>
            <w:r>
              <w:rPr>
                <w:rFonts w:hint="eastAsia"/>
                <w:snapToGrid/>
              </w:rPr>
              <w:t>个</w:t>
            </w:r>
            <w:r>
              <w:rPr>
                <w:snapToGrid/>
              </w:rPr>
              <w:t>月</w:t>
            </w:r>
          </w:p>
        </w:tc>
        <w:tc>
          <w:tcPr>
            <w:tcW w:w="3084" w:type="dxa"/>
            <w:tcBorders>
              <w:top w:val="nil"/>
              <w:bottom w:val="nil"/>
            </w:tcBorders>
          </w:tcPr>
          <w:p w:rsidR="00000000" w:rsidRDefault="00000000">
            <w:pPr>
              <w:pStyle w:val="a2"/>
              <w:spacing w:line="240" w:lineRule="auto"/>
              <w:ind w:firstLine="275"/>
              <w:rPr>
                <w:snapToGrid/>
              </w:rPr>
            </w:pPr>
            <w:r>
              <w:rPr>
                <w:snapToGrid/>
              </w:rPr>
              <w:t xml:space="preserve">58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spacing w:line="240" w:lineRule="auto"/>
              <w:jc w:val="center"/>
              <w:rPr>
                <w:snapToGrid/>
              </w:rPr>
            </w:pPr>
            <w:r>
              <w:rPr>
                <w:snapToGrid/>
              </w:rPr>
              <w:t>2006</w:t>
            </w:r>
          </w:p>
        </w:tc>
        <w:tc>
          <w:tcPr>
            <w:tcW w:w="3190" w:type="dxa"/>
            <w:tcBorders>
              <w:top w:val="nil"/>
              <w:bottom w:val="nil"/>
            </w:tcBorders>
          </w:tcPr>
          <w:p w:rsidR="00000000" w:rsidRDefault="00000000">
            <w:pPr>
              <w:pStyle w:val="a2"/>
              <w:spacing w:line="240" w:lineRule="auto"/>
              <w:ind w:firstLine="275"/>
              <w:rPr>
                <w:snapToGrid/>
              </w:rPr>
            </w:pPr>
            <w:r>
              <w:rPr>
                <w:snapToGrid/>
              </w:rPr>
              <w:t xml:space="preserve">64 </w:t>
            </w:r>
            <w:r>
              <w:rPr>
                <w:rFonts w:hint="eastAsia"/>
                <w:snapToGrid/>
              </w:rPr>
              <w:t>岁</w:t>
            </w:r>
          </w:p>
        </w:tc>
        <w:tc>
          <w:tcPr>
            <w:tcW w:w="3084" w:type="dxa"/>
            <w:tcBorders>
              <w:top w:val="nil"/>
              <w:bottom w:val="nil"/>
            </w:tcBorders>
          </w:tcPr>
          <w:p w:rsidR="00000000" w:rsidRDefault="00000000">
            <w:pPr>
              <w:pStyle w:val="a2"/>
              <w:spacing w:line="240" w:lineRule="auto"/>
              <w:ind w:firstLine="275"/>
              <w:rPr>
                <w:snapToGrid/>
              </w:rPr>
            </w:pPr>
            <w:r>
              <w:rPr>
                <w:snapToGrid/>
              </w:rPr>
              <w:t xml:space="preserve">59 </w:t>
            </w:r>
            <w:r>
              <w:rPr>
                <w:rFonts w:hint="eastAsia"/>
                <w:snapToGrid/>
              </w:rPr>
              <w:t>岁</w:t>
            </w:r>
          </w:p>
        </w:tc>
      </w:tr>
      <w:tr w:rsidR="00000000">
        <w:tblPrEx>
          <w:tblCellMar>
            <w:top w:w="0" w:type="dxa"/>
            <w:bottom w:w="0" w:type="dxa"/>
          </w:tblCellMar>
        </w:tblPrEx>
        <w:tc>
          <w:tcPr>
            <w:tcW w:w="3082" w:type="dxa"/>
            <w:tcBorders>
              <w:top w:val="nil"/>
              <w:bottom w:val="nil"/>
            </w:tcBorders>
          </w:tcPr>
          <w:p w:rsidR="00000000" w:rsidRDefault="00000000">
            <w:pPr>
              <w:pStyle w:val="a2"/>
              <w:spacing w:line="240" w:lineRule="auto"/>
              <w:jc w:val="center"/>
              <w:rPr>
                <w:snapToGrid/>
              </w:rPr>
            </w:pPr>
            <w:r>
              <w:rPr>
                <w:snapToGrid/>
              </w:rPr>
              <w:t>2007</w:t>
            </w:r>
          </w:p>
        </w:tc>
        <w:tc>
          <w:tcPr>
            <w:tcW w:w="3190" w:type="dxa"/>
            <w:tcBorders>
              <w:top w:val="nil"/>
              <w:bottom w:val="nil"/>
            </w:tcBorders>
          </w:tcPr>
          <w:p w:rsidR="00000000" w:rsidRDefault="00000000">
            <w:pPr>
              <w:pStyle w:val="a2"/>
              <w:spacing w:line="240" w:lineRule="auto"/>
              <w:ind w:firstLine="275"/>
              <w:rPr>
                <w:snapToGrid/>
              </w:rPr>
            </w:pPr>
            <w:r>
              <w:rPr>
                <w:snapToGrid/>
              </w:rPr>
              <w:t xml:space="preserve">64 </w:t>
            </w:r>
            <w:r>
              <w:rPr>
                <w:rFonts w:hint="eastAsia"/>
                <w:snapToGrid/>
              </w:rPr>
              <w:t>岁零</w:t>
            </w:r>
            <w:r>
              <w:rPr>
                <w:snapToGrid/>
              </w:rPr>
              <w:t>6</w:t>
            </w:r>
            <w:r>
              <w:rPr>
                <w:rFonts w:hint="eastAsia"/>
                <w:snapToGrid/>
              </w:rPr>
              <w:t>个</w:t>
            </w:r>
            <w:r>
              <w:rPr>
                <w:snapToGrid/>
              </w:rPr>
              <w:t>月</w:t>
            </w:r>
          </w:p>
        </w:tc>
        <w:tc>
          <w:tcPr>
            <w:tcW w:w="3084" w:type="dxa"/>
            <w:tcBorders>
              <w:top w:val="nil"/>
              <w:bottom w:val="nil"/>
            </w:tcBorders>
          </w:tcPr>
          <w:p w:rsidR="00000000" w:rsidRDefault="00000000">
            <w:pPr>
              <w:pStyle w:val="a2"/>
              <w:spacing w:line="240" w:lineRule="auto"/>
              <w:ind w:firstLine="275"/>
              <w:rPr>
                <w:snapToGrid/>
              </w:rPr>
            </w:pPr>
            <w:r>
              <w:rPr>
                <w:snapToGrid/>
              </w:rPr>
              <w:t xml:space="preserve">59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082" w:type="dxa"/>
            <w:tcBorders>
              <w:top w:val="nil"/>
            </w:tcBorders>
          </w:tcPr>
          <w:p w:rsidR="00000000" w:rsidRDefault="00000000">
            <w:pPr>
              <w:pStyle w:val="a2"/>
              <w:spacing w:line="240" w:lineRule="auto"/>
              <w:jc w:val="center"/>
              <w:rPr>
                <w:snapToGrid/>
              </w:rPr>
            </w:pPr>
            <w:r>
              <w:rPr>
                <w:snapToGrid/>
              </w:rPr>
              <w:t>2008</w:t>
            </w:r>
          </w:p>
        </w:tc>
        <w:tc>
          <w:tcPr>
            <w:tcW w:w="3190" w:type="dxa"/>
            <w:tcBorders>
              <w:top w:val="nil"/>
            </w:tcBorders>
          </w:tcPr>
          <w:p w:rsidR="00000000" w:rsidRDefault="00000000">
            <w:pPr>
              <w:pStyle w:val="a2"/>
              <w:spacing w:line="240" w:lineRule="auto"/>
              <w:ind w:firstLine="275"/>
              <w:rPr>
                <w:snapToGrid/>
              </w:rPr>
            </w:pPr>
            <w:r>
              <w:rPr>
                <w:snapToGrid/>
              </w:rPr>
              <w:t xml:space="preserve">65 </w:t>
            </w:r>
            <w:r>
              <w:rPr>
                <w:rFonts w:hint="eastAsia"/>
                <w:snapToGrid/>
              </w:rPr>
              <w:t>岁</w:t>
            </w:r>
          </w:p>
        </w:tc>
        <w:tc>
          <w:tcPr>
            <w:tcW w:w="3084" w:type="dxa"/>
            <w:tcBorders>
              <w:top w:val="nil"/>
            </w:tcBorders>
          </w:tcPr>
          <w:p w:rsidR="00000000" w:rsidRDefault="00000000">
            <w:pPr>
              <w:pStyle w:val="a2"/>
              <w:spacing w:line="240" w:lineRule="auto"/>
              <w:ind w:firstLine="275"/>
              <w:rPr>
                <w:snapToGrid/>
              </w:rPr>
            </w:pPr>
            <w:r>
              <w:rPr>
                <w:snapToGrid/>
              </w:rPr>
              <w:t xml:space="preserve">60 </w:t>
            </w:r>
            <w:r>
              <w:rPr>
                <w:rFonts w:hint="eastAsia"/>
                <w:snapToGrid/>
              </w:rPr>
              <w:t>岁</w:t>
            </w:r>
          </w:p>
        </w:tc>
      </w:tr>
    </w:tbl>
    <w:p w:rsidR="00000000" w:rsidRDefault="00000000">
      <w:pPr>
        <w:rPr>
          <w:rFonts w:hint="eastAsia"/>
          <w:snapToGrid/>
        </w:rPr>
      </w:pPr>
    </w:p>
    <w:p w:rsidR="00000000" w:rsidRDefault="00000000">
      <w:pPr>
        <w:ind w:left="1575" w:hanging="630"/>
        <w:rPr>
          <w:rFonts w:hint="eastAsia"/>
          <w:snapToGrid/>
        </w:rPr>
      </w:pPr>
      <w:r>
        <w:rPr>
          <w:snapToGrid/>
        </w:rPr>
        <w:t>(b)</w:t>
      </w:r>
      <w:r>
        <w:rPr>
          <w:snapToGrid/>
        </w:rPr>
        <w:tab/>
      </w:r>
      <w:r>
        <w:rPr>
          <w:rFonts w:hint="eastAsia"/>
          <w:snapToGrid/>
        </w:rPr>
        <w:t>自</w:t>
      </w:r>
      <w:r>
        <w:rPr>
          <w:rFonts w:hint="eastAsia"/>
          <w:snapToGrid/>
        </w:rPr>
        <w:t>1999</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日起，生育</w:t>
      </w:r>
      <w:r>
        <w:rPr>
          <w:rFonts w:hint="eastAsia"/>
          <w:snapToGrid/>
        </w:rPr>
        <w:t>5</w:t>
      </w:r>
      <w:r>
        <w:rPr>
          <w:rFonts w:hint="eastAsia"/>
          <w:snapToGrid/>
        </w:rPr>
        <w:t>个或更多子女并将他们扶养至</w:t>
      </w:r>
      <w:r>
        <w:rPr>
          <w:rFonts w:hint="eastAsia"/>
          <w:snapToGrid/>
        </w:rPr>
        <w:t>8</w:t>
      </w:r>
      <w:r>
        <w:rPr>
          <w:rFonts w:hint="eastAsia"/>
          <w:snapToGrid/>
        </w:rPr>
        <w:t>岁的妇女，退休年龄为</w:t>
      </w:r>
      <w:r>
        <w:rPr>
          <w:rFonts w:hint="eastAsia"/>
          <w:snapToGrid/>
        </w:rPr>
        <w:t>50</w:t>
      </w:r>
      <w:r>
        <w:rPr>
          <w:rFonts w:hint="eastAsia"/>
          <w:snapToGrid/>
        </w:rPr>
        <w:t>岁零</w:t>
      </w:r>
      <w:r>
        <w:rPr>
          <w:rFonts w:hint="eastAsia"/>
          <w:snapToGrid/>
        </w:rPr>
        <w:t>9</w:t>
      </w:r>
      <w:r>
        <w:rPr>
          <w:rFonts w:hint="eastAsia"/>
          <w:snapToGrid/>
        </w:rPr>
        <w:t>个月。此后每年退休年龄增加</w:t>
      </w:r>
      <w:r>
        <w:rPr>
          <w:rFonts w:hint="eastAsia"/>
          <w:snapToGrid/>
        </w:rPr>
        <w:t>9</w:t>
      </w:r>
      <w:r>
        <w:rPr>
          <w:rFonts w:hint="eastAsia"/>
          <w:snapToGrid/>
        </w:rPr>
        <w:t>个月。至</w:t>
      </w:r>
      <w:r>
        <w:rPr>
          <w:rFonts w:hint="eastAsia"/>
          <w:snapToGrid/>
        </w:rPr>
        <w:t>2011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日，退休年龄将为</w:t>
      </w:r>
      <w:r>
        <w:rPr>
          <w:rFonts w:hint="eastAsia"/>
          <w:snapToGrid/>
        </w:rPr>
        <w:t>60</w:t>
      </w:r>
      <w:r>
        <w:rPr>
          <w:rFonts w:hint="eastAsia"/>
          <w:snapToGrid/>
        </w:rPr>
        <w:t>岁</w:t>
      </w:r>
      <w:r>
        <w:rPr>
          <w:rFonts w:hint="eastAsia"/>
          <w:snapToGrid/>
        </w:rPr>
        <w:t>(</w:t>
      </w:r>
      <w:r>
        <w:rPr>
          <w:rFonts w:hint="eastAsia"/>
          <w:snapToGrid/>
        </w:rPr>
        <w:t>见下表</w:t>
      </w:r>
      <w:r>
        <w:rPr>
          <w:rFonts w:hint="eastAsia"/>
          <w:snapToGrid/>
        </w:rPr>
        <w:t>)</w:t>
      </w:r>
      <w:r>
        <w:rPr>
          <w:rFonts w:hint="eastAsia"/>
          <w:snapToGrid/>
        </w:rPr>
        <w:t>：</w:t>
      </w:r>
    </w:p>
    <w:p w:rsidR="00000000" w:rsidRDefault="00000000">
      <w:pPr>
        <w:rPr>
          <w:rFonts w:hint="eastAsia"/>
          <w:snapToGrid/>
        </w:rPr>
      </w:pPr>
    </w:p>
    <w:p w:rsidR="00000000" w:rsidRDefault="00000000">
      <w:pPr>
        <w:pStyle w:val="Heading3"/>
        <w:spacing w:after="120"/>
        <w:rPr>
          <w:rFonts w:hint="eastAsia"/>
          <w:kern w:val="0"/>
        </w:rPr>
      </w:pPr>
      <w:r>
        <w:rPr>
          <w:rFonts w:hint="eastAsia"/>
          <w:kern w:val="0"/>
          <w:u w:val="none"/>
        </w:rPr>
        <w:t>表</w:t>
      </w:r>
      <w:r>
        <w:rPr>
          <w:kern w:val="0"/>
          <w:u w:val="none"/>
        </w:rPr>
        <w:t xml:space="preserve">19.  </w:t>
      </w:r>
      <w:r>
        <w:rPr>
          <w:rFonts w:hint="eastAsia"/>
          <w:kern w:val="0"/>
        </w:rPr>
        <w:t>有</w:t>
      </w:r>
      <w:r>
        <w:rPr>
          <w:rFonts w:hint="eastAsia"/>
          <w:kern w:val="0"/>
        </w:rPr>
        <w:t>5</w:t>
      </w:r>
      <w:r>
        <w:rPr>
          <w:rFonts w:hint="eastAsia"/>
          <w:kern w:val="0"/>
        </w:rPr>
        <w:t>个或更多子女的母亲的退休年龄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5954"/>
      </w:tblGrid>
      <w:tr w:rsidR="00000000">
        <w:tblPrEx>
          <w:tblCellMar>
            <w:top w:w="0" w:type="dxa"/>
            <w:bottom w:w="0" w:type="dxa"/>
          </w:tblCellMar>
        </w:tblPrEx>
        <w:tc>
          <w:tcPr>
            <w:tcW w:w="3402" w:type="dxa"/>
          </w:tcPr>
          <w:p w:rsidR="00000000" w:rsidRDefault="00000000">
            <w:pPr>
              <w:pStyle w:val="a2"/>
              <w:spacing w:before="60" w:after="60"/>
              <w:jc w:val="center"/>
              <w:rPr>
                <w:rFonts w:hint="eastAsia"/>
                <w:snapToGrid/>
              </w:rPr>
            </w:pPr>
            <w:r>
              <w:rPr>
                <w:rFonts w:hint="eastAsia"/>
                <w:snapToGrid/>
              </w:rPr>
              <w:t>自</w:t>
            </w:r>
            <w:r>
              <w:rPr>
                <w:rFonts w:hint="eastAsia"/>
                <w:snapToGrid/>
              </w:rPr>
              <w:t>1</w:t>
            </w:r>
            <w:r>
              <w:rPr>
                <w:rFonts w:hint="eastAsia"/>
                <w:snapToGrid/>
              </w:rPr>
              <w:t>月起</w:t>
            </w:r>
          </w:p>
        </w:tc>
        <w:tc>
          <w:tcPr>
            <w:tcW w:w="5954" w:type="dxa"/>
          </w:tcPr>
          <w:p w:rsidR="00000000" w:rsidRDefault="00000000">
            <w:pPr>
              <w:pStyle w:val="a2"/>
              <w:spacing w:before="60" w:after="60"/>
              <w:jc w:val="center"/>
              <w:rPr>
                <w:snapToGrid/>
              </w:rPr>
            </w:pPr>
            <w:r>
              <w:rPr>
                <w:rFonts w:hint="eastAsia"/>
                <w:snapToGrid/>
              </w:rPr>
              <w:t>有</w:t>
            </w:r>
            <w:r>
              <w:rPr>
                <w:rFonts w:hint="eastAsia"/>
                <w:snapToGrid/>
              </w:rPr>
              <w:t>5</w:t>
            </w:r>
            <w:r>
              <w:rPr>
                <w:rFonts w:hint="eastAsia"/>
                <w:snapToGrid/>
              </w:rPr>
              <w:t>个或更多子女的母亲的退休年龄</w:t>
            </w:r>
          </w:p>
        </w:tc>
      </w:tr>
      <w:tr w:rsidR="00000000">
        <w:tblPrEx>
          <w:tblCellMar>
            <w:top w:w="0" w:type="dxa"/>
            <w:bottom w:w="0" w:type="dxa"/>
          </w:tblCellMar>
        </w:tblPrEx>
        <w:tc>
          <w:tcPr>
            <w:tcW w:w="3402" w:type="dxa"/>
            <w:tcBorders>
              <w:bottom w:val="nil"/>
            </w:tcBorders>
          </w:tcPr>
          <w:p w:rsidR="00000000" w:rsidRDefault="00000000">
            <w:pPr>
              <w:pStyle w:val="a2"/>
              <w:jc w:val="center"/>
              <w:rPr>
                <w:snapToGrid/>
              </w:rPr>
            </w:pPr>
            <w:r>
              <w:rPr>
                <w:snapToGrid/>
              </w:rPr>
              <w:t>1999</w:t>
            </w:r>
          </w:p>
        </w:tc>
        <w:tc>
          <w:tcPr>
            <w:tcW w:w="5954" w:type="dxa"/>
            <w:tcBorders>
              <w:bottom w:val="nil"/>
            </w:tcBorders>
          </w:tcPr>
          <w:p w:rsidR="00000000" w:rsidRDefault="00000000">
            <w:pPr>
              <w:pStyle w:val="a2"/>
              <w:ind w:firstLine="1950"/>
              <w:rPr>
                <w:snapToGrid/>
              </w:rPr>
            </w:pPr>
            <w:r>
              <w:rPr>
                <w:snapToGrid/>
              </w:rPr>
              <w:t xml:space="preserve">50 </w:t>
            </w:r>
            <w:r>
              <w:rPr>
                <w:rFonts w:hint="eastAsia"/>
                <w:snapToGrid/>
              </w:rPr>
              <w:t>岁零</w:t>
            </w:r>
            <w:r>
              <w:rPr>
                <w:snapToGrid/>
              </w:rPr>
              <w:t>9</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2000</w:t>
            </w:r>
          </w:p>
        </w:tc>
        <w:tc>
          <w:tcPr>
            <w:tcW w:w="5954" w:type="dxa"/>
            <w:tcBorders>
              <w:top w:val="nil"/>
              <w:bottom w:val="nil"/>
            </w:tcBorders>
          </w:tcPr>
          <w:p w:rsidR="00000000" w:rsidRDefault="00000000">
            <w:pPr>
              <w:pStyle w:val="a2"/>
              <w:ind w:firstLine="1950"/>
              <w:rPr>
                <w:snapToGrid/>
              </w:rPr>
            </w:pPr>
            <w:r>
              <w:rPr>
                <w:snapToGrid/>
              </w:rPr>
              <w:t xml:space="preserve">51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2001</w:t>
            </w:r>
          </w:p>
        </w:tc>
        <w:tc>
          <w:tcPr>
            <w:tcW w:w="5954" w:type="dxa"/>
            <w:tcBorders>
              <w:top w:val="nil"/>
              <w:bottom w:val="nil"/>
            </w:tcBorders>
          </w:tcPr>
          <w:p w:rsidR="00000000" w:rsidRDefault="00000000">
            <w:pPr>
              <w:pStyle w:val="a2"/>
              <w:ind w:firstLine="1950"/>
              <w:rPr>
                <w:snapToGrid/>
              </w:rPr>
            </w:pPr>
            <w:r>
              <w:rPr>
                <w:snapToGrid/>
              </w:rPr>
              <w:t xml:space="preserve">52 </w:t>
            </w:r>
            <w:r>
              <w:rPr>
                <w:rFonts w:hint="eastAsia"/>
                <w:snapToGrid/>
              </w:rPr>
              <w:t>岁零</w:t>
            </w:r>
            <w:r>
              <w:rPr>
                <w:snapToGrid/>
              </w:rPr>
              <w:t>3</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2002</w:t>
            </w:r>
          </w:p>
        </w:tc>
        <w:tc>
          <w:tcPr>
            <w:tcW w:w="5954" w:type="dxa"/>
            <w:tcBorders>
              <w:top w:val="nil"/>
              <w:bottom w:val="nil"/>
            </w:tcBorders>
          </w:tcPr>
          <w:p w:rsidR="00000000" w:rsidRDefault="00000000">
            <w:pPr>
              <w:pStyle w:val="a2"/>
              <w:ind w:firstLine="1950"/>
              <w:rPr>
                <w:snapToGrid/>
              </w:rPr>
            </w:pPr>
            <w:r>
              <w:rPr>
                <w:snapToGrid/>
              </w:rPr>
              <w:t xml:space="preserve">53 </w:t>
            </w:r>
            <w:r>
              <w:rPr>
                <w:rFonts w:hint="eastAsia"/>
                <w:snapToGrid/>
              </w:rPr>
              <w:t>岁</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2003</w:t>
            </w:r>
          </w:p>
        </w:tc>
        <w:tc>
          <w:tcPr>
            <w:tcW w:w="5954" w:type="dxa"/>
            <w:tcBorders>
              <w:top w:val="nil"/>
              <w:bottom w:val="nil"/>
            </w:tcBorders>
          </w:tcPr>
          <w:p w:rsidR="00000000" w:rsidRDefault="00000000">
            <w:pPr>
              <w:pStyle w:val="a2"/>
              <w:ind w:firstLine="1950"/>
              <w:rPr>
                <w:snapToGrid/>
              </w:rPr>
            </w:pPr>
            <w:r>
              <w:rPr>
                <w:snapToGrid/>
              </w:rPr>
              <w:t xml:space="preserve">53 </w:t>
            </w:r>
            <w:r>
              <w:rPr>
                <w:rFonts w:hint="eastAsia"/>
                <w:snapToGrid/>
              </w:rPr>
              <w:t>岁零</w:t>
            </w:r>
            <w:r>
              <w:rPr>
                <w:snapToGrid/>
              </w:rPr>
              <w:t>9</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2004</w:t>
            </w:r>
          </w:p>
        </w:tc>
        <w:tc>
          <w:tcPr>
            <w:tcW w:w="5954" w:type="dxa"/>
            <w:tcBorders>
              <w:top w:val="nil"/>
              <w:bottom w:val="nil"/>
            </w:tcBorders>
          </w:tcPr>
          <w:p w:rsidR="00000000" w:rsidRDefault="00000000">
            <w:pPr>
              <w:pStyle w:val="a2"/>
              <w:ind w:firstLine="1950"/>
              <w:rPr>
                <w:snapToGrid/>
              </w:rPr>
            </w:pPr>
            <w:r>
              <w:rPr>
                <w:snapToGrid/>
              </w:rPr>
              <w:t xml:space="preserve">54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2005</w:t>
            </w:r>
          </w:p>
        </w:tc>
        <w:tc>
          <w:tcPr>
            <w:tcW w:w="5954" w:type="dxa"/>
            <w:tcBorders>
              <w:top w:val="nil"/>
              <w:bottom w:val="nil"/>
            </w:tcBorders>
          </w:tcPr>
          <w:p w:rsidR="00000000" w:rsidRDefault="00000000">
            <w:pPr>
              <w:pStyle w:val="a2"/>
              <w:ind w:firstLine="1950"/>
              <w:rPr>
                <w:snapToGrid/>
              </w:rPr>
            </w:pPr>
            <w:r>
              <w:rPr>
                <w:snapToGrid/>
              </w:rPr>
              <w:t xml:space="preserve">55 </w:t>
            </w:r>
            <w:r>
              <w:rPr>
                <w:rFonts w:hint="eastAsia"/>
                <w:snapToGrid/>
              </w:rPr>
              <w:t>岁零</w:t>
            </w:r>
            <w:r>
              <w:rPr>
                <w:snapToGrid/>
              </w:rPr>
              <w:t>3</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2006</w:t>
            </w:r>
          </w:p>
        </w:tc>
        <w:tc>
          <w:tcPr>
            <w:tcW w:w="5954" w:type="dxa"/>
            <w:tcBorders>
              <w:top w:val="nil"/>
              <w:bottom w:val="nil"/>
            </w:tcBorders>
          </w:tcPr>
          <w:p w:rsidR="00000000" w:rsidRDefault="00000000">
            <w:pPr>
              <w:pStyle w:val="a2"/>
              <w:ind w:firstLine="1950"/>
              <w:rPr>
                <w:snapToGrid/>
              </w:rPr>
            </w:pPr>
            <w:r>
              <w:rPr>
                <w:snapToGrid/>
              </w:rPr>
              <w:t xml:space="preserve">56 </w:t>
            </w:r>
            <w:r>
              <w:rPr>
                <w:rFonts w:hint="eastAsia"/>
                <w:snapToGrid/>
              </w:rPr>
              <w:t>岁</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2007</w:t>
            </w:r>
          </w:p>
        </w:tc>
        <w:tc>
          <w:tcPr>
            <w:tcW w:w="5954" w:type="dxa"/>
            <w:tcBorders>
              <w:top w:val="nil"/>
              <w:bottom w:val="nil"/>
            </w:tcBorders>
          </w:tcPr>
          <w:p w:rsidR="00000000" w:rsidRDefault="00000000">
            <w:pPr>
              <w:pStyle w:val="a2"/>
              <w:ind w:firstLine="1950"/>
              <w:rPr>
                <w:snapToGrid/>
              </w:rPr>
            </w:pPr>
            <w:r>
              <w:rPr>
                <w:snapToGrid/>
              </w:rPr>
              <w:t xml:space="preserve">56 </w:t>
            </w:r>
            <w:r>
              <w:rPr>
                <w:rFonts w:hint="eastAsia"/>
                <w:snapToGrid/>
              </w:rPr>
              <w:t>岁零</w:t>
            </w:r>
            <w:r>
              <w:rPr>
                <w:snapToGrid/>
              </w:rPr>
              <w:t>9</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2008</w:t>
            </w:r>
          </w:p>
        </w:tc>
        <w:tc>
          <w:tcPr>
            <w:tcW w:w="5954" w:type="dxa"/>
            <w:tcBorders>
              <w:top w:val="nil"/>
              <w:bottom w:val="nil"/>
            </w:tcBorders>
          </w:tcPr>
          <w:p w:rsidR="00000000" w:rsidRDefault="00000000">
            <w:pPr>
              <w:pStyle w:val="a2"/>
              <w:ind w:firstLine="1950"/>
              <w:rPr>
                <w:snapToGrid/>
              </w:rPr>
            </w:pPr>
            <w:r>
              <w:rPr>
                <w:snapToGrid/>
              </w:rPr>
              <w:t xml:space="preserve">57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2009</w:t>
            </w:r>
          </w:p>
        </w:tc>
        <w:tc>
          <w:tcPr>
            <w:tcW w:w="5954" w:type="dxa"/>
            <w:tcBorders>
              <w:top w:val="nil"/>
              <w:bottom w:val="nil"/>
            </w:tcBorders>
          </w:tcPr>
          <w:p w:rsidR="00000000" w:rsidRDefault="00000000">
            <w:pPr>
              <w:pStyle w:val="a2"/>
              <w:ind w:firstLine="1950"/>
              <w:rPr>
                <w:snapToGrid/>
              </w:rPr>
            </w:pPr>
            <w:r>
              <w:rPr>
                <w:snapToGrid/>
              </w:rPr>
              <w:t xml:space="preserve">58 </w:t>
            </w:r>
            <w:r>
              <w:rPr>
                <w:rFonts w:hint="eastAsia"/>
                <w:snapToGrid/>
              </w:rPr>
              <w:t>岁零</w:t>
            </w:r>
            <w:r>
              <w:rPr>
                <w:snapToGrid/>
              </w:rPr>
              <w:t>3</w:t>
            </w:r>
            <w:r>
              <w:rPr>
                <w:rFonts w:hint="eastAsia"/>
                <w:snapToGrid/>
              </w:rPr>
              <w:t>个</w:t>
            </w:r>
            <w:r>
              <w:rPr>
                <w:snapToGrid/>
              </w:rPr>
              <w:t>月</w:t>
            </w:r>
          </w:p>
        </w:tc>
      </w:tr>
      <w:tr w:rsidR="00000000">
        <w:tblPrEx>
          <w:tblCellMar>
            <w:top w:w="0" w:type="dxa"/>
            <w:bottom w:w="0" w:type="dxa"/>
          </w:tblCellMar>
        </w:tblPrEx>
        <w:tc>
          <w:tcPr>
            <w:tcW w:w="3402" w:type="dxa"/>
            <w:tcBorders>
              <w:top w:val="nil"/>
              <w:bottom w:val="nil"/>
            </w:tcBorders>
          </w:tcPr>
          <w:p w:rsidR="00000000" w:rsidRDefault="00000000">
            <w:pPr>
              <w:pStyle w:val="a2"/>
              <w:jc w:val="center"/>
              <w:rPr>
                <w:snapToGrid/>
              </w:rPr>
            </w:pPr>
            <w:r>
              <w:rPr>
                <w:snapToGrid/>
              </w:rPr>
              <w:t>2010</w:t>
            </w:r>
          </w:p>
        </w:tc>
        <w:tc>
          <w:tcPr>
            <w:tcW w:w="5954" w:type="dxa"/>
            <w:tcBorders>
              <w:top w:val="nil"/>
              <w:bottom w:val="nil"/>
            </w:tcBorders>
          </w:tcPr>
          <w:p w:rsidR="00000000" w:rsidRDefault="00000000">
            <w:pPr>
              <w:pStyle w:val="a2"/>
              <w:ind w:firstLine="1950"/>
              <w:rPr>
                <w:snapToGrid/>
              </w:rPr>
            </w:pPr>
            <w:r>
              <w:rPr>
                <w:snapToGrid/>
              </w:rPr>
              <w:t xml:space="preserve">59 </w:t>
            </w:r>
            <w:r>
              <w:rPr>
                <w:rFonts w:hint="eastAsia"/>
                <w:snapToGrid/>
              </w:rPr>
              <w:t>岁</w:t>
            </w:r>
          </w:p>
        </w:tc>
      </w:tr>
      <w:tr w:rsidR="00000000">
        <w:tblPrEx>
          <w:tblCellMar>
            <w:top w:w="0" w:type="dxa"/>
            <w:bottom w:w="0" w:type="dxa"/>
          </w:tblCellMar>
        </w:tblPrEx>
        <w:tc>
          <w:tcPr>
            <w:tcW w:w="3402" w:type="dxa"/>
            <w:tcBorders>
              <w:top w:val="nil"/>
            </w:tcBorders>
          </w:tcPr>
          <w:p w:rsidR="00000000" w:rsidRDefault="00000000">
            <w:pPr>
              <w:pStyle w:val="a2"/>
              <w:jc w:val="center"/>
              <w:rPr>
                <w:snapToGrid/>
              </w:rPr>
            </w:pPr>
            <w:r>
              <w:rPr>
                <w:snapToGrid/>
              </w:rPr>
              <w:t>2011</w:t>
            </w:r>
          </w:p>
        </w:tc>
        <w:tc>
          <w:tcPr>
            <w:tcW w:w="5954" w:type="dxa"/>
            <w:tcBorders>
              <w:top w:val="nil"/>
            </w:tcBorders>
          </w:tcPr>
          <w:p w:rsidR="00000000" w:rsidRDefault="00000000">
            <w:pPr>
              <w:pStyle w:val="a2"/>
              <w:ind w:firstLine="1950"/>
              <w:rPr>
                <w:snapToGrid/>
              </w:rPr>
            </w:pPr>
            <w:r>
              <w:rPr>
                <w:snapToGrid/>
              </w:rPr>
              <w:t xml:space="preserve">60 </w:t>
            </w:r>
            <w:r>
              <w:rPr>
                <w:rFonts w:hint="eastAsia"/>
                <w:snapToGrid/>
              </w:rPr>
              <w:t>岁</w:t>
            </w:r>
          </w:p>
        </w:tc>
      </w:tr>
    </w:tbl>
    <w:p w:rsidR="00000000" w:rsidRDefault="00000000">
      <w:pPr>
        <w:rPr>
          <w:rFonts w:hint="eastAsia"/>
          <w:snapToGrid/>
        </w:rPr>
      </w:pPr>
    </w:p>
    <w:p w:rsidR="00000000" w:rsidRDefault="00000000">
      <w:pPr>
        <w:spacing w:after="200"/>
        <w:ind w:left="1575" w:hanging="525"/>
        <w:rPr>
          <w:snapToGrid/>
        </w:rPr>
      </w:pPr>
      <w:r>
        <w:rPr>
          <w:snapToGrid/>
        </w:rPr>
        <w:t>(c)</w:t>
      </w:r>
      <w:r>
        <w:rPr>
          <w:snapToGrid/>
        </w:rPr>
        <w:tab/>
      </w:r>
      <w:r>
        <w:rPr>
          <w:rFonts w:hint="eastAsia"/>
          <w:snapToGrid/>
        </w:rPr>
        <w:t>自</w:t>
      </w:r>
      <w:r>
        <w:rPr>
          <w:rFonts w:hint="eastAsia"/>
          <w:snapToGrid/>
        </w:rPr>
        <w:t>1999</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日起，在危险和困难条件下工作的人</w:t>
      </w:r>
      <w:r>
        <w:rPr>
          <w:rFonts w:hint="eastAsia"/>
          <w:snapToGrid/>
        </w:rPr>
        <w:t>(</w:t>
      </w:r>
      <w:r>
        <w:rPr>
          <w:rFonts w:hint="eastAsia"/>
          <w:snapToGrid/>
        </w:rPr>
        <w:t>见</w:t>
      </w:r>
      <w:r>
        <w:rPr>
          <w:rFonts w:hint="eastAsia"/>
          <w:snapToGrid/>
        </w:rPr>
        <w:t>1992</w:t>
      </w:r>
      <w:r>
        <w:rPr>
          <w:rFonts w:hint="eastAsia"/>
          <w:snapToGrid/>
        </w:rPr>
        <w:t>年</w:t>
      </w:r>
      <w:r>
        <w:rPr>
          <w:rFonts w:hint="eastAsia"/>
          <w:snapToGrid/>
        </w:rPr>
        <w:t>12</w:t>
      </w:r>
      <w:r>
        <w:rPr>
          <w:rFonts w:hint="eastAsia"/>
          <w:snapToGrid/>
        </w:rPr>
        <w:t>月</w:t>
      </w:r>
      <w:r>
        <w:rPr>
          <w:rFonts w:hint="eastAsia"/>
          <w:snapToGrid/>
        </w:rPr>
        <w:t>15</w:t>
      </w:r>
      <w:r>
        <w:rPr>
          <w:rFonts w:hint="eastAsia"/>
          <w:snapToGrid/>
        </w:rPr>
        <w:t>日第</w:t>
      </w:r>
      <w:r>
        <w:rPr>
          <w:rFonts w:hint="eastAsia"/>
          <w:snapToGrid/>
        </w:rPr>
        <w:t>822</w:t>
      </w:r>
      <w:r>
        <w:rPr>
          <w:rFonts w:hint="eastAsia"/>
          <w:snapToGrid/>
        </w:rPr>
        <w:t>号政府决定核准的表</w:t>
      </w:r>
      <w:r>
        <w:rPr>
          <w:rFonts w:hint="eastAsia"/>
          <w:snapToGrid/>
        </w:rPr>
        <w:t>)</w:t>
      </w:r>
      <w:r>
        <w:rPr>
          <w:rFonts w:hint="eastAsia"/>
          <w:snapToGrid/>
        </w:rPr>
        <w:t>退休年龄为男性</w:t>
      </w:r>
      <w:r>
        <w:rPr>
          <w:rFonts w:hint="eastAsia"/>
          <w:snapToGrid/>
        </w:rPr>
        <w:t>55</w:t>
      </w:r>
      <w:r>
        <w:rPr>
          <w:rFonts w:hint="eastAsia"/>
          <w:snapToGrid/>
        </w:rPr>
        <w:t>岁零</w:t>
      </w:r>
      <w:r>
        <w:rPr>
          <w:rFonts w:hint="eastAsia"/>
          <w:snapToGrid/>
        </w:rPr>
        <w:t>9</w:t>
      </w:r>
      <w:r>
        <w:rPr>
          <w:rFonts w:hint="eastAsia"/>
          <w:snapToGrid/>
        </w:rPr>
        <w:t>个月，女性</w:t>
      </w:r>
      <w:r>
        <w:rPr>
          <w:rFonts w:hint="eastAsia"/>
          <w:snapToGrid/>
        </w:rPr>
        <w:t>50</w:t>
      </w:r>
      <w:r>
        <w:rPr>
          <w:rFonts w:hint="eastAsia"/>
          <w:snapToGrid/>
        </w:rPr>
        <w:t>岁零</w:t>
      </w:r>
      <w:r>
        <w:rPr>
          <w:rFonts w:hint="eastAsia"/>
          <w:snapToGrid/>
        </w:rPr>
        <w:t>9</w:t>
      </w:r>
      <w:r>
        <w:rPr>
          <w:rFonts w:hint="eastAsia"/>
          <w:snapToGrid/>
        </w:rPr>
        <w:t>个月。此后退休年龄每年增加</w:t>
      </w:r>
      <w:r>
        <w:rPr>
          <w:rFonts w:hint="eastAsia"/>
          <w:snapToGrid/>
        </w:rPr>
        <w:t>9</w:t>
      </w:r>
      <w:r>
        <w:rPr>
          <w:rFonts w:hint="eastAsia"/>
          <w:snapToGrid/>
        </w:rPr>
        <w:t>个月，直到</w:t>
      </w:r>
      <w:r>
        <w:rPr>
          <w:rFonts w:hint="eastAsia"/>
          <w:snapToGrid/>
        </w:rPr>
        <w:t>2011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日，退休年龄将为男性</w:t>
      </w:r>
      <w:r>
        <w:rPr>
          <w:rFonts w:hint="eastAsia"/>
          <w:snapToGrid/>
        </w:rPr>
        <w:t>65</w:t>
      </w:r>
      <w:r>
        <w:rPr>
          <w:rFonts w:hint="eastAsia"/>
          <w:snapToGrid/>
        </w:rPr>
        <w:t>岁，女性</w:t>
      </w:r>
      <w:r>
        <w:rPr>
          <w:rFonts w:hint="eastAsia"/>
          <w:snapToGrid/>
        </w:rPr>
        <w:t>60</w:t>
      </w:r>
      <w:r>
        <w:rPr>
          <w:rFonts w:hint="eastAsia"/>
          <w:snapToGrid/>
        </w:rPr>
        <w:t>岁</w:t>
      </w:r>
      <w:r>
        <w:rPr>
          <w:rFonts w:hint="eastAsia"/>
          <w:snapToGrid/>
        </w:rPr>
        <w:t>(</w:t>
      </w:r>
      <w:r>
        <w:rPr>
          <w:rFonts w:hint="eastAsia"/>
          <w:snapToGrid/>
        </w:rPr>
        <w:t>见下表</w:t>
      </w:r>
      <w:r>
        <w:rPr>
          <w:rFonts w:hint="eastAsia"/>
          <w:snapToGrid/>
        </w:rPr>
        <w:t>)</w:t>
      </w:r>
      <w:r>
        <w:rPr>
          <w:rFonts w:hint="eastAsia"/>
          <w:snapToGrid/>
        </w:rPr>
        <w:t>：</w:t>
      </w:r>
    </w:p>
    <w:p w:rsidR="00000000" w:rsidRDefault="00000000">
      <w:pPr>
        <w:pStyle w:val="Heading3"/>
        <w:spacing w:after="120"/>
        <w:rPr>
          <w:rFonts w:hint="eastAsia"/>
          <w:kern w:val="0"/>
        </w:rPr>
      </w:pPr>
      <w:r>
        <w:rPr>
          <w:rFonts w:hint="eastAsia"/>
          <w:kern w:val="0"/>
          <w:u w:val="none"/>
        </w:rPr>
        <w:t>表</w:t>
      </w:r>
      <w:r>
        <w:rPr>
          <w:kern w:val="0"/>
          <w:u w:val="none"/>
        </w:rPr>
        <w:t xml:space="preserve"> 20.  </w:t>
      </w:r>
      <w:r>
        <w:rPr>
          <w:rFonts w:hint="eastAsia"/>
          <w:kern w:val="0"/>
        </w:rPr>
        <w:t>在危险和困难条件下工作的人的退休年龄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3082" w:type="dxa"/>
            <w:tcBorders>
              <w:bottom w:val="nil"/>
            </w:tcBorders>
          </w:tcPr>
          <w:p w:rsidR="00000000" w:rsidRDefault="00000000">
            <w:pPr>
              <w:pStyle w:val="a2"/>
              <w:jc w:val="center"/>
              <w:rPr>
                <w:rFonts w:hint="eastAsia"/>
                <w:snapToGrid/>
              </w:rPr>
            </w:pPr>
            <w:r>
              <w:rPr>
                <w:rFonts w:hint="eastAsia"/>
                <w:snapToGrid/>
              </w:rPr>
              <w:t>自</w:t>
            </w:r>
            <w:r>
              <w:rPr>
                <w:rFonts w:hint="eastAsia"/>
                <w:snapToGrid/>
              </w:rPr>
              <w:t>1</w:t>
            </w:r>
            <w:r>
              <w:rPr>
                <w:rFonts w:hint="eastAsia"/>
                <w:snapToGrid/>
              </w:rPr>
              <w:t>月起</w:t>
            </w:r>
          </w:p>
        </w:tc>
        <w:tc>
          <w:tcPr>
            <w:tcW w:w="6274" w:type="dxa"/>
            <w:gridSpan w:val="2"/>
          </w:tcPr>
          <w:p w:rsidR="00000000" w:rsidRDefault="00000000">
            <w:pPr>
              <w:pStyle w:val="a2"/>
              <w:jc w:val="center"/>
              <w:rPr>
                <w:snapToGrid/>
              </w:rPr>
            </w:pPr>
            <w:r>
              <w:rPr>
                <w:rFonts w:hint="eastAsia"/>
                <w:snapToGrid/>
              </w:rPr>
              <w:t>在危险和困难条件下工作的人的退休年龄</w:t>
            </w:r>
          </w:p>
        </w:tc>
      </w:tr>
      <w:tr w:rsidR="00000000">
        <w:tblPrEx>
          <w:tblCellMar>
            <w:top w:w="0" w:type="dxa"/>
            <w:bottom w:w="0" w:type="dxa"/>
          </w:tblCellMar>
        </w:tblPrEx>
        <w:tc>
          <w:tcPr>
            <w:tcW w:w="3082" w:type="dxa"/>
            <w:tcBorders>
              <w:top w:val="nil"/>
            </w:tcBorders>
          </w:tcPr>
          <w:p w:rsidR="00000000" w:rsidRDefault="00000000">
            <w:pPr>
              <w:pStyle w:val="a2"/>
              <w:jc w:val="center"/>
              <w:rPr>
                <w:snapToGrid/>
              </w:rPr>
            </w:pPr>
          </w:p>
        </w:tc>
        <w:tc>
          <w:tcPr>
            <w:tcW w:w="3190" w:type="dxa"/>
          </w:tcPr>
          <w:p w:rsidR="00000000" w:rsidRDefault="00000000">
            <w:pPr>
              <w:pStyle w:val="a2"/>
              <w:jc w:val="center"/>
              <w:rPr>
                <w:rFonts w:hint="eastAsia"/>
                <w:snapToGrid/>
              </w:rPr>
            </w:pPr>
            <w:r>
              <w:rPr>
                <w:rFonts w:hint="eastAsia"/>
                <w:snapToGrid/>
              </w:rPr>
              <w:t>男</w:t>
            </w:r>
          </w:p>
        </w:tc>
        <w:tc>
          <w:tcPr>
            <w:tcW w:w="3084" w:type="dxa"/>
          </w:tcPr>
          <w:p w:rsidR="00000000" w:rsidRDefault="00000000">
            <w:pPr>
              <w:pStyle w:val="a2"/>
              <w:jc w:val="center"/>
              <w:rPr>
                <w:rFonts w:hint="eastAsia"/>
                <w:snapToGrid/>
              </w:rPr>
            </w:pPr>
            <w:r>
              <w:rPr>
                <w:rFonts w:hint="eastAsia"/>
                <w:snapToGrid/>
              </w:rPr>
              <w:t>女</w:t>
            </w:r>
          </w:p>
        </w:tc>
      </w:tr>
      <w:tr w:rsidR="00000000">
        <w:tblPrEx>
          <w:tblCellMar>
            <w:top w:w="0" w:type="dxa"/>
            <w:bottom w:w="0" w:type="dxa"/>
          </w:tblCellMar>
        </w:tblPrEx>
        <w:tc>
          <w:tcPr>
            <w:tcW w:w="3082" w:type="dxa"/>
            <w:tcBorders>
              <w:bottom w:val="nil"/>
            </w:tcBorders>
          </w:tcPr>
          <w:p w:rsidR="00000000" w:rsidRDefault="00000000">
            <w:pPr>
              <w:pStyle w:val="a2"/>
              <w:jc w:val="center"/>
              <w:rPr>
                <w:snapToGrid/>
              </w:rPr>
            </w:pPr>
            <w:r>
              <w:rPr>
                <w:snapToGrid/>
              </w:rPr>
              <w:t>1999</w:t>
            </w:r>
          </w:p>
        </w:tc>
        <w:tc>
          <w:tcPr>
            <w:tcW w:w="3190" w:type="dxa"/>
            <w:tcBorders>
              <w:bottom w:val="nil"/>
            </w:tcBorders>
          </w:tcPr>
          <w:p w:rsidR="00000000" w:rsidRDefault="00000000">
            <w:pPr>
              <w:pStyle w:val="a2"/>
              <w:ind w:firstLine="590"/>
              <w:rPr>
                <w:snapToGrid/>
              </w:rPr>
            </w:pPr>
            <w:r>
              <w:rPr>
                <w:snapToGrid/>
              </w:rPr>
              <w:t xml:space="preserve">55 </w:t>
            </w:r>
            <w:r>
              <w:rPr>
                <w:rFonts w:hint="eastAsia"/>
                <w:snapToGrid/>
              </w:rPr>
              <w:t>岁零</w:t>
            </w:r>
            <w:r>
              <w:rPr>
                <w:snapToGrid/>
              </w:rPr>
              <w:t>9</w:t>
            </w:r>
            <w:r>
              <w:rPr>
                <w:rFonts w:hint="eastAsia"/>
                <w:snapToGrid/>
              </w:rPr>
              <w:t>个</w:t>
            </w:r>
            <w:r>
              <w:rPr>
                <w:snapToGrid/>
              </w:rPr>
              <w:t>月</w:t>
            </w:r>
          </w:p>
        </w:tc>
        <w:tc>
          <w:tcPr>
            <w:tcW w:w="3084" w:type="dxa"/>
            <w:tcBorders>
              <w:bottom w:val="nil"/>
            </w:tcBorders>
          </w:tcPr>
          <w:p w:rsidR="00000000" w:rsidRDefault="00000000">
            <w:pPr>
              <w:pStyle w:val="a2"/>
              <w:ind w:firstLine="590"/>
              <w:rPr>
                <w:snapToGrid/>
              </w:rPr>
            </w:pPr>
            <w:r>
              <w:rPr>
                <w:snapToGrid/>
              </w:rPr>
              <w:t xml:space="preserve">50 </w:t>
            </w:r>
            <w:r>
              <w:rPr>
                <w:rFonts w:hint="eastAsia"/>
                <w:snapToGrid/>
              </w:rPr>
              <w:t>岁零</w:t>
            </w:r>
            <w:r>
              <w:rPr>
                <w:snapToGrid/>
              </w:rPr>
              <w:t>9</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2000</w:t>
            </w:r>
          </w:p>
        </w:tc>
        <w:tc>
          <w:tcPr>
            <w:tcW w:w="3190" w:type="dxa"/>
            <w:tcBorders>
              <w:top w:val="nil"/>
              <w:bottom w:val="nil"/>
            </w:tcBorders>
          </w:tcPr>
          <w:p w:rsidR="00000000" w:rsidRDefault="00000000">
            <w:pPr>
              <w:pStyle w:val="a2"/>
              <w:ind w:firstLine="590"/>
              <w:rPr>
                <w:snapToGrid/>
              </w:rPr>
            </w:pPr>
            <w:r>
              <w:rPr>
                <w:snapToGrid/>
              </w:rPr>
              <w:t xml:space="preserve">56 </w:t>
            </w:r>
            <w:r>
              <w:rPr>
                <w:rFonts w:hint="eastAsia"/>
                <w:snapToGrid/>
              </w:rPr>
              <w:t>岁</w:t>
            </w:r>
            <w:r>
              <w:rPr>
                <w:snapToGrid/>
              </w:rPr>
              <w:t xml:space="preserve"> </w:t>
            </w:r>
            <w:r>
              <w:rPr>
                <w:rFonts w:hint="eastAsia"/>
                <w:snapToGrid/>
              </w:rPr>
              <w:t>零</w:t>
            </w:r>
            <w:r>
              <w:rPr>
                <w:snapToGrid/>
              </w:rPr>
              <w:t>6</w:t>
            </w:r>
            <w:r>
              <w:rPr>
                <w:rFonts w:hint="eastAsia"/>
                <w:snapToGrid/>
              </w:rPr>
              <w:t>个</w:t>
            </w:r>
            <w:r>
              <w:rPr>
                <w:snapToGrid/>
              </w:rPr>
              <w:t>月</w:t>
            </w:r>
          </w:p>
        </w:tc>
        <w:tc>
          <w:tcPr>
            <w:tcW w:w="3084" w:type="dxa"/>
            <w:tcBorders>
              <w:top w:val="nil"/>
              <w:bottom w:val="nil"/>
            </w:tcBorders>
          </w:tcPr>
          <w:p w:rsidR="00000000" w:rsidRDefault="00000000">
            <w:pPr>
              <w:pStyle w:val="a2"/>
              <w:ind w:firstLine="590"/>
              <w:rPr>
                <w:snapToGrid/>
              </w:rPr>
            </w:pPr>
            <w:r>
              <w:rPr>
                <w:snapToGrid/>
              </w:rPr>
              <w:t xml:space="preserve">51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2001</w:t>
            </w:r>
          </w:p>
        </w:tc>
        <w:tc>
          <w:tcPr>
            <w:tcW w:w="3190" w:type="dxa"/>
            <w:tcBorders>
              <w:top w:val="nil"/>
              <w:bottom w:val="nil"/>
            </w:tcBorders>
          </w:tcPr>
          <w:p w:rsidR="00000000" w:rsidRDefault="00000000">
            <w:pPr>
              <w:pStyle w:val="a2"/>
              <w:ind w:firstLine="590"/>
              <w:rPr>
                <w:snapToGrid/>
              </w:rPr>
            </w:pPr>
            <w:r>
              <w:rPr>
                <w:snapToGrid/>
              </w:rPr>
              <w:t xml:space="preserve">57 </w:t>
            </w:r>
            <w:r>
              <w:rPr>
                <w:rFonts w:hint="eastAsia"/>
                <w:snapToGrid/>
              </w:rPr>
              <w:t>岁零</w:t>
            </w:r>
            <w:r>
              <w:rPr>
                <w:snapToGrid/>
              </w:rPr>
              <w:t>3</w:t>
            </w:r>
            <w:r>
              <w:rPr>
                <w:rFonts w:hint="eastAsia"/>
                <w:snapToGrid/>
              </w:rPr>
              <w:t>个</w:t>
            </w:r>
            <w:r>
              <w:rPr>
                <w:snapToGrid/>
              </w:rPr>
              <w:t>月</w:t>
            </w:r>
          </w:p>
        </w:tc>
        <w:tc>
          <w:tcPr>
            <w:tcW w:w="3084" w:type="dxa"/>
            <w:tcBorders>
              <w:top w:val="nil"/>
              <w:bottom w:val="nil"/>
            </w:tcBorders>
          </w:tcPr>
          <w:p w:rsidR="00000000" w:rsidRDefault="00000000">
            <w:pPr>
              <w:pStyle w:val="a2"/>
              <w:ind w:firstLine="590"/>
              <w:rPr>
                <w:snapToGrid/>
              </w:rPr>
            </w:pPr>
            <w:r>
              <w:rPr>
                <w:snapToGrid/>
              </w:rPr>
              <w:t xml:space="preserve">52 </w:t>
            </w:r>
            <w:r>
              <w:rPr>
                <w:rFonts w:hint="eastAsia"/>
                <w:snapToGrid/>
              </w:rPr>
              <w:t>岁零</w:t>
            </w:r>
            <w:r>
              <w:rPr>
                <w:snapToGrid/>
              </w:rPr>
              <w:t>3</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2002</w:t>
            </w:r>
          </w:p>
        </w:tc>
        <w:tc>
          <w:tcPr>
            <w:tcW w:w="3190" w:type="dxa"/>
            <w:tcBorders>
              <w:top w:val="nil"/>
              <w:bottom w:val="nil"/>
            </w:tcBorders>
          </w:tcPr>
          <w:p w:rsidR="00000000" w:rsidRDefault="00000000">
            <w:pPr>
              <w:pStyle w:val="a2"/>
              <w:ind w:firstLine="590"/>
              <w:rPr>
                <w:snapToGrid/>
              </w:rPr>
            </w:pPr>
            <w:r>
              <w:rPr>
                <w:snapToGrid/>
              </w:rPr>
              <w:t xml:space="preserve">58 </w:t>
            </w:r>
            <w:r>
              <w:rPr>
                <w:rFonts w:hint="eastAsia"/>
                <w:snapToGrid/>
              </w:rPr>
              <w:t>岁</w:t>
            </w:r>
          </w:p>
        </w:tc>
        <w:tc>
          <w:tcPr>
            <w:tcW w:w="3084" w:type="dxa"/>
            <w:tcBorders>
              <w:top w:val="nil"/>
              <w:bottom w:val="nil"/>
            </w:tcBorders>
          </w:tcPr>
          <w:p w:rsidR="00000000" w:rsidRDefault="00000000">
            <w:pPr>
              <w:pStyle w:val="a2"/>
              <w:ind w:firstLine="590"/>
              <w:rPr>
                <w:snapToGrid/>
              </w:rPr>
            </w:pPr>
            <w:r>
              <w:rPr>
                <w:snapToGrid/>
              </w:rPr>
              <w:t xml:space="preserve">53 </w:t>
            </w:r>
            <w:r>
              <w:rPr>
                <w:rFonts w:hint="eastAsia"/>
                <w:snapToGrid/>
              </w:rPr>
              <w:t>岁</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2003</w:t>
            </w:r>
          </w:p>
        </w:tc>
        <w:tc>
          <w:tcPr>
            <w:tcW w:w="3190" w:type="dxa"/>
            <w:tcBorders>
              <w:top w:val="nil"/>
              <w:bottom w:val="nil"/>
            </w:tcBorders>
          </w:tcPr>
          <w:p w:rsidR="00000000" w:rsidRDefault="00000000">
            <w:pPr>
              <w:pStyle w:val="a2"/>
              <w:ind w:firstLine="590"/>
              <w:rPr>
                <w:snapToGrid/>
              </w:rPr>
            </w:pPr>
            <w:r>
              <w:rPr>
                <w:snapToGrid/>
              </w:rPr>
              <w:t xml:space="preserve">58 </w:t>
            </w:r>
            <w:r>
              <w:rPr>
                <w:rFonts w:hint="eastAsia"/>
                <w:snapToGrid/>
              </w:rPr>
              <w:t>岁零</w:t>
            </w:r>
            <w:r>
              <w:rPr>
                <w:snapToGrid/>
              </w:rPr>
              <w:t>9</w:t>
            </w:r>
            <w:r>
              <w:rPr>
                <w:rFonts w:hint="eastAsia"/>
                <w:snapToGrid/>
              </w:rPr>
              <w:t>个</w:t>
            </w:r>
            <w:r>
              <w:rPr>
                <w:snapToGrid/>
              </w:rPr>
              <w:t>月</w:t>
            </w:r>
          </w:p>
        </w:tc>
        <w:tc>
          <w:tcPr>
            <w:tcW w:w="3084" w:type="dxa"/>
            <w:tcBorders>
              <w:top w:val="nil"/>
              <w:bottom w:val="nil"/>
            </w:tcBorders>
          </w:tcPr>
          <w:p w:rsidR="00000000" w:rsidRDefault="00000000">
            <w:pPr>
              <w:pStyle w:val="a2"/>
              <w:ind w:firstLine="590"/>
              <w:rPr>
                <w:snapToGrid/>
              </w:rPr>
            </w:pPr>
            <w:r>
              <w:rPr>
                <w:snapToGrid/>
              </w:rPr>
              <w:t xml:space="preserve">53 </w:t>
            </w:r>
            <w:r>
              <w:rPr>
                <w:rFonts w:hint="eastAsia"/>
                <w:snapToGrid/>
              </w:rPr>
              <w:t>岁零</w:t>
            </w:r>
            <w:r>
              <w:rPr>
                <w:snapToGrid/>
              </w:rPr>
              <w:t>9</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2004</w:t>
            </w:r>
          </w:p>
        </w:tc>
        <w:tc>
          <w:tcPr>
            <w:tcW w:w="3190" w:type="dxa"/>
            <w:tcBorders>
              <w:top w:val="nil"/>
              <w:bottom w:val="nil"/>
            </w:tcBorders>
          </w:tcPr>
          <w:p w:rsidR="00000000" w:rsidRDefault="00000000">
            <w:pPr>
              <w:pStyle w:val="a2"/>
              <w:ind w:firstLine="590"/>
              <w:rPr>
                <w:snapToGrid/>
              </w:rPr>
            </w:pPr>
            <w:r>
              <w:rPr>
                <w:snapToGrid/>
              </w:rPr>
              <w:t xml:space="preserve">59 </w:t>
            </w:r>
            <w:r>
              <w:rPr>
                <w:rFonts w:hint="eastAsia"/>
                <w:snapToGrid/>
              </w:rPr>
              <w:t>岁零</w:t>
            </w:r>
            <w:r>
              <w:rPr>
                <w:snapToGrid/>
              </w:rPr>
              <w:t>6</w:t>
            </w:r>
            <w:r>
              <w:rPr>
                <w:rFonts w:hint="eastAsia"/>
                <w:snapToGrid/>
              </w:rPr>
              <w:t>个</w:t>
            </w:r>
            <w:r>
              <w:rPr>
                <w:snapToGrid/>
              </w:rPr>
              <w:t>月</w:t>
            </w:r>
          </w:p>
        </w:tc>
        <w:tc>
          <w:tcPr>
            <w:tcW w:w="3084" w:type="dxa"/>
            <w:tcBorders>
              <w:top w:val="nil"/>
              <w:bottom w:val="nil"/>
            </w:tcBorders>
          </w:tcPr>
          <w:p w:rsidR="00000000" w:rsidRDefault="00000000">
            <w:pPr>
              <w:pStyle w:val="a2"/>
              <w:ind w:firstLine="590"/>
              <w:rPr>
                <w:snapToGrid/>
              </w:rPr>
            </w:pPr>
            <w:r>
              <w:rPr>
                <w:snapToGrid/>
              </w:rPr>
              <w:t xml:space="preserve">54 </w:t>
            </w:r>
            <w:r>
              <w:rPr>
                <w:rFonts w:hint="eastAsia"/>
                <w:snapToGrid/>
              </w:rPr>
              <w:t>岁零</w:t>
            </w:r>
            <w:r>
              <w:rPr>
                <w:snapToGrid/>
              </w:rPr>
              <w:t>6</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2005</w:t>
            </w:r>
          </w:p>
        </w:tc>
        <w:tc>
          <w:tcPr>
            <w:tcW w:w="3190" w:type="dxa"/>
            <w:tcBorders>
              <w:top w:val="nil"/>
              <w:bottom w:val="nil"/>
            </w:tcBorders>
          </w:tcPr>
          <w:p w:rsidR="00000000" w:rsidRDefault="00000000">
            <w:pPr>
              <w:pStyle w:val="a2"/>
              <w:ind w:firstLine="590"/>
              <w:rPr>
                <w:snapToGrid/>
              </w:rPr>
            </w:pPr>
            <w:r>
              <w:rPr>
                <w:snapToGrid/>
              </w:rPr>
              <w:t xml:space="preserve">60 </w:t>
            </w:r>
            <w:r>
              <w:rPr>
                <w:rFonts w:hint="eastAsia"/>
                <w:snapToGrid/>
              </w:rPr>
              <w:t>岁零</w:t>
            </w:r>
            <w:r>
              <w:rPr>
                <w:snapToGrid/>
              </w:rPr>
              <w:t>3</w:t>
            </w:r>
            <w:r>
              <w:rPr>
                <w:rFonts w:hint="eastAsia"/>
                <w:snapToGrid/>
              </w:rPr>
              <w:t>个</w:t>
            </w:r>
            <w:r>
              <w:rPr>
                <w:snapToGrid/>
              </w:rPr>
              <w:t>月</w:t>
            </w:r>
          </w:p>
        </w:tc>
        <w:tc>
          <w:tcPr>
            <w:tcW w:w="3084" w:type="dxa"/>
            <w:tcBorders>
              <w:top w:val="nil"/>
              <w:bottom w:val="nil"/>
            </w:tcBorders>
          </w:tcPr>
          <w:p w:rsidR="00000000" w:rsidRDefault="00000000">
            <w:pPr>
              <w:pStyle w:val="a2"/>
              <w:ind w:firstLine="590"/>
              <w:rPr>
                <w:snapToGrid/>
              </w:rPr>
            </w:pPr>
            <w:r>
              <w:rPr>
                <w:snapToGrid/>
              </w:rPr>
              <w:t xml:space="preserve">55 </w:t>
            </w:r>
            <w:r>
              <w:rPr>
                <w:rFonts w:hint="eastAsia"/>
                <w:snapToGrid/>
              </w:rPr>
              <w:t>岁零</w:t>
            </w:r>
            <w:r>
              <w:rPr>
                <w:snapToGrid/>
              </w:rPr>
              <w:t>3</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2006</w:t>
            </w:r>
          </w:p>
        </w:tc>
        <w:tc>
          <w:tcPr>
            <w:tcW w:w="3190" w:type="dxa"/>
            <w:tcBorders>
              <w:top w:val="nil"/>
              <w:bottom w:val="nil"/>
            </w:tcBorders>
          </w:tcPr>
          <w:p w:rsidR="00000000" w:rsidRDefault="00000000">
            <w:pPr>
              <w:pStyle w:val="a2"/>
              <w:ind w:firstLine="590"/>
              <w:rPr>
                <w:snapToGrid/>
              </w:rPr>
            </w:pPr>
            <w:r>
              <w:rPr>
                <w:snapToGrid/>
              </w:rPr>
              <w:t xml:space="preserve">61 </w:t>
            </w:r>
            <w:r>
              <w:rPr>
                <w:rFonts w:hint="eastAsia"/>
                <w:snapToGrid/>
              </w:rPr>
              <w:t>岁</w:t>
            </w:r>
          </w:p>
        </w:tc>
        <w:tc>
          <w:tcPr>
            <w:tcW w:w="3084" w:type="dxa"/>
            <w:tcBorders>
              <w:top w:val="nil"/>
              <w:bottom w:val="nil"/>
            </w:tcBorders>
          </w:tcPr>
          <w:p w:rsidR="00000000" w:rsidRDefault="00000000">
            <w:pPr>
              <w:pStyle w:val="a2"/>
              <w:ind w:firstLine="590"/>
              <w:rPr>
                <w:snapToGrid/>
              </w:rPr>
            </w:pPr>
            <w:r>
              <w:rPr>
                <w:snapToGrid/>
              </w:rPr>
              <w:t xml:space="preserve">56 </w:t>
            </w:r>
            <w:r>
              <w:rPr>
                <w:rFonts w:hint="eastAsia"/>
                <w:snapToGrid/>
              </w:rPr>
              <w:t>岁</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2007</w:t>
            </w:r>
          </w:p>
        </w:tc>
        <w:tc>
          <w:tcPr>
            <w:tcW w:w="3190" w:type="dxa"/>
            <w:tcBorders>
              <w:top w:val="nil"/>
              <w:bottom w:val="nil"/>
            </w:tcBorders>
          </w:tcPr>
          <w:p w:rsidR="00000000" w:rsidRDefault="00000000">
            <w:pPr>
              <w:pStyle w:val="a2"/>
              <w:ind w:firstLine="590"/>
              <w:rPr>
                <w:snapToGrid/>
              </w:rPr>
            </w:pPr>
            <w:r>
              <w:rPr>
                <w:snapToGrid/>
              </w:rPr>
              <w:t xml:space="preserve">61 </w:t>
            </w:r>
            <w:r>
              <w:rPr>
                <w:rFonts w:hint="eastAsia"/>
                <w:snapToGrid/>
              </w:rPr>
              <w:t>岁零</w:t>
            </w:r>
            <w:r>
              <w:rPr>
                <w:snapToGrid/>
              </w:rPr>
              <w:t>9</w:t>
            </w:r>
            <w:r>
              <w:rPr>
                <w:rFonts w:hint="eastAsia"/>
                <w:snapToGrid/>
              </w:rPr>
              <w:t>个</w:t>
            </w:r>
            <w:r>
              <w:rPr>
                <w:snapToGrid/>
              </w:rPr>
              <w:t>月</w:t>
            </w:r>
          </w:p>
        </w:tc>
        <w:tc>
          <w:tcPr>
            <w:tcW w:w="3084" w:type="dxa"/>
            <w:tcBorders>
              <w:top w:val="nil"/>
              <w:bottom w:val="nil"/>
            </w:tcBorders>
          </w:tcPr>
          <w:p w:rsidR="00000000" w:rsidRDefault="00000000">
            <w:pPr>
              <w:pStyle w:val="a2"/>
              <w:ind w:firstLine="590"/>
              <w:rPr>
                <w:snapToGrid/>
              </w:rPr>
            </w:pPr>
            <w:r>
              <w:rPr>
                <w:snapToGrid/>
              </w:rPr>
              <w:t xml:space="preserve">56 </w:t>
            </w:r>
            <w:r>
              <w:rPr>
                <w:rFonts w:hint="eastAsia"/>
                <w:snapToGrid/>
              </w:rPr>
              <w:t>岁零</w:t>
            </w:r>
            <w:r>
              <w:rPr>
                <w:snapToGrid/>
              </w:rPr>
              <w:t>9</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2008</w:t>
            </w:r>
          </w:p>
        </w:tc>
        <w:tc>
          <w:tcPr>
            <w:tcW w:w="3190" w:type="dxa"/>
            <w:tcBorders>
              <w:top w:val="nil"/>
              <w:bottom w:val="nil"/>
            </w:tcBorders>
          </w:tcPr>
          <w:p w:rsidR="00000000" w:rsidRDefault="00000000">
            <w:pPr>
              <w:pStyle w:val="a2"/>
              <w:ind w:firstLine="590"/>
              <w:rPr>
                <w:snapToGrid/>
              </w:rPr>
            </w:pPr>
            <w:r>
              <w:rPr>
                <w:snapToGrid/>
              </w:rPr>
              <w:t xml:space="preserve">62 </w:t>
            </w:r>
            <w:r>
              <w:rPr>
                <w:rFonts w:hint="eastAsia"/>
                <w:snapToGrid/>
              </w:rPr>
              <w:t>岁零</w:t>
            </w:r>
            <w:r>
              <w:rPr>
                <w:snapToGrid/>
              </w:rPr>
              <w:t>6</w:t>
            </w:r>
            <w:r>
              <w:rPr>
                <w:rFonts w:hint="eastAsia"/>
                <w:snapToGrid/>
              </w:rPr>
              <w:t>个</w:t>
            </w:r>
            <w:r>
              <w:rPr>
                <w:snapToGrid/>
              </w:rPr>
              <w:t>月</w:t>
            </w:r>
          </w:p>
        </w:tc>
        <w:tc>
          <w:tcPr>
            <w:tcW w:w="3084" w:type="dxa"/>
            <w:tcBorders>
              <w:top w:val="nil"/>
              <w:bottom w:val="nil"/>
            </w:tcBorders>
          </w:tcPr>
          <w:p w:rsidR="00000000" w:rsidRDefault="00000000">
            <w:pPr>
              <w:pStyle w:val="a2"/>
              <w:ind w:firstLine="590"/>
              <w:rPr>
                <w:snapToGrid/>
              </w:rPr>
            </w:pPr>
            <w:r>
              <w:rPr>
                <w:snapToGrid/>
              </w:rPr>
              <w:t xml:space="preserve">57 </w:t>
            </w:r>
            <w:r>
              <w:rPr>
                <w:rFonts w:hint="eastAsia"/>
                <w:snapToGrid/>
              </w:rPr>
              <w:t>岁零</w:t>
            </w:r>
            <w:r>
              <w:rPr>
                <w:rFonts w:hint="eastAsia"/>
                <w:snapToGrid/>
              </w:rPr>
              <w:t>6</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2009</w:t>
            </w:r>
          </w:p>
        </w:tc>
        <w:tc>
          <w:tcPr>
            <w:tcW w:w="3190" w:type="dxa"/>
            <w:tcBorders>
              <w:top w:val="nil"/>
              <w:bottom w:val="nil"/>
            </w:tcBorders>
          </w:tcPr>
          <w:p w:rsidR="00000000" w:rsidRDefault="00000000">
            <w:pPr>
              <w:pStyle w:val="a2"/>
              <w:ind w:firstLine="590"/>
              <w:rPr>
                <w:snapToGrid/>
              </w:rPr>
            </w:pPr>
            <w:r>
              <w:rPr>
                <w:snapToGrid/>
              </w:rPr>
              <w:t xml:space="preserve">63 </w:t>
            </w:r>
            <w:r>
              <w:rPr>
                <w:rFonts w:hint="eastAsia"/>
                <w:snapToGrid/>
              </w:rPr>
              <w:t>岁零</w:t>
            </w:r>
            <w:r>
              <w:rPr>
                <w:snapToGrid/>
              </w:rPr>
              <w:t>3</w:t>
            </w:r>
            <w:r>
              <w:rPr>
                <w:rFonts w:hint="eastAsia"/>
                <w:snapToGrid/>
              </w:rPr>
              <w:t>个</w:t>
            </w:r>
            <w:r>
              <w:rPr>
                <w:snapToGrid/>
              </w:rPr>
              <w:t>月</w:t>
            </w:r>
          </w:p>
        </w:tc>
        <w:tc>
          <w:tcPr>
            <w:tcW w:w="3084" w:type="dxa"/>
            <w:tcBorders>
              <w:top w:val="nil"/>
              <w:bottom w:val="nil"/>
            </w:tcBorders>
          </w:tcPr>
          <w:p w:rsidR="00000000" w:rsidRDefault="00000000">
            <w:pPr>
              <w:pStyle w:val="a2"/>
              <w:ind w:firstLine="590"/>
              <w:rPr>
                <w:snapToGrid/>
              </w:rPr>
            </w:pPr>
            <w:r>
              <w:rPr>
                <w:snapToGrid/>
              </w:rPr>
              <w:t xml:space="preserve">58 </w:t>
            </w:r>
            <w:r>
              <w:rPr>
                <w:rFonts w:hint="eastAsia"/>
                <w:snapToGrid/>
              </w:rPr>
              <w:t>岁零</w:t>
            </w:r>
            <w:r>
              <w:rPr>
                <w:snapToGrid/>
              </w:rPr>
              <w:t>3</w:t>
            </w:r>
            <w:r>
              <w:rPr>
                <w:rFonts w:hint="eastAsia"/>
                <w:snapToGrid/>
              </w:rPr>
              <w:t>个</w:t>
            </w:r>
            <w:r>
              <w:rPr>
                <w:snapToGrid/>
              </w:rPr>
              <w:t>月</w:t>
            </w:r>
          </w:p>
        </w:tc>
      </w:tr>
      <w:tr w:rsidR="00000000">
        <w:tblPrEx>
          <w:tblCellMar>
            <w:top w:w="0" w:type="dxa"/>
            <w:bottom w:w="0" w:type="dxa"/>
          </w:tblCellMar>
        </w:tblPrEx>
        <w:tc>
          <w:tcPr>
            <w:tcW w:w="3082" w:type="dxa"/>
            <w:tcBorders>
              <w:top w:val="nil"/>
              <w:bottom w:val="nil"/>
            </w:tcBorders>
          </w:tcPr>
          <w:p w:rsidR="00000000" w:rsidRDefault="00000000">
            <w:pPr>
              <w:pStyle w:val="a2"/>
              <w:jc w:val="center"/>
              <w:rPr>
                <w:snapToGrid/>
              </w:rPr>
            </w:pPr>
            <w:r>
              <w:rPr>
                <w:snapToGrid/>
              </w:rPr>
              <w:t>2010</w:t>
            </w:r>
          </w:p>
        </w:tc>
        <w:tc>
          <w:tcPr>
            <w:tcW w:w="3190" w:type="dxa"/>
            <w:tcBorders>
              <w:top w:val="nil"/>
              <w:bottom w:val="nil"/>
            </w:tcBorders>
          </w:tcPr>
          <w:p w:rsidR="00000000" w:rsidRDefault="00000000">
            <w:pPr>
              <w:pStyle w:val="a2"/>
              <w:ind w:firstLine="590"/>
              <w:rPr>
                <w:snapToGrid/>
              </w:rPr>
            </w:pPr>
            <w:r>
              <w:rPr>
                <w:snapToGrid/>
              </w:rPr>
              <w:t>64</w:t>
            </w:r>
            <w:r>
              <w:rPr>
                <w:rFonts w:hint="eastAsia"/>
                <w:snapToGrid/>
              </w:rPr>
              <w:t>岁</w:t>
            </w:r>
          </w:p>
        </w:tc>
        <w:tc>
          <w:tcPr>
            <w:tcW w:w="3084" w:type="dxa"/>
            <w:tcBorders>
              <w:top w:val="nil"/>
              <w:bottom w:val="nil"/>
            </w:tcBorders>
          </w:tcPr>
          <w:p w:rsidR="00000000" w:rsidRDefault="00000000">
            <w:pPr>
              <w:pStyle w:val="a2"/>
              <w:ind w:firstLine="590"/>
              <w:rPr>
                <w:snapToGrid/>
              </w:rPr>
            </w:pPr>
            <w:r>
              <w:rPr>
                <w:snapToGrid/>
              </w:rPr>
              <w:t>59</w:t>
            </w:r>
            <w:r>
              <w:rPr>
                <w:rFonts w:hint="eastAsia"/>
                <w:snapToGrid/>
              </w:rPr>
              <w:t>岁</w:t>
            </w:r>
          </w:p>
        </w:tc>
      </w:tr>
      <w:tr w:rsidR="00000000">
        <w:tblPrEx>
          <w:tblCellMar>
            <w:top w:w="0" w:type="dxa"/>
            <w:bottom w:w="0" w:type="dxa"/>
          </w:tblCellMar>
        </w:tblPrEx>
        <w:tc>
          <w:tcPr>
            <w:tcW w:w="3082" w:type="dxa"/>
            <w:tcBorders>
              <w:top w:val="nil"/>
            </w:tcBorders>
          </w:tcPr>
          <w:p w:rsidR="00000000" w:rsidRDefault="00000000">
            <w:pPr>
              <w:pStyle w:val="a2"/>
              <w:jc w:val="center"/>
              <w:rPr>
                <w:snapToGrid/>
              </w:rPr>
            </w:pPr>
            <w:r>
              <w:rPr>
                <w:snapToGrid/>
              </w:rPr>
              <w:t>2011</w:t>
            </w:r>
          </w:p>
        </w:tc>
        <w:tc>
          <w:tcPr>
            <w:tcW w:w="3190" w:type="dxa"/>
            <w:tcBorders>
              <w:top w:val="nil"/>
            </w:tcBorders>
          </w:tcPr>
          <w:p w:rsidR="00000000" w:rsidRDefault="00000000">
            <w:pPr>
              <w:pStyle w:val="a2"/>
              <w:ind w:firstLine="590"/>
              <w:rPr>
                <w:snapToGrid/>
              </w:rPr>
            </w:pPr>
            <w:r>
              <w:rPr>
                <w:snapToGrid/>
              </w:rPr>
              <w:t>65</w:t>
            </w:r>
            <w:r>
              <w:rPr>
                <w:rFonts w:hint="eastAsia"/>
                <w:snapToGrid/>
              </w:rPr>
              <w:t>岁</w:t>
            </w:r>
          </w:p>
        </w:tc>
        <w:tc>
          <w:tcPr>
            <w:tcW w:w="3084" w:type="dxa"/>
            <w:tcBorders>
              <w:top w:val="nil"/>
            </w:tcBorders>
          </w:tcPr>
          <w:p w:rsidR="00000000" w:rsidRDefault="00000000">
            <w:pPr>
              <w:pStyle w:val="a2"/>
              <w:ind w:firstLine="590"/>
              <w:rPr>
                <w:snapToGrid/>
              </w:rPr>
            </w:pPr>
            <w:r>
              <w:rPr>
                <w:snapToGrid/>
              </w:rPr>
              <w:t>60</w:t>
            </w:r>
            <w:r>
              <w:rPr>
                <w:rFonts w:hint="eastAsia"/>
                <w:snapToGrid/>
              </w:rPr>
              <w:t>岁</w:t>
            </w:r>
          </w:p>
        </w:tc>
      </w:tr>
    </w:tbl>
    <w:p w:rsidR="00000000" w:rsidRDefault="00000000">
      <w:pPr>
        <w:rPr>
          <w:rFonts w:hint="eastAsia"/>
          <w:snapToGrid/>
        </w:rPr>
      </w:pPr>
    </w:p>
    <w:p w:rsidR="00000000" w:rsidRDefault="00000000">
      <w:pPr>
        <w:rPr>
          <w:rFonts w:hint="eastAsia"/>
          <w:snapToGrid/>
        </w:rPr>
      </w:pPr>
      <w:r>
        <w:rPr>
          <w:snapToGrid/>
        </w:rPr>
        <w:tab/>
      </w:r>
      <w:r>
        <w:rPr>
          <w:rFonts w:hint="eastAsia"/>
          <w:snapToGrid/>
        </w:rPr>
        <w:t>248.</w:t>
      </w:r>
      <w:r>
        <w:rPr>
          <w:snapToGrid/>
        </w:rPr>
        <w:t xml:space="preserve">  </w:t>
      </w:r>
      <w:r>
        <w:rPr>
          <w:rFonts w:hint="eastAsia"/>
          <w:snapToGrid/>
        </w:rPr>
        <w:t>第</w:t>
      </w:r>
      <w:r>
        <w:rPr>
          <w:rFonts w:hint="eastAsia"/>
          <w:snapToGrid/>
        </w:rPr>
        <w:t>42</w:t>
      </w:r>
      <w:r>
        <w:rPr>
          <w:rFonts w:hint="eastAsia"/>
          <w:snapToGrid/>
        </w:rPr>
        <w:t>条规定了</w:t>
      </w:r>
      <w:r>
        <w:rPr>
          <w:rFonts w:hint="eastAsia"/>
          <w:snapToGrid/>
        </w:rPr>
        <w:t>1999</w:t>
      </w:r>
      <w:r>
        <w:rPr>
          <w:rFonts w:hint="eastAsia"/>
          <w:snapToGrid/>
        </w:rPr>
        <w:t>年至</w:t>
      </w:r>
      <w:r>
        <w:rPr>
          <w:rFonts w:hint="eastAsia"/>
          <w:snapToGrid/>
        </w:rPr>
        <w:t>2008</w:t>
      </w:r>
      <w:r>
        <w:rPr>
          <w:rFonts w:hint="eastAsia"/>
          <w:snapToGrid/>
        </w:rPr>
        <w:t>年期间的缴款期：</w:t>
      </w:r>
    </w:p>
    <w:p w:rsidR="00000000" w:rsidRDefault="00000000">
      <w:pPr>
        <w:numPr>
          <w:ilvl w:val="0"/>
          <w:numId w:val="436"/>
        </w:numPr>
        <w:spacing w:after="120"/>
        <w:rPr>
          <w:snapToGrid/>
        </w:rPr>
      </w:pPr>
      <w:r>
        <w:rPr>
          <w:rFonts w:hint="eastAsia"/>
          <w:snapToGrid/>
        </w:rPr>
        <w:t>自</w:t>
      </w:r>
      <w:r>
        <w:rPr>
          <w:rFonts w:hint="eastAsia"/>
          <w:snapToGrid/>
        </w:rPr>
        <w:t>1999</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日起，享受退休金权利所必须的缴款期为男性</w:t>
      </w:r>
      <w:r>
        <w:rPr>
          <w:rFonts w:hint="eastAsia"/>
          <w:snapToGrid/>
        </w:rPr>
        <w:t>26</w:t>
      </w:r>
      <w:r>
        <w:rPr>
          <w:rFonts w:hint="eastAsia"/>
          <w:snapToGrid/>
        </w:rPr>
        <w:t>年，女性</w:t>
      </w:r>
      <w:r>
        <w:rPr>
          <w:rFonts w:hint="eastAsia"/>
          <w:snapToGrid/>
        </w:rPr>
        <w:t>22</w:t>
      </w:r>
      <w:r>
        <w:rPr>
          <w:rFonts w:hint="eastAsia"/>
          <w:snapToGrid/>
        </w:rPr>
        <w:t>年。此后直至</w:t>
      </w:r>
      <w:r>
        <w:rPr>
          <w:rFonts w:hint="eastAsia"/>
          <w:snapToGrid/>
        </w:rPr>
        <w:t>2004</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日，缴款期限男性每年增加</w:t>
      </w:r>
      <w:r>
        <w:rPr>
          <w:rFonts w:hint="eastAsia"/>
          <w:snapToGrid/>
        </w:rPr>
        <w:t>1</w:t>
      </w:r>
      <w:r>
        <w:rPr>
          <w:rFonts w:hint="eastAsia"/>
          <w:snapToGrid/>
        </w:rPr>
        <w:t>年，女性增加</w:t>
      </w:r>
      <w:r>
        <w:rPr>
          <w:rFonts w:hint="eastAsia"/>
          <w:snapToGrid/>
        </w:rPr>
        <w:t>2</w:t>
      </w:r>
      <w:r>
        <w:rPr>
          <w:rFonts w:hint="eastAsia"/>
          <w:snapToGrid/>
        </w:rPr>
        <w:t>年，之后男女每年各增加</w:t>
      </w:r>
      <w:r>
        <w:rPr>
          <w:rFonts w:hint="eastAsia"/>
          <w:snapToGrid/>
        </w:rPr>
        <w:t>1</w:t>
      </w:r>
      <w:r>
        <w:rPr>
          <w:rFonts w:hint="eastAsia"/>
          <w:snapToGrid/>
        </w:rPr>
        <w:t>年，直至达到</w:t>
      </w:r>
      <w:r>
        <w:rPr>
          <w:rFonts w:hint="eastAsia"/>
          <w:snapToGrid/>
        </w:rPr>
        <w:t>35</w:t>
      </w:r>
      <w:r>
        <w:rPr>
          <w:rFonts w:hint="eastAsia"/>
          <w:snapToGrid/>
        </w:rPr>
        <w:t>年</w:t>
      </w:r>
      <w:r>
        <w:rPr>
          <w:rFonts w:hint="eastAsia"/>
          <w:snapToGrid/>
        </w:rPr>
        <w:t>(</w:t>
      </w:r>
      <w:r>
        <w:rPr>
          <w:rFonts w:hint="eastAsia"/>
          <w:snapToGrid/>
        </w:rPr>
        <w:t>见表</w:t>
      </w:r>
      <w:r>
        <w:rPr>
          <w:rFonts w:hint="eastAsia"/>
          <w:snapToGrid/>
        </w:rPr>
        <w:t>21)</w:t>
      </w:r>
      <w:r>
        <w:rPr>
          <w:rFonts w:hint="eastAsia"/>
          <w:snapToGrid/>
        </w:rPr>
        <w:t>：</w:t>
      </w:r>
    </w:p>
    <w:p w:rsidR="00000000" w:rsidRDefault="00000000">
      <w:pPr>
        <w:pStyle w:val="Heading3"/>
        <w:spacing w:after="120"/>
        <w:rPr>
          <w:rFonts w:hint="eastAsia"/>
          <w:kern w:val="0"/>
        </w:rPr>
      </w:pPr>
      <w:r>
        <w:rPr>
          <w:rFonts w:hint="eastAsia"/>
          <w:kern w:val="0"/>
          <w:u w:val="none"/>
        </w:rPr>
        <w:t>表</w:t>
      </w:r>
      <w:r>
        <w:rPr>
          <w:kern w:val="0"/>
          <w:u w:val="none"/>
        </w:rPr>
        <w:t xml:space="preserve"> 21.  </w:t>
      </w:r>
      <w:r>
        <w:rPr>
          <w:rFonts w:hint="eastAsia"/>
          <w:kern w:val="0"/>
        </w:rPr>
        <w:t>必要的缴款期限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jc w:val="center"/>
        </w:trPr>
        <w:tc>
          <w:tcPr>
            <w:tcW w:w="3082" w:type="dxa"/>
            <w:vMerge w:val="restart"/>
          </w:tcPr>
          <w:p w:rsidR="00000000" w:rsidRDefault="00000000">
            <w:pPr>
              <w:pStyle w:val="a2"/>
              <w:spacing w:before="160"/>
              <w:jc w:val="center"/>
              <w:rPr>
                <w:rFonts w:hint="eastAsia"/>
                <w:snapToGrid/>
              </w:rPr>
            </w:pPr>
            <w:r>
              <w:rPr>
                <w:rFonts w:hint="eastAsia"/>
                <w:snapToGrid/>
              </w:rPr>
              <w:t>自</w:t>
            </w:r>
            <w:r>
              <w:rPr>
                <w:rFonts w:hint="eastAsia"/>
                <w:snapToGrid/>
              </w:rPr>
              <w:t>1</w:t>
            </w:r>
            <w:r>
              <w:rPr>
                <w:rFonts w:hint="eastAsia"/>
                <w:snapToGrid/>
              </w:rPr>
              <w:t>月起</w:t>
            </w:r>
          </w:p>
        </w:tc>
        <w:tc>
          <w:tcPr>
            <w:tcW w:w="6274" w:type="dxa"/>
            <w:gridSpan w:val="2"/>
          </w:tcPr>
          <w:p w:rsidR="00000000" w:rsidRDefault="00000000">
            <w:pPr>
              <w:pStyle w:val="a2"/>
              <w:jc w:val="center"/>
              <w:rPr>
                <w:snapToGrid/>
              </w:rPr>
            </w:pPr>
            <w:r>
              <w:rPr>
                <w:rFonts w:hint="eastAsia"/>
                <w:snapToGrid/>
              </w:rPr>
              <w:t>必要的缴款期限</w:t>
            </w:r>
          </w:p>
        </w:tc>
      </w:tr>
      <w:tr w:rsidR="00000000">
        <w:tblPrEx>
          <w:tblCellMar>
            <w:top w:w="0" w:type="dxa"/>
            <w:bottom w:w="0" w:type="dxa"/>
          </w:tblCellMar>
        </w:tblPrEx>
        <w:trPr>
          <w:cantSplit/>
          <w:jc w:val="center"/>
        </w:trPr>
        <w:tc>
          <w:tcPr>
            <w:tcW w:w="3082" w:type="dxa"/>
            <w:vMerge/>
          </w:tcPr>
          <w:p w:rsidR="00000000" w:rsidRDefault="00000000">
            <w:pPr>
              <w:pStyle w:val="a2"/>
              <w:jc w:val="center"/>
              <w:rPr>
                <w:snapToGrid/>
              </w:rPr>
            </w:pPr>
          </w:p>
        </w:tc>
        <w:tc>
          <w:tcPr>
            <w:tcW w:w="3190" w:type="dxa"/>
          </w:tcPr>
          <w:p w:rsidR="00000000" w:rsidRDefault="00000000">
            <w:pPr>
              <w:pStyle w:val="a2"/>
              <w:jc w:val="center"/>
              <w:rPr>
                <w:rFonts w:hint="eastAsia"/>
                <w:snapToGrid/>
              </w:rPr>
            </w:pPr>
            <w:r>
              <w:rPr>
                <w:rFonts w:hint="eastAsia"/>
                <w:snapToGrid/>
              </w:rPr>
              <w:t>男</w:t>
            </w:r>
          </w:p>
        </w:tc>
        <w:tc>
          <w:tcPr>
            <w:tcW w:w="3084" w:type="dxa"/>
          </w:tcPr>
          <w:p w:rsidR="00000000" w:rsidRDefault="00000000">
            <w:pPr>
              <w:pStyle w:val="a2"/>
              <w:jc w:val="center"/>
              <w:rPr>
                <w:rFonts w:hint="eastAsia"/>
                <w:snapToGrid/>
              </w:rPr>
            </w:pPr>
            <w:r>
              <w:rPr>
                <w:rFonts w:hint="eastAsia"/>
                <w:snapToGrid/>
              </w:rPr>
              <w:t>女</w:t>
            </w:r>
          </w:p>
        </w:tc>
      </w:tr>
      <w:tr w:rsidR="00000000">
        <w:tblPrEx>
          <w:tblCellMar>
            <w:top w:w="0" w:type="dxa"/>
            <w:bottom w:w="0" w:type="dxa"/>
          </w:tblCellMar>
        </w:tblPrEx>
        <w:trPr>
          <w:jc w:val="center"/>
        </w:trPr>
        <w:tc>
          <w:tcPr>
            <w:tcW w:w="3082" w:type="dxa"/>
            <w:tcBorders>
              <w:bottom w:val="nil"/>
            </w:tcBorders>
          </w:tcPr>
          <w:p w:rsidR="00000000" w:rsidRDefault="00000000">
            <w:pPr>
              <w:pStyle w:val="a2"/>
              <w:jc w:val="center"/>
              <w:rPr>
                <w:snapToGrid/>
              </w:rPr>
            </w:pPr>
            <w:r>
              <w:rPr>
                <w:snapToGrid/>
              </w:rPr>
              <w:t>1999</w:t>
            </w:r>
          </w:p>
        </w:tc>
        <w:tc>
          <w:tcPr>
            <w:tcW w:w="3190" w:type="dxa"/>
            <w:tcBorders>
              <w:bottom w:val="nil"/>
            </w:tcBorders>
          </w:tcPr>
          <w:p w:rsidR="00000000" w:rsidRDefault="00000000">
            <w:pPr>
              <w:pStyle w:val="a2"/>
              <w:jc w:val="center"/>
              <w:rPr>
                <w:snapToGrid/>
              </w:rPr>
            </w:pPr>
            <w:r>
              <w:rPr>
                <w:snapToGrid/>
              </w:rPr>
              <w:t xml:space="preserve">26 </w:t>
            </w:r>
            <w:r>
              <w:rPr>
                <w:snapToGrid/>
              </w:rPr>
              <w:t>年</w:t>
            </w:r>
          </w:p>
        </w:tc>
        <w:tc>
          <w:tcPr>
            <w:tcW w:w="3084" w:type="dxa"/>
            <w:tcBorders>
              <w:bottom w:val="nil"/>
            </w:tcBorders>
          </w:tcPr>
          <w:p w:rsidR="00000000" w:rsidRDefault="00000000">
            <w:pPr>
              <w:pStyle w:val="a2"/>
              <w:jc w:val="center"/>
              <w:rPr>
                <w:snapToGrid/>
              </w:rPr>
            </w:pPr>
            <w:r>
              <w:rPr>
                <w:snapToGrid/>
              </w:rPr>
              <w:t xml:space="preserve">22 </w:t>
            </w:r>
            <w:r>
              <w:rPr>
                <w:snapToGrid/>
              </w:rPr>
              <w:t>年</w:t>
            </w:r>
          </w:p>
        </w:tc>
      </w:tr>
      <w:tr w:rsidR="00000000">
        <w:tblPrEx>
          <w:tblCellMar>
            <w:top w:w="0" w:type="dxa"/>
            <w:bottom w:w="0" w:type="dxa"/>
          </w:tblCellMar>
        </w:tblPrEx>
        <w:trPr>
          <w:jc w:val="center"/>
        </w:trPr>
        <w:tc>
          <w:tcPr>
            <w:tcW w:w="3082" w:type="dxa"/>
            <w:tcBorders>
              <w:top w:val="nil"/>
              <w:bottom w:val="nil"/>
            </w:tcBorders>
          </w:tcPr>
          <w:p w:rsidR="00000000" w:rsidRDefault="00000000">
            <w:pPr>
              <w:pStyle w:val="a2"/>
              <w:jc w:val="center"/>
              <w:rPr>
                <w:snapToGrid/>
              </w:rPr>
            </w:pPr>
            <w:r>
              <w:rPr>
                <w:snapToGrid/>
              </w:rPr>
              <w:t>2001</w:t>
            </w:r>
          </w:p>
        </w:tc>
        <w:tc>
          <w:tcPr>
            <w:tcW w:w="3190" w:type="dxa"/>
            <w:tcBorders>
              <w:top w:val="nil"/>
              <w:bottom w:val="nil"/>
            </w:tcBorders>
          </w:tcPr>
          <w:p w:rsidR="00000000" w:rsidRDefault="00000000">
            <w:pPr>
              <w:pStyle w:val="a2"/>
              <w:jc w:val="center"/>
              <w:rPr>
                <w:snapToGrid/>
              </w:rPr>
            </w:pPr>
            <w:r>
              <w:rPr>
                <w:snapToGrid/>
              </w:rPr>
              <w:t xml:space="preserve">28 </w:t>
            </w:r>
            <w:r>
              <w:rPr>
                <w:snapToGrid/>
              </w:rPr>
              <w:t>年</w:t>
            </w:r>
          </w:p>
        </w:tc>
        <w:tc>
          <w:tcPr>
            <w:tcW w:w="3084" w:type="dxa"/>
            <w:tcBorders>
              <w:top w:val="nil"/>
              <w:bottom w:val="nil"/>
            </w:tcBorders>
          </w:tcPr>
          <w:p w:rsidR="00000000" w:rsidRDefault="00000000">
            <w:pPr>
              <w:pStyle w:val="a2"/>
              <w:jc w:val="center"/>
              <w:rPr>
                <w:snapToGrid/>
              </w:rPr>
            </w:pPr>
            <w:r>
              <w:rPr>
                <w:snapToGrid/>
              </w:rPr>
              <w:t xml:space="preserve">26 </w:t>
            </w:r>
            <w:r>
              <w:rPr>
                <w:snapToGrid/>
              </w:rPr>
              <w:t>年</w:t>
            </w:r>
          </w:p>
        </w:tc>
      </w:tr>
      <w:tr w:rsidR="00000000">
        <w:tblPrEx>
          <w:tblCellMar>
            <w:top w:w="0" w:type="dxa"/>
            <w:bottom w:w="0" w:type="dxa"/>
          </w:tblCellMar>
        </w:tblPrEx>
        <w:trPr>
          <w:jc w:val="center"/>
        </w:trPr>
        <w:tc>
          <w:tcPr>
            <w:tcW w:w="3082" w:type="dxa"/>
            <w:tcBorders>
              <w:top w:val="nil"/>
              <w:bottom w:val="nil"/>
            </w:tcBorders>
          </w:tcPr>
          <w:p w:rsidR="00000000" w:rsidRDefault="00000000">
            <w:pPr>
              <w:pStyle w:val="a2"/>
              <w:jc w:val="center"/>
              <w:rPr>
                <w:snapToGrid/>
              </w:rPr>
            </w:pPr>
            <w:r>
              <w:rPr>
                <w:snapToGrid/>
              </w:rPr>
              <w:t>2002</w:t>
            </w:r>
          </w:p>
        </w:tc>
        <w:tc>
          <w:tcPr>
            <w:tcW w:w="3190" w:type="dxa"/>
            <w:tcBorders>
              <w:top w:val="nil"/>
              <w:bottom w:val="nil"/>
            </w:tcBorders>
          </w:tcPr>
          <w:p w:rsidR="00000000" w:rsidRDefault="00000000">
            <w:pPr>
              <w:pStyle w:val="a2"/>
              <w:jc w:val="center"/>
              <w:rPr>
                <w:snapToGrid/>
              </w:rPr>
            </w:pPr>
            <w:r>
              <w:rPr>
                <w:snapToGrid/>
              </w:rPr>
              <w:t xml:space="preserve">29 </w:t>
            </w:r>
            <w:r>
              <w:rPr>
                <w:snapToGrid/>
              </w:rPr>
              <w:t>年</w:t>
            </w:r>
          </w:p>
        </w:tc>
        <w:tc>
          <w:tcPr>
            <w:tcW w:w="3084" w:type="dxa"/>
            <w:tcBorders>
              <w:top w:val="nil"/>
              <w:bottom w:val="nil"/>
            </w:tcBorders>
          </w:tcPr>
          <w:p w:rsidR="00000000" w:rsidRDefault="00000000">
            <w:pPr>
              <w:pStyle w:val="a2"/>
              <w:jc w:val="center"/>
              <w:rPr>
                <w:snapToGrid/>
              </w:rPr>
            </w:pPr>
            <w:r>
              <w:rPr>
                <w:snapToGrid/>
              </w:rPr>
              <w:t xml:space="preserve">28 </w:t>
            </w:r>
            <w:r>
              <w:rPr>
                <w:snapToGrid/>
              </w:rPr>
              <w:t>年</w:t>
            </w:r>
          </w:p>
        </w:tc>
      </w:tr>
      <w:tr w:rsidR="00000000">
        <w:tblPrEx>
          <w:tblCellMar>
            <w:top w:w="0" w:type="dxa"/>
            <w:bottom w:w="0" w:type="dxa"/>
          </w:tblCellMar>
        </w:tblPrEx>
        <w:trPr>
          <w:jc w:val="center"/>
        </w:trPr>
        <w:tc>
          <w:tcPr>
            <w:tcW w:w="3082" w:type="dxa"/>
            <w:tcBorders>
              <w:top w:val="nil"/>
              <w:bottom w:val="nil"/>
            </w:tcBorders>
          </w:tcPr>
          <w:p w:rsidR="00000000" w:rsidRDefault="00000000">
            <w:pPr>
              <w:pStyle w:val="a2"/>
              <w:jc w:val="center"/>
              <w:rPr>
                <w:snapToGrid/>
              </w:rPr>
            </w:pPr>
            <w:r>
              <w:rPr>
                <w:snapToGrid/>
              </w:rPr>
              <w:t>2003</w:t>
            </w:r>
          </w:p>
        </w:tc>
        <w:tc>
          <w:tcPr>
            <w:tcW w:w="3190" w:type="dxa"/>
            <w:tcBorders>
              <w:top w:val="nil"/>
              <w:bottom w:val="nil"/>
            </w:tcBorders>
          </w:tcPr>
          <w:p w:rsidR="00000000" w:rsidRDefault="00000000">
            <w:pPr>
              <w:pStyle w:val="a2"/>
              <w:jc w:val="center"/>
              <w:rPr>
                <w:snapToGrid/>
              </w:rPr>
            </w:pPr>
            <w:r>
              <w:rPr>
                <w:snapToGrid/>
              </w:rPr>
              <w:t xml:space="preserve">30 </w:t>
            </w:r>
            <w:r>
              <w:rPr>
                <w:snapToGrid/>
              </w:rPr>
              <w:t>年</w:t>
            </w:r>
          </w:p>
        </w:tc>
        <w:tc>
          <w:tcPr>
            <w:tcW w:w="3084" w:type="dxa"/>
            <w:tcBorders>
              <w:top w:val="nil"/>
              <w:bottom w:val="nil"/>
            </w:tcBorders>
          </w:tcPr>
          <w:p w:rsidR="00000000" w:rsidRDefault="00000000">
            <w:pPr>
              <w:pStyle w:val="a2"/>
              <w:jc w:val="center"/>
              <w:rPr>
                <w:snapToGrid/>
              </w:rPr>
            </w:pPr>
            <w:r>
              <w:rPr>
                <w:snapToGrid/>
              </w:rPr>
              <w:t xml:space="preserve">30 </w:t>
            </w:r>
            <w:r>
              <w:rPr>
                <w:snapToGrid/>
              </w:rPr>
              <w:t>年</w:t>
            </w:r>
          </w:p>
        </w:tc>
      </w:tr>
      <w:tr w:rsidR="00000000">
        <w:tblPrEx>
          <w:tblCellMar>
            <w:top w:w="0" w:type="dxa"/>
            <w:bottom w:w="0" w:type="dxa"/>
          </w:tblCellMar>
        </w:tblPrEx>
        <w:trPr>
          <w:jc w:val="center"/>
        </w:trPr>
        <w:tc>
          <w:tcPr>
            <w:tcW w:w="3082" w:type="dxa"/>
            <w:tcBorders>
              <w:top w:val="nil"/>
              <w:bottom w:val="nil"/>
            </w:tcBorders>
          </w:tcPr>
          <w:p w:rsidR="00000000" w:rsidRDefault="00000000">
            <w:pPr>
              <w:pStyle w:val="a2"/>
              <w:jc w:val="center"/>
              <w:rPr>
                <w:snapToGrid/>
              </w:rPr>
            </w:pPr>
            <w:r>
              <w:rPr>
                <w:snapToGrid/>
              </w:rPr>
              <w:t>2004</w:t>
            </w:r>
          </w:p>
        </w:tc>
        <w:tc>
          <w:tcPr>
            <w:tcW w:w="3190" w:type="dxa"/>
            <w:tcBorders>
              <w:top w:val="nil"/>
              <w:bottom w:val="nil"/>
            </w:tcBorders>
          </w:tcPr>
          <w:p w:rsidR="00000000" w:rsidRDefault="00000000">
            <w:pPr>
              <w:pStyle w:val="a2"/>
              <w:jc w:val="center"/>
              <w:rPr>
                <w:snapToGrid/>
              </w:rPr>
            </w:pPr>
            <w:r>
              <w:rPr>
                <w:snapToGrid/>
              </w:rPr>
              <w:t xml:space="preserve">31 </w:t>
            </w:r>
            <w:r>
              <w:rPr>
                <w:snapToGrid/>
              </w:rPr>
              <w:t>年</w:t>
            </w:r>
          </w:p>
        </w:tc>
        <w:tc>
          <w:tcPr>
            <w:tcW w:w="3084" w:type="dxa"/>
            <w:tcBorders>
              <w:top w:val="nil"/>
              <w:bottom w:val="nil"/>
            </w:tcBorders>
          </w:tcPr>
          <w:p w:rsidR="00000000" w:rsidRDefault="00000000">
            <w:pPr>
              <w:pStyle w:val="a2"/>
              <w:jc w:val="center"/>
              <w:rPr>
                <w:snapToGrid/>
              </w:rPr>
            </w:pPr>
            <w:r>
              <w:rPr>
                <w:snapToGrid/>
              </w:rPr>
              <w:t xml:space="preserve">31 </w:t>
            </w:r>
            <w:r>
              <w:rPr>
                <w:snapToGrid/>
              </w:rPr>
              <w:t>年</w:t>
            </w:r>
          </w:p>
        </w:tc>
      </w:tr>
      <w:tr w:rsidR="00000000">
        <w:tblPrEx>
          <w:tblCellMar>
            <w:top w:w="0" w:type="dxa"/>
            <w:bottom w:w="0" w:type="dxa"/>
          </w:tblCellMar>
        </w:tblPrEx>
        <w:trPr>
          <w:jc w:val="center"/>
        </w:trPr>
        <w:tc>
          <w:tcPr>
            <w:tcW w:w="3082" w:type="dxa"/>
            <w:tcBorders>
              <w:top w:val="nil"/>
              <w:bottom w:val="nil"/>
            </w:tcBorders>
          </w:tcPr>
          <w:p w:rsidR="00000000" w:rsidRDefault="00000000">
            <w:pPr>
              <w:pStyle w:val="a2"/>
              <w:jc w:val="center"/>
              <w:rPr>
                <w:snapToGrid/>
              </w:rPr>
            </w:pPr>
            <w:r>
              <w:rPr>
                <w:snapToGrid/>
              </w:rPr>
              <w:t>2005</w:t>
            </w:r>
          </w:p>
        </w:tc>
        <w:tc>
          <w:tcPr>
            <w:tcW w:w="3190" w:type="dxa"/>
            <w:tcBorders>
              <w:top w:val="nil"/>
              <w:bottom w:val="nil"/>
            </w:tcBorders>
          </w:tcPr>
          <w:p w:rsidR="00000000" w:rsidRDefault="00000000">
            <w:pPr>
              <w:pStyle w:val="a2"/>
              <w:jc w:val="center"/>
              <w:rPr>
                <w:snapToGrid/>
              </w:rPr>
            </w:pPr>
            <w:r>
              <w:rPr>
                <w:snapToGrid/>
              </w:rPr>
              <w:t xml:space="preserve">32 </w:t>
            </w:r>
            <w:r>
              <w:rPr>
                <w:snapToGrid/>
              </w:rPr>
              <w:t>年</w:t>
            </w:r>
          </w:p>
        </w:tc>
        <w:tc>
          <w:tcPr>
            <w:tcW w:w="3084" w:type="dxa"/>
            <w:tcBorders>
              <w:top w:val="nil"/>
              <w:bottom w:val="nil"/>
            </w:tcBorders>
          </w:tcPr>
          <w:p w:rsidR="00000000" w:rsidRDefault="00000000">
            <w:pPr>
              <w:pStyle w:val="a2"/>
              <w:jc w:val="center"/>
              <w:rPr>
                <w:snapToGrid/>
              </w:rPr>
            </w:pPr>
            <w:r>
              <w:rPr>
                <w:snapToGrid/>
              </w:rPr>
              <w:t xml:space="preserve">32 </w:t>
            </w:r>
            <w:r>
              <w:rPr>
                <w:snapToGrid/>
              </w:rPr>
              <w:t>年</w:t>
            </w:r>
          </w:p>
        </w:tc>
      </w:tr>
      <w:tr w:rsidR="00000000">
        <w:tblPrEx>
          <w:tblCellMar>
            <w:top w:w="0" w:type="dxa"/>
            <w:bottom w:w="0" w:type="dxa"/>
          </w:tblCellMar>
        </w:tblPrEx>
        <w:trPr>
          <w:jc w:val="center"/>
        </w:trPr>
        <w:tc>
          <w:tcPr>
            <w:tcW w:w="3082" w:type="dxa"/>
            <w:tcBorders>
              <w:top w:val="nil"/>
              <w:bottom w:val="nil"/>
            </w:tcBorders>
          </w:tcPr>
          <w:p w:rsidR="00000000" w:rsidRDefault="00000000">
            <w:pPr>
              <w:pStyle w:val="a2"/>
              <w:jc w:val="center"/>
              <w:rPr>
                <w:snapToGrid/>
              </w:rPr>
            </w:pPr>
            <w:r>
              <w:rPr>
                <w:snapToGrid/>
              </w:rPr>
              <w:t>2006</w:t>
            </w:r>
          </w:p>
        </w:tc>
        <w:tc>
          <w:tcPr>
            <w:tcW w:w="3190" w:type="dxa"/>
            <w:tcBorders>
              <w:top w:val="nil"/>
              <w:bottom w:val="nil"/>
            </w:tcBorders>
          </w:tcPr>
          <w:p w:rsidR="00000000" w:rsidRDefault="00000000">
            <w:pPr>
              <w:pStyle w:val="a2"/>
              <w:jc w:val="center"/>
              <w:rPr>
                <w:snapToGrid/>
              </w:rPr>
            </w:pPr>
            <w:r>
              <w:rPr>
                <w:snapToGrid/>
              </w:rPr>
              <w:t xml:space="preserve">33 </w:t>
            </w:r>
            <w:r>
              <w:rPr>
                <w:snapToGrid/>
              </w:rPr>
              <w:t>年</w:t>
            </w:r>
          </w:p>
        </w:tc>
        <w:tc>
          <w:tcPr>
            <w:tcW w:w="3084" w:type="dxa"/>
            <w:tcBorders>
              <w:top w:val="nil"/>
              <w:bottom w:val="nil"/>
            </w:tcBorders>
          </w:tcPr>
          <w:p w:rsidR="00000000" w:rsidRDefault="00000000">
            <w:pPr>
              <w:pStyle w:val="a2"/>
              <w:jc w:val="center"/>
              <w:rPr>
                <w:snapToGrid/>
              </w:rPr>
            </w:pPr>
            <w:r>
              <w:rPr>
                <w:snapToGrid/>
              </w:rPr>
              <w:t xml:space="preserve">33 </w:t>
            </w:r>
            <w:r>
              <w:rPr>
                <w:snapToGrid/>
              </w:rPr>
              <w:t>年</w:t>
            </w:r>
          </w:p>
        </w:tc>
      </w:tr>
      <w:tr w:rsidR="00000000">
        <w:tblPrEx>
          <w:tblCellMar>
            <w:top w:w="0" w:type="dxa"/>
            <w:bottom w:w="0" w:type="dxa"/>
          </w:tblCellMar>
        </w:tblPrEx>
        <w:trPr>
          <w:jc w:val="center"/>
        </w:trPr>
        <w:tc>
          <w:tcPr>
            <w:tcW w:w="3082" w:type="dxa"/>
            <w:tcBorders>
              <w:top w:val="nil"/>
              <w:bottom w:val="nil"/>
            </w:tcBorders>
          </w:tcPr>
          <w:p w:rsidR="00000000" w:rsidRDefault="00000000">
            <w:pPr>
              <w:pStyle w:val="a2"/>
              <w:jc w:val="center"/>
              <w:rPr>
                <w:snapToGrid/>
              </w:rPr>
            </w:pPr>
            <w:r>
              <w:rPr>
                <w:snapToGrid/>
              </w:rPr>
              <w:t>2007</w:t>
            </w:r>
          </w:p>
        </w:tc>
        <w:tc>
          <w:tcPr>
            <w:tcW w:w="3190" w:type="dxa"/>
            <w:tcBorders>
              <w:top w:val="nil"/>
              <w:bottom w:val="nil"/>
            </w:tcBorders>
          </w:tcPr>
          <w:p w:rsidR="00000000" w:rsidRDefault="00000000">
            <w:pPr>
              <w:pStyle w:val="a2"/>
              <w:jc w:val="center"/>
              <w:rPr>
                <w:snapToGrid/>
              </w:rPr>
            </w:pPr>
            <w:r>
              <w:rPr>
                <w:snapToGrid/>
              </w:rPr>
              <w:t xml:space="preserve">34 </w:t>
            </w:r>
            <w:r>
              <w:rPr>
                <w:snapToGrid/>
              </w:rPr>
              <w:t>年</w:t>
            </w:r>
          </w:p>
        </w:tc>
        <w:tc>
          <w:tcPr>
            <w:tcW w:w="3084" w:type="dxa"/>
            <w:tcBorders>
              <w:top w:val="nil"/>
              <w:bottom w:val="nil"/>
            </w:tcBorders>
          </w:tcPr>
          <w:p w:rsidR="00000000" w:rsidRDefault="00000000">
            <w:pPr>
              <w:pStyle w:val="a2"/>
              <w:jc w:val="center"/>
              <w:rPr>
                <w:snapToGrid/>
              </w:rPr>
            </w:pPr>
            <w:r>
              <w:rPr>
                <w:snapToGrid/>
              </w:rPr>
              <w:t xml:space="preserve">34 </w:t>
            </w:r>
            <w:r>
              <w:rPr>
                <w:snapToGrid/>
              </w:rPr>
              <w:t>年</w:t>
            </w:r>
          </w:p>
        </w:tc>
      </w:tr>
      <w:tr w:rsidR="00000000">
        <w:tblPrEx>
          <w:tblCellMar>
            <w:top w:w="0" w:type="dxa"/>
            <w:bottom w:w="0" w:type="dxa"/>
          </w:tblCellMar>
        </w:tblPrEx>
        <w:trPr>
          <w:jc w:val="center"/>
        </w:trPr>
        <w:tc>
          <w:tcPr>
            <w:tcW w:w="3082" w:type="dxa"/>
            <w:tcBorders>
              <w:top w:val="nil"/>
            </w:tcBorders>
          </w:tcPr>
          <w:p w:rsidR="00000000" w:rsidRDefault="00000000">
            <w:pPr>
              <w:pStyle w:val="a2"/>
              <w:jc w:val="center"/>
              <w:rPr>
                <w:snapToGrid/>
              </w:rPr>
            </w:pPr>
            <w:r>
              <w:rPr>
                <w:snapToGrid/>
              </w:rPr>
              <w:t>2008</w:t>
            </w:r>
          </w:p>
        </w:tc>
        <w:tc>
          <w:tcPr>
            <w:tcW w:w="3190" w:type="dxa"/>
            <w:tcBorders>
              <w:top w:val="nil"/>
            </w:tcBorders>
          </w:tcPr>
          <w:p w:rsidR="00000000" w:rsidRDefault="00000000">
            <w:pPr>
              <w:pStyle w:val="a2"/>
              <w:jc w:val="center"/>
              <w:rPr>
                <w:snapToGrid/>
              </w:rPr>
            </w:pPr>
            <w:r>
              <w:rPr>
                <w:snapToGrid/>
              </w:rPr>
              <w:t xml:space="preserve">35 </w:t>
            </w:r>
            <w:r>
              <w:rPr>
                <w:snapToGrid/>
              </w:rPr>
              <w:t>年</w:t>
            </w:r>
          </w:p>
        </w:tc>
        <w:tc>
          <w:tcPr>
            <w:tcW w:w="3084" w:type="dxa"/>
            <w:tcBorders>
              <w:top w:val="nil"/>
            </w:tcBorders>
          </w:tcPr>
          <w:p w:rsidR="00000000" w:rsidRDefault="00000000">
            <w:pPr>
              <w:pStyle w:val="a2"/>
              <w:jc w:val="center"/>
              <w:rPr>
                <w:snapToGrid/>
              </w:rPr>
            </w:pPr>
            <w:r>
              <w:rPr>
                <w:snapToGrid/>
              </w:rPr>
              <w:t xml:space="preserve">35 </w:t>
            </w:r>
            <w:r>
              <w:rPr>
                <w:snapToGrid/>
              </w:rPr>
              <w:t>年</w:t>
            </w:r>
          </w:p>
        </w:tc>
      </w:tr>
    </w:tbl>
    <w:p w:rsidR="00000000" w:rsidRDefault="00000000">
      <w:pPr>
        <w:rPr>
          <w:rFonts w:hint="eastAsia"/>
          <w:snapToGrid/>
        </w:rPr>
      </w:pPr>
    </w:p>
    <w:p w:rsidR="00000000" w:rsidRDefault="00000000">
      <w:pPr>
        <w:ind w:left="1575" w:hanging="420"/>
        <w:rPr>
          <w:rFonts w:hint="eastAsia"/>
          <w:snapToGrid/>
        </w:rPr>
      </w:pPr>
      <w:r>
        <w:rPr>
          <w:snapToGrid/>
        </w:rPr>
        <w:t>(b)</w:t>
      </w:r>
      <w:r>
        <w:rPr>
          <w:snapToGrid/>
        </w:rPr>
        <w:tab/>
      </w:r>
      <w:r>
        <w:rPr>
          <w:rFonts w:hint="eastAsia"/>
          <w:snapToGrid/>
        </w:rPr>
        <w:t>第</w:t>
      </w:r>
      <w:r>
        <w:rPr>
          <w:rFonts w:hint="eastAsia"/>
          <w:snapToGrid/>
        </w:rPr>
        <w:t>4</w:t>
      </w:r>
      <w:r>
        <w:rPr>
          <w:rFonts w:hint="eastAsia"/>
          <w:snapToGrid/>
        </w:rPr>
        <w:t>条第</w:t>
      </w:r>
      <w:r>
        <w:rPr>
          <w:rFonts w:hint="eastAsia"/>
          <w:snapToGrid/>
        </w:rPr>
        <w:t>3</w:t>
      </w:r>
      <w:r>
        <w:rPr>
          <w:rFonts w:hint="eastAsia"/>
          <w:snapToGrid/>
        </w:rPr>
        <w:t>款中规定，对于有害和困难工作来说，享受养老金权利所必须的特殊缴款期限为男性</w:t>
      </w:r>
      <w:r>
        <w:rPr>
          <w:rFonts w:hint="eastAsia"/>
          <w:snapToGrid/>
        </w:rPr>
        <w:t>10</w:t>
      </w:r>
      <w:r>
        <w:rPr>
          <w:rFonts w:hint="eastAsia"/>
          <w:snapToGrid/>
        </w:rPr>
        <w:t>年，女性</w:t>
      </w:r>
      <w:r>
        <w:rPr>
          <w:rFonts w:hint="eastAsia"/>
          <w:snapToGrid/>
        </w:rPr>
        <w:t>7</w:t>
      </w:r>
      <w:r>
        <w:rPr>
          <w:rFonts w:hint="eastAsia"/>
          <w:snapToGrid/>
        </w:rPr>
        <w:t>年。</w:t>
      </w:r>
    </w:p>
    <w:p w:rsidR="00000000" w:rsidRDefault="00000000">
      <w:pPr>
        <w:rPr>
          <w:snapToGrid/>
        </w:rPr>
      </w:pPr>
      <w:r>
        <w:rPr>
          <w:snapToGrid/>
        </w:rPr>
        <w:tab/>
      </w:r>
      <w:r>
        <w:rPr>
          <w:rFonts w:hint="eastAsia"/>
          <w:snapToGrid/>
        </w:rPr>
        <w:t>249.</w:t>
      </w:r>
      <w:r>
        <w:rPr>
          <w:snapToGrid/>
        </w:rPr>
        <w:t xml:space="preserve">  </w:t>
      </w:r>
      <w:r>
        <w:rPr>
          <w:rFonts w:hint="eastAsia"/>
          <w:snapToGrid/>
        </w:rPr>
        <w:t>该法第</w:t>
      </w:r>
      <w:r>
        <w:rPr>
          <w:rFonts w:hint="eastAsia"/>
          <w:snapToGrid/>
        </w:rPr>
        <w:t>15</w:t>
      </w:r>
      <w:r>
        <w:rPr>
          <w:rFonts w:hint="eastAsia"/>
          <w:snapToGrid/>
        </w:rPr>
        <w:t>条为退休金规定了条件：</w:t>
      </w:r>
    </w:p>
    <w:p w:rsidR="00000000" w:rsidRDefault="00000000">
      <w:pPr>
        <w:numPr>
          <w:ilvl w:val="0"/>
          <w:numId w:val="437"/>
        </w:numPr>
        <w:rPr>
          <w:snapToGrid/>
        </w:rPr>
      </w:pPr>
      <w:r>
        <w:rPr>
          <w:rFonts w:hint="eastAsia"/>
          <w:snapToGrid/>
        </w:rPr>
        <w:t>已达到第</w:t>
      </w:r>
      <w:r>
        <w:rPr>
          <w:rFonts w:hint="eastAsia"/>
          <w:snapToGrid/>
        </w:rPr>
        <w:t>41</w:t>
      </w:r>
      <w:r>
        <w:rPr>
          <w:rFonts w:hint="eastAsia"/>
          <w:snapToGrid/>
        </w:rPr>
        <w:t>条中规定的年龄，而且满足第</w:t>
      </w:r>
      <w:r>
        <w:rPr>
          <w:rFonts w:hint="eastAsia"/>
          <w:snapToGrid/>
        </w:rPr>
        <w:t>42</w:t>
      </w:r>
      <w:r>
        <w:rPr>
          <w:rFonts w:hint="eastAsia"/>
          <w:snapToGrid/>
        </w:rPr>
        <w:t>条中关于缴款期限的规定，便可领取全额退休金；</w:t>
      </w:r>
    </w:p>
    <w:p w:rsidR="00000000" w:rsidRDefault="00000000">
      <w:pPr>
        <w:numPr>
          <w:ilvl w:val="0"/>
          <w:numId w:val="437"/>
        </w:numPr>
        <w:rPr>
          <w:rFonts w:hint="eastAsia"/>
          <w:snapToGrid/>
        </w:rPr>
      </w:pPr>
      <w:r>
        <w:rPr>
          <w:rFonts w:hint="eastAsia"/>
          <w:snapToGrid/>
        </w:rPr>
        <w:t>如果投保人在达到标准退休年龄时，其缴款期未达到必须的年限，但至少有</w:t>
      </w:r>
      <w:r>
        <w:rPr>
          <w:rFonts w:hint="eastAsia"/>
          <w:snapToGrid/>
        </w:rPr>
        <w:t>20</w:t>
      </w:r>
      <w:r>
        <w:rPr>
          <w:rFonts w:hint="eastAsia"/>
          <w:snapToGrid/>
        </w:rPr>
        <w:t>年，则有权享受部分退休金，根据其缴款的年限计算。</w:t>
      </w:r>
    </w:p>
    <w:p w:rsidR="00000000" w:rsidRDefault="00000000">
      <w:pPr>
        <w:rPr>
          <w:snapToGrid/>
        </w:rPr>
      </w:pPr>
      <w:r>
        <w:rPr>
          <w:snapToGrid/>
        </w:rPr>
        <w:tab/>
      </w:r>
      <w:r>
        <w:rPr>
          <w:rFonts w:hint="eastAsia"/>
          <w:snapToGrid/>
        </w:rPr>
        <w:t>250.</w:t>
      </w:r>
      <w:r>
        <w:rPr>
          <w:snapToGrid/>
        </w:rPr>
        <w:t xml:space="preserve">  </w:t>
      </w:r>
      <w:r>
        <w:rPr>
          <w:rFonts w:hint="eastAsia"/>
          <w:snapToGrid/>
        </w:rPr>
        <w:t>退休金数额根据上面提到的法律第</w:t>
      </w:r>
      <w:r>
        <w:rPr>
          <w:rFonts w:hint="eastAsia"/>
          <w:snapToGrid/>
        </w:rPr>
        <w:t>16</w:t>
      </w:r>
      <w:r>
        <w:rPr>
          <w:rFonts w:hint="eastAsia"/>
          <w:snapToGrid/>
        </w:rPr>
        <w:t>条计算：</w:t>
      </w:r>
    </w:p>
    <w:p w:rsidR="00000000" w:rsidRDefault="00000000">
      <w:pPr>
        <w:numPr>
          <w:ilvl w:val="0"/>
          <w:numId w:val="438"/>
        </w:numPr>
        <w:rPr>
          <w:snapToGrid/>
        </w:rPr>
      </w:pPr>
      <w:r>
        <w:rPr>
          <w:rFonts w:hint="eastAsia"/>
          <w:snapToGrid/>
        </w:rPr>
        <w:t>全额退休金的计算方法是，在</w:t>
      </w:r>
      <w:r>
        <w:rPr>
          <w:rFonts w:hint="eastAsia"/>
          <w:snapToGrid/>
        </w:rPr>
        <w:t>35</w:t>
      </w:r>
      <w:r>
        <w:rPr>
          <w:rFonts w:hint="eastAsia"/>
          <w:snapToGrid/>
        </w:rPr>
        <w:t>年缴款期中每年在投保收入</w:t>
      </w:r>
      <w:r>
        <w:rPr>
          <w:rFonts w:hint="eastAsia"/>
          <w:snapToGrid/>
        </w:rPr>
        <w:t>(</w:t>
      </w:r>
      <w:r>
        <w:rPr>
          <w:rFonts w:hint="eastAsia"/>
          <w:snapToGrid/>
        </w:rPr>
        <w:t>见第</w:t>
      </w:r>
      <w:r>
        <w:rPr>
          <w:rFonts w:hint="eastAsia"/>
          <w:snapToGrid/>
        </w:rPr>
        <w:t>8</w:t>
      </w:r>
      <w:r>
        <w:rPr>
          <w:rFonts w:hint="eastAsia"/>
          <w:snapToGrid/>
        </w:rPr>
        <w:t>条</w:t>
      </w:r>
      <w:r>
        <w:rPr>
          <w:rFonts w:hint="eastAsia"/>
          <w:snapToGrid/>
        </w:rPr>
        <w:t>)</w:t>
      </w:r>
      <w:r>
        <w:rPr>
          <w:rFonts w:hint="eastAsia"/>
          <w:snapToGrid/>
        </w:rPr>
        <w:t>中计取</w:t>
      </w:r>
      <w:r>
        <w:rPr>
          <w:rFonts w:hint="eastAsia"/>
          <w:snapToGrid/>
        </w:rPr>
        <w:t>1.2%</w:t>
      </w:r>
      <w:r>
        <w:rPr>
          <w:rFonts w:hint="eastAsia"/>
          <w:snapToGrid/>
        </w:rPr>
        <w:t>；</w:t>
      </w:r>
    </w:p>
    <w:p w:rsidR="00000000" w:rsidRDefault="00000000">
      <w:pPr>
        <w:numPr>
          <w:ilvl w:val="0"/>
          <w:numId w:val="438"/>
        </w:numPr>
        <w:rPr>
          <w:snapToGrid/>
        </w:rPr>
      </w:pPr>
      <w:r>
        <w:rPr>
          <w:rFonts w:hint="eastAsia"/>
          <w:snapToGrid/>
        </w:rPr>
        <w:t>如果投保人的缴款期限超过</w:t>
      </w:r>
      <w:r>
        <w:rPr>
          <w:rFonts w:hint="eastAsia"/>
          <w:snapToGrid/>
        </w:rPr>
        <w:t>35</w:t>
      </w:r>
      <w:r>
        <w:rPr>
          <w:rFonts w:hint="eastAsia"/>
          <w:snapToGrid/>
        </w:rPr>
        <w:t>年，则每多出一年可以获得相当于全额退休金</w:t>
      </w:r>
      <w:r>
        <w:rPr>
          <w:rFonts w:hint="eastAsia"/>
          <w:snapToGrid/>
        </w:rPr>
        <w:t>2%</w:t>
      </w:r>
      <w:r>
        <w:rPr>
          <w:rFonts w:hint="eastAsia"/>
          <w:snapToGrid/>
        </w:rPr>
        <w:t>的增加额；</w:t>
      </w:r>
    </w:p>
    <w:p w:rsidR="00000000" w:rsidRDefault="00000000">
      <w:pPr>
        <w:numPr>
          <w:ilvl w:val="0"/>
          <w:numId w:val="438"/>
        </w:numPr>
        <w:rPr>
          <w:snapToGrid/>
        </w:rPr>
      </w:pPr>
      <w:r>
        <w:rPr>
          <w:rFonts w:hint="eastAsia"/>
          <w:snapToGrid/>
        </w:rPr>
        <w:t>如果投保人已满足第</w:t>
      </w:r>
      <w:r>
        <w:rPr>
          <w:rFonts w:hint="eastAsia"/>
          <w:snapToGrid/>
        </w:rPr>
        <w:t>15</w:t>
      </w:r>
      <w:r>
        <w:rPr>
          <w:rFonts w:hint="eastAsia"/>
          <w:snapToGrid/>
        </w:rPr>
        <w:t>条第</w:t>
      </w:r>
      <w:r>
        <w:rPr>
          <w:rFonts w:hint="eastAsia"/>
          <w:snapToGrid/>
        </w:rPr>
        <w:t>1</w:t>
      </w:r>
      <w:r>
        <w:rPr>
          <w:rFonts w:hint="eastAsia"/>
          <w:snapToGrid/>
        </w:rPr>
        <w:t>款中规定的退休条件，但是没有立即行使其享受退休金的权利，则可以获得增加额，在达到标准退休年龄后，每多缴款一年可以获得相当于全额退休金</w:t>
      </w:r>
      <w:r>
        <w:rPr>
          <w:rFonts w:hint="eastAsia"/>
          <w:snapToGrid/>
        </w:rPr>
        <w:t>2%</w:t>
      </w:r>
      <w:r>
        <w:rPr>
          <w:rFonts w:hint="eastAsia"/>
          <w:snapToGrid/>
        </w:rPr>
        <w:t>的增加额；</w:t>
      </w:r>
    </w:p>
    <w:p w:rsidR="00000000" w:rsidRDefault="00000000">
      <w:pPr>
        <w:numPr>
          <w:ilvl w:val="0"/>
          <w:numId w:val="438"/>
        </w:numPr>
        <w:rPr>
          <w:rFonts w:hint="eastAsia"/>
          <w:snapToGrid/>
        </w:rPr>
      </w:pPr>
      <w:r>
        <w:rPr>
          <w:rFonts w:hint="eastAsia"/>
          <w:snapToGrid/>
        </w:rPr>
        <w:t>计算退休金的公式如下：</w:t>
      </w:r>
    </w:p>
    <w:p w:rsidR="00000000" w:rsidRDefault="00000000">
      <w:pPr>
        <w:ind w:left="1560"/>
        <w:rPr>
          <w:rFonts w:hint="eastAsia"/>
          <w:snapToGrid/>
        </w:rPr>
      </w:pPr>
      <w:r>
        <w:rPr>
          <w:rFonts w:hint="eastAsia"/>
          <w:snapToGrid/>
        </w:rPr>
        <w:t>计算全额退休金的公式是：</w:t>
      </w:r>
    </w:p>
    <w:p w:rsidR="00000000" w:rsidRDefault="00000000">
      <w:pPr>
        <w:ind w:left="1040" w:firstLine="1060"/>
        <w:rPr>
          <w:snapToGrid/>
        </w:rPr>
      </w:pPr>
      <w:r>
        <w:rPr>
          <w:rFonts w:hint="eastAsia"/>
          <w:snapToGrid/>
        </w:rPr>
        <w:t>P={1.2%*35+2%*(Vt-35)+2%*(R-Rn)}*Sa</w:t>
      </w:r>
    </w:p>
    <w:p w:rsidR="00000000" w:rsidRDefault="00000000">
      <w:pPr>
        <w:ind w:firstLine="1060"/>
        <w:rPr>
          <w:rFonts w:hint="eastAsia"/>
          <w:snapToGrid/>
        </w:rPr>
      </w:pPr>
      <w:r>
        <w:rPr>
          <w:rFonts w:hint="eastAsia"/>
          <w:snapToGrid/>
        </w:rPr>
        <w:t>其中：</w:t>
      </w:r>
    </w:p>
    <w:p w:rsidR="00000000" w:rsidRDefault="00000000">
      <w:pPr>
        <w:ind w:left="1040" w:firstLine="1060"/>
        <w:rPr>
          <w:rFonts w:hint="eastAsia"/>
          <w:snapToGrid/>
        </w:rPr>
      </w:pPr>
      <w:r>
        <w:rPr>
          <w:rFonts w:hint="eastAsia"/>
          <w:snapToGrid/>
        </w:rPr>
        <w:t>P=</w:t>
      </w:r>
      <w:r>
        <w:rPr>
          <w:rFonts w:hint="eastAsia"/>
          <w:snapToGrid/>
        </w:rPr>
        <w:t>退休金金额；</w:t>
      </w:r>
    </w:p>
    <w:p w:rsidR="00000000" w:rsidRDefault="00000000">
      <w:pPr>
        <w:ind w:left="1040" w:firstLine="1060"/>
        <w:rPr>
          <w:rFonts w:hint="eastAsia"/>
          <w:snapToGrid/>
        </w:rPr>
      </w:pPr>
      <w:r>
        <w:rPr>
          <w:rFonts w:hint="eastAsia"/>
          <w:snapToGrid/>
        </w:rPr>
        <w:t>Vt=</w:t>
      </w:r>
      <w:r>
        <w:rPr>
          <w:rFonts w:hint="eastAsia"/>
          <w:snapToGrid/>
        </w:rPr>
        <w:t>缴款期限</w:t>
      </w:r>
      <w:r>
        <w:rPr>
          <w:rFonts w:hint="eastAsia"/>
          <w:snapToGrid/>
        </w:rPr>
        <w:t>(</w:t>
      </w:r>
      <w:r>
        <w:rPr>
          <w:rFonts w:hint="eastAsia"/>
          <w:snapToGrid/>
        </w:rPr>
        <w:t>不少于</w:t>
      </w:r>
      <w:r>
        <w:rPr>
          <w:rFonts w:hint="eastAsia"/>
          <w:snapToGrid/>
        </w:rPr>
        <w:t>35</w:t>
      </w:r>
      <w:r>
        <w:rPr>
          <w:rFonts w:hint="eastAsia"/>
          <w:snapToGrid/>
        </w:rPr>
        <w:t>年</w:t>
      </w:r>
      <w:r>
        <w:rPr>
          <w:rFonts w:hint="eastAsia"/>
          <w:snapToGrid/>
        </w:rPr>
        <w:t>)</w:t>
      </w:r>
      <w:r>
        <w:rPr>
          <w:rFonts w:hint="eastAsia"/>
          <w:snapToGrid/>
        </w:rPr>
        <w:t>；</w:t>
      </w:r>
    </w:p>
    <w:p w:rsidR="00000000" w:rsidRDefault="00000000">
      <w:pPr>
        <w:ind w:left="1040" w:firstLine="1060"/>
        <w:rPr>
          <w:rFonts w:hint="eastAsia"/>
          <w:snapToGrid/>
        </w:rPr>
      </w:pPr>
      <w:r>
        <w:rPr>
          <w:rFonts w:hint="eastAsia"/>
          <w:snapToGrid/>
        </w:rPr>
        <w:t>Sa=</w:t>
      </w:r>
      <w:r>
        <w:rPr>
          <w:rFonts w:hint="eastAsia"/>
          <w:snapToGrid/>
        </w:rPr>
        <w:t>提供的月平均收入；</w:t>
      </w:r>
    </w:p>
    <w:p w:rsidR="00000000" w:rsidRDefault="00000000">
      <w:pPr>
        <w:ind w:left="1040" w:firstLine="1060"/>
        <w:rPr>
          <w:rFonts w:hint="eastAsia"/>
          <w:snapToGrid/>
        </w:rPr>
      </w:pPr>
      <w:r>
        <w:rPr>
          <w:rFonts w:hint="eastAsia"/>
          <w:snapToGrid/>
        </w:rPr>
        <w:t>Rn=</w:t>
      </w:r>
      <w:r>
        <w:rPr>
          <w:rFonts w:hint="eastAsia"/>
          <w:snapToGrid/>
        </w:rPr>
        <w:t>第</w:t>
      </w:r>
      <w:r>
        <w:rPr>
          <w:rFonts w:hint="eastAsia"/>
          <w:snapToGrid/>
        </w:rPr>
        <w:t>15</w:t>
      </w:r>
      <w:r>
        <w:rPr>
          <w:rFonts w:hint="eastAsia"/>
          <w:snapToGrid/>
        </w:rPr>
        <w:t>条规定的标准退休年龄；</w:t>
      </w:r>
    </w:p>
    <w:p w:rsidR="00000000" w:rsidRDefault="00000000">
      <w:pPr>
        <w:ind w:left="1040" w:firstLine="1060"/>
        <w:rPr>
          <w:rFonts w:hint="eastAsia"/>
          <w:snapToGrid/>
        </w:rPr>
      </w:pPr>
      <w:r>
        <w:rPr>
          <w:rFonts w:hint="eastAsia"/>
          <w:snapToGrid/>
        </w:rPr>
        <w:t>R=</w:t>
      </w:r>
      <w:r>
        <w:rPr>
          <w:rFonts w:hint="eastAsia"/>
          <w:snapToGrid/>
        </w:rPr>
        <w:t>实际退休年龄。</w:t>
      </w:r>
    </w:p>
    <w:p w:rsidR="00000000" w:rsidRDefault="00000000">
      <w:pPr>
        <w:ind w:left="1040"/>
        <w:rPr>
          <w:rFonts w:hint="eastAsia"/>
          <w:snapToGrid/>
        </w:rPr>
      </w:pPr>
      <w:r>
        <w:rPr>
          <w:rFonts w:hint="eastAsia"/>
          <w:snapToGrid/>
        </w:rPr>
        <w:t>如果投保人在达到第</w:t>
      </w:r>
      <w:r>
        <w:rPr>
          <w:rFonts w:hint="eastAsia"/>
          <w:snapToGrid/>
        </w:rPr>
        <w:t>15</w:t>
      </w:r>
      <w:r>
        <w:rPr>
          <w:rFonts w:hint="eastAsia"/>
          <w:snapToGrid/>
        </w:rPr>
        <w:t>条规定的标准退休年龄时，其缴款期至少有</w:t>
      </w:r>
      <w:r>
        <w:rPr>
          <w:rFonts w:hint="eastAsia"/>
          <w:snapToGrid/>
        </w:rPr>
        <w:t>20</w:t>
      </w:r>
      <w:r>
        <w:rPr>
          <w:rFonts w:hint="eastAsia"/>
          <w:snapToGrid/>
        </w:rPr>
        <w:t>年，但未超过</w:t>
      </w:r>
      <w:r>
        <w:rPr>
          <w:rFonts w:hint="eastAsia"/>
          <w:snapToGrid/>
        </w:rPr>
        <w:t>35</w:t>
      </w:r>
      <w:r>
        <w:rPr>
          <w:rFonts w:hint="eastAsia"/>
          <w:snapToGrid/>
        </w:rPr>
        <w:t>年，则按下面的公式计算其退休金：</w:t>
      </w:r>
    </w:p>
    <w:p w:rsidR="00000000" w:rsidRDefault="00000000">
      <w:pPr>
        <w:ind w:left="1040" w:firstLine="1060"/>
        <w:rPr>
          <w:rFonts w:hint="eastAsia"/>
          <w:snapToGrid/>
        </w:rPr>
      </w:pPr>
      <w:r>
        <w:rPr>
          <w:rFonts w:hint="eastAsia"/>
          <w:snapToGrid/>
        </w:rPr>
        <w:t>P=1.2%* Vt* Sa</w:t>
      </w:r>
    </w:p>
    <w:p w:rsidR="00000000" w:rsidRDefault="00000000">
      <w:pPr>
        <w:ind w:left="1575" w:hanging="525"/>
        <w:rPr>
          <w:rFonts w:hint="eastAsia"/>
          <w:snapToGrid/>
        </w:rPr>
      </w:pPr>
      <w:r>
        <w:rPr>
          <w:snapToGrid/>
        </w:rPr>
        <w:t>(e)</w:t>
      </w:r>
      <w:r>
        <w:rPr>
          <w:snapToGrid/>
        </w:rPr>
        <w:tab/>
      </w:r>
      <w:r>
        <w:rPr>
          <w:rFonts w:hint="eastAsia"/>
          <w:snapToGrid/>
        </w:rPr>
        <w:t>如果按</w:t>
      </w:r>
      <w:r>
        <w:rPr>
          <w:rFonts w:hint="eastAsia"/>
          <w:snapToGrid/>
        </w:rPr>
        <w:t>35</w:t>
      </w:r>
      <w:r>
        <w:rPr>
          <w:rFonts w:hint="eastAsia"/>
          <w:snapToGrid/>
        </w:rPr>
        <w:t>年缴款期所计算出的退休金数额低于最低养恤金金额，则按后者的标准支付；</w:t>
      </w:r>
    </w:p>
    <w:p w:rsidR="00000000" w:rsidRDefault="00000000">
      <w:pPr>
        <w:ind w:left="1040"/>
        <w:rPr>
          <w:rFonts w:hint="eastAsia"/>
          <w:snapToGrid/>
        </w:rPr>
      </w:pPr>
      <w:r>
        <w:rPr>
          <w:snapToGrid/>
        </w:rPr>
        <w:t>(f)</w:t>
      </w:r>
      <w:r>
        <w:rPr>
          <w:snapToGrid/>
        </w:rPr>
        <w:tab/>
      </w:r>
      <w:r>
        <w:rPr>
          <w:rFonts w:hint="eastAsia"/>
          <w:snapToGrid/>
        </w:rPr>
        <w:t>在第</w:t>
      </w:r>
      <w:r>
        <w:rPr>
          <w:rFonts w:hint="eastAsia"/>
          <w:snapToGrid/>
        </w:rPr>
        <w:t>2</w:t>
      </w:r>
      <w:r>
        <w:rPr>
          <w:rFonts w:hint="eastAsia"/>
          <w:snapToGrid/>
        </w:rPr>
        <w:t>和第</w:t>
      </w:r>
      <w:r>
        <w:rPr>
          <w:rFonts w:hint="eastAsia"/>
          <w:snapToGrid/>
        </w:rPr>
        <w:t>3</w:t>
      </w:r>
      <w:r>
        <w:rPr>
          <w:rFonts w:hint="eastAsia"/>
          <w:snapToGrid/>
        </w:rPr>
        <w:t>款规定的情况下，最低养恤金数额获得增加；</w:t>
      </w:r>
    </w:p>
    <w:p w:rsidR="00000000" w:rsidRDefault="00000000">
      <w:pPr>
        <w:ind w:left="1575" w:hanging="525"/>
        <w:rPr>
          <w:rFonts w:hint="eastAsia"/>
          <w:snapToGrid/>
        </w:rPr>
      </w:pPr>
      <w:r>
        <w:rPr>
          <w:snapToGrid/>
        </w:rPr>
        <w:t>(g)</w:t>
      </w:r>
      <w:r>
        <w:rPr>
          <w:snapToGrid/>
        </w:rPr>
        <w:tab/>
      </w:r>
      <w:r>
        <w:rPr>
          <w:rFonts w:hint="eastAsia"/>
          <w:snapToGrid/>
        </w:rPr>
        <w:t>如果按照缴款期不足</w:t>
      </w:r>
      <w:r>
        <w:rPr>
          <w:rFonts w:hint="eastAsia"/>
          <w:snapToGrid/>
        </w:rPr>
        <w:t>35</w:t>
      </w:r>
      <w:r>
        <w:rPr>
          <w:rFonts w:hint="eastAsia"/>
          <w:snapToGrid/>
        </w:rPr>
        <w:t>年的公式计算出的退休金数额低于最低养恤金标准，则给予投保人的退休金不得少于按照其实际缴款数额经过缩减的最低退休金金额。</w:t>
      </w:r>
    </w:p>
    <w:p w:rsidR="00000000" w:rsidRDefault="00000000">
      <w:pPr>
        <w:rPr>
          <w:snapToGrid/>
        </w:rPr>
      </w:pPr>
      <w:r>
        <w:rPr>
          <w:snapToGrid/>
        </w:rPr>
        <w:tab/>
      </w:r>
      <w:r>
        <w:rPr>
          <w:rFonts w:hint="eastAsia"/>
          <w:snapToGrid/>
        </w:rPr>
        <w:t>251.</w:t>
      </w:r>
      <w:r>
        <w:rPr>
          <w:snapToGrid/>
        </w:rPr>
        <w:t xml:space="preserve">  </w:t>
      </w:r>
      <w:r>
        <w:rPr>
          <w:rFonts w:hint="eastAsia"/>
          <w:snapToGrid/>
        </w:rPr>
        <w:t>残疾养恤金在残疾状况得到确定后予以拨发。残疾状况及残疾原因、程度和起始时间由体格检查委员会根据政府核准的规则决定</w:t>
      </w:r>
      <w:r>
        <w:rPr>
          <w:rFonts w:hint="eastAsia"/>
          <w:snapToGrid/>
        </w:rPr>
        <w:t>(</w:t>
      </w:r>
      <w:r>
        <w:rPr>
          <w:rFonts w:hint="eastAsia"/>
          <w:snapToGrid/>
        </w:rPr>
        <w:t>第</w:t>
      </w:r>
      <w:r>
        <w:rPr>
          <w:rFonts w:hint="eastAsia"/>
          <w:snapToGrid/>
        </w:rPr>
        <w:t>18</w:t>
      </w:r>
      <w:r>
        <w:rPr>
          <w:rFonts w:hint="eastAsia"/>
          <w:snapToGrid/>
        </w:rPr>
        <w:t>条</w:t>
      </w:r>
      <w:r>
        <w:rPr>
          <w:rFonts w:hint="eastAsia"/>
          <w:snapToGrid/>
        </w:rPr>
        <w:t>)</w:t>
      </w:r>
      <w:r>
        <w:rPr>
          <w:rFonts w:hint="eastAsia"/>
          <w:snapToGrid/>
        </w:rPr>
        <w:t>。提供残疾养恤金的条件是：</w:t>
      </w:r>
    </w:p>
    <w:p w:rsidR="00000000" w:rsidRDefault="00000000">
      <w:pPr>
        <w:numPr>
          <w:ilvl w:val="0"/>
          <w:numId w:val="439"/>
        </w:numPr>
        <w:rPr>
          <w:rFonts w:hint="eastAsia"/>
          <w:snapToGrid/>
        </w:rPr>
      </w:pPr>
      <w:r>
        <w:rPr>
          <w:rFonts w:hint="eastAsia"/>
          <w:snapToGrid/>
        </w:rPr>
        <w:t>如果投保人因下述原因丧失了全部或部分工作能力，则有权享受残疾养恤金：</w:t>
      </w:r>
    </w:p>
    <w:p w:rsidR="00000000" w:rsidRDefault="00000000">
      <w:pPr>
        <w:numPr>
          <w:ilvl w:val="1"/>
          <w:numId w:val="439"/>
        </w:numPr>
        <w:ind w:left="2210"/>
        <w:rPr>
          <w:snapToGrid/>
        </w:rPr>
      </w:pPr>
      <w:r>
        <w:rPr>
          <w:rFonts w:hint="eastAsia"/>
          <w:snapToGrid/>
        </w:rPr>
        <w:t>某种普通疾病；</w:t>
      </w:r>
    </w:p>
    <w:p w:rsidR="00000000" w:rsidRDefault="00000000">
      <w:pPr>
        <w:numPr>
          <w:ilvl w:val="1"/>
          <w:numId w:val="439"/>
        </w:numPr>
        <w:ind w:left="2210"/>
        <w:rPr>
          <w:snapToGrid/>
        </w:rPr>
      </w:pPr>
      <w:r>
        <w:rPr>
          <w:rFonts w:hint="eastAsia"/>
          <w:snapToGrid/>
        </w:rPr>
        <w:t>工伤事故；</w:t>
      </w:r>
    </w:p>
    <w:p w:rsidR="00000000" w:rsidRDefault="00000000">
      <w:pPr>
        <w:numPr>
          <w:ilvl w:val="1"/>
          <w:numId w:val="439"/>
        </w:numPr>
        <w:ind w:left="2210"/>
        <w:rPr>
          <w:rFonts w:hint="eastAsia"/>
          <w:snapToGrid/>
        </w:rPr>
      </w:pPr>
      <w:r>
        <w:rPr>
          <w:rFonts w:hint="eastAsia"/>
          <w:snapToGrid/>
        </w:rPr>
        <w:t>与工作有关的疾病；</w:t>
      </w:r>
    </w:p>
    <w:p w:rsidR="00000000" w:rsidRDefault="00000000">
      <w:pPr>
        <w:ind w:left="1040"/>
        <w:rPr>
          <w:rFonts w:hint="eastAsia"/>
          <w:snapToGrid/>
        </w:rPr>
      </w:pPr>
      <w:r>
        <w:rPr>
          <w:snapToGrid/>
        </w:rPr>
        <w:t>(b)</w:t>
      </w:r>
      <w:r>
        <w:rPr>
          <w:snapToGrid/>
        </w:rPr>
        <w:tab/>
      </w:r>
      <w:r>
        <w:rPr>
          <w:rFonts w:hint="eastAsia"/>
          <w:snapToGrid/>
        </w:rPr>
        <w:t>根据丧失工作能力的程度，将残疾程度分为三等；</w:t>
      </w:r>
    </w:p>
    <w:p w:rsidR="00000000" w:rsidRDefault="00000000">
      <w:pPr>
        <w:ind w:left="1040"/>
        <w:rPr>
          <w:rFonts w:hint="eastAsia"/>
          <w:snapToGrid/>
        </w:rPr>
      </w:pPr>
      <w:r>
        <w:rPr>
          <w:snapToGrid/>
        </w:rPr>
        <w:t>(c)</w:t>
      </w:r>
      <w:r>
        <w:rPr>
          <w:snapToGrid/>
        </w:rPr>
        <w:tab/>
      </w:r>
      <w:r>
        <w:rPr>
          <w:rFonts w:hint="eastAsia"/>
          <w:snapToGrid/>
        </w:rPr>
        <w:t>残疾养恤金只在领取人未达到退休年龄之前拨发</w:t>
      </w:r>
      <w:r>
        <w:rPr>
          <w:rFonts w:hint="eastAsia"/>
          <w:snapToGrid/>
        </w:rPr>
        <w:t>(</w:t>
      </w:r>
      <w:r>
        <w:rPr>
          <w:rFonts w:hint="eastAsia"/>
          <w:snapToGrid/>
        </w:rPr>
        <w:t>第</w:t>
      </w:r>
      <w:r>
        <w:rPr>
          <w:rFonts w:hint="eastAsia"/>
          <w:snapToGrid/>
        </w:rPr>
        <w:t>19</w:t>
      </w:r>
      <w:r>
        <w:rPr>
          <w:rFonts w:hint="eastAsia"/>
          <w:snapToGrid/>
        </w:rPr>
        <w:t>条</w:t>
      </w:r>
      <w:r>
        <w:rPr>
          <w:rFonts w:hint="eastAsia"/>
          <w:snapToGrid/>
        </w:rPr>
        <w:t>)</w:t>
      </w:r>
      <w:r>
        <w:rPr>
          <w:rFonts w:hint="eastAsia"/>
          <w:snapToGrid/>
        </w:rPr>
        <w:t>。</w:t>
      </w:r>
    </w:p>
    <w:p w:rsidR="00000000" w:rsidRDefault="00000000">
      <w:pPr>
        <w:spacing w:after="320"/>
        <w:rPr>
          <w:snapToGrid/>
        </w:rPr>
      </w:pPr>
      <w:r>
        <w:rPr>
          <w:snapToGrid/>
        </w:rPr>
        <w:tab/>
      </w:r>
      <w:r>
        <w:rPr>
          <w:rFonts w:hint="eastAsia"/>
          <w:snapToGrid/>
        </w:rPr>
        <w:t>252.</w:t>
      </w:r>
      <w:r>
        <w:rPr>
          <w:snapToGrid/>
        </w:rPr>
        <w:t xml:space="preserve">  </w:t>
      </w:r>
      <w:r>
        <w:rPr>
          <w:rFonts w:hint="eastAsia"/>
          <w:snapToGrid/>
        </w:rPr>
        <w:t>第</w:t>
      </w:r>
      <w:r>
        <w:rPr>
          <w:rFonts w:hint="eastAsia"/>
          <w:snapToGrid/>
        </w:rPr>
        <w:t>20</w:t>
      </w:r>
      <w:r>
        <w:rPr>
          <w:rFonts w:hint="eastAsia"/>
          <w:snapToGrid/>
        </w:rPr>
        <w:t>条规定了领取残疾养恤金所必须的缴款期。若投保人的残疾状况源于一种普通疾病，那么只要他符合与确定残疾状况时的年龄有关的缴款期方面的条件，就可以享受残疾养恤金</w:t>
      </w:r>
      <w:r>
        <w:rPr>
          <w:rFonts w:hint="eastAsia"/>
          <w:snapToGrid/>
        </w:rPr>
        <w:t>(</w:t>
      </w:r>
      <w:r>
        <w:rPr>
          <w:rFonts w:hint="eastAsia"/>
          <w:snapToGrid/>
        </w:rPr>
        <w:t>见表</w:t>
      </w:r>
      <w:r>
        <w:rPr>
          <w:rFonts w:hint="eastAsia"/>
          <w:snapToGrid/>
        </w:rPr>
        <w:t>22)</w:t>
      </w:r>
      <w:r>
        <w:rPr>
          <w:rFonts w:hint="eastAsia"/>
          <w:snapToGrid/>
        </w:rPr>
        <w:t>：</w:t>
      </w:r>
    </w:p>
    <w:p w:rsidR="00000000" w:rsidRDefault="00000000">
      <w:pPr>
        <w:pStyle w:val="Heading3"/>
        <w:rPr>
          <w:rFonts w:hint="eastAsia"/>
          <w:kern w:val="0"/>
        </w:rPr>
      </w:pPr>
      <w:r>
        <w:rPr>
          <w:rFonts w:hint="eastAsia"/>
          <w:kern w:val="0"/>
          <w:u w:val="none"/>
        </w:rPr>
        <w:t>表</w:t>
      </w:r>
      <w:r>
        <w:rPr>
          <w:kern w:val="0"/>
          <w:u w:val="none"/>
        </w:rPr>
        <w:t xml:space="preserve">22  </w:t>
      </w:r>
      <w:r>
        <w:rPr>
          <w:rFonts w:hint="eastAsia"/>
          <w:kern w:val="0"/>
        </w:rPr>
        <w:t>残疾时的年龄和缴款期限</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pStyle w:val="a2"/>
              <w:spacing w:before="80" w:after="80"/>
              <w:jc w:val="center"/>
              <w:rPr>
                <w:rFonts w:hint="eastAsia"/>
                <w:snapToGrid/>
              </w:rPr>
            </w:pPr>
            <w:r>
              <w:rPr>
                <w:rFonts w:hint="eastAsia"/>
                <w:snapToGrid/>
              </w:rPr>
              <w:t>残疾状况被确定之日的年龄</w:t>
            </w:r>
          </w:p>
        </w:tc>
        <w:tc>
          <w:tcPr>
            <w:tcW w:w="4679" w:type="dxa"/>
            <w:tcBorders>
              <w:bottom w:val="single" w:sz="4" w:space="0" w:color="auto"/>
            </w:tcBorders>
          </w:tcPr>
          <w:p w:rsidR="00000000" w:rsidRDefault="00000000">
            <w:pPr>
              <w:pStyle w:val="a2"/>
              <w:spacing w:before="80" w:after="80"/>
              <w:jc w:val="center"/>
              <w:rPr>
                <w:snapToGrid/>
              </w:rPr>
            </w:pPr>
            <w:r>
              <w:rPr>
                <w:rFonts w:hint="eastAsia"/>
                <w:snapToGrid/>
              </w:rPr>
              <w:t>缴款期限</w:t>
            </w:r>
            <w:r>
              <w:rPr>
                <w:snapToGrid/>
              </w:rPr>
              <w:t xml:space="preserve"> (</w:t>
            </w:r>
            <w:r>
              <w:rPr>
                <w:rFonts w:hint="eastAsia"/>
                <w:snapToGrid/>
              </w:rPr>
              <w:t>年</w:t>
            </w:r>
            <w:r>
              <w:rPr>
                <w:snapToGrid/>
              </w:rPr>
              <w:t>)</w:t>
            </w:r>
          </w:p>
        </w:tc>
      </w:tr>
      <w:tr w:rsidR="00000000">
        <w:tblPrEx>
          <w:tblCellMar>
            <w:top w:w="0" w:type="dxa"/>
            <w:bottom w:w="0" w:type="dxa"/>
          </w:tblCellMar>
        </w:tblPrEx>
        <w:tc>
          <w:tcPr>
            <w:tcW w:w="4677" w:type="dxa"/>
            <w:tcBorders>
              <w:bottom w:val="nil"/>
            </w:tcBorders>
          </w:tcPr>
          <w:p w:rsidR="00000000" w:rsidRDefault="00000000">
            <w:pPr>
              <w:pStyle w:val="a2"/>
              <w:ind w:firstLine="1467"/>
              <w:rPr>
                <w:rFonts w:hint="eastAsia"/>
                <w:snapToGrid/>
              </w:rPr>
            </w:pPr>
            <w:r>
              <w:rPr>
                <w:rFonts w:hint="eastAsia"/>
                <w:snapToGrid/>
              </w:rPr>
              <w:t>23</w:t>
            </w:r>
            <w:r>
              <w:rPr>
                <w:rFonts w:hint="eastAsia"/>
                <w:snapToGrid/>
              </w:rPr>
              <w:t>岁以下</w:t>
            </w:r>
          </w:p>
        </w:tc>
        <w:tc>
          <w:tcPr>
            <w:tcW w:w="4679" w:type="dxa"/>
            <w:tcBorders>
              <w:bottom w:val="nil"/>
            </w:tcBorders>
          </w:tcPr>
          <w:p w:rsidR="00000000" w:rsidRDefault="00000000">
            <w:pPr>
              <w:pStyle w:val="a2"/>
              <w:jc w:val="center"/>
              <w:rPr>
                <w:snapToGrid/>
              </w:rPr>
            </w:pPr>
            <w:r>
              <w:rPr>
                <w:snapToGrid/>
              </w:rPr>
              <w:t>2</w:t>
            </w:r>
          </w:p>
        </w:tc>
      </w:tr>
      <w:tr w:rsidR="00000000">
        <w:tblPrEx>
          <w:tblCellMar>
            <w:top w:w="0" w:type="dxa"/>
            <w:bottom w:w="0" w:type="dxa"/>
          </w:tblCellMar>
        </w:tblPrEx>
        <w:tc>
          <w:tcPr>
            <w:tcW w:w="4677" w:type="dxa"/>
            <w:tcBorders>
              <w:top w:val="nil"/>
              <w:bottom w:val="nil"/>
            </w:tcBorders>
          </w:tcPr>
          <w:p w:rsidR="00000000" w:rsidRDefault="00000000">
            <w:pPr>
              <w:pStyle w:val="a2"/>
              <w:ind w:firstLine="1467"/>
              <w:rPr>
                <w:rFonts w:hint="eastAsia"/>
                <w:snapToGrid/>
              </w:rPr>
            </w:pPr>
            <w:r>
              <w:rPr>
                <w:rFonts w:hint="eastAsia"/>
                <w:snapToGrid/>
              </w:rPr>
              <w:t>23-26</w:t>
            </w:r>
            <w:r>
              <w:rPr>
                <w:rFonts w:hint="eastAsia"/>
                <w:snapToGrid/>
              </w:rPr>
              <w:t>岁</w:t>
            </w:r>
          </w:p>
        </w:tc>
        <w:tc>
          <w:tcPr>
            <w:tcW w:w="4679" w:type="dxa"/>
            <w:tcBorders>
              <w:top w:val="nil"/>
              <w:bottom w:val="nil"/>
            </w:tcBorders>
          </w:tcPr>
          <w:p w:rsidR="00000000" w:rsidRDefault="00000000">
            <w:pPr>
              <w:pStyle w:val="a2"/>
              <w:jc w:val="center"/>
              <w:rPr>
                <w:snapToGrid/>
              </w:rPr>
            </w:pPr>
            <w:r>
              <w:rPr>
                <w:snapToGrid/>
              </w:rPr>
              <w:t>3</w:t>
            </w:r>
          </w:p>
        </w:tc>
      </w:tr>
      <w:tr w:rsidR="00000000">
        <w:tblPrEx>
          <w:tblCellMar>
            <w:top w:w="0" w:type="dxa"/>
            <w:bottom w:w="0" w:type="dxa"/>
          </w:tblCellMar>
        </w:tblPrEx>
        <w:tc>
          <w:tcPr>
            <w:tcW w:w="4677" w:type="dxa"/>
            <w:tcBorders>
              <w:top w:val="nil"/>
              <w:bottom w:val="nil"/>
            </w:tcBorders>
          </w:tcPr>
          <w:p w:rsidR="00000000" w:rsidRDefault="00000000">
            <w:pPr>
              <w:pStyle w:val="a2"/>
              <w:ind w:firstLine="1467"/>
              <w:rPr>
                <w:rFonts w:hint="eastAsia"/>
                <w:snapToGrid/>
              </w:rPr>
            </w:pPr>
            <w:r>
              <w:rPr>
                <w:rFonts w:hint="eastAsia"/>
                <w:snapToGrid/>
              </w:rPr>
              <w:t>26-31</w:t>
            </w:r>
            <w:r>
              <w:rPr>
                <w:rFonts w:hint="eastAsia"/>
                <w:snapToGrid/>
              </w:rPr>
              <w:t>岁</w:t>
            </w:r>
          </w:p>
        </w:tc>
        <w:tc>
          <w:tcPr>
            <w:tcW w:w="4679" w:type="dxa"/>
            <w:tcBorders>
              <w:top w:val="nil"/>
              <w:bottom w:val="nil"/>
            </w:tcBorders>
          </w:tcPr>
          <w:p w:rsidR="00000000" w:rsidRDefault="00000000">
            <w:pPr>
              <w:pStyle w:val="a2"/>
              <w:jc w:val="center"/>
              <w:rPr>
                <w:snapToGrid/>
              </w:rPr>
            </w:pPr>
            <w:r>
              <w:rPr>
                <w:snapToGrid/>
              </w:rPr>
              <w:t>4</w:t>
            </w:r>
          </w:p>
        </w:tc>
      </w:tr>
      <w:tr w:rsidR="00000000">
        <w:tblPrEx>
          <w:tblCellMar>
            <w:top w:w="0" w:type="dxa"/>
            <w:bottom w:w="0" w:type="dxa"/>
          </w:tblCellMar>
        </w:tblPrEx>
        <w:tc>
          <w:tcPr>
            <w:tcW w:w="4677" w:type="dxa"/>
            <w:tcBorders>
              <w:top w:val="nil"/>
            </w:tcBorders>
          </w:tcPr>
          <w:p w:rsidR="00000000" w:rsidRDefault="00000000">
            <w:pPr>
              <w:pStyle w:val="a2"/>
              <w:ind w:firstLine="1467"/>
              <w:rPr>
                <w:rFonts w:hint="eastAsia"/>
                <w:snapToGrid/>
              </w:rPr>
            </w:pPr>
            <w:r>
              <w:rPr>
                <w:rFonts w:hint="eastAsia"/>
                <w:snapToGrid/>
              </w:rPr>
              <w:t>31</w:t>
            </w:r>
            <w:r>
              <w:rPr>
                <w:rFonts w:hint="eastAsia"/>
                <w:snapToGrid/>
              </w:rPr>
              <w:t>岁以上</w:t>
            </w:r>
          </w:p>
        </w:tc>
        <w:tc>
          <w:tcPr>
            <w:tcW w:w="4679" w:type="dxa"/>
            <w:tcBorders>
              <w:top w:val="nil"/>
            </w:tcBorders>
          </w:tcPr>
          <w:p w:rsidR="00000000" w:rsidRDefault="00000000">
            <w:pPr>
              <w:pStyle w:val="a2"/>
              <w:jc w:val="center"/>
              <w:rPr>
                <w:snapToGrid/>
              </w:rPr>
            </w:pPr>
            <w:r>
              <w:rPr>
                <w:snapToGrid/>
              </w:rPr>
              <w:t>5</w:t>
            </w:r>
          </w:p>
        </w:tc>
      </w:tr>
    </w:tbl>
    <w:p w:rsidR="00000000" w:rsidRDefault="00000000">
      <w:pPr>
        <w:rPr>
          <w:rFonts w:hint="eastAsia"/>
          <w:snapToGrid/>
        </w:rPr>
      </w:pPr>
    </w:p>
    <w:p w:rsidR="00000000" w:rsidRDefault="00000000">
      <w:pPr>
        <w:rPr>
          <w:rFonts w:hint="eastAsia"/>
          <w:snapToGrid/>
        </w:rPr>
      </w:pPr>
      <w:r>
        <w:rPr>
          <w:snapToGrid/>
        </w:rPr>
        <w:tab/>
      </w:r>
      <w:r>
        <w:rPr>
          <w:rFonts w:hint="eastAsia"/>
          <w:snapToGrid/>
        </w:rPr>
        <w:t>253.</w:t>
      </w:r>
      <w:r>
        <w:rPr>
          <w:snapToGrid/>
        </w:rPr>
        <w:t xml:space="preserve">  </w:t>
      </w:r>
      <w:r>
        <w:rPr>
          <w:rFonts w:hint="eastAsia"/>
          <w:snapToGrid/>
        </w:rPr>
        <w:t>在为由于工伤事故或职业疾病而造成的残疾状况确定养恤金金额时，不考虑缴款期问题。如果要将为由于工伤事故或职业疾病而造成的残疾状况拨发的养恤金转换成为由于某种普通疾病造成的残疾状况拨发的养恤金，则要根据最初确定残疾状况之日的年龄来确定必须的缴款期限。</w:t>
      </w:r>
    </w:p>
    <w:p w:rsidR="00000000" w:rsidRDefault="00000000">
      <w:pPr>
        <w:rPr>
          <w:rFonts w:hint="eastAsia"/>
          <w:snapToGrid/>
        </w:rPr>
      </w:pPr>
      <w:r>
        <w:rPr>
          <w:snapToGrid/>
        </w:rPr>
        <w:tab/>
      </w:r>
      <w:r>
        <w:rPr>
          <w:rFonts w:hint="eastAsia"/>
          <w:snapToGrid/>
        </w:rPr>
        <w:t>254.</w:t>
      </w:r>
      <w:r>
        <w:rPr>
          <w:snapToGrid/>
        </w:rPr>
        <w:t xml:space="preserve">  </w:t>
      </w:r>
      <w:r>
        <w:rPr>
          <w:rFonts w:hint="eastAsia"/>
          <w:snapToGrid/>
        </w:rPr>
        <w:t>残疾养恤金的数额根据残疾程度用下述公式计算：</w:t>
      </w:r>
    </w:p>
    <w:p w:rsidR="00000000" w:rsidRDefault="00000000">
      <w:pPr>
        <w:ind w:left="1560"/>
        <w:rPr>
          <w:rFonts w:hint="eastAsia"/>
          <w:snapToGrid/>
        </w:rPr>
      </w:pPr>
      <w:r>
        <w:rPr>
          <w:rFonts w:hint="eastAsia"/>
          <w:snapToGrid/>
        </w:rPr>
        <w:t>第一级残疾程度：</w:t>
      </w:r>
    </w:p>
    <w:p w:rsidR="00000000" w:rsidRDefault="00000000">
      <w:pPr>
        <w:ind w:left="1560"/>
        <w:rPr>
          <w:rFonts w:hint="eastAsia"/>
          <w:snapToGrid/>
        </w:rPr>
      </w:pPr>
      <w:r>
        <w:rPr>
          <w:rFonts w:hint="eastAsia"/>
          <w:snapToGrid/>
        </w:rPr>
        <w:tab/>
        <w:t>Va</w:t>
      </w:r>
    </w:p>
    <w:p w:rsidR="00000000" w:rsidRDefault="00000000">
      <w:pPr>
        <w:ind w:left="1560"/>
        <w:rPr>
          <w:rFonts w:hint="eastAsia"/>
          <w:snapToGrid/>
        </w:rPr>
      </w:pPr>
      <w:r>
        <w:rPr>
          <w:rFonts w:hint="eastAsia"/>
          <w:snapToGrid/>
        </w:rPr>
        <w:t>P=0.42*Sa+-----*Sa*0.1</w:t>
      </w:r>
    </w:p>
    <w:p w:rsidR="00000000" w:rsidRDefault="00000000">
      <w:pPr>
        <w:ind w:left="1560"/>
        <w:rPr>
          <w:rFonts w:hint="eastAsia"/>
          <w:snapToGrid/>
        </w:rPr>
      </w:pPr>
      <w:r>
        <w:rPr>
          <w:rFonts w:hint="eastAsia"/>
          <w:snapToGrid/>
        </w:rPr>
        <w:tab/>
        <w:t>Vmax</w:t>
      </w:r>
    </w:p>
    <w:p w:rsidR="00000000" w:rsidRDefault="00000000">
      <w:pPr>
        <w:ind w:left="1560"/>
        <w:rPr>
          <w:rFonts w:hint="eastAsia"/>
          <w:snapToGrid/>
        </w:rPr>
      </w:pPr>
      <w:r>
        <w:rPr>
          <w:rFonts w:hint="eastAsia"/>
          <w:snapToGrid/>
        </w:rPr>
        <w:t>第二级残疾程度：</w:t>
      </w:r>
    </w:p>
    <w:p w:rsidR="00000000" w:rsidRDefault="00000000">
      <w:pPr>
        <w:ind w:left="1560"/>
        <w:rPr>
          <w:rFonts w:hint="eastAsia"/>
          <w:snapToGrid/>
        </w:rPr>
      </w:pPr>
      <w:r>
        <w:rPr>
          <w:rFonts w:hint="eastAsia"/>
          <w:snapToGrid/>
        </w:rPr>
        <w:tab/>
        <w:t>Va</w:t>
      </w:r>
    </w:p>
    <w:p w:rsidR="00000000" w:rsidRDefault="00000000">
      <w:pPr>
        <w:ind w:left="1560"/>
        <w:rPr>
          <w:rFonts w:hint="eastAsia"/>
          <w:snapToGrid/>
        </w:rPr>
      </w:pPr>
      <w:r>
        <w:rPr>
          <w:rFonts w:hint="eastAsia"/>
          <w:snapToGrid/>
        </w:rPr>
        <w:t>P=0.35*Sa+-----*Sa*0.1</w:t>
      </w:r>
    </w:p>
    <w:p w:rsidR="00000000" w:rsidRDefault="00000000">
      <w:pPr>
        <w:ind w:left="1560"/>
        <w:rPr>
          <w:rFonts w:hint="eastAsia"/>
          <w:snapToGrid/>
        </w:rPr>
      </w:pPr>
      <w:r>
        <w:rPr>
          <w:rFonts w:hint="eastAsia"/>
          <w:snapToGrid/>
        </w:rPr>
        <w:tab/>
        <w:t>Vmax</w:t>
      </w:r>
    </w:p>
    <w:p w:rsidR="00000000" w:rsidRDefault="00000000">
      <w:pPr>
        <w:ind w:left="1560"/>
        <w:rPr>
          <w:rFonts w:hint="eastAsia"/>
          <w:snapToGrid/>
        </w:rPr>
      </w:pPr>
      <w:r>
        <w:rPr>
          <w:rFonts w:hint="eastAsia"/>
          <w:snapToGrid/>
        </w:rPr>
        <w:t>第三级残疾程度：</w:t>
      </w:r>
    </w:p>
    <w:p w:rsidR="00000000" w:rsidRDefault="00000000">
      <w:pPr>
        <w:ind w:left="1560"/>
        <w:rPr>
          <w:rFonts w:hint="eastAsia"/>
          <w:snapToGrid/>
        </w:rPr>
      </w:pPr>
      <w:r>
        <w:rPr>
          <w:rFonts w:hint="eastAsia"/>
          <w:snapToGrid/>
        </w:rPr>
        <w:tab/>
        <w:t>Va</w:t>
      </w:r>
    </w:p>
    <w:p w:rsidR="00000000" w:rsidRDefault="00000000">
      <w:pPr>
        <w:ind w:left="1560"/>
        <w:rPr>
          <w:rFonts w:hint="eastAsia"/>
          <w:snapToGrid/>
        </w:rPr>
      </w:pPr>
      <w:r>
        <w:rPr>
          <w:rFonts w:hint="eastAsia"/>
          <w:snapToGrid/>
        </w:rPr>
        <w:t>P=0.20*Sa+-----*Sa*0.1</w:t>
      </w:r>
    </w:p>
    <w:p w:rsidR="00000000" w:rsidRDefault="00000000">
      <w:pPr>
        <w:ind w:left="1560"/>
        <w:rPr>
          <w:rFonts w:hint="eastAsia"/>
          <w:snapToGrid/>
        </w:rPr>
      </w:pPr>
      <w:r>
        <w:rPr>
          <w:rFonts w:hint="eastAsia"/>
          <w:snapToGrid/>
        </w:rPr>
        <w:tab/>
        <w:t>Vmax</w:t>
      </w:r>
    </w:p>
    <w:p w:rsidR="00000000" w:rsidRDefault="00000000">
      <w:pPr>
        <w:ind w:left="1560"/>
        <w:rPr>
          <w:rFonts w:hint="eastAsia"/>
          <w:snapToGrid/>
        </w:rPr>
      </w:pPr>
      <w:r>
        <w:rPr>
          <w:rFonts w:hint="eastAsia"/>
          <w:snapToGrid/>
        </w:rPr>
        <w:t>其中：</w:t>
      </w:r>
    </w:p>
    <w:p w:rsidR="00000000" w:rsidRDefault="00000000">
      <w:pPr>
        <w:ind w:left="2080"/>
        <w:rPr>
          <w:rFonts w:hint="eastAsia"/>
          <w:snapToGrid/>
        </w:rPr>
      </w:pPr>
      <w:r>
        <w:rPr>
          <w:rFonts w:hint="eastAsia"/>
          <w:snapToGrid/>
        </w:rPr>
        <w:t>P=</w:t>
      </w:r>
      <w:r>
        <w:rPr>
          <w:rFonts w:hint="eastAsia"/>
          <w:snapToGrid/>
        </w:rPr>
        <w:t>养恤金金额</w:t>
      </w:r>
      <w:r>
        <w:rPr>
          <w:rFonts w:hint="eastAsia"/>
          <w:snapToGrid/>
        </w:rPr>
        <w:t>;</w:t>
      </w:r>
    </w:p>
    <w:p w:rsidR="00000000" w:rsidRDefault="00000000">
      <w:pPr>
        <w:ind w:left="2625" w:hanging="525"/>
        <w:rPr>
          <w:rFonts w:hint="eastAsia"/>
          <w:snapToGrid/>
        </w:rPr>
      </w:pPr>
      <w:r>
        <w:rPr>
          <w:rFonts w:hint="eastAsia"/>
          <w:snapToGrid/>
        </w:rPr>
        <w:t>Sa=</w:t>
      </w:r>
      <w:r>
        <w:rPr>
          <w:rFonts w:hint="eastAsia"/>
          <w:snapToGrid/>
        </w:rPr>
        <w:t>本法律生效后的月平均收入，数额不得超过确定该养恤金前一年的平均国民收入的两倍；</w:t>
      </w:r>
    </w:p>
    <w:p w:rsidR="00000000" w:rsidRDefault="00000000">
      <w:pPr>
        <w:ind w:left="2080"/>
        <w:rPr>
          <w:rFonts w:hint="eastAsia"/>
          <w:snapToGrid/>
        </w:rPr>
      </w:pPr>
      <w:r>
        <w:rPr>
          <w:rFonts w:hint="eastAsia"/>
          <w:snapToGrid/>
        </w:rPr>
        <w:t>Va=</w:t>
      </w:r>
      <w:r>
        <w:rPr>
          <w:rFonts w:hint="eastAsia"/>
          <w:snapToGrid/>
        </w:rPr>
        <w:t>实际缴款期限；</w:t>
      </w:r>
    </w:p>
    <w:p w:rsidR="00000000" w:rsidRDefault="00000000">
      <w:pPr>
        <w:ind w:left="2520" w:hanging="420"/>
        <w:rPr>
          <w:rFonts w:hint="eastAsia"/>
          <w:snapToGrid/>
        </w:rPr>
      </w:pPr>
      <w:r>
        <w:rPr>
          <w:rFonts w:hint="eastAsia"/>
          <w:snapToGrid/>
        </w:rPr>
        <w:t>Vmax=</w:t>
      </w:r>
      <w:r>
        <w:rPr>
          <w:rFonts w:hint="eastAsia"/>
          <w:snapToGrid/>
        </w:rPr>
        <w:t>第</w:t>
      </w:r>
      <w:r>
        <w:rPr>
          <w:rFonts w:hint="eastAsia"/>
          <w:snapToGrid/>
        </w:rPr>
        <w:t>41</w:t>
      </w:r>
      <w:r>
        <w:rPr>
          <w:rFonts w:hint="eastAsia"/>
          <w:snapToGrid/>
        </w:rPr>
        <w:t>条中确定的从</w:t>
      </w:r>
      <w:r>
        <w:rPr>
          <w:rFonts w:hint="eastAsia"/>
          <w:snapToGrid/>
        </w:rPr>
        <w:t>18</w:t>
      </w:r>
      <w:r>
        <w:rPr>
          <w:rFonts w:hint="eastAsia"/>
          <w:snapToGrid/>
        </w:rPr>
        <w:t>岁直到退休年龄可能达到的最长缴款期限，但不得超过</w:t>
      </w:r>
      <w:r>
        <w:rPr>
          <w:rFonts w:hint="eastAsia"/>
          <w:snapToGrid/>
        </w:rPr>
        <w:t>42</w:t>
      </w:r>
      <w:r>
        <w:rPr>
          <w:rFonts w:hint="eastAsia"/>
          <w:snapToGrid/>
        </w:rPr>
        <w:t>年。</w:t>
      </w:r>
    </w:p>
    <w:p w:rsidR="00000000" w:rsidRDefault="00000000">
      <w:pPr>
        <w:rPr>
          <w:rFonts w:hint="eastAsia"/>
          <w:snapToGrid/>
        </w:rPr>
      </w:pPr>
      <w:r>
        <w:rPr>
          <w:snapToGrid/>
        </w:rPr>
        <w:tab/>
      </w:r>
      <w:r>
        <w:rPr>
          <w:rFonts w:hint="eastAsia"/>
          <w:snapToGrid/>
        </w:rPr>
        <w:t>255.</w:t>
      </w:r>
      <w:r>
        <w:rPr>
          <w:snapToGrid/>
        </w:rPr>
        <w:t xml:space="preserve">  </w:t>
      </w:r>
      <w:r>
        <w:rPr>
          <w:rFonts w:hint="eastAsia"/>
          <w:snapToGrid/>
        </w:rPr>
        <w:t>如果残疾养恤金的数额低于最低养恤金标准，则拨发最低养恤金。第一和第二级残疾程度的最低养恤金为最低退休金金额的</w:t>
      </w:r>
      <w:r>
        <w:rPr>
          <w:rFonts w:hint="eastAsia"/>
          <w:snapToGrid/>
        </w:rPr>
        <w:t>100%</w:t>
      </w:r>
      <w:r>
        <w:rPr>
          <w:rFonts w:hint="eastAsia"/>
          <w:snapToGrid/>
        </w:rPr>
        <w:t>，第三级为</w:t>
      </w:r>
      <w:r>
        <w:rPr>
          <w:rFonts w:hint="eastAsia"/>
          <w:snapToGrid/>
        </w:rPr>
        <w:t>50%</w:t>
      </w:r>
      <w:r>
        <w:rPr>
          <w:rFonts w:hint="eastAsia"/>
          <w:snapToGrid/>
        </w:rPr>
        <w:t>。至于其他残疾程度的养恤金数额，须随体格检查委员会的新决定变化</w:t>
      </w:r>
      <w:r>
        <w:rPr>
          <w:rFonts w:hint="eastAsia"/>
          <w:snapToGrid/>
        </w:rPr>
        <w:t>(</w:t>
      </w:r>
      <w:r>
        <w:rPr>
          <w:rFonts w:hint="eastAsia"/>
          <w:snapToGrid/>
        </w:rPr>
        <w:t>第</w:t>
      </w:r>
      <w:r>
        <w:rPr>
          <w:rFonts w:hint="eastAsia"/>
          <w:snapToGrid/>
        </w:rPr>
        <w:t>21</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256.</w:t>
      </w:r>
      <w:r>
        <w:rPr>
          <w:snapToGrid/>
        </w:rPr>
        <w:t xml:space="preserve">  </w:t>
      </w:r>
      <w:r>
        <w:rPr>
          <w:rFonts w:hint="eastAsia"/>
          <w:snapToGrid/>
        </w:rPr>
        <w:t>遗属养恤金拨发的条件是死者曾是养恤金领取者或符合获得养恤金的所有条件</w:t>
      </w:r>
      <w:r>
        <w:rPr>
          <w:rFonts w:hint="eastAsia"/>
          <w:snapToGrid/>
        </w:rPr>
        <w:t>(</w:t>
      </w:r>
      <w:r>
        <w:rPr>
          <w:rFonts w:hint="eastAsia"/>
          <w:snapToGrid/>
        </w:rPr>
        <w:t>第</w:t>
      </w:r>
      <w:r>
        <w:rPr>
          <w:rFonts w:hint="eastAsia"/>
          <w:snapToGrid/>
        </w:rPr>
        <w:t>24</w:t>
      </w:r>
      <w:r>
        <w:rPr>
          <w:rFonts w:hint="eastAsia"/>
          <w:snapToGrid/>
        </w:rPr>
        <w:t>条</w:t>
      </w:r>
      <w:r>
        <w:rPr>
          <w:rFonts w:hint="eastAsia"/>
          <w:snapToGrid/>
        </w:rPr>
        <w:t>)</w:t>
      </w:r>
      <w:r>
        <w:rPr>
          <w:rFonts w:hint="eastAsia"/>
          <w:snapToGrid/>
        </w:rPr>
        <w:t>。遗属养恤金发给下述人：</w:t>
      </w:r>
    </w:p>
    <w:p w:rsidR="00000000" w:rsidRDefault="00000000">
      <w:pPr>
        <w:numPr>
          <w:ilvl w:val="0"/>
          <w:numId w:val="440"/>
        </w:numPr>
        <w:rPr>
          <w:snapToGrid/>
        </w:rPr>
      </w:pPr>
      <w:r>
        <w:rPr>
          <w:rFonts w:hint="eastAsia"/>
          <w:snapToGrid/>
        </w:rPr>
        <w:t>子女，直到他们年满</w:t>
      </w:r>
      <w:r>
        <w:rPr>
          <w:rFonts w:hint="eastAsia"/>
          <w:snapToGrid/>
        </w:rPr>
        <w:t>18</w:t>
      </w:r>
      <w:r>
        <w:rPr>
          <w:rFonts w:hint="eastAsia"/>
          <w:snapToGrid/>
        </w:rPr>
        <w:t>岁，如果他们正在某教育机构学习</w:t>
      </w:r>
      <w:r>
        <w:rPr>
          <w:rFonts w:hint="eastAsia"/>
          <w:snapToGrid/>
        </w:rPr>
        <w:t>(</w:t>
      </w:r>
      <w:r>
        <w:rPr>
          <w:rFonts w:hint="eastAsia"/>
          <w:snapToGrid/>
        </w:rPr>
        <w:t>中学、中等职业学校或更高一级的学校</w:t>
      </w:r>
      <w:r>
        <w:rPr>
          <w:rFonts w:hint="eastAsia"/>
          <w:snapToGrid/>
        </w:rPr>
        <w:t>)</w:t>
      </w:r>
      <w:r>
        <w:rPr>
          <w:rFonts w:hint="eastAsia"/>
          <w:snapToGrid/>
        </w:rPr>
        <w:t>，则直到他们毕业，但不得超过</w:t>
      </w:r>
      <w:r>
        <w:rPr>
          <w:rFonts w:hint="eastAsia"/>
          <w:snapToGrid/>
        </w:rPr>
        <w:t>23</w:t>
      </w:r>
      <w:r>
        <w:rPr>
          <w:rFonts w:hint="eastAsia"/>
          <w:snapToGrid/>
        </w:rPr>
        <w:t>岁；</w:t>
      </w:r>
    </w:p>
    <w:p w:rsidR="00000000" w:rsidRDefault="00000000">
      <w:pPr>
        <w:numPr>
          <w:ilvl w:val="0"/>
          <w:numId w:val="440"/>
        </w:numPr>
        <w:rPr>
          <w:snapToGrid/>
        </w:rPr>
      </w:pPr>
      <w:r>
        <w:rPr>
          <w:rFonts w:hint="eastAsia"/>
          <w:snapToGrid/>
        </w:rPr>
        <w:t>未亡配偶，如果养家人去世时或最多去世</w:t>
      </w:r>
      <w:r>
        <w:rPr>
          <w:rFonts w:hint="eastAsia"/>
          <w:snapToGrid/>
        </w:rPr>
        <w:t>5</w:t>
      </w:r>
      <w:r>
        <w:rPr>
          <w:rFonts w:hint="eastAsia"/>
          <w:snapToGrid/>
        </w:rPr>
        <w:t>年后，其配偶已达到第</w:t>
      </w:r>
      <w:r>
        <w:rPr>
          <w:rFonts w:hint="eastAsia"/>
          <w:snapToGrid/>
        </w:rPr>
        <w:t>51</w:t>
      </w:r>
      <w:r>
        <w:rPr>
          <w:rFonts w:hint="eastAsia"/>
          <w:snapToGrid/>
        </w:rPr>
        <w:t>条规定的退休年龄，或具备第一或第二级残疾程度，曾与死者结婚至少</w:t>
      </w:r>
      <w:r>
        <w:rPr>
          <w:rFonts w:hint="eastAsia"/>
          <w:snapToGrid/>
        </w:rPr>
        <w:t>15</w:t>
      </w:r>
      <w:r>
        <w:rPr>
          <w:rFonts w:hint="eastAsia"/>
          <w:snapToGrid/>
        </w:rPr>
        <w:t>年且不曾再婚；</w:t>
      </w:r>
    </w:p>
    <w:p w:rsidR="00000000" w:rsidRDefault="00000000">
      <w:pPr>
        <w:numPr>
          <w:ilvl w:val="0"/>
          <w:numId w:val="440"/>
        </w:numPr>
        <w:rPr>
          <w:rFonts w:hint="eastAsia"/>
          <w:snapToGrid/>
        </w:rPr>
      </w:pPr>
      <w:r>
        <w:rPr>
          <w:rFonts w:hint="eastAsia"/>
          <w:snapToGrid/>
        </w:rPr>
        <w:t>未亡配偶或负责照顾养家人不满</w:t>
      </w:r>
      <w:r>
        <w:rPr>
          <w:rFonts w:hint="eastAsia"/>
          <w:snapToGrid/>
        </w:rPr>
        <w:t>3</w:t>
      </w:r>
      <w:r>
        <w:rPr>
          <w:rFonts w:hint="eastAsia"/>
          <w:snapToGrid/>
        </w:rPr>
        <w:t>岁的子女的人，直到他重新工作</w:t>
      </w:r>
      <w:r>
        <w:rPr>
          <w:rFonts w:hint="eastAsia"/>
          <w:snapToGrid/>
        </w:rPr>
        <w:t>(</w:t>
      </w:r>
      <w:r>
        <w:rPr>
          <w:rFonts w:hint="eastAsia"/>
          <w:snapToGrid/>
        </w:rPr>
        <w:t>第</w:t>
      </w:r>
      <w:r>
        <w:rPr>
          <w:rFonts w:hint="eastAsia"/>
          <w:snapToGrid/>
        </w:rPr>
        <w:t>25</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257.</w:t>
      </w:r>
      <w:r>
        <w:rPr>
          <w:snapToGrid/>
        </w:rPr>
        <w:t xml:space="preserve">  </w:t>
      </w:r>
      <w:r>
        <w:rPr>
          <w:rFonts w:hint="eastAsia"/>
          <w:snapToGrid/>
        </w:rPr>
        <w:t>第</w:t>
      </w:r>
      <w:r>
        <w:rPr>
          <w:rFonts w:hint="eastAsia"/>
          <w:snapToGrid/>
        </w:rPr>
        <w:t>26</w:t>
      </w:r>
      <w:r>
        <w:rPr>
          <w:rFonts w:hint="eastAsia"/>
          <w:snapToGrid/>
        </w:rPr>
        <w:t>条载明了计算遗属养恤金的方法。一笔遗属养恤金的数额为养家人退休金或可能获得的退休金的</w:t>
      </w:r>
      <w:r>
        <w:rPr>
          <w:rFonts w:hint="eastAsia"/>
          <w:snapToGrid/>
        </w:rPr>
        <w:t>1.2%</w:t>
      </w:r>
      <w:r>
        <w:rPr>
          <w:rFonts w:hint="eastAsia"/>
          <w:snapToGrid/>
        </w:rPr>
        <w:t>，具体计算公式如下：</w:t>
      </w:r>
    </w:p>
    <w:p w:rsidR="00000000" w:rsidRDefault="00000000">
      <w:pPr>
        <w:ind w:left="1560"/>
        <w:rPr>
          <w:rFonts w:hint="eastAsia"/>
          <w:snapToGrid/>
        </w:rPr>
      </w:pPr>
      <w:r>
        <w:rPr>
          <w:rFonts w:hint="eastAsia"/>
          <w:snapToGrid/>
        </w:rPr>
        <w:t>P=1.2%*Vt*Sa</w:t>
      </w:r>
    </w:p>
    <w:p w:rsidR="00000000" w:rsidRDefault="00000000">
      <w:pPr>
        <w:ind w:left="1040"/>
        <w:rPr>
          <w:snapToGrid/>
        </w:rPr>
      </w:pPr>
      <w:r>
        <w:rPr>
          <w:rFonts w:hint="eastAsia"/>
          <w:snapToGrid/>
        </w:rPr>
        <w:t>该养恤金根据遗属的人数确定：</w:t>
      </w:r>
    </w:p>
    <w:p w:rsidR="00000000" w:rsidRDefault="00000000">
      <w:pPr>
        <w:ind w:left="1559"/>
        <w:rPr>
          <w:snapToGrid/>
        </w:rPr>
      </w:pPr>
      <w:r>
        <w:rPr>
          <w:snapToGrid/>
        </w:rPr>
        <w:t>(a)</w:t>
      </w:r>
      <w:r>
        <w:rPr>
          <w:snapToGrid/>
        </w:rPr>
        <w:tab/>
      </w:r>
      <w:r>
        <w:rPr>
          <w:rFonts w:hint="eastAsia"/>
          <w:snapToGrid/>
        </w:rPr>
        <w:t>1</w:t>
      </w:r>
      <w:r>
        <w:rPr>
          <w:rFonts w:hint="eastAsia"/>
          <w:snapToGrid/>
        </w:rPr>
        <w:t>人</w:t>
      </w:r>
      <w:r>
        <w:rPr>
          <w:rFonts w:hint="eastAsia"/>
          <w:snapToGrid/>
        </w:rPr>
        <w:t>=50%</w:t>
      </w:r>
      <w:r>
        <w:rPr>
          <w:rFonts w:hint="eastAsia"/>
          <w:snapToGrid/>
        </w:rPr>
        <w:t>；</w:t>
      </w:r>
    </w:p>
    <w:p w:rsidR="00000000" w:rsidRDefault="00000000">
      <w:pPr>
        <w:ind w:left="1559"/>
        <w:rPr>
          <w:rFonts w:hint="eastAsia"/>
          <w:snapToGrid/>
        </w:rPr>
      </w:pPr>
      <w:r>
        <w:rPr>
          <w:snapToGrid/>
        </w:rPr>
        <w:t>(b)</w:t>
      </w:r>
      <w:r>
        <w:rPr>
          <w:snapToGrid/>
        </w:rPr>
        <w:tab/>
      </w:r>
      <w:r>
        <w:rPr>
          <w:rFonts w:hint="eastAsia"/>
          <w:snapToGrid/>
        </w:rPr>
        <w:t>2</w:t>
      </w:r>
      <w:r>
        <w:rPr>
          <w:rFonts w:hint="eastAsia"/>
          <w:snapToGrid/>
        </w:rPr>
        <w:t>人</w:t>
      </w:r>
      <w:r>
        <w:rPr>
          <w:rFonts w:hint="eastAsia"/>
          <w:snapToGrid/>
        </w:rPr>
        <w:t>=75%</w:t>
      </w:r>
      <w:r>
        <w:rPr>
          <w:rFonts w:hint="eastAsia"/>
          <w:snapToGrid/>
        </w:rPr>
        <w:t>；</w:t>
      </w:r>
    </w:p>
    <w:p w:rsidR="00000000" w:rsidRDefault="00000000">
      <w:pPr>
        <w:ind w:left="1559"/>
        <w:rPr>
          <w:rFonts w:hint="eastAsia"/>
          <w:snapToGrid/>
        </w:rPr>
      </w:pPr>
      <w:r>
        <w:rPr>
          <w:snapToGrid/>
        </w:rPr>
        <w:t>(c)</w:t>
      </w:r>
      <w:r>
        <w:rPr>
          <w:snapToGrid/>
        </w:rPr>
        <w:tab/>
      </w:r>
      <w:r>
        <w:rPr>
          <w:rFonts w:hint="eastAsia"/>
          <w:snapToGrid/>
        </w:rPr>
        <w:t>3</w:t>
      </w:r>
      <w:r>
        <w:rPr>
          <w:rFonts w:hint="eastAsia"/>
          <w:snapToGrid/>
        </w:rPr>
        <w:t>人或更多</w:t>
      </w:r>
      <w:r>
        <w:rPr>
          <w:rFonts w:hint="eastAsia"/>
          <w:snapToGrid/>
        </w:rPr>
        <w:t>=100%</w:t>
      </w:r>
      <w:r>
        <w:rPr>
          <w:rFonts w:hint="eastAsia"/>
          <w:snapToGrid/>
        </w:rPr>
        <w:t>。</w:t>
      </w:r>
    </w:p>
    <w:p w:rsidR="00000000" w:rsidRDefault="00000000">
      <w:pPr>
        <w:rPr>
          <w:rFonts w:hint="eastAsia"/>
          <w:snapToGrid/>
        </w:rPr>
      </w:pPr>
      <w:r>
        <w:rPr>
          <w:snapToGrid/>
        </w:rPr>
        <w:tab/>
      </w:r>
      <w:r>
        <w:rPr>
          <w:rFonts w:hint="eastAsia"/>
          <w:snapToGrid/>
        </w:rPr>
        <w:t>258.</w:t>
      </w:r>
      <w:r>
        <w:rPr>
          <w:snapToGrid/>
        </w:rPr>
        <w:t xml:space="preserve">  </w:t>
      </w:r>
      <w:r>
        <w:rPr>
          <w:rFonts w:hint="eastAsia"/>
          <w:snapToGrid/>
        </w:rPr>
        <w:t>遗属养恤金的最低数额须在遗属之间分配，比例如下：</w:t>
      </w:r>
    </w:p>
    <w:p w:rsidR="00000000" w:rsidRDefault="00000000">
      <w:pPr>
        <w:ind w:left="1560"/>
        <w:rPr>
          <w:rFonts w:hint="eastAsia"/>
          <w:snapToGrid/>
        </w:rPr>
      </w:pPr>
      <w:r>
        <w:rPr>
          <w:snapToGrid/>
        </w:rPr>
        <w:t>(a)</w:t>
      </w:r>
      <w:r>
        <w:rPr>
          <w:snapToGrid/>
        </w:rPr>
        <w:tab/>
      </w:r>
      <w:r>
        <w:rPr>
          <w:rFonts w:hint="eastAsia"/>
          <w:snapToGrid/>
        </w:rPr>
        <w:t>1</w:t>
      </w:r>
      <w:r>
        <w:rPr>
          <w:rFonts w:hint="eastAsia"/>
          <w:snapToGrid/>
        </w:rPr>
        <w:t>人</w:t>
      </w:r>
      <w:r>
        <w:rPr>
          <w:rFonts w:hint="eastAsia"/>
          <w:snapToGrid/>
        </w:rPr>
        <w:t>50%</w:t>
      </w:r>
      <w:r>
        <w:rPr>
          <w:rFonts w:hint="eastAsia"/>
          <w:snapToGrid/>
        </w:rPr>
        <w:t>；</w:t>
      </w:r>
    </w:p>
    <w:p w:rsidR="00000000" w:rsidRDefault="00000000">
      <w:pPr>
        <w:ind w:left="1560"/>
        <w:rPr>
          <w:rFonts w:hint="eastAsia"/>
          <w:snapToGrid/>
        </w:rPr>
      </w:pPr>
      <w:r>
        <w:rPr>
          <w:snapToGrid/>
        </w:rPr>
        <w:t>(b)</w:t>
      </w:r>
      <w:r>
        <w:rPr>
          <w:snapToGrid/>
        </w:rPr>
        <w:tab/>
      </w:r>
      <w:r>
        <w:rPr>
          <w:rFonts w:hint="eastAsia"/>
          <w:snapToGrid/>
        </w:rPr>
        <w:t>2</w:t>
      </w:r>
      <w:r>
        <w:rPr>
          <w:rFonts w:hint="eastAsia"/>
          <w:snapToGrid/>
        </w:rPr>
        <w:t>人</w:t>
      </w:r>
      <w:r>
        <w:rPr>
          <w:rFonts w:hint="eastAsia"/>
          <w:snapToGrid/>
        </w:rPr>
        <w:t>75%</w:t>
      </w:r>
      <w:r>
        <w:rPr>
          <w:rFonts w:hint="eastAsia"/>
          <w:snapToGrid/>
        </w:rPr>
        <w:t>；</w:t>
      </w:r>
    </w:p>
    <w:p w:rsidR="00000000" w:rsidRDefault="00000000">
      <w:pPr>
        <w:ind w:left="1560"/>
        <w:rPr>
          <w:rFonts w:hint="eastAsia"/>
          <w:snapToGrid/>
        </w:rPr>
      </w:pPr>
      <w:r>
        <w:rPr>
          <w:snapToGrid/>
        </w:rPr>
        <w:t>(c)</w:t>
      </w:r>
      <w:r>
        <w:rPr>
          <w:snapToGrid/>
        </w:rPr>
        <w:tab/>
      </w:r>
      <w:r>
        <w:rPr>
          <w:rFonts w:hint="eastAsia"/>
          <w:snapToGrid/>
        </w:rPr>
        <w:t>3</w:t>
      </w:r>
      <w:r>
        <w:rPr>
          <w:rFonts w:hint="eastAsia"/>
          <w:snapToGrid/>
        </w:rPr>
        <w:t>人或更多</w:t>
      </w:r>
      <w:r>
        <w:rPr>
          <w:rFonts w:hint="eastAsia"/>
          <w:snapToGrid/>
        </w:rPr>
        <w:t>100%</w:t>
      </w:r>
      <w:r>
        <w:rPr>
          <w:rFonts w:hint="eastAsia"/>
          <w:snapToGrid/>
        </w:rPr>
        <w:t>；</w:t>
      </w:r>
    </w:p>
    <w:p w:rsidR="00000000" w:rsidRDefault="00000000">
      <w:pPr>
        <w:rPr>
          <w:rFonts w:hint="eastAsia"/>
          <w:snapToGrid/>
        </w:rPr>
      </w:pPr>
      <w:r>
        <w:rPr>
          <w:rFonts w:hint="eastAsia"/>
          <w:snapToGrid/>
        </w:rPr>
        <w:t>如果父母双亡，其未亡子女将获得两名死者的遗属养恤金。父母双亡情况下，一份遗属养恤金的最低数额不得少于最低退休金的</w:t>
      </w:r>
      <w:r>
        <w:rPr>
          <w:rFonts w:hint="eastAsia"/>
          <w:snapToGrid/>
        </w:rPr>
        <w:t>50%</w:t>
      </w:r>
      <w:r>
        <w:rPr>
          <w:rFonts w:hint="eastAsia"/>
          <w:snapToGrid/>
        </w:rPr>
        <w:t>。</w:t>
      </w:r>
    </w:p>
    <w:p w:rsidR="00000000" w:rsidRDefault="00000000">
      <w:pPr>
        <w:rPr>
          <w:snapToGrid/>
        </w:rPr>
      </w:pPr>
      <w:r>
        <w:rPr>
          <w:snapToGrid/>
        </w:rPr>
        <w:tab/>
      </w:r>
      <w:r>
        <w:rPr>
          <w:rFonts w:hint="eastAsia"/>
          <w:snapToGrid/>
        </w:rPr>
        <w:t>259.</w:t>
      </w:r>
      <w:r>
        <w:rPr>
          <w:snapToGrid/>
        </w:rPr>
        <w:t xml:space="preserve">  </w:t>
      </w:r>
      <w:r>
        <w:rPr>
          <w:rFonts w:hint="eastAsia"/>
          <w:snapToGrid/>
        </w:rPr>
        <w:t>确定遗属养恤金金额的依据是：</w:t>
      </w:r>
    </w:p>
    <w:p w:rsidR="00000000" w:rsidRDefault="00000000">
      <w:pPr>
        <w:numPr>
          <w:ilvl w:val="0"/>
          <w:numId w:val="442"/>
        </w:numPr>
        <w:rPr>
          <w:snapToGrid/>
        </w:rPr>
      </w:pPr>
      <w:r>
        <w:rPr>
          <w:rFonts w:hint="eastAsia"/>
          <w:snapToGrid/>
        </w:rPr>
        <w:t>已故养家人的养恤金，如果他曾是养恤金领取人，或如果曾有第一或第二级程度的残疾状况，则以第一级程度的残疾养恤金为准；</w:t>
      </w:r>
    </w:p>
    <w:p w:rsidR="00000000" w:rsidRDefault="00000000">
      <w:pPr>
        <w:numPr>
          <w:ilvl w:val="0"/>
          <w:numId w:val="442"/>
        </w:numPr>
        <w:rPr>
          <w:rFonts w:hint="eastAsia"/>
          <w:snapToGrid/>
        </w:rPr>
      </w:pPr>
      <w:r>
        <w:rPr>
          <w:rFonts w:hint="eastAsia"/>
          <w:snapToGrid/>
        </w:rPr>
        <w:t>依法规定的养家人的退休金，并要考虑他为此已缴付的款额。</w:t>
      </w:r>
    </w:p>
    <w:p w:rsidR="00000000" w:rsidRDefault="00000000">
      <w:pPr>
        <w:rPr>
          <w:rFonts w:hint="eastAsia"/>
          <w:snapToGrid/>
        </w:rPr>
      </w:pPr>
      <w:r>
        <w:rPr>
          <w:snapToGrid/>
        </w:rPr>
        <w:tab/>
      </w:r>
      <w:r>
        <w:rPr>
          <w:rFonts w:hint="eastAsia"/>
          <w:snapToGrid/>
        </w:rPr>
        <w:t>260.</w:t>
      </w:r>
      <w:r>
        <w:rPr>
          <w:snapToGrid/>
        </w:rPr>
        <w:t xml:space="preserve">  </w:t>
      </w:r>
      <w:r>
        <w:rPr>
          <w:rFonts w:hint="eastAsia"/>
          <w:snapToGrid/>
        </w:rPr>
        <w:t>第</w:t>
      </w:r>
      <w:r>
        <w:rPr>
          <w:rFonts w:hint="eastAsia"/>
          <w:snapToGrid/>
        </w:rPr>
        <w:t>25</w:t>
      </w:r>
      <w:r>
        <w:rPr>
          <w:rFonts w:hint="eastAsia"/>
          <w:snapToGrid/>
        </w:rPr>
        <w:t>条</w:t>
      </w:r>
      <w:r>
        <w:rPr>
          <w:rFonts w:hint="eastAsia"/>
          <w:snapToGrid/>
        </w:rPr>
        <w:t>(a)</w:t>
      </w:r>
      <w:r>
        <w:rPr>
          <w:rFonts w:hint="eastAsia"/>
          <w:snapToGrid/>
        </w:rPr>
        <w:t>中所规定的各类遗属可以获得遗属养恤金。第</w:t>
      </w:r>
      <w:r>
        <w:rPr>
          <w:rFonts w:hint="eastAsia"/>
          <w:snapToGrid/>
        </w:rPr>
        <w:t>25</w:t>
      </w:r>
      <w:r>
        <w:rPr>
          <w:rFonts w:hint="eastAsia"/>
          <w:snapToGrid/>
        </w:rPr>
        <w:t>条</w:t>
      </w:r>
      <w:r>
        <w:rPr>
          <w:rFonts w:hint="eastAsia"/>
          <w:snapToGrid/>
        </w:rPr>
        <w:t>(b)</w:t>
      </w:r>
      <w:r>
        <w:rPr>
          <w:rFonts w:hint="eastAsia"/>
          <w:snapToGrid/>
        </w:rPr>
        <w:t>和</w:t>
      </w:r>
      <w:r>
        <w:rPr>
          <w:rFonts w:hint="eastAsia"/>
          <w:snapToGrid/>
        </w:rPr>
        <w:t xml:space="preserve"> (c)</w:t>
      </w:r>
      <w:r>
        <w:rPr>
          <w:rFonts w:hint="eastAsia"/>
          <w:snapToGrid/>
        </w:rPr>
        <w:t>中规定的各类遗属只有当他们不具备可能享受国家社会保险的收入时才能获得遗属养恤金</w:t>
      </w:r>
      <w:r>
        <w:rPr>
          <w:rFonts w:hint="eastAsia"/>
          <w:snapToGrid/>
        </w:rPr>
        <w:t>(</w:t>
      </w:r>
      <w:r>
        <w:rPr>
          <w:rFonts w:hint="eastAsia"/>
          <w:snapToGrid/>
        </w:rPr>
        <w:t>第</w:t>
      </w:r>
      <w:r>
        <w:rPr>
          <w:rFonts w:hint="eastAsia"/>
          <w:snapToGrid/>
        </w:rPr>
        <w:t>27</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261.</w:t>
      </w:r>
      <w:r>
        <w:rPr>
          <w:snapToGrid/>
        </w:rPr>
        <w:t xml:space="preserve">  </w:t>
      </w:r>
      <w:r>
        <w:rPr>
          <w:rFonts w:hint="eastAsia"/>
          <w:snapToGrid/>
        </w:rPr>
        <w:t>所有养恤金都由社会保险局确定和支付。组织制定和支付养恤金的方式由政府确定</w:t>
      </w:r>
      <w:r>
        <w:rPr>
          <w:rFonts w:hint="eastAsia"/>
          <w:snapToGrid/>
        </w:rPr>
        <w:t>(</w:t>
      </w:r>
      <w:r>
        <w:rPr>
          <w:rFonts w:hint="eastAsia"/>
          <w:snapToGrid/>
        </w:rPr>
        <w:t>第</w:t>
      </w:r>
      <w:r>
        <w:rPr>
          <w:rFonts w:hint="eastAsia"/>
          <w:snapToGrid/>
        </w:rPr>
        <w:t>30</w:t>
      </w:r>
      <w:r>
        <w:rPr>
          <w:rFonts w:hint="eastAsia"/>
          <w:snapToGrid/>
        </w:rPr>
        <w:t>条</w:t>
      </w:r>
      <w:r>
        <w:rPr>
          <w:rFonts w:hint="eastAsia"/>
          <w:snapToGrid/>
        </w:rPr>
        <w:t>)</w:t>
      </w:r>
      <w:r>
        <w:rPr>
          <w:rFonts w:hint="eastAsia"/>
          <w:snapToGrid/>
        </w:rPr>
        <w:t>。养恤金发给对之拥有全权的申请人或其监护人。投保人须向其居住地的地方社会保险机构提交退休金申请，连同能证明他满足法律所规定的各项条件的文件。地方社会保险机构可以在申请提交后</w:t>
      </w:r>
      <w:r>
        <w:rPr>
          <w:rFonts w:hint="eastAsia"/>
          <w:snapToGrid/>
        </w:rPr>
        <w:t>15</w:t>
      </w:r>
      <w:r>
        <w:rPr>
          <w:rFonts w:hint="eastAsia"/>
          <w:snapToGrid/>
        </w:rPr>
        <w:t>天内作出决定，或批准一项养恤金权利或拒绝退休申请。决定作出后须在</w:t>
      </w:r>
      <w:r>
        <w:rPr>
          <w:rFonts w:hint="eastAsia"/>
          <w:snapToGrid/>
        </w:rPr>
        <w:t>3</w:t>
      </w:r>
      <w:r>
        <w:rPr>
          <w:rFonts w:hint="eastAsia"/>
          <w:snapToGrid/>
        </w:rPr>
        <w:t>日之内以书面形式传达给申请人</w:t>
      </w:r>
      <w:r>
        <w:rPr>
          <w:rFonts w:hint="eastAsia"/>
          <w:snapToGrid/>
        </w:rPr>
        <w:t>(</w:t>
      </w:r>
      <w:r>
        <w:rPr>
          <w:rFonts w:hint="eastAsia"/>
          <w:snapToGrid/>
        </w:rPr>
        <w:t>第</w:t>
      </w:r>
      <w:r>
        <w:rPr>
          <w:rFonts w:hint="eastAsia"/>
          <w:snapToGrid/>
        </w:rPr>
        <w:t>31</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262.</w:t>
      </w:r>
      <w:r>
        <w:rPr>
          <w:snapToGrid/>
        </w:rPr>
        <w:t xml:space="preserve">  </w:t>
      </w:r>
      <w:r>
        <w:rPr>
          <w:rFonts w:hint="eastAsia"/>
          <w:snapToGrid/>
        </w:rPr>
        <w:t>第</w:t>
      </w:r>
      <w:r>
        <w:rPr>
          <w:rFonts w:hint="eastAsia"/>
          <w:snapToGrid/>
        </w:rPr>
        <w:t>32</w:t>
      </w:r>
      <w:r>
        <w:rPr>
          <w:rFonts w:hint="eastAsia"/>
          <w:snapToGrid/>
        </w:rPr>
        <w:t>条规定了拨发一项养恤金的期限。退休金是终生的。在经体格检查委员确认的整个残疾期间都拨发残疾养恤金，但自领取人达到标准退休年龄之日起便须停发。遗属养恤金拨发期间必须满足第</w:t>
      </w:r>
      <w:r>
        <w:rPr>
          <w:rFonts w:hint="eastAsia"/>
          <w:snapToGrid/>
        </w:rPr>
        <w:t>25</w:t>
      </w:r>
      <w:r>
        <w:rPr>
          <w:rFonts w:hint="eastAsia"/>
          <w:snapToGrid/>
        </w:rPr>
        <w:t>条中规定的条件。</w:t>
      </w:r>
    </w:p>
    <w:p w:rsidR="00000000" w:rsidRDefault="00000000">
      <w:pPr>
        <w:rPr>
          <w:snapToGrid/>
        </w:rPr>
      </w:pPr>
      <w:r>
        <w:rPr>
          <w:snapToGrid/>
        </w:rPr>
        <w:tab/>
      </w:r>
      <w:r>
        <w:rPr>
          <w:rFonts w:hint="eastAsia"/>
          <w:snapToGrid/>
        </w:rPr>
        <w:t>263.</w:t>
      </w:r>
      <w:r>
        <w:rPr>
          <w:snapToGrid/>
        </w:rPr>
        <w:t xml:space="preserve">  </w:t>
      </w:r>
      <w:r>
        <w:rPr>
          <w:rFonts w:hint="eastAsia"/>
          <w:snapToGrid/>
        </w:rPr>
        <w:t>根据所申请的养恤金类型，确定了下述发放期限：</w:t>
      </w:r>
    </w:p>
    <w:p w:rsidR="00000000" w:rsidRDefault="00000000">
      <w:pPr>
        <w:numPr>
          <w:ilvl w:val="0"/>
          <w:numId w:val="444"/>
        </w:numPr>
        <w:rPr>
          <w:snapToGrid/>
        </w:rPr>
      </w:pPr>
      <w:r>
        <w:rPr>
          <w:rFonts w:hint="eastAsia"/>
          <w:snapToGrid/>
        </w:rPr>
        <w:t>自投保人符合退休条件之日起便有权享有退休金，并须在其提交申请</w:t>
      </w:r>
      <w:r>
        <w:rPr>
          <w:rFonts w:hint="eastAsia"/>
          <w:snapToGrid/>
        </w:rPr>
        <w:t>30</w:t>
      </w:r>
      <w:r>
        <w:rPr>
          <w:rFonts w:hint="eastAsia"/>
          <w:snapToGrid/>
        </w:rPr>
        <w:t>日内予以拨发；</w:t>
      </w:r>
    </w:p>
    <w:p w:rsidR="00000000" w:rsidRDefault="00000000">
      <w:pPr>
        <w:numPr>
          <w:ilvl w:val="0"/>
          <w:numId w:val="444"/>
        </w:numPr>
        <w:rPr>
          <w:snapToGrid/>
        </w:rPr>
      </w:pPr>
      <w:r>
        <w:rPr>
          <w:rFonts w:hint="eastAsia"/>
          <w:snapToGrid/>
        </w:rPr>
        <w:t>自体格检查委员会就残疾类别作出决定之日起，投保人有权享有残疾养恤金，并须在申请提交后</w:t>
      </w:r>
      <w:r>
        <w:rPr>
          <w:rFonts w:hint="eastAsia"/>
          <w:snapToGrid/>
        </w:rPr>
        <w:t>60</w:t>
      </w:r>
      <w:r>
        <w:rPr>
          <w:rFonts w:hint="eastAsia"/>
          <w:snapToGrid/>
        </w:rPr>
        <w:t>日内予以拨发；</w:t>
      </w:r>
    </w:p>
    <w:p w:rsidR="00000000" w:rsidRDefault="00000000">
      <w:pPr>
        <w:numPr>
          <w:ilvl w:val="0"/>
          <w:numId w:val="444"/>
        </w:numPr>
        <w:rPr>
          <w:snapToGrid/>
        </w:rPr>
      </w:pPr>
      <w:r>
        <w:rPr>
          <w:rFonts w:hint="eastAsia"/>
          <w:snapToGrid/>
        </w:rPr>
        <w:t>自养家人死亡之日起认可遗属养恤金的权利，并须在提交申请后</w:t>
      </w:r>
      <w:r>
        <w:rPr>
          <w:rFonts w:hint="eastAsia"/>
          <w:snapToGrid/>
        </w:rPr>
        <w:t>90</w:t>
      </w:r>
      <w:r>
        <w:rPr>
          <w:rFonts w:hint="eastAsia"/>
          <w:snapToGrid/>
        </w:rPr>
        <w:t>日内予以拨发；</w:t>
      </w:r>
    </w:p>
    <w:p w:rsidR="00000000" w:rsidRDefault="00000000">
      <w:pPr>
        <w:numPr>
          <w:ilvl w:val="0"/>
          <w:numId w:val="444"/>
        </w:numPr>
        <w:rPr>
          <w:rFonts w:hint="eastAsia"/>
          <w:snapToGrid/>
        </w:rPr>
      </w:pPr>
      <w:r>
        <w:rPr>
          <w:rFonts w:hint="eastAsia"/>
          <w:snapToGrid/>
        </w:rPr>
        <w:t>根据</w:t>
      </w:r>
      <w:r>
        <w:rPr>
          <w:rFonts w:hint="eastAsia"/>
          <w:snapToGrid/>
        </w:rPr>
        <w:t>(a)</w:t>
      </w:r>
      <w:r>
        <w:rPr>
          <w:rFonts w:hint="eastAsia"/>
          <w:snapToGrid/>
        </w:rPr>
        <w:t>、</w:t>
      </w:r>
      <w:r>
        <w:rPr>
          <w:rFonts w:hint="eastAsia"/>
          <w:snapToGrid/>
        </w:rPr>
        <w:t>(b)</w:t>
      </w:r>
      <w:r>
        <w:rPr>
          <w:rFonts w:hint="eastAsia"/>
          <w:snapToGrid/>
        </w:rPr>
        <w:t>和</w:t>
      </w:r>
      <w:r>
        <w:rPr>
          <w:rFonts w:hint="eastAsia"/>
          <w:snapToGrid/>
        </w:rPr>
        <w:t xml:space="preserve"> (c)</w:t>
      </w:r>
      <w:r>
        <w:rPr>
          <w:rFonts w:hint="eastAsia"/>
          <w:snapToGrid/>
        </w:rPr>
        <w:t>中规定的条件，享有各类养恤金的权利自提交申请之日起便得到批准。</w:t>
      </w:r>
    </w:p>
    <w:p w:rsidR="00000000" w:rsidRDefault="00000000">
      <w:pPr>
        <w:rPr>
          <w:rFonts w:hint="eastAsia"/>
          <w:snapToGrid/>
        </w:rPr>
      </w:pPr>
      <w:r>
        <w:rPr>
          <w:snapToGrid/>
        </w:rPr>
        <w:tab/>
      </w:r>
      <w:r>
        <w:rPr>
          <w:rFonts w:hint="eastAsia"/>
          <w:snapToGrid/>
        </w:rPr>
        <w:t>264.</w:t>
      </w:r>
      <w:r>
        <w:rPr>
          <w:snapToGrid/>
        </w:rPr>
        <w:t xml:space="preserve">  </w:t>
      </w:r>
      <w:r>
        <w:rPr>
          <w:rFonts w:hint="eastAsia"/>
          <w:snapToGrid/>
        </w:rPr>
        <w:t>如果在退休权利获得确认之前，出现了新情况，则须重新进行评估。新的养恤金权利于证实新情况之日算起其后的一个月中生效</w:t>
      </w:r>
      <w:r>
        <w:rPr>
          <w:rFonts w:hint="eastAsia"/>
          <w:snapToGrid/>
        </w:rPr>
        <w:t>(</w:t>
      </w:r>
      <w:r>
        <w:rPr>
          <w:rFonts w:hint="eastAsia"/>
          <w:snapToGrid/>
        </w:rPr>
        <w:t>第</w:t>
      </w:r>
      <w:r>
        <w:rPr>
          <w:rFonts w:hint="eastAsia"/>
          <w:snapToGrid/>
        </w:rPr>
        <w:t>32</w:t>
      </w:r>
      <w:r>
        <w:rPr>
          <w:rFonts w:hint="eastAsia"/>
          <w:snapToGrid/>
        </w:rPr>
        <w:t>条</w:t>
      </w:r>
      <w:r>
        <w:rPr>
          <w:rFonts w:hint="eastAsia"/>
          <w:snapToGrid/>
        </w:rPr>
        <w:t>)</w:t>
      </w:r>
      <w:r>
        <w:rPr>
          <w:rFonts w:hint="eastAsia"/>
          <w:snapToGrid/>
        </w:rPr>
        <w:t>。</w:t>
      </w:r>
    </w:p>
    <w:p w:rsidR="00000000" w:rsidRDefault="00000000">
      <w:pPr>
        <w:rPr>
          <w:snapToGrid/>
        </w:rPr>
      </w:pPr>
      <w:r>
        <w:rPr>
          <w:snapToGrid/>
        </w:rPr>
        <w:tab/>
      </w:r>
      <w:r>
        <w:rPr>
          <w:rFonts w:hint="eastAsia"/>
          <w:snapToGrid/>
        </w:rPr>
        <w:t>265.</w:t>
      </w:r>
      <w:r>
        <w:rPr>
          <w:snapToGrid/>
        </w:rPr>
        <w:t xml:space="preserve">  </w:t>
      </w:r>
      <w:r>
        <w:rPr>
          <w:rFonts w:hint="eastAsia"/>
          <w:snapToGrid/>
        </w:rPr>
        <w:t>1999</w:t>
      </w:r>
      <w:r>
        <w:rPr>
          <w:rFonts w:hint="eastAsia"/>
          <w:snapToGrid/>
        </w:rPr>
        <w:t>年</w:t>
      </w:r>
      <w:r>
        <w:rPr>
          <w:rFonts w:hint="eastAsia"/>
          <w:snapToGrid/>
        </w:rPr>
        <w:t>7</w:t>
      </w:r>
      <w:r>
        <w:rPr>
          <w:rFonts w:hint="eastAsia"/>
          <w:snapToGrid/>
        </w:rPr>
        <w:t>月</w:t>
      </w:r>
      <w:r>
        <w:rPr>
          <w:rFonts w:hint="eastAsia"/>
          <w:snapToGrid/>
        </w:rPr>
        <w:t>8</w:t>
      </w:r>
      <w:r>
        <w:rPr>
          <w:rFonts w:hint="eastAsia"/>
          <w:snapToGrid/>
        </w:rPr>
        <w:t>日第</w:t>
      </w:r>
      <w:r>
        <w:rPr>
          <w:rFonts w:hint="eastAsia"/>
          <w:snapToGrid/>
        </w:rPr>
        <w:t>489-XIV</w:t>
      </w:r>
      <w:r>
        <w:rPr>
          <w:rFonts w:hint="eastAsia"/>
          <w:snapToGrid/>
        </w:rPr>
        <w:t>号法中题为“社会保险的其他权利”的第五章规定，一个公共保险制度下的投保人，除享受养恤金的权利外，还有权享受：</w:t>
      </w:r>
    </w:p>
    <w:p w:rsidR="00000000" w:rsidRDefault="00000000">
      <w:pPr>
        <w:numPr>
          <w:ilvl w:val="0"/>
          <w:numId w:val="445"/>
        </w:numPr>
        <w:rPr>
          <w:snapToGrid/>
        </w:rPr>
      </w:pPr>
      <w:r>
        <w:rPr>
          <w:rFonts w:hint="eastAsia"/>
          <w:snapToGrid/>
        </w:rPr>
        <w:t>为由于普通或职业病、事故和工伤事故造成的残疾拨发的暂时残疾赔偿金；</w:t>
      </w:r>
    </w:p>
    <w:p w:rsidR="00000000" w:rsidRDefault="00000000">
      <w:pPr>
        <w:numPr>
          <w:ilvl w:val="0"/>
          <w:numId w:val="445"/>
        </w:numPr>
        <w:rPr>
          <w:snapToGrid/>
        </w:rPr>
      </w:pPr>
      <w:r>
        <w:rPr>
          <w:rFonts w:hint="eastAsia"/>
          <w:snapToGrid/>
        </w:rPr>
        <w:t>预防疾病和残疾康复方面的援助；</w:t>
      </w:r>
    </w:p>
    <w:p w:rsidR="00000000" w:rsidRDefault="00000000">
      <w:pPr>
        <w:numPr>
          <w:ilvl w:val="0"/>
          <w:numId w:val="445"/>
        </w:numPr>
        <w:rPr>
          <w:snapToGrid/>
        </w:rPr>
      </w:pPr>
      <w:r>
        <w:rPr>
          <w:rFonts w:hint="eastAsia"/>
          <w:snapToGrid/>
        </w:rPr>
        <w:t>孕产补贴；</w:t>
      </w:r>
    </w:p>
    <w:p w:rsidR="00000000" w:rsidRDefault="00000000">
      <w:pPr>
        <w:numPr>
          <w:ilvl w:val="0"/>
          <w:numId w:val="445"/>
        </w:numPr>
        <w:rPr>
          <w:snapToGrid/>
        </w:rPr>
      </w:pPr>
      <w:r>
        <w:rPr>
          <w:rFonts w:hint="eastAsia"/>
          <w:snapToGrid/>
        </w:rPr>
        <w:t>儿童保育或儿童疾病方面的补贴；</w:t>
      </w:r>
    </w:p>
    <w:p w:rsidR="00000000" w:rsidRDefault="00000000">
      <w:pPr>
        <w:numPr>
          <w:ilvl w:val="0"/>
          <w:numId w:val="445"/>
        </w:numPr>
        <w:rPr>
          <w:snapToGrid/>
        </w:rPr>
      </w:pPr>
      <w:r>
        <w:rPr>
          <w:rFonts w:hint="eastAsia"/>
          <w:snapToGrid/>
        </w:rPr>
        <w:t>失业补贴；</w:t>
      </w:r>
    </w:p>
    <w:p w:rsidR="00000000" w:rsidRDefault="00000000">
      <w:pPr>
        <w:numPr>
          <w:ilvl w:val="0"/>
          <w:numId w:val="445"/>
        </w:numPr>
        <w:rPr>
          <w:rFonts w:hint="eastAsia"/>
          <w:snapToGrid/>
        </w:rPr>
      </w:pPr>
      <w:r>
        <w:rPr>
          <w:rFonts w:hint="eastAsia"/>
          <w:snapToGrid/>
        </w:rPr>
        <w:t>葬礼补助金</w:t>
      </w:r>
      <w:r>
        <w:rPr>
          <w:rFonts w:hint="eastAsia"/>
          <w:snapToGrid/>
        </w:rPr>
        <w:t>(</w:t>
      </w:r>
      <w:r>
        <w:rPr>
          <w:rFonts w:hint="eastAsia"/>
          <w:snapToGrid/>
        </w:rPr>
        <w:t>第</w:t>
      </w:r>
      <w:r>
        <w:rPr>
          <w:rFonts w:hint="eastAsia"/>
          <w:snapToGrid/>
        </w:rPr>
        <w:t>41</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snapToGrid/>
        </w:rPr>
        <w:tab/>
      </w:r>
      <w:r>
        <w:rPr>
          <w:rFonts w:hint="eastAsia"/>
          <w:snapToGrid/>
        </w:rPr>
        <w:t>266.</w:t>
      </w:r>
      <w:r>
        <w:rPr>
          <w:snapToGrid/>
        </w:rPr>
        <w:t xml:space="preserve">  </w:t>
      </w:r>
      <w:r>
        <w:rPr>
          <w:rFonts w:hint="eastAsia"/>
          <w:snapToGrid/>
        </w:rPr>
        <w:t>该法规定了其他社会保险赔偿金的确定、分配和支付方式</w:t>
      </w:r>
      <w:r>
        <w:rPr>
          <w:rFonts w:hint="eastAsia"/>
          <w:snapToGrid/>
        </w:rPr>
        <w:t>(</w:t>
      </w:r>
      <w:r>
        <w:rPr>
          <w:rFonts w:hint="eastAsia"/>
          <w:snapToGrid/>
        </w:rPr>
        <w:t>第</w:t>
      </w:r>
      <w:r>
        <w:rPr>
          <w:rFonts w:hint="eastAsia"/>
          <w:snapToGrid/>
        </w:rPr>
        <w:t>42</w:t>
      </w:r>
      <w:r>
        <w:rPr>
          <w:rFonts w:hint="eastAsia"/>
          <w:snapToGrid/>
        </w:rPr>
        <w:t>条</w:t>
      </w:r>
      <w:r>
        <w:rPr>
          <w:rFonts w:hint="eastAsia"/>
          <w:snapToGrid/>
        </w:rPr>
        <w:t>)</w:t>
      </w:r>
      <w:r>
        <w:rPr>
          <w:rFonts w:hint="eastAsia"/>
          <w:snapToGrid/>
        </w:rPr>
        <w:t>。</w:t>
      </w:r>
    </w:p>
    <w:p w:rsidR="00000000" w:rsidRDefault="00000000">
      <w:pPr>
        <w:rPr>
          <w:snapToGrid/>
        </w:rPr>
      </w:pPr>
      <w:r>
        <w:rPr>
          <w:snapToGrid/>
        </w:rPr>
        <w:tab/>
      </w:r>
      <w:r>
        <w:rPr>
          <w:rFonts w:hint="eastAsia"/>
          <w:snapToGrid/>
        </w:rPr>
        <w:t>267.</w:t>
      </w:r>
      <w:r>
        <w:rPr>
          <w:snapToGrid/>
        </w:rPr>
        <w:t xml:space="preserve">  </w:t>
      </w:r>
      <w:r>
        <w:rPr>
          <w:rFonts w:hint="eastAsia"/>
          <w:snapToGrid/>
        </w:rPr>
        <w:t>1998</w:t>
      </w:r>
      <w:r>
        <w:rPr>
          <w:rFonts w:hint="eastAsia"/>
          <w:snapToGrid/>
        </w:rPr>
        <w:t>年</w:t>
      </w:r>
      <w:r>
        <w:rPr>
          <w:rFonts w:hint="eastAsia"/>
          <w:snapToGrid/>
        </w:rPr>
        <w:t>9</w:t>
      </w:r>
      <w:r>
        <w:rPr>
          <w:rFonts w:hint="eastAsia"/>
          <w:snapToGrid/>
        </w:rPr>
        <w:t>月</w:t>
      </w:r>
      <w:r>
        <w:rPr>
          <w:rFonts w:hint="eastAsia"/>
          <w:snapToGrid/>
        </w:rPr>
        <w:t>23</w:t>
      </w:r>
      <w:r>
        <w:rPr>
          <w:rFonts w:hint="eastAsia"/>
          <w:snapToGrid/>
        </w:rPr>
        <w:t>日第</w:t>
      </w:r>
      <w:r>
        <w:rPr>
          <w:rFonts w:hint="eastAsia"/>
          <w:snapToGrid/>
        </w:rPr>
        <w:t>141</w:t>
      </w:r>
      <w:r>
        <w:rPr>
          <w:rFonts w:hint="eastAsia"/>
          <w:snapToGrid/>
        </w:rPr>
        <w:t>号议会决定为改革养恤金制度制定了战略。根据该决定：</w:t>
      </w:r>
    </w:p>
    <w:p w:rsidR="00000000" w:rsidRDefault="00000000">
      <w:pPr>
        <w:numPr>
          <w:ilvl w:val="0"/>
          <w:numId w:val="446"/>
        </w:numPr>
        <w:rPr>
          <w:snapToGrid/>
        </w:rPr>
      </w:pPr>
      <w:r>
        <w:rPr>
          <w:rFonts w:hint="eastAsia"/>
          <w:snapToGrid/>
        </w:rPr>
        <w:t>养恤金是社会保护系统的一个重要成分。该系统规定了一系列经济、法律、社会和组织方面的措施，可以帮助未参加经济活动的那部分人口和未保险的人口维持一种体面的生活水平；</w:t>
      </w:r>
    </w:p>
    <w:p w:rsidR="00000000" w:rsidRDefault="00000000">
      <w:pPr>
        <w:numPr>
          <w:ilvl w:val="0"/>
          <w:numId w:val="446"/>
        </w:numPr>
        <w:rPr>
          <w:snapToGrid/>
        </w:rPr>
      </w:pPr>
      <w:r>
        <w:rPr>
          <w:rFonts w:hint="eastAsia"/>
          <w:snapToGrid/>
        </w:rPr>
        <w:t>养恤金制度的法律基础由法律、总统令、政府决定和规范性法案构成，它们确立了该制度中的法律关系；</w:t>
      </w:r>
    </w:p>
    <w:p w:rsidR="00000000" w:rsidRDefault="00000000">
      <w:pPr>
        <w:numPr>
          <w:ilvl w:val="0"/>
          <w:numId w:val="446"/>
        </w:numPr>
        <w:rPr>
          <w:snapToGrid/>
        </w:rPr>
      </w:pPr>
      <w:r>
        <w:rPr>
          <w:rFonts w:hint="eastAsia"/>
          <w:snapToGrid/>
        </w:rPr>
        <w:t>养恤金由摩尔多瓦共和国社会援助机构、国家和地方预算支付；领取养恤金的公民人数超过</w:t>
      </w:r>
      <w:r>
        <w:rPr>
          <w:rFonts w:hint="eastAsia"/>
          <w:snapToGrid/>
        </w:rPr>
        <w:t>757,000,</w:t>
      </w:r>
      <w:r>
        <w:rPr>
          <w:rFonts w:hint="eastAsia"/>
          <w:snapToGrid/>
        </w:rPr>
        <w:t>占国家人口的</w:t>
      </w:r>
      <w:r>
        <w:rPr>
          <w:rFonts w:hint="eastAsia"/>
          <w:snapToGrid/>
        </w:rPr>
        <w:t>21%</w:t>
      </w:r>
      <w:r>
        <w:rPr>
          <w:rFonts w:hint="eastAsia"/>
          <w:snapToGrid/>
        </w:rPr>
        <w:t>。</w:t>
      </w:r>
      <w:r>
        <w:rPr>
          <w:rFonts w:hint="eastAsia"/>
          <w:snapToGrid/>
        </w:rPr>
        <w:t>560,400</w:t>
      </w:r>
      <w:r>
        <w:rPr>
          <w:rFonts w:hint="eastAsia"/>
          <w:snapToGrid/>
        </w:rPr>
        <w:t>名公民领取补贴，</w:t>
      </w:r>
      <w:r>
        <w:rPr>
          <w:rFonts w:hint="eastAsia"/>
          <w:snapToGrid/>
        </w:rPr>
        <w:t>109,200</w:t>
      </w:r>
      <w:r>
        <w:rPr>
          <w:rFonts w:hint="eastAsia"/>
          <w:snapToGrid/>
        </w:rPr>
        <w:t>人领取残疾养恤金，</w:t>
      </w:r>
      <w:r>
        <w:rPr>
          <w:rFonts w:hint="eastAsia"/>
          <w:snapToGrid/>
        </w:rPr>
        <w:t>36,300</w:t>
      </w:r>
      <w:r>
        <w:rPr>
          <w:rFonts w:hint="eastAsia"/>
          <w:snapToGrid/>
        </w:rPr>
        <w:t>人领取为养家人死亡拨发的津贴</w:t>
      </w:r>
      <w:r>
        <w:rPr>
          <w:rFonts w:hint="eastAsia"/>
          <w:snapToGrid/>
        </w:rPr>
        <w:t>(</w:t>
      </w:r>
      <w:r>
        <w:rPr>
          <w:rFonts w:hint="eastAsia"/>
          <w:snapToGrid/>
        </w:rPr>
        <w:t>下称遗属养恤金</w:t>
      </w:r>
      <w:r>
        <w:rPr>
          <w:rFonts w:hint="eastAsia"/>
          <w:snapToGrid/>
        </w:rPr>
        <w:t>)</w:t>
      </w:r>
      <w:r>
        <w:rPr>
          <w:rFonts w:hint="eastAsia"/>
          <w:snapToGrid/>
        </w:rPr>
        <w:t>，</w:t>
      </w:r>
      <w:r>
        <w:rPr>
          <w:rFonts w:hint="eastAsia"/>
          <w:snapToGrid/>
        </w:rPr>
        <w:t>3,800</w:t>
      </w:r>
      <w:r>
        <w:rPr>
          <w:rFonts w:hint="eastAsia"/>
          <w:snapToGrid/>
        </w:rPr>
        <w:t>人领取资历养恤金，</w:t>
      </w:r>
      <w:r>
        <w:rPr>
          <w:rFonts w:hint="eastAsia"/>
          <w:snapToGrid/>
        </w:rPr>
        <w:t>38,400</w:t>
      </w:r>
      <w:r>
        <w:rPr>
          <w:rFonts w:hint="eastAsia"/>
          <w:snapToGrid/>
        </w:rPr>
        <w:t>人领取社会养恤金</w:t>
      </w:r>
      <w:r>
        <w:rPr>
          <w:snapToGrid/>
        </w:rPr>
        <w:t xml:space="preserve"> </w:t>
      </w:r>
      <w:r>
        <w:rPr>
          <w:rStyle w:val="FootnoteReference"/>
          <w:b w:val="0"/>
          <w:bCs/>
          <w:snapToGrid/>
        </w:rPr>
        <w:footnoteReference w:customMarkFollows="1" w:id="2"/>
        <w:t>*</w:t>
      </w:r>
      <w:r>
        <w:rPr>
          <w:rFonts w:hint="eastAsia"/>
          <w:snapToGrid/>
        </w:rPr>
        <w:t>；</w:t>
      </w:r>
    </w:p>
    <w:p w:rsidR="00000000" w:rsidRDefault="00000000">
      <w:pPr>
        <w:numPr>
          <w:ilvl w:val="0"/>
          <w:numId w:val="446"/>
        </w:numPr>
        <w:rPr>
          <w:snapToGrid/>
        </w:rPr>
      </w:pPr>
      <w:r>
        <w:rPr>
          <w:rFonts w:hint="eastAsia"/>
          <w:snapToGrid/>
        </w:rPr>
        <w:t>享受退休金权利的条件是：达到退休年龄、具有必要的资历、患有残疾或丧失养家人；</w:t>
      </w:r>
    </w:p>
    <w:p w:rsidR="00000000" w:rsidRDefault="00000000">
      <w:pPr>
        <w:numPr>
          <w:ilvl w:val="0"/>
          <w:numId w:val="446"/>
        </w:numPr>
        <w:rPr>
          <w:snapToGrid/>
        </w:rPr>
      </w:pPr>
      <w:r>
        <w:rPr>
          <w:rFonts w:hint="eastAsia"/>
          <w:snapToGrid/>
        </w:rPr>
        <w:t>养恤金的金额取决于月平均工资额、资历和其他条件，如是否有需要赡养的人、是否需要照顾残疾者等等。同时，向养恤金金额较少的人拨发补贴作为补偿；</w:t>
      </w:r>
    </w:p>
    <w:p w:rsidR="00000000" w:rsidRDefault="00000000">
      <w:pPr>
        <w:numPr>
          <w:ilvl w:val="0"/>
          <w:numId w:val="446"/>
        </w:numPr>
        <w:rPr>
          <w:snapToGrid/>
        </w:rPr>
      </w:pPr>
      <w:r>
        <w:rPr>
          <w:rFonts w:hint="eastAsia"/>
          <w:snapToGrid/>
        </w:rPr>
        <w:t>退休年龄男性为</w:t>
      </w:r>
      <w:r>
        <w:rPr>
          <w:rFonts w:hint="eastAsia"/>
          <w:snapToGrid/>
        </w:rPr>
        <w:t>60</w:t>
      </w:r>
      <w:r>
        <w:rPr>
          <w:rFonts w:hint="eastAsia"/>
          <w:snapToGrid/>
        </w:rPr>
        <w:t>岁，女性为</w:t>
      </w:r>
      <w:r>
        <w:rPr>
          <w:rFonts w:hint="eastAsia"/>
          <w:snapToGrid/>
        </w:rPr>
        <w:t>55</w:t>
      </w:r>
      <w:r>
        <w:rPr>
          <w:rFonts w:hint="eastAsia"/>
          <w:snapToGrid/>
        </w:rPr>
        <w:t>岁。对于经</w:t>
      </w:r>
      <w:r>
        <w:rPr>
          <w:rFonts w:hint="eastAsia"/>
          <w:snapToGrid/>
        </w:rPr>
        <w:t>1992</w:t>
      </w:r>
      <w:r>
        <w:rPr>
          <w:rFonts w:hint="eastAsia"/>
          <w:snapToGrid/>
        </w:rPr>
        <w:t>年</w:t>
      </w:r>
      <w:r>
        <w:rPr>
          <w:rFonts w:hint="eastAsia"/>
          <w:snapToGrid/>
        </w:rPr>
        <w:t>12</w:t>
      </w:r>
      <w:r>
        <w:rPr>
          <w:rFonts w:hint="eastAsia"/>
          <w:snapToGrid/>
        </w:rPr>
        <w:t>月</w:t>
      </w:r>
      <w:r>
        <w:rPr>
          <w:rFonts w:hint="eastAsia"/>
          <w:snapToGrid/>
        </w:rPr>
        <w:t>15</w:t>
      </w:r>
      <w:r>
        <w:rPr>
          <w:rFonts w:hint="eastAsia"/>
          <w:snapToGrid/>
        </w:rPr>
        <w:t>日第</w:t>
      </w:r>
      <w:r>
        <w:rPr>
          <w:rFonts w:hint="eastAsia"/>
          <w:snapToGrid/>
        </w:rPr>
        <w:t>822</w:t>
      </w:r>
      <w:r>
        <w:rPr>
          <w:rFonts w:hint="eastAsia"/>
          <w:snapToGrid/>
        </w:rPr>
        <w:t>号政府决定核准的</w:t>
      </w:r>
      <w:r>
        <w:rPr>
          <w:rFonts w:hint="eastAsia"/>
          <w:snapToGrid/>
        </w:rPr>
        <w:t>1</w:t>
      </w:r>
      <w:r>
        <w:rPr>
          <w:rFonts w:hint="eastAsia"/>
          <w:snapToGrid/>
        </w:rPr>
        <w:t>号和</w:t>
      </w:r>
      <w:r>
        <w:rPr>
          <w:rFonts w:hint="eastAsia"/>
          <w:snapToGrid/>
        </w:rPr>
        <w:t>2</w:t>
      </w:r>
      <w:r>
        <w:rPr>
          <w:rFonts w:hint="eastAsia"/>
          <w:snapToGrid/>
        </w:rPr>
        <w:t>号表中确定的在有害和困难条件下工作的某些类人和对于经</w:t>
      </w:r>
      <w:r>
        <w:rPr>
          <w:rFonts w:hint="eastAsia"/>
          <w:snapToGrid/>
        </w:rPr>
        <w:t>1992</w:t>
      </w:r>
      <w:r>
        <w:rPr>
          <w:rFonts w:hint="eastAsia"/>
          <w:snapToGrid/>
        </w:rPr>
        <w:t>年</w:t>
      </w:r>
      <w:r>
        <w:rPr>
          <w:rFonts w:hint="eastAsia"/>
          <w:snapToGrid/>
        </w:rPr>
        <w:t>4</w:t>
      </w:r>
      <w:r>
        <w:rPr>
          <w:rFonts w:hint="eastAsia"/>
          <w:snapToGrid/>
        </w:rPr>
        <w:t>月</w:t>
      </w:r>
      <w:r>
        <w:rPr>
          <w:rFonts w:hint="eastAsia"/>
          <w:snapToGrid/>
        </w:rPr>
        <w:t>2</w:t>
      </w:r>
      <w:r>
        <w:rPr>
          <w:rFonts w:hint="eastAsia"/>
          <w:snapToGrid/>
        </w:rPr>
        <w:t>日第</w:t>
      </w:r>
      <w:r>
        <w:rPr>
          <w:rFonts w:hint="eastAsia"/>
          <w:snapToGrid/>
        </w:rPr>
        <w:t>1007-XII</w:t>
      </w:r>
      <w:r>
        <w:rPr>
          <w:rFonts w:hint="eastAsia"/>
          <w:snapToGrid/>
        </w:rPr>
        <w:t>号政府决定核准的</w:t>
      </w:r>
      <w:r>
        <w:rPr>
          <w:rFonts w:hint="eastAsia"/>
          <w:snapToGrid/>
        </w:rPr>
        <w:t>3</w:t>
      </w:r>
      <w:r>
        <w:rPr>
          <w:rFonts w:hint="eastAsia"/>
          <w:snapToGrid/>
        </w:rPr>
        <w:t>号表中确定的从事农业活动的某些类人，以及对于有多个子女的母亲和战争致残者等，退休年龄为</w:t>
      </w:r>
      <w:r>
        <w:rPr>
          <w:rFonts w:hint="eastAsia"/>
          <w:snapToGrid/>
        </w:rPr>
        <w:t>45-59</w:t>
      </w:r>
      <w:r>
        <w:rPr>
          <w:rFonts w:hint="eastAsia"/>
          <w:snapToGrid/>
        </w:rPr>
        <w:t>岁；</w:t>
      </w:r>
    </w:p>
    <w:p w:rsidR="00000000" w:rsidRDefault="00000000">
      <w:pPr>
        <w:numPr>
          <w:ilvl w:val="0"/>
          <w:numId w:val="446"/>
        </w:numPr>
        <w:rPr>
          <w:snapToGrid/>
        </w:rPr>
      </w:pPr>
      <w:r>
        <w:rPr>
          <w:rFonts w:hint="eastAsia"/>
          <w:snapToGrid/>
        </w:rPr>
        <w:t>为计算养恤金的数额必须确定月平均工资，为此将由申请人在其工作最后</w:t>
      </w:r>
      <w:r>
        <w:rPr>
          <w:rFonts w:hint="eastAsia"/>
          <w:snapToGrid/>
        </w:rPr>
        <w:t>15</w:t>
      </w:r>
      <w:r>
        <w:rPr>
          <w:rFonts w:hint="eastAsia"/>
          <w:snapToGrid/>
        </w:rPr>
        <w:t>年中任选</w:t>
      </w:r>
      <w:r>
        <w:rPr>
          <w:rFonts w:hint="eastAsia"/>
          <w:snapToGrid/>
        </w:rPr>
        <w:t>5</w:t>
      </w:r>
      <w:r>
        <w:rPr>
          <w:rFonts w:hint="eastAsia"/>
          <w:snapToGrid/>
        </w:rPr>
        <w:t>个连续的年度。在估算养恤金数额时须考虑享有报酬的所有工作形式；</w:t>
      </w:r>
    </w:p>
    <w:p w:rsidR="00000000" w:rsidRDefault="00000000">
      <w:pPr>
        <w:numPr>
          <w:ilvl w:val="0"/>
          <w:numId w:val="446"/>
        </w:numPr>
        <w:rPr>
          <w:snapToGrid/>
        </w:rPr>
      </w:pPr>
      <w:r>
        <w:rPr>
          <w:rFonts w:hint="eastAsia"/>
          <w:snapToGrid/>
        </w:rPr>
        <w:t>对由于一般疾病造成的残疾，如果在残疾之初，有关人已具有足够长的服务期限并已达到一定的年龄，则可领取一份养恤金。对由于工伤事故或某种职业疾病造成的残疾，不论有关人的服务期限长短，都拨发养恤金。残疾的原因、程度和残疾的起始日期须由体格检查委员会确定；</w:t>
      </w:r>
    </w:p>
    <w:p w:rsidR="00000000" w:rsidRDefault="00000000">
      <w:pPr>
        <w:numPr>
          <w:ilvl w:val="0"/>
          <w:numId w:val="446"/>
        </w:numPr>
        <w:rPr>
          <w:snapToGrid/>
        </w:rPr>
      </w:pPr>
      <w:r>
        <w:rPr>
          <w:rFonts w:hint="eastAsia"/>
          <w:snapToGrid/>
        </w:rPr>
        <w:t>拨发遗属养恤金的条件与残疾养恤金相同，并取决于养家人的死亡原因。如果死亡是由工伤事故或职业疾病导致，则不论已故养家人的资历，拨发遗属养恤金。</w:t>
      </w:r>
    </w:p>
    <w:p w:rsidR="00000000" w:rsidRDefault="00000000">
      <w:pPr>
        <w:numPr>
          <w:ilvl w:val="0"/>
          <w:numId w:val="446"/>
        </w:numPr>
        <w:rPr>
          <w:snapToGrid/>
        </w:rPr>
      </w:pPr>
      <w:r>
        <w:rPr>
          <w:rFonts w:hint="eastAsia"/>
          <w:snapToGrid/>
        </w:rPr>
        <w:t>某些类人的工作条件在他们达到退休年龄之前便可能削弱其工作或职业能力。对于这些人，将根据其服务期限长短拨发养恤金</w:t>
      </w:r>
      <w:r>
        <w:rPr>
          <w:rFonts w:hint="eastAsia"/>
          <w:snapToGrid/>
        </w:rPr>
        <w:t>(</w:t>
      </w:r>
      <w:r>
        <w:rPr>
          <w:rFonts w:hint="eastAsia"/>
          <w:snapToGrid/>
        </w:rPr>
        <w:t>条件是停止他们的活动</w:t>
      </w:r>
      <w:r>
        <w:rPr>
          <w:rFonts w:hint="eastAsia"/>
          <w:snapToGrid/>
        </w:rPr>
        <w:t>)</w:t>
      </w:r>
      <w:r>
        <w:rPr>
          <w:rFonts w:hint="eastAsia"/>
          <w:snapToGrid/>
        </w:rPr>
        <w:t>；</w:t>
      </w:r>
    </w:p>
    <w:p w:rsidR="00000000" w:rsidRDefault="00000000">
      <w:pPr>
        <w:numPr>
          <w:ilvl w:val="0"/>
          <w:numId w:val="446"/>
        </w:numPr>
        <w:rPr>
          <w:snapToGrid/>
        </w:rPr>
      </w:pPr>
      <w:r>
        <w:rPr>
          <w:rFonts w:hint="eastAsia"/>
          <w:snapToGrid/>
        </w:rPr>
        <w:t>对由于切尔诺贝利事故而伤残的人，不论其服务期限长短，提供残疾养恤金，且数额应能够弥补实际造成的损害。对因切尔诺贝利事故造成的伤残或疾病而死亡的人的家庭成员，不论死者服务期限长短，拨发遗属养恤金，数额应能弥补实际损害，但每名家庭成员至少要得到</w:t>
      </w:r>
      <w:r>
        <w:rPr>
          <w:rFonts w:hint="eastAsia"/>
          <w:snapToGrid/>
        </w:rPr>
        <w:t>100%</w:t>
      </w:r>
      <w:r>
        <w:rPr>
          <w:rFonts w:hint="eastAsia"/>
          <w:snapToGrid/>
        </w:rPr>
        <w:t>的最低补贴。这些人获准提前获得年金；</w:t>
      </w:r>
    </w:p>
    <w:p w:rsidR="00000000" w:rsidRDefault="00000000">
      <w:pPr>
        <w:numPr>
          <w:ilvl w:val="0"/>
          <w:numId w:val="446"/>
        </w:numPr>
        <w:rPr>
          <w:snapToGrid/>
        </w:rPr>
      </w:pPr>
      <w:r>
        <w:rPr>
          <w:rFonts w:hint="eastAsia"/>
          <w:snapToGrid/>
        </w:rPr>
        <w:t>不工作</w:t>
      </w:r>
      <w:r>
        <w:rPr>
          <w:rFonts w:hint="eastAsia"/>
          <w:snapToGrid/>
        </w:rPr>
        <w:t>(</w:t>
      </w:r>
      <w:r>
        <w:rPr>
          <w:rFonts w:hint="eastAsia"/>
          <w:snapToGrid/>
        </w:rPr>
        <w:t>除了从小残疾的人</w:t>
      </w:r>
      <w:r>
        <w:rPr>
          <w:rFonts w:hint="eastAsia"/>
          <w:snapToGrid/>
        </w:rPr>
        <w:t>)</w:t>
      </w:r>
      <w:r>
        <w:rPr>
          <w:rFonts w:hint="eastAsia"/>
          <w:snapToGrid/>
        </w:rPr>
        <w:t>和无权享受工作方面养恤金的人，获得一笔社会养恤金；</w:t>
      </w:r>
    </w:p>
    <w:p w:rsidR="00000000" w:rsidRDefault="00000000">
      <w:pPr>
        <w:numPr>
          <w:ilvl w:val="0"/>
          <w:numId w:val="446"/>
        </w:numPr>
        <w:rPr>
          <w:rFonts w:hint="eastAsia"/>
          <w:snapToGrid/>
        </w:rPr>
      </w:pPr>
      <w:r>
        <w:rPr>
          <w:rFonts w:hint="eastAsia"/>
          <w:snapToGrid/>
        </w:rPr>
        <w:t>为第一级残疾程度提供的补贴和养恤金占月平均工资的</w:t>
      </w:r>
      <w:r>
        <w:rPr>
          <w:rFonts w:hint="eastAsia"/>
          <w:snapToGrid/>
        </w:rPr>
        <w:t>55%</w:t>
      </w:r>
      <w:r>
        <w:rPr>
          <w:rFonts w:hint="eastAsia"/>
          <w:snapToGrid/>
        </w:rPr>
        <w:t>，此外男性在</w:t>
      </w:r>
      <w:r>
        <w:rPr>
          <w:rFonts w:hint="eastAsia"/>
          <w:snapToGrid/>
        </w:rPr>
        <w:t>25</w:t>
      </w:r>
      <w:r>
        <w:rPr>
          <w:rFonts w:hint="eastAsia"/>
          <w:snapToGrid/>
        </w:rPr>
        <w:t>年中，女性在</w:t>
      </w:r>
      <w:r>
        <w:rPr>
          <w:rFonts w:hint="eastAsia"/>
          <w:snapToGrid/>
        </w:rPr>
        <w:t>20</w:t>
      </w:r>
      <w:r>
        <w:rPr>
          <w:rFonts w:hint="eastAsia"/>
          <w:snapToGrid/>
        </w:rPr>
        <w:t>年中每年还可另外获得相当于该工资</w:t>
      </w:r>
      <w:r>
        <w:rPr>
          <w:rFonts w:hint="eastAsia"/>
          <w:snapToGrid/>
        </w:rPr>
        <w:t>1%</w:t>
      </w:r>
      <w:r>
        <w:rPr>
          <w:rFonts w:hint="eastAsia"/>
          <w:snapToGrid/>
        </w:rPr>
        <w:t>的金额。为第二级残疾程度提供的残疾养恤金金额为月平均工资的</w:t>
      </w:r>
      <w:r>
        <w:rPr>
          <w:rFonts w:hint="eastAsia"/>
          <w:snapToGrid/>
        </w:rPr>
        <w:t>75%</w:t>
      </w:r>
      <w:r>
        <w:rPr>
          <w:rFonts w:hint="eastAsia"/>
          <w:snapToGrid/>
        </w:rPr>
        <w:t>，为残疾程度为第三级和领取遗属养恤金</w:t>
      </w:r>
      <w:r>
        <w:rPr>
          <w:rFonts w:hint="eastAsia"/>
          <w:snapToGrid/>
        </w:rPr>
        <w:t>(</w:t>
      </w:r>
      <w:r>
        <w:rPr>
          <w:rFonts w:hint="eastAsia"/>
          <w:snapToGrid/>
        </w:rPr>
        <w:t>拨发给不能工作的每名家庭成员</w:t>
      </w:r>
      <w:r>
        <w:rPr>
          <w:rFonts w:hint="eastAsia"/>
          <w:snapToGrid/>
        </w:rPr>
        <w:t>)</w:t>
      </w:r>
      <w:r>
        <w:rPr>
          <w:rFonts w:hint="eastAsia"/>
          <w:snapToGrid/>
        </w:rPr>
        <w:t>的人提供的金额为残疾者或养家人月平均工资的</w:t>
      </w:r>
      <w:r>
        <w:rPr>
          <w:rFonts w:hint="eastAsia"/>
          <w:snapToGrid/>
        </w:rPr>
        <w:t>30%</w:t>
      </w:r>
      <w:r>
        <w:rPr>
          <w:rFonts w:hint="eastAsia"/>
          <w:snapToGrid/>
        </w:rPr>
        <w:t>。</w:t>
      </w:r>
    </w:p>
    <w:p w:rsidR="00000000" w:rsidRDefault="00000000">
      <w:pPr>
        <w:rPr>
          <w:snapToGrid/>
        </w:rPr>
      </w:pPr>
      <w:r>
        <w:rPr>
          <w:snapToGrid/>
        </w:rPr>
        <w:tab/>
      </w:r>
      <w:r>
        <w:rPr>
          <w:rFonts w:hint="eastAsia"/>
          <w:snapToGrid/>
        </w:rPr>
        <w:t>268.</w:t>
      </w:r>
      <w:r>
        <w:rPr>
          <w:snapToGrid/>
        </w:rPr>
        <w:t xml:space="preserve">  </w:t>
      </w:r>
      <w:r>
        <w:rPr>
          <w:rFonts w:hint="eastAsia"/>
          <w:snapToGrid/>
        </w:rPr>
        <w:t>根据摩尔多瓦共和国《国家养恤金保险法》的规定，对补贴和第一及第二级程度残疾养恤金予以补充和增加。同时，其他规范性法案对固定养恤金的增加和各种补偿金作了规定：</w:t>
      </w:r>
    </w:p>
    <w:p w:rsidR="00000000" w:rsidRDefault="00000000">
      <w:pPr>
        <w:numPr>
          <w:ilvl w:val="0"/>
          <w:numId w:val="447"/>
        </w:numPr>
        <w:rPr>
          <w:snapToGrid/>
        </w:rPr>
      </w:pPr>
      <w:r>
        <w:rPr>
          <w:rFonts w:hint="eastAsia"/>
          <w:snapToGrid/>
        </w:rPr>
        <w:t>基本养恤金的数额根据月平均工资计算，此外男性在</w:t>
      </w:r>
      <w:r>
        <w:rPr>
          <w:rFonts w:hint="eastAsia"/>
          <w:snapToGrid/>
        </w:rPr>
        <w:t>25</w:t>
      </w:r>
      <w:r>
        <w:rPr>
          <w:rFonts w:hint="eastAsia"/>
          <w:snapToGrid/>
        </w:rPr>
        <w:t>年中，女性在</w:t>
      </w:r>
      <w:r>
        <w:rPr>
          <w:rFonts w:hint="eastAsia"/>
          <w:snapToGrid/>
        </w:rPr>
        <w:t>20</w:t>
      </w:r>
      <w:r>
        <w:rPr>
          <w:rFonts w:hint="eastAsia"/>
          <w:snapToGrid/>
        </w:rPr>
        <w:t>年中每年还可另外获得相当于该工资</w:t>
      </w:r>
      <w:r>
        <w:rPr>
          <w:rFonts w:hint="eastAsia"/>
          <w:snapToGrid/>
        </w:rPr>
        <w:t>1%</w:t>
      </w:r>
      <w:r>
        <w:rPr>
          <w:rFonts w:hint="eastAsia"/>
          <w:snapToGrid/>
        </w:rPr>
        <w:t>的金额；</w:t>
      </w:r>
    </w:p>
    <w:p w:rsidR="00000000" w:rsidRDefault="00000000">
      <w:pPr>
        <w:numPr>
          <w:ilvl w:val="0"/>
          <w:numId w:val="447"/>
        </w:numPr>
        <w:rPr>
          <w:snapToGrid/>
        </w:rPr>
      </w:pPr>
      <w:r>
        <w:rPr>
          <w:rFonts w:hint="eastAsia"/>
          <w:snapToGrid/>
        </w:rPr>
        <w:t>由于放宽主要产品的价格而增加养恤金金额；</w:t>
      </w:r>
    </w:p>
    <w:p w:rsidR="00000000" w:rsidRDefault="00000000">
      <w:pPr>
        <w:numPr>
          <w:ilvl w:val="0"/>
          <w:numId w:val="447"/>
        </w:numPr>
        <w:rPr>
          <w:snapToGrid/>
        </w:rPr>
      </w:pPr>
      <w:r>
        <w:rPr>
          <w:rFonts w:hint="eastAsia"/>
          <w:snapToGrid/>
        </w:rPr>
        <w:t>养恤金金额增加</w:t>
      </w:r>
      <w:r>
        <w:rPr>
          <w:rFonts w:hint="eastAsia"/>
          <w:snapToGrid/>
        </w:rPr>
        <w:t>20%</w:t>
      </w:r>
      <w:r>
        <w:rPr>
          <w:rFonts w:hint="eastAsia"/>
          <w:snapToGrid/>
        </w:rPr>
        <w:t>；</w:t>
      </w:r>
    </w:p>
    <w:p w:rsidR="00000000" w:rsidRDefault="00000000">
      <w:pPr>
        <w:numPr>
          <w:ilvl w:val="0"/>
          <w:numId w:val="447"/>
        </w:numPr>
        <w:rPr>
          <w:snapToGrid/>
        </w:rPr>
      </w:pPr>
      <w:r>
        <w:rPr>
          <w:rFonts w:hint="eastAsia"/>
          <w:snapToGrid/>
        </w:rPr>
        <w:t>与通货膨胀有关的养恤金指数化；</w:t>
      </w:r>
    </w:p>
    <w:p w:rsidR="00000000" w:rsidRDefault="00000000">
      <w:pPr>
        <w:numPr>
          <w:ilvl w:val="0"/>
          <w:numId w:val="447"/>
        </w:numPr>
        <w:rPr>
          <w:snapToGrid/>
        </w:rPr>
      </w:pPr>
      <w:r>
        <w:rPr>
          <w:rFonts w:hint="eastAsia"/>
          <w:snapToGrid/>
        </w:rPr>
        <w:t>补偿金</w:t>
      </w:r>
      <w:r>
        <w:rPr>
          <w:rFonts w:hint="eastAsia"/>
          <w:snapToGrid/>
        </w:rPr>
        <w:t>(1</w:t>
      </w:r>
      <w:r>
        <w:rPr>
          <w:rFonts w:hint="eastAsia"/>
          <w:snapToGrid/>
        </w:rPr>
        <w:t>、</w:t>
      </w:r>
      <w:r>
        <w:rPr>
          <w:rFonts w:hint="eastAsia"/>
          <w:snapToGrid/>
        </w:rPr>
        <w:t>8</w:t>
      </w:r>
      <w:r>
        <w:rPr>
          <w:rFonts w:hint="eastAsia"/>
          <w:snapToGrid/>
        </w:rPr>
        <w:t>、</w:t>
      </w:r>
      <w:r>
        <w:rPr>
          <w:rFonts w:hint="eastAsia"/>
          <w:snapToGrid/>
        </w:rPr>
        <w:t>10</w:t>
      </w:r>
      <w:r>
        <w:rPr>
          <w:rFonts w:hint="eastAsia"/>
          <w:snapToGrid/>
        </w:rPr>
        <w:t>、</w:t>
      </w:r>
      <w:r>
        <w:rPr>
          <w:rFonts w:hint="eastAsia"/>
          <w:snapToGrid/>
        </w:rPr>
        <w:t>13</w:t>
      </w:r>
      <w:r>
        <w:rPr>
          <w:rFonts w:hint="eastAsia"/>
          <w:snapToGrid/>
        </w:rPr>
        <w:t>列依</w:t>
      </w:r>
      <w:r>
        <w:rPr>
          <w:rFonts w:hint="eastAsia"/>
          <w:snapToGrid/>
        </w:rPr>
        <w:t>)</w:t>
      </w:r>
      <w:r>
        <w:rPr>
          <w:rFonts w:hint="eastAsia"/>
          <w:snapToGrid/>
        </w:rPr>
        <w:t>；</w:t>
      </w:r>
    </w:p>
    <w:p w:rsidR="00000000" w:rsidRDefault="00000000">
      <w:pPr>
        <w:numPr>
          <w:ilvl w:val="0"/>
          <w:numId w:val="447"/>
        </w:numPr>
        <w:rPr>
          <w:snapToGrid/>
        </w:rPr>
      </w:pPr>
      <w:r>
        <w:rPr>
          <w:rFonts w:hint="eastAsia"/>
          <w:snapToGrid/>
        </w:rPr>
        <w:t>为下类人的养恤金提供补充和增加金额：照顾养恤金领取者的人、献血者、在苏维埃制度期间受镇压并在后来被恢复名誉的人、退伍军人</w:t>
      </w:r>
      <w:r>
        <w:rPr>
          <w:rFonts w:hint="eastAsia"/>
          <w:snapToGrid/>
        </w:rPr>
        <w:t>(</w:t>
      </w:r>
      <w:r>
        <w:rPr>
          <w:rFonts w:hint="eastAsia"/>
          <w:snapToGrid/>
        </w:rPr>
        <w:t>包括具有第一和第二级残疾程度的人</w:t>
      </w:r>
      <w:r>
        <w:rPr>
          <w:rFonts w:hint="eastAsia"/>
          <w:snapToGrid/>
        </w:rPr>
        <w:t>)</w:t>
      </w:r>
      <w:r>
        <w:rPr>
          <w:rFonts w:hint="eastAsia"/>
          <w:snapToGrid/>
        </w:rPr>
        <w:t>以及其他类别的养恤金领取者。由此，平均养恤金金额的结构如下：</w:t>
      </w:r>
    </w:p>
    <w:p w:rsidR="00000000" w:rsidRDefault="00000000">
      <w:pPr>
        <w:pStyle w:val="ac"/>
        <w:numPr>
          <w:ilvl w:val="1"/>
          <w:numId w:val="447"/>
        </w:numPr>
        <w:ind w:left="2041"/>
        <w:rPr>
          <w:snapToGrid/>
        </w:rPr>
      </w:pPr>
      <w:r>
        <w:rPr>
          <w:rFonts w:hint="eastAsia"/>
          <w:snapToGrid/>
        </w:rPr>
        <w:t>基本养恤金金额</w:t>
      </w:r>
      <w:r>
        <w:rPr>
          <w:snapToGrid/>
        </w:rPr>
        <w:t>-</w:t>
      </w:r>
      <w:r>
        <w:rPr>
          <w:rFonts w:hint="eastAsia"/>
          <w:snapToGrid/>
        </w:rPr>
        <w:t>30%</w:t>
      </w:r>
      <w:r>
        <w:rPr>
          <w:rFonts w:hint="eastAsia"/>
          <w:snapToGrid/>
        </w:rPr>
        <w:t>；</w:t>
      </w:r>
    </w:p>
    <w:p w:rsidR="00000000" w:rsidRDefault="00000000">
      <w:pPr>
        <w:pStyle w:val="ac"/>
        <w:numPr>
          <w:ilvl w:val="1"/>
          <w:numId w:val="447"/>
        </w:numPr>
        <w:ind w:left="2041"/>
        <w:rPr>
          <w:snapToGrid/>
        </w:rPr>
      </w:pPr>
      <w:r>
        <w:rPr>
          <w:rFonts w:hint="eastAsia"/>
          <w:snapToGrid/>
        </w:rPr>
        <w:t>由于放宽价格增加的数额</w:t>
      </w:r>
      <w:r>
        <w:rPr>
          <w:rFonts w:hint="eastAsia"/>
          <w:snapToGrid/>
        </w:rPr>
        <w:t>-22%</w:t>
      </w:r>
      <w:r>
        <w:rPr>
          <w:rFonts w:hint="eastAsia"/>
          <w:snapToGrid/>
        </w:rPr>
        <w:t>；</w:t>
      </w:r>
    </w:p>
    <w:p w:rsidR="00000000" w:rsidRDefault="00000000">
      <w:pPr>
        <w:pStyle w:val="ac"/>
        <w:numPr>
          <w:ilvl w:val="1"/>
          <w:numId w:val="447"/>
        </w:numPr>
        <w:ind w:left="2041"/>
        <w:rPr>
          <w:snapToGrid/>
        </w:rPr>
      </w:pPr>
      <w:r>
        <w:rPr>
          <w:rFonts w:hint="eastAsia"/>
          <w:snapToGrid/>
        </w:rPr>
        <w:t>增加额</w:t>
      </w:r>
      <w:r>
        <w:rPr>
          <w:rFonts w:hint="eastAsia"/>
          <w:snapToGrid/>
        </w:rPr>
        <w:t>10-20%</w:t>
      </w:r>
      <w:r>
        <w:rPr>
          <w:rFonts w:hint="eastAsia"/>
          <w:snapToGrid/>
        </w:rPr>
        <w:t>；</w:t>
      </w:r>
    </w:p>
    <w:p w:rsidR="00000000" w:rsidRDefault="00000000">
      <w:pPr>
        <w:pStyle w:val="ac"/>
        <w:numPr>
          <w:ilvl w:val="1"/>
          <w:numId w:val="447"/>
        </w:numPr>
        <w:ind w:left="2041"/>
        <w:rPr>
          <w:snapToGrid/>
        </w:rPr>
      </w:pPr>
      <w:r>
        <w:rPr>
          <w:rFonts w:hint="eastAsia"/>
          <w:snapToGrid/>
        </w:rPr>
        <w:t>指数化</w:t>
      </w:r>
      <w:r>
        <w:rPr>
          <w:rFonts w:hint="eastAsia"/>
          <w:snapToGrid/>
        </w:rPr>
        <w:t>-7%</w:t>
      </w:r>
      <w:r>
        <w:rPr>
          <w:rFonts w:hint="eastAsia"/>
          <w:snapToGrid/>
        </w:rPr>
        <w:t>；</w:t>
      </w:r>
    </w:p>
    <w:p w:rsidR="00000000" w:rsidRDefault="00000000">
      <w:pPr>
        <w:pStyle w:val="ac"/>
        <w:numPr>
          <w:ilvl w:val="1"/>
          <w:numId w:val="447"/>
        </w:numPr>
        <w:ind w:left="2041"/>
        <w:rPr>
          <w:snapToGrid/>
        </w:rPr>
      </w:pPr>
      <w:r>
        <w:rPr>
          <w:rFonts w:hint="eastAsia"/>
          <w:snapToGrid/>
        </w:rPr>
        <w:t>补偿金</w:t>
      </w:r>
      <w:r>
        <w:rPr>
          <w:rFonts w:hint="eastAsia"/>
          <w:snapToGrid/>
        </w:rPr>
        <w:t>-13%</w:t>
      </w:r>
      <w:r>
        <w:rPr>
          <w:rFonts w:hint="eastAsia"/>
          <w:snapToGrid/>
        </w:rPr>
        <w:t>；</w:t>
      </w:r>
    </w:p>
    <w:p w:rsidR="00000000" w:rsidRDefault="00000000">
      <w:pPr>
        <w:pStyle w:val="ac"/>
        <w:numPr>
          <w:ilvl w:val="1"/>
          <w:numId w:val="447"/>
        </w:numPr>
        <w:ind w:left="2041"/>
        <w:rPr>
          <w:rFonts w:hint="eastAsia"/>
          <w:snapToGrid/>
        </w:rPr>
      </w:pPr>
      <w:r>
        <w:rPr>
          <w:rFonts w:hint="eastAsia"/>
          <w:snapToGrid/>
        </w:rPr>
        <w:t>依法补充和增加的数额</w:t>
      </w:r>
      <w:r>
        <w:rPr>
          <w:rFonts w:hint="eastAsia"/>
          <w:snapToGrid/>
        </w:rPr>
        <w:t>-18%</w:t>
      </w:r>
      <w:r>
        <w:rPr>
          <w:rFonts w:hint="eastAsia"/>
          <w:snapToGrid/>
        </w:rPr>
        <w:t>。</w:t>
      </w:r>
    </w:p>
    <w:p w:rsidR="00000000" w:rsidRDefault="00000000">
      <w:pPr>
        <w:rPr>
          <w:rFonts w:hint="eastAsia"/>
          <w:snapToGrid/>
        </w:rPr>
      </w:pPr>
      <w:r>
        <w:rPr>
          <w:rFonts w:hint="eastAsia"/>
          <w:snapToGrid/>
        </w:rPr>
        <w:t>养恤金的前</w:t>
      </w:r>
      <w:r>
        <w:rPr>
          <w:rFonts w:hint="eastAsia"/>
          <w:snapToGrid/>
        </w:rPr>
        <w:t>4</w:t>
      </w:r>
      <w:r>
        <w:rPr>
          <w:rFonts w:hint="eastAsia"/>
          <w:snapToGrid/>
        </w:rPr>
        <w:t>个成分是固定的，通常拨给所有受益者并具有长期性。第</w:t>
      </w:r>
      <w:r>
        <w:rPr>
          <w:rFonts w:hint="eastAsia"/>
          <w:snapToGrid/>
        </w:rPr>
        <w:t>5</w:t>
      </w:r>
      <w:r>
        <w:rPr>
          <w:rFonts w:hint="eastAsia"/>
          <w:snapToGrid/>
        </w:rPr>
        <w:t>个成分拨给那些领取低额养恤金的人，并要依据此人养恤金的具体金额而定。第</w:t>
      </w:r>
      <w:r>
        <w:rPr>
          <w:rFonts w:hint="eastAsia"/>
          <w:snapToGrid/>
        </w:rPr>
        <w:t>6</w:t>
      </w:r>
      <w:r>
        <w:rPr>
          <w:rFonts w:hint="eastAsia"/>
          <w:snapToGrid/>
        </w:rPr>
        <w:t>个成分只有在出现某些情况时才支付，并取决于养恤金领取人的类别。</w:t>
      </w:r>
    </w:p>
    <w:p w:rsidR="00000000" w:rsidRDefault="00000000">
      <w:pPr>
        <w:spacing w:after="320"/>
        <w:rPr>
          <w:snapToGrid/>
        </w:rPr>
      </w:pPr>
      <w:r>
        <w:rPr>
          <w:snapToGrid/>
        </w:rPr>
        <w:tab/>
      </w:r>
      <w:r>
        <w:rPr>
          <w:rFonts w:hint="eastAsia"/>
          <w:snapToGrid/>
        </w:rPr>
        <w:t>269.</w:t>
      </w:r>
      <w:r>
        <w:rPr>
          <w:snapToGrid/>
        </w:rPr>
        <w:t xml:space="preserve">  </w:t>
      </w:r>
      <w:r>
        <w:rPr>
          <w:rFonts w:hint="eastAsia"/>
          <w:snapToGrid/>
        </w:rPr>
        <w:t>养恤金从注册资本中支付，该资本除养恤金基金外，还包括社会保险基金、失业基金和储备金基金。注册资本主要由雇主</w:t>
      </w:r>
      <w:r>
        <w:rPr>
          <w:rFonts w:hint="eastAsia"/>
          <w:snapToGrid/>
        </w:rPr>
        <w:t>(</w:t>
      </w:r>
      <w:r>
        <w:rPr>
          <w:rFonts w:hint="eastAsia"/>
          <w:snapToGrid/>
        </w:rPr>
        <w:t>经济主体</w:t>
      </w:r>
      <w:r>
        <w:rPr>
          <w:rFonts w:hint="eastAsia"/>
          <w:snapToGrid/>
        </w:rPr>
        <w:t>)</w:t>
      </w:r>
      <w:r>
        <w:rPr>
          <w:rFonts w:hint="eastAsia"/>
          <w:snapToGrid/>
        </w:rPr>
        <w:t>和雇员缴纳的强制保险款额构成。国家预算和地方预算仅为该资本提供很少一部分资金。这两种供资来源在</w:t>
      </w:r>
      <w:r>
        <w:rPr>
          <w:rFonts w:hint="eastAsia"/>
          <w:snapToGrid/>
        </w:rPr>
        <w:t>1997</w:t>
      </w:r>
      <w:r>
        <w:rPr>
          <w:rFonts w:hint="eastAsia"/>
          <w:snapToGrid/>
        </w:rPr>
        <w:t>年的比例分别是</w:t>
      </w:r>
      <w:r>
        <w:rPr>
          <w:rFonts w:hint="eastAsia"/>
          <w:snapToGrid/>
        </w:rPr>
        <w:t>75%</w:t>
      </w:r>
      <w:r>
        <w:rPr>
          <w:rFonts w:hint="eastAsia"/>
          <w:snapToGrid/>
        </w:rPr>
        <w:t>和</w:t>
      </w:r>
      <w:r>
        <w:rPr>
          <w:rFonts w:hint="eastAsia"/>
          <w:snapToGrid/>
        </w:rPr>
        <w:t>1%</w:t>
      </w:r>
      <w:r>
        <w:rPr>
          <w:rFonts w:hint="eastAsia"/>
          <w:snapToGrid/>
        </w:rPr>
        <w:t>。</w:t>
      </w:r>
      <w:r>
        <w:rPr>
          <w:rFonts w:hint="eastAsia"/>
          <w:snapToGrid/>
        </w:rPr>
        <w:t>1999</w:t>
      </w:r>
      <w:r>
        <w:rPr>
          <w:rFonts w:hint="eastAsia"/>
          <w:snapToGrid/>
        </w:rPr>
        <w:t>年中经济主体按工资基金</w:t>
      </w:r>
      <w:r>
        <w:rPr>
          <w:rFonts w:hint="eastAsia"/>
          <w:snapToGrid/>
        </w:rPr>
        <w:t>30%</w:t>
      </w:r>
      <w:r>
        <w:rPr>
          <w:rFonts w:hint="eastAsia"/>
          <w:snapToGrid/>
        </w:rPr>
        <w:t>的比例，雇员以工资</w:t>
      </w:r>
      <w:r>
        <w:rPr>
          <w:rFonts w:hint="eastAsia"/>
          <w:snapToGrid/>
        </w:rPr>
        <w:t>1%</w:t>
      </w:r>
      <w:r>
        <w:rPr>
          <w:rFonts w:hint="eastAsia"/>
          <w:snapToGrid/>
        </w:rPr>
        <w:t>的比例，向注册资本缴纳社会保险款额。缴纳保险款额的比率由议会核准。表</w:t>
      </w:r>
      <w:r>
        <w:rPr>
          <w:rFonts w:hint="eastAsia"/>
          <w:snapToGrid/>
        </w:rPr>
        <w:t>23</w:t>
      </w:r>
      <w:r>
        <w:rPr>
          <w:rFonts w:hint="eastAsia"/>
          <w:snapToGrid/>
        </w:rPr>
        <w:t>显示了</w:t>
      </w:r>
      <w:r>
        <w:rPr>
          <w:rFonts w:hint="eastAsia"/>
          <w:snapToGrid/>
        </w:rPr>
        <w:t>1991</w:t>
      </w:r>
      <w:r>
        <w:rPr>
          <w:rFonts w:hint="eastAsia"/>
          <w:snapToGrid/>
        </w:rPr>
        <w:t>年至</w:t>
      </w:r>
      <w:r>
        <w:rPr>
          <w:rFonts w:hint="eastAsia"/>
          <w:snapToGrid/>
        </w:rPr>
        <w:t>1997</w:t>
      </w:r>
      <w:r>
        <w:rPr>
          <w:rFonts w:hint="eastAsia"/>
          <w:snapToGrid/>
        </w:rPr>
        <w:t>年期间实行的比率。</w:t>
      </w:r>
    </w:p>
    <w:p w:rsidR="00000000" w:rsidRDefault="00000000">
      <w:pPr>
        <w:pStyle w:val="Heading3"/>
        <w:rPr>
          <w:kern w:val="0"/>
        </w:rPr>
      </w:pPr>
      <w:r>
        <w:rPr>
          <w:rFonts w:hint="eastAsia"/>
          <w:kern w:val="0"/>
          <w:u w:val="none"/>
        </w:rPr>
        <w:t>表</w:t>
      </w:r>
      <w:r>
        <w:rPr>
          <w:kern w:val="0"/>
          <w:u w:val="none"/>
        </w:rPr>
        <w:t xml:space="preserve"> 23.  </w:t>
      </w:r>
      <w:r>
        <w:rPr>
          <w:rFonts w:hint="eastAsia"/>
          <w:kern w:val="0"/>
        </w:rPr>
        <w:t>缴纳保险款额的比率</w:t>
      </w:r>
      <w:r>
        <w:rPr>
          <w:kern w:val="0"/>
        </w:rPr>
        <w:t xml:space="preserve"> (</w:t>
      </w:r>
      <w:r>
        <w:rPr>
          <w:rFonts w:hint="eastAsia"/>
          <w:kern w:val="0"/>
        </w:rPr>
        <w:t>占工资基金的百分比</w:t>
      </w:r>
      <w:r>
        <w:rPr>
          <w:kern w:val="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770"/>
        <w:gridCol w:w="771"/>
        <w:gridCol w:w="771"/>
        <w:gridCol w:w="771"/>
        <w:gridCol w:w="770"/>
        <w:gridCol w:w="771"/>
        <w:gridCol w:w="771"/>
        <w:gridCol w:w="771"/>
      </w:tblGrid>
      <w:tr w:rsidR="00000000">
        <w:tblPrEx>
          <w:tblCellMar>
            <w:top w:w="0" w:type="dxa"/>
            <w:bottom w:w="0" w:type="dxa"/>
          </w:tblCellMar>
        </w:tblPrEx>
        <w:trPr>
          <w:cantSplit/>
        </w:trPr>
        <w:tc>
          <w:tcPr>
            <w:tcW w:w="3190" w:type="dxa"/>
            <w:tcBorders>
              <w:bottom w:val="single" w:sz="4" w:space="0" w:color="auto"/>
            </w:tcBorders>
          </w:tcPr>
          <w:p w:rsidR="00000000" w:rsidRDefault="00000000">
            <w:pPr>
              <w:pStyle w:val="a2"/>
              <w:spacing w:before="80" w:after="80"/>
              <w:jc w:val="center"/>
              <w:rPr>
                <w:rFonts w:hint="eastAsia"/>
                <w:snapToGrid/>
              </w:rPr>
            </w:pPr>
            <w:r>
              <w:rPr>
                <w:rFonts w:hint="eastAsia"/>
                <w:snapToGrid/>
              </w:rPr>
              <w:t>年份</w:t>
            </w:r>
          </w:p>
        </w:tc>
        <w:tc>
          <w:tcPr>
            <w:tcW w:w="770" w:type="dxa"/>
            <w:tcBorders>
              <w:bottom w:val="single" w:sz="4" w:space="0" w:color="auto"/>
            </w:tcBorders>
          </w:tcPr>
          <w:p w:rsidR="00000000" w:rsidRDefault="00000000">
            <w:pPr>
              <w:pStyle w:val="a2"/>
              <w:spacing w:before="80" w:after="80"/>
              <w:jc w:val="center"/>
              <w:rPr>
                <w:snapToGrid/>
              </w:rPr>
            </w:pPr>
            <w:r>
              <w:rPr>
                <w:snapToGrid/>
              </w:rPr>
              <w:t>1991</w:t>
            </w:r>
          </w:p>
        </w:tc>
        <w:tc>
          <w:tcPr>
            <w:tcW w:w="1542" w:type="dxa"/>
            <w:gridSpan w:val="2"/>
            <w:tcBorders>
              <w:bottom w:val="single" w:sz="4" w:space="0" w:color="auto"/>
            </w:tcBorders>
          </w:tcPr>
          <w:p w:rsidR="00000000" w:rsidRDefault="00000000">
            <w:pPr>
              <w:pStyle w:val="a2"/>
              <w:spacing w:before="80" w:after="80"/>
              <w:jc w:val="center"/>
              <w:rPr>
                <w:snapToGrid/>
              </w:rPr>
            </w:pPr>
            <w:r>
              <w:rPr>
                <w:snapToGrid/>
              </w:rPr>
              <w:t>1992</w:t>
            </w:r>
          </w:p>
        </w:tc>
        <w:tc>
          <w:tcPr>
            <w:tcW w:w="771" w:type="dxa"/>
            <w:tcBorders>
              <w:bottom w:val="single" w:sz="4" w:space="0" w:color="auto"/>
            </w:tcBorders>
          </w:tcPr>
          <w:p w:rsidR="00000000" w:rsidRDefault="00000000">
            <w:pPr>
              <w:pStyle w:val="a2"/>
              <w:spacing w:before="80" w:after="80"/>
              <w:jc w:val="center"/>
              <w:rPr>
                <w:snapToGrid/>
              </w:rPr>
            </w:pPr>
            <w:r>
              <w:rPr>
                <w:snapToGrid/>
              </w:rPr>
              <w:t>1993</w:t>
            </w:r>
          </w:p>
        </w:tc>
        <w:tc>
          <w:tcPr>
            <w:tcW w:w="770" w:type="dxa"/>
            <w:tcBorders>
              <w:bottom w:val="single" w:sz="4" w:space="0" w:color="auto"/>
            </w:tcBorders>
          </w:tcPr>
          <w:p w:rsidR="00000000" w:rsidRDefault="00000000">
            <w:pPr>
              <w:pStyle w:val="a2"/>
              <w:spacing w:before="80" w:after="80"/>
              <w:jc w:val="center"/>
              <w:rPr>
                <w:snapToGrid/>
              </w:rPr>
            </w:pPr>
            <w:r>
              <w:rPr>
                <w:snapToGrid/>
              </w:rPr>
              <w:t>1994</w:t>
            </w:r>
          </w:p>
        </w:tc>
        <w:tc>
          <w:tcPr>
            <w:tcW w:w="771" w:type="dxa"/>
            <w:tcBorders>
              <w:bottom w:val="single" w:sz="4" w:space="0" w:color="auto"/>
            </w:tcBorders>
          </w:tcPr>
          <w:p w:rsidR="00000000" w:rsidRDefault="00000000">
            <w:pPr>
              <w:pStyle w:val="a2"/>
              <w:spacing w:before="80" w:after="80"/>
              <w:jc w:val="center"/>
              <w:rPr>
                <w:snapToGrid/>
              </w:rPr>
            </w:pPr>
            <w:r>
              <w:rPr>
                <w:snapToGrid/>
              </w:rPr>
              <w:t>1995</w:t>
            </w:r>
          </w:p>
        </w:tc>
        <w:tc>
          <w:tcPr>
            <w:tcW w:w="771" w:type="dxa"/>
            <w:tcBorders>
              <w:bottom w:val="single" w:sz="4" w:space="0" w:color="auto"/>
            </w:tcBorders>
          </w:tcPr>
          <w:p w:rsidR="00000000" w:rsidRDefault="00000000">
            <w:pPr>
              <w:pStyle w:val="a2"/>
              <w:spacing w:before="80" w:after="80"/>
              <w:jc w:val="center"/>
              <w:rPr>
                <w:snapToGrid/>
              </w:rPr>
            </w:pPr>
            <w:r>
              <w:rPr>
                <w:snapToGrid/>
              </w:rPr>
              <w:t>1996</w:t>
            </w:r>
          </w:p>
        </w:tc>
        <w:tc>
          <w:tcPr>
            <w:tcW w:w="771" w:type="dxa"/>
            <w:tcBorders>
              <w:bottom w:val="single" w:sz="4" w:space="0" w:color="auto"/>
            </w:tcBorders>
          </w:tcPr>
          <w:p w:rsidR="00000000" w:rsidRDefault="00000000">
            <w:pPr>
              <w:pStyle w:val="a2"/>
              <w:spacing w:before="80" w:after="80"/>
              <w:jc w:val="center"/>
              <w:rPr>
                <w:snapToGrid/>
              </w:rPr>
            </w:pPr>
            <w:r>
              <w:rPr>
                <w:snapToGrid/>
              </w:rPr>
              <w:t>1997</w:t>
            </w:r>
          </w:p>
        </w:tc>
      </w:tr>
      <w:tr w:rsidR="00000000">
        <w:tblPrEx>
          <w:tblCellMar>
            <w:top w:w="0" w:type="dxa"/>
            <w:bottom w:w="0" w:type="dxa"/>
          </w:tblCellMar>
        </w:tblPrEx>
        <w:tc>
          <w:tcPr>
            <w:tcW w:w="3190" w:type="dxa"/>
            <w:tcBorders>
              <w:bottom w:val="nil"/>
            </w:tcBorders>
          </w:tcPr>
          <w:p w:rsidR="00000000" w:rsidRDefault="00000000">
            <w:pPr>
              <w:pStyle w:val="a2"/>
              <w:rPr>
                <w:rFonts w:hint="eastAsia"/>
                <w:snapToGrid/>
              </w:rPr>
            </w:pPr>
            <w:r>
              <w:rPr>
                <w:rFonts w:hint="eastAsia"/>
                <w:snapToGrid/>
              </w:rPr>
              <w:t>经纪人，不论其财产类型和组织的法律形式</w:t>
            </w:r>
          </w:p>
        </w:tc>
        <w:tc>
          <w:tcPr>
            <w:tcW w:w="770" w:type="dxa"/>
            <w:tcBorders>
              <w:bottom w:val="nil"/>
            </w:tcBorders>
          </w:tcPr>
          <w:p w:rsidR="00000000" w:rsidRDefault="00000000">
            <w:pPr>
              <w:pStyle w:val="a2"/>
              <w:jc w:val="center"/>
              <w:rPr>
                <w:snapToGrid/>
              </w:rPr>
            </w:pPr>
            <w:r>
              <w:rPr>
                <w:snapToGrid/>
              </w:rPr>
              <w:t>26</w:t>
            </w:r>
          </w:p>
        </w:tc>
        <w:tc>
          <w:tcPr>
            <w:tcW w:w="771" w:type="dxa"/>
            <w:tcBorders>
              <w:bottom w:val="nil"/>
            </w:tcBorders>
          </w:tcPr>
          <w:p w:rsidR="00000000" w:rsidRDefault="00000000">
            <w:pPr>
              <w:pStyle w:val="a2"/>
              <w:jc w:val="center"/>
              <w:rPr>
                <w:snapToGrid/>
              </w:rPr>
            </w:pPr>
            <w:r>
              <w:rPr>
                <w:snapToGrid/>
              </w:rPr>
              <w:t>60</w:t>
            </w:r>
          </w:p>
        </w:tc>
        <w:tc>
          <w:tcPr>
            <w:tcW w:w="771" w:type="dxa"/>
            <w:tcBorders>
              <w:bottom w:val="nil"/>
            </w:tcBorders>
          </w:tcPr>
          <w:p w:rsidR="00000000" w:rsidRDefault="00000000">
            <w:pPr>
              <w:pStyle w:val="a2"/>
              <w:jc w:val="center"/>
              <w:rPr>
                <w:snapToGrid/>
              </w:rPr>
            </w:pPr>
            <w:r>
              <w:rPr>
                <w:snapToGrid/>
              </w:rPr>
              <w:t>45</w:t>
            </w:r>
          </w:p>
        </w:tc>
        <w:tc>
          <w:tcPr>
            <w:tcW w:w="771" w:type="dxa"/>
            <w:tcBorders>
              <w:bottom w:val="nil"/>
            </w:tcBorders>
          </w:tcPr>
          <w:p w:rsidR="00000000" w:rsidRDefault="00000000">
            <w:pPr>
              <w:pStyle w:val="a2"/>
              <w:jc w:val="center"/>
              <w:rPr>
                <w:snapToGrid/>
              </w:rPr>
            </w:pPr>
            <w:r>
              <w:rPr>
                <w:snapToGrid/>
              </w:rPr>
              <w:t>45</w:t>
            </w:r>
          </w:p>
        </w:tc>
        <w:tc>
          <w:tcPr>
            <w:tcW w:w="770" w:type="dxa"/>
            <w:tcBorders>
              <w:bottom w:val="nil"/>
            </w:tcBorders>
          </w:tcPr>
          <w:p w:rsidR="00000000" w:rsidRDefault="00000000">
            <w:pPr>
              <w:pStyle w:val="a2"/>
              <w:jc w:val="center"/>
              <w:rPr>
                <w:snapToGrid/>
              </w:rPr>
            </w:pPr>
            <w:r>
              <w:rPr>
                <w:snapToGrid/>
              </w:rPr>
              <w:t>38</w:t>
            </w:r>
          </w:p>
        </w:tc>
        <w:tc>
          <w:tcPr>
            <w:tcW w:w="771" w:type="dxa"/>
            <w:tcBorders>
              <w:bottom w:val="nil"/>
            </w:tcBorders>
          </w:tcPr>
          <w:p w:rsidR="00000000" w:rsidRDefault="00000000">
            <w:pPr>
              <w:pStyle w:val="a2"/>
              <w:jc w:val="center"/>
              <w:rPr>
                <w:snapToGrid/>
              </w:rPr>
            </w:pPr>
            <w:r>
              <w:rPr>
                <w:snapToGrid/>
              </w:rPr>
              <w:t>35</w:t>
            </w:r>
          </w:p>
        </w:tc>
        <w:tc>
          <w:tcPr>
            <w:tcW w:w="771" w:type="dxa"/>
            <w:tcBorders>
              <w:bottom w:val="nil"/>
            </w:tcBorders>
          </w:tcPr>
          <w:p w:rsidR="00000000" w:rsidRDefault="00000000">
            <w:pPr>
              <w:pStyle w:val="a2"/>
              <w:jc w:val="center"/>
              <w:rPr>
                <w:snapToGrid/>
              </w:rPr>
            </w:pPr>
            <w:r>
              <w:rPr>
                <w:snapToGrid/>
              </w:rPr>
              <w:t>35</w:t>
            </w:r>
          </w:p>
        </w:tc>
        <w:tc>
          <w:tcPr>
            <w:tcW w:w="771" w:type="dxa"/>
            <w:tcBorders>
              <w:bottom w:val="nil"/>
            </w:tcBorders>
          </w:tcPr>
          <w:p w:rsidR="00000000" w:rsidRDefault="00000000">
            <w:pPr>
              <w:pStyle w:val="a2"/>
              <w:jc w:val="center"/>
              <w:rPr>
                <w:snapToGrid/>
              </w:rPr>
            </w:pPr>
            <w:r>
              <w:rPr>
                <w:snapToGrid/>
              </w:rPr>
              <w:t>30</w:t>
            </w:r>
          </w:p>
        </w:tc>
      </w:tr>
      <w:tr w:rsidR="00000000">
        <w:tblPrEx>
          <w:tblCellMar>
            <w:top w:w="0" w:type="dxa"/>
            <w:bottom w:w="0" w:type="dxa"/>
          </w:tblCellMar>
        </w:tblPrEx>
        <w:tc>
          <w:tcPr>
            <w:tcW w:w="3190" w:type="dxa"/>
            <w:tcBorders>
              <w:top w:val="nil"/>
            </w:tcBorders>
          </w:tcPr>
          <w:p w:rsidR="00000000" w:rsidRDefault="00000000">
            <w:pPr>
              <w:pStyle w:val="a2"/>
              <w:rPr>
                <w:rFonts w:hint="eastAsia"/>
                <w:snapToGrid/>
              </w:rPr>
            </w:pPr>
            <w:r>
              <w:rPr>
                <w:rFonts w:hint="eastAsia"/>
                <w:snapToGrid/>
              </w:rPr>
              <w:t>各组织和预算机构</w:t>
            </w:r>
          </w:p>
        </w:tc>
        <w:tc>
          <w:tcPr>
            <w:tcW w:w="770" w:type="dxa"/>
            <w:tcBorders>
              <w:top w:val="nil"/>
            </w:tcBorders>
          </w:tcPr>
          <w:p w:rsidR="00000000" w:rsidRDefault="00000000">
            <w:pPr>
              <w:pStyle w:val="a2"/>
              <w:jc w:val="center"/>
              <w:rPr>
                <w:snapToGrid/>
              </w:rPr>
            </w:pPr>
            <w:r>
              <w:rPr>
                <w:snapToGrid/>
              </w:rPr>
              <w:t>26</w:t>
            </w:r>
          </w:p>
        </w:tc>
        <w:tc>
          <w:tcPr>
            <w:tcW w:w="771" w:type="dxa"/>
            <w:tcBorders>
              <w:top w:val="nil"/>
            </w:tcBorders>
          </w:tcPr>
          <w:p w:rsidR="00000000" w:rsidRDefault="00000000">
            <w:pPr>
              <w:pStyle w:val="a2"/>
              <w:jc w:val="center"/>
              <w:rPr>
                <w:snapToGrid/>
              </w:rPr>
            </w:pPr>
            <w:r>
              <w:rPr>
                <w:snapToGrid/>
              </w:rPr>
              <w:t>37</w:t>
            </w:r>
          </w:p>
        </w:tc>
        <w:tc>
          <w:tcPr>
            <w:tcW w:w="771" w:type="dxa"/>
            <w:tcBorders>
              <w:top w:val="nil"/>
            </w:tcBorders>
          </w:tcPr>
          <w:p w:rsidR="00000000" w:rsidRDefault="00000000">
            <w:pPr>
              <w:pStyle w:val="a2"/>
              <w:jc w:val="center"/>
              <w:rPr>
                <w:snapToGrid/>
              </w:rPr>
            </w:pPr>
            <w:r>
              <w:rPr>
                <w:snapToGrid/>
              </w:rPr>
              <w:t>30</w:t>
            </w:r>
          </w:p>
        </w:tc>
        <w:tc>
          <w:tcPr>
            <w:tcW w:w="771" w:type="dxa"/>
            <w:tcBorders>
              <w:top w:val="nil"/>
            </w:tcBorders>
          </w:tcPr>
          <w:p w:rsidR="00000000" w:rsidRDefault="00000000">
            <w:pPr>
              <w:pStyle w:val="a2"/>
              <w:jc w:val="center"/>
              <w:rPr>
                <w:snapToGrid/>
              </w:rPr>
            </w:pPr>
            <w:r>
              <w:rPr>
                <w:snapToGrid/>
              </w:rPr>
              <w:t>30</w:t>
            </w:r>
          </w:p>
        </w:tc>
        <w:tc>
          <w:tcPr>
            <w:tcW w:w="770" w:type="dxa"/>
            <w:tcBorders>
              <w:top w:val="nil"/>
            </w:tcBorders>
          </w:tcPr>
          <w:p w:rsidR="00000000" w:rsidRDefault="00000000">
            <w:pPr>
              <w:pStyle w:val="a2"/>
              <w:jc w:val="center"/>
              <w:rPr>
                <w:snapToGrid/>
              </w:rPr>
            </w:pPr>
            <w:r>
              <w:rPr>
                <w:snapToGrid/>
              </w:rPr>
              <w:t>30</w:t>
            </w:r>
          </w:p>
        </w:tc>
        <w:tc>
          <w:tcPr>
            <w:tcW w:w="771" w:type="dxa"/>
            <w:tcBorders>
              <w:top w:val="nil"/>
            </w:tcBorders>
          </w:tcPr>
          <w:p w:rsidR="00000000" w:rsidRDefault="00000000">
            <w:pPr>
              <w:pStyle w:val="a2"/>
              <w:jc w:val="center"/>
              <w:rPr>
                <w:snapToGrid/>
              </w:rPr>
            </w:pPr>
            <w:r>
              <w:rPr>
                <w:snapToGrid/>
              </w:rPr>
              <w:t>35</w:t>
            </w:r>
          </w:p>
        </w:tc>
        <w:tc>
          <w:tcPr>
            <w:tcW w:w="771" w:type="dxa"/>
            <w:tcBorders>
              <w:top w:val="nil"/>
            </w:tcBorders>
          </w:tcPr>
          <w:p w:rsidR="00000000" w:rsidRDefault="00000000">
            <w:pPr>
              <w:pStyle w:val="a2"/>
              <w:jc w:val="center"/>
              <w:rPr>
                <w:snapToGrid/>
              </w:rPr>
            </w:pPr>
            <w:r>
              <w:rPr>
                <w:snapToGrid/>
              </w:rPr>
              <w:t>30</w:t>
            </w:r>
          </w:p>
        </w:tc>
        <w:tc>
          <w:tcPr>
            <w:tcW w:w="771" w:type="dxa"/>
            <w:tcBorders>
              <w:top w:val="nil"/>
            </w:tcBorders>
          </w:tcPr>
          <w:p w:rsidR="00000000" w:rsidRDefault="00000000">
            <w:pPr>
              <w:pStyle w:val="a2"/>
              <w:jc w:val="center"/>
              <w:rPr>
                <w:snapToGrid/>
              </w:rPr>
            </w:pPr>
            <w:r>
              <w:rPr>
                <w:snapToGrid/>
              </w:rPr>
              <w:t>30</w:t>
            </w:r>
          </w:p>
        </w:tc>
      </w:tr>
    </w:tbl>
    <w:p w:rsidR="00000000" w:rsidRDefault="00000000">
      <w:pPr>
        <w:rPr>
          <w:rFonts w:hint="eastAsia"/>
          <w:snapToGrid/>
        </w:rPr>
      </w:pPr>
      <w:r>
        <w:rPr>
          <w:rFonts w:hint="eastAsia"/>
          <w:snapToGrid/>
        </w:rPr>
        <w:t xml:space="preserve"> </w:t>
      </w:r>
    </w:p>
    <w:p w:rsidR="00000000" w:rsidRDefault="00000000">
      <w:pPr>
        <w:rPr>
          <w:rFonts w:hint="eastAsia"/>
          <w:snapToGrid/>
        </w:rPr>
      </w:pPr>
      <w:r>
        <w:rPr>
          <w:snapToGrid/>
        </w:rPr>
        <w:tab/>
      </w:r>
      <w:r>
        <w:rPr>
          <w:rFonts w:hint="eastAsia"/>
          <w:snapToGrid/>
        </w:rPr>
        <w:t>270.</w:t>
      </w:r>
      <w:r>
        <w:rPr>
          <w:snapToGrid/>
        </w:rPr>
        <w:t xml:space="preserve">  </w:t>
      </w:r>
      <w:r>
        <w:rPr>
          <w:rFonts w:hint="eastAsia"/>
          <w:snapToGrid/>
        </w:rPr>
        <w:t>因此，可以看出有削减经济主体缴纳保险款额的比率的趋势。</w:t>
      </w:r>
    </w:p>
    <w:p w:rsidR="00000000" w:rsidRDefault="00000000">
      <w:pPr>
        <w:rPr>
          <w:snapToGrid/>
        </w:rPr>
      </w:pPr>
      <w:r>
        <w:rPr>
          <w:snapToGrid/>
        </w:rPr>
        <w:tab/>
      </w:r>
      <w:r>
        <w:rPr>
          <w:rFonts w:hint="eastAsia"/>
          <w:snapToGrid/>
        </w:rPr>
        <w:t>271.</w:t>
      </w:r>
      <w:r>
        <w:rPr>
          <w:snapToGrid/>
        </w:rPr>
        <w:t xml:space="preserve">  </w:t>
      </w:r>
      <w:r>
        <w:rPr>
          <w:rFonts w:hint="eastAsia"/>
          <w:snapToGrid/>
        </w:rPr>
        <w:t>注册资本预算用以支付：</w:t>
      </w:r>
    </w:p>
    <w:p w:rsidR="00000000" w:rsidRDefault="00000000">
      <w:pPr>
        <w:numPr>
          <w:ilvl w:val="0"/>
          <w:numId w:val="449"/>
        </w:numPr>
        <w:rPr>
          <w:snapToGrid/>
        </w:rPr>
      </w:pPr>
      <w:r>
        <w:rPr>
          <w:rFonts w:hint="eastAsia"/>
          <w:snapToGrid/>
        </w:rPr>
        <w:t>根据服务期限长短计算的各种补贴、残疾养恤金、遗属养恤金；</w:t>
      </w:r>
    </w:p>
    <w:p w:rsidR="00000000" w:rsidRDefault="00000000">
      <w:pPr>
        <w:numPr>
          <w:ilvl w:val="0"/>
          <w:numId w:val="449"/>
        </w:numPr>
        <w:rPr>
          <w:snapToGrid/>
        </w:rPr>
      </w:pPr>
      <w:r>
        <w:rPr>
          <w:rFonts w:hint="eastAsia"/>
          <w:snapToGrid/>
        </w:rPr>
        <w:t>社会养恤金；</w:t>
      </w:r>
    </w:p>
    <w:p w:rsidR="00000000" w:rsidRDefault="00000000">
      <w:pPr>
        <w:numPr>
          <w:ilvl w:val="0"/>
          <w:numId w:val="449"/>
        </w:numPr>
        <w:rPr>
          <w:snapToGrid/>
        </w:rPr>
      </w:pPr>
      <w:r>
        <w:rPr>
          <w:rFonts w:hint="eastAsia"/>
          <w:snapToGrid/>
        </w:rPr>
        <w:t>士兵及其家庭成员的养恤金；</w:t>
      </w:r>
    </w:p>
    <w:p w:rsidR="00000000" w:rsidRDefault="00000000">
      <w:pPr>
        <w:numPr>
          <w:ilvl w:val="0"/>
          <w:numId w:val="449"/>
        </w:numPr>
        <w:rPr>
          <w:snapToGrid/>
        </w:rPr>
      </w:pPr>
      <w:r>
        <w:rPr>
          <w:rFonts w:hint="eastAsia"/>
          <w:snapToGrid/>
        </w:rPr>
        <w:t>为儿童保育和单身母亲提供的赔偿金和补偿；</w:t>
      </w:r>
    </w:p>
    <w:p w:rsidR="00000000" w:rsidRDefault="00000000">
      <w:pPr>
        <w:numPr>
          <w:ilvl w:val="0"/>
          <w:numId w:val="449"/>
        </w:numPr>
        <w:rPr>
          <w:snapToGrid/>
        </w:rPr>
      </w:pPr>
      <w:r>
        <w:rPr>
          <w:rFonts w:hint="eastAsia"/>
          <w:snapToGrid/>
        </w:rPr>
        <w:t>暂时残疾赔偿金；</w:t>
      </w:r>
    </w:p>
    <w:p w:rsidR="00000000" w:rsidRDefault="00000000">
      <w:pPr>
        <w:numPr>
          <w:ilvl w:val="0"/>
          <w:numId w:val="449"/>
        </w:numPr>
        <w:rPr>
          <w:snapToGrid/>
        </w:rPr>
      </w:pPr>
      <w:r>
        <w:rPr>
          <w:rFonts w:hint="eastAsia"/>
          <w:snapToGrid/>
        </w:rPr>
        <w:t>失业补贴；</w:t>
      </w:r>
    </w:p>
    <w:p w:rsidR="00000000" w:rsidRDefault="00000000">
      <w:pPr>
        <w:numPr>
          <w:ilvl w:val="0"/>
          <w:numId w:val="449"/>
        </w:numPr>
        <w:rPr>
          <w:snapToGrid/>
        </w:rPr>
      </w:pPr>
      <w:r>
        <w:rPr>
          <w:rFonts w:hint="eastAsia"/>
          <w:snapToGrid/>
        </w:rPr>
        <w:t>壬辰和监禁补偿金；</w:t>
      </w:r>
    </w:p>
    <w:p w:rsidR="00000000" w:rsidRDefault="00000000">
      <w:pPr>
        <w:numPr>
          <w:ilvl w:val="0"/>
          <w:numId w:val="449"/>
        </w:numPr>
        <w:rPr>
          <w:snapToGrid/>
        </w:rPr>
      </w:pPr>
      <w:r>
        <w:rPr>
          <w:rFonts w:hint="eastAsia"/>
          <w:snapToGrid/>
        </w:rPr>
        <w:t>银行和邮局在分发养恤金服务方面的支出；</w:t>
      </w:r>
    </w:p>
    <w:p w:rsidR="00000000" w:rsidRDefault="00000000">
      <w:pPr>
        <w:numPr>
          <w:ilvl w:val="0"/>
          <w:numId w:val="449"/>
        </w:numPr>
        <w:rPr>
          <w:rFonts w:hint="eastAsia"/>
          <w:snapToGrid/>
        </w:rPr>
      </w:pPr>
      <w:r>
        <w:rPr>
          <w:rFonts w:hint="eastAsia"/>
          <w:snapToGrid/>
        </w:rPr>
        <w:t>其他支出。</w:t>
      </w:r>
    </w:p>
    <w:p w:rsidR="00000000" w:rsidRDefault="00000000">
      <w:pPr>
        <w:rPr>
          <w:rFonts w:hint="eastAsia"/>
          <w:snapToGrid/>
        </w:rPr>
      </w:pPr>
      <w:r>
        <w:rPr>
          <w:snapToGrid/>
        </w:rPr>
        <w:tab/>
      </w:r>
      <w:r>
        <w:rPr>
          <w:rFonts w:hint="eastAsia"/>
          <w:snapToGrid/>
        </w:rPr>
        <w:t>272.</w:t>
      </w:r>
      <w:r>
        <w:rPr>
          <w:snapToGrid/>
        </w:rPr>
        <w:t xml:space="preserve">  </w:t>
      </w:r>
      <w:r>
        <w:rPr>
          <w:rFonts w:hint="eastAsia"/>
          <w:snapToGrid/>
        </w:rPr>
        <w:t>养恤金的支付工作由养恤金和社会援助局以支付汇票</w:t>
      </w:r>
      <w:r>
        <w:rPr>
          <w:rFonts w:hint="eastAsia"/>
          <w:snapToGrid/>
        </w:rPr>
        <w:t>(</w:t>
      </w:r>
      <w:r>
        <w:rPr>
          <w:rFonts w:hint="eastAsia"/>
          <w:snapToGrid/>
        </w:rPr>
        <w:t>付款卡、汇款单</w:t>
      </w:r>
      <w:r>
        <w:rPr>
          <w:rFonts w:hint="eastAsia"/>
          <w:snapToGrid/>
        </w:rPr>
        <w:t>)</w:t>
      </w:r>
      <w:r>
        <w:rPr>
          <w:rFonts w:hint="eastAsia"/>
          <w:snapToGrid/>
        </w:rPr>
        <w:t>的形式，通过邮局和</w:t>
      </w:r>
      <w:r>
        <w:rPr>
          <w:rFonts w:hint="eastAsia"/>
          <w:snapToGrid/>
        </w:rPr>
        <w:t>Banca de Economii a Moldovei(</w:t>
      </w:r>
      <w:r>
        <w:rPr>
          <w:rFonts w:hint="eastAsia"/>
          <w:snapToGrid/>
        </w:rPr>
        <w:t>摩尔多瓦储蓄银行</w:t>
      </w:r>
      <w:r>
        <w:rPr>
          <w:rFonts w:hint="eastAsia"/>
          <w:snapToGrid/>
        </w:rPr>
        <w:t>)</w:t>
      </w:r>
      <w:r>
        <w:rPr>
          <w:rFonts w:hint="eastAsia"/>
          <w:snapToGrid/>
        </w:rPr>
        <w:t>的各分行每月进行。每月付款期截止后，邮局须向养恤金和社会援助局提交一份账单。养恤金和社会援助局则须每季度和每年向注册资本提交账单。邮局档案、养恤金和社会援助局以及社会基金须保留所有账单。</w:t>
      </w:r>
    </w:p>
    <w:p w:rsidR="00000000" w:rsidRDefault="00000000">
      <w:pPr>
        <w:rPr>
          <w:rFonts w:hint="eastAsia"/>
          <w:snapToGrid/>
        </w:rPr>
      </w:pPr>
      <w:r>
        <w:rPr>
          <w:snapToGrid/>
        </w:rPr>
        <w:tab/>
      </w:r>
      <w:r>
        <w:rPr>
          <w:rFonts w:hint="eastAsia"/>
          <w:snapToGrid/>
        </w:rPr>
        <w:t>273.</w:t>
      </w:r>
      <w:r>
        <w:rPr>
          <w:snapToGrid/>
        </w:rPr>
        <w:t xml:space="preserve">  </w:t>
      </w:r>
      <w:r>
        <w:rPr>
          <w:rFonts w:hint="eastAsia"/>
          <w:snapToGrid/>
        </w:rPr>
        <w:t>改革战略强调指出“摩尔多瓦共和国养恤金保险制度特有的特征取决于国家财产的主导地位，并朝集中化和计划经济的方向发展。该制度的特征是保险水平低、管理无效、法律上有矛盾、给参与经济活动的人造成压力；该制度非常昂贵，而且并不完全遵从促进社会公平和普遍团结的原则。”</w:t>
      </w:r>
    </w:p>
    <w:p w:rsidR="00000000" w:rsidRDefault="00000000">
      <w:pPr>
        <w:rPr>
          <w:rFonts w:hint="eastAsia"/>
          <w:snapToGrid/>
        </w:rPr>
      </w:pPr>
      <w:r>
        <w:rPr>
          <w:snapToGrid/>
        </w:rPr>
        <w:tab/>
      </w:r>
      <w:r>
        <w:rPr>
          <w:rFonts w:hint="eastAsia"/>
          <w:snapToGrid/>
        </w:rPr>
        <w:t>274.</w:t>
      </w:r>
      <w:r>
        <w:rPr>
          <w:snapToGrid/>
        </w:rPr>
        <w:t xml:space="preserve">  </w:t>
      </w:r>
      <w:r>
        <w:rPr>
          <w:rFonts w:hint="eastAsia"/>
          <w:snapToGrid/>
        </w:rPr>
        <w:t>该国自</w:t>
      </w:r>
      <w:r>
        <w:rPr>
          <w:rFonts w:hint="eastAsia"/>
          <w:snapToGrid/>
        </w:rPr>
        <w:t>1990</w:t>
      </w:r>
      <w:r>
        <w:rPr>
          <w:rFonts w:hint="eastAsia"/>
          <w:snapToGrid/>
        </w:rPr>
        <w:t>年代初开始发生经济危机，使社会领域的情况恶化。在社会保护和提供养恤金方面，与衰退现象，通货膨胀率上升，人民生活水平下降同时出现的是一些持续恶化的问题，并于</w:t>
      </w:r>
      <w:r>
        <w:rPr>
          <w:rFonts w:hint="eastAsia"/>
          <w:snapToGrid/>
        </w:rPr>
        <w:t>1996</w:t>
      </w:r>
      <w:r>
        <w:rPr>
          <w:rFonts w:hint="eastAsia"/>
          <w:snapToGrid/>
        </w:rPr>
        <w:t>年中期左右成为一些长期存在的问题。</w:t>
      </w:r>
    </w:p>
    <w:p w:rsidR="00000000" w:rsidRDefault="00000000">
      <w:pPr>
        <w:rPr>
          <w:rFonts w:hint="eastAsia"/>
          <w:snapToGrid/>
        </w:rPr>
      </w:pPr>
      <w:r>
        <w:rPr>
          <w:snapToGrid/>
        </w:rPr>
        <w:tab/>
      </w:r>
      <w:r>
        <w:rPr>
          <w:rFonts w:hint="eastAsia"/>
          <w:snapToGrid/>
        </w:rPr>
        <w:t>275.</w:t>
      </w:r>
      <w:r>
        <w:rPr>
          <w:snapToGrid/>
        </w:rPr>
        <w:t xml:space="preserve">  </w:t>
      </w:r>
      <w:r>
        <w:rPr>
          <w:rFonts w:hint="eastAsia"/>
          <w:snapToGrid/>
        </w:rPr>
        <w:t>摩尔多瓦共和国通过《国家养恤金保险法》后，养恤金保险方面的法律获得了根本修正。它们首先受到国内经济形势，包括财政制度状况的制约。由于经济系统中的危机、日益加快的通货膨胀速度和货币改革等变化，必须对养恤金保障方面的立法作出修改。</w:t>
      </w:r>
    </w:p>
    <w:p w:rsidR="00000000" w:rsidRDefault="00000000">
      <w:pPr>
        <w:rPr>
          <w:snapToGrid/>
        </w:rPr>
      </w:pPr>
      <w:r>
        <w:rPr>
          <w:snapToGrid/>
        </w:rPr>
        <w:tab/>
      </w:r>
      <w:r>
        <w:rPr>
          <w:rFonts w:hint="eastAsia"/>
          <w:snapToGrid/>
        </w:rPr>
        <w:t>276.</w:t>
      </w:r>
      <w:r>
        <w:rPr>
          <w:snapToGrid/>
        </w:rPr>
        <w:t xml:space="preserve">  </w:t>
      </w:r>
      <w:r>
        <w:rPr>
          <w:rFonts w:hint="eastAsia"/>
          <w:snapToGrid/>
        </w:rPr>
        <w:t>对摩尔多瓦共和国《国家养恤金保障法》作出了不止</w:t>
      </w:r>
      <w:r>
        <w:rPr>
          <w:rFonts w:hint="eastAsia"/>
          <w:snapToGrid/>
        </w:rPr>
        <w:t>50</w:t>
      </w:r>
      <w:r>
        <w:rPr>
          <w:rFonts w:hint="eastAsia"/>
          <w:snapToGrid/>
        </w:rPr>
        <w:t>项修正。由此，更新了过去用以计算固定养恤金的工资额。该机制目前也被用来根据前一年的工资确定养恤金金额。更新通过个人系数进行，该系数是计算所涉整个期间养恤金领取人的收入与同期内平均工资之间的比率。由于调整了最低工资所以养恤金增加了无数倍。迫使养恤金制度必须作出更新的主要因素是：</w:t>
      </w:r>
    </w:p>
    <w:p w:rsidR="00000000" w:rsidRDefault="00000000">
      <w:pPr>
        <w:numPr>
          <w:ilvl w:val="0"/>
          <w:numId w:val="450"/>
        </w:numPr>
        <w:rPr>
          <w:snapToGrid/>
        </w:rPr>
      </w:pPr>
      <w:r>
        <w:rPr>
          <w:rFonts w:hint="eastAsia"/>
          <w:snapToGrid/>
        </w:rPr>
        <w:t>削减社会基金的资金会延误养恤金的支付和其他社会支付；</w:t>
      </w:r>
    </w:p>
    <w:p w:rsidR="00000000" w:rsidRDefault="00000000">
      <w:pPr>
        <w:numPr>
          <w:ilvl w:val="0"/>
          <w:numId w:val="450"/>
        </w:numPr>
        <w:rPr>
          <w:snapToGrid/>
        </w:rPr>
      </w:pPr>
      <w:r>
        <w:rPr>
          <w:rFonts w:hint="eastAsia"/>
          <w:snapToGrid/>
        </w:rPr>
        <w:t>养恤金保险水平下降和其他社会支付额减少；</w:t>
      </w:r>
    </w:p>
    <w:p w:rsidR="00000000" w:rsidRDefault="00000000">
      <w:pPr>
        <w:numPr>
          <w:ilvl w:val="0"/>
          <w:numId w:val="450"/>
        </w:numPr>
        <w:rPr>
          <w:snapToGrid/>
        </w:rPr>
      </w:pPr>
      <w:r>
        <w:rPr>
          <w:rFonts w:hint="eastAsia"/>
          <w:snapToGrid/>
        </w:rPr>
        <w:t>社会保险方面来自参加经济活动的人的压力加强</w:t>
      </w:r>
      <w:r>
        <w:rPr>
          <w:rFonts w:hint="eastAsia"/>
          <w:snapToGrid/>
        </w:rPr>
        <w:t>(</w:t>
      </w:r>
      <w:r>
        <w:rPr>
          <w:rFonts w:hint="eastAsia"/>
          <w:snapToGrid/>
        </w:rPr>
        <w:t>未来这种情况将会更糟，因为所预见到的人口状况不利</w:t>
      </w:r>
      <w:r>
        <w:rPr>
          <w:rFonts w:hint="eastAsia"/>
          <w:snapToGrid/>
        </w:rPr>
        <w:t>)</w:t>
      </w:r>
      <w:r>
        <w:rPr>
          <w:rFonts w:hint="eastAsia"/>
          <w:snapToGrid/>
        </w:rPr>
        <w:t>；</w:t>
      </w:r>
    </w:p>
    <w:p w:rsidR="00000000" w:rsidRDefault="00000000">
      <w:pPr>
        <w:numPr>
          <w:ilvl w:val="0"/>
          <w:numId w:val="450"/>
        </w:numPr>
        <w:rPr>
          <w:snapToGrid/>
        </w:rPr>
      </w:pPr>
      <w:r>
        <w:rPr>
          <w:rFonts w:hint="eastAsia"/>
          <w:snapToGrid/>
        </w:rPr>
        <w:t>社会保险范围大幅度缩减，这无助于生产的增长或在缩减中作到平等，而且在决定雇主和雇佣劳动者的缴款比例时缺乏平衡；</w:t>
      </w:r>
    </w:p>
    <w:p w:rsidR="00000000" w:rsidRDefault="00000000">
      <w:pPr>
        <w:numPr>
          <w:ilvl w:val="0"/>
          <w:numId w:val="450"/>
        </w:numPr>
        <w:rPr>
          <w:snapToGrid/>
        </w:rPr>
      </w:pPr>
      <w:r>
        <w:rPr>
          <w:rFonts w:hint="eastAsia"/>
          <w:snapToGrid/>
        </w:rPr>
        <w:t>社会保险所需的间接开支高；</w:t>
      </w:r>
    </w:p>
    <w:p w:rsidR="00000000" w:rsidRDefault="00000000">
      <w:pPr>
        <w:numPr>
          <w:ilvl w:val="0"/>
          <w:numId w:val="450"/>
        </w:numPr>
        <w:rPr>
          <w:snapToGrid/>
        </w:rPr>
      </w:pPr>
      <w:r>
        <w:rPr>
          <w:rFonts w:hint="eastAsia"/>
          <w:snapToGrid/>
        </w:rPr>
        <w:t>资金分配不合理，不能为弱势人口的社会保险拨发足够的款额；</w:t>
      </w:r>
    </w:p>
    <w:p w:rsidR="00000000" w:rsidRDefault="00000000">
      <w:pPr>
        <w:numPr>
          <w:ilvl w:val="0"/>
          <w:numId w:val="450"/>
        </w:numPr>
        <w:rPr>
          <w:snapToGrid/>
        </w:rPr>
      </w:pPr>
      <w:r>
        <w:rPr>
          <w:rFonts w:hint="eastAsia"/>
          <w:snapToGrid/>
        </w:rPr>
        <w:t>养恤金金额和雇员的工作贡献之间失去联系；</w:t>
      </w:r>
    </w:p>
    <w:p w:rsidR="00000000" w:rsidRDefault="00000000">
      <w:pPr>
        <w:numPr>
          <w:ilvl w:val="0"/>
          <w:numId w:val="450"/>
        </w:numPr>
        <w:rPr>
          <w:snapToGrid/>
        </w:rPr>
      </w:pPr>
      <w:r>
        <w:rPr>
          <w:rFonts w:hint="eastAsia"/>
          <w:snapToGrid/>
        </w:rPr>
        <w:t>养恤金保障法具有矛盾性；</w:t>
      </w:r>
    </w:p>
    <w:p w:rsidR="00000000" w:rsidRDefault="00000000">
      <w:pPr>
        <w:numPr>
          <w:ilvl w:val="0"/>
          <w:numId w:val="450"/>
        </w:numPr>
        <w:rPr>
          <w:rFonts w:hint="eastAsia"/>
          <w:snapToGrid/>
        </w:rPr>
      </w:pPr>
      <w:r>
        <w:rPr>
          <w:rFonts w:hint="eastAsia"/>
          <w:snapToGrid/>
        </w:rPr>
        <w:t>社会援助系统管理效率低。</w:t>
      </w:r>
    </w:p>
    <w:p w:rsidR="00000000" w:rsidRDefault="00000000">
      <w:pPr>
        <w:rPr>
          <w:rFonts w:hint="eastAsia"/>
          <w:snapToGrid/>
        </w:rPr>
      </w:pPr>
      <w:r>
        <w:rPr>
          <w:snapToGrid/>
        </w:rPr>
        <w:tab/>
      </w:r>
      <w:r>
        <w:rPr>
          <w:rFonts w:hint="eastAsia"/>
          <w:snapToGrid/>
        </w:rPr>
        <w:t>277.</w:t>
      </w:r>
      <w:r>
        <w:rPr>
          <w:snapToGrid/>
        </w:rPr>
        <w:t xml:space="preserve">  </w:t>
      </w:r>
      <w:r>
        <w:rPr>
          <w:rFonts w:hint="eastAsia"/>
          <w:snapToGrid/>
        </w:rPr>
        <w:t>经济主体不进行有系统的付款，从而对养恤金制度的财务状况造成不利影响。</w:t>
      </w:r>
      <w:r>
        <w:rPr>
          <w:rFonts w:hint="eastAsia"/>
          <w:snapToGrid/>
        </w:rPr>
        <w:t>1998</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日，经济主体欠社会基金的债款约为</w:t>
      </w:r>
      <w:r>
        <w:rPr>
          <w:rFonts w:hint="eastAsia"/>
          <w:snapToGrid/>
        </w:rPr>
        <w:t>560,000,000</w:t>
      </w:r>
      <w:r>
        <w:rPr>
          <w:rFonts w:hint="eastAsia"/>
          <w:snapToGrid/>
        </w:rPr>
        <w:t>列依，</w:t>
      </w:r>
      <w:r>
        <w:rPr>
          <w:rFonts w:hint="eastAsia"/>
          <w:snapToGrid/>
        </w:rPr>
        <w:t>2000</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日为</w:t>
      </w:r>
      <w:r>
        <w:rPr>
          <w:rFonts w:hint="eastAsia"/>
          <w:snapToGrid/>
        </w:rPr>
        <w:t>300,400,000</w:t>
      </w:r>
      <w:r>
        <w:rPr>
          <w:rFonts w:hint="eastAsia"/>
          <w:snapToGrid/>
        </w:rPr>
        <w:t>列依，</w:t>
      </w:r>
      <w:r>
        <w:rPr>
          <w:rFonts w:hint="eastAsia"/>
          <w:snapToGrid/>
        </w:rPr>
        <w:t>2001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日为</w:t>
      </w:r>
      <w:r>
        <w:rPr>
          <w:rFonts w:hint="eastAsia"/>
          <w:snapToGrid/>
        </w:rPr>
        <w:t>200,000,000</w:t>
      </w:r>
      <w:r>
        <w:rPr>
          <w:rFonts w:hint="eastAsia"/>
          <w:snapToGrid/>
        </w:rPr>
        <w:t>列依。</w:t>
      </w:r>
    </w:p>
    <w:p w:rsidR="00000000" w:rsidRDefault="00000000">
      <w:pPr>
        <w:rPr>
          <w:rFonts w:hint="eastAsia"/>
          <w:snapToGrid/>
        </w:rPr>
      </w:pPr>
      <w:r>
        <w:rPr>
          <w:snapToGrid/>
        </w:rPr>
        <w:tab/>
      </w:r>
      <w:r>
        <w:rPr>
          <w:rFonts w:hint="eastAsia"/>
          <w:snapToGrid/>
        </w:rPr>
        <w:t>278.</w:t>
      </w:r>
      <w:r>
        <w:rPr>
          <w:snapToGrid/>
        </w:rPr>
        <w:t xml:space="preserve">  </w:t>
      </w:r>
      <w:r>
        <w:rPr>
          <w:rFonts w:hint="eastAsia"/>
          <w:snapToGrid/>
        </w:rPr>
        <w:t>养恤金支付方面的延误一般约为</w:t>
      </w:r>
      <w:r>
        <w:rPr>
          <w:rFonts w:hint="eastAsia"/>
          <w:snapToGrid/>
        </w:rPr>
        <w:t>3</w:t>
      </w:r>
      <w:r>
        <w:rPr>
          <w:rFonts w:hint="eastAsia"/>
          <w:snapToGrid/>
        </w:rPr>
        <w:t>个月，受阻的金额总计</w:t>
      </w:r>
      <w:r>
        <w:rPr>
          <w:rFonts w:hint="eastAsia"/>
          <w:snapToGrid/>
        </w:rPr>
        <w:t>198,000,000</w:t>
      </w:r>
      <w:r>
        <w:rPr>
          <w:rFonts w:hint="eastAsia"/>
          <w:snapToGrid/>
        </w:rPr>
        <w:t>列依。在某些地区，延误期约达</w:t>
      </w:r>
      <w:r>
        <w:rPr>
          <w:rFonts w:hint="eastAsia"/>
          <w:snapToGrid/>
        </w:rPr>
        <w:t>4</w:t>
      </w:r>
      <w:r>
        <w:rPr>
          <w:rFonts w:hint="eastAsia"/>
          <w:snapToGrid/>
        </w:rPr>
        <w:t>个月。造成这种状况的原因是：财务系统效率低、国民经济中人员减少、逃税、社会保险的减免率高。</w:t>
      </w:r>
    </w:p>
    <w:p w:rsidR="00000000" w:rsidRDefault="00000000">
      <w:pPr>
        <w:spacing w:after="320"/>
        <w:rPr>
          <w:snapToGrid/>
        </w:rPr>
      </w:pPr>
      <w:r>
        <w:rPr>
          <w:snapToGrid/>
        </w:rPr>
        <w:tab/>
      </w:r>
      <w:r>
        <w:rPr>
          <w:rFonts w:hint="eastAsia"/>
          <w:snapToGrid/>
        </w:rPr>
        <w:t>279.</w:t>
      </w:r>
      <w:r>
        <w:rPr>
          <w:snapToGrid/>
        </w:rPr>
        <w:t xml:space="preserve">  </w:t>
      </w:r>
      <w:r>
        <w:rPr>
          <w:rFonts w:hint="eastAsia"/>
          <w:snapToGrid/>
        </w:rPr>
        <w:t>养恤金保障的总体水平降低了。在过去几年中，大量消费品和服务价格的提高速度超过了养恤金。平均养恤金和最低消费预算之间的比率由</w:t>
      </w:r>
      <w:r>
        <w:rPr>
          <w:rFonts w:hint="eastAsia"/>
          <w:snapToGrid/>
        </w:rPr>
        <w:t>1993</w:t>
      </w:r>
      <w:r>
        <w:rPr>
          <w:rFonts w:hint="eastAsia"/>
          <w:snapToGrid/>
        </w:rPr>
        <w:t>年的</w:t>
      </w:r>
      <w:r>
        <w:rPr>
          <w:rFonts w:hint="eastAsia"/>
          <w:snapToGrid/>
        </w:rPr>
        <w:t>38.2%</w:t>
      </w:r>
      <w:r>
        <w:rPr>
          <w:rFonts w:hint="eastAsia"/>
          <w:snapToGrid/>
        </w:rPr>
        <w:t>降将到</w:t>
      </w:r>
      <w:r>
        <w:rPr>
          <w:rFonts w:hint="eastAsia"/>
          <w:snapToGrid/>
        </w:rPr>
        <w:t>1997</w:t>
      </w:r>
      <w:r>
        <w:rPr>
          <w:rFonts w:hint="eastAsia"/>
          <w:snapToGrid/>
        </w:rPr>
        <w:t>年的</w:t>
      </w:r>
      <w:r>
        <w:rPr>
          <w:rFonts w:hint="eastAsia"/>
          <w:snapToGrid/>
        </w:rPr>
        <w:t>18.8%</w:t>
      </w:r>
      <w:r>
        <w:rPr>
          <w:rFonts w:hint="eastAsia"/>
          <w:snapToGrid/>
        </w:rPr>
        <w:t>，而最低养恤金和最低消费预算之间的比率从</w:t>
      </w:r>
      <w:r>
        <w:rPr>
          <w:rFonts w:hint="eastAsia"/>
          <w:snapToGrid/>
        </w:rPr>
        <w:t>1993</w:t>
      </w:r>
      <w:r>
        <w:rPr>
          <w:rFonts w:hint="eastAsia"/>
          <w:snapToGrid/>
        </w:rPr>
        <w:t>年的</w:t>
      </w:r>
      <w:r>
        <w:rPr>
          <w:rFonts w:hint="eastAsia"/>
          <w:snapToGrid/>
        </w:rPr>
        <w:t>27%</w:t>
      </w:r>
      <w:r>
        <w:rPr>
          <w:rFonts w:hint="eastAsia"/>
          <w:snapToGrid/>
        </w:rPr>
        <w:t>下降到</w:t>
      </w:r>
      <w:r>
        <w:rPr>
          <w:rFonts w:hint="eastAsia"/>
          <w:snapToGrid/>
        </w:rPr>
        <w:t>1997</w:t>
      </w:r>
      <w:r>
        <w:rPr>
          <w:rFonts w:hint="eastAsia"/>
          <w:snapToGrid/>
        </w:rPr>
        <w:t>年的</w:t>
      </w:r>
      <w:r>
        <w:rPr>
          <w:rFonts w:hint="eastAsia"/>
          <w:snapToGrid/>
        </w:rPr>
        <w:t>14.1%</w:t>
      </w:r>
      <w:r>
        <w:rPr>
          <w:rFonts w:hint="eastAsia"/>
          <w:snapToGrid/>
        </w:rPr>
        <w:t>。如果说</w:t>
      </w:r>
      <w:r>
        <w:rPr>
          <w:rFonts w:hint="eastAsia"/>
          <w:snapToGrid/>
        </w:rPr>
        <w:t>1997</w:t>
      </w:r>
      <w:r>
        <w:rPr>
          <w:rFonts w:hint="eastAsia"/>
          <w:snapToGrid/>
        </w:rPr>
        <w:t>年中最低消费预算比</w:t>
      </w:r>
      <w:r>
        <w:rPr>
          <w:rFonts w:hint="eastAsia"/>
          <w:snapToGrid/>
        </w:rPr>
        <w:t>1993</w:t>
      </w:r>
      <w:r>
        <w:rPr>
          <w:rFonts w:hint="eastAsia"/>
          <w:snapToGrid/>
        </w:rPr>
        <w:t>年增加了</w:t>
      </w:r>
      <w:r>
        <w:rPr>
          <w:rFonts w:hint="eastAsia"/>
          <w:snapToGrid/>
        </w:rPr>
        <w:t>8.9%</w:t>
      </w:r>
      <w:r>
        <w:rPr>
          <w:rFonts w:hint="eastAsia"/>
          <w:snapToGrid/>
        </w:rPr>
        <w:t>，那么同期内平均养恤金只增加了</w:t>
      </w:r>
      <w:r>
        <w:rPr>
          <w:rFonts w:hint="eastAsia"/>
          <w:snapToGrid/>
        </w:rPr>
        <w:t>4.4</w:t>
      </w:r>
      <w:r>
        <w:rPr>
          <w:rFonts w:hint="eastAsia"/>
          <w:snapToGrid/>
        </w:rPr>
        <w:t>倍，而最低养恤金只增加了</w:t>
      </w:r>
      <w:r>
        <w:rPr>
          <w:rFonts w:hint="eastAsia"/>
          <w:snapToGrid/>
        </w:rPr>
        <w:t>4.7</w:t>
      </w:r>
      <w:r>
        <w:rPr>
          <w:rFonts w:hint="eastAsia"/>
          <w:snapToGrid/>
        </w:rPr>
        <w:t>倍</w:t>
      </w:r>
      <w:r>
        <w:rPr>
          <w:rFonts w:hint="eastAsia"/>
          <w:snapToGrid/>
        </w:rPr>
        <w:t>(</w:t>
      </w:r>
      <w:r>
        <w:rPr>
          <w:rFonts w:hint="eastAsia"/>
          <w:snapToGrid/>
        </w:rPr>
        <w:t>见表</w:t>
      </w:r>
      <w:r>
        <w:rPr>
          <w:rFonts w:hint="eastAsia"/>
          <w:snapToGrid/>
        </w:rPr>
        <w:t>24)</w:t>
      </w:r>
      <w:r>
        <w:rPr>
          <w:rFonts w:hint="eastAsia"/>
          <w:snapToGrid/>
        </w:rPr>
        <w:t>。</w:t>
      </w:r>
    </w:p>
    <w:p w:rsidR="00000000" w:rsidRDefault="00000000">
      <w:pPr>
        <w:pStyle w:val="Heading3"/>
        <w:spacing w:after="160"/>
        <w:rPr>
          <w:kern w:val="0"/>
        </w:rPr>
      </w:pPr>
      <w:r>
        <w:rPr>
          <w:kern w:val="0"/>
          <w:u w:val="none"/>
        </w:rPr>
        <w:br w:type="page"/>
      </w:r>
      <w:r>
        <w:rPr>
          <w:rFonts w:hint="eastAsia"/>
          <w:kern w:val="0"/>
          <w:u w:val="none"/>
        </w:rPr>
        <w:t>表</w:t>
      </w:r>
      <w:r>
        <w:rPr>
          <w:kern w:val="0"/>
          <w:u w:val="none"/>
        </w:rPr>
        <w:t xml:space="preserve">24.  </w:t>
      </w:r>
      <w:r>
        <w:rPr>
          <w:rFonts w:hint="eastAsia"/>
          <w:kern w:val="0"/>
        </w:rPr>
        <w:t>养恤金保障情况</w:t>
      </w:r>
      <w:r>
        <w:rPr>
          <w:kern w:val="0"/>
        </w:rPr>
        <w:t>，</w:t>
      </w:r>
      <w:r>
        <w:rPr>
          <w:kern w:val="0"/>
        </w:rPr>
        <w:t>1992-2000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90"/>
        <w:gridCol w:w="1112"/>
        <w:gridCol w:w="826"/>
        <w:gridCol w:w="863"/>
        <w:gridCol w:w="717"/>
        <w:gridCol w:w="717"/>
        <w:gridCol w:w="717"/>
        <w:gridCol w:w="717"/>
        <w:gridCol w:w="717"/>
        <w:gridCol w:w="717"/>
        <w:gridCol w:w="723"/>
      </w:tblGrid>
      <w:tr w:rsidR="00000000">
        <w:tblPrEx>
          <w:tblCellMar>
            <w:top w:w="0" w:type="dxa"/>
            <w:bottom w:w="0" w:type="dxa"/>
          </w:tblCellMar>
        </w:tblPrEx>
        <w:trPr>
          <w:cantSplit/>
        </w:trPr>
        <w:tc>
          <w:tcPr>
            <w:tcW w:w="844" w:type="pct"/>
            <w:vMerge w:val="restart"/>
            <w:tcMar>
              <w:left w:w="57" w:type="dxa"/>
              <w:right w:w="57" w:type="dxa"/>
            </w:tcMar>
          </w:tcPr>
          <w:p w:rsidR="00000000" w:rsidRDefault="00000000">
            <w:pPr>
              <w:pStyle w:val="a2"/>
              <w:jc w:val="center"/>
              <w:rPr>
                <w:rFonts w:hint="eastAsia"/>
                <w:snapToGrid/>
                <w:spacing w:val="0"/>
              </w:rPr>
            </w:pPr>
            <w:r>
              <w:rPr>
                <w:rFonts w:hint="eastAsia"/>
                <w:snapToGrid/>
                <w:spacing w:val="0"/>
              </w:rPr>
              <w:t>指</w:t>
            </w:r>
            <w:r>
              <w:rPr>
                <w:snapToGrid/>
                <w:spacing w:val="0"/>
              </w:rPr>
              <w:t xml:space="preserve">  </w:t>
            </w:r>
            <w:r>
              <w:rPr>
                <w:rFonts w:hint="eastAsia"/>
                <w:snapToGrid/>
                <w:spacing w:val="0"/>
              </w:rPr>
              <w:t>数</w:t>
            </w:r>
          </w:p>
        </w:tc>
        <w:tc>
          <w:tcPr>
            <w:tcW w:w="590" w:type="pct"/>
            <w:vMerge w:val="restart"/>
          </w:tcPr>
          <w:p w:rsidR="00000000" w:rsidRDefault="00000000">
            <w:pPr>
              <w:pStyle w:val="a2"/>
              <w:jc w:val="center"/>
              <w:rPr>
                <w:rFonts w:hint="eastAsia"/>
                <w:snapToGrid/>
              </w:rPr>
            </w:pPr>
            <w:r>
              <w:rPr>
                <w:rFonts w:hint="eastAsia"/>
                <w:snapToGrid/>
              </w:rPr>
              <w:t>衡量</w:t>
            </w:r>
            <w:r>
              <w:rPr>
                <w:snapToGrid/>
              </w:rPr>
              <w:br/>
            </w:r>
            <w:r>
              <w:rPr>
                <w:rFonts w:hint="eastAsia"/>
                <w:snapToGrid/>
              </w:rPr>
              <w:t>单位</w:t>
            </w:r>
          </w:p>
        </w:tc>
        <w:tc>
          <w:tcPr>
            <w:tcW w:w="3566" w:type="pct"/>
            <w:gridSpan w:val="9"/>
          </w:tcPr>
          <w:p w:rsidR="00000000" w:rsidRDefault="00000000">
            <w:pPr>
              <w:pStyle w:val="a2"/>
              <w:jc w:val="center"/>
              <w:rPr>
                <w:rFonts w:hint="eastAsia"/>
                <w:snapToGrid/>
              </w:rPr>
            </w:pPr>
            <w:r>
              <w:rPr>
                <w:rFonts w:hint="eastAsia"/>
                <w:snapToGrid/>
              </w:rPr>
              <w:t>年</w:t>
            </w:r>
            <w:r>
              <w:rPr>
                <w:snapToGrid/>
              </w:rPr>
              <w:t xml:space="preserve">  </w:t>
            </w:r>
            <w:r>
              <w:rPr>
                <w:rFonts w:hint="eastAsia"/>
                <w:snapToGrid/>
              </w:rPr>
              <w:t>份</w:t>
            </w:r>
          </w:p>
        </w:tc>
      </w:tr>
      <w:tr w:rsidR="00000000">
        <w:tblPrEx>
          <w:tblCellMar>
            <w:top w:w="0" w:type="dxa"/>
            <w:bottom w:w="0" w:type="dxa"/>
          </w:tblCellMar>
        </w:tblPrEx>
        <w:trPr>
          <w:cantSplit/>
        </w:trPr>
        <w:tc>
          <w:tcPr>
            <w:tcW w:w="844" w:type="pct"/>
            <w:vMerge/>
            <w:tcMar>
              <w:left w:w="57" w:type="dxa"/>
              <w:right w:w="57" w:type="dxa"/>
            </w:tcMar>
          </w:tcPr>
          <w:p w:rsidR="00000000" w:rsidRDefault="00000000">
            <w:pPr>
              <w:pStyle w:val="a2"/>
              <w:jc w:val="center"/>
              <w:rPr>
                <w:snapToGrid/>
                <w:spacing w:val="0"/>
              </w:rPr>
            </w:pPr>
          </w:p>
        </w:tc>
        <w:tc>
          <w:tcPr>
            <w:tcW w:w="590" w:type="pct"/>
            <w:vMerge/>
          </w:tcPr>
          <w:p w:rsidR="00000000" w:rsidRDefault="00000000">
            <w:pPr>
              <w:pStyle w:val="a2"/>
              <w:jc w:val="center"/>
              <w:rPr>
                <w:snapToGrid/>
              </w:rPr>
            </w:pPr>
          </w:p>
        </w:tc>
        <w:tc>
          <w:tcPr>
            <w:tcW w:w="438" w:type="pct"/>
          </w:tcPr>
          <w:p w:rsidR="00000000" w:rsidRDefault="00000000">
            <w:pPr>
              <w:pStyle w:val="a2"/>
              <w:jc w:val="center"/>
              <w:rPr>
                <w:snapToGrid/>
              </w:rPr>
            </w:pPr>
            <w:r>
              <w:rPr>
                <w:snapToGrid/>
              </w:rPr>
              <w:t>1992</w:t>
            </w:r>
          </w:p>
        </w:tc>
        <w:tc>
          <w:tcPr>
            <w:tcW w:w="458" w:type="pct"/>
          </w:tcPr>
          <w:p w:rsidR="00000000" w:rsidRDefault="00000000">
            <w:pPr>
              <w:pStyle w:val="a2"/>
              <w:jc w:val="center"/>
              <w:rPr>
                <w:snapToGrid/>
              </w:rPr>
            </w:pPr>
            <w:r>
              <w:rPr>
                <w:snapToGrid/>
              </w:rPr>
              <w:t>1993</w:t>
            </w:r>
          </w:p>
        </w:tc>
        <w:tc>
          <w:tcPr>
            <w:tcW w:w="381" w:type="pct"/>
          </w:tcPr>
          <w:p w:rsidR="00000000" w:rsidRDefault="00000000">
            <w:pPr>
              <w:pStyle w:val="a2"/>
              <w:jc w:val="center"/>
              <w:rPr>
                <w:snapToGrid/>
              </w:rPr>
            </w:pPr>
            <w:r>
              <w:rPr>
                <w:snapToGrid/>
              </w:rPr>
              <w:t>1994</w:t>
            </w:r>
          </w:p>
        </w:tc>
        <w:tc>
          <w:tcPr>
            <w:tcW w:w="381" w:type="pct"/>
          </w:tcPr>
          <w:p w:rsidR="00000000" w:rsidRDefault="00000000">
            <w:pPr>
              <w:pStyle w:val="a2"/>
              <w:jc w:val="center"/>
              <w:rPr>
                <w:snapToGrid/>
              </w:rPr>
            </w:pPr>
            <w:r>
              <w:rPr>
                <w:snapToGrid/>
              </w:rPr>
              <w:t>1995</w:t>
            </w:r>
          </w:p>
        </w:tc>
        <w:tc>
          <w:tcPr>
            <w:tcW w:w="381" w:type="pct"/>
          </w:tcPr>
          <w:p w:rsidR="00000000" w:rsidRDefault="00000000">
            <w:pPr>
              <w:pStyle w:val="a2"/>
              <w:jc w:val="center"/>
              <w:rPr>
                <w:snapToGrid/>
              </w:rPr>
            </w:pPr>
            <w:r>
              <w:rPr>
                <w:snapToGrid/>
              </w:rPr>
              <w:t>1996</w:t>
            </w:r>
          </w:p>
        </w:tc>
        <w:tc>
          <w:tcPr>
            <w:tcW w:w="381" w:type="pct"/>
          </w:tcPr>
          <w:p w:rsidR="00000000" w:rsidRDefault="00000000">
            <w:pPr>
              <w:pStyle w:val="a2"/>
              <w:jc w:val="center"/>
              <w:rPr>
                <w:snapToGrid/>
              </w:rPr>
            </w:pPr>
            <w:r>
              <w:rPr>
                <w:snapToGrid/>
              </w:rPr>
              <w:t>1997</w:t>
            </w:r>
          </w:p>
        </w:tc>
        <w:tc>
          <w:tcPr>
            <w:tcW w:w="381" w:type="pct"/>
          </w:tcPr>
          <w:p w:rsidR="00000000" w:rsidRDefault="00000000">
            <w:pPr>
              <w:pStyle w:val="a2"/>
              <w:jc w:val="center"/>
              <w:rPr>
                <w:snapToGrid/>
              </w:rPr>
            </w:pPr>
            <w:r>
              <w:rPr>
                <w:snapToGrid/>
              </w:rPr>
              <w:t>1998</w:t>
            </w:r>
          </w:p>
        </w:tc>
        <w:tc>
          <w:tcPr>
            <w:tcW w:w="381" w:type="pct"/>
          </w:tcPr>
          <w:p w:rsidR="00000000" w:rsidRDefault="00000000">
            <w:pPr>
              <w:pStyle w:val="a2"/>
              <w:jc w:val="center"/>
              <w:rPr>
                <w:snapToGrid/>
              </w:rPr>
            </w:pPr>
            <w:r>
              <w:rPr>
                <w:snapToGrid/>
              </w:rPr>
              <w:t>1999</w:t>
            </w:r>
          </w:p>
        </w:tc>
        <w:tc>
          <w:tcPr>
            <w:tcW w:w="383" w:type="pct"/>
          </w:tcPr>
          <w:p w:rsidR="00000000" w:rsidRDefault="00000000">
            <w:pPr>
              <w:pStyle w:val="a2"/>
              <w:jc w:val="center"/>
              <w:rPr>
                <w:snapToGrid/>
              </w:rPr>
            </w:pPr>
            <w:r>
              <w:rPr>
                <w:snapToGrid/>
              </w:rPr>
              <w:t>2000</w:t>
            </w:r>
          </w:p>
        </w:tc>
      </w:tr>
      <w:tr w:rsidR="00000000">
        <w:tblPrEx>
          <w:tblCellMar>
            <w:top w:w="0" w:type="dxa"/>
            <w:bottom w:w="0" w:type="dxa"/>
          </w:tblCellMar>
        </w:tblPrEx>
        <w:tc>
          <w:tcPr>
            <w:tcW w:w="844" w:type="pct"/>
            <w:tcBorders>
              <w:bottom w:val="single" w:sz="4" w:space="0" w:color="auto"/>
            </w:tcBorders>
            <w:tcMar>
              <w:left w:w="57" w:type="dxa"/>
              <w:right w:w="57" w:type="dxa"/>
            </w:tcMar>
          </w:tcPr>
          <w:p w:rsidR="00000000" w:rsidRDefault="00000000">
            <w:pPr>
              <w:pStyle w:val="a2"/>
              <w:jc w:val="center"/>
              <w:rPr>
                <w:snapToGrid/>
                <w:spacing w:val="0"/>
              </w:rPr>
            </w:pPr>
            <w:r>
              <w:rPr>
                <w:snapToGrid/>
                <w:spacing w:val="0"/>
              </w:rPr>
              <w:t>1</w:t>
            </w:r>
          </w:p>
        </w:tc>
        <w:tc>
          <w:tcPr>
            <w:tcW w:w="590" w:type="pct"/>
            <w:tcBorders>
              <w:bottom w:val="single" w:sz="4" w:space="0" w:color="auto"/>
            </w:tcBorders>
          </w:tcPr>
          <w:p w:rsidR="00000000" w:rsidRDefault="00000000">
            <w:pPr>
              <w:pStyle w:val="a2"/>
              <w:jc w:val="center"/>
              <w:rPr>
                <w:snapToGrid/>
              </w:rPr>
            </w:pPr>
            <w:r>
              <w:rPr>
                <w:snapToGrid/>
              </w:rPr>
              <w:t>2</w:t>
            </w:r>
          </w:p>
        </w:tc>
        <w:tc>
          <w:tcPr>
            <w:tcW w:w="438" w:type="pct"/>
            <w:tcBorders>
              <w:bottom w:val="single" w:sz="4" w:space="0" w:color="auto"/>
            </w:tcBorders>
          </w:tcPr>
          <w:p w:rsidR="00000000" w:rsidRDefault="00000000">
            <w:pPr>
              <w:pStyle w:val="a2"/>
              <w:jc w:val="center"/>
              <w:rPr>
                <w:snapToGrid/>
              </w:rPr>
            </w:pPr>
            <w:r>
              <w:rPr>
                <w:snapToGrid/>
              </w:rPr>
              <w:t>3</w:t>
            </w:r>
          </w:p>
        </w:tc>
        <w:tc>
          <w:tcPr>
            <w:tcW w:w="458" w:type="pct"/>
            <w:tcBorders>
              <w:bottom w:val="single" w:sz="4" w:space="0" w:color="auto"/>
            </w:tcBorders>
          </w:tcPr>
          <w:p w:rsidR="00000000" w:rsidRDefault="00000000">
            <w:pPr>
              <w:pStyle w:val="a2"/>
              <w:jc w:val="center"/>
              <w:rPr>
                <w:snapToGrid/>
              </w:rPr>
            </w:pPr>
            <w:r>
              <w:rPr>
                <w:snapToGrid/>
              </w:rPr>
              <w:t>4</w:t>
            </w:r>
          </w:p>
        </w:tc>
        <w:tc>
          <w:tcPr>
            <w:tcW w:w="381" w:type="pct"/>
            <w:tcBorders>
              <w:bottom w:val="single" w:sz="4" w:space="0" w:color="auto"/>
            </w:tcBorders>
          </w:tcPr>
          <w:p w:rsidR="00000000" w:rsidRDefault="00000000">
            <w:pPr>
              <w:pStyle w:val="a2"/>
              <w:jc w:val="center"/>
              <w:rPr>
                <w:snapToGrid/>
              </w:rPr>
            </w:pPr>
            <w:r>
              <w:rPr>
                <w:snapToGrid/>
              </w:rPr>
              <w:t>5</w:t>
            </w:r>
          </w:p>
        </w:tc>
        <w:tc>
          <w:tcPr>
            <w:tcW w:w="381" w:type="pct"/>
            <w:tcBorders>
              <w:bottom w:val="single" w:sz="4" w:space="0" w:color="auto"/>
            </w:tcBorders>
          </w:tcPr>
          <w:p w:rsidR="00000000" w:rsidRDefault="00000000">
            <w:pPr>
              <w:pStyle w:val="a2"/>
              <w:jc w:val="center"/>
              <w:rPr>
                <w:snapToGrid/>
              </w:rPr>
            </w:pPr>
            <w:r>
              <w:rPr>
                <w:snapToGrid/>
              </w:rPr>
              <w:t>6</w:t>
            </w:r>
          </w:p>
        </w:tc>
        <w:tc>
          <w:tcPr>
            <w:tcW w:w="381" w:type="pct"/>
            <w:tcBorders>
              <w:bottom w:val="single" w:sz="4" w:space="0" w:color="auto"/>
            </w:tcBorders>
          </w:tcPr>
          <w:p w:rsidR="00000000" w:rsidRDefault="00000000">
            <w:pPr>
              <w:pStyle w:val="a2"/>
              <w:jc w:val="center"/>
              <w:rPr>
                <w:snapToGrid/>
              </w:rPr>
            </w:pPr>
            <w:r>
              <w:rPr>
                <w:snapToGrid/>
              </w:rPr>
              <w:t>7</w:t>
            </w:r>
          </w:p>
        </w:tc>
        <w:tc>
          <w:tcPr>
            <w:tcW w:w="381" w:type="pct"/>
            <w:tcBorders>
              <w:bottom w:val="single" w:sz="4" w:space="0" w:color="auto"/>
            </w:tcBorders>
          </w:tcPr>
          <w:p w:rsidR="00000000" w:rsidRDefault="00000000">
            <w:pPr>
              <w:pStyle w:val="a2"/>
              <w:jc w:val="center"/>
              <w:rPr>
                <w:snapToGrid/>
              </w:rPr>
            </w:pPr>
            <w:r>
              <w:rPr>
                <w:snapToGrid/>
              </w:rPr>
              <w:t>8</w:t>
            </w:r>
          </w:p>
        </w:tc>
        <w:tc>
          <w:tcPr>
            <w:tcW w:w="381" w:type="pct"/>
            <w:tcBorders>
              <w:bottom w:val="single" w:sz="4" w:space="0" w:color="auto"/>
            </w:tcBorders>
          </w:tcPr>
          <w:p w:rsidR="00000000" w:rsidRDefault="00000000">
            <w:pPr>
              <w:pStyle w:val="a2"/>
              <w:jc w:val="center"/>
              <w:rPr>
                <w:snapToGrid/>
              </w:rPr>
            </w:pPr>
            <w:r>
              <w:rPr>
                <w:snapToGrid/>
              </w:rPr>
              <w:t>9</w:t>
            </w:r>
          </w:p>
        </w:tc>
        <w:tc>
          <w:tcPr>
            <w:tcW w:w="381" w:type="pct"/>
            <w:tcBorders>
              <w:bottom w:val="single" w:sz="4" w:space="0" w:color="auto"/>
            </w:tcBorders>
          </w:tcPr>
          <w:p w:rsidR="00000000" w:rsidRDefault="00000000">
            <w:pPr>
              <w:pStyle w:val="a2"/>
              <w:jc w:val="center"/>
              <w:rPr>
                <w:snapToGrid/>
              </w:rPr>
            </w:pPr>
            <w:r>
              <w:rPr>
                <w:snapToGrid/>
              </w:rPr>
              <w:t>10</w:t>
            </w:r>
          </w:p>
        </w:tc>
        <w:tc>
          <w:tcPr>
            <w:tcW w:w="383" w:type="pct"/>
            <w:tcBorders>
              <w:bottom w:val="single" w:sz="4" w:space="0" w:color="auto"/>
            </w:tcBorders>
          </w:tcPr>
          <w:p w:rsidR="00000000" w:rsidRDefault="00000000">
            <w:pPr>
              <w:pStyle w:val="a2"/>
              <w:jc w:val="center"/>
              <w:rPr>
                <w:snapToGrid/>
              </w:rPr>
            </w:pPr>
            <w:r>
              <w:rPr>
                <w:snapToGrid/>
              </w:rPr>
              <w:t>11</w:t>
            </w:r>
          </w:p>
        </w:tc>
      </w:tr>
      <w:tr w:rsidR="00000000">
        <w:tblPrEx>
          <w:tblCellMar>
            <w:top w:w="0" w:type="dxa"/>
            <w:bottom w:w="0" w:type="dxa"/>
          </w:tblCellMar>
        </w:tblPrEx>
        <w:tc>
          <w:tcPr>
            <w:tcW w:w="844" w:type="pct"/>
            <w:tcBorders>
              <w:bottom w:val="nil"/>
            </w:tcBorders>
            <w:tcMar>
              <w:left w:w="57" w:type="dxa"/>
              <w:right w:w="57" w:type="dxa"/>
            </w:tcMar>
          </w:tcPr>
          <w:p w:rsidR="00000000" w:rsidRDefault="00000000">
            <w:pPr>
              <w:pStyle w:val="a2"/>
              <w:rPr>
                <w:snapToGrid/>
                <w:spacing w:val="0"/>
              </w:rPr>
            </w:pPr>
            <w:r>
              <w:rPr>
                <w:rFonts w:hint="eastAsia"/>
                <w:snapToGrid/>
                <w:spacing w:val="0"/>
              </w:rPr>
              <w:t>人口数目</w:t>
            </w:r>
            <w:r>
              <w:rPr>
                <w:snapToGrid/>
                <w:spacing w:val="0"/>
              </w:rPr>
              <w:t>*(</w:t>
            </w:r>
            <w:r>
              <w:rPr>
                <w:rFonts w:hint="eastAsia"/>
                <w:snapToGrid/>
                <w:spacing w:val="0"/>
              </w:rPr>
              <w:t>年底</w:t>
            </w:r>
            <w:r>
              <w:rPr>
                <w:snapToGrid/>
                <w:spacing w:val="0"/>
              </w:rPr>
              <w:t>)</w:t>
            </w:r>
          </w:p>
        </w:tc>
        <w:tc>
          <w:tcPr>
            <w:tcW w:w="590" w:type="pct"/>
            <w:tcBorders>
              <w:bottom w:val="nil"/>
            </w:tcBorders>
          </w:tcPr>
          <w:p w:rsidR="00000000" w:rsidRDefault="00000000">
            <w:pPr>
              <w:pStyle w:val="a2"/>
              <w:jc w:val="center"/>
              <w:rPr>
                <w:rFonts w:hint="eastAsia"/>
                <w:snapToGrid/>
              </w:rPr>
            </w:pPr>
            <w:r>
              <w:rPr>
                <w:rFonts w:hint="eastAsia"/>
                <w:snapToGrid/>
              </w:rPr>
              <w:t>千人</w:t>
            </w:r>
          </w:p>
        </w:tc>
        <w:tc>
          <w:tcPr>
            <w:tcW w:w="438" w:type="pct"/>
            <w:tcBorders>
              <w:bottom w:val="nil"/>
            </w:tcBorders>
          </w:tcPr>
          <w:p w:rsidR="00000000" w:rsidRDefault="00000000">
            <w:pPr>
              <w:pStyle w:val="a2"/>
              <w:jc w:val="center"/>
              <w:rPr>
                <w:snapToGrid/>
              </w:rPr>
            </w:pPr>
            <w:r>
              <w:rPr>
                <w:snapToGrid/>
              </w:rPr>
              <w:t>4 347.8</w:t>
            </w:r>
          </w:p>
        </w:tc>
        <w:tc>
          <w:tcPr>
            <w:tcW w:w="458" w:type="pct"/>
            <w:tcBorders>
              <w:bottom w:val="nil"/>
            </w:tcBorders>
          </w:tcPr>
          <w:p w:rsidR="00000000" w:rsidRDefault="00000000">
            <w:pPr>
              <w:pStyle w:val="a2"/>
              <w:jc w:val="center"/>
              <w:rPr>
                <w:snapToGrid/>
              </w:rPr>
            </w:pPr>
            <w:r>
              <w:rPr>
                <w:snapToGrid/>
              </w:rPr>
              <w:t>4 352.7</w:t>
            </w:r>
          </w:p>
        </w:tc>
        <w:tc>
          <w:tcPr>
            <w:tcW w:w="381" w:type="pct"/>
            <w:tcBorders>
              <w:bottom w:val="nil"/>
            </w:tcBorders>
          </w:tcPr>
          <w:p w:rsidR="00000000" w:rsidRDefault="00000000">
            <w:pPr>
              <w:pStyle w:val="a2"/>
              <w:jc w:val="center"/>
              <w:rPr>
                <w:snapToGrid/>
              </w:rPr>
            </w:pPr>
            <w:r>
              <w:rPr>
                <w:snapToGrid/>
              </w:rPr>
              <w:t>4 347.9</w:t>
            </w:r>
          </w:p>
        </w:tc>
        <w:tc>
          <w:tcPr>
            <w:tcW w:w="381" w:type="pct"/>
            <w:tcBorders>
              <w:bottom w:val="nil"/>
            </w:tcBorders>
          </w:tcPr>
          <w:p w:rsidR="00000000" w:rsidRDefault="00000000">
            <w:pPr>
              <w:pStyle w:val="a2"/>
              <w:jc w:val="center"/>
              <w:rPr>
                <w:snapToGrid/>
              </w:rPr>
            </w:pPr>
            <w:r>
              <w:rPr>
                <w:snapToGrid/>
              </w:rPr>
              <w:t>4 334.4</w:t>
            </w:r>
          </w:p>
        </w:tc>
        <w:tc>
          <w:tcPr>
            <w:tcW w:w="381" w:type="pct"/>
            <w:tcBorders>
              <w:bottom w:val="nil"/>
            </w:tcBorders>
          </w:tcPr>
          <w:p w:rsidR="00000000" w:rsidRDefault="00000000">
            <w:pPr>
              <w:pStyle w:val="a2"/>
              <w:jc w:val="center"/>
              <w:rPr>
                <w:snapToGrid/>
              </w:rPr>
            </w:pPr>
            <w:r>
              <w:rPr>
                <w:snapToGrid/>
              </w:rPr>
              <w:t>4 320.0</w:t>
            </w:r>
          </w:p>
        </w:tc>
        <w:tc>
          <w:tcPr>
            <w:tcW w:w="381" w:type="pct"/>
            <w:tcBorders>
              <w:bottom w:val="nil"/>
            </w:tcBorders>
          </w:tcPr>
          <w:p w:rsidR="00000000" w:rsidRDefault="00000000">
            <w:pPr>
              <w:pStyle w:val="a2"/>
              <w:jc w:val="center"/>
              <w:rPr>
                <w:snapToGrid/>
              </w:rPr>
            </w:pPr>
            <w:r>
              <w:rPr>
                <w:snapToGrid/>
              </w:rPr>
              <w:t>4 304.7</w:t>
            </w:r>
          </w:p>
        </w:tc>
        <w:tc>
          <w:tcPr>
            <w:tcW w:w="381" w:type="pct"/>
            <w:tcBorders>
              <w:bottom w:val="nil"/>
            </w:tcBorders>
          </w:tcPr>
          <w:p w:rsidR="00000000" w:rsidRDefault="00000000">
            <w:pPr>
              <w:pStyle w:val="a2"/>
              <w:jc w:val="center"/>
              <w:rPr>
                <w:snapToGrid/>
              </w:rPr>
            </w:pPr>
            <w:r>
              <w:rPr>
                <w:snapToGrid/>
              </w:rPr>
              <w:t>4 293.0</w:t>
            </w:r>
          </w:p>
        </w:tc>
        <w:tc>
          <w:tcPr>
            <w:tcW w:w="381" w:type="pct"/>
            <w:tcBorders>
              <w:bottom w:val="nil"/>
            </w:tcBorders>
          </w:tcPr>
          <w:p w:rsidR="00000000" w:rsidRDefault="00000000">
            <w:pPr>
              <w:pStyle w:val="a2"/>
              <w:jc w:val="center"/>
              <w:rPr>
                <w:snapToGrid/>
              </w:rPr>
            </w:pPr>
            <w:r>
              <w:rPr>
                <w:snapToGrid/>
              </w:rPr>
              <w:t>4 281.5</w:t>
            </w:r>
          </w:p>
        </w:tc>
        <w:tc>
          <w:tcPr>
            <w:tcW w:w="383" w:type="pct"/>
            <w:tcBorders>
              <w:bottom w:val="nil"/>
            </w:tcBorders>
          </w:tcPr>
          <w:p w:rsidR="00000000" w:rsidRDefault="00000000">
            <w:pPr>
              <w:pStyle w:val="a2"/>
              <w:jc w:val="center"/>
              <w:rPr>
                <w:snapToGrid/>
              </w:rPr>
            </w:pPr>
            <w:r>
              <w:rPr>
                <w:snapToGrid/>
              </w:rPr>
              <w:t>4 264.3</w:t>
            </w: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rFonts w:hint="eastAsia"/>
                <w:snapToGrid/>
                <w:spacing w:val="0"/>
              </w:rPr>
            </w:pPr>
            <w:r>
              <w:rPr>
                <w:rFonts w:hint="eastAsia"/>
                <w:snapToGrid/>
                <w:spacing w:val="0"/>
              </w:rPr>
              <w:t>参与经济活动的人</w:t>
            </w:r>
            <w:r>
              <w:rPr>
                <w:snapToGrid/>
                <w:spacing w:val="0"/>
              </w:rPr>
              <w:t xml:space="preserve"> </w:t>
            </w:r>
            <w:r>
              <w:rPr>
                <w:rFonts w:hint="eastAsia"/>
                <w:snapToGrid/>
                <w:spacing w:val="0"/>
              </w:rPr>
              <w:t>*</w:t>
            </w:r>
          </w:p>
        </w:tc>
        <w:tc>
          <w:tcPr>
            <w:tcW w:w="590" w:type="pct"/>
            <w:tcBorders>
              <w:top w:val="nil"/>
              <w:bottom w:val="nil"/>
            </w:tcBorders>
          </w:tcPr>
          <w:p w:rsidR="00000000" w:rsidRDefault="00000000">
            <w:pPr>
              <w:pStyle w:val="a2"/>
              <w:jc w:val="center"/>
              <w:rPr>
                <w:rFonts w:hint="eastAsia"/>
                <w:snapToGrid/>
              </w:rPr>
            </w:pPr>
            <w:r>
              <w:rPr>
                <w:rFonts w:hint="eastAsia"/>
                <w:snapToGrid/>
              </w:rPr>
              <w:t>千人</w:t>
            </w:r>
          </w:p>
        </w:tc>
        <w:tc>
          <w:tcPr>
            <w:tcW w:w="438" w:type="pct"/>
            <w:tcBorders>
              <w:top w:val="nil"/>
              <w:bottom w:val="nil"/>
            </w:tcBorders>
          </w:tcPr>
          <w:p w:rsidR="00000000" w:rsidRDefault="00000000">
            <w:pPr>
              <w:pStyle w:val="a2"/>
              <w:jc w:val="center"/>
              <w:rPr>
                <w:snapToGrid/>
              </w:rPr>
            </w:pPr>
            <w:r>
              <w:rPr>
                <w:snapToGrid/>
              </w:rPr>
              <w:t>2 050.0</w:t>
            </w:r>
          </w:p>
        </w:tc>
        <w:tc>
          <w:tcPr>
            <w:tcW w:w="458" w:type="pct"/>
            <w:tcBorders>
              <w:top w:val="nil"/>
              <w:bottom w:val="nil"/>
            </w:tcBorders>
          </w:tcPr>
          <w:p w:rsidR="00000000" w:rsidRDefault="00000000">
            <w:pPr>
              <w:pStyle w:val="a2"/>
              <w:jc w:val="center"/>
              <w:rPr>
                <w:snapToGrid/>
              </w:rPr>
            </w:pPr>
            <w:r>
              <w:rPr>
                <w:snapToGrid/>
              </w:rPr>
              <w:t>1 688.0</w:t>
            </w:r>
          </w:p>
        </w:tc>
        <w:tc>
          <w:tcPr>
            <w:tcW w:w="381" w:type="pct"/>
            <w:tcBorders>
              <w:top w:val="nil"/>
              <w:bottom w:val="nil"/>
            </w:tcBorders>
          </w:tcPr>
          <w:p w:rsidR="00000000" w:rsidRDefault="00000000">
            <w:pPr>
              <w:pStyle w:val="a2"/>
              <w:jc w:val="center"/>
              <w:rPr>
                <w:snapToGrid/>
              </w:rPr>
            </w:pPr>
            <w:r>
              <w:rPr>
                <w:snapToGrid/>
              </w:rPr>
              <w:t>1 681.0</w:t>
            </w:r>
          </w:p>
        </w:tc>
        <w:tc>
          <w:tcPr>
            <w:tcW w:w="381" w:type="pct"/>
            <w:tcBorders>
              <w:top w:val="nil"/>
              <w:bottom w:val="nil"/>
            </w:tcBorders>
          </w:tcPr>
          <w:p w:rsidR="00000000" w:rsidRDefault="00000000">
            <w:pPr>
              <w:pStyle w:val="a2"/>
              <w:jc w:val="center"/>
              <w:rPr>
                <w:snapToGrid/>
              </w:rPr>
            </w:pPr>
            <w:r>
              <w:rPr>
                <w:snapToGrid/>
              </w:rPr>
              <w:t>1 673.0</w:t>
            </w:r>
          </w:p>
        </w:tc>
        <w:tc>
          <w:tcPr>
            <w:tcW w:w="381" w:type="pct"/>
            <w:tcBorders>
              <w:top w:val="nil"/>
              <w:bottom w:val="nil"/>
            </w:tcBorders>
          </w:tcPr>
          <w:p w:rsidR="00000000" w:rsidRDefault="00000000">
            <w:pPr>
              <w:pStyle w:val="a2"/>
              <w:jc w:val="center"/>
              <w:rPr>
                <w:snapToGrid/>
              </w:rPr>
            </w:pPr>
            <w:r>
              <w:rPr>
                <w:snapToGrid/>
              </w:rPr>
              <w:t>1 660.0</w:t>
            </w:r>
          </w:p>
        </w:tc>
        <w:tc>
          <w:tcPr>
            <w:tcW w:w="381" w:type="pct"/>
            <w:tcBorders>
              <w:top w:val="nil"/>
              <w:bottom w:val="nil"/>
            </w:tcBorders>
          </w:tcPr>
          <w:p w:rsidR="00000000" w:rsidRDefault="00000000">
            <w:pPr>
              <w:pStyle w:val="a2"/>
              <w:jc w:val="center"/>
              <w:rPr>
                <w:snapToGrid/>
              </w:rPr>
            </w:pPr>
            <w:r>
              <w:rPr>
                <w:snapToGrid/>
              </w:rPr>
              <w:t>1 646.0</w:t>
            </w:r>
          </w:p>
        </w:tc>
        <w:tc>
          <w:tcPr>
            <w:tcW w:w="381" w:type="pct"/>
            <w:tcBorders>
              <w:top w:val="nil"/>
              <w:bottom w:val="nil"/>
            </w:tcBorders>
          </w:tcPr>
          <w:p w:rsidR="00000000" w:rsidRDefault="00000000">
            <w:pPr>
              <w:pStyle w:val="a2"/>
              <w:jc w:val="center"/>
              <w:rPr>
                <w:snapToGrid/>
              </w:rPr>
            </w:pPr>
            <w:r>
              <w:rPr>
                <w:snapToGrid/>
              </w:rPr>
              <w:t>1 642</w:t>
            </w:r>
          </w:p>
        </w:tc>
        <w:tc>
          <w:tcPr>
            <w:tcW w:w="381" w:type="pct"/>
            <w:tcBorders>
              <w:top w:val="nil"/>
              <w:bottom w:val="nil"/>
            </w:tcBorders>
          </w:tcPr>
          <w:p w:rsidR="00000000" w:rsidRDefault="00000000">
            <w:pPr>
              <w:pStyle w:val="a2"/>
              <w:jc w:val="center"/>
              <w:rPr>
                <w:snapToGrid/>
              </w:rPr>
            </w:pPr>
            <w:r>
              <w:rPr>
                <w:snapToGrid/>
              </w:rPr>
              <w:t>1 495</w:t>
            </w:r>
          </w:p>
        </w:tc>
        <w:tc>
          <w:tcPr>
            <w:tcW w:w="383" w:type="pct"/>
            <w:tcBorders>
              <w:top w:val="nil"/>
              <w:bottom w:val="nil"/>
            </w:tcBorders>
          </w:tcPr>
          <w:p w:rsidR="00000000" w:rsidRDefault="00000000">
            <w:pPr>
              <w:pStyle w:val="a2"/>
              <w:jc w:val="center"/>
              <w:rPr>
                <w:snapToGrid/>
              </w:rPr>
            </w:pPr>
            <w:r>
              <w:rPr>
                <w:snapToGrid/>
              </w:rPr>
              <w:t>1 515</w:t>
            </w: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rFonts w:hint="eastAsia"/>
                <w:snapToGrid/>
                <w:spacing w:val="0"/>
              </w:rPr>
            </w:pPr>
            <w:r>
              <w:rPr>
                <w:rFonts w:hint="eastAsia"/>
                <w:snapToGrid/>
                <w:spacing w:val="0"/>
              </w:rPr>
              <w:t>领取养恤金和赔偿金的人</w:t>
            </w:r>
          </w:p>
        </w:tc>
        <w:tc>
          <w:tcPr>
            <w:tcW w:w="590" w:type="pct"/>
            <w:tcBorders>
              <w:top w:val="nil"/>
              <w:bottom w:val="nil"/>
            </w:tcBorders>
          </w:tcPr>
          <w:p w:rsidR="00000000" w:rsidRDefault="00000000">
            <w:pPr>
              <w:pStyle w:val="a2"/>
              <w:jc w:val="center"/>
              <w:rPr>
                <w:rFonts w:hint="eastAsia"/>
                <w:snapToGrid/>
              </w:rPr>
            </w:pPr>
            <w:r>
              <w:rPr>
                <w:rFonts w:hint="eastAsia"/>
                <w:snapToGrid/>
              </w:rPr>
              <w:t>千人</w:t>
            </w:r>
          </w:p>
        </w:tc>
        <w:tc>
          <w:tcPr>
            <w:tcW w:w="438" w:type="pct"/>
            <w:tcBorders>
              <w:top w:val="nil"/>
              <w:bottom w:val="nil"/>
            </w:tcBorders>
          </w:tcPr>
          <w:p w:rsidR="00000000" w:rsidRDefault="00000000">
            <w:pPr>
              <w:pStyle w:val="a2"/>
              <w:jc w:val="center"/>
              <w:rPr>
                <w:snapToGrid/>
              </w:rPr>
            </w:pPr>
            <w:r>
              <w:rPr>
                <w:snapToGrid/>
              </w:rPr>
              <w:t>727.4</w:t>
            </w:r>
          </w:p>
        </w:tc>
        <w:tc>
          <w:tcPr>
            <w:tcW w:w="458" w:type="pct"/>
            <w:tcBorders>
              <w:top w:val="nil"/>
              <w:bottom w:val="nil"/>
            </w:tcBorders>
          </w:tcPr>
          <w:p w:rsidR="00000000" w:rsidRDefault="00000000">
            <w:pPr>
              <w:pStyle w:val="a2"/>
              <w:jc w:val="center"/>
              <w:rPr>
                <w:snapToGrid/>
              </w:rPr>
            </w:pPr>
            <w:r>
              <w:rPr>
                <w:snapToGrid/>
              </w:rPr>
              <w:t>743.6</w:t>
            </w:r>
          </w:p>
        </w:tc>
        <w:tc>
          <w:tcPr>
            <w:tcW w:w="381" w:type="pct"/>
            <w:tcBorders>
              <w:top w:val="nil"/>
              <w:bottom w:val="nil"/>
            </w:tcBorders>
          </w:tcPr>
          <w:p w:rsidR="00000000" w:rsidRDefault="00000000">
            <w:pPr>
              <w:pStyle w:val="a2"/>
              <w:jc w:val="center"/>
              <w:rPr>
                <w:snapToGrid/>
              </w:rPr>
            </w:pPr>
            <w:r>
              <w:rPr>
                <w:snapToGrid/>
              </w:rPr>
              <w:t>746.7</w:t>
            </w:r>
          </w:p>
        </w:tc>
        <w:tc>
          <w:tcPr>
            <w:tcW w:w="381" w:type="pct"/>
            <w:tcBorders>
              <w:top w:val="nil"/>
              <w:bottom w:val="nil"/>
            </w:tcBorders>
          </w:tcPr>
          <w:p w:rsidR="00000000" w:rsidRDefault="00000000">
            <w:pPr>
              <w:pStyle w:val="a2"/>
              <w:jc w:val="center"/>
              <w:rPr>
                <w:snapToGrid/>
              </w:rPr>
            </w:pPr>
            <w:r>
              <w:rPr>
                <w:snapToGrid/>
              </w:rPr>
              <w:t>750.6</w:t>
            </w:r>
          </w:p>
        </w:tc>
        <w:tc>
          <w:tcPr>
            <w:tcW w:w="381" w:type="pct"/>
            <w:tcBorders>
              <w:top w:val="nil"/>
              <w:bottom w:val="nil"/>
            </w:tcBorders>
          </w:tcPr>
          <w:p w:rsidR="00000000" w:rsidRDefault="00000000">
            <w:pPr>
              <w:pStyle w:val="a2"/>
              <w:jc w:val="center"/>
              <w:rPr>
                <w:snapToGrid/>
              </w:rPr>
            </w:pPr>
            <w:r>
              <w:rPr>
                <w:snapToGrid/>
              </w:rPr>
              <w:t>754.7</w:t>
            </w:r>
          </w:p>
        </w:tc>
        <w:tc>
          <w:tcPr>
            <w:tcW w:w="381" w:type="pct"/>
            <w:tcBorders>
              <w:top w:val="nil"/>
              <w:bottom w:val="nil"/>
            </w:tcBorders>
          </w:tcPr>
          <w:p w:rsidR="00000000" w:rsidRDefault="00000000">
            <w:pPr>
              <w:pStyle w:val="a2"/>
              <w:jc w:val="center"/>
              <w:rPr>
                <w:snapToGrid/>
              </w:rPr>
            </w:pPr>
            <w:r>
              <w:rPr>
                <w:snapToGrid/>
              </w:rPr>
              <w:t>757.0</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rFonts w:hint="eastAsia"/>
                <w:snapToGrid/>
                <w:spacing w:val="0"/>
              </w:rPr>
            </w:pPr>
            <w:r>
              <w:rPr>
                <w:rFonts w:hint="eastAsia"/>
                <w:snapToGrid/>
                <w:spacing w:val="0"/>
              </w:rPr>
              <w:t>领取补贴的人</w:t>
            </w:r>
          </w:p>
        </w:tc>
        <w:tc>
          <w:tcPr>
            <w:tcW w:w="590" w:type="pct"/>
            <w:tcBorders>
              <w:top w:val="nil"/>
              <w:bottom w:val="nil"/>
            </w:tcBorders>
          </w:tcPr>
          <w:p w:rsidR="00000000" w:rsidRDefault="00000000">
            <w:pPr>
              <w:pStyle w:val="a2"/>
              <w:jc w:val="center"/>
              <w:rPr>
                <w:snapToGrid/>
              </w:rPr>
            </w:pPr>
            <w:r>
              <w:rPr>
                <w:rFonts w:hint="eastAsia"/>
                <w:snapToGrid/>
              </w:rPr>
              <w:t>千人</w:t>
            </w:r>
          </w:p>
        </w:tc>
        <w:tc>
          <w:tcPr>
            <w:tcW w:w="438" w:type="pct"/>
            <w:tcBorders>
              <w:top w:val="nil"/>
              <w:bottom w:val="nil"/>
            </w:tcBorders>
          </w:tcPr>
          <w:p w:rsidR="00000000" w:rsidRDefault="00000000">
            <w:pPr>
              <w:pStyle w:val="a2"/>
              <w:jc w:val="center"/>
              <w:rPr>
                <w:snapToGrid/>
              </w:rPr>
            </w:pPr>
            <w:r>
              <w:rPr>
                <w:snapToGrid/>
              </w:rPr>
              <w:t>551.4</w:t>
            </w:r>
          </w:p>
        </w:tc>
        <w:tc>
          <w:tcPr>
            <w:tcW w:w="458" w:type="pct"/>
            <w:tcBorders>
              <w:top w:val="nil"/>
              <w:bottom w:val="nil"/>
            </w:tcBorders>
          </w:tcPr>
          <w:p w:rsidR="00000000" w:rsidRDefault="00000000">
            <w:pPr>
              <w:pStyle w:val="a2"/>
              <w:jc w:val="center"/>
              <w:rPr>
                <w:snapToGrid/>
              </w:rPr>
            </w:pPr>
            <w:r>
              <w:rPr>
                <w:snapToGrid/>
              </w:rPr>
              <w:t>562.3</w:t>
            </w:r>
          </w:p>
        </w:tc>
        <w:tc>
          <w:tcPr>
            <w:tcW w:w="381" w:type="pct"/>
            <w:tcBorders>
              <w:top w:val="nil"/>
              <w:bottom w:val="nil"/>
            </w:tcBorders>
          </w:tcPr>
          <w:p w:rsidR="00000000" w:rsidRDefault="00000000">
            <w:pPr>
              <w:pStyle w:val="a2"/>
              <w:jc w:val="center"/>
              <w:rPr>
                <w:snapToGrid/>
              </w:rPr>
            </w:pPr>
            <w:r>
              <w:rPr>
                <w:snapToGrid/>
              </w:rPr>
              <w:t>564.0</w:t>
            </w:r>
          </w:p>
        </w:tc>
        <w:tc>
          <w:tcPr>
            <w:tcW w:w="381" w:type="pct"/>
            <w:tcBorders>
              <w:top w:val="nil"/>
              <w:bottom w:val="nil"/>
            </w:tcBorders>
          </w:tcPr>
          <w:p w:rsidR="00000000" w:rsidRDefault="00000000">
            <w:pPr>
              <w:pStyle w:val="a2"/>
              <w:jc w:val="center"/>
              <w:rPr>
                <w:snapToGrid/>
              </w:rPr>
            </w:pPr>
            <w:r>
              <w:rPr>
                <w:snapToGrid/>
              </w:rPr>
              <w:t>563</w:t>
            </w:r>
          </w:p>
        </w:tc>
        <w:tc>
          <w:tcPr>
            <w:tcW w:w="381" w:type="pct"/>
            <w:tcBorders>
              <w:top w:val="nil"/>
              <w:bottom w:val="nil"/>
            </w:tcBorders>
          </w:tcPr>
          <w:p w:rsidR="00000000" w:rsidRDefault="00000000">
            <w:pPr>
              <w:pStyle w:val="a2"/>
              <w:jc w:val="center"/>
              <w:rPr>
                <w:snapToGrid/>
              </w:rPr>
            </w:pPr>
            <w:r>
              <w:rPr>
                <w:snapToGrid/>
              </w:rPr>
              <w:t>562.7</w:t>
            </w:r>
          </w:p>
        </w:tc>
        <w:tc>
          <w:tcPr>
            <w:tcW w:w="381" w:type="pct"/>
            <w:tcBorders>
              <w:top w:val="nil"/>
              <w:bottom w:val="nil"/>
            </w:tcBorders>
          </w:tcPr>
          <w:p w:rsidR="00000000" w:rsidRDefault="00000000">
            <w:pPr>
              <w:pStyle w:val="a2"/>
              <w:jc w:val="center"/>
              <w:rPr>
                <w:snapToGrid/>
              </w:rPr>
            </w:pPr>
            <w:r>
              <w:rPr>
                <w:snapToGrid/>
              </w:rPr>
              <w:t>560.4</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snapToGrid/>
                <w:spacing w:val="0"/>
              </w:rPr>
            </w:pPr>
            <w:r>
              <w:rPr>
                <w:rFonts w:hint="eastAsia"/>
                <w:snapToGrid/>
                <w:spacing w:val="0"/>
              </w:rPr>
              <w:t>平均工资</w:t>
            </w:r>
            <w:r>
              <w:rPr>
                <w:snapToGrid/>
                <w:spacing w:val="0"/>
              </w:rPr>
              <w:t xml:space="preserve"> </w:t>
            </w:r>
          </w:p>
        </w:tc>
        <w:tc>
          <w:tcPr>
            <w:tcW w:w="590" w:type="pct"/>
            <w:tcBorders>
              <w:top w:val="nil"/>
              <w:bottom w:val="nil"/>
            </w:tcBorders>
          </w:tcPr>
          <w:p w:rsidR="00000000" w:rsidRDefault="00000000">
            <w:pPr>
              <w:pStyle w:val="a2"/>
              <w:jc w:val="center"/>
              <w:rPr>
                <w:rFonts w:hint="eastAsia"/>
                <w:snapToGrid/>
              </w:rPr>
            </w:pPr>
            <w:r>
              <w:rPr>
                <w:rFonts w:hint="eastAsia"/>
                <w:snapToGrid/>
              </w:rPr>
              <w:t>列依</w:t>
            </w:r>
          </w:p>
        </w:tc>
        <w:tc>
          <w:tcPr>
            <w:tcW w:w="438" w:type="pct"/>
            <w:tcBorders>
              <w:top w:val="nil"/>
              <w:bottom w:val="nil"/>
            </w:tcBorders>
          </w:tcPr>
          <w:p w:rsidR="00000000" w:rsidRDefault="00000000">
            <w:pPr>
              <w:pStyle w:val="a2"/>
              <w:jc w:val="center"/>
              <w:rPr>
                <w:snapToGrid/>
              </w:rPr>
            </w:pPr>
            <w:r>
              <w:rPr>
                <w:snapToGrid/>
              </w:rPr>
              <w:t>3.5</w:t>
            </w:r>
          </w:p>
        </w:tc>
        <w:tc>
          <w:tcPr>
            <w:tcW w:w="458" w:type="pct"/>
            <w:tcBorders>
              <w:top w:val="nil"/>
              <w:bottom w:val="nil"/>
            </w:tcBorders>
          </w:tcPr>
          <w:p w:rsidR="00000000" w:rsidRDefault="00000000">
            <w:pPr>
              <w:pStyle w:val="a2"/>
              <w:jc w:val="center"/>
              <w:rPr>
                <w:snapToGrid/>
              </w:rPr>
            </w:pPr>
            <w:r>
              <w:rPr>
                <w:snapToGrid/>
              </w:rPr>
              <w:t>31.2</w:t>
            </w:r>
          </w:p>
        </w:tc>
        <w:tc>
          <w:tcPr>
            <w:tcW w:w="381" w:type="pct"/>
            <w:tcBorders>
              <w:top w:val="nil"/>
              <w:bottom w:val="nil"/>
            </w:tcBorders>
          </w:tcPr>
          <w:p w:rsidR="00000000" w:rsidRDefault="00000000">
            <w:pPr>
              <w:pStyle w:val="a2"/>
              <w:jc w:val="center"/>
              <w:rPr>
                <w:snapToGrid/>
              </w:rPr>
            </w:pPr>
            <w:r>
              <w:rPr>
                <w:snapToGrid/>
              </w:rPr>
              <w:t>108.4</w:t>
            </w:r>
          </w:p>
        </w:tc>
        <w:tc>
          <w:tcPr>
            <w:tcW w:w="381" w:type="pct"/>
            <w:tcBorders>
              <w:top w:val="nil"/>
              <w:bottom w:val="nil"/>
            </w:tcBorders>
          </w:tcPr>
          <w:p w:rsidR="00000000" w:rsidRDefault="00000000">
            <w:pPr>
              <w:pStyle w:val="a2"/>
              <w:jc w:val="center"/>
              <w:rPr>
                <w:snapToGrid/>
              </w:rPr>
            </w:pPr>
            <w:r>
              <w:rPr>
                <w:snapToGrid/>
              </w:rPr>
              <w:t>143.2</w:t>
            </w:r>
          </w:p>
        </w:tc>
        <w:tc>
          <w:tcPr>
            <w:tcW w:w="381" w:type="pct"/>
            <w:tcBorders>
              <w:top w:val="nil"/>
              <w:bottom w:val="nil"/>
            </w:tcBorders>
          </w:tcPr>
          <w:p w:rsidR="00000000" w:rsidRDefault="00000000">
            <w:pPr>
              <w:pStyle w:val="a2"/>
              <w:jc w:val="center"/>
              <w:rPr>
                <w:snapToGrid/>
              </w:rPr>
            </w:pPr>
            <w:r>
              <w:rPr>
                <w:snapToGrid/>
              </w:rPr>
              <w:t>187.6</w:t>
            </w:r>
          </w:p>
        </w:tc>
        <w:tc>
          <w:tcPr>
            <w:tcW w:w="381" w:type="pct"/>
            <w:tcBorders>
              <w:top w:val="nil"/>
              <w:bottom w:val="nil"/>
            </w:tcBorders>
          </w:tcPr>
          <w:p w:rsidR="00000000" w:rsidRDefault="00000000">
            <w:pPr>
              <w:pStyle w:val="a2"/>
              <w:jc w:val="center"/>
              <w:rPr>
                <w:snapToGrid/>
              </w:rPr>
            </w:pPr>
            <w:r>
              <w:rPr>
                <w:snapToGrid/>
              </w:rPr>
              <w:t>219.8</w:t>
            </w:r>
          </w:p>
        </w:tc>
        <w:tc>
          <w:tcPr>
            <w:tcW w:w="381" w:type="pct"/>
            <w:tcBorders>
              <w:top w:val="nil"/>
              <w:bottom w:val="nil"/>
            </w:tcBorders>
          </w:tcPr>
          <w:p w:rsidR="00000000" w:rsidRDefault="00000000">
            <w:pPr>
              <w:pStyle w:val="a2"/>
              <w:jc w:val="center"/>
              <w:rPr>
                <w:snapToGrid/>
              </w:rPr>
            </w:pPr>
            <w:r>
              <w:rPr>
                <w:snapToGrid/>
              </w:rPr>
              <w:t>250.4</w:t>
            </w:r>
          </w:p>
        </w:tc>
        <w:tc>
          <w:tcPr>
            <w:tcW w:w="381" w:type="pct"/>
            <w:tcBorders>
              <w:top w:val="nil"/>
              <w:bottom w:val="nil"/>
            </w:tcBorders>
          </w:tcPr>
          <w:p w:rsidR="00000000" w:rsidRDefault="00000000">
            <w:pPr>
              <w:pStyle w:val="a2"/>
              <w:jc w:val="center"/>
              <w:rPr>
                <w:snapToGrid/>
              </w:rPr>
            </w:pPr>
            <w:r>
              <w:rPr>
                <w:snapToGrid/>
              </w:rPr>
              <w:t>304.6</w:t>
            </w:r>
          </w:p>
        </w:tc>
        <w:tc>
          <w:tcPr>
            <w:tcW w:w="383" w:type="pct"/>
            <w:tcBorders>
              <w:top w:val="nil"/>
              <w:bottom w:val="nil"/>
            </w:tcBorders>
          </w:tcPr>
          <w:p w:rsidR="00000000" w:rsidRDefault="00000000">
            <w:pPr>
              <w:pStyle w:val="a2"/>
              <w:jc w:val="center"/>
              <w:rPr>
                <w:snapToGrid/>
              </w:rPr>
            </w:pPr>
            <w:r>
              <w:rPr>
                <w:snapToGrid/>
              </w:rPr>
              <w:t>407.0</w:t>
            </w: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snapToGrid/>
                <w:spacing w:val="0"/>
              </w:rPr>
            </w:pPr>
            <w:r>
              <w:rPr>
                <w:rFonts w:hint="eastAsia"/>
                <w:snapToGrid/>
                <w:spacing w:val="0"/>
              </w:rPr>
              <w:t>平均养恤金</w:t>
            </w:r>
          </w:p>
        </w:tc>
        <w:tc>
          <w:tcPr>
            <w:tcW w:w="590" w:type="pct"/>
            <w:tcBorders>
              <w:top w:val="nil"/>
              <w:bottom w:val="nil"/>
            </w:tcBorders>
          </w:tcPr>
          <w:p w:rsidR="00000000" w:rsidRDefault="00000000">
            <w:pPr>
              <w:pStyle w:val="a2"/>
              <w:jc w:val="center"/>
              <w:rPr>
                <w:snapToGrid/>
              </w:rPr>
            </w:pPr>
            <w:r>
              <w:rPr>
                <w:rFonts w:hint="eastAsia"/>
                <w:snapToGrid/>
              </w:rPr>
              <w:t>列依</w:t>
            </w:r>
          </w:p>
        </w:tc>
        <w:tc>
          <w:tcPr>
            <w:tcW w:w="438" w:type="pct"/>
            <w:tcBorders>
              <w:top w:val="nil"/>
              <w:bottom w:val="nil"/>
            </w:tcBorders>
          </w:tcPr>
          <w:p w:rsidR="00000000" w:rsidRDefault="00000000">
            <w:pPr>
              <w:pStyle w:val="a2"/>
              <w:jc w:val="center"/>
              <w:rPr>
                <w:snapToGrid/>
              </w:rPr>
            </w:pPr>
            <w:r>
              <w:rPr>
                <w:snapToGrid/>
              </w:rPr>
              <w:t>2.09</w:t>
            </w:r>
          </w:p>
        </w:tc>
        <w:tc>
          <w:tcPr>
            <w:tcW w:w="458" w:type="pct"/>
            <w:tcBorders>
              <w:top w:val="nil"/>
              <w:bottom w:val="nil"/>
            </w:tcBorders>
          </w:tcPr>
          <w:p w:rsidR="00000000" w:rsidRDefault="00000000">
            <w:pPr>
              <w:pStyle w:val="a2"/>
              <w:jc w:val="center"/>
              <w:rPr>
                <w:snapToGrid/>
              </w:rPr>
            </w:pPr>
            <w:r>
              <w:rPr>
                <w:snapToGrid/>
              </w:rPr>
              <w:t>18.83</w:t>
            </w:r>
          </w:p>
        </w:tc>
        <w:tc>
          <w:tcPr>
            <w:tcW w:w="381" w:type="pct"/>
            <w:tcBorders>
              <w:top w:val="nil"/>
              <w:bottom w:val="nil"/>
            </w:tcBorders>
          </w:tcPr>
          <w:p w:rsidR="00000000" w:rsidRDefault="00000000">
            <w:pPr>
              <w:pStyle w:val="a2"/>
              <w:jc w:val="center"/>
              <w:rPr>
                <w:snapToGrid/>
              </w:rPr>
            </w:pPr>
            <w:r>
              <w:rPr>
                <w:snapToGrid/>
              </w:rPr>
              <w:t>55.16</w:t>
            </w:r>
          </w:p>
        </w:tc>
        <w:tc>
          <w:tcPr>
            <w:tcW w:w="381" w:type="pct"/>
            <w:tcBorders>
              <w:top w:val="nil"/>
              <w:bottom w:val="nil"/>
            </w:tcBorders>
          </w:tcPr>
          <w:p w:rsidR="00000000" w:rsidRDefault="00000000">
            <w:pPr>
              <w:pStyle w:val="a2"/>
              <w:jc w:val="center"/>
              <w:rPr>
                <w:snapToGrid/>
              </w:rPr>
            </w:pPr>
            <w:r>
              <w:rPr>
                <w:snapToGrid/>
              </w:rPr>
              <w:t>64.3</w:t>
            </w:r>
          </w:p>
        </w:tc>
        <w:tc>
          <w:tcPr>
            <w:tcW w:w="381" w:type="pct"/>
            <w:tcBorders>
              <w:top w:val="nil"/>
              <w:bottom w:val="nil"/>
            </w:tcBorders>
          </w:tcPr>
          <w:p w:rsidR="00000000" w:rsidRDefault="00000000">
            <w:pPr>
              <w:pStyle w:val="a2"/>
              <w:jc w:val="center"/>
              <w:rPr>
                <w:snapToGrid/>
              </w:rPr>
            </w:pPr>
            <w:r>
              <w:rPr>
                <w:snapToGrid/>
              </w:rPr>
              <w:t>78.67</w:t>
            </w:r>
          </w:p>
        </w:tc>
        <w:tc>
          <w:tcPr>
            <w:tcW w:w="381" w:type="pct"/>
            <w:tcBorders>
              <w:top w:val="nil"/>
              <w:bottom w:val="nil"/>
            </w:tcBorders>
          </w:tcPr>
          <w:p w:rsidR="00000000" w:rsidRDefault="00000000">
            <w:pPr>
              <w:pStyle w:val="a2"/>
              <w:jc w:val="center"/>
              <w:rPr>
                <w:snapToGrid/>
              </w:rPr>
            </w:pPr>
            <w:r>
              <w:rPr>
                <w:snapToGrid/>
              </w:rPr>
              <w:t>82.8</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snapToGrid/>
                <w:spacing w:val="0"/>
              </w:rPr>
            </w:pPr>
            <w:r>
              <w:rPr>
                <w:rFonts w:hint="eastAsia"/>
                <w:snapToGrid/>
                <w:spacing w:val="0"/>
              </w:rPr>
              <w:t>平均补贴</w:t>
            </w:r>
          </w:p>
        </w:tc>
        <w:tc>
          <w:tcPr>
            <w:tcW w:w="590" w:type="pct"/>
            <w:tcBorders>
              <w:top w:val="nil"/>
              <w:bottom w:val="nil"/>
            </w:tcBorders>
          </w:tcPr>
          <w:p w:rsidR="00000000" w:rsidRDefault="00000000">
            <w:pPr>
              <w:pStyle w:val="a2"/>
              <w:jc w:val="center"/>
              <w:rPr>
                <w:snapToGrid/>
              </w:rPr>
            </w:pPr>
            <w:r>
              <w:rPr>
                <w:rFonts w:hint="eastAsia"/>
                <w:snapToGrid/>
              </w:rPr>
              <w:t>列依</w:t>
            </w:r>
          </w:p>
        </w:tc>
        <w:tc>
          <w:tcPr>
            <w:tcW w:w="438" w:type="pct"/>
            <w:tcBorders>
              <w:top w:val="nil"/>
              <w:bottom w:val="nil"/>
            </w:tcBorders>
          </w:tcPr>
          <w:p w:rsidR="00000000" w:rsidRDefault="00000000">
            <w:pPr>
              <w:pStyle w:val="a2"/>
              <w:jc w:val="center"/>
              <w:rPr>
                <w:snapToGrid/>
              </w:rPr>
            </w:pPr>
            <w:r>
              <w:rPr>
                <w:snapToGrid/>
              </w:rPr>
              <w:t>2.21</w:t>
            </w:r>
          </w:p>
        </w:tc>
        <w:tc>
          <w:tcPr>
            <w:tcW w:w="458" w:type="pct"/>
            <w:tcBorders>
              <w:top w:val="nil"/>
              <w:bottom w:val="nil"/>
            </w:tcBorders>
          </w:tcPr>
          <w:p w:rsidR="00000000" w:rsidRDefault="00000000">
            <w:pPr>
              <w:pStyle w:val="a2"/>
              <w:jc w:val="center"/>
              <w:rPr>
                <w:snapToGrid/>
              </w:rPr>
            </w:pPr>
            <w:r>
              <w:rPr>
                <w:snapToGrid/>
              </w:rPr>
              <w:t>19.94</w:t>
            </w:r>
          </w:p>
        </w:tc>
        <w:tc>
          <w:tcPr>
            <w:tcW w:w="381" w:type="pct"/>
            <w:tcBorders>
              <w:top w:val="nil"/>
              <w:bottom w:val="nil"/>
            </w:tcBorders>
          </w:tcPr>
          <w:p w:rsidR="00000000" w:rsidRDefault="00000000">
            <w:pPr>
              <w:pStyle w:val="a2"/>
              <w:jc w:val="center"/>
              <w:rPr>
                <w:snapToGrid/>
              </w:rPr>
            </w:pPr>
            <w:r>
              <w:rPr>
                <w:snapToGrid/>
              </w:rPr>
              <w:t>57.94</w:t>
            </w:r>
          </w:p>
        </w:tc>
        <w:tc>
          <w:tcPr>
            <w:tcW w:w="381" w:type="pct"/>
            <w:tcBorders>
              <w:top w:val="nil"/>
              <w:bottom w:val="nil"/>
            </w:tcBorders>
          </w:tcPr>
          <w:p w:rsidR="00000000" w:rsidRDefault="00000000">
            <w:pPr>
              <w:pStyle w:val="a2"/>
              <w:jc w:val="center"/>
              <w:rPr>
                <w:snapToGrid/>
              </w:rPr>
            </w:pPr>
            <w:r>
              <w:rPr>
                <w:snapToGrid/>
              </w:rPr>
              <w:t>66.9</w:t>
            </w:r>
          </w:p>
        </w:tc>
        <w:tc>
          <w:tcPr>
            <w:tcW w:w="381" w:type="pct"/>
            <w:tcBorders>
              <w:top w:val="nil"/>
              <w:bottom w:val="nil"/>
            </w:tcBorders>
          </w:tcPr>
          <w:p w:rsidR="00000000" w:rsidRDefault="00000000">
            <w:pPr>
              <w:pStyle w:val="a2"/>
              <w:jc w:val="center"/>
              <w:rPr>
                <w:snapToGrid/>
              </w:rPr>
            </w:pPr>
            <w:r>
              <w:rPr>
                <w:snapToGrid/>
              </w:rPr>
              <w:t>81.56</w:t>
            </w:r>
          </w:p>
        </w:tc>
        <w:tc>
          <w:tcPr>
            <w:tcW w:w="381" w:type="pct"/>
            <w:tcBorders>
              <w:top w:val="nil"/>
              <w:bottom w:val="nil"/>
            </w:tcBorders>
          </w:tcPr>
          <w:p w:rsidR="00000000" w:rsidRDefault="00000000">
            <w:pPr>
              <w:pStyle w:val="a2"/>
              <w:jc w:val="center"/>
              <w:rPr>
                <w:snapToGrid/>
              </w:rPr>
            </w:pPr>
            <w:r>
              <w:rPr>
                <w:snapToGrid/>
              </w:rPr>
              <w:t>86.15</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snapToGrid/>
                <w:spacing w:val="0"/>
              </w:rPr>
            </w:pPr>
            <w:r>
              <w:rPr>
                <w:rFonts w:hint="eastAsia"/>
                <w:snapToGrid/>
                <w:spacing w:val="0"/>
              </w:rPr>
              <w:t>最低消费预算</w:t>
            </w:r>
            <w:r>
              <w:rPr>
                <w:snapToGrid/>
                <w:spacing w:val="0"/>
              </w:rPr>
              <w:t xml:space="preserve"> </w:t>
            </w:r>
          </w:p>
        </w:tc>
        <w:tc>
          <w:tcPr>
            <w:tcW w:w="590" w:type="pct"/>
            <w:tcBorders>
              <w:top w:val="nil"/>
              <w:bottom w:val="nil"/>
            </w:tcBorders>
          </w:tcPr>
          <w:p w:rsidR="00000000" w:rsidRDefault="00000000">
            <w:pPr>
              <w:pStyle w:val="a2"/>
              <w:jc w:val="center"/>
              <w:rPr>
                <w:snapToGrid/>
              </w:rPr>
            </w:pPr>
            <w:r>
              <w:rPr>
                <w:rFonts w:hint="eastAsia"/>
                <w:snapToGrid/>
              </w:rPr>
              <w:t>列依</w:t>
            </w:r>
          </w:p>
        </w:tc>
        <w:tc>
          <w:tcPr>
            <w:tcW w:w="438" w:type="pct"/>
            <w:tcBorders>
              <w:top w:val="nil"/>
              <w:bottom w:val="nil"/>
            </w:tcBorders>
          </w:tcPr>
          <w:p w:rsidR="00000000" w:rsidRDefault="00000000">
            <w:pPr>
              <w:pStyle w:val="a2"/>
              <w:jc w:val="center"/>
              <w:rPr>
                <w:snapToGrid/>
              </w:rPr>
            </w:pPr>
            <w:r>
              <w:rPr>
                <w:snapToGrid/>
              </w:rPr>
              <w:t>3.4</w:t>
            </w:r>
          </w:p>
        </w:tc>
        <w:tc>
          <w:tcPr>
            <w:tcW w:w="458" w:type="pct"/>
            <w:tcBorders>
              <w:top w:val="nil"/>
              <w:bottom w:val="nil"/>
            </w:tcBorders>
          </w:tcPr>
          <w:p w:rsidR="00000000" w:rsidRDefault="00000000">
            <w:pPr>
              <w:pStyle w:val="a2"/>
              <w:jc w:val="center"/>
              <w:rPr>
                <w:snapToGrid/>
              </w:rPr>
            </w:pPr>
            <w:r>
              <w:rPr>
                <w:snapToGrid/>
              </w:rPr>
              <w:t>49.3</w:t>
            </w:r>
          </w:p>
        </w:tc>
        <w:tc>
          <w:tcPr>
            <w:tcW w:w="381" w:type="pct"/>
            <w:tcBorders>
              <w:top w:val="nil"/>
              <w:bottom w:val="nil"/>
            </w:tcBorders>
          </w:tcPr>
          <w:p w:rsidR="00000000" w:rsidRDefault="00000000">
            <w:pPr>
              <w:pStyle w:val="a2"/>
              <w:jc w:val="center"/>
              <w:rPr>
                <w:snapToGrid/>
              </w:rPr>
            </w:pPr>
            <w:r>
              <w:rPr>
                <w:snapToGrid/>
              </w:rPr>
              <w:t>271.3</w:t>
            </w:r>
          </w:p>
        </w:tc>
        <w:tc>
          <w:tcPr>
            <w:tcW w:w="381" w:type="pct"/>
            <w:tcBorders>
              <w:top w:val="nil"/>
              <w:bottom w:val="nil"/>
            </w:tcBorders>
          </w:tcPr>
          <w:p w:rsidR="00000000" w:rsidRDefault="00000000">
            <w:pPr>
              <w:pStyle w:val="a2"/>
              <w:jc w:val="center"/>
              <w:rPr>
                <w:snapToGrid/>
              </w:rPr>
            </w:pPr>
            <w:r>
              <w:rPr>
                <w:snapToGrid/>
              </w:rPr>
              <w:t>310.6</w:t>
            </w:r>
          </w:p>
        </w:tc>
        <w:tc>
          <w:tcPr>
            <w:tcW w:w="381" w:type="pct"/>
            <w:tcBorders>
              <w:top w:val="nil"/>
              <w:bottom w:val="nil"/>
            </w:tcBorders>
          </w:tcPr>
          <w:p w:rsidR="00000000" w:rsidRDefault="00000000">
            <w:pPr>
              <w:pStyle w:val="a2"/>
              <w:jc w:val="center"/>
              <w:rPr>
                <w:snapToGrid/>
              </w:rPr>
            </w:pPr>
            <w:r>
              <w:rPr>
                <w:snapToGrid/>
              </w:rPr>
              <w:t>387.8</w:t>
            </w:r>
          </w:p>
        </w:tc>
        <w:tc>
          <w:tcPr>
            <w:tcW w:w="381" w:type="pct"/>
            <w:tcBorders>
              <w:top w:val="nil"/>
              <w:bottom w:val="nil"/>
            </w:tcBorders>
          </w:tcPr>
          <w:p w:rsidR="00000000" w:rsidRDefault="00000000">
            <w:pPr>
              <w:pStyle w:val="a2"/>
              <w:jc w:val="center"/>
              <w:rPr>
                <w:snapToGrid/>
              </w:rPr>
            </w:pPr>
            <w:r>
              <w:rPr>
                <w:snapToGrid/>
              </w:rPr>
              <w:t>439.5</w:t>
            </w:r>
          </w:p>
        </w:tc>
        <w:tc>
          <w:tcPr>
            <w:tcW w:w="381" w:type="pct"/>
            <w:tcBorders>
              <w:top w:val="nil"/>
              <w:bottom w:val="nil"/>
            </w:tcBorders>
          </w:tcPr>
          <w:p w:rsidR="00000000" w:rsidRDefault="00000000">
            <w:pPr>
              <w:pStyle w:val="a2"/>
              <w:jc w:val="center"/>
              <w:rPr>
                <w:snapToGrid/>
              </w:rPr>
            </w:pPr>
            <w:r>
              <w:rPr>
                <w:snapToGrid/>
              </w:rPr>
              <w:t>473.0</w:t>
            </w:r>
          </w:p>
        </w:tc>
        <w:tc>
          <w:tcPr>
            <w:tcW w:w="381" w:type="pct"/>
            <w:tcBorders>
              <w:top w:val="nil"/>
              <w:bottom w:val="nil"/>
            </w:tcBorders>
          </w:tcPr>
          <w:p w:rsidR="00000000" w:rsidRDefault="00000000">
            <w:pPr>
              <w:pStyle w:val="a2"/>
              <w:jc w:val="center"/>
              <w:rPr>
                <w:snapToGrid/>
              </w:rPr>
            </w:pPr>
            <w:r>
              <w:rPr>
                <w:snapToGrid/>
              </w:rPr>
              <w:t>661.8</w:t>
            </w:r>
          </w:p>
        </w:tc>
        <w:tc>
          <w:tcPr>
            <w:tcW w:w="383" w:type="pct"/>
            <w:tcBorders>
              <w:top w:val="nil"/>
              <w:bottom w:val="nil"/>
            </w:tcBorders>
          </w:tcPr>
          <w:p w:rsidR="00000000" w:rsidRDefault="00000000">
            <w:pPr>
              <w:pStyle w:val="a2"/>
              <w:jc w:val="center"/>
              <w:rPr>
                <w:snapToGrid/>
              </w:rPr>
            </w:pPr>
            <w:r>
              <w:rPr>
                <w:snapToGrid/>
              </w:rPr>
              <w:t>944.5</w:t>
            </w: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rFonts w:hint="eastAsia"/>
                <w:snapToGrid/>
                <w:spacing w:val="0"/>
              </w:rPr>
            </w:pPr>
            <w:r>
              <w:rPr>
                <w:rFonts w:hint="eastAsia"/>
                <w:snapToGrid/>
                <w:spacing w:val="0"/>
              </w:rPr>
              <w:t>月平均通货膨胀率</w:t>
            </w:r>
          </w:p>
        </w:tc>
        <w:tc>
          <w:tcPr>
            <w:tcW w:w="590" w:type="pct"/>
            <w:tcBorders>
              <w:top w:val="nil"/>
              <w:bottom w:val="nil"/>
            </w:tcBorders>
          </w:tcPr>
          <w:p w:rsidR="00000000" w:rsidRDefault="00000000">
            <w:pPr>
              <w:pStyle w:val="a2"/>
              <w:jc w:val="center"/>
              <w:rPr>
                <w:snapToGrid/>
              </w:rPr>
            </w:pPr>
            <w:r>
              <w:rPr>
                <w:snapToGrid/>
              </w:rPr>
              <w:t>%</w:t>
            </w:r>
          </w:p>
        </w:tc>
        <w:tc>
          <w:tcPr>
            <w:tcW w:w="438" w:type="pct"/>
            <w:tcBorders>
              <w:top w:val="nil"/>
              <w:bottom w:val="nil"/>
            </w:tcBorders>
          </w:tcPr>
          <w:p w:rsidR="00000000" w:rsidRDefault="00000000">
            <w:pPr>
              <w:pStyle w:val="a2"/>
              <w:jc w:val="center"/>
              <w:rPr>
                <w:snapToGrid/>
              </w:rPr>
            </w:pPr>
            <w:r>
              <w:rPr>
                <w:snapToGrid/>
              </w:rPr>
              <w:t>27.0</w:t>
            </w:r>
          </w:p>
        </w:tc>
        <w:tc>
          <w:tcPr>
            <w:tcW w:w="458" w:type="pct"/>
            <w:tcBorders>
              <w:top w:val="nil"/>
              <w:bottom w:val="nil"/>
            </w:tcBorders>
          </w:tcPr>
          <w:p w:rsidR="00000000" w:rsidRDefault="00000000">
            <w:pPr>
              <w:pStyle w:val="a2"/>
              <w:jc w:val="center"/>
              <w:rPr>
                <w:snapToGrid/>
              </w:rPr>
            </w:pPr>
            <w:r>
              <w:rPr>
                <w:snapToGrid/>
              </w:rPr>
              <w:t>32.0</w:t>
            </w:r>
          </w:p>
        </w:tc>
        <w:tc>
          <w:tcPr>
            <w:tcW w:w="381" w:type="pct"/>
            <w:tcBorders>
              <w:top w:val="nil"/>
              <w:bottom w:val="nil"/>
            </w:tcBorders>
          </w:tcPr>
          <w:p w:rsidR="00000000" w:rsidRDefault="00000000">
            <w:pPr>
              <w:pStyle w:val="a2"/>
              <w:jc w:val="center"/>
              <w:rPr>
                <w:snapToGrid/>
              </w:rPr>
            </w:pPr>
            <w:r>
              <w:rPr>
                <w:snapToGrid/>
              </w:rPr>
              <w:t>6.2</w:t>
            </w:r>
          </w:p>
        </w:tc>
        <w:tc>
          <w:tcPr>
            <w:tcW w:w="381" w:type="pct"/>
            <w:tcBorders>
              <w:top w:val="nil"/>
              <w:bottom w:val="nil"/>
            </w:tcBorders>
          </w:tcPr>
          <w:p w:rsidR="00000000" w:rsidRDefault="00000000">
            <w:pPr>
              <w:pStyle w:val="a2"/>
              <w:jc w:val="center"/>
              <w:rPr>
                <w:snapToGrid/>
              </w:rPr>
            </w:pPr>
            <w:r>
              <w:rPr>
                <w:snapToGrid/>
              </w:rPr>
              <w:t>1.8</w:t>
            </w:r>
          </w:p>
        </w:tc>
        <w:tc>
          <w:tcPr>
            <w:tcW w:w="381" w:type="pct"/>
            <w:tcBorders>
              <w:top w:val="nil"/>
              <w:bottom w:val="nil"/>
            </w:tcBorders>
          </w:tcPr>
          <w:p w:rsidR="00000000" w:rsidRDefault="00000000">
            <w:pPr>
              <w:pStyle w:val="a2"/>
              <w:jc w:val="center"/>
              <w:rPr>
                <w:snapToGrid/>
              </w:rPr>
            </w:pPr>
            <w:r>
              <w:rPr>
                <w:snapToGrid/>
              </w:rPr>
              <w:t>1.2</w:t>
            </w:r>
          </w:p>
        </w:tc>
        <w:tc>
          <w:tcPr>
            <w:tcW w:w="381" w:type="pct"/>
            <w:tcBorders>
              <w:top w:val="nil"/>
              <w:bottom w:val="nil"/>
            </w:tcBorders>
          </w:tcPr>
          <w:p w:rsidR="00000000" w:rsidRDefault="00000000">
            <w:pPr>
              <w:pStyle w:val="a2"/>
              <w:jc w:val="center"/>
              <w:rPr>
                <w:snapToGrid/>
              </w:rPr>
            </w:pPr>
            <w:r>
              <w:rPr>
                <w:snapToGrid/>
              </w:rPr>
              <w:t>0.9</w:t>
            </w:r>
          </w:p>
        </w:tc>
        <w:tc>
          <w:tcPr>
            <w:tcW w:w="381" w:type="pct"/>
            <w:tcBorders>
              <w:top w:val="nil"/>
              <w:bottom w:val="nil"/>
            </w:tcBorders>
          </w:tcPr>
          <w:p w:rsidR="00000000" w:rsidRDefault="00000000">
            <w:pPr>
              <w:pStyle w:val="a2"/>
              <w:jc w:val="center"/>
              <w:rPr>
                <w:snapToGrid/>
              </w:rPr>
            </w:pPr>
            <w:r>
              <w:rPr>
                <w:snapToGrid/>
              </w:rPr>
              <w:t>1.41</w:t>
            </w:r>
          </w:p>
        </w:tc>
        <w:tc>
          <w:tcPr>
            <w:tcW w:w="381" w:type="pct"/>
            <w:tcBorders>
              <w:top w:val="nil"/>
              <w:bottom w:val="nil"/>
            </w:tcBorders>
          </w:tcPr>
          <w:p w:rsidR="00000000" w:rsidRDefault="00000000">
            <w:pPr>
              <w:pStyle w:val="a2"/>
              <w:jc w:val="center"/>
              <w:rPr>
                <w:snapToGrid/>
              </w:rPr>
            </w:pPr>
            <w:r>
              <w:rPr>
                <w:snapToGrid/>
              </w:rPr>
              <w:t>3.05</w:t>
            </w:r>
          </w:p>
        </w:tc>
        <w:tc>
          <w:tcPr>
            <w:tcW w:w="383" w:type="pct"/>
            <w:tcBorders>
              <w:top w:val="nil"/>
              <w:bottom w:val="nil"/>
            </w:tcBorders>
          </w:tcPr>
          <w:p w:rsidR="00000000" w:rsidRDefault="00000000">
            <w:pPr>
              <w:pStyle w:val="a2"/>
              <w:jc w:val="center"/>
              <w:rPr>
                <w:snapToGrid/>
              </w:rPr>
            </w:pPr>
            <w:r>
              <w:rPr>
                <w:snapToGrid/>
              </w:rPr>
              <w:t>1.95</w:t>
            </w: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snapToGrid/>
                <w:spacing w:val="0"/>
              </w:rPr>
            </w:pPr>
            <w:r>
              <w:rPr>
                <w:rFonts w:hint="eastAsia"/>
                <w:snapToGrid/>
                <w:spacing w:val="0"/>
              </w:rPr>
              <w:t>年平均通货膨胀率</w:t>
            </w:r>
            <w:r>
              <w:rPr>
                <w:snapToGrid/>
                <w:spacing w:val="0"/>
              </w:rPr>
              <w:t xml:space="preserve">* </w:t>
            </w:r>
          </w:p>
        </w:tc>
        <w:tc>
          <w:tcPr>
            <w:tcW w:w="590" w:type="pct"/>
            <w:tcBorders>
              <w:top w:val="nil"/>
              <w:bottom w:val="nil"/>
            </w:tcBorders>
          </w:tcPr>
          <w:p w:rsidR="00000000" w:rsidRDefault="00000000">
            <w:pPr>
              <w:pStyle w:val="a2"/>
              <w:jc w:val="center"/>
              <w:rPr>
                <w:snapToGrid/>
              </w:rPr>
            </w:pPr>
            <w:r>
              <w:rPr>
                <w:snapToGrid/>
              </w:rPr>
              <w:t>%</w:t>
            </w:r>
          </w:p>
        </w:tc>
        <w:tc>
          <w:tcPr>
            <w:tcW w:w="438" w:type="pct"/>
            <w:tcBorders>
              <w:top w:val="nil"/>
              <w:bottom w:val="nil"/>
            </w:tcBorders>
          </w:tcPr>
          <w:p w:rsidR="00000000" w:rsidRDefault="00000000">
            <w:pPr>
              <w:pStyle w:val="a2"/>
              <w:jc w:val="center"/>
              <w:rPr>
                <w:snapToGrid/>
              </w:rPr>
            </w:pPr>
            <w:r>
              <w:rPr>
                <w:snapToGrid/>
              </w:rPr>
              <w:t>1 669.6</w:t>
            </w:r>
          </w:p>
        </w:tc>
        <w:tc>
          <w:tcPr>
            <w:tcW w:w="458" w:type="pct"/>
            <w:tcBorders>
              <w:top w:val="nil"/>
              <w:bottom w:val="nil"/>
            </w:tcBorders>
          </w:tcPr>
          <w:p w:rsidR="00000000" w:rsidRDefault="00000000">
            <w:pPr>
              <w:pStyle w:val="a2"/>
              <w:jc w:val="center"/>
              <w:rPr>
                <w:snapToGrid/>
              </w:rPr>
            </w:pPr>
            <w:r>
              <w:rPr>
                <w:snapToGrid/>
              </w:rPr>
              <w:t>2 705.7</w:t>
            </w:r>
          </w:p>
        </w:tc>
        <w:tc>
          <w:tcPr>
            <w:tcW w:w="381" w:type="pct"/>
            <w:tcBorders>
              <w:top w:val="nil"/>
              <w:bottom w:val="nil"/>
            </w:tcBorders>
          </w:tcPr>
          <w:p w:rsidR="00000000" w:rsidRDefault="00000000">
            <w:pPr>
              <w:pStyle w:val="a2"/>
              <w:jc w:val="center"/>
              <w:rPr>
                <w:snapToGrid/>
              </w:rPr>
            </w:pPr>
            <w:r>
              <w:rPr>
                <w:snapToGrid/>
              </w:rPr>
              <w:t>104.6</w:t>
            </w:r>
          </w:p>
        </w:tc>
        <w:tc>
          <w:tcPr>
            <w:tcW w:w="381" w:type="pct"/>
            <w:tcBorders>
              <w:top w:val="nil"/>
              <w:bottom w:val="nil"/>
            </w:tcBorders>
          </w:tcPr>
          <w:p w:rsidR="00000000" w:rsidRDefault="00000000">
            <w:pPr>
              <w:pStyle w:val="a2"/>
              <w:jc w:val="center"/>
              <w:rPr>
                <w:snapToGrid/>
              </w:rPr>
            </w:pPr>
            <w:r>
              <w:rPr>
                <w:snapToGrid/>
              </w:rPr>
              <w:t>23.8</w:t>
            </w:r>
          </w:p>
        </w:tc>
        <w:tc>
          <w:tcPr>
            <w:tcW w:w="381" w:type="pct"/>
            <w:tcBorders>
              <w:top w:val="nil"/>
              <w:bottom w:val="nil"/>
            </w:tcBorders>
          </w:tcPr>
          <w:p w:rsidR="00000000" w:rsidRDefault="00000000">
            <w:pPr>
              <w:pStyle w:val="a2"/>
              <w:jc w:val="center"/>
              <w:rPr>
                <w:snapToGrid/>
              </w:rPr>
            </w:pPr>
            <w:r>
              <w:rPr>
                <w:snapToGrid/>
              </w:rPr>
              <w:t>15.1</w:t>
            </w:r>
          </w:p>
        </w:tc>
        <w:tc>
          <w:tcPr>
            <w:tcW w:w="381" w:type="pct"/>
            <w:tcBorders>
              <w:top w:val="nil"/>
              <w:bottom w:val="nil"/>
            </w:tcBorders>
          </w:tcPr>
          <w:p w:rsidR="00000000" w:rsidRDefault="00000000">
            <w:pPr>
              <w:pStyle w:val="a2"/>
              <w:jc w:val="center"/>
              <w:rPr>
                <w:snapToGrid/>
              </w:rPr>
            </w:pPr>
            <w:r>
              <w:rPr>
                <w:snapToGrid/>
              </w:rPr>
              <w:t>11.2</w:t>
            </w:r>
          </w:p>
        </w:tc>
        <w:tc>
          <w:tcPr>
            <w:tcW w:w="381" w:type="pct"/>
            <w:tcBorders>
              <w:top w:val="nil"/>
              <w:bottom w:val="nil"/>
            </w:tcBorders>
          </w:tcPr>
          <w:p w:rsidR="00000000" w:rsidRDefault="00000000">
            <w:pPr>
              <w:pStyle w:val="a2"/>
              <w:jc w:val="center"/>
              <w:rPr>
                <w:snapToGrid/>
              </w:rPr>
            </w:pPr>
            <w:r>
              <w:rPr>
                <w:snapToGrid/>
              </w:rPr>
              <w:t>18.3</w:t>
            </w:r>
          </w:p>
        </w:tc>
        <w:tc>
          <w:tcPr>
            <w:tcW w:w="381" w:type="pct"/>
            <w:tcBorders>
              <w:top w:val="nil"/>
              <w:bottom w:val="nil"/>
            </w:tcBorders>
          </w:tcPr>
          <w:p w:rsidR="00000000" w:rsidRDefault="00000000">
            <w:pPr>
              <w:pStyle w:val="a2"/>
              <w:jc w:val="center"/>
              <w:rPr>
                <w:snapToGrid/>
              </w:rPr>
            </w:pPr>
            <w:r>
              <w:rPr>
                <w:snapToGrid/>
              </w:rPr>
              <w:t>43.7</w:t>
            </w:r>
          </w:p>
        </w:tc>
        <w:tc>
          <w:tcPr>
            <w:tcW w:w="383" w:type="pct"/>
            <w:tcBorders>
              <w:top w:val="nil"/>
              <w:bottom w:val="nil"/>
            </w:tcBorders>
          </w:tcPr>
          <w:p w:rsidR="00000000" w:rsidRDefault="00000000">
            <w:pPr>
              <w:pStyle w:val="a2"/>
              <w:jc w:val="center"/>
              <w:rPr>
                <w:snapToGrid/>
              </w:rPr>
            </w:pPr>
            <w:r>
              <w:rPr>
                <w:snapToGrid/>
              </w:rPr>
              <w:t>18.4</w:t>
            </w: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snapToGrid/>
                <w:spacing w:val="0"/>
              </w:rPr>
            </w:pPr>
            <w:r>
              <w:rPr>
                <w:rFonts w:hint="eastAsia"/>
                <w:snapToGrid/>
                <w:spacing w:val="0"/>
              </w:rPr>
              <w:t>获得养恤金的人口</w:t>
            </w:r>
            <w:r>
              <w:rPr>
                <w:snapToGrid/>
                <w:spacing w:val="0"/>
              </w:rPr>
              <w:t>*</w:t>
            </w:r>
          </w:p>
        </w:tc>
        <w:tc>
          <w:tcPr>
            <w:tcW w:w="590" w:type="pct"/>
            <w:tcBorders>
              <w:top w:val="nil"/>
              <w:bottom w:val="nil"/>
            </w:tcBorders>
          </w:tcPr>
          <w:p w:rsidR="00000000" w:rsidRDefault="00000000">
            <w:pPr>
              <w:pStyle w:val="a2"/>
              <w:jc w:val="center"/>
              <w:rPr>
                <w:snapToGrid/>
              </w:rPr>
            </w:pPr>
            <w:r>
              <w:rPr>
                <w:snapToGrid/>
              </w:rPr>
              <w:t>%</w:t>
            </w:r>
          </w:p>
        </w:tc>
        <w:tc>
          <w:tcPr>
            <w:tcW w:w="438" w:type="pct"/>
            <w:tcBorders>
              <w:top w:val="nil"/>
              <w:bottom w:val="nil"/>
            </w:tcBorders>
          </w:tcPr>
          <w:p w:rsidR="00000000" w:rsidRDefault="00000000">
            <w:pPr>
              <w:pStyle w:val="a2"/>
              <w:jc w:val="center"/>
              <w:rPr>
                <w:snapToGrid/>
              </w:rPr>
            </w:pPr>
            <w:r>
              <w:rPr>
                <w:snapToGrid/>
              </w:rPr>
              <w:t>16.7</w:t>
            </w:r>
          </w:p>
        </w:tc>
        <w:tc>
          <w:tcPr>
            <w:tcW w:w="458" w:type="pct"/>
            <w:tcBorders>
              <w:top w:val="nil"/>
              <w:bottom w:val="nil"/>
            </w:tcBorders>
          </w:tcPr>
          <w:p w:rsidR="00000000" w:rsidRDefault="00000000">
            <w:pPr>
              <w:pStyle w:val="a2"/>
              <w:jc w:val="center"/>
              <w:rPr>
                <w:snapToGrid/>
              </w:rPr>
            </w:pPr>
            <w:r>
              <w:rPr>
                <w:snapToGrid/>
              </w:rPr>
              <w:t>17.1</w:t>
            </w:r>
          </w:p>
        </w:tc>
        <w:tc>
          <w:tcPr>
            <w:tcW w:w="381" w:type="pct"/>
            <w:tcBorders>
              <w:top w:val="nil"/>
              <w:bottom w:val="nil"/>
            </w:tcBorders>
          </w:tcPr>
          <w:p w:rsidR="00000000" w:rsidRDefault="00000000">
            <w:pPr>
              <w:pStyle w:val="a2"/>
              <w:jc w:val="center"/>
              <w:rPr>
                <w:snapToGrid/>
              </w:rPr>
            </w:pPr>
            <w:r>
              <w:rPr>
                <w:snapToGrid/>
              </w:rPr>
              <w:t>17.2</w:t>
            </w:r>
          </w:p>
        </w:tc>
        <w:tc>
          <w:tcPr>
            <w:tcW w:w="381" w:type="pct"/>
            <w:tcBorders>
              <w:top w:val="nil"/>
              <w:bottom w:val="nil"/>
            </w:tcBorders>
          </w:tcPr>
          <w:p w:rsidR="00000000" w:rsidRDefault="00000000">
            <w:pPr>
              <w:pStyle w:val="a2"/>
              <w:jc w:val="center"/>
              <w:rPr>
                <w:snapToGrid/>
              </w:rPr>
            </w:pPr>
            <w:r>
              <w:rPr>
                <w:snapToGrid/>
              </w:rPr>
              <w:t>17.3</w:t>
            </w:r>
          </w:p>
        </w:tc>
        <w:tc>
          <w:tcPr>
            <w:tcW w:w="381" w:type="pct"/>
            <w:tcBorders>
              <w:top w:val="nil"/>
              <w:bottom w:val="nil"/>
            </w:tcBorders>
          </w:tcPr>
          <w:p w:rsidR="00000000" w:rsidRDefault="00000000">
            <w:pPr>
              <w:pStyle w:val="a2"/>
              <w:jc w:val="center"/>
              <w:rPr>
                <w:snapToGrid/>
              </w:rPr>
            </w:pPr>
            <w:r>
              <w:rPr>
                <w:snapToGrid/>
              </w:rPr>
              <w:t>17.5</w:t>
            </w:r>
          </w:p>
        </w:tc>
        <w:tc>
          <w:tcPr>
            <w:tcW w:w="381" w:type="pct"/>
            <w:tcBorders>
              <w:top w:val="nil"/>
              <w:bottom w:val="nil"/>
            </w:tcBorders>
          </w:tcPr>
          <w:p w:rsidR="00000000" w:rsidRDefault="00000000">
            <w:pPr>
              <w:pStyle w:val="a2"/>
              <w:jc w:val="center"/>
              <w:rPr>
                <w:snapToGrid/>
              </w:rPr>
            </w:pPr>
            <w:r>
              <w:rPr>
                <w:snapToGrid/>
              </w:rPr>
              <w:t>17.6</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rFonts w:hint="eastAsia"/>
                <w:snapToGrid/>
                <w:spacing w:val="0"/>
              </w:rPr>
            </w:pPr>
            <w:r>
              <w:rPr>
                <w:rFonts w:hint="eastAsia"/>
                <w:snapToGrid/>
                <w:spacing w:val="0"/>
              </w:rPr>
              <w:t>支付社会保险的工人</w:t>
            </w:r>
          </w:p>
        </w:tc>
        <w:tc>
          <w:tcPr>
            <w:tcW w:w="590" w:type="pct"/>
            <w:tcBorders>
              <w:top w:val="nil"/>
              <w:bottom w:val="nil"/>
            </w:tcBorders>
          </w:tcPr>
          <w:p w:rsidR="00000000" w:rsidRDefault="00000000">
            <w:pPr>
              <w:pStyle w:val="a2"/>
              <w:jc w:val="center"/>
              <w:rPr>
                <w:rFonts w:hint="eastAsia"/>
                <w:snapToGrid/>
              </w:rPr>
            </w:pPr>
            <w:r>
              <w:rPr>
                <w:rFonts w:hint="eastAsia"/>
                <w:snapToGrid/>
              </w:rPr>
              <w:t>千人</w:t>
            </w:r>
          </w:p>
        </w:tc>
        <w:tc>
          <w:tcPr>
            <w:tcW w:w="438" w:type="pct"/>
            <w:tcBorders>
              <w:top w:val="nil"/>
              <w:bottom w:val="nil"/>
            </w:tcBorders>
          </w:tcPr>
          <w:p w:rsidR="00000000" w:rsidRDefault="00000000">
            <w:pPr>
              <w:pStyle w:val="a2"/>
              <w:jc w:val="center"/>
              <w:rPr>
                <w:snapToGrid/>
              </w:rPr>
            </w:pPr>
            <w:r>
              <w:rPr>
                <w:snapToGrid/>
              </w:rPr>
              <w:t>2.82</w:t>
            </w:r>
          </w:p>
        </w:tc>
        <w:tc>
          <w:tcPr>
            <w:tcW w:w="458" w:type="pct"/>
            <w:tcBorders>
              <w:top w:val="nil"/>
              <w:bottom w:val="nil"/>
            </w:tcBorders>
          </w:tcPr>
          <w:p w:rsidR="00000000" w:rsidRDefault="00000000">
            <w:pPr>
              <w:pStyle w:val="a2"/>
              <w:jc w:val="center"/>
              <w:rPr>
                <w:snapToGrid/>
              </w:rPr>
            </w:pPr>
            <w:r>
              <w:rPr>
                <w:snapToGrid/>
              </w:rPr>
              <w:t>2.27</w:t>
            </w:r>
          </w:p>
        </w:tc>
        <w:tc>
          <w:tcPr>
            <w:tcW w:w="381" w:type="pct"/>
            <w:tcBorders>
              <w:top w:val="nil"/>
              <w:bottom w:val="nil"/>
            </w:tcBorders>
          </w:tcPr>
          <w:p w:rsidR="00000000" w:rsidRDefault="00000000">
            <w:pPr>
              <w:pStyle w:val="a2"/>
              <w:jc w:val="center"/>
              <w:rPr>
                <w:snapToGrid/>
              </w:rPr>
            </w:pPr>
            <w:r>
              <w:rPr>
                <w:snapToGrid/>
              </w:rPr>
              <w:t>2.25</w:t>
            </w:r>
          </w:p>
        </w:tc>
        <w:tc>
          <w:tcPr>
            <w:tcW w:w="381" w:type="pct"/>
            <w:tcBorders>
              <w:top w:val="nil"/>
              <w:bottom w:val="nil"/>
            </w:tcBorders>
          </w:tcPr>
          <w:p w:rsidR="00000000" w:rsidRDefault="00000000">
            <w:pPr>
              <w:pStyle w:val="a2"/>
              <w:jc w:val="center"/>
              <w:rPr>
                <w:snapToGrid/>
              </w:rPr>
            </w:pPr>
            <w:r>
              <w:rPr>
                <w:snapToGrid/>
              </w:rPr>
              <w:t>2.23</w:t>
            </w:r>
          </w:p>
        </w:tc>
        <w:tc>
          <w:tcPr>
            <w:tcW w:w="381" w:type="pct"/>
            <w:tcBorders>
              <w:top w:val="nil"/>
              <w:bottom w:val="nil"/>
            </w:tcBorders>
          </w:tcPr>
          <w:p w:rsidR="00000000" w:rsidRDefault="00000000">
            <w:pPr>
              <w:pStyle w:val="a2"/>
              <w:jc w:val="center"/>
              <w:rPr>
                <w:snapToGrid/>
              </w:rPr>
            </w:pPr>
            <w:r>
              <w:rPr>
                <w:snapToGrid/>
              </w:rPr>
              <w:t>2.20</w:t>
            </w:r>
          </w:p>
        </w:tc>
        <w:tc>
          <w:tcPr>
            <w:tcW w:w="381" w:type="pct"/>
            <w:tcBorders>
              <w:top w:val="nil"/>
              <w:bottom w:val="nil"/>
            </w:tcBorders>
          </w:tcPr>
          <w:p w:rsidR="00000000" w:rsidRDefault="00000000">
            <w:pPr>
              <w:pStyle w:val="a2"/>
              <w:jc w:val="center"/>
              <w:rPr>
                <w:snapToGrid/>
              </w:rPr>
            </w:pPr>
            <w:r>
              <w:rPr>
                <w:snapToGrid/>
              </w:rPr>
              <w:t>2.17</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snapToGrid/>
                <w:spacing w:val="0"/>
              </w:rPr>
            </w:pPr>
            <w:r>
              <w:rPr>
                <w:rFonts w:hint="eastAsia"/>
                <w:snapToGrid/>
                <w:spacing w:val="0"/>
              </w:rPr>
              <w:t>平均养恤金和平均工资之间的比率</w:t>
            </w:r>
          </w:p>
        </w:tc>
        <w:tc>
          <w:tcPr>
            <w:tcW w:w="590" w:type="pct"/>
            <w:tcBorders>
              <w:top w:val="nil"/>
              <w:bottom w:val="nil"/>
            </w:tcBorders>
          </w:tcPr>
          <w:p w:rsidR="00000000" w:rsidRDefault="00000000">
            <w:pPr>
              <w:pStyle w:val="a2"/>
              <w:jc w:val="center"/>
              <w:rPr>
                <w:snapToGrid/>
              </w:rPr>
            </w:pPr>
            <w:r>
              <w:rPr>
                <w:snapToGrid/>
              </w:rPr>
              <w:br/>
              <w:t>%</w:t>
            </w:r>
          </w:p>
        </w:tc>
        <w:tc>
          <w:tcPr>
            <w:tcW w:w="438" w:type="pct"/>
            <w:tcBorders>
              <w:top w:val="nil"/>
              <w:bottom w:val="nil"/>
            </w:tcBorders>
          </w:tcPr>
          <w:p w:rsidR="00000000" w:rsidRDefault="00000000">
            <w:pPr>
              <w:pStyle w:val="a2"/>
              <w:jc w:val="center"/>
              <w:rPr>
                <w:snapToGrid/>
              </w:rPr>
            </w:pPr>
            <w:r>
              <w:rPr>
                <w:snapToGrid/>
              </w:rPr>
              <w:br/>
              <w:t>59.7</w:t>
            </w:r>
          </w:p>
        </w:tc>
        <w:tc>
          <w:tcPr>
            <w:tcW w:w="458" w:type="pct"/>
            <w:tcBorders>
              <w:top w:val="nil"/>
              <w:bottom w:val="nil"/>
            </w:tcBorders>
          </w:tcPr>
          <w:p w:rsidR="00000000" w:rsidRDefault="00000000">
            <w:pPr>
              <w:pStyle w:val="a2"/>
              <w:jc w:val="center"/>
              <w:rPr>
                <w:snapToGrid/>
              </w:rPr>
            </w:pPr>
            <w:r>
              <w:rPr>
                <w:snapToGrid/>
              </w:rPr>
              <w:br/>
              <w:t>60.4</w:t>
            </w:r>
          </w:p>
        </w:tc>
        <w:tc>
          <w:tcPr>
            <w:tcW w:w="381" w:type="pct"/>
            <w:tcBorders>
              <w:top w:val="nil"/>
              <w:bottom w:val="nil"/>
            </w:tcBorders>
          </w:tcPr>
          <w:p w:rsidR="00000000" w:rsidRDefault="00000000">
            <w:pPr>
              <w:pStyle w:val="a2"/>
              <w:jc w:val="center"/>
              <w:rPr>
                <w:snapToGrid/>
              </w:rPr>
            </w:pPr>
            <w:r>
              <w:rPr>
                <w:snapToGrid/>
              </w:rPr>
              <w:br/>
              <w:t>50.9</w:t>
            </w:r>
          </w:p>
        </w:tc>
        <w:tc>
          <w:tcPr>
            <w:tcW w:w="381" w:type="pct"/>
            <w:tcBorders>
              <w:top w:val="nil"/>
              <w:bottom w:val="nil"/>
            </w:tcBorders>
          </w:tcPr>
          <w:p w:rsidR="00000000" w:rsidRDefault="00000000">
            <w:pPr>
              <w:pStyle w:val="a2"/>
              <w:jc w:val="center"/>
              <w:rPr>
                <w:snapToGrid/>
              </w:rPr>
            </w:pPr>
            <w:r>
              <w:rPr>
                <w:snapToGrid/>
              </w:rPr>
              <w:br/>
              <w:t>44.9</w:t>
            </w:r>
          </w:p>
        </w:tc>
        <w:tc>
          <w:tcPr>
            <w:tcW w:w="381" w:type="pct"/>
            <w:tcBorders>
              <w:top w:val="nil"/>
              <w:bottom w:val="nil"/>
            </w:tcBorders>
          </w:tcPr>
          <w:p w:rsidR="00000000" w:rsidRDefault="00000000">
            <w:pPr>
              <w:pStyle w:val="a2"/>
              <w:jc w:val="center"/>
              <w:rPr>
                <w:snapToGrid/>
              </w:rPr>
            </w:pPr>
            <w:r>
              <w:rPr>
                <w:snapToGrid/>
              </w:rPr>
              <w:br/>
              <w:t>41.9</w:t>
            </w:r>
          </w:p>
        </w:tc>
        <w:tc>
          <w:tcPr>
            <w:tcW w:w="381" w:type="pct"/>
            <w:tcBorders>
              <w:top w:val="nil"/>
              <w:bottom w:val="nil"/>
            </w:tcBorders>
          </w:tcPr>
          <w:p w:rsidR="00000000" w:rsidRDefault="00000000">
            <w:pPr>
              <w:pStyle w:val="a2"/>
              <w:jc w:val="center"/>
              <w:rPr>
                <w:snapToGrid/>
              </w:rPr>
            </w:pPr>
            <w:r>
              <w:rPr>
                <w:snapToGrid/>
              </w:rPr>
              <w:br/>
              <w:t>37.7</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rFonts w:hint="eastAsia"/>
                <w:snapToGrid/>
                <w:spacing w:val="0"/>
              </w:rPr>
            </w:pPr>
            <w:r>
              <w:rPr>
                <w:rFonts w:hint="eastAsia"/>
                <w:snapToGrid/>
                <w:spacing w:val="0"/>
              </w:rPr>
              <w:t>平均养恤金和最低消费预算之间的比率</w:t>
            </w:r>
          </w:p>
        </w:tc>
        <w:tc>
          <w:tcPr>
            <w:tcW w:w="590" w:type="pct"/>
            <w:tcBorders>
              <w:top w:val="nil"/>
              <w:bottom w:val="nil"/>
            </w:tcBorders>
          </w:tcPr>
          <w:p w:rsidR="00000000" w:rsidRDefault="00000000">
            <w:pPr>
              <w:pStyle w:val="a2"/>
              <w:jc w:val="center"/>
              <w:rPr>
                <w:snapToGrid/>
              </w:rPr>
            </w:pPr>
            <w:r>
              <w:rPr>
                <w:snapToGrid/>
              </w:rPr>
              <w:br/>
              <w:t>%</w:t>
            </w:r>
          </w:p>
        </w:tc>
        <w:tc>
          <w:tcPr>
            <w:tcW w:w="438" w:type="pct"/>
            <w:tcBorders>
              <w:top w:val="nil"/>
              <w:bottom w:val="nil"/>
            </w:tcBorders>
          </w:tcPr>
          <w:p w:rsidR="00000000" w:rsidRDefault="00000000">
            <w:pPr>
              <w:pStyle w:val="a2"/>
              <w:jc w:val="center"/>
              <w:rPr>
                <w:snapToGrid/>
              </w:rPr>
            </w:pPr>
            <w:r>
              <w:rPr>
                <w:snapToGrid/>
              </w:rPr>
              <w:br/>
              <w:t>61.5</w:t>
            </w:r>
          </w:p>
        </w:tc>
        <w:tc>
          <w:tcPr>
            <w:tcW w:w="458" w:type="pct"/>
            <w:tcBorders>
              <w:top w:val="nil"/>
              <w:bottom w:val="nil"/>
            </w:tcBorders>
          </w:tcPr>
          <w:p w:rsidR="00000000" w:rsidRDefault="00000000">
            <w:pPr>
              <w:pStyle w:val="a2"/>
              <w:jc w:val="center"/>
              <w:rPr>
                <w:snapToGrid/>
              </w:rPr>
            </w:pPr>
            <w:r>
              <w:rPr>
                <w:snapToGrid/>
              </w:rPr>
              <w:br/>
              <w:t>38.2</w:t>
            </w:r>
          </w:p>
        </w:tc>
        <w:tc>
          <w:tcPr>
            <w:tcW w:w="381" w:type="pct"/>
            <w:tcBorders>
              <w:top w:val="nil"/>
              <w:bottom w:val="nil"/>
            </w:tcBorders>
          </w:tcPr>
          <w:p w:rsidR="00000000" w:rsidRDefault="00000000">
            <w:pPr>
              <w:pStyle w:val="a2"/>
              <w:jc w:val="center"/>
              <w:rPr>
                <w:snapToGrid/>
              </w:rPr>
            </w:pPr>
            <w:r>
              <w:rPr>
                <w:snapToGrid/>
              </w:rPr>
              <w:br/>
              <w:t>20.3</w:t>
            </w:r>
          </w:p>
        </w:tc>
        <w:tc>
          <w:tcPr>
            <w:tcW w:w="381" w:type="pct"/>
            <w:tcBorders>
              <w:top w:val="nil"/>
              <w:bottom w:val="nil"/>
            </w:tcBorders>
          </w:tcPr>
          <w:p w:rsidR="00000000" w:rsidRDefault="00000000">
            <w:pPr>
              <w:pStyle w:val="a2"/>
              <w:jc w:val="center"/>
              <w:rPr>
                <w:snapToGrid/>
              </w:rPr>
            </w:pPr>
            <w:r>
              <w:rPr>
                <w:snapToGrid/>
              </w:rPr>
              <w:br/>
              <w:t>20.7</w:t>
            </w:r>
          </w:p>
        </w:tc>
        <w:tc>
          <w:tcPr>
            <w:tcW w:w="381" w:type="pct"/>
            <w:tcBorders>
              <w:top w:val="nil"/>
              <w:bottom w:val="nil"/>
            </w:tcBorders>
          </w:tcPr>
          <w:p w:rsidR="00000000" w:rsidRDefault="00000000">
            <w:pPr>
              <w:pStyle w:val="a2"/>
              <w:jc w:val="center"/>
              <w:rPr>
                <w:snapToGrid/>
              </w:rPr>
            </w:pPr>
            <w:r>
              <w:rPr>
                <w:snapToGrid/>
              </w:rPr>
              <w:br/>
              <w:t>20.3</w:t>
            </w:r>
          </w:p>
        </w:tc>
        <w:tc>
          <w:tcPr>
            <w:tcW w:w="381" w:type="pct"/>
            <w:tcBorders>
              <w:top w:val="nil"/>
              <w:bottom w:val="nil"/>
            </w:tcBorders>
          </w:tcPr>
          <w:p w:rsidR="00000000" w:rsidRDefault="00000000">
            <w:pPr>
              <w:pStyle w:val="a2"/>
              <w:jc w:val="center"/>
              <w:rPr>
                <w:snapToGrid/>
              </w:rPr>
            </w:pPr>
            <w:r>
              <w:rPr>
                <w:snapToGrid/>
              </w:rPr>
              <w:br/>
              <w:t>18.8</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bottom w:val="nil"/>
            </w:tcBorders>
            <w:tcMar>
              <w:left w:w="57" w:type="dxa"/>
              <w:right w:w="57" w:type="dxa"/>
            </w:tcMar>
          </w:tcPr>
          <w:p w:rsidR="00000000" w:rsidRDefault="00000000">
            <w:pPr>
              <w:pStyle w:val="a2"/>
              <w:rPr>
                <w:rFonts w:hint="eastAsia"/>
                <w:snapToGrid/>
                <w:spacing w:val="0"/>
              </w:rPr>
            </w:pPr>
            <w:r>
              <w:rPr>
                <w:rFonts w:hint="eastAsia"/>
                <w:snapToGrid/>
                <w:spacing w:val="0"/>
              </w:rPr>
              <w:t>养恤金和赔偿金的债务</w:t>
            </w:r>
          </w:p>
        </w:tc>
        <w:tc>
          <w:tcPr>
            <w:tcW w:w="590" w:type="pct"/>
            <w:tcBorders>
              <w:top w:val="nil"/>
              <w:bottom w:val="nil"/>
            </w:tcBorders>
          </w:tcPr>
          <w:p w:rsidR="00000000" w:rsidRDefault="00000000">
            <w:pPr>
              <w:pStyle w:val="a2"/>
              <w:jc w:val="center"/>
              <w:rPr>
                <w:rFonts w:hint="eastAsia"/>
                <w:snapToGrid/>
              </w:rPr>
            </w:pPr>
            <w:r>
              <w:rPr>
                <w:rFonts w:hint="eastAsia"/>
                <w:snapToGrid/>
              </w:rPr>
              <w:t>1</w:t>
            </w:r>
            <w:r>
              <w:rPr>
                <w:rFonts w:hint="eastAsia"/>
                <w:snapToGrid/>
              </w:rPr>
              <w:t>千</w:t>
            </w:r>
            <w:r>
              <w:rPr>
                <w:snapToGrid/>
              </w:rPr>
              <w:br/>
            </w:r>
            <w:r>
              <w:rPr>
                <w:rFonts w:hint="eastAsia"/>
                <w:snapToGrid/>
              </w:rPr>
              <w:t>列依</w:t>
            </w:r>
          </w:p>
        </w:tc>
        <w:tc>
          <w:tcPr>
            <w:tcW w:w="438" w:type="pct"/>
            <w:tcBorders>
              <w:top w:val="nil"/>
              <w:bottom w:val="nil"/>
            </w:tcBorders>
          </w:tcPr>
          <w:p w:rsidR="00000000" w:rsidRDefault="00000000">
            <w:pPr>
              <w:pStyle w:val="a2"/>
              <w:jc w:val="center"/>
              <w:rPr>
                <w:snapToGrid/>
              </w:rPr>
            </w:pPr>
          </w:p>
        </w:tc>
        <w:tc>
          <w:tcPr>
            <w:tcW w:w="458"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r>
              <w:rPr>
                <w:snapToGrid/>
              </w:rPr>
              <w:t>76.9</w:t>
            </w:r>
          </w:p>
        </w:tc>
        <w:tc>
          <w:tcPr>
            <w:tcW w:w="381" w:type="pct"/>
            <w:tcBorders>
              <w:top w:val="nil"/>
              <w:bottom w:val="nil"/>
            </w:tcBorders>
          </w:tcPr>
          <w:p w:rsidR="00000000" w:rsidRDefault="00000000">
            <w:pPr>
              <w:pStyle w:val="a2"/>
              <w:jc w:val="center"/>
              <w:rPr>
                <w:snapToGrid/>
              </w:rPr>
            </w:pPr>
            <w:r>
              <w:rPr>
                <w:snapToGrid/>
              </w:rPr>
              <w:t>128.0</w:t>
            </w:r>
          </w:p>
        </w:tc>
        <w:tc>
          <w:tcPr>
            <w:tcW w:w="381" w:type="pct"/>
            <w:tcBorders>
              <w:top w:val="nil"/>
              <w:bottom w:val="nil"/>
            </w:tcBorders>
          </w:tcPr>
          <w:p w:rsidR="00000000" w:rsidRDefault="00000000">
            <w:pPr>
              <w:pStyle w:val="a2"/>
              <w:jc w:val="center"/>
              <w:rPr>
                <w:snapToGrid/>
              </w:rPr>
            </w:pPr>
            <w:r>
              <w:rPr>
                <w:snapToGrid/>
              </w:rPr>
              <w:t>324.1</w:t>
            </w:r>
          </w:p>
        </w:tc>
        <w:tc>
          <w:tcPr>
            <w:tcW w:w="381" w:type="pct"/>
            <w:tcBorders>
              <w:top w:val="nil"/>
              <w:bottom w:val="nil"/>
            </w:tcBorders>
          </w:tcPr>
          <w:p w:rsidR="00000000" w:rsidRDefault="00000000">
            <w:pPr>
              <w:pStyle w:val="a2"/>
              <w:jc w:val="center"/>
              <w:rPr>
                <w:snapToGrid/>
              </w:rPr>
            </w:pPr>
            <w:r>
              <w:rPr>
                <w:snapToGrid/>
              </w:rPr>
              <w:t>192.2</w:t>
            </w:r>
          </w:p>
        </w:tc>
        <w:tc>
          <w:tcPr>
            <w:tcW w:w="381" w:type="pct"/>
            <w:tcBorders>
              <w:top w:val="nil"/>
              <w:bottom w:val="nil"/>
            </w:tcBorders>
          </w:tcPr>
          <w:p w:rsidR="00000000" w:rsidRDefault="00000000">
            <w:pPr>
              <w:pStyle w:val="a2"/>
              <w:jc w:val="center"/>
              <w:rPr>
                <w:snapToGrid/>
              </w:rPr>
            </w:pPr>
          </w:p>
        </w:tc>
        <w:tc>
          <w:tcPr>
            <w:tcW w:w="381" w:type="pct"/>
            <w:tcBorders>
              <w:top w:val="nil"/>
              <w:bottom w:val="nil"/>
            </w:tcBorders>
          </w:tcPr>
          <w:p w:rsidR="00000000" w:rsidRDefault="00000000">
            <w:pPr>
              <w:pStyle w:val="a2"/>
              <w:jc w:val="center"/>
              <w:rPr>
                <w:snapToGrid/>
              </w:rPr>
            </w:pPr>
          </w:p>
        </w:tc>
        <w:tc>
          <w:tcPr>
            <w:tcW w:w="383" w:type="pct"/>
            <w:tcBorders>
              <w:top w:val="nil"/>
              <w:bottom w:val="nil"/>
            </w:tcBorders>
          </w:tcPr>
          <w:p w:rsidR="00000000" w:rsidRDefault="00000000">
            <w:pPr>
              <w:pStyle w:val="a2"/>
              <w:jc w:val="center"/>
              <w:rPr>
                <w:snapToGrid/>
              </w:rPr>
            </w:pPr>
          </w:p>
        </w:tc>
      </w:tr>
      <w:tr w:rsidR="00000000">
        <w:tblPrEx>
          <w:tblCellMar>
            <w:top w:w="0" w:type="dxa"/>
            <w:bottom w:w="0" w:type="dxa"/>
          </w:tblCellMar>
        </w:tblPrEx>
        <w:tc>
          <w:tcPr>
            <w:tcW w:w="844" w:type="pct"/>
            <w:tcBorders>
              <w:top w:val="nil"/>
            </w:tcBorders>
            <w:tcMar>
              <w:left w:w="57" w:type="dxa"/>
              <w:right w:w="57" w:type="dxa"/>
            </w:tcMar>
          </w:tcPr>
          <w:p w:rsidR="00000000" w:rsidRDefault="00000000">
            <w:pPr>
              <w:pStyle w:val="a2"/>
              <w:rPr>
                <w:snapToGrid/>
                <w:spacing w:val="0"/>
              </w:rPr>
            </w:pPr>
            <w:r>
              <w:rPr>
                <w:rFonts w:hint="eastAsia"/>
                <w:snapToGrid/>
                <w:spacing w:val="0"/>
              </w:rPr>
              <w:t>一年的债务</w:t>
            </w:r>
          </w:p>
        </w:tc>
        <w:tc>
          <w:tcPr>
            <w:tcW w:w="590" w:type="pct"/>
            <w:tcBorders>
              <w:top w:val="nil"/>
            </w:tcBorders>
          </w:tcPr>
          <w:p w:rsidR="00000000" w:rsidRDefault="00000000">
            <w:pPr>
              <w:pStyle w:val="a2"/>
              <w:jc w:val="center"/>
              <w:rPr>
                <w:snapToGrid/>
              </w:rPr>
            </w:pPr>
            <w:r>
              <w:rPr>
                <w:snapToGrid/>
              </w:rPr>
              <w:t>%</w:t>
            </w:r>
          </w:p>
        </w:tc>
        <w:tc>
          <w:tcPr>
            <w:tcW w:w="438" w:type="pct"/>
            <w:tcBorders>
              <w:top w:val="nil"/>
            </w:tcBorders>
          </w:tcPr>
          <w:p w:rsidR="00000000" w:rsidRDefault="00000000">
            <w:pPr>
              <w:pStyle w:val="a2"/>
              <w:jc w:val="center"/>
              <w:rPr>
                <w:snapToGrid/>
              </w:rPr>
            </w:pPr>
          </w:p>
        </w:tc>
        <w:tc>
          <w:tcPr>
            <w:tcW w:w="458" w:type="pct"/>
            <w:tcBorders>
              <w:top w:val="nil"/>
            </w:tcBorders>
          </w:tcPr>
          <w:p w:rsidR="00000000" w:rsidRDefault="00000000">
            <w:pPr>
              <w:pStyle w:val="a2"/>
              <w:jc w:val="center"/>
              <w:rPr>
                <w:snapToGrid/>
              </w:rPr>
            </w:pPr>
          </w:p>
        </w:tc>
        <w:tc>
          <w:tcPr>
            <w:tcW w:w="381" w:type="pct"/>
            <w:tcBorders>
              <w:top w:val="nil"/>
            </w:tcBorders>
          </w:tcPr>
          <w:p w:rsidR="00000000" w:rsidRDefault="00000000">
            <w:pPr>
              <w:pStyle w:val="a2"/>
              <w:jc w:val="center"/>
              <w:rPr>
                <w:snapToGrid/>
              </w:rPr>
            </w:pPr>
            <w:r>
              <w:rPr>
                <w:snapToGrid/>
              </w:rPr>
              <w:t>15.6</w:t>
            </w:r>
          </w:p>
        </w:tc>
        <w:tc>
          <w:tcPr>
            <w:tcW w:w="381" w:type="pct"/>
            <w:tcBorders>
              <w:top w:val="nil"/>
            </w:tcBorders>
          </w:tcPr>
          <w:p w:rsidR="00000000" w:rsidRDefault="00000000">
            <w:pPr>
              <w:pStyle w:val="a2"/>
              <w:jc w:val="center"/>
              <w:rPr>
                <w:snapToGrid/>
              </w:rPr>
            </w:pPr>
            <w:r>
              <w:rPr>
                <w:snapToGrid/>
              </w:rPr>
              <w:t>22.1</w:t>
            </w:r>
          </w:p>
        </w:tc>
        <w:tc>
          <w:tcPr>
            <w:tcW w:w="381" w:type="pct"/>
            <w:tcBorders>
              <w:top w:val="nil"/>
            </w:tcBorders>
          </w:tcPr>
          <w:p w:rsidR="00000000" w:rsidRDefault="00000000">
            <w:pPr>
              <w:pStyle w:val="a2"/>
              <w:jc w:val="center"/>
              <w:rPr>
                <w:snapToGrid/>
              </w:rPr>
            </w:pPr>
            <w:r>
              <w:rPr>
                <w:snapToGrid/>
              </w:rPr>
              <w:t>45.5</w:t>
            </w:r>
          </w:p>
        </w:tc>
        <w:tc>
          <w:tcPr>
            <w:tcW w:w="381" w:type="pct"/>
            <w:tcBorders>
              <w:top w:val="nil"/>
            </w:tcBorders>
          </w:tcPr>
          <w:p w:rsidR="00000000" w:rsidRDefault="00000000">
            <w:pPr>
              <w:pStyle w:val="a2"/>
              <w:jc w:val="center"/>
              <w:rPr>
                <w:snapToGrid/>
              </w:rPr>
            </w:pPr>
            <w:r>
              <w:rPr>
                <w:snapToGrid/>
              </w:rPr>
              <w:t>32.5</w:t>
            </w:r>
          </w:p>
        </w:tc>
        <w:tc>
          <w:tcPr>
            <w:tcW w:w="381" w:type="pct"/>
            <w:tcBorders>
              <w:top w:val="nil"/>
            </w:tcBorders>
          </w:tcPr>
          <w:p w:rsidR="00000000" w:rsidRDefault="00000000">
            <w:pPr>
              <w:pStyle w:val="a2"/>
              <w:jc w:val="center"/>
              <w:rPr>
                <w:snapToGrid/>
              </w:rPr>
            </w:pPr>
          </w:p>
        </w:tc>
        <w:tc>
          <w:tcPr>
            <w:tcW w:w="381" w:type="pct"/>
            <w:tcBorders>
              <w:top w:val="nil"/>
            </w:tcBorders>
          </w:tcPr>
          <w:p w:rsidR="00000000" w:rsidRDefault="00000000">
            <w:pPr>
              <w:pStyle w:val="a2"/>
              <w:jc w:val="center"/>
              <w:rPr>
                <w:snapToGrid/>
              </w:rPr>
            </w:pPr>
          </w:p>
        </w:tc>
        <w:tc>
          <w:tcPr>
            <w:tcW w:w="383" w:type="pct"/>
            <w:tcBorders>
              <w:top w:val="nil"/>
            </w:tcBorders>
          </w:tcPr>
          <w:p w:rsidR="00000000" w:rsidRDefault="00000000">
            <w:pPr>
              <w:pStyle w:val="a2"/>
              <w:jc w:val="center"/>
              <w:rPr>
                <w:snapToGrid/>
              </w:rPr>
            </w:pPr>
          </w:p>
        </w:tc>
      </w:tr>
    </w:tbl>
    <w:p w:rsidR="00000000" w:rsidRDefault="00000000">
      <w:pPr>
        <w:spacing w:before="240" w:after="240"/>
        <w:rPr>
          <w:rFonts w:eastAsia="KaiTi_GB2312"/>
          <w:snapToGrid/>
          <w:spacing w:val="0"/>
        </w:rPr>
      </w:pPr>
      <w:r>
        <w:rPr>
          <w:rFonts w:eastAsia="KaiTi_GB2312" w:hint="eastAsia"/>
          <w:snapToGrid/>
          <w:spacing w:val="0"/>
        </w:rPr>
        <w:tab/>
        <w:t>*</w:t>
      </w:r>
      <w:r>
        <w:rPr>
          <w:rFonts w:eastAsia="KaiTi_GB2312"/>
          <w:snapToGrid/>
          <w:spacing w:val="0"/>
        </w:rPr>
        <w:t xml:space="preserve">  </w:t>
      </w:r>
      <w:r>
        <w:rPr>
          <w:rFonts w:eastAsia="KaiTi_GB2312" w:hint="eastAsia"/>
          <w:snapToGrid/>
          <w:spacing w:val="0"/>
        </w:rPr>
        <w:t>涉及涅斯特鲁河左岸各地区的数据也被考虑在内。</w:t>
      </w:r>
    </w:p>
    <w:p w:rsidR="00000000" w:rsidRDefault="00000000">
      <w:pPr>
        <w:rPr>
          <w:rFonts w:hint="eastAsia"/>
          <w:snapToGrid/>
        </w:rPr>
      </w:pPr>
      <w:r>
        <w:rPr>
          <w:snapToGrid/>
        </w:rPr>
        <w:tab/>
      </w:r>
      <w:r>
        <w:rPr>
          <w:rFonts w:hint="eastAsia"/>
          <w:snapToGrid/>
        </w:rPr>
        <w:t>280.</w:t>
      </w:r>
      <w:r>
        <w:rPr>
          <w:snapToGrid/>
        </w:rPr>
        <w:t xml:space="preserve">  </w:t>
      </w:r>
      <w:r>
        <w:rPr>
          <w:rFonts w:hint="eastAsia"/>
          <w:snapToGrid/>
        </w:rPr>
        <w:t>从社会保险支付额的角度来看，参加经济活动的人所承受的压力加大了。养恤金领取者和就业人口之间的数量比例从</w:t>
      </w:r>
      <w:r>
        <w:rPr>
          <w:rFonts w:hint="eastAsia"/>
          <w:snapToGrid/>
        </w:rPr>
        <w:t>1992</w:t>
      </w:r>
      <w:r>
        <w:rPr>
          <w:rFonts w:hint="eastAsia"/>
          <w:snapToGrid/>
        </w:rPr>
        <w:t>年的</w:t>
      </w:r>
      <w:r>
        <w:rPr>
          <w:rFonts w:hint="eastAsia"/>
          <w:snapToGrid/>
        </w:rPr>
        <w:t>51.1%</w:t>
      </w:r>
      <w:r>
        <w:rPr>
          <w:rFonts w:hint="eastAsia"/>
          <w:snapToGrid/>
        </w:rPr>
        <w:t>上升到</w:t>
      </w:r>
      <w:r>
        <w:rPr>
          <w:rFonts w:hint="eastAsia"/>
          <w:snapToGrid/>
        </w:rPr>
        <w:t>1996</w:t>
      </w:r>
      <w:r>
        <w:rPr>
          <w:rFonts w:hint="eastAsia"/>
          <w:snapToGrid/>
        </w:rPr>
        <w:t>年的</w:t>
      </w:r>
      <w:r>
        <w:rPr>
          <w:rFonts w:hint="eastAsia"/>
          <w:snapToGrid/>
        </w:rPr>
        <w:t>61.45%</w:t>
      </w:r>
      <w:r>
        <w:rPr>
          <w:rFonts w:hint="eastAsia"/>
          <w:snapToGrid/>
        </w:rPr>
        <w:t>。</w:t>
      </w:r>
    </w:p>
    <w:p w:rsidR="00000000" w:rsidRDefault="00000000">
      <w:pPr>
        <w:rPr>
          <w:rFonts w:hint="eastAsia"/>
          <w:snapToGrid/>
        </w:rPr>
      </w:pPr>
      <w:r>
        <w:rPr>
          <w:snapToGrid/>
        </w:rPr>
        <w:tab/>
      </w:r>
      <w:r>
        <w:rPr>
          <w:rFonts w:hint="eastAsia"/>
          <w:snapToGrid/>
        </w:rPr>
        <w:t>281.</w:t>
      </w:r>
      <w:r>
        <w:rPr>
          <w:snapToGrid/>
        </w:rPr>
        <w:t xml:space="preserve">  </w:t>
      </w:r>
      <w:r>
        <w:rPr>
          <w:rFonts w:hint="eastAsia"/>
          <w:snapToGrid/>
        </w:rPr>
        <w:t>养恤金保障制度由于管理费用、养恤金的分发费用、银行服务费用等也受到压力。</w:t>
      </w:r>
      <w:r>
        <w:rPr>
          <w:rFonts w:hint="eastAsia"/>
          <w:snapToGrid/>
        </w:rPr>
        <w:t>1997</w:t>
      </w:r>
      <w:r>
        <w:rPr>
          <w:rFonts w:hint="eastAsia"/>
          <w:snapToGrid/>
        </w:rPr>
        <w:t>年中养恤金基金预算中超过</w:t>
      </w:r>
      <w:r>
        <w:rPr>
          <w:rFonts w:hint="eastAsia"/>
          <w:snapToGrid/>
        </w:rPr>
        <w:t>3%</w:t>
      </w:r>
      <w:r>
        <w:rPr>
          <w:rFonts w:hint="eastAsia"/>
          <w:snapToGrid/>
        </w:rPr>
        <w:t>被用于分发和银行服务方面。对这些支出进行分析后表明，它们是可以被削减的。每月约有</w:t>
      </w:r>
      <w:r>
        <w:rPr>
          <w:rFonts w:hint="eastAsia"/>
          <w:snapToGrid/>
        </w:rPr>
        <w:t>4</w:t>
      </w:r>
      <w:r>
        <w:rPr>
          <w:rFonts w:hint="eastAsia"/>
          <w:snapToGrid/>
        </w:rPr>
        <w:t>百万列依被用于向受雇佣的养恤金领取人支付养恤金。这类受益人的保险水平高于未受雇佣的养恤金领取人。如果一名受雇佣的养恤金领取人的平均工资为</w:t>
      </w:r>
      <w:r>
        <w:rPr>
          <w:rFonts w:hint="eastAsia"/>
          <w:snapToGrid/>
        </w:rPr>
        <w:t>219.80</w:t>
      </w:r>
      <w:r>
        <w:rPr>
          <w:rFonts w:hint="eastAsia"/>
          <w:snapToGrid/>
        </w:rPr>
        <w:t>列依</w:t>
      </w:r>
      <w:r>
        <w:rPr>
          <w:rFonts w:hint="eastAsia"/>
          <w:snapToGrid/>
        </w:rPr>
        <w:t>(1997</w:t>
      </w:r>
      <w:r>
        <w:rPr>
          <w:rFonts w:hint="eastAsia"/>
          <w:snapToGrid/>
        </w:rPr>
        <w:t>年的国家平均工资</w:t>
      </w:r>
      <w:r>
        <w:rPr>
          <w:rFonts w:hint="eastAsia"/>
          <w:snapToGrid/>
        </w:rPr>
        <w:t>)</w:t>
      </w:r>
      <w:r>
        <w:rPr>
          <w:rFonts w:hint="eastAsia"/>
          <w:snapToGrid/>
        </w:rPr>
        <w:t>，那么在算入数额为</w:t>
      </w:r>
      <w:r>
        <w:rPr>
          <w:rFonts w:hint="eastAsia"/>
          <w:snapToGrid/>
        </w:rPr>
        <w:t>86.15</w:t>
      </w:r>
      <w:r>
        <w:rPr>
          <w:rFonts w:hint="eastAsia"/>
          <w:snapToGrid/>
        </w:rPr>
        <w:t>列依的平均补贴后，该养恤金领取人每月的总收入为</w:t>
      </w:r>
      <w:r>
        <w:rPr>
          <w:rFonts w:hint="eastAsia"/>
          <w:snapToGrid/>
        </w:rPr>
        <w:t>305.95</w:t>
      </w:r>
      <w:r>
        <w:rPr>
          <w:rFonts w:hint="eastAsia"/>
          <w:snapToGrid/>
        </w:rPr>
        <w:t>列依。为支付具有特权的养恤金需要一大笔金额。这类养恤金的数量为</w:t>
      </w:r>
      <w:r>
        <w:rPr>
          <w:rFonts w:hint="eastAsia"/>
          <w:snapToGrid/>
        </w:rPr>
        <w:t xml:space="preserve">147,300 </w:t>
      </w:r>
      <w:r>
        <w:rPr>
          <w:snapToGrid/>
        </w:rPr>
        <w:t>—</w:t>
      </w:r>
      <w:r>
        <w:rPr>
          <w:rFonts w:hint="eastAsia"/>
          <w:snapToGrid/>
        </w:rPr>
        <w:t>占养恤金总数量的</w:t>
      </w:r>
      <w:r>
        <w:rPr>
          <w:rFonts w:hint="eastAsia"/>
          <w:snapToGrid/>
        </w:rPr>
        <w:t>19.5%</w:t>
      </w:r>
      <w:r>
        <w:rPr>
          <w:rFonts w:hint="eastAsia"/>
          <w:snapToGrid/>
        </w:rPr>
        <w:t>，占补贴数量的</w:t>
      </w:r>
      <w:r>
        <w:rPr>
          <w:rFonts w:hint="eastAsia"/>
          <w:snapToGrid/>
        </w:rPr>
        <w:t>26.3%</w:t>
      </w:r>
      <w:r>
        <w:rPr>
          <w:rFonts w:hint="eastAsia"/>
          <w:snapToGrid/>
        </w:rPr>
        <w:t>。</w:t>
      </w:r>
    </w:p>
    <w:p w:rsidR="00000000" w:rsidRDefault="00000000">
      <w:pPr>
        <w:rPr>
          <w:snapToGrid/>
        </w:rPr>
      </w:pPr>
      <w:r>
        <w:rPr>
          <w:snapToGrid/>
        </w:rPr>
        <w:tab/>
      </w:r>
      <w:r>
        <w:rPr>
          <w:rFonts w:hint="eastAsia"/>
          <w:snapToGrid/>
        </w:rPr>
        <w:t>282.</w:t>
      </w:r>
      <w:r>
        <w:rPr>
          <w:snapToGrid/>
        </w:rPr>
        <w:t xml:space="preserve">  </w:t>
      </w:r>
      <w:r>
        <w:rPr>
          <w:rFonts w:hint="eastAsia"/>
          <w:snapToGrid/>
        </w:rPr>
        <w:t>受益人总数中有</w:t>
      </w:r>
      <w:r>
        <w:rPr>
          <w:rFonts w:hint="eastAsia"/>
          <w:snapToGrid/>
        </w:rPr>
        <w:t>19,000</w:t>
      </w:r>
      <w:r>
        <w:rPr>
          <w:rFonts w:hint="eastAsia"/>
          <w:snapToGrid/>
        </w:rPr>
        <w:t>人获得</w:t>
      </w:r>
      <w:r>
        <w:rPr>
          <w:rFonts w:hint="eastAsia"/>
          <w:snapToGrid/>
        </w:rPr>
        <w:t>1</w:t>
      </w:r>
      <w:r>
        <w:rPr>
          <w:rFonts w:hint="eastAsia"/>
          <w:snapToGrid/>
        </w:rPr>
        <w:t>号表中所列的养恤金；</w:t>
      </w:r>
      <w:r>
        <w:rPr>
          <w:rFonts w:hint="eastAsia"/>
          <w:snapToGrid/>
        </w:rPr>
        <w:t>15,700</w:t>
      </w:r>
      <w:r>
        <w:rPr>
          <w:rFonts w:hint="eastAsia"/>
          <w:snapToGrid/>
        </w:rPr>
        <w:t>人获得</w:t>
      </w:r>
      <w:r>
        <w:rPr>
          <w:rFonts w:hint="eastAsia"/>
          <w:snapToGrid/>
        </w:rPr>
        <w:t>2</w:t>
      </w:r>
      <w:r>
        <w:rPr>
          <w:rFonts w:hint="eastAsia"/>
          <w:snapToGrid/>
        </w:rPr>
        <w:t>号表中所列的养恤金。获得</w:t>
      </w:r>
      <w:r>
        <w:rPr>
          <w:rFonts w:hint="eastAsia"/>
          <w:snapToGrid/>
        </w:rPr>
        <w:t>3</w:t>
      </w:r>
      <w:r>
        <w:rPr>
          <w:rFonts w:hint="eastAsia"/>
          <w:snapToGrid/>
        </w:rPr>
        <w:t>号表中所列养恤金的人</w:t>
      </w:r>
      <w:r>
        <w:rPr>
          <w:rFonts w:hint="eastAsia"/>
          <w:snapToGrid/>
        </w:rPr>
        <w:t>(</w:t>
      </w:r>
      <w:r>
        <w:rPr>
          <w:rFonts w:hint="eastAsia"/>
          <w:snapToGrid/>
        </w:rPr>
        <w:t>农业劳动者</w:t>
      </w:r>
      <w:r>
        <w:rPr>
          <w:rFonts w:hint="eastAsia"/>
          <w:snapToGrid/>
        </w:rPr>
        <w:t>)</w:t>
      </w:r>
      <w:r>
        <w:rPr>
          <w:rFonts w:hint="eastAsia"/>
          <w:snapToGrid/>
        </w:rPr>
        <w:t>中包括</w:t>
      </w:r>
      <w:r>
        <w:rPr>
          <w:rFonts w:hint="eastAsia"/>
          <w:snapToGrid/>
        </w:rPr>
        <w:t>105,200</w:t>
      </w:r>
      <w:r>
        <w:rPr>
          <w:rFonts w:hint="eastAsia"/>
          <w:snapToGrid/>
        </w:rPr>
        <w:t>名有</w:t>
      </w:r>
      <w:r>
        <w:rPr>
          <w:rFonts w:hint="eastAsia"/>
          <w:snapToGrid/>
        </w:rPr>
        <w:t>3</w:t>
      </w:r>
      <w:r>
        <w:rPr>
          <w:rFonts w:hint="eastAsia"/>
          <w:snapToGrid/>
        </w:rPr>
        <w:t>个或更多子女的母亲</w:t>
      </w:r>
      <w:r>
        <w:rPr>
          <w:rFonts w:hint="eastAsia"/>
          <w:snapToGrid/>
        </w:rPr>
        <w:t>(</w:t>
      </w:r>
      <w:r>
        <w:rPr>
          <w:rFonts w:hint="eastAsia"/>
          <w:snapToGrid/>
        </w:rPr>
        <w:t>表</w:t>
      </w:r>
      <w:r>
        <w:rPr>
          <w:rFonts w:hint="eastAsia"/>
          <w:snapToGrid/>
        </w:rPr>
        <w:t>25)</w:t>
      </w:r>
      <w:r>
        <w:rPr>
          <w:rFonts w:hint="eastAsia"/>
          <w:snapToGrid/>
        </w:rPr>
        <w:t>。每月支付这类养恤金的开支总共为</w:t>
      </w:r>
      <w:r>
        <w:rPr>
          <w:rFonts w:hint="eastAsia"/>
          <w:snapToGrid/>
        </w:rPr>
        <w:t>12,400,000</w:t>
      </w:r>
      <w:r>
        <w:rPr>
          <w:rFonts w:hint="eastAsia"/>
          <w:snapToGrid/>
        </w:rPr>
        <w:t>列依。每年约有</w:t>
      </w:r>
      <w:r>
        <w:rPr>
          <w:rFonts w:hint="eastAsia"/>
          <w:snapToGrid/>
        </w:rPr>
        <w:t>10,700</w:t>
      </w:r>
      <w:r>
        <w:rPr>
          <w:rFonts w:hint="eastAsia"/>
          <w:snapToGrid/>
        </w:rPr>
        <w:t>份养恤金享有特权。有权领取具有特权的养恤金的人数越来越多。</w:t>
      </w:r>
    </w:p>
    <w:p w:rsidR="00000000" w:rsidRDefault="00000000">
      <w:pPr>
        <w:rPr>
          <w:snapToGrid/>
        </w:rPr>
        <w:sectPr w:rsidR="00000000">
          <w:headerReference w:type="even" r:id="rId7"/>
          <w:headerReference w:type="default" r:id="rId8"/>
          <w:footerReference w:type="default" r:id="rId9"/>
          <w:headerReference w:type="first" r:id="rId10"/>
          <w:footerReference w:type="first" r:id="rId11"/>
          <w:pgSz w:w="11906" w:h="16838"/>
          <w:pgMar w:top="1985" w:right="851" w:bottom="1985" w:left="1701" w:header="794" w:footer="1588" w:gutter="0"/>
          <w:cols w:space="425"/>
          <w:titlePg/>
          <w:docGrid w:type="lines" w:linePitch="360"/>
        </w:sectPr>
      </w:pPr>
    </w:p>
    <w:p w:rsidR="00000000" w:rsidRDefault="00000000">
      <w:pPr>
        <w:rPr>
          <w:rFonts w:hint="eastAsia"/>
          <w:snapToGrid/>
        </w:rPr>
      </w:pPr>
    </w:p>
    <w:p w:rsidR="00000000" w:rsidRDefault="00000000">
      <w:pPr>
        <w:pStyle w:val="Heading3"/>
        <w:spacing w:after="60"/>
        <w:rPr>
          <w:rFonts w:hint="eastAsia"/>
          <w:kern w:val="0"/>
          <w:sz w:val="22"/>
        </w:rPr>
      </w:pPr>
      <w:r>
        <w:rPr>
          <w:rFonts w:hint="eastAsia"/>
          <w:kern w:val="0"/>
          <w:sz w:val="22"/>
          <w:u w:val="none"/>
        </w:rPr>
        <w:t>表</w:t>
      </w:r>
      <w:r>
        <w:rPr>
          <w:kern w:val="0"/>
          <w:sz w:val="22"/>
          <w:u w:val="none"/>
        </w:rPr>
        <w:t xml:space="preserve">25  </w:t>
      </w:r>
      <w:r>
        <w:rPr>
          <w:rFonts w:hint="eastAsia"/>
          <w:kern w:val="0"/>
          <w:sz w:val="22"/>
        </w:rPr>
        <w:t>领取养恤金和补充金额的人</w:t>
      </w: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75"/>
        <w:gridCol w:w="911"/>
        <w:gridCol w:w="1178"/>
        <w:gridCol w:w="1428"/>
        <w:gridCol w:w="1031"/>
        <w:gridCol w:w="1014"/>
        <w:gridCol w:w="1231"/>
        <w:gridCol w:w="874"/>
        <w:gridCol w:w="1016"/>
        <w:gridCol w:w="1326"/>
      </w:tblGrid>
      <w:tr w:rsidR="00000000">
        <w:tblPrEx>
          <w:tblCellMar>
            <w:top w:w="0" w:type="dxa"/>
          </w:tblCellMar>
        </w:tblPrEx>
        <w:trPr>
          <w:cantSplit/>
        </w:trPr>
        <w:tc>
          <w:tcPr>
            <w:tcW w:w="991" w:type="pct"/>
          </w:tcPr>
          <w:p w:rsidR="00000000" w:rsidRDefault="00000000">
            <w:pPr>
              <w:pStyle w:val="a2"/>
              <w:spacing w:before="60" w:line="240" w:lineRule="exact"/>
              <w:jc w:val="center"/>
              <w:rPr>
                <w:rFonts w:hint="eastAsia"/>
                <w:snapToGrid/>
                <w:sz w:val="18"/>
              </w:rPr>
            </w:pPr>
            <w:r>
              <w:rPr>
                <w:rFonts w:hint="eastAsia"/>
                <w:snapToGrid/>
                <w:sz w:val="18"/>
              </w:rPr>
              <w:t>领取养恤金和补充金额的人</w:t>
            </w:r>
          </w:p>
        </w:tc>
        <w:tc>
          <w:tcPr>
            <w:tcW w:w="4009" w:type="pct"/>
            <w:gridSpan w:val="9"/>
          </w:tcPr>
          <w:p w:rsidR="00000000" w:rsidRDefault="00000000">
            <w:pPr>
              <w:pStyle w:val="a2"/>
              <w:spacing w:before="60" w:line="240" w:lineRule="exact"/>
              <w:jc w:val="center"/>
              <w:rPr>
                <w:rFonts w:hint="eastAsia"/>
                <w:snapToGrid/>
                <w:sz w:val="18"/>
              </w:rPr>
            </w:pPr>
            <w:r>
              <w:rPr>
                <w:rFonts w:hint="eastAsia"/>
                <w:snapToGrid/>
                <w:sz w:val="18"/>
              </w:rPr>
              <w:t>年</w:t>
            </w:r>
            <w:r>
              <w:rPr>
                <w:snapToGrid/>
                <w:sz w:val="18"/>
              </w:rPr>
              <w:t xml:space="preserve">  </w:t>
            </w:r>
            <w:r>
              <w:rPr>
                <w:rFonts w:hint="eastAsia"/>
                <w:snapToGrid/>
                <w:sz w:val="18"/>
              </w:rPr>
              <w:t>份</w:t>
            </w:r>
          </w:p>
        </w:tc>
      </w:tr>
      <w:tr w:rsidR="00000000">
        <w:tblPrEx>
          <w:tblCellMar>
            <w:top w:w="0" w:type="dxa"/>
          </w:tblCellMar>
        </w:tblPrEx>
        <w:trPr>
          <w:cantSplit/>
        </w:trPr>
        <w:tc>
          <w:tcPr>
            <w:tcW w:w="991" w:type="pct"/>
            <w:vMerge w:val="restart"/>
          </w:tcPr>
          <w:p w:rsidR="00000000" w:rsidRDefault="00000000">
            <w:pPr>
              <w:pStyle w:val="a2"/>
              <w:spacing w:before="60" w:line="240" w:lineRule="exact"/>
              <w:jc w:val="center"/>
              <w:rPr>
                <w:snapToGrid/>
                <w:sz w:val="18"/>
              </w:rPr>
            </w:pPr>
          </w:p>
          <w:p w:rsidR="00000000" w:rsidRDefault="00000000">
            <w:pPr>
              <w:pStyle w:val="a2"/>
              <w:spacing w:before="60" w:line="240" w:lineRule="exact"/>
              <w:jc w:val="center"/>
              <w:rPr>
                <w:rFonts w:hint="eastAsia"/>
                <w:snapToGrid/>
                <w:sz w:val="18"/>
              </w:rPr>
            </w:pPr>
            <w:r>
              <w:rPr>
                <w:rFonts w:hint="eastAsia"/>
                <w:snapToGrid/>
                <w:sz w:val="18"/>
              </w:rPr>
              <w:t>领取人</w:t>
            </w:r>
          </w:p>
        </w:tc>
        <w:tc>
          <w:tcPr>
            <w:tcW w:w="1409" w:type="pct"/>
            <w:gridSpan w:val="3"/>
          </w:tcPr>
          <w:p w:rsidR="00000000" w:rsidRDefault="00000000">
            <w:pPr>
              <w:pStyle w:val="a2"/>
              <w:spacing w:before="60" w:line="240" w:lineRule="exact"/>
              <w:jc w:val="center"/>
              <w:rPr>
                <w:snapToGrid/>
                <w:sz w:val="18"/>
              </w:rPr>
            </w:pPr>
            <w:r>
              <w:rPr>
                <w:snapToGrid/>
                <w:sz w:val="18"/>
              </w:rPr>
              <w:t>1992</w:t>
            </w:r>
          </w:p>
        </w:tc>
        <w:tc>
          <w:tcPr>
            <w:tcW w:w="1312" w:type="pct"/>
            <w:gridSpan w:val="3"/>
          </w:tcPr>
          <w:p w:rsidR="00000000" w:rsidRDefault="00000000">
            <w:pPr>
              <w:pStyle w:val="a2"/>
              <w:spacing w:before="60" w:line="240" w:lineRule="exact"/>
              <w:jc w:val="center"/>
              <w:rPr>
                <w:snapToGrid/>
                <w:sz w:val="18"/>
              </w:rPr>
            </w:pPr>
            <w:r>
              <w:rPr>
                <w:snapToGrid/>
                <w:sz w:val="18"/>
              </w:rPr>
              <w:t>1993</w:t>
            </w:r>
          </w:p>
        </w:tc>
        <w:tc>
          <w:tcPr>
            <w:tcW w:w="1288" w:type="pct"/>
            <w:gridSpan w:val="3"/>
          </w:tcPr>
          <w:p w:rsidR="00000000" w:rsidRDefault="00000000">
            <w:pPr>
              <w:pStyle w:val="a2"/>
              <w:spacing w:before="60" w:line="240" w:lineRule="exact"/>
              <w:jc w:val="center"/>
              <w:rPr>
                <w:snapToGrid/>
                <w:sz w:val="18"/>
              </w:rPr>
            </w:pPr>
            <w:r>
              <w:rPr>
                <w:snapToGrid/>
                <w:sz w:val="18"/>
              </w:rPr>
              <w:t>1994</w:t>
            </w:r>
          </w:p>
        </w:tc>
      </w:tr>
      <w:tr w:rsidR="00000000">
        <w:tblPrEx>
          <w:tblCellMar>
            <w:top w:w="0" w:type="dxa"/>
          </w:tblCellMar>
        </w:tblPrEx>
        <w:trPr>
          <w:cantSplit/>
        </w:trPr>
        <w:tc>
          <w:tcPr>
            <w:tcW w:w="991" w:type="pct"/>
            <w:vMerge/>
            <w:tcBorders>
              <w:bottom w:val="single" w:sz="4" w:space="0" w:color="auto"/>
            </w:tcBorders>
          </w:tcPr>
          <w:p w:rsidR="00000000" w:rsidRDefault="00000000">
            <w:pPr>
              <w:pStyle w:val="a2"/>
              <w:spacing w:before="60" w:line="240" w:lineRule="exact"/>
              <w:jc w:val="center"/>
              <w:rPr>
                <w:snapToGrid/>
                <w:sz w:val="18"/>
              </w:rPr>
            </w:pPr>
          </w:p>
        </w:tc>
        <w:tc>
          <w:tcPr>
            <w:tcW w:w="365" w:type="pct"/>
            <w:tcBorders>
              <w:bottom w:val="single" w:sz="4" w:space="0" w:color="auto"/>
            </w:tcBorders>
          </w:tcPr>
          <w:p w:rsidR="00000000" w:rsidRDefault="00000000">
            <w:pPr>
              <w:pStyle w:val="a2"/>
              <w:spacing w:before="60" w:line="240" w:lineRule="exact"/>
              <w:jc w:val="center"/>
              <w:rPr>
                <w:rFonts w:hint="eastAsia"/>
                <w:snapToGrid/>
                <w:sz w:val="18"/>
              </w:rPr>
            </w:pPr>
            <w:r>
              <w:rPr>
                <w:rFonts w:hint="eastAsia"/>
                <w:snapToGrid/>
                <w:sz w:val="18"/>
              </w:rPr>
              <w:t>领取人</w:t>
            </w:r>
            <w:r>
              <w:rPr>
                <w:snapToGrid/>
                <w:sz w:val="18"/>
              </w:rPr>
              <w:br/>
            </w:r>
            <w:r>
              <w:rPr>
                <w:rFonts w:hint="eastAsia"/>
                <w:snapToGrid/>
                <w:sz w:val="18"/>
              </w:rPr>
              <w:t>数</w:t>
            </w:r>
            <w:r>
              <w:rPr>
                <w:snapToGrid/>
                <w:sz w:val="18"/>
              </w:rPr>
              <w:t xml:space="preserve">  </w:t>
            </w:r>
            <w:r>
              <w:rPr>
                <w:rFonts w:hint="eastAsia"/>
                <w:snapToGrid/>
                <w:sz w:val="18"/>
              </w:rPr>
              <w:t>目</w:t>
            </w:r>
          </w:p>
        </w:tc>
        <w:tc>
          <w:tcPr>
            <w:tcW w:w="472" w:type="pct"/>
            <w:tcBorders>
              <w:bottom w:val="single" w:sz="4" w:space="0" w:color="auto"/>
            </w:tcBorders>
          </w:tcPr>
          <w:p w:rsidR="00000000" w:rsidRDefault="00000000">
            <w:pPr>
              <w:pStyle w:val="a2"/>
              <w:spacing w:before="60" w:line="240" w:lineRule="exact"/>
              <w:jc w:val="center"/>
              <w:rPr>
                <w:rFonts w:hint="eastAsia"/>
                <w:snapToGrid/>
                <w:sz w:val="18"/>
              </w:rPr>
            </w:pPr>
            <w:r>
              <w:rPr>
                <w:rFonts w:hint="eastAsia"/>
                <w:snapToGrid/>
                <w:sz w:val="18"/>
              </w:rPr>
              <w:t>领取人总数</w:t>
            </w:r>
            <w:r>
              <w:rPr>
                <w:snapToGrid/>
                <w:sz w:val="18"/>
              </w:rPr>
              <w:br/>
            </w:r>
            <w:r>
              <w:rPr>
                <w:rFonts w:hint="eastAsia"/>
                <w:snapToGrid/>
                <w:sz w:val="18"/>
              </w:rPr>
              <w:t>的百分比</w:t>
            </w:r>
          </w:p>
        </w:tc>
        <w:tc>
          <w:tcPr>
            <w:tcW w:w="572" w:type="pct"/>
            <w:tcBorders>
              <w:bottom w:val="single" w:sz="4" w:space="0" w:color="auto"/>
            </w:tcBorders>
          </w:tcPr>
          <w:p w:rsidR="00000000" w:rsidRDefault="00000000">
            <w:pPr>
              <w:pStyle w:val="a2"/>
              <w:spacing w:before="60" w:line="240" w:lineRule="exact"/>
              <w:jc w:val="center"/>
              <w:rPr>
                <w:rFonts w:hint="eastAsia"/>
                <w:snapToGrid/>
                <w:sz w:val="18"/>
              </w:rPr>
            </w:pPr>
            <w:r>
              <w:rPr>
                <w:rFonts w:hint="eastAsia"/>
                <w:snapToGrid/>
                <w:sz w:val="18"/>
              </w:rPr>
              <w:t>补贴领取人</w:t>
            </w:r>
            <w:r>
              <w:rPr>
                <w:snapToGrid/>
                <w:sz w:val="18"/>
              </w:rPr>
              <w:br/>
            </w:r>
            <w:r>
              <w:rPr>
                <w:rFonts w:hint="eastAsia"/>
                <w:snapToGrid/>
                <w:sz w:val="18"/>
              </w:rPr>
              <w:t>总数的百分比</w:t>
            </w:r>
          </w:p>
        </w:tc>
        <w:tc>
          <w:tcPr>
            <w:tcW w:w="413" w:type="pct"/>
            <w:tcBorders>
              <w:bottom w:val="single" w:sz="4" w:space="0" w:color="auto"/>
            </w:tcBorders>
          </w:tcPr>
          <w:p w:rsidR="00000000" w:rsidRDefault="00000000">
            <w:pPr>
              <w:pStyle w:val="a2"/>
              <w:spacing w:before="60" w:line="240" w:lineRule="exact"/>
              <w:jc w:val="center"/>
              <w:rPr>
                <w:snapToGrid/>
                <w:sz w:val="18"/>
              </w:rPr>
            </w:pPr>
            <w:r>
              <w:rPr>
                <w:rFonts w:hint="eastAsia"/>
                <w:snapToGrid/>
                <w:sz w:val="18"/>
              </w:rPr>
              <w:t>领取人</w:t>
            </w:r>
            <w:r>
              <w:rPr>
                <w:snapToGrid/>
                <w:sz w:val="18"/>
              </w:rPr>
              <w:br/>
            </w:r>
            <w:r>
              <w:rPr>
                <w:rFonts w:hint="eastAsia"/>
                <w:snapToGrid/>
                <w:sz w:val="18"/>
              </w:rPr>
              <w:t>数</w:t>
            </w:r>
            <w:r>
              <w:rPr>
                <w:snapToGrid/>
                <w:sz w:val="18"/>
              </w:rPr>
              <w:t xml:space="preserve">  </w:t>
            </w:r>
            <w:r>
              <w:rPr>
                <w:rFonts w:hint="eastAsia"/>
                <w:snapToGrid/>
                <w:sz w:val="18"/>
              </w:rPr>
              <w:t>目</w:t>
            </w:r>
          </w:p>
        </w:tc>
        <w:tc>
          <w:tcPr>
            <w:tcW w:w="406" w:type="pct"/>
            <w:tcBorders>
              <w:bottom w:val="single" w:sz="4" w:space="0" w:color="auto"/>
            </w:tcBorders>
          </w:tcPr>
          <w:p w:rsidR="00000000" w:rsidRDefault="00000000">
            <w:pPr>
              <w:pStyle w:val="a2"/>
              <w:spacing w:before="60" w:line="240" w:lineRule="exact"/>
              <w:jc w:val="center"/>
              <w:rPr>
                <w:snapToGrid/>
                <w:sz w:val="18"/>
              </w:rPr>
            </w:pPr>
            <w:r>
              <w:rPr>
                <w:rFonts w:hint="eastAsia"/>
                <w:snapToGrid/>
                <w:sz w:val="18"/>
              </w:rPr>
              <w:t>领取人总数</w:t>
            </w:r>
            <w:r>
              <w:rPr>
                <w:snapToGrid/>
                <w:sz w:val="18"/>
              </w:rPr>
              <w:br/>
            </w:r>
            <w:r>
              <w:rPr>
                <w:rFonts w:hint="eastAsia"/>
                <w:snapToGrid/>
                <w:sz w:val="18"/>
              </w:rPr>
              <w:t>的百分比</w:t>
            </w:r>
          </w:p>
        </w:tc>
        <w:tc>
          <w:tcPr>
            <w:tcW w:w="493" w:type="pct"/>
            <w:tcBorders>
              <w:bottom w:val="single" w:sz="4" w:space="0" w:color="auto"/>
            </w:tcBorders>
          </w:tcPr>
          <w:p w:rsidR="00000000" w:rsidRDefault="00000000">
            <w:pPr>
              <w:pStyle w:val="a2"/>
              <w:spacing w:before="60" w:line="240" w:lineRule="exact"/>
              <w:jc w:val="center"/>
              <w:rPr>
                <w:rFonts w:hint="eastAsia"/>
                <w:snapToGrid/>
                <w:sz w:val="18"/>
              </w:rPr>
            </w:pPr>
            <w:r>
              <w:rPr>
                <w:rFonts w:hint="eastAsia"/>
                <w:snapToGrid/>
                <w:sz w:val="18"/>
              </w:rPr>
              <w:t>补贴领取人总数的百分比</w:t>
            </w:r>
          </w:p>
        </w:tc>
        <w:tc>
          <w:tcPr>
            <w:tcW w:w="350" w:type="pct"/>
            <w:tcBorders>
              <w:bottom w:val="single" w:sz="4" w:space="0" w:color="auto"/>
            </w:tcBorders>
          </w:tcPr>
          <w:p w:rsidR="00000000" w:rsidRDefault="00000000">
            <w:pPr>
              <w:pStyle w:val="a2"/>
              <w:spacing w:before="60" w:line="240" w:lineRule="exact"/>
              <w:jc w:val="center"/>
              <w:rPr>
                <w:snapToGrid/>
                <w:sz w:val="18"/>
              </w:rPr>
            </w:pPr>
            <w:r>
              <w:rPr>
                <w:rFonts w:hint="eastAsia"/>
                <w:snapToGrid/>
                <w:sz w:val="18"/>
              </w:rPr>
              <w:t>领取人</w:t>
            </w:r>
            <w:r>
              <w:rPr>
                <w:snapToGrid/>
                <w:sz w:val="18"/>
              </w:rPr>
              <w:br/>
            </w:r>
            <w:r>
              <w:rPr>
                <w:rFonts w:hint="eastAsia"/>
                <w:snapToGrid/>
                <w:sz w:val="18"/>
              </w:rPr>
              <w:t>数</w:t>
            </w:r>
            <w:r>
              <w:rPr>
                <w:snapToGrid/>
                <w:sz w:val="18"/>
              </w:rPr>
              <w:t xml:space="preserve">  </w:t>
            </w:r>
            <w:r>
              <w:rPr>
                <w:rFonts w:hint="eastAsia"/>
                <w:snapToGrid/>
                <w:sz w:val="18"/>
              </w:rPr>
              <w:t>目</w:t>
            </w:r>
          </w:p>
        </w:tc>
        <w:tc>
          <w:tcPr>
            <w:tcW w:w="407" w:type="pct"/>
            <w:tcBorders>
              <w:bottom w:val="single" w:sz="4" w:space="0" w:color="auto"/>
            </w:tcBorders>
          </w:tcPr>
          <w:p w:rsidR="00000000" w:rsidRDefault="00000000">
            <w:pPr>
              <w:pStyle w:val="a2"/>
              <w:spacing w:before="60" w:line="240" w:lineRule="exact"/>
              <w:jc w:val="center"/>
              <w:rPr>
                <w:rFonts w:hint="eastAsia"/>
                <w:snapToGrid/>
                <w:sz w:val="18"/>
              </w:rPr>
            </w:pPr>
            <w:r>
              <w:rPr>
                <w:rFonts w:hint="eastAsia"/>
                <w:snapToGrid/>
                <w:sz w:val="18"/>
              </w:rPr>
              <w:t>领取人总数</w:t>
            </w:r>
            <w:r>
              <w:rPr>
                <w:snapToGrid/>
                <w:sz w:val="18"/>
              </w:rPr>
              <w:br/>
            </w:r>
            <w:r>
              <w:rPr>
                <w:rFonts w:hint="eastAsia"/>
                <w:snapToGrid/>
                <w:sz w:val="18"/>
              </w:rPr>
              <w:t>的百分比</w:t>
            </w:r>
          </w:p>
        </w:tc>
        <w:tc>
          <w:tcPr>
            <w:tcW w:w="530" w:type="pct"/>
            <w:tcBorders>
              <w:bottom w:val="single" w:sz="4" w:space="0" w:color="auto"/>
            </w:tcBorders>
          </w:tcPr>
          <w:p w:rsidR="00000000" w:rsidRDefault="00000000">
            <w:pPr>
              <w:pStyle w:val="a2"/>
              <w:spacing w:before="60" w:line="240" w:lineRule="exact"/>
              <w:jc w:val="center"/>
              <w:rPr>
                <w:rFonts w:hint="eastAsia"/>
                <w:snapToGrid/>
                <w:sz w:val="18"/>
              </w:rPr>
            </w:pPr>
            <w:r>
              <w:rPr>
                <w:rFonts w:hint="eastAsia"/>
                <w:snapToGrid/>
                <w:sz w:val="18"/>
              </w:rPr>
              <w:t>补贴领取人总</w:t>
            </w:r>
            <w:r>
              <w:rPr>
                <w:snapToGrid/>
                <w:sz w:val="18"/>
              </w:rPr>
              <w:br/>
            </w:r>
            <w:r>
              <w:rPr>
                <w:rFonts w:hint="eastAsia"/>
                <w:snapToGrid/>
                <w:sz w:val="18"/>
              </w:rPr>
              <w:t>数的百分比</w:t>
            </w:r>
          </w:p>
        </w:tc>
      </w:tr>
      <w:tr w:rsidR="00000000">
        <w:tblPrEx>
          <w:tblCellMar>
            <w:top w:w="0" w:type="dxa"/>
          </w:tblCellMar>
        </w:tblPrEx>
        <w:tc>
          <w:tcPr>
            <w:tcW w:w="991" w:type="pct"/>
            <w:tcBorders>
              <w:bottom w:val="nil"/>
            </w:tcBorders>
          </w:tcPr>
          <w:p w:rsidR="00000000" w:rsidRDefault="00000000">
            <w:pPr>
              <w:pStyle w:val="a2"/>
              <w:spacing w:before="60" w:line="240" w:lineRule="exact"/>
              <w:jc w:val="center"/>
              <w:rPr>
                <w:rFonts w:hint="eastAsia"/>
                <w:snapToGrid/>
              </w:rPr>
            </w:pPr>
            <w:r>
              <w:rPr>
                <w:rFonts w:hint="eastAsia"/>
                <w:snapToGrid/>
              </w:rPr>
              <w:t>总</w:t>
            </w:r>
            <w:r>
              <w:rPr>
                <w:snapToGrid/>
              </w:rPr>
              <w:t xml:space="preserve">  </w:t>
            </w:r>
            <w:r>
              <w:rPr>
                <w:rFonts w:hint="eastAsia"/>
                <w:snapToGrid/>
              </w:rPr>
              <w:t>数</w:t>
            </w:r>
          </w:p>
        </w:tc>
        <w:tc>
          <w:tcPr>
            <w:tcW w:w="365" w:type="pct"/>
            <w:tcBorders>
              <w:bottom w:val="nil"/>
            </w:tcBorders>
          </w:tcPr>
          <w:p w:rsidR="00000000" w:rsidRDefault="00000000">
            <w:pPr>
              <w:pStyle w:val="a2"/>
              <w:spacing w:before="60" w:line="240" w:lineRule="exact"/>
              <w:ind w:right="111"/>
              <w:jc w:val="right"/>
              <w:rPr>
                <w:snapToGrid/>
              </w:rPr>
            </w:pPr>
            <w:r>
              <w:rPr>
                <w:snapToGrid/>
              </w:rPr>
              <w:t>727 356</w:t>
            </w:r>
          </w:p>
        </w:tc>
        <w:tc>
          <w:tcPr>
            <w:tcW w:w="472" w:type="pct"/>
            <w:tcBorders>
              <w:bottom w:val="nil"/>
            </w:tcBorders>
          </w:tcPr>
          <w:p w:rsidR="00000000" w:rsidRDefault="00000000">
            <w:pPr>
              <w:pStyle w:val="a2"/>
              <w:spacing w:before="60" w:line="240" w:lineRule="exact"/>
              <w:jc w:val="center"/>
              <w:rPr>
                <w:snapToGrid/>
              </w:rPr>
            </w:pPr>
            <w:r>
              <w:rPr>
                <w:snapToGrid/>
              </w:rPr>
              <w:t>100</w:t>
            </w:r>
          </w:p>
        </w:tc>
        <w:tc>
          <w:tcPr>
            <w:tcW w:w="572" w:type="pct"/>
            <w:tcBorders>
              <w:bottom w:val="nil"/>
            </w:tcBorders>
          </w:tcPr>
          <w:p w:rsidR="00000000" w:rsidRDefault="00000000">
            <w:pPr>
              <w:pStyle w:val="a2"/>
              <w:spacing w:before="60" w:line="240" w:lineRule="exact"/>
              <w:jc w:val="center"/>
              <w:rPr>
                <w:snapToGrid/>
              </w:rPr>
            </w:pPr>
            <w:r>
              <w:rPr>
                <w:snapToGrid/>
              </w:rPr>
              <w:t>131.9</w:t>
            </w:r>
          </w:p>
        </w:tc>
        <w:tc>
          <w:tcPr>
            <w:tcW w:w="413" w:type="pct"/>
            <w:tcBorders>
              <w:bottom w:val="nil"/>
            </w:tcBorders>
          </w:tcPr>
          <w:p w:rsidR="00000000" w:rsidRDefault="00000000">
            <w:pPr>
              <w:pStyle w:val="a2"/>
              <w:spacing w:before="60" w:line="240" w:lineRule="exact"/>
              <w:ind w:right="196"/>
              <w:jc w:val="right"/>
              <w:rPr>
                <w:snapToGrid/>
              </w:rPr>
            </w:pPr>
            <w:r>
              <w:rPr>
                <w:snapToGrid/>
              </w:rPr>
              <w:t>743 602</w:t>
            </w:r>
          </w:p>
        </w:tc>
        <w:tc>
          <w:tcPr>
            <w:tcW w:w="406" w:type="pct"/>
            <w:tcBorders>
              <w:bottom w:val="nil"/>
            </w:tcBorders>
          </w:tcPr>
          <w:p w:rsidR="00000000" w:rsidRDefault="00000000">
            <w:pPr>
              <w:pStyle w:val="a2"/>
              <w:spacing w:before="60" w:line="240" w:lineRule="exact"/>
              <w:jc w:val="center"/>
              <w:rPr>
                <w:snapToGrid/>
              </w:rPr>
            </w:pPr>
            <w:r>
              <w:rPr>
                <w:snapToGrid/>
              </w:rPr>
              <w:t>100</w:t>
            </w:r>
          </w:p>
        </w:tc>
        <w:tc>
          <w:tcPr>
            <w:tcW w:w="493" w:type="pct"/>
            <w:tcBorders>
              <w:bottom w:val="nil"/>
            </w:tcBorders>
          </w:tcPr>
          <w:p w:rsidR="00000000" w:rsidRDefault="00000000">
            <w:pPr>
              <w:pStyle w:val="a2"/>
              <w:spacing w:before="60" w:line="240" w:lineRule="exact"/>
              <w:jc w:val="center"/>
              <w:rPr>
                <w:snapToGrid/>
              </w:rPr>
            </w:pPr>
            <w:r>
              <w:rPr>
                <w:snapToGrid/>
              </w:rPr>
              <w:t>132.24</w:t>
            </w:r>
          </w:p>
        </w:tc>
        <w:tc>
          <w:tcPr>
            <w:tcW w:w="350" w:type="pct"/>
            <w:tcBorders>
              <w:bottom w:val="nil"/>
            </w:tcBorders>
          </w:tcPr>
          <w:p w:rsidR="00000000" w:rsidRDefault="00000000">
            <w:pPr>
              <w:pStyle w:val="a2"/>
              <w:spacing w:before="60" w:line="240" w:lineRule="exact"/>
              <w:ind w:right="112"/>
              <w:jc w:val="right"/>
              <w:rPr>
                <w:snapToGrid/>
              </w:rPr>
            </w:pPr>
            <w:r>
              <w:rPr>
                <w:snapToGrid/>
              </w:rPr>
              <w:t>746 702</w:t>
            </w:r>
          </w:p>
        </w:tc>
        <w:tc>
          <w:tcPr>
            <w:tcW w:w="407" w:type="pct"/>
            <w:tcBorders>
              <w:bottom w:val="nil"/>
            </w:tcBorders>
          </w:tcPr>
          <w:p w:rsidR="00000000" w:rsidRDefault="00000000">
            <w:pPr>
              <w:pStyle w:val="a2"/>
              <w:spacing w:before="60" w:line="240" w:lineRule="exact"/>
              <w:jc w:val="center"/>
              <w:rPr>
                <w:snapToGrid/>
              </w:rPr>
            </w:pPr>
            <w:r>
              <w:rPr>
                <w:snapToGrid/>
              </w:rPr>
              <w:t>100</w:t>
            </w:r>
          </w:p>
        </w:tc>
        <w:tc>
          <w:tcPr>
            <w:tcW w:w="530" w:type="pct"/>
            <w:tcBorders>
              <w:bottom w:val="nil"/>
            </w:tcBorders>
          </w:tcPr>
          <w:p w:rsidR="00000000" w:rsidRDefault="00000000">
            <w:pPr>
              <w:pStyle w:val="a2"/>
              <w:spacing w:before="60" w:line="240" w:lineRule="exact"/>
              <w:jc w:val="center"/>
              <w:rPr>
                <w:snapToGrid/>
              </w:rPr>
            </w:pPr>
            <w:r>
              <w:rPr>
                <w:snapToGrid/>
              </w:rPr>
              <w:t>132.4</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补贴领取人数目</w:t>
            </w:r>
          </w:p>
        </w:tc>
        <w:tc>
          <w:tcPr>
            <w:tcW w:w="365" w:type="pct"/>
            <w:tcBorders>
              <w:top w:val="nil"/>
              <w:bottom w:val="nil"/>
            </w:tcBorders>
          </w:tcPr>
          <w:p w:rsidR="00000000" w:rsidRDefault="00000000">
            <w:pPr>
              <w:pStyle w:val="a2"/>
              <w:spacing w:line="240" w:lineRule="exact"/>
              <w:ind w:right="111"/>
              <w:jc w:val="right"/>
              <w:rPr>
                <w:snapToGrid/>
              </w:rPr>
            </w:pPr>
            <w:r>
              <w:rPr>
                <w:snapToGrid/>
              </w:rPr>
              <w:t>551 443</w:t>
            </w:r>
          </w:p>
        </w:tc>
        <w:tc>
          <w:tcPr>
            <w:tcW w:w="472" w:type="pct"/>
            <w:tcBorders>
              <w:top w:val="nil"/>
              <w:bottom w:val="nil"/>
            </w:tcBorders>
          </w:tcPr>
          <w:p w:rsidR="00000000" w:rsidRDefault="00000000">
            <w:pPr>
              <w:pStyle w:val="a2"/>
              <w:spacing w:line="240" w:lineRule="exact"/>
              <w:jc w:val="center"/>
              <w:rPr>
                <w:snapToGrid/>
              </w:rPr>
            </w:pPr>
            <w:r>
              <w:rPr>
                <w:snapToGrid/>
              </w:rPr>
              <w:t>75.81</w:t>
            </w:r>
          </w:p>
        </w:tc>
        <w:tc>
          <w:tcPr>
            <w:tcW w:w="572" w:type="pct"/>
            <w:tcBorders>
              <w:top w:val="nil"/>
              <w:bottom w:val="nil"/>
            </w:tcBorders>
          </w:tcPr>
          <w:p w:rsidR="00000000" w:rsidRDefault="00000000">
            <w:pPr>
              <w:pStyle w:val="a2"/>
              <w:spacing w:line="240" w:lineRule="exact"/>
              <w:jc w:val="center"/>
              <w:rPr>
                <w:snapToGrid/>
              </w:rPr>
            </w:pPr>
            <w:r>
              <w:rPr>
                <w:snapToGrid/>
              </w:rPr>
              <w:t>100</w:t>
            </w:r>
          </w:p>
        </w:tc>
        <w:tc>
          <w:tcPr>
            <w:tcW w:w="413" w:type="pct"/>
            <w:tcBorders>
              <w:top w:val="nil"/>
              <w:bottom w:val="nil"/>
            </w:tcBorders>
          </w:tcPr>
          <w:p w:rsidR="00000000" w:rsidRDefault="00000000">
            <w:pPr>
              <w:pStyle w:val="a2"/>
              <w:spacing w:line="240" w:lineRule="exact"/>
              <w:ind w:right="196"/>
              <w:jc w:val="right"/>
              <w:rPr>
                <w:snapToGrid/>
              </w:rPr>
            </w:pPr>
            <w:r>
              <w:rPr>
                <w:snapToGrid/>
              </w:rPr>
              <w:t>562 298</w:t>
            </w:r>
          </w:p>
        </w:tc>
        <w:tc>
          <w:tcPr>
            <w:tcW w:w="406" w:type="pct"/>
            <w:tcBorders>
              <w:top w:val="nil"/>
              <w:bottom w:val="nil"/>
            </w:tcBorders>
          </w:tcPr>
          <w:p w:rsidR="00000000" w:rsidRDefault="00000000">
            <w:pPr>
              <w:pStyle w:val="a2"/>
              <w:spacing w:line="240" w:lineRule="exact"/>
              <w:jc w:val="center"/>
              <w:rPr>
                <w:snapToGrid/>
              </w:rPr>
            </w:pPr>
            <w:r>
              <w:rPr>
                <w:snapToGrid/>
              </w:rPr>
              <w:t>75.62</w:t>
            </w:r>
          </w:p>
        </w:tc>
        <w:tc>
          <w:tcPr>
            <w:tcW w:w="493" w:type="pct"/>
            <w:tcBorders>
              <w:top w:val="nil"/>
              <w:bottom w:val="nil"/>
            </w:tcBorders>
          </w:tcPr>
          <w:p w:rsidR="00000000" w:rsidRDefault="00000000">
            <w:pPr>
              <w:pStyle w:val="a2"/>
              <w:spacing w:line="240" w:lineRule="exact"/>
              <w:jc w:val="center"/>
              <w:rPr>
                <w:snapToGrid/>
              </w:rPr>
            </w:pPr>
            <w:r>
              <w:rPr>
                <w:snapToGrid/>
              </w:rPr>
              <w:t>100</w:t>
            </w:r>
          </w:p>
        </w:tc>
        <w:tc>
          <w:tcPr>
            <w:tcW w:w="350" w:type="pct"/>
            <w:tcBorders>
              <w:top w:val="nil"/>
              <w:bottom w:val="nil"/>
            </w:tcBorders>
          </w:tcPr>
          <w:p w:rsidR="00000000" w:rsidRDefault="00000000">
            <w:pPr>
              <w:pStyle w:val="a2"/>
              <w:spacing w:line="240" w:lineRule="exact"/>
              <w:ind w:right="112"/>
              <w:jc w:val="right"/>
              <w:rPr>
                <w:snapToGrid/>
              </w:rPr>
            </w:pPr>
            <w:r>
              <w:rPr>
                <w:snapToGrid/>
              </w:rPr>
              <w:t>563 982</w:t>
            </w:r>
          </w:p>
        </w:tc>
        <w:tc>
          <w:tcPr>
            <w:tcW w:w="407" w:type="pct"/>
            <w:tcBorders>
              <w:top w:val="nil"/>
              <w:bottom w:val="nil"/>
            </w:tcBorders>
          </w:tcPr>
          <w:p w:rsidR="00000000" w:rsidRDefault="00000000">
            <w:pPr>
              <w:pStyle w:val="a2"/>
              <w:spacing w:line="240" w:lineRule="exact"/>
              <w:jc w:val="center"/>
              <w:rPr>
                <w:snapToGrid/>
              </w:rPr>
            </w:pPr>
            <w:r>
              <w:rPr>
                <w:snapToGrid/>
              </w:rPr>
              <w:t>75.53</w:t>
            </w:r>
          </w:p>
        </w:tc>
        <w:tc>
          <w:tcPr>
            <w:tcW w:w="530" w:type="pct"/>
            <w:tcBorders>
              <w:top w:val="nil"/>
              <w:bottom w:val="nil"/>
            </w:tcBorders>
          </w:tcPr>
          <w:p w:rsidR="00000000" w:rsidRDefault="00000000">
            <w:pPr>
              <w:pStyle w:val="a2"/>
              <w:spacing w:line="240" w:lineRule="exact"/>
              <w:jc w:val="center"/>
              <w:rPr>
                <w:snapToGrid/>
              </w:rPr>
            </w:pPr>
            <w:r>
              <w:rPr>
                <w:snapToGrid/>
              </w:rPr>
              <w:t>100</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其中具有特权的养恤金的领取人数目</w:t>
            </w:r>
          </w:p>
        </w:tc>
        <w:tc>
          <w:tcPr>
            <w:tcW w:w="365" w:type="pct"/>
            <w:tcBorders>
              <w:top w:val="nil"/>
              <w:bottom w:val="nil"/>
            </w:tcBorders>
          </w:tcPr>
          <w:p w:rsidR="00000000" w:rsidRDefault="00000000">
            <w:pPr>
              <w:pStyle w:val="a2"/>
              <w:spacing w:line="240" w:lineRule="exact"/>
              <w:ind w:right="111"/>
              <w:jc w:val="right"/>
              <w:rPr>
                <w:snapToGrid/>
              </w:rPr>
            </w:pPr>
            <w:r>
              <w:rPr>
                <w:snapToGrid/>
              </w:rPr>
              <w:t>113 258</w:t>
            </w:r>
          </w:p>
        </w:tc>
        <w:tc>
          <w:tcPr>
            <w:tcW w:w="472" w:type="pct"/>
            <w:tcBorders>
              <w:top w:val="nil"/>
              <w:bottom w:val="nil"/>
            </w:tcBorders>
          </w:tcPr>
          <w:p w:rsidR="00000000" w:rsidRDefault="00000000">
            <w:pPr>
              <w:pStyle w:val="a2"/>
              <w:spacing w:line="240" w:lineRule="exact"/>
              <w:jc w:val="center"/>
              <w:rPr>
                <w:snapToGrid/>
              </w:rPr>
            </w:pPr>
            <w:r>
              <w:rPr>
                <w:snapToGrid/>
              </w:rPr>
              <w:t>15.57</w:t>
            </w:r>
          </w:p>
        </w:tc>
        <w:tc>
          <w:tcPr>
            <w:tcW w:w="572" w:type="pct"/>
            <w:tcBorders>
              <w:top w:val="nil"/>
              <w:bottom w:val="nil"/>
            </w:tcBorders>
          </w:tcPr>
          <w:p w:rsidR="00000000" w:rsidRDefault="00000000">
            <w:pPr>
              <w:pStyle w:val="a2"/>
              <w:spacing w:line="240" w:lineRule="exact"/>
              <w:jc w:val="center"/>
              <w:rPr>
                <w:snapToGrid/>
              </w:rPr>
            </w:pPr>
            <w:r>
              <w:rPr>
                <w:snapToGrid/>
              </w:rPr>
              <w:t>20.54</w:t>
            </w:r>
          </w:p>
        </w:tc>
        <w:tc>
          <w:tcPr>
            <w:tcW w:w="413" w:type="pct"/>
            <w:tcBorders>
              <w:top w:val="nil"/>
              <w:bottom w:val="nil"/>
            </w:tcBorders>
          </w:tcPr>
          <w:p w:rsidR="00000000" w:rsidRDefault="00000000">
            <w:pPr>
              <w:pStyle w:val="a2"/>
              <w:spacing w:line="240" w:lineRule="exact"/>
              <w:ind w:right="196"/>
              <w:jc w:val="right"/>
              <w:rPr>
                <w:snapToGrid/>
              </w:rPr>
            </w:pPr>
            <w:r>
              <w:rPr>
                <w:snapToGrid/>
              </w:rPr>
              <w:t>124 612</w:t>
            </w:r>
          </w:p>
        </w:tc>
        <w:tc>
          <w:tcPr>
            <w:tcW w:w="406" w:type="pct"/>
            <w:tcBorders>
              <w:top w:val="nil"/>
              <w:bottom w:val="nil"/>
            </w:tcBorders>
          </w:tcPr>
          <w:p w:rsidR="00000000" w:rsidRDefault="00000000">
            <w:pPr>
              <w:pStyle w:val="a2"/>
              <w:spacing w:line="240" w:lineRule="exact"/>
              <w:jc w:val="center"/>
              <w:rPr>
                <w:snapToGrid/>
              </w:rPr>
            </w:pPr>
            <w:r>
              <w:rPr>
                <w:snapToGrid/>
              </w:rPr>
              <w:t>16.76</w:t>
            </w:r>
          </w:p>
        </w:tc>
        <w:tc>
          <w:tcPr>
            <w:tcW w:w="493" w:type="pct"/>
            <w:tcBorders>
              <w:top w:val="nil"/>
              <w:bottom w:val="nil"/>
            </w:tcBorders>
          </w:tcPr>
          <w:p w:rsidR="00000000" w:rsidRDefault="00000000">
            <w:pPr>
              <w:pStyle w:val="a2"/>
              <w:spacing w:line="240" w:lineRule="exact"/>
              <w:jc w:val="center"/>
              <w:rPr>
                <w:snapToGrid/>
              </w:rPr>
            </w:pPr>
            <w:r>
              <w:rPr>
                <w:snapToGrid/>
              </w:rPr>
              <w:t>22.16</w:t>
            </w:r>
          </w:p>
        </w:tc>
        <w:tc>
          <w:tcPr>
            <w:tcW w:w="350" w:type="pct"/>
            <w:tcBorders>
              <w:top w:val="nil"/>
              <w:bottom w:val="nil"/>
            </w:tcBorders>
          </w:tcPr>
          <w:p w:rsidR="00000000" w:rsidRDefault="00000000">
            <w:pPr>
              <w:pStyle w:val="a2"/>
              <w:spacing w:line="240" w:lineRule="exact"/>
              <w:ind w:right="112"/>
              <w:jc w:val="right"/>
              <w:rPr>
                <w:snapToGrid/>
              </w:rPr>
            </w:pPr>
            <w:r>
              <w:rPr>
                <w:snapToGrid/>
              </w:rPr>
              <w:t>130 904</w:t>
            </w:r>
          </w:p>
        </w:tc>
        <w:tc>
          <w:tcPr>
            <w:tcW w:w="407" w:type="pct"/>
            <w:tcBorders>
              <w:top w:val="nil"/>
              <w:bottom w:val="nil"/>
            </w:tcBorders>
          </w:tcPr>
          <w:p w:rsidR="00000000" w:rsidRDefault="00000000">
            <w:pPr>
              <w:pStyle w:val="a2"/>
              <w:spacing w:line="240" w:lineRule="exact"/>
              <w:jc w:val="center"/>
              <w:rPr>
                <w:snapToGrid/>
              </w:rPr>
            </w:pPr>
            <w:r>
              <w:rPr>
                <w:snapToGrid/>
              </w:rPr>
              <w:t>17.53</w:t>
            </w:r>
          </w:p>
        </w:tc>
        <w:tc>
          <w:tcPr>
            <w:tcW w:w="530" w:type="pct"/>
            <w:tcBorders>
              <w:top w:val="nil"/>
              <w:bottom w:val="nil"/>
            </w:tcBorders>
          </w:tcPr>
          <w:p w:rsidR="00000000" w:rsidRDefault="00000000">
            <w:pPr>
              <w:pStyle w:val="a2"/>
              <w:spacing w:line="240" w:lineRule="exact"/>
              <w:jc w:val="center"/>
              <w:rPr>
                <w:snapToGrid/>
              </w:rPr>
            </w:pPr>
            <w:r>
              <w:rPr>
                <w:snapToGrid/>
              </w:rPr>
              <w:t>23.21</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包括</w:t>
            </w:r>
            <w:r>
              <w:rPr>
                <w:snapToGrid/>
              </w:rPr>
              <w:t>：</w:t>
            </w:r>
            <w:r>
              <w:rPr>
                <w:snapToGrid/>
              </w:rPr>
              <w:br/>
              <w:t xml:space="preserve">   </w:t>
            </w:r>
            <w:r>
              <w:rPr>
                <w:rFonts w:hint="eastAsia"/>
                <w:snapToGrid/>
              </w:rPr>
              <w:t>1</w:t>
            </w:r>
            <w:r>
              <w:rPr>
                <w:rFonts w:hint="eastAsia"/>
                <w:snapToGrid/>
              </w:rPr>
              <w:t>号表中的养恤金</w:t>
            </w:r>
          </w:p>
        </w:tc>
        <w:tc>
          <w:tcPr>
            <w:tcW w:w="365" w:type="pct"/>
            <w:tcBorders>
              <w:top w:val="nil"/>
              <w:bottom w:val="nil"/>
            </w:tcBorders>
          </w:tcPr>
          <w:p w:rsidR="00000000" w:rsidRDefault="00000000">
            <w:pPr>
              <w:pStyle w:val="a2"/>
              <w:spacing w:line="240" w:lineRule="exact"/>
              <w:ind w:right="111"/>
              <w:jc w:val="right"/>
              <w:rPr>
                <w:snapToGrid/>
              </w:rPr>
            </w:pPr>
            <w:r>
              <w:rPr>
                <w:snapToGrid/>
              </w:rPr>
              <w:br/>
              <w:t>5 796</w:t>
            </w:r>
          </w:p>
        </w:tc>
        <w:tc>
          <w:tcPr>
            <w:tcW w:w="472" w:type="pct"/>
            <w:tcBorders>
              <w:top w:val="nil"/>
              <w:bottom w:val="nil"/>
            </w:tcBorders>
          </w:tcPr>
          <w:p w:rsidR="00000000" w:rsidRDefault="00000000">
            <w:pPr>
              <w:pStyle w:val="a2"/>
              <w:spacing w:line="240" w:lineRule="exact"/>
              <w:jc w:val="center"/>
              <w:rPr>
                <w:snapToGrid/>
              </w:rPr>
            </w:pPr>
            <w:r>
              <w:rPr>
                <w:snapToGrid/>
              </w:rPr>
              <w:br/>
              <w:t>0.80</w:t>
            </w:r>
          </w:p>
        </w:tc>
        <w:tc>
          <w:tcPr>
            <w:tcW w:w="572" w:type="pct"/>
            <w:tcBorders>
              <w:top w:val="nil"/>
              <w:bottom w:val="nil"/>
            </w:tcBorders>
          </w:tcPr>
          <w:p w:rsidR="00000000" w:rsidRDefault="00000000">
            <w:pPr>
              <w:pStyle w:val="a2"/>
              <w:spacing w:line="240" w:lineRule="exact"/>
              <w:jc w:val="center"/>
              <w:rPr>
                <w:snapToGrid/>
              </w:rPr>
            </w:pPr>
            <w:r>
              <w:rPr>
                <w:snapToGrid/>
              </w:rPr>
              <w:br/>
              <w:t>1.05</w:t>
            </w:r>
          </w:p>
        </w:tc>
        <w:tc>
          <w:tcPr>
            <w:tcW w:w="413" w:type="pct"/>
            <w:tcBorders>
              <w:top w:val="nil"/>
              <w:bottom w:val="nil"/>
            </w:tcBorders>
          </w:tcPr>
          <w:p w:rsidR="00000000" w:rsidRDefault="00000000">
            <w:pPr>
              <w:pStyle w:val="a2"/>
              <w:spacing w:line="240" w:lineRule="exact"/>
              <w:ind w:right="196"/>
              <w:jc w:val="right"/>
              <w:rPr>
                <w:snapToGrid/>
              </w:rPr>
            </w:pPr>
            <w:r>
              <w:rPr>
                <w:snapToGrid/>
              </w:rPr>
              <w:br/>
              <w:t>5 830</w:t>
            </w:r>
          </w:p>
        </w:tc>
        <w:tc>
          <w:tcPr>
            <w:tcW w:w="406" w:type="pct"/>
            <w:tcBorders>
              <w:top w:val="nil"/>
              <w:bottom w:val="nil"/>
            </w:tcBorders>
          </w:tcPr>
          <w:p w:rsidR="00000000" w:rsidRDefault="00000000">
            <w:pPr>
              <w:pStyle w:val="a2"/>
              <w:spacing w:line="240" w:lineRule="exact"/>
              <w:jc w:val="center"/>
              <w:rPr>
                <w:snapToGrid/>
              </w:rPr>
            </w:pPr>
            <w:r>
              <w:rPr>
                <w:snapToGrid/>
              </w:rPr>
              <w:br/>
              <w:t>0.78</w:t>
            </w:r>
          </w:p>
        </w:tc>
        <w:tc>
          <w:tcPr>
            <w:tcW w:w="493" w:type="pct"/>
            <w:tcBorders>
              <w:top w:val="nil"/>
              <w:bottom w:val="nil"/>
            </w:tcBorders>
          </w:tcPr>
          <w:p w:rsidR="00000000" w:rsidRDefault="00000000">
            <w:pPr>
              <w:pStyle w:val="a2"/>
              <w:spacing w:line="240" w:lineRule="exact"/>
              <w:jc w:val="center"/>
              <w:rPr>
                <w:snapToGrid/>
              </w:rPr>
            </w:pPr>
            <w:r>
              <w:rPr>
                <w:snapToGrid/>
              </w:rPr>
              <w:br/>
              <w:t>1.04</w:t>
            </w:r>
          </w:p>
        </w:tc>
        <w:tc>
          <w:tcPr>
            <w:tcW w:w="350" w:type="pct"/>
            <w:tcBorders>
              <w:top w:val="nil"/>
              <w:bottom w:val="nil"/>
            </w:tcBorders>
          </w:tcPr>
          <w:p w:rsidR="00000000" w:rsidRDefault="00000000">
            <w:pPr>
              <w:pStyle w:val="a2"/>
              <w:spacing w:line="240" w:lineRule="exact"/>
              <w:ind w:right="112"/>
              <w:jc w:val="right"/>
              <w:rPr>
                <w:snapToGrid/>
              </w:rPr>
            </w:pPr>
            <w:r>
              <w:rPr>
                <w:snapToGrid/>
              </w:rPr>
              <w:br/>
              <w:t>5 770</w:t>
            </w:r>
          </w:p>
        </w:tc>
        <w:tc>
          <w:tcPr>
            <w:tcW w:w="407" w:type="pct"/>
            <w:tcBorders>
              <w:top w:val="nil"/>
              <w:bottom w:val="nil"/>
            </w:tcBorders>
          </w:tcPr>
          <w:p w:rsidR="00000000" w:rsidRDefault="00000000">
            <w:pPr>
              <w:pStyle w:val="a2"/>
              <w:spacing w:line="240" w:lineRule="exact"/>
              <w:jc w:val="center"/>
              <w:rPr>
                <w:snapToGrid/>
              </w:rPr>
            </w:pPr>
            <w:r>
              <w:rPr>
                <w:snapToGrid/>
              </w:rPr>
              <w:t>0.77</w:t>
            </w:r>
          </w:p>
        </w:tc>
        <w:tc>
          <w:tcPr>
            <w:tcW w:w="530" w:type="pct"/>
            <w:tcBorders>
              <w:top w:val="nil"/>
              <w:bottom w:val="nil"/>
            </w:tcBorders>
          </w:tcPr>
          <w:p w:rsidR="00000000" w:rsidRDefault="00000000">
            <w:pPr>
              <w:pStyle w:val="a2"/>
              <w:spacing w:line="240" w:lineRule="exact"/>
              <w:jc w:val="center"/>
              <w:rPr>
                <w:snapToGrid/>
              </w:rPr>
            </w:pPr>
            <w:r>
              <w:rPr>
                <w:snapToGrid/>
              </w:rPr>
              <w:t>1.02</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snapToGrid/>
              </w:rPr>
            </w:pPr>
            <w:r>
              <w:rPr>
                <w:snapToGrid/>
              </w:rPr>
              <w:t xml:space="preserve">   </w:t>
            </w:r>
            <w:r>
              <w:rPr>
                <w:rFonts w:hint="eastAsia"/>
                <w:snapToGrid/>
              </w:rPr>
              <w:t>2</w:t>
            </w:r>
            <w:r>
              <w:rPr>
                <w:rFonts w:hint="eastAsia"/>
                <w:snapToGrid/>
              </w:rPr>
              <w:t>号表中的养恤金</w:t>
            </w:r>
          </w:p>
        </w:tc>
        <w:tc>
          <w:tcPr>
            <w:tcW w:w="365" w:type="pct"/>
            <w:tcBorders>
              <w:top w:val="nil"/>
              <w:bottom w:val="nil"/>
            </w:tcBorders>
          </w:tcPr>
          <w:p w:rsidR="00000000" w:rsidRDefault="00000000">
            <w:pPr>
              <w:pStyle w:val="a2"/>
              <w:spacing w:line="240" w:lineRule="exact"/>
              <w:ind w:right="111"/>
              <w:jc w:val="right"/>
              <w:rPr>
                <w:snapToGrid/>
              </w:rPr>
            </w:pPr>
            <w:r>
              <w:rPr>
                <w:snapToGrid/>
              </w:rPr>
              <w:t>10 973</w:t>
            </w:r>
          </w:p>
        </w:tc>
        <w:tc>
          <w:tcPr>
            <w:tcW w:w="472" w:type="pct"/>
            <w:tcBorders>
              <w:top w:val="nil"/>
              <w:bottom w:val="nil"/>
            </w:tcBorders>
          </w:tcPr>
          <w:p w:rsidR="00000000" w:rsidRDefault="00000000">
            <w:pPr>
              <w:pStyle w:val="a2"/>
              <w:spacing w:line="240" w:lineRule="exact"/>
              <w:jc w:val="center"/>
              <w:rPr>
                <w:snapToGrid/>
              </w:rPr>
            </w:pPr>
            <w:r>
              <w:rPr>
                <w:snapToGrid/>
              </w:rPr>
              <w:t>1.51</w:t>
            </w:r>
          </w:p>
        </w:tc>
        <w:tc>
          <w:tcPr>
            <w:tcW w:w="572" w:type="pct"/>
            <w:tcBorders>
              <w:top w:val="nil"/>
              <w:bottom w:val="nil"/>
            </w:tcBorders>
          </w:tcPr>
          <w:p w:rsidR="00000000" w:rsidRDefault="00000000">
            <w:pPr>
              <w:pStyle w:val="a2"/>
              <w:spacing w:line="240" w:lineRule="exact"/>
              <w:jc w:val="center"/>
              <w:rPr>
                <w:snapToGrid/>
              </w:rPr>
            </w:pPr>
            <w:r>
              <w:rPr>
                <w:snapToGrid/>
              </w:rPr>
              <w:t>1.99</w:t>
            </w:r>
          </w:p>
        </w:tc>
        <w:tc>
          <w:tcPr>
            <w:tcW w:w="413" w:type="pct"/>
            <w:tcBorders>
              <w:top w:val="nil"/>
              <w:bottom w:val="nil"/>
            </w:tcBorders>
          </w:tcPr>
          <w:p w:rsidR="00000000" w:rsidRDefault="00000000">
            <w:pPr>
              <w:pStyle w:val="a2"/>
              <w:spacing w:line="240" w:lineRule="exact"/>
              <w:ind w:right="196"/>
              <w:jc w:val="right"/>
              <w:rPr>
                <w:snapToGrid/>
              </w:rPr>
            </w:pPr>
            <w:r>
              <w:rPr>
                <w:snapToGrid/>
              </w:rPr>
              <w:t>11 510</w:t>
            </w:r>
          </w:p>
        </w:tc>
        <w:tc>
          <w:tcPr>
            <w:tcW w:w="406" w:type="pct"/>
            <w:tcBorders>
              <w:top w:val="nil"/>
              <w:bottom w:val="nil"/>
            </w:tcBorders>
          </w:tcPr>
          <w:p w:rsidR="00000000" w:rsidRDefault="00000000">
            <w:pPr>
              <w:pStyle w:val="a2"/>
              <w:spacing w:line="240" w:lineRule="exact"/>
              <w:jc w:val="center"/>
              <w:rPr>
                <w:snapToGrid/>
              </w:rPr>
            </w:pPr>
            <w:r>
              <w:rPr>
                <w:snapToGrid/>
              </w:rPr>
              <w:t>1.55</w:t>
            </w:r>
          </w:p>
        </w:tc>
        <w:tc>
          <w:tcPr>
            <w:tcW w:w="493" w:type="pct"/>
            <w:tcBorders>
              <w:top w:val="nil"/>
              <w:bottom w:val="nil"/>
            </w:tcBorders>
          </w:tcPr>
          <w:p w:rsidR="00000000" w:rsidRDefault="00000000">
            <w:pPr>
              <w:pStyle w:val="a2"/>
              <w:spacing w:line="240" w:lineRule="exact"/>
              <w:jc w:val="center"/>
              <w:rPr>
                <w:snapToGrid/>
              </w:rPr>
            </w:pPr>
            <w:r>
              <w:rPr>
                <w:snapToGrid/>
              </w:rPr>
              <w:t>2.05</w:t>
            </w:r>
          </w:p>
        </w:tc>
        <w:tc>
          <w:tcPr>
            <w:tcW w:w="350" w:type="pct"/>
            <w:tcBorders>
              <w:top w:val="nil"/>
              <w:bottom w:val="nil"/>
            </w:tcBorders>
          </w:tcPr>
          <w:p w:rsidR="00000000" w:rsidRDefault="00000000">
            <w:pPr>
              <w:pStyle w:val="a2"/>
              <w:spacing w:line="240" w:lineRule="exact"/>
              <w:ind w:right="112"/>
              <w:jc w:val="right"/>
              <w:rPr>
                <w:snapToGrid/>
              </w:rPr>
            </w:pPr>
            <w:r>
              <w:rPr>
                <w:snapToGrid/>
              </w:rPr>
              <w:t>11 869</w:t>
            </w:r>
          </w:p>
        </w:tc>
        <w:tc>
          <w:tcPr>
            <w:tcW w:w="407" w:type="pct"/>
            <w:tcBorders>
              <w:top w:val="nil"/>
              <w:bottom w:val="nil"/>
            </w:tcBorders>
          </w:tcPr>
          <w:p w:rsidR="00000000" w:rsidRDefault="00000000">
            <w:pPr>
              <w:pStyle w:val="a2"/>
              <w:spacing w:line="240" w:lineRule="exact"/>
              <w:jc w:val="center"/>
              <w:rPr>
                <w:snapToGrid/>
              </w:rPr>
            </w:pPr>
            <w:r>
              <w:rPr>
                <w:snapToGrid/>
              </w:rPr>
              <w:t>1.59</w:t>
            </w:r>
          </w:p>
        </w:tc>
        <w:tc>
          <w:tcPr>
            <w:tcW w:w="530" w:type="pct"/>
            <w:tcBorders>
              <w:top w:val="nil"/>
              <w:bottom w:val="nil"/>
            </w:tcBorders>
          </w:tcPr>
          <w:p w:rsidR="00000000" w:rsidRDefault="00000000">
            <w:pPr>
              <w:pStyle w:val="a2"/>
              <w:spacing w:line="240" w:lineRule="exact"/>
              <w:jc w:val="center"/>
              <w:rPr>
                <w:snapToGrid/>
              </w:rPr>
            </w:pPr>
            <w:r>
              <w:rPr>
                <w:snapToGrid/>
              </w:rPr>
              <w:t>2.10</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snapToGrid/>
              </w:rPr>
            </w:pPr>
            <w:r>
              <w:rPr>
                <w:snapToGrid/>
              </w:rPr>
              <w:t xml:space="preserve">   </w:t>
            </w:r>
            <w:r>
              <w:rPr>
                <w:rFonts w:hint="eastAsia"/>
                <w:snapToGrid/>
              </w:rPr>
              <w:t>3</w:t>
            </w:r>
            <w:r>
              <w:rPr>
                <w:rFonts w:hint="eastAsia"/>
                <w:snapToGrid/>
              </w:rPr>
              <w:t>号表中的养恤金</w:t>
            </w:r>
          </w:p>
        </w:tc>
        <w:tc>
          <w:tcPr>
            <w:tcW w:w="365" w:type="pct"/>
            <w:tcBorders>
              <w:top w:val="nil"/>
              <w:bottom w:val="nil"/>
            </w:tcBorders>
          </w:tcPr>
          <w:p w:rsidR="00000000" w:rsidRDefault="00000000">
            <w:pPr>
              <w:pStyle w:val="a2"/>
              <w:spacing w:line="240" w:lineRule="exact"/>
              <w:ind w:right="111"/>
              <w:jc w:val="right"/>
              <w:rPr>
                <w:snapToGrid/>
              </w:rPr>
            </w:pPr>
          </w:p>
        </w:tc>
        <w:tc>
          <w:tcPr>
            <w:tcW w:w="472" w:type="pct"/>
            <w:tcBorders>
              <w:top w:val="nil"/>
              <w:bottom w:val="nil"/>
            </w:tcBorders>
          </w:tcPr>
          <w:p w:rsidR="00000000" w:rsidRDefault="00000000">
            <w:pPr>
              <w:pStyle w:val="a2"/>
              <w:spacing w:line="240" w:lineRule="exact"/>
              <w:jc w:val="center"/>
              <w:rPr>
                <w:snapToGrid/>
              </w:rPr>
            </w:pPr>
            <w:r>
              <w:rPr>
                <w:snapToGrid/>
              </w:rPr>
              <w:t>0.00</w:t>
            </w:r>
          </w:p>
        </w:tc>
        <w:tc>
          <w:tcPr>
            <w:tcW w:w="572" w:type="pct"/>
            <w:tcBorders>
              <w:top w:val="nil"/>
              <w:bottom w:val="nil"/>
            </w:tcBorders>
          </w:tcPr>
          <w:p w:rsidR="00000000" w:rsidRDefault="00000000">
            <w:pPr>
              <w:pStyle w:val="a2"/>
              <w:spacing w:line="240" w:lineRule="exact"/>
              <w:jc w:val="center"/>
              <w:rPr>
                <w:snapToGrid/>
              </w:rPr>
            </w:pPr>
            <w:r>
              <w:rPr>
                <w:snapToGrid/>
              </w:rPr>
              <w:t>0.00</w:t>
            </w:r>
          </w:p>
        </w:tc>
        <w:tc>
          <w:tcPr>
            <w:tcW w:w="413" w:type="pct"/>
            <w:tcBorders>
              <w:top w:val="nil"/>
              <w:bottom w:val="nil"/>
            </w:tcBorders>
          </w:tcPr>
          <w:p w:rsidR="00000000" w:rsidRDefault="00000000">
            <w:pPr>
              <w:pStyle w:val="a2"/>
              <w:spacing w:line="240" w:lineRule="exact"/>
              <w:ind w:right="196"/>
              <w:jc w:val="right"/>
              <w:rPr>
                <w:snapToGrid/>
              </w:rPr>
            </w:pPr>
            <w:r>
              <w:rPr>
                <w:snapToGrid/>
              </w:rPr>
              <w:t>9 350</w:t>
            </w:r>
          </w:p>
        </w:tc>
        <w:tc>
          <w:tcPr>
            <w:tcW w:w="406" w:type="pct"/>
            <w:tcBorders>
              <w:top w:val="nil"/>
              <w:bottom w:val="nil"/>
            </w:tcBorders>
          </w:tcPr>
          <w:p w:rsidR="00000000" w:rsidRDefault="00000000">
            <w:pPr>
              <w:pStyle w:val="a2"/>
              <w:spacing w:line="240" w:lineRule="exact"/>
              <w:jc w:val="center"/>
              <w:rPr>
                <w:snapToGrid/>
              </w:rPr>
            </w:pPr>
            <w:r>
              <w:rPr>
                <w:snapToGrid/>
              </w:rPr>
              <w:t>1.26</w:t>
            </w:r>
          </w:p>
        </w:tc>
        <w:tc>
          <w:tcPr>
            <w:tcW w:w="493" w:type="pct"/>
            <w:tcBorders>
              <w:top w:val="nil"/>
              <w:bottom w:val="nil"/>
            </w:tcBorders>
          </w:tcPr>
          <w:p w:rsidR="00000000" w:rsidRDefault="00000000">
            <w:pPr>
              <w:pStyle w:val="a2"/>
              <w:spacing w:line="240" w:lineRule="exact"/>
              <w:jc w:val="center"/>
              <w:rPr>
                <w:snapToGrid/>
              </w:rPr>
            </w:pPr>
            <w:r>
              <w:rPr>
                <w:snapToGrid/>
              </w:rPr>
              <w:t>1.66</w:t>
            </w:r>
          </w:p>
        </w:tc>
        <w:tc>
          <w:tcPr>
            <w:tcW w:w="350" w:type="pct"/>
            <w:tcBorders>
              <w:top w:val="nil"/>
              <w:bottom w:val="nil"/>
            </w:tcBorders>
          </w:tcPr>
          <w:p w:rsidR="00000000" w:rsidRDefault="00000000">
            <w:pPr>
              <w:pStyle w:val="a2"/>
              <w:spacing w:line="240" w:lineRule="exact"/>
              <w:ind w:right="112"/>
              <w:jc w:val="right"/>
              <w:rPr>
                <w:snapToGrid/>
              </w:rPr>
            </w:pPr>
            <w:r>
              <w:rPr>
                <w:snapToGrid/>
              </w:rPr>
              <w:t>11 667</w:t>
            </w:r>
          </w:p>
        </w:tc>
        <w:tc>
          <w:tcPr>
            <w:tcW w:w="407" w:type="pct"/>
            <w:tcBorders>
              <w:top w:val="nil"/>
              <w:bottom w:val="nil"/>
            </w:tcBorders>
          </w:tcPr>
          <w:p w:rsidR="00000000" w:rsidRDefault="00000000">
            <w:pPr>
              <w:pStyle w:val="a2"/>
              <w:spacing w:line="240" w:lineRule="exact"/>
              <w:jc w:val="center"/>
              <w:rPr>
                <w:snapToGrid/>
              </w:rPr>
            </w:pPr>
            <w:r>
              <w:rPr>
                <w:snapToGrid/>
              </w:rPr>
              <w:t>1.56</w:t>
            </w:r>
          </w:p>
        </w:tc>
        <w:tc>
          <w:tcPr>
            <w:tcW w:w="530" w:type="pct"/>
            <w:tcBorders>
              <w:top w:val="nil"/>
              <w:bottom w:val="nil"/>
            </w:tcBorders>
          </w:tcPr>
          <w:p w:rsidR="00000000" w:rsidRDefault="00000000">
            <w:pPr>
              <w:pStyle w:val="a2"/>
              <w:spacing w:line="240" w:lineRule="exact"/>
              <w:jc w:val="center"/>
              <w:rPr>
                <w:snapToGrid/>
              </w:rPr>
            </w:pPr>
            <w:r>
              <w:rPr>
                <w:snapToGrid/>
              </w:rPr>
              <w:t>2.07</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多子女母亲</w:t>
            </w:r>
          </w:p>
        </w:tc>
        <w:tc>
          <w:tcPr>
            <w:tcW w:w="365" w:type="pct"/>
            <w:tcBorders>
              <w:top w:val="nil"/>
              <w:bottom w:val="nil"/>
            </w:tcBorders>
          </w:tcPr>
          <w:p w:rsidR="00000000" w:rsidRDefault="00000000">
            <w:pPr>
              <w:pStyle w:val="a2"/>
              <w:spacing w:line="240" w:lineRule="exact"/>
              <w:ind w:right="111"/>
              <w:jc w:val="right"/>
              <w:rPr>
                <w:snapToGrid/>
              </w:rPr>
            </w:pPr>
          </w:p>
        </w:tc>
        <w:tc>
          <w:tcPr>
            <w:tcW w:w="472" w:type="pct"/>
            <w:tcBorders>
              <w:top w:val="nil"/>
              <w:bottom w:val="nil"/>
            </w:tcBorders>
          </w:tcPr>
          <w:p w:rsidR="00000000" w:rsidRDefault="00000000">
            <w:pPr>
              <w:pStyle w:val="a2"/>
              <w:spacing w:line="240" w:lineRule="exact"/>
              <w:jc w:val="center"/>
              <w:rPr>
                <w:snapToGrid/>
              </w:rPr>
            </w:pPr>
            <w:r>
              <w:rPr>
                <w:snapToGrid/>
              </w:rPr>
              <w:t>0.00</w:t>
            </w:r>
          </w:p>
        </w:tc>
        <w:tc>
          <w:tcPr>
            <w:tcW w:w="572" w:type="pct"/>
            <w:tcBorders>
              <w:top w:val="nil"/>
              <w:bottom w:val="nil"/>
            </w:tcBorders>
          </w:tcPr>
          <w:p w:rsidR="00000000" w:rsidRDefault="00000000">
            <w:pPr>
              <w:pStyle w:val="a2"/>
              <w:spacing w:line="240" w:lineRule="exact"/>
              <w:jc w:val="center"/>
              <w:rPr>
                <w:snapToGrid/>
              </w:rPr>
            </w:pPr>
            <w:r>
              <w:rPr>
                <w:snapToGrid/>
              </w:rPr>
              <w:t>0.00</w:t>
            </w:r>
          </w:p>
        </w:tc>
        <w:tc>
          <w:tcPr>
            <w:tcW w:w="413" w:type="pct"/>
            <w:tcBorders>
              <w:top w:val="nil"/>
              <w:bottom w:val="nil"/>
            </w:tcBorders>
          </w:tcPr>
          <w:p w:rsidR="00000000" w:rsidRDefault="00000000">
            <w:pPr>
              <w:pStyle w:val="a2"/>
              <w:spacing w:line="240" w:lineRule="exact"/>
              <w:ind w:right="196"/>
              <w:jc w:val="right"/>
              <w:rPr>
                <w:snapToGrid/>
              </w:rPr>
            </w:pPr>
            <w:r>
              <w:rPr>
                <w:snapToGrid/>
              </w:rPr>
              <w:t>97 482</w:t>
            </w:r>
          </w:p>
        </w:tc>
        <w:tc>
          <w:tcPr>
            <w:tcW w:w="406" w:type="pct"/>
            <w:tcBorders>
              <w:top w:val="nil"/>
              <w:bottom w:val="nil"/>
            </w:tcBorders>
          </w:tcPr>
          <w:p w:rsidR="00000000" w:rsidRDefault="00000000">
            <w:pPr>
              <w:pStyle w:val="a2"/>
              <w:spacing w:line="240" w:lineRule="exact"/>
              <w:jc w:val="center"/>
              <w:rPr>
                <w:snapToGrid/>
              </w:rPr>
            </w:pPr>
            <w:r>
              <w:rPr>
                <w:snapToGrid/>
              </w:rPr>
              <w:t>13.11</w:t>
            </w:r>
          </w:p>
        </w:tc>
        <w:tc>
          <w:tcPr>
            <w:tcW w:w="493" w:type="pct"/>
            <w:tcBorders>
              <w:top w:val="nil"/>
              <w:bottom w:val="nil"/>
            </w:tcBorders>
          </w:tcPr>
          <w:p w:rsidR="00000000" w:rsidRDefault="00000000">
            <w:pPr>
              <w:pStyle w:val="a2"/>
              <w:spacing w:line="240" w:lineRule="exact"/>
              <w:jc w:val="center"/>
              <w:rPr>
                <w:snapToGrid/>
              </w:rPr>
            </w:pPr>
            <w:r>
              <w:rPr>
                <w:snapToGrid/>
              </w:rPr>
              <w:t>17.34</w:t>
            </w:r>
          </w:p>
        </w:tc>
        <w:tc>
          <w:tcPr>
            <w:tcW w:w="350" w:type="pct"/>
            <w:tcBorders>
              <w:top w:val="nil"/>
              <w:bottom w:val="nil"/>
            </w:tcBorders>
          </w:tcPr>
          <w:p w:rsidR="00000000" w:rsidRDefault="00000000">
            <w:pPr>
              <w:pStyle w:val="a2"/>
              <w:spacing w:line="240" w:lineRule="exact"/>
              <w:ind w:right="112"/>
              <w:jc w:val="right"/>
              <w:rPr>
                <w:snapToGrid/>
              </w:rPr>
            </w:pPr>
            <w:r>
              <w:rPr>
                <w:snapToGrid/>
              </w:rPr>
              <w:t>99 979</w:t>
            </w:r>
          </w:p>
        </w:tc>
        <w:tc>
          <w:tcPr>
            <w:tcW w:w="407" w:type="pct"/>
            <w:tcBorders>
              <w:top w:val="nil"/>
              <w:bottom w:val="nil"/>
            </w:tcBorders>
          </w:tcPr>
          <w:p w:rsidR="00000000" w:rsidRDefault="00000000">
            <w:pPr>
              <w:pStyle w:val="a2"/>
              <w:spacing w:line="240" w:lineRule="exact"/>
              <w:jc w:val="center"/>
              <w:rPr>
                <w:snapToGrid/>
              </w:rPr>
            </w:pPr>
            <w:r>
              <w:rPr>
                <w:snapToGrid/>
              </w:rPr>
              <w:t>13.39</w:t>
            </w:r>
          </w:p>
        </w:tc>
        <w:tc>
          <w:tcPr>
            <w:tcW w:w="530" w:type="pct"/>
            <w:tcBorders>
              <w:top w:val="nil"/>
              <w:bottom w:val="nil"/>
            </w:tcBorders>
          </w:tcPr>
          <w:p w:rsidR="00000000" w:rsidRDefault="00000000">
            <w:pPr>
              <w:pStyle w:val="a2"/>
              <w:spacing w:line="240" w:lineRule="exact"/>
              <w:jc w:val="center"/>
              <w:rPr>
                <w:snapToGrid/>
              </w:rPr>
            </w:pPr>
            <w:r>
              <w:rPr>
                <w:snapToGrid/>
              </w:rPr>
              <w:t>17.73</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有从小残疾子女的母亲</w:t>
            </w:r>
          </w:p>
        </w:tc>
        <w:tc>
          <w:tcPr>
            <w:tcW w:w="365" w:type="pct"/>
            <w:tcBorders>
              <w:top w:val="nil"/>
              <w:bottom w:val="nil"/>
            </w:tcBorders>
          </w:tcPr>
          <w:p w:rsidR="00000000" w:rsidRDefault="00000000">
            <w:pPr>
              <w:pStyle w:val="a2"/>
              <w:spacing w:line="240" w:lineRule="exact"/>
              <w:ind w:right="111"/>
              <w:jc w:val="right"/>
              <w:rPr>
                <w:snapToGrid/>
              </w:rPr>
            </w:pPr>
            <w:r>
              <w:rPr>
                <w:snapToGrid/>
              </w:rPr>
              <w:t xml:space="preserve"> 133</w:t>
            </w:r>
          </w:p>
        </w:tc>
        <w:tc>
          <w:tcPr>
            <w:tcW w:w="472" w:type="pct"/>
            <w:tcBorders>
              <w:top w:val="nil"/>
              <w:bottom w:val="nil"/>
            </w:tcBorders>
          </w:tcPr>
          <w:p w:rsidR="00000000" w:rsidRDefault="00000000">
            <w:pPr>
              <w:pStyle w:val="a2"/>
              <w:spacing w:line="240" w:lineRule="exact"/>
              <w:jc w:val="center"/>
              <w:rPr>
                <w:snapToGrid/>
              </w:rPr>
            </w:pPr>
            <w:r>
              <w:rPr>
                <w:snapToGrid/>
              </w:rPr>
              <w:t>0.02</w:t>
            </w:r>
          </w:p>
        </w:tc>
        <w:tc>
          <w:tcPr>
            <w:tcW w:w="572" w:type="pct"/>
            <w:tcBorders>
              <w:top w:val="nil"/>
              <w:bottom w:val="nil"/>
            </w:tcBorders>
          </w:tcPr>
          <w:p w:rsidR="00000000" w:rsidRDefault="00000000">
            <w:pPr>
              <w:pStyle w:val="a2"/>
              <w:spacing w:line="240" w:lineRule="exact"/>
              <w:jc w:val="center"/>
              <w:rPr>
                <w:snapToGrid/>
              </w:rPr>
            </w:pPr>
            <w:r>
              <w:rPr>
                <w:snapToGrid/>
              </w:rPr>
              <w:t>0.02</w:t>
            </w:r>
          </w:p>
        </w:tc>
        <w:tc>
          <w:tcPr>
            <w:tcW w:w="413" w:type="pct"/>
            <w:tcBorders>
              <w:top w:val="nil"/>
              <w:bottom w:val="nil"/>
            </w:tcBorders>
          </w:tcPr>
          <w:p w:rsidR="00000000" w:rsidRDefault="00000000">
            <w:pPr>
              <w:pStyle w:val="a2"/>
              <w:spacing w:line="240" w:lineRule="exact"/>
              <w:ind w:right="196"/>
              <w:jc w:val="right"/>
              <w:rPr>
                <w:snapToGrid/>
              </w:rPr>
            </w:pPr>
            <w:r>
              <w:rPr>
                <w:snapToGrid/>
              </w:rPr>
              <w:t>217</w:t>
            </w:r>
          </w:p>
        </w:tc>
        <w:tc>
          <w:tcPr>
            <w:tcW w:w="406" w:type="pct"/>
            <w:tcBorders>
              <w:top w:val="nil"/>
              <w:bottom w:val="nil"/>
            </w:tcBorders>
          </w:tcPr>
          <w:p w:rsidR="00000000" w:rsidRDefault="00000000">
            <w:pPr>
              <w:pStyle w:val="a2"/>
              <w:spacing w:line="240" w:lineRule="exact"/>
              <w:jc w:val="center"/>
              <w:rPr>
                <w:snapToGrid/>
              </w:rPr>
            </w:pPr>
            <w:r>
              <w:rPr>
                <w:snapToGrid/>
              </w:rPr>
              <w:t>0.03</w:t>
            </w:r>
          </w:p>
        </w:tc>
        <w:tc>
          <w:tcPr>
            <w:tcW w:w="493" w:type="pct"/>
            <w:tcBorders>
              <w:top w:val="nil"/>
              <w:bottom w:val="nil"/>
            </w:tcBorders>
          </w:tcPr>
          <w:p w:rsidR="00000000" w:rsidRDefault="00000000">
            <w:pPr>
              <w:pStyle w:val="a2"/>
              <w:spacing w:line="240" w:lineRule="exact"/>
              <w:jc w:val="center"/>
              <w:rPr>
                <w:snapToGrid/>
              </w:rPr>
            </w:pPr>
            <w:r>
              <w:rPr>
                <w:snapToGrid/>
              </w:rPr>
              <w:t>0.04</w:t>
            </w:r>
          </w:p>
        </w:tc>
        <w:tc>
          <w:tcPr>
            <w:tcW w:w="350" w:type="pct"/>
            <w:tcBorders>
              <w:top w:val="nil"/>
              <w:bottom w:val="nil"/>
            </w:tcBorders>
          </w:tcPr>
          <w:p w:rsidR="00000000" w:rsidRDefault="00000000">
            <w:pPr>
              <w:pStyle w:val="a2"/>
              <w:spacing w:line="240" w:lineRule="exact"/>
              <w:ind w:right="112"/>
              <w:jc w:val="right"/>
              <w:rPr>
                <w:snapToGrid/>
              </w:rPr>
            </w:pPr>
            <w:r>
              <w:rPr>
                <w:snapToGrid/>
              </w:rPr>
              <w:t>376</w:t>
            </w:r>
          </w:p>
        </w:tc>
        <w:tc>
          <w:tcPr>
            <w:tcW w:w="407" w:type="pct"/>
            <w:tcBorders>
              <w:top w:val="nil"/>
              <w:bottom w:val="nil"/>
            </w:tcBorders>
          </w:tcPr>
          <w:p w:rsidR="00000000" w:rsidRDefault="00000000">
            <w:pPr>
              <w:pStyle w:val="a2"/>
              <w:spacing w:line="240" w:lineRule="exact"/>
              <w:jc w:val="center"/>
              <w:rPr>
                <w:snapToGrid/>
              </w:rPr>
            </w:pPr>
            <w:r>
              <w:rPr>
                <w:snapToGrid/>
              </w:rPr>
              <w:t>0.05</w:t>
            </w:r>
          </w:p>
        </w:tc>
        <w:tc>
          <w:tcPr>
            <w:tcW w:w="530" w:type="pct"/>
            <w:tcBorders>
              <w:top w:val="nil"/>
              <w:bottom w:val="nil"/>
            </w:tcBorders>
          </w:tcPr>
          <w:p w:rsidR="00000000" w:rsidRDefault="00000000">
            <w:pPr>
              <w:pStyle w:val="a2"/>
              <w:spacing w:line="240" w:lineRule="exact"/>
              <w:jc w:val="center"/>
              <w:rPr>
                <w:snapToGrid/>
              </w:rPr>
            </w:pPr>
            <w:r>
              <w:rPr>
                <w:snapToGrid/>
              </w:rPr>
              <w:t>0.07</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英雄母亲</w:t>
            </w:r>
          </w:p>
        </w:tc>
        <w:tc>
          <w:tcPr>
            <w:tcW w:w="365" w:type="pct"/>
            <w:tcBorders>
              <w:top w:val="nil"/>
              <w:bottom w:val="nil"/>
            </w:tcBorders>
          </w:tcPr>
          <w:p w:rsidR="00000000" w:rsidRDefault="00000000">
            <w:pPr>
              <w:pStyle w:val="a2"/>
              <w:spacing w:line="240" w:lineRule="exact"/>
              <w:ind w:right="111"/>
              <w:jc w:val="right"/>
              <w:rPr>
                <w:snapToGrid/>
              </w:rPr>
            </w:pPr>
          </w:p>
        </w:tc>
        <w:tc>
          <w:tcPr>
            <w:tcW w:w="472" w:type="pct"/>
            <w:tcBorders>
              <w:top w:val="nil"/>
              <w:bottom w:val="nil"/>
            </w:tcBorders>
          </w:tcPr>
          <w:p w:rsidR="00000000" w:rsidRDefault="00000000">
            <w:pPr>
              <w:pStyle w:val="a2"/>
              <w:spacing w:line="240" w:lineRule="exact"/>
              <w:jc w:val="center"/>
              <w:rPr>
                <w:snapToGrid/>
              </w:rPr>
            </w:pPr>
            <w:r>
              <w:rPr>
                <w:snapToGrid/>
              </w:rPr>
              <w:t>0.00</w:t>
            </w:r>
          </w:p>
        </w:tc>
        <w:tc>
          <w:tcPr>
            <w:tcW w:w="572" w:type="pct"/>
            <w:tcBorders>
              <w:top w:val="nil"/>
              <w:bottom w:val="nil"/>
            </w:tcBorders>
          </w:tcPr>
          <w:p w:rsidR="00000000" w:rsidRDefault="00000000">
            <w:pPr>
              <w:pStyle w:val="a2"/>
              <w:spacing w:line="240" w:lineRule="exact"/>
              <w:jc w:val="center"/>
              <w:rPr>
                <w:snapToGrid/>
              </w:rPr>
            </w:pPr>
            <w:r>
              <w:rPr>
                <w:snapToGrid/>
              </w:rPr>
              <w:t>0.00</w:t>
            </w:r>
          </w:p>
        </w:tc>
        <w:tc>
          <w:tcPr>
            <w:tcW w:w="413" w:type="pct"/>
            <w:tcBorders>
              <w:top w:val="nil"/>
              <w:bottom w:val="nil"/>
            </w:tcBorders>
          </w:tcPr>
          <w:p w:rsidR="00000000" w:rsidRDefault="00000000">
            <w:pPr>
              <w:pStyle w:val="a2"/>
              <w:spacing w:line="240" w:lineRule="exact"/>
              <w:ind w:right="196"/>
              <w:jc w:val="right"/>
              <w:rPr>
                <w:snapToGrid/>
              </w:rPr>
            </w:pPr>
            <w:r>
              <w:rPr>
                <w:snapToGrid/>
              </w:rPr>
              <w:t>26</w:t>
            </w:r>
          </w:p>
        </w:tc>
        <w:tc>
          <w:tcPr>
            <w:tcW w:w="406" w:type="pct"/>
            <w:tcBorders>
              <w:top w:val="nil"/>
              <w:bottom w:val="nil"/>
            </w:tcBorders>
          </w:tcPr>
          <w:p w:rsidR="00000000" w:rsidRDefault="00000000">
            <w:pPr>
              <w:pStyle w:val="a2"/>
              <w:spacing w:line="240" w:lineRule="exact"/>
              <w:jc w:val="center"/>
              <w:rPr>
                <w:snapToGrid/>
              </w:rPr>
            </w:pPr>
            <w:r>
              <w:rPr>
                <w:snapToGrid/>
              </w:rPr>
              <w:t>0.00</w:t>
            </w:r>
          </w:p>
        </w:tc>
        <w:tc>
          <w:tcPr>
            <w:tcW w:w="493" w:type="pct"/>
            <w:tcBorders>
              <w:top w:val="nil"/>
              <w:bottom w:val="nil"/>
            </w:tcBorders>
          </w:tcPr>
          <w:p w:rsidR="00000000" w:rsidRDefault="00000000">
            <w:pPr>
              <w:pStyle w:val="a2"/>
              <w:spacing w:line="240" w:lineRule="exact"/>
              <w:jc w:val="center"/>
              <w:rPr>
                <w:snapToGrid/>
              </w:rPr>
            </w:pPr>
            <w:r>
              <w:rPr>
                <w:snapToGrid/>
              </w:rPr>
              <w:t>0.00</w:t>
            </w:r>
          </w:p>
        </w:tc>
        <w:tc>
          <w:tcPr>
            <w:tcW w:w="350" w:type="pct"/>
            <w:tcBorders>
              <w:top w:val="nil"/>
              <w:bottom w:val="nil"/>
            </w:tcBorders>
          </w:tcPr>
          <w:p w:rsidR="00000000" w:rsidRDefault="00000000">
            <w:pPr>
              <w:pStyle w:val="a2"/>
              <w:spacing w:line="240" w:lineRule="exact"/>
              <w:ind w:right="112"/>
              <w:jc w:val="right"/>
              <w:rPr>
                <w:snapToGrid/>
              </w:rPr>
            </w:pPr>
            <w:r>
              <w:rPr>
                <w:snapToGrid/>
              </w:rPr>
              <w:t>110</w:t>
            </w:r>
          </w:p>
        </w:tc>
        <w:tc>
          <w:tcPr>
            <w:tcW w:w="407" w:type="pct"/>
            <w:tcBorders>
              <w:top w:val="nil"/>
              <w:bottom w:val="nil"/>
            </w:tcBorders>
          </w:tcPr>
          <w:p w:rsidR="00000000" w:rsidRDefault="00000000">
            <w:pPr>
              <w:pStyle w:val="a2"/>
              <w:spacing w:line="240" w:lineRule="exact"/>
              <w:jc w:val="center"/>
              <w:rPr>
                <w:snapToGrid/>
              </w:rPr>
            </w:pPr>
            <w:r>
              <w:rPr>
                <w:snapToGrid/>
              </w:rPr>
              <w:t>0.01</w:t>
            </w:r>
          </w:p>
        </w:tc>
        <w:tc>
          <w:tcPr>
            <w:tcW w:w="530" w:type="pct"/>
            <w:tcBorders>
              <w:top w:val="nil"/>
              <w:bottom w:val="nil"/>
            </w:tcBorders>
          </w:tcPr>
          <w:p w:rsidR="00000000" w:rsidRDefault="00000000">
            <w:pPr>
              <w:pStyle w:val="a2"/>
              <w:spacing w:line="240" w:lineRule="exact"/>
              <w:jc w:val="center"/>
              <w:rPr>
                <w:snapToGrid/>
              </w:rPr>
            </w:pPr>
            <w:r>
              <w:rPr>
                <w:snapToGrid/>
              </w:rPr>
              <w:t>0.02</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残疾养恤金领取人数目</w:t>
            </w:r>
          </w:p>
        </w:tc>
        <w:tc>
          <w:tcPr>
            <w:tcW w:w="365" w:type="pct"/>
            <w:tcBorders>
              <w:top w:val="nil"/>
              <w:bottom w:val="nil"/>
            </w:tcBorders>
          </w:tcPr>
          <w:p w:rsidR="00000000" w:rsidRDefault="00000000">
            <w:pPr>
              <w:pStyle w:val="a2"/>
              <w:spacing w:line="240" w:lineRule="exact"/>
              <w:ind w:right="111"/>
              <w:jc w:val="right"/>
              <w:rPr>
                <w:snapToGrid/>
              </w:rPr>
            </w:pPr>
            <w:r>
              <w:rPr>
                <w:snapToGrid/>
              </w:rPr>
              <w:t>88 561</w:t>
            </w:r>
          </w:p>
        </w:tc>
        <w:tc>
          <w:tcPr>
            <w:tcW w:w="472" w:type="pct"/>
            <w:tcBorders>
              <w:top w:val="nil"/>
              <w:bottom w:val="nil"/>
            </w:tcBorders>
          </w:tcPr>
          <w:p w:rsidR="00000000" w:rsidRDefault="00000000">
            <w:pPr>
              <w:pStyle w:val="a2"/>
              <w:spacing w:line="240" w:lineRule="exact"/>
              <w:jc w:val="center"/>
              <w:rPr>
                <w:snapToGrid/>
              </w:rPr>
            </w:pPr>
            <w:r>
              <w:rPr>
                <w:snapToGrid/>
              </w:rPr>
              <w:t>12.18</w:t>
            </w:r>
          </w:p>
        </w:tc>
        <w:tc>
          <w:tcPr>
            <w:tcW w:w="572" w:type="pct"/>
            <w:tcBorders>
              <w:top w:val="nil"/>
              <w:bottom w:val="nil"/>
            </w:tcBorders>
          </w:tcPr>
          <w:p w:rsidR="00000000" w:rsidRDefault="00000000">
            <w:pPr>
              <w:pStyle w:val="a2"/>
              <w:spacing w:line="240" w:lineRule="exact"/>
              <w:jc w:val="center"/>
              <w:rPr>
                <w:snapToGrid/>
              </w:rPr>
            </w:pPr>
            <w:r>
              <w:rPr>
                <w:snapToGrid/>
              </w:rPr>
              <w:t>16.06</w:t>
            </w:r>
          </w:p>
        </w:tc>
        <w:tc>
          <w:tcPr>
            <w:tcW w:w="413" w:type="pct"/>
            <w:tcBorders>
              <w:top w:val="nil"/>
              <w:bottom w:val="nil"/>
            </w:tcBorders>
          </w:tcPr>
          <w:p w:rsidR="00000000" w:rsidRDefault="00000000">
            <w:pPr>
              <w:pStyle w:val="a2"/>
              <w:spacing w:line="240" w:lineRule="exact"/>
              <w:ind w:right="196"/>
              <w:jc w:val="right"/>
              <w:rPr>
                <w:snapToGrid/>
              </w:rPr>
            </w:pPr>
            <w:r>
              <w:rPr>
                <w:snapToGrid/>
              </w:rPr>
              <w:t>94 983</w:t>
            </w:r>
          </w:p>
        </w:tc>
        <w:tc>
          <w:tcPr>
            <w:tcW w:w="406" w:type="pct"/>
            <w:tcBorders>
              <w:top w:val="nil"/>
              <w:bottom w:val="nil"/>
            </w:tcBorders>
          </w:tcPr>
          <w:p w:rsidR="00000000" w:rsidRDefault="00000000">
            <w:pPr>
              <w:pStyle w:val="a2"/>
              <w:spacing w:line="240" w:lineRule="exact"/>
              <w:jc w:val="center"/>
              <w:rPr>
                <w:snapToGrid/>
              </w:rPr>
            </w:pPr>
            <w:r>
              <w:rPr>
                <w:snapToGrid/>
              </w:rPr>
              <w:t>12.77</w:t>
            </w:r>
          </w:p>
        </w:tc>
        <w:tc>
          <w:tcPr>
            <w:tcW w:w="493" w:type="pct"/>
            <w:tcBorders>
              <w:top w:val="nil"/>
              <w:bottom w:val="nil"/>
            </w:tcBorders>
          </w:tcPr>
          <w:p w:rsidR="00000000" w:rsidRDefault="00000000">
            <w:pPr>
              <w:pStyle w:val="a2"/>
              <w:spacing w:line="240" w:lineRule="exact"/>
              <w:jc w:val="center"/>
              <w:rPr>
                <w:snapToGrid/>
              </w:rPr>
            </w:pPr>
            <w:r>
              <w:rPr>
                <w:snapToGrid/>
              </w:rPr>
              <w:t>16.89</w:t>
            </w:r>
          </w:p>
        </w:tc>
        <w:tc>
          <w:tcPr>
            <w:tcW w:w="350" w:type="pct"/>
            <w:tcBorders>
              <w:top w:val="nil"/>
              <w:bottom w:val="nil"/>
            </w:tcBorders>
          </w:tcPr>
          <w:p w:rsidR="00000000" w:rsidRDefault="00000000">
            <w:pPr>
              <w:pStyle w:val="a2"/>
              <w:spacing w:line="240" w:lineRule="exact"/>
              <w:ind w:right="112"/>
              <w:jc w:val="right"/>
              <w:rPr>
                <w:snapToGrid/>
              </w:rPr>
            </w:pPr>
            <w:r>
              <w:rPr>
                <w:snapToGrid/>
              </w:rPr>
              <w:t>97 602</w:t>
            </w:r>
          </w:p>
        </w:tc>
        <w:tc>
          <w:tcPr>
            <w:tcW w:w="407" w:type="pct"/>
            <w:tcBorders>
              <w:top w:val="nil"/>
              <w:bottom w:val="nil"/>
            </w:tcBorders>
          </w:tcPr>
          <w:p w:rsidR="00000000" w:rsidRDefault="00000000">
            <w:pPr>
              <w:pStyle w:val="a2"/>
              <w:spacing w:line="240" w:lineRule="exact"/>
              <w:jc w:val="center"/>
              <w:rPr>
                <w:snapToGrid/>
              </w:rPr>
            </w:pPr>
            <w:r>
              <w:rPr>
                <w:snapToGrid/>
              </w:rPr>
              <w:t>13.07</w:t>
            </w:r>
          </w:p>
        </w:tc>
        <w:tc>
          <w:tcPr>
            <w:tcW w:w="530" w:type="pct"/>
            <w:tcBorders>
              <w:top w:val="nil"/>
              <w:bottom w:val="nil"/>
            </w:tcBorders>
          </w:tcPr>
          <w:p w:rsidR="00000000" w:rsidRDefault="00000000">
            <w:pPr>
              <w:pStyle w:val="a2"/>
              <w:spacing w:line="240" w:lineRule="exact"/>
              <w:jc w:val="center"/>
              <w:rPr>
                <w:snapToGrid/>
              </w:rPr>
            </w:pPr>
            <w:r>
              <w:rPr>
                <w:snapToGrid/>
              </w:rPr>
              <w:t>17.31</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包括</w:t>
            </w:r>
            <w:r>
              <w:rPr>
                <w:snapToGrid/>
              </w:rPr>
              <w:t>：</w:t>
            </w:r>
            <w:r>
              <w:rPr>
                <w:rFonts w:hint="eastAsia"/>
                <w:snapToGrid/>
              </w:rPr>
              <w:t>因工伤事故和职业疾病致残</w:t>
            </w:r>
          </w:p>
        </w:tc>
        <w:tc>
          <w:tcPr>
            <w:tcW w:w="365" w:type="pct"/>
            <w:tcBorders>
              <w:top w:val="nil"/>
              <w:bottom w:val="nil"/>
            </w:tcBorders>
          </w:tcPr>
          <w:p w:rsidR="00000000" w:rsidRDefault="00000000">
            <w:pPr>
              <w:pStyle w:val="a2"/>
              <w:spacing w:line="240" w:lineRule="exact"/>
              <w:ind w:right="111"/>
              <w:jc w:val="right"/>
              <w:rPr>
                <w:snapToGrid/>
              </w:rPr>
            </w:pPr>
            <w:r>
              <w:rPr>
                <w:snapToGrid/>
              </w:rPr>
              <w:t>5 332</w:t>
            </w:r>
          </w:p>
        </w:tc>
        <w:tc>
          <w:tcPr>
            <w:tcW w:w="472" w:type="pct"/>
            <w:tcBorders>
              <w:top w:val="nil"/>
              <w:bottom w:val="nil"/>
            </w:tcBorders>
          </w:tcPr>
          <w:p w:rsidR="00000000" w:rsidRDefault="00000000">
            <w:pPr>
              <w:pStyle w:val="a2"/>
              <w:spacing w:line="240" w:lineRule="exact"/>
              <w:jc w:val="center"/>
              <w:rPr>
                <w:snapToGrid/>
              </w:rPr>
            </w:pPr>
            <w:r>
              <w:rPr>
                <w:snapToGrid/>
              </w:rPr>
              <w:t>0.73</w:t>
            </w:r>
          </w:p>
        </w:tc>
        <w:tc>
          <w:tcPr>
            <w:tcW w:w="572" w:type="pct"/>
            <w:tcBorders>
              <w:top w:val="nil"/>
              <w:bottom w:val="nil"/>
            </w:tcBorders>
          </w:tcPr>
          <w:p w:rsidR="00000000" w:rsidRDefault="00000000">
            <w:pPr>
              <w:pStyle w:val="a2"/>
              <w:spacing w:line="240" w:lineRule="exact"/>
              <w:jc w:val="center"/>
              <w:rPr>
                <w:snapToGrid/>
              </w:rPr>
            </w:pPr>
            <w:r>
              <w:rPr>
                <w:snapToGrid/>
              </w:rPr>
              <w:t>0.97</w:t>
            </w:r>
          </w:p>
        </w:tc>
        <w:tc>
          <w:tcPr>
            <w:tcW w:w="413" w:type="pct"/>
            <w:tcBorders>
              <w:top w:val="nil"/>
              <w:bottom w:val="nil"/>
            </w:tcBorders>
          </w:tcPr>
          <w:p w:rsidR="00000000" w:rsidRDefault="00000000">
            <w:pPr>
              <w:pStyle w:val="a2"/>
              <w:spacing w:line="240" w:lineRule="exact"/>
              <w:ind w:right="196"/>
              <w:jc w:val="right"/>
              <w:rPr>
                <w:snapToGrid/>
              </w:rPr>
            </w:pPr>
            <w:r>
              <w:rPr>
                <w:snapToGrid/>
              </w:rPr>
              <w:t>5 214</w:t>
            </w:r>
          </w:p>
        </w:tc>
        <w:tc>
          <w:tcPr>
            <w:tcW w:w="406" w:type="pct"/>
            <w:tcBorders>
              <w:top w:val="nil"/>
              <w:bottom w:val="nil"/>
            </w:tcBorders>
          </w:tcPr>
          <w:p w:rsidR="00000000" w:rsidRDefault="00000000">
            <w:pPr>
              <w:pStyle w:val="a2"/>
              <w:spacing w:line="240" w:lineRule="exact"/>
              <w:jc w:val="center"/>
              <w:rPr>
                <w:snapToGrid/>
              </w:rPr>
            </w:pPr>
            <w:r>
              <w:rPr>
                <w:snapToGrid/>
              </w:rPr>
              <w:t>0.70</w:t>
            </w:r>
          </w:p>
        </w:tc>
        <w:tc>
          <w:tcPr>
            <w:tcW w:w="493" w:type="pct"/>
            <w:tcBorders>
              <w:top w:val="nil"/>
              <w:bottom w:val="nil"/>
            </w:tcBorders>
          </w:tcPr>
          <w:p w:rsidR="00000000" w:rsidRDefault="00000000">
            <w:pPr>
              <w:pStyle w:val="a2"/>
              <w:spacing w:line="240" w:lineRule="exact"/>
              <w:jc w:val="center"/>
              <w:rPr>
                <w:snapToGrid/>
              </w:rPr>
            </w:pPr>
            <w:r>
              <w:rPr>
                <w:snapToGrid/>
              </w:rPr>
              <w:t>0.93</w:t>
            </w:r>
          </w:p>
        </w:tc>
        <w:tc>
          <w:tcPr>
            <w:tcW w:w="350" w:type="pct"/>
            <w:tcBorders>
              <w:top w:val="nil"/>
              <w:bottom w:val="nil"/>
            </w:tcBorders>
          </w:tcPr>
          <w:p w:rsidR="00000000" w:rsidRDefault="00000000">
            <w:pPr>
              <w:pStyle w:val="a2"/>
              <w:spacing w:line="240" w:lineRule="exact"/>
              <w:ind w:right="112"/>
              <w:jc w:val="right"/>
              <w:rPr>
                <w:snapToGrid/>
              </w:rPr>
            </w:pPr>
            <w:r>
              <w:rPr>
                <w:snapToGrid/>
              </w:rPr>
              <w:t>5 063</w:t>
            </w:r>
          </w:p>
        </w:tc>
        <w:tc>
          <w:tcPr>
            <w:tcW w:w="407" w:type="pct"/>
            <w:tcBorders>
              <w:top w:val="nil"/>
              <w:bottom w:val="nil"/>
            </w:tcBorders>
          </w:tcPr>
          <w:p w:rsidR="00000000" w:rsidRDefault="00000000">
            <w:pPr>
              <w:pStyle w:val="a2"/>
              <w:spacing w:line="240" w:lineRule="exact"/>
              <w:jc w:val="center"/>
              <w:rPr>
                <w:snapToGrid/>
              </w:rPr>
            </w:pPr>
            <w:r>
              <w:rPr>
                <w:snapToGrid/>
              </w:rPr>
              <w:t>0.68</w:t>
            </w:r>
          </w:p>
        </w:tc>
        <w:tc>
          <w:tcPr>
            <w:tcW w:w="530" w:type="pct"/>
            <w:tcBorders>
              <w:top w:val="nil"/>
              <w:bottom w:val="nil"/>
            </w:tcBorders>
          </w:tcPr>
          <w:p w:rsidR="00000000" w:rsidRDefault="00000000">
            <w:pPr>
              <w:pStyle w:val="a2"/>
              <w:spacing w:line="240" w:lineRule="exact"/>
              <w:jc w:val="center"/>
              <w:rPr>
                <w:snapToGrid/>
              </w:rPr>
            </w:pPr>
            <w:r>
              <w:rPr>
                <w:snapToGrid/>
              </w:rPr>
              <w:t>0.90</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因一般疾病致残</w:t>
            </w:r>
          </w:p>
        </w:tc>
        <w:tc>
          <w:tcPr>
            <w:tcW w:w="365" w:type="pct"/>
            <w:tcBorders>
              <w:top w:val="nil"/>
              <w:bottom w:val="nil"/>
            </w:tcBorders>
          </w:tcPr>
          <w:p w:rsidR="00000000" w:rsidRDefault="00000000">
            <w:pPr>
              <w:pStyle w:val="a2"/>
              <w:spacing w:line="240" w:lineRule="exact"/>
              <w:ind w:right="111"/>
              <w:jc w:val="right"/>
              <w:rPr>
                <w:snapToGrid/>
              </w:rPr>
            </w:pPr>
            <w:r>
              <w:rPr>
                <w:snapToGrid/>
              </w:rPr>
              <w:t>83 229</w:t>
            </w:r>
          </w:p>
        </w:tc>
        <w:tc>
          <w:tcPr>
            <w:tcW w:w="472" w:type="pct"/>
            <w:tcBorders>
              <w:top w:val="nil"/>
              <w:bottom w:val="nil"/>
            </w:tcBorders>
          </w:tcPr>
          <w:p w:rsidR="00000000" w:rsidRDefault="00000000">
            <w:pPr>
              <w:pStyle w:val="a2"/>
              <w:spacing w:line="240" w:lineRule="exact"/>
              <w:jc w:val="center"/>
              <w:rPr>
                <w:snapToGrid/>
              </w:rPr>
            </w:pPr>
            <w:r>
              <w:rPr>
                <w:snapToGrid/>
              </w:rPr>
              <w:t>11.44</w:t>
            </w:r>
          </w:p>
        </w:tc>
        <w:tc>
          <w:tcPr>
            <w:tcW w:w="572" w:type="pct"/>
            <w:tcBorders>
              <w:top w:val="nil"/>
              <w:bottom w:val="nil"/>
            </w:tcBorders>
          </w:tcPr>
          <w:p w:rsidR="00000000" w:rsidRDefault="00000000">
            <w:pPr>
              <w:pStyle w:val="a2"/>
              <w:spacing w:line="240" w:lineRule="exact"/>
              <w:jc w:val="center"/>
              <w:rPr>
                <w:snapToGrid/>
              </w:rPr>
            </w:pPr>
            <w:r>
              <w:rPr>
                <w:snapToGrid/>
              </w:rPr>
              <w:t>15.09</w:t>
            </w:r>
          </w:p>
        </w:tc>
        <w:tc>
          <w:tcPr>
            <w:tcW w:w="413" w:type="pct"/>
            <w:tcBorders>
              <w:top w:val="nil"/>
              <w:bottom w:val="nil"/>
            </w:tcBorders>
          </w:tcPr>
          <w:p w:rsidR="00000000" w:rsidRDefault="00000000">
            <w:pPr>
              <w:pStyle w:val="a2"/>
              <w:spacing w:line="240" w:lineRule="exact"/>
              <w:ind w:right="196"/>
              <w:jc w:val="right"/>
              <w:rPr>
                <w:snapToGrid/>
              </w:rPr>
            </w:pPr>
            <w:r>
              <w:rPr>
                <w:snapToGrid/>
              </w:rPr>
              <w:t>89 769</w:t>
            </w:r>
          </w:p>
        </w:tc>
        <w:tc>
          <w:tcPr>
            <w:tcW w:w="406" w:type="pct"/>
            <w:tcBorders>
              <w:top w:val="nil"/>
              <w:bottom w:val="nil"/>
            </w:tcBorders>
          </w:tcPr>
          <w:p w:rsidR="00000000" w:rsidRDefault="00000000">
            <w:pPr>
              <w:pStyle w:val="a2"/>
              <w:spacing w:line="240" w:lineRule="exact"/>
              <w:jc w:val="center"/>
              <w:rPr>
                <w:snapToGrid/>
              </w:rPr>
            </w:pPr>
            <w:r>
              <w:rPr>
                <w:snapToGrid/>
              </w:rPr>
              <w:t>12.07</w:t>
            </w:r>
          </w:p>
        </w:tc>
        <w:tc>
          <w:tcPr>
            <w:tcW w:w="493" w:type="pct"/>
            <w:tcBorders>
              <w:top w:val="nil"/>
              <w:bottom w:val="nil"/>
            </w:tcBorders>
          </w:tcPr>
          <w:p w:rsidR="00000000" w:rsidRDefault="00000000">
            <w:pPr>
              <w:pStyle w:val="a2"/>
              <w:spacing w:line="240" w:lineRule="exact"/>
              <w:jc w:val="center"/>
              <w:rPr>
                <w:snapToGrid/>
              </w:rPr>
            </w:pPr>
            <w:r>
              <w:rPr>
                <w:snapToGrid/>
              </w:rPr>
              <w:t>15.96</w:t>
            </w:r>
          </w:p>
        </w:tc>
        <w:tc>
          <w:tcPr>
            <w:tcW w:w="350" w:type="pct"/>
            <w:tcBorders>
              <w:top w:val="nil"/>
              <w:bottom w:val="nil"/>
            </w:tcBorders>
          </w:tcPr>
          <w:p w:rsidR="00000000" w:rsidRDefault="00000000">
            <w:pPr>
              <w:pStyle w:val="a2"/>
              <w:spacing w:line="240" w:lineRule="exact"/>
              <w:ind w:right="112"/>
              <w:jc w:val="right"/>
              <w:rPr>
                <w:snapToGrid/>
              </w:rPr>
            </w:pPr>
            <w:r>
              <w:rPr>
                <w:snapToGrid/>
              </w:rPr>
              <w:t>92 539</w:t>
            </w:r>
          </w:p>
        </w:tc>
        <w:tc>
          <w:tcPr>
            <w:tcW w:w="407" w:type="pct"/>
            <w:tcBorders>
              <w:top w:val="nil"/>
              <w:bottom w:val="nil"/>
            </w:tcBorders>
          </w:tcPr>
          <w:p w:rsidR="00000000" w:rsidRDefault="00000000">
            <w:pPr>
              <w:pStyle w:val="a2"/>
              <w:spacing w:line="240" w:lineRule="exact"/>
              <w:jc w:val="center"/>
              <w:rPr>
                <w:snapToGrid/>
              </w:rPr>
            </w:pPr>
            <w:r>
              <w:rPr>
                <w:snapToGrid/>
              </w:rPr>
              <w:t>12.39</w:t>
            </w:r>
          </w:p>
        </w:tc>
        <w:tc>
          <w:tcPr>
            <w:tcW w:w="530" w:type="pct"/>
            <w:tcBorders>
              <w:top w:val="nil"/>
              <w:bottom w:val="nil"/>
            </w:tcBorders>
          </w:tcPr>
          <w:p w:rsidR="00000000" w:rsidRDefault="00000000">
            <w:pPr>
              <w:pStyle w:val="a2"/>
              <w:spacing w:line="240" w:lineRule="exact"/>
              <w:jc w:val="center"/>
              <w:rPr>
                <w:snapToGrid/>
              </w:rPr>
            </w:pPr>
            <w:r>
              <w:rPr>
                <w:snapToGrid/>
              </w:rPr>
              <w:t>16.41</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遗属养恤金</w:t>
            </w:r>
          </w:p>
        </w:tc>
        <w:tc>
          <w:tcPr>
            <w:tcW w:w="365" w:type="pct"/>
            <w:tcBorders>
              <w:top w:val="nil"/>
              <w:bottom w:val="nil"/>
            </w:tcBorders>
          </w:tcPr>
          <w:p w:rsidR="00000000" w:rsidRDefault="00000000">
            <w:pPr>
              <w:pStyle w:val="a2"/>
              <w:spacing w:line="240" w:lineRule="exact"/>
              <w:ind w:right="111"/>
              <w:jc w:val="right"/>
              <w:rPr>
                <w:snapToGrid/>
              </w:rPr>
            </w:pPr>
            <w:r>
              <w:rPr>
                <w:snapToGrid/>
              </w:rPr>
              <w:t>37 791</w:t>
            </w:r>
          </w:p>
        </w:tc>
        <w:tc>
          <w:tcPr>
            <w:tcW w:w="472" w:type="pct"/>
            <w:tcBorders>
              <w:top w:val="nil"/>
              <w:bottom w:val="nil"/>
            </w:tcBorders>
          </w:tcPr>
          <w:p w:rsidR="00000000" w:rsidRDefault="00000000">
            <w:pPr>
              <w:pStyle w:val="a2"/>
              <w:spacing w:line="240" w:lineRule="exact"/>
              <w:jc w:val="center"/>
              <w:rPr>
                <w:snapToGrid/>
              </w:rPr>
            </w:pPr>
            <w:r>
              <w:rPr>
                <w:snapToGrid/>
              </w:rPr>
              <w:t>5.20</w:t>
            </w:r>
          </w:p>
        </w:tc>
        <w:tc>
          <w:tcPr>
            <w:tcW w:w="572" w:type="pct"/>
            <w:tcBorders>
              <w:top w:val="nil"/>
              <w:bottom w:val="nil"/>
            </w:tcBorders>
          </w:tcPr>
          <w:p w:rsidR="00000000" w:rsidRDefault="00000000">
            <w:pPr>
              <w:pStyle w:val="a2"/>
              <w:spacing w:line="240" w:lineRule="exact"/>
              <w:jc w:val="center"/>
              <w:rPr>
                <w:snapToGrid/>
              </w:rPr>
            </w:pPr>
            <w:r>
              <w:rPr>
                <w:snapToGrid/>
              </w:rPr>
              <w:t>6.85</w:t>
            </w:r>
          </w:p>
        </w:tc>
        <w:tc>
          <w:tcPr>
            <w:tcW w:w="413" w:type="pct"/>
            <w:tcBorders>
              <w:top w:val="nil"/>
              <w:bottom w:val="nil"/>
            </w:tcBorders>
          </w:tcPr>
          <w:p w:rsidR="00000000" w:rsidRDefault="00000000">
            <w:pPr>
              <w:pStyle w:val="a2"/>
              <w:spacing w:line="240" w:lineRule="exact"/>
              <w:ind w:right="196"/>
              <w:jc w:val="right"/>
              <w:rPr>
                <w:snapToGrid/>
              </w:rPr>
            </w:pPr>
            <w:r>
              <w:rPr>
                <w:snapToGrid/>
              </w:rPr>
              <w:t>37 552</w:t>
            </w:r>
          </w:p>
        </w:tc>
        <w:tc>
          <w:tcPr>
            <w:tcW w:w="406" w:type="pct"/>
            <w:tcBorders>
              <w:top w:val="nil"/>
              <w:bottom w:val="nil"/>
            </w:tcBorders>
          </w:tcPr>
          <w:p w:rsidR="00000000" w:rsidRDefault="00000000">
            <w:pPr>
              <w:pStyle w:val="a2"/>
              <w:spacing w:line="240" w:lineRule="exact"/>
              <w:jc w:val="center"/>
              <w:rPr>
                <w:snapToGrid/>
              </w:rPr>
            </w:pPr>
            <w:r>
              <w:rPr>
                <w:snapToGrid/>
              </w:rPr>
              <w:t>5.05</w:t>
            </w:r>
          </w:p>
        </w:tc>
        <w:tc>
          <w:tcPr>
            <w:tcW w:w="493" w:type="pct"/>
            <w:tcBorders>
              <w:top w:val="nil"/>
              <w:bottom w:val="nil"/>
            </w:tcBorders>
          </w:tcPr>
          <w:p w:rsidR="00000000" w:rsidRDefault="00000000">
            <w:pPr>
              <w:pStyle w:val="a2"/>
              <w:spacing w:line="240" w:lineRule="exact"/>
              <w:jc w:val="center"/>
              <w:rPr>
                <w:snapToGrid/>
              </w:rPr>
            </w:pPr>
            <w:r>
              <w:rPr>
                <w:snapToGrid/>
              </w:rPr>
              <w:t>6.68</w:t>
            </w:r>
          </w:p>
        </w:tc>
        <w:tc>
          <w:tcPr>
            <w:tcW w:w="350" w:type="pct"/>
            <w:tcBorders>
              <w:top w:val="nil"/>
              <w:bottom w:val="nil"/>
            </w:tcBorders>
          </w:tcPr>
          <w:p w:rsidR="00000000" w:rsidRDefault="00000000">
            <w:pPr>
              <w:pStyle w:val="a2"/>
              <w:spacing w:line="240" w:lineRule="exact"/>
              <w:ind w:right="112"/>
              <w:jc w:val="right"/>
              <w:rPr>
                <w:snapToGrid/>
              </w:rPr>
            </w:pPr>
            <w:r>
              <w:rPr>
                <w:snapToGrid/>
              </w:rPr>
              <w:t>36 388</w:t>
            </w:r>
          </w:p>
        </w:tc>
        <w:tc>
          <w:tcPr>
            <w:tcW w:w="407" w:type="pct"/>
            <w:tcBorders>
              <w:top w:val="nil"/>
              <w:bottom w:val="nil"/>
            </w:tcBorders>
          </w:tcPr>
          <w:p w:rsidR="00000000" w:rsidRDefault="00000000">
            <w:pPr>
              <w:pStyle w:val="a2"/>
              <w:spacing w:line="240" w:lineRule="exact"/>
              <w:jc w:val="center"/>
              <w:rPr>
                <w:snapToGrid/>
              </w:rPr>
            </w:pPr>
            <w:r>
              <w:rPr>
                <w:snapToGrid/>
              </w:rPr>
              <w:t>4.87</w:t>
            </w:r>
          </w:p>
        </w:tc>
        <w:tc>
          <w:tcPr>
            <w:tcW w:w="530" w:type="pct"/>
            <w:tcBorders>
              <w:top w:val="nil"/>
              <w:bottom w:val="nil"/>
            </w:tcBorders>
          </w:tcPr>
          <w:p w:rsidR="00000000" w:rsidRDefault="00000000">
            <w:pPr>
              <w:pStyle w:val="a2"/>
              <w:spacing w:line="240" w:lineRule="exact"/>
              <w:jc w:val="center"/>
              <w:rPr>
                <w:snapToGrid/>
              </w:rPr>
            </w:pPr>
            <w:r>
              <w:rPr>
                <w:snapToGrid/>
              </w:rPr>
              <w:t>6.45</w:t>
            </w:r>
          </w:p>
        </w:tc>
      </w:tr>
      <w:tr w:rsidR="00000000">
        <w:tblPrEx>
          <w:tblCellMar>
            <w:top w:w="0" w:type="dxa"/>
          </w:tblCellMar>
        </w:tblPrEx>
        <w:trPr>
          <w:trHeight w:val="320"/>
        </w:trPr>
        <w:tc>
          <w:tcPr>
            <w:tcW w:w="991" w:type="pct"/>
            <w:tcBorders>
              <w:top w:val="nil"/>
              <w:bottom w:val="nil"/>
            </w:tcBorders>
          </w:tcPr>
          <w:p w:rsidR="00000000" w:rsidRDefault="00000000">
            <w:pPr>
              <w:pStyle w:val="a2"/>
              <w:spacing w:line="240" w:lineRule="exact"/>
              <w:rPr>
                <w:rFonts w:hint="eastAsia"/>
                <w:snapToGrid/>
              </w:rPr>
            </w:pPr>
            <w:r>
              <w:rPr>
                <w:rFonts w:hint="eastAsia"/>
                <w:snapToGrid/>
              </w:rPr>
              <w:t>资历养恤金</w:t>
            </w:r>
          </w:p>
        </w:tc>
        <w:tc>
          <w:tcPr>
            <w:tcW w:w="365" w:type="pct"/>
            <w:tcBorders>
              <w:top w:val="nil"/>
              <w:bottom w:val="nil"/>
            </w:tcBorders>
          </w:tcPr>
          <w:p w:rsidR="00000000" w:rsidRDefault="00000000">
            <w:pPr>
              <w:pStyle w:val="a2"/>
              <w:spacing w:line="240" w:lineRule="exact"/>
              <w:ind w:right="111"/>
              <w:jc w:val="right"/>
              <w:rPr>
                <w:snapToGrid/>
              </w:rPr>
            </w:pPr>
            <w:r>
              <w:rPr>
                <w:snapToGrid/>
              </w:rPr>
              <w:t>1 960</w:t>
            </w:r>
          </w:p>
        </w:tc>
        <w:tc>
          <w:tcPr>
            <w:tcW w:w="472" w:type="pct"/>
            <w:tcBorders>
              <w:top w:val="nil"/>
              <w:bottom w:val="nil"/>
            </w:tcBorders>
          </w:tcPr>
          <w:p w:rsidR="00000000" w:rsidRDefault="00000000">
            <w:pPr>
              <w:pStyle w:val="a2"/>
              <w:spacing w:line="240" w:lineRule="exact"/>
              <w:jc w:val="center"/>
              <w:rPr>
                <w:snapToGrid/>
              </w:rPr>
            </w:pPr>
            <w:r>
              <w:rPr>
                <w:snapToGrid/>
              </w:rPr>
              <w:t>0.27</w:t>
            </w:r>
          </w:p>
        </w:tc>
        <w:tc>
          <w:tcPr>
            <w:tcW w:w="572" w:type="pct"/>
            <w:tcBorders>
              <w:top w:val="nil"/>
              <w:bottom w:val="nil"/>
            </w:tcBorders>
          </w:tcPr>
          <w:p w:rsidR="00000000" w:rsidRDefault="00000000">
            <w:pPr>
              <w:pStyle w:val="a2"/>
              <w:spacing w:line="240" w:lineRule="exact"/>
              <w:jc w:val="center"/>
              <w:rPr>
                <w:snapToGrid/>
              </w:rPr>
            </w:pPr>
            <w:r>
              <w:rPr>
                <w:snapToGrid/>
              </w:rPr>
              <w:t>0.36</w:t>
            </w:r>
          </w:p>
        </w:tc>
        <w:tc>
          <w:tcPr>
            <w:tcW w:w="413" w:type="pct"/>
            <w:tcBorders>
              <w:top w:val="nil"/>
              <w:bottom w:val="nil"/>
            </w:tcBorders>
          </w:tcPr>
          <w:p w:rsidR="00000000" w:rsidRDefault="00000000">
            <w:pPr>
              <w:pStyle w:val="a2"/>
              <w:spacing w:line="240" w:lineRule="exact"/>
              <w:ind w:right="196"/>
              <w:jc w:val="right"/>
              <w:rPr>
                <w:snapToGrid/>
              </w:rPr>
            </w:pPr>
            <w:r>
              <w:rPr>
                <w:snapToGrid/>
              </w:rPr>
              <w:t>1 939</w:t>
            </w:r>
          </w:p>
        </w:tc>
        <w:tc>
          <w:tcPr>
            <w:tcW w:w="406" w:type="pct"/>
            <w:tcBorders>
              <w:top w:val="nil"/>
              <w:bottom w:val="nil"/>
            </w:tcBorders>
          </w:tcPr>
          <w:p w:rsidR="00000000" w:rsidRDefault="00000000">
            <w:pPr>
              <w:pStyle w:val="a2"/>
              <w:spacing w:line="240" w:lineRule="exact"/>
              <w:jc w:val="center"/>
              <w:rPr>
                <w:snapToGrid/>
              </w:rPr>
            </w:pPr>
            <w:r>
              <w:rPr>
                <w:snapToGrid/>
              </w:rPr>
              <w:t>0.26</w:t>
            </w:r>
          </w:p>
        </w:tc>
        <w:tc>
          <w:tcPr>
            <w:tcW w:w="493" w:type="pct"/>
            <w:tcBorders>
              <w:top w:val="nil"/>
              <w:bottom w:val="nil"/>
            </w:tcBorders>
          </w:tcPr>
          <w:p w:rsidR="00000000" w:rsidRDefault="00000000">
            <w:pPr>
              <w:pStyle w:val="a2"/>
              <w:spacing w:line="240" w:lineRule="exact"/>
              <w:jc w:val="center"/>
              <w:rPr>
                <w:snapToGrid/>
              </w:rPr>
            </w:pPr>
            <w:r>
              <w:rPr>
                <w:snapToGrid/>
              </w:rPr>
              <w:t>0.34</w:t>
            </w:r>
          </w:p>
        </w:tc>
        <w:tc>
          <w:tcPr>
            <w:tcW w:w="350" w:type="pct"/>
            <w:tcBorders>
              <w:top w:val="nil"/>
              <w:bottom w:val="nil"/>
            </w:tcBorders>
          </w:tcPr>
          <w:p w:rsidR="00000000" w:rsidRDefault="00000000">
            <w:pPr>
              <w:pStyle w:val="a2"/>
              <w:spacing w:line="240" w:lineRule="exact"/>
              <w:ind w:right="112"/>
              <w:jc w:val="right"/>
              <w:rPr>
                <w:snapToGrid/>
              </w:rPr>
            </w:pPr>
            <w:r>
              <w:rPr>
                <w:snapToGrid/>
              </w:rPr>
              <w:t>1 847</w:t>
            </w:r>
          </w:p>
        </w:tc>
        <w:tc>
          <w:tcPr>
            <w:tcW w:w="407" w:type="pct"/>
            <w:tcBorders>
              <w:top w:val="nil"/>
              <w:bottom w:val="nil"/>
            </w:tcBorders>
          </w:tcPr>
          <w:p w:rsidR="00000000" w:rsidRDefault="00000000">
            <w:pPr>
              <w:pStyle w:val="a2"/>
              <w:spacing w:line="240" w:lineRule="exact"/>
              <w:jc w:val="center"/>
              <w:rPr>
                <w:snapToGrid/>
              </w:rPr>
            </w:pPr>
            <w:r>
              <w:rPr>
                <w:snapToGrid/>
              </w:rPr>
              <w:t>0.25</w:t>
            </w:r>
          </w:p>
        </w:tc>
        <w:tc>
          <w:tcPr>
            <w:tcW w:w="530" w:type="pct"/>
            <w:tcBorders>
              <w:top w:val="nil"/>
              <w:bottom w:val="nil"/>
            </w:tcBorders>
          </w:tcPr>
          <w:p w:rsidR="00000000" w:rsidRDefault="00000000">
            <w:pPr>
              <w:pStyle w:val="a2"/>
              <w:spacing w:line="240" w:lineRule="exact"/>
              <w:jc w:val="center"/>
              <w:rPr>
                <w:snapToGrid/>
              </w:rPr>
            </w:pPr>
            <w:r>
              <w:rPr>
                <w:snapToGrid/>
              </w:rPr>
              <w:t>0.33</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社会养恤金</w:t>
            </w:r>
          </w:p>
        </w:tc>
        <w:tc>
          <w:tcPr>
            <w:tcW w:w="365" w:type="pct"/>
            <w:tcBorders>
              <w:top w:val="nil"/>
              <w:bottom w:val="nil"/>
            </w:tcBorders>
          </w:tcPr>
          <w:p w:rsidR="00000000" w:rsidRDefault="00000000">
            <w:pPr>
              <w:pStyle w:val="a2"/>
              <w:spacing w:line="240" w:lineRule="exact"/>
              <w:ind w:right="111"/>
              <w:jc w:val="right"/>
              <w:rPr>
                <w:snapToGrid/>
              </w:rPr>
            </w:pPr>
            <w:r>
              <w:rPr>
                <w:snapToGrid/>
              </w:rPr>
              <w:t>40 535</w:t>
            </w:r>
          </w:p>
        </w:tc>
        <w:tc>
          <w:tcPr>
            <w:tcW w:w="472" w:type="pct"/>
            <w:tcBorders>
              <w:top w:val="nil"/>
              <w:bottom w:val="nil"/>
            </w:tcBorders>
          </w:tcPr>
          <w:p w:rsidR="00000000" w:rsidRDefault="00000000">
            <w:pPr>
              <w:pStyle w:val="a2"/>
              <w:spacing w:line="240" w:lineRule="exact"/>
              <w:jc w:val="center"/>
              <w:rPr>
                <w:snapToGrid/>
              </w:rPr>
            </w:pPr>
            <w:r>
              <w:rPr>
                <w:snapToGrid/>
              </w:rPr>
              <w:t>5.57</w:t>
            </w:r>
          </w:p>
        </w:tc>
        <w:tc>
          <w:tcPr>
            <w:tcW w:w="572" w:type="pct"/>
            <w:tcBorders>
              <w:top w:val="nil"/>
              <w:bottom w:val="nil"/>
            </w:tcBorders>
          </w:tcPr>
          <w:p w:rsidR="00000000" w:rsidRDefault="00000000">
            <w:pPr>
              <w:pStyle w:val="a2"/>
              <w:spacing w:line="240" w:lineRule="exact"/>
              <w:jc w:val="center"/>
              <w:rPr>
                <w:snapToGrid/>
              </w:rPr>
            </w:pPr>
            <w:r>
              <w:rPr>
                <w:snapToGrid/>
              </w:rPr>
              <w:t>7.35</w:t>
            </w:r>
          </w:p>
        </w:tc>
        <w:tc>
          <w:tcPr>
            <w:tcW w:w="413" w:type="pct"/>
            <w:tcBorders>
              <w:top w:val="nil"/>
              <w:bottom w:val="nil"/>
            </w:tcBorders>
          </w:tcPr>
          <w:p w:rsidR="00000000" w:rsidRDefault="00000000">
            <w:pPr>
              <w:pStyle w:val="a2"/>
              <w:spacing w:line="240" w:lineRule="exact"/>
              <w:ind w:right="196"/>
              <w:jc w:val="right"/>
              <w:rPr>
                <w:snapToGrid/>
              </w:rPr>
            </w:pPr>
            <w:r>
              <w:rPr>
                <w:snapToGrid/>
              </w:rPr>
              <w:t>40 282</w:t>
            </w:r>
          </w:p>
        </w:tc>
        <w:tc>
          <w:tcPr>
            <w:tcW w:w="406" w:type="pct"/>
            <w:tcBorders>
              <w:top w:val="nil"/>
              <w:bottom w:val="nil"/>
            </w:tcBorders>
          </w:tcPr>
          <w:p w:rsidR="00000000" w:rsidRDefault="00000000">
            <w:pPr>
              <w:pStyle w:val="a2"/>
              <w:spacing w:line="240" w:lineRule="exact"/>
              <w:jc w:val="center"/>
              <w:rPr>
                <w:snapToGrid/>
              </w:rPr>
            </w:pPr>
            <w:r>
              <w:rPr>
                <w:snapToGrid/>
              </w:rPr>
              <w:t>5.42</w:t>
            </w:r>
          </w:p>
        </w:tc>
        <w:tc>
          <w:tcPr>
            <w:tcW w:w="493" w:type="pct"/>
            <w:tcBorders>
              <w:top w:val="nil"/>
              <w:bottom w:val="nil"/>
            </w:tcBorders>
          </w:tcPr>
          <w:p w:rsidR="00000000" w:rsidRDefault="00000000">
            <w:pPr>
              <w:pStyle w:val="a2"/>
              <w:spacing w:line="240" w:lineRule="exact"/>
              <w:jc w:val="center"/>
              <w:rPr>
                <w:snapToGrid/>
              </w:rPr>
            </w:pPr>
            <w:r>
              <w:rPr>
                <w:snapToGrid/>
              </w:rPr>
              <w:t>7.16</w:t>
            </w:r>
          </w:p>
        </w:tc>
        <w:tc>
          <w:tcPr>
            <w:tcW w:w="350" w:type="pct"/>
            <w:tcBorders>
              <w:top w:val="nil"/>
              <w:bottom w:val="nil"/>
            </w:tcBorders>
          </w:tcPr>
          <w:p w:rsidR="00000000" w:rsidRDefault="00000000">
            <w:pPr>
              <w:pStyle w:val="a2"/>
              <w:spacing w:line="240" w:lineRule="exact"/>
              <w:ind w:right="112"/>
              <w:jc w:val="right"/>
              <w:rPr>
                <w:snapToGrid/>
              </w:rPr>
            </w:pPr>
            <w:r>
              <w:rPr>
                <w:snapToGrid/>
              </w:rPr>
              <w:t>38 819</w:t>
            </w:r>
          </w:p>
        </w:tc>
        <w:tc>
          <w:tcPr>
            <w:tcW w:w="407" w:type="pct"/>
            <w:tcBorders>
              <w:top w:val="nil"/>
              <w:bottom w:val="nil"/>
            </w:tcBorders>
          </w:tcPr>
          <w:p w:rsidR="00000000" w:rsidRDefault="00000000">
            <w:pPr>
              <w:pStyle w:val="a2"/>
              <w:spacing w:line="240" w:lineRule="exact"/>
              <w:jc w:val="center"/>
              <w:rPr>
                <w:snapToGrid/>
              </w:rPr>
            </w:pPr>
            <w:r>
              <w:rPr>
                <w:snapToGrid/>
              </w:rPr>
              <w:t>5.20</w:t>
            </w:r>
          </w:p>
        </w:tc>
        <w:tc>
          <w:tcPr>
            <w:tcW w:w="530" w:type="pct"/>
            <w:tcBorders>
              <w:top w:val="nil"/>
              <w:bottom w:val="nil"/>
            </w:tcBorders>
          </w:tcPr>
          <w:p w:rsidR="00000000" w:rsidRDefault="00000000">
            <w:pPr>
              <w:pStyle w:val="a2"/>
              <w:spacing w:line="240" w:lineRule="exact"/>
              <w:jc w:val="center"/>
              <w:rPr>
                <w:snapToGrid/>
              </w:rPr>
            </w:pPr>
            <w:r>
              <w:rPr>
                <w:snapToGrid/>
              </w:rPr>
              <w:t>6.88</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包括</w:t>
            </w:r>
            <w:r>
              <w:rPr>
                <w:snapToGrid/>
              </w:rPr>
              <w:t>：</w:t>
            </w:r>
            <w:r>
              <w:rPr>
                <w:snapToGrid/>
              </w:rPr>
              <w:t xml:space="preserve">  </w:t>
            </w:r>
            <w:r>
              <w:rPr>
                <w:rFonts w:hint="eastAsia"/>
                <w:snapToGrid/>
              </w:rPr>
              <w:t>从小残疾的人</w:t>
            </w:r>
          </w:p>
        </w:tc>
        <w:tc>
          <w:tcPr>
            <w:tcW w:w="365" w:type="pct"/>
            <w:tcBorders>
              <w:top w:val="nil"/>
              <w:bottom w:val="nil"/>
            </w:tcBorders>
          </w:tcPr>
          <w:p w:rsidR="00000000" w:rsidRDefault="00000000">
            <w:pPr>
              <w:pStyle w:val="a2"/>
              <w:spacing w:line="240" w:lineRule="exact"/>
              <w:ind w:right="111"/>
              <w:jc w:val="right"/>
              <w:rPr>
                <w:snapToGrid/>
              </w:rPr>
            </w:pPr>
            <w:r>
              <w:rPr>
                <w:snapToGrid/>
              </w:rPr>
              <w:t>19 531</w:t>
            </w:r>
          </w:p>
        </w:tc>
        <w:tc>
          <w:tcPr>
            <w:tcW w:w="472" w:type="pct"/>
            <w:tcBorders>
              <w:top w:val="nil"/>
              <w:bottom w:val="nil"/>
            </w:tcBorders>
          </w:tcPr>
          <w:p w:rsidR="00000000" w:rsidRDefault="00000000">
            <w:pPr>
              <w:pStyle w:val="a2"/>
              <w:spacing w:line="240" w:lineRule="exact"/>
              <w:jc w:val="center"/>
              <w:rPr>
                <w:snapToGrid/>
              </w:rPr>
            </w:pPr>
            <w:r>
              <w:rPr>
                <w:snapToGrid/>
              </w:rPr>
              <w:t>2.69</w:t>
            </w:r>
          </w:p>
        </w:tc>
        <w:tc>
          <w:tcPr>
            <w:tcW w:w="572" w:type="pct"/>
            <w:tcBorders>
              <w:top w:val="nil"/>
              <w:bottom w:val="nil"/>
            </w:tcBorders>
          </w:tcPr>
          <w:p w:rsidR="00000000" w:rsidRDefault="00000000">
            <w:pPr>
              <w:pStyle w:val="a2"/>
              <w:spacing w:line="240" w:lineRule="exact"/>
              <w:jc w:val="center"/>
              <w:rPr>
                <w:snapToGrid/>
              </w:rPr>
            </w:pPr>
            <w:r>
              <w:rPr>
                <w:snapToGrid/>
              </w:rPr>
              <w:t>3.54</w:t>
            </w:r>
          </w:p>
        </w:tc>
        <w:tc>
          <w:tcPr>
            <w:tcW w:w="413" w:type="pct"/>
            <w:tcBorders>
              <w:top w:val="nil"/>
              <w:bottom w:val="nil"/>
            </w:tcBorders>
          </w:tcPr>
          <w:p w:rsidR="00000000" w:rsidRDefault="00000000">
            <w:pPr>
              <w:pStyle w:val="a2"/>
              <w:spacing w:line="240" w:lineRule="exact"/>
              <w:ind w:right="196"/>
              <w:jc w:val="right"/>
              <w:rPr>
                <w:snapToGrid/>
              </w:rPr>
            </w:pPr>
            <w:r>
              <w:rPr>
                <w:snapToGrid/>
              </w:rPr>
              <w:t>21 593</w:t>
            </w:r>
          </w:p>
        </w:tc>
        <w:tc>
          <w:tcPr>
            <w:tcW w:w="406" w:type="pct"/>
            <w:tcBorders>
              <w:top w:val="nil"/>
              <w:bottom w:val="nil"/>
            </w:tcBorders>
          </w:tcPr>
          <w:p w:rsidR="00000000" w:rsidRDefault="00000000">
            <w:pPr>
              <w:pStyle w:val="a2"/>
              <w:spacing w:line="240" w:lineRule="exact"/>
              <w:jc w:val="center"/>
              <w:rPr>
                <w:snapToGrid/>
              </w:rPr>
            </w:pPr>
            <w:r>
              <w:rPr>
                <w:snapToGrid/>
              </w:rPr>
              <w:t>2.90</w:t>
            </w:r>
          </w:p>
        </w:tc>
        <w:tc>
          <w:tcPr>
            <w:tcW w:w="493" w:type="pct"/>
            <w:tcBorders>
              <w:top w:val="nil"/>
              <w:bottom w:val="nil"/>
            </w:tcBorders>
          </w:tcPr>
          <w:p w:rsidR="00000000" w:rsidRDefault="00000000">
            <w:pPr>
              <w:pStyle w:val="a2"/>
              <w:spacing w:line="240" w:lineRule="exact"/>
              <w:jc w:val="center"/>
              <w:rPr>
                <w:snapToGrid/>
              </w:rPr>
            </w:pPr>
            <w:r>
              <w:rPr>
                <w:snapToGrid/>
              </w:rPr>
              <w:t>3.84</w:t>
            </w:r>
          </w:p>
        </w:tc>
        <w:tc>
          <w:tcPr>
            <w:tcW w:w="350" w:type="pct"/>
            <w:tcBorders>
              <w:top w:val="nil"/>
              <w:bottom w:val="nil"/>
            </w:tcBorders>
          </w:tcPr>
          <w:p w:rsidR="00000000" w:rsidRDefault="00000000">
            <w:pPr>
              <w:pStyle w:val="a2"/>
              <w:spacing w:line="240" w:lineRule="exact"/>
              <w:ind w:right="112"/>
              <w:jc w:val="right"/>
              <w:rPr>
                <w:snapToGrid/>
              </w:rPr>
            </w:pPr>
            <w:r>
              <w:rPr>
                <w:snapToGrid/>
              </w:rPr>
              <w:t>22 624</w:t>
            </w:r>
          </w:p>
        </w:tc>
        <w:tc>
          <w:tcPr>
            <w:tcW w:w="407" w:type="pct"/>
            <w:tcBorders>
              <w:top w:val="nil"/>
              <w:bottom w:val="nil"/>
            </w:tcBorders>
          </w:tcPr>
          <w:p w:rsidR="00000000" w:rsidRDefault="00000000">
            <w:pPr>
              <w:pStyle w:val="a2"/>
              <w:spacing w:line="240" w:lineRule="exact"/>
              <w:jc w:val="center"/>
              <w:rPr>
                <w:snapToGrid/>
              </w:rPr>
            </w:pPr>
            <w:r>
              <w:rPr>
                <w:snapToGrid/>
              </w:rPr>
              <w:t>3.03</w:t>
            </w:r>
          </w:p>
        </w:tc>
        <w:tc>
          <w:tcPr>
            <w:tcW w:w="530" w:type="pct"/>
            <w:tcBorders>
              <w:top w:val="nil"/>
              <w:bottom w:val="nil"/>
            </w:tcBorders>
          </w:tcPr>
          <w:p w:rsidR="00000000" w:rsidRDefault="00000000">
            <w:pPr>
              <w:pStyle w:val="a2"/>
              <w:spacing w:line="240" w:lineRule="exact"/>
              <w:jc w:val="center"/>
              <w:rPr>
                <w:snapToGrid/>
              </w:rPr>
            </w:pPr>
            <w:r>
              <w:rPr>
                <w:snapToGrid/>
              </w:rPr>
              <w:t>4.01</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为“切尔诺贝利”清理行动提供的养恤金</w:t>
            </w:r>
          </w:p>
        </w:tc>
        <w:tc>
          <w:tcPr>
            <w:tcW w:w="365" w:type="pct"/>
            <w:tcBorders>
              <w:top w:val="nil"/>
              <w:bottom w:val="nil"/>
            </w:tcBorders>
          </w:tcPr>
          <w:p w:rsidR="00000000" w:rsidRDefault="00000000">
            <w:pPr>
              <w:pStyle w:val="a2"/>
              <w:spacing w:line="240" w:lineRule="exact"/>
              <w:ind w:right="111"/>
              <w:jc w:val="right"/>
              <w:rPr>
                <w:snapToGrid/>
              </w:rPr>
            </w:pPr>
            <w:r>
              <w:rPr>
                <w:snapToGrid/>
              </w:rPr>
              <w:t>90</w:t>
            </w:r>
          </w:p>
        </w:tc>
        <w:tc>
          <w:tcPr>
            <w:tcW w:w="472" w:type="pct"/>
            <w:tcBorders>
              <w:top w:val="nil"/>
              <w:bottom w:val="nil"/>
            </w:tcBorders>
          </w:tcPr>
          <w:p w:rsidR="00000000" w:rsidRDefault="00000000">
            <w:pPr>
              <w:pStyle w:val="a2"/>
              <w:spacing w:line="240" w:lineRule="exact"/>
              <w:jc w:val="center"/>
              <w:rPr>
                <w:snapToGrid/>
              </w:rPr>
            </w:pPr>
            <w:r>
              <w:rPr>
                <w:snapToGrid/>
              </w:rPr>
              <w:t>0.01</w:t>
            </w:r>
          </w:p>
        </w:tc>
        <w:tc>
          <w:tcPr>
            <w:tcW w:w="572" w:type="pct"/>
            <w:tcBorders>
              <w:top w:val="nil"/>
              <w:bottom w:val="nil"/>
            </w:tcBorders>
          </w:tcPr>
          <w:p w:rsidR="00000000" w:rsidRDefault="00000000">
            <w:pPr>
              <w:pStyle w:val="a2"/>
              <w:spacing w:line="240" w:lineRule="exact"/>
              <w:jc w:val="center"/>
              <w:rPr>
                <w:snapToGrid/>
              </w:rPr>
            </w:pPr>
            <w:r>
              <w:rPr>
                <w:snapToGrid/>
              </w:rPr>
              <w:t>0.02</w:t>
            </w:r>
          </w:p>
        </w:tc>
        <w:tc>
          <w:tcPr>
            <w:tcW w:w="413" w:type="pct"/>
            <w:tcBorders>
              <w:top w:val="nil"/>
              <w:bottom w:val="nil"/>
            </w:tcBorders>
          </w:tcPr>
          <w:p w:rsidR="00000000" w:rsidRDefault="00000000">
            <w:pPr>
              <w:pStyle w:val="a2"/>
              <w:spacing w:line="240" w:lineRule="exact"/>
              <w:ind w:right="196"/>
              <w:jc w:val="right"/>
              <w:rPr>
                <w:snapToGrid/>
              </w:rPr>
            </w:pPr>
            <w:r>
              <w:rPr>
                <w:snapToGrid/>
              </w:rPr>
              <w:t>199</w:t>
            </w:r>
          </w:p>
        </w:tc>
        <w:tc>
          <w:tcPr>
            <w:tcW w:w="406" w:type="pct"/>
            <w:tcBorders>
              <w:top w:val="nil"/>
              <w:bottom w:val="nil"/>
            </w:tcBorders>
          </w:tcPr>
          <w:p w:rsidR="00000000" w:rsidRDefault="00000000">
            <w:pPr>
              <w:pStyle w:val="a2"/>
              <w:spacing w:line="240" w:lineRule="exact"/>
              <w:jc w:val="center"/>
              <w:rPr>
                <w:snapToGrid/>
              </w:rPr>
            </w:pPr>
            <w:r>
              <w:rPr>
                <w:snapToGrid/>
              </w:rPr>
              <w:t>0.03</w:t>
            </w:r>
          </w:p>
        </w:tc>
        <w:tc>
          <w:tcPr>
            <w:tcW w:w="493" w:type="pct"/>
            <w:tcBorders>
              <w:top w:val="nil"/>
              <w:bottom w:val="nil"/>
            </w:tcBorders>
          </w:tcPr>
          <w:p w:rsidR="00000000" w:rsidRDefault="00000000">
            <w:pPr>
              <w:pStyle w:val="a2"/>
              <w:spacing w:line="240" w:lineRule="exact"/>
              <w:jc w:val="center"/>
              <w:rPr>
                <w:snapToGrid/>
              </w:rPr>
            </w:pPr>
            <w:r>
              <w:rPr>
                <w:snapToGrid/>
              </w:rPr>
              <w:t>0.04</w:t>
            </w:r>
          </w:p>
        </w:tc>
        <w:tc>
          <w:tcPr>
            <w:tcW w:w="350" w:type="pct"/>
            <w:tcBorders>
              <w:top w:val="nil"/>
              <w:bottom w:val="nil"/>
            </w:tcBorders>
          </w:tcPr>
          <w:p w:rsidR="00000000" w:rsidRDefault="00000000">
            <w:pPr>
              <w:pStyle w:val="a2"/>
              <w:spacing w:line="240" w:lineRule="exact"/>
              <w:ind w:right="112"/>
              <w:jc w:val="right"/>
              <w:rPr>
                <w:snapToGrid/>
              </w:rPr>
            </w:pPr>
            <w:r>
              <w:rPr>
                <w:snapToGrid/>
              </w:rPr>
              <w:t>300</w:t>
            </w:r>
          </w:p>
        </w:tc>
        <w:tc>
          <w:tcPr>
            <w:tcW w:w="407" w:type="pct"/>
            <w:tcBorders>
              <w:top w:val="nil"/>
              <w:bottom w:val="nil"/>
            </w:tcBorders>
          </w:tcPr>
          <w:p w:rsidR="00000000" w:rsidRDefault="00000000">
            <w:pPr>
              <w:pStyle w:val="a2"/>
              <w:spacing w:line="240" w:lineRule="exact"/>
              <w:jc w:val="center"/>
              <w:rPr>
                <w:snapToGrid/>
              </w:rPr>
            </w:pPr>
            <w:r>
              <w:rPr>
                <w:snapToGrid/>
              </w:rPr>
              <w:t>0.04</w:t>
            </w:r>
          </w:p>
        </w:tc>
        <w:tc>
          <w:tcPr>
            <w:tcW w:w="530" w:type="pct"/>
            <w:tcBorders>
              <w:top w:val="nil"/>
              <w:bottom w:val="nil"/>
            </w:tcBorders>
          </w:tcPr>
          <w:p w:rsidR="00000000" w:rsidRDefault="00000000">
            <w:pPr>
              <w:pStyle w:val="a2"/>
              <w:spacing w:line="240" w:lineRule="exact"/>
              <w:jc w:val="center"/>
              <w:rPr>
                <w:snapToGrid/>
              </w:rPr>
            </w:pPr>
            <w:r>
              <w:rPr>
                <w:snapToGrid/>
              </w:rPr>
              <w:t>0.05</w:t>
            </w:r>
          </w:p>
        </w:tc>
      </w:tr>
      <w:tr w:rsidR="00000000">
        <w:tblPrEx>
          <w:tblCellMar>
            <w:top w:w="0" w:type="dxa"/>
          </w:tblCellMar>
        </w:tblPrEx>
        <w:tc>
          <w:tcPr>
            <w:tcW w:w="991" w:type="pct"/>
            <w:tcBorders>
              <w:top w:val="nil"/>
              <w:bottom w:val="nil"/>
            </w:tcBorders>
          </w:tcPr>
          <w:p w:rsidR="00000000" w:rsidRDefault="00000000">
            <w:pPr>
              <w:pStyle w:val="a2"/>
              <w:spacing w:line="240" w:lineRule="exact"/>
              <w:rPr>
                <w:rFonts w:hint="eastAsia"/>
                <w:snapToGrid/>
              </w:rPr>
            </w:pPr>
            <w:r>
              <w:rPr>
                <w:rFonts w:hint="eastAsia"/>
                <w:snapToGrid/>
              </w:rPr>
              <w:t>为受到不公正镇压的人提供的补充金额</w:t>
            </w:r>
          </w:p>
        </w:tc>
        <w:tc>
          <w:tcPr>
            <w:tcW w:w="365" w:type="pct"/>
            <w:tcBorders>
              <w:top w:val="nil"/>
              <w:bottom w:val="nil"/>
            </w:tcBorders>
          </w:tcPr>
          <w:p w:rsidR="00000000" w:rsidRDefault="00000000">
            <w:pPr>
              <w:pStyle w:val="a2"/>
              <w:spacing w:line="240" w:lineRule="exact"/>
              <w:ind w:right="111"/>
              <w:jc w:val="right"/>
              <w:rPr>
                <w:snapToGrid/>
              </w:rPr>
            </w:pPr>
            <w:r>
              <w:rPr>
                <w:snapToGrid/>
              </w:rPr>
              <w:t>6 027</w:t>
            </w:r>
          </w:p>
        </w:tc>
        <w:tc>
          <w:tcPr>
            <w:tcW w:w="472" w:type="pct"/>
            <w:tcBorders>
              <w:top w:val="nil"/>
              <w:bottom w:val="nil"/>
            </w:tcBorders>
          </w:tcPr>
          <w:p w:rsidR="00000000" w:rsidRDefault="00000000">
            <w:pPr>
              <w:pStyle w:val="a2"/>
              <w:spacing w:line="240" w:lineRule="exact"/>
              <w:jc w:val="center"/>
              <w:rPr>
                <w:snapToGrid/>
              </w:rPr>
            </w:pPr>
            <w:r>
              <w:rPr>
                <w:snapToGrid/>
              </w:rPr>
              <w:t>0.83</w:t>
            </w:r>
          </w:p>
        </w:tc>
        <w:tc>
          <w:tcPr>
            <w:tcW w:w="572" w:type="pct"/>
            <w:tcBorders>
              <w:top w:val="nil"/>
              <w:bottom w:val="nil"/>
            </w:tcBorders>
          </w:tcPr>
          <w:p w:rsidR="00000000" w:rsidRDefault="00000000">
            <w:pPr>
              <w:pStyle w:val="a2"/>
              <w:spacing w:line="240" w:lineRule="exact"/>
              <w:jc w:val="center"/>
              <w:rPr>
                <w:snapToGrid/>
              </w:rPr>
            </w:pPr>
            <w:r>
              <w:rPr>
                <w:snapToGrid/>
              </w:rPr>
              <w:t>1.09</w:t>
            </w:r>
          </w:p>
        </w:tc>
        <w:tc>
          <w:tcPr>
            <w:tcW w:w="413" w:type="pct"/>
            <w:tcBorders>
              <w:top w:val="nil"/>
              <w:bottom w:val="nil"/>
            </w:tcBorders>
          </w:tcPr>
          <w:p w:rsidR="00000000" w:rsidRDefault="00000000">
            <w:pPr>
              <w:pStyle w:val="a2"/>
              <w:spacing w:line="240" w:lineRule="exact"/>
              <w:ind w:right="196"/>
              <w:jc w:val="right"/>
              <w:rPr>
                <w:snapToGrid/>
              </w:rPr>
            </w:pPr>
            <w:r>
              <w:rPr>
                <w:snapToGrid/>
              </w:rPr>
              <w:t>10 000</w:t>
            </w:r>
          </w:p>
        </w:tc>
        <w:tc>
          <w:tcPr>
            <w:tcW w:w="406" w:type="pct"/>
            <w:tcBorders>
              <w:top w:val="nil"/>
              <w:bottom w:val="nil"/>
            </w:tcBorders>
          </w:tcPr>
          <w:p w:rsidR="00000000" w:rsidRDefault="00000000">
            <w:pPr>
              <w:pStyle w:val="a2"/>
              <w:spacing w:line="240" w:lineRule="exact"/>
              <w:jc w:val="center"/>
              <w:rPr>
                <w:snapToGrid/>
              </w:rPr>
            </w:pPr>
            <w:r>
              <w:rPr>
                <w:snapToGrid/>
              </w:rPr>
              <w:t>1.34</w:t>
            </w:r>
          </w:p>
        </w:tc>
        <w:tc>
          <w:tcPr>
            <w:tcW w:w="493" w:type="pct"/>
            <w:tcBorders>
              <w:top w:val="nil"/>
              <w:bottom w:val="nil"/>
            </w:tcBorders>
          </w:tcPr>
          <w:p w:rsidR="00000000" w:rsidRDefault="00000000">
            <w:pPr>
              <w:pStyle w:val="a2"/>
              <w:spacing w:line="240" w:lineRule="exact"/>
              <w:jc w:val="center"/>
              <w:rPr>
                <w:snapToGrid/>
              </w:rPr>
            </w:pPr>
            <w:r>
              <w:rPr>
                <w:snapToGrid/>
              </w:rPr>
              <w:t>1.78</w:t>
            </w:r>
          </w:p>
        </w:tc>
        <w:tc>
          <w:tcPr>
            <w:tcW w:w="350" w:type="pct"/>
            <w:tcBorders>
              <w:top w:val="nil"/>
              <w:bottom w:val="nil"/>
            </w:tcBorders>
          </w:tcPr>
          <w:p w:rsidR="00000000" w:rsidRDefault="00000000">
            <w:pPr>
              <w:pStyle w:val="a2"/>
              <w:spacing w:line="240" w:lineRule="exact"/>
              <w:ind w:right="112"/>
              <w:jc w:val="right"/>
              <w:rPr>
                <w:snapToGrid/>
              </w:rPr>
            </w:pPr>
            <w:r>
              <w:rPr>
                <w:snapToGrid/>
              </w:rPr>
              <w:t>10 730</w:t>
            </w:r>
          </w:p>
        </w:tc>
        <w:tc>
          <w:tcPr>
            <w:tcW w:w="407" w:type="pct"/>
            <w:tcBorders>
              <w:top w:val="nil"/>
              <w:bottom w:val="nil"/>
            </w:tcBorders>
          </w:tcPr>
          <w:p w:rsidR="00000000" w:rsidRDefault="00000000">
            <w:pPr>
              <w:pStyle w:val="a2"/>
              <w:spacing w:line="240" w:lineRule="exact"/>
              <w:jc w:val="center"/>
              <w:rPr>
                <w:snapToGrid/>
              </w:rPr>
            </w:pPr>
            <w:r>
              <w:rPr>
                <w:snapToGrid/>
              </w:rPr>
              <w:t>1.44</w:t>
            </w:r>
          </w:p>
        </w:tc>
        <w:tc>
          <w:tcPr>
            <w:tcW w:w="530" w:type="pct"/>
            <w:tcBorders>
              <w:top w:val="nil"/>
              <w:bottom w:val="nil"/>
            </w:tcBorders>
          </w:tcPr>
          <w:p w:rsidR="00000000" w:rsidRDefault="00000000">
            <w:pPr>
              <w:pStyle w:val="a2"/>
              <w:spacing w:line="240" w:lineRule="exact"/>
              <w:jc w:val="center"/>
              <w:rPr>
                <w:snapToGrid/>
              </w:rPr>
            </w:pPr>
            <w:r>
              <w:rPr>
                <w:snapToGrid/>
              </w:rPr>
              <w:t>1.90</w:t>
            </w:r>
          </w:p>
        </w:tc>
      </w:tr>
      <w:tr w:rsidR="00000000">
        <w:tblPrEx>
          <w:tblCellMar>
            <w:top w:w="0" w:type="dxa"/>
          </w:tblCellMar>
        </w:tblPrEx>
        <w:tc>
          <w:tcPr>
            <w:tcW w:w="991" w:type="pct"/>
            <w:tcBorders>
              <w:top w:val="nil"/>
              <w:bottom w:val="single" w:sz="4" w:space="0" w:color="auto"/>
            </w:tcBorders>
          </w:tcPr>
          <w:p w:rsidR="00000000" w:rsidRDefault="00000000">
            <w:pPr>
              <w:pStyle w:val="a2"/>
              <w:spacing w:line="240" w:lineRule="exact"/>
              <w:rPr>
                <w:rFonts w:hint="eastAsia"/>
                <w:snapToGrid/>
              </w:rPr>
            </w:pPr>
            <w:r>
              <w:rPr>
                <w:rFonts w:hint="eastAsia"/>
                <w:snapToGrid/>
              </w:rPr>
              <w:t>军人养恤金</w:t>
            </w:r>
          </w:p>
        </w:tc>
        <w:tc>
          <w:tcPr>
            <w:tcW w:w="365" w:type="pct"/>
            <w:tcBorders>
              <w:top w:val="nil"/>
              <w:bottom w:val="single" w:sz="4" w:space="0" w:color="auto"/>
            </w:tcBorders>
          </w:tcPr>
          <w:p w:rsidR="00000000" w:rsidRDefault="00000000">
            <w:pPr>
              <w:pStyle w:val="a2"/>
              <w:spacing w:line="240" w:lineRule="exact"/>
              <w:ind w:right="111"/>
              <w:jc w:val="right"/>
              <w:rPr>
                <w:snapToGrid/>
              </w:rPr>
            </w:pPr>
            <w:r>
              <w:rPr>
                <w:snapToGrid/>
              </w:rPr>
              <w:t>7 066</w:t>
            </w:r>
          </w:p>
        </w:tc>
        <w:tc>
          <w:tcPr>
            <w:tcW w:w="472" w:type="pct"/>
            <w:tcBorders>
              <w:top w:val="nil"/>
              <w:bottom w:val="single" w:sz="4" w:space="0" w:color="auto"/>
            </w:tcBorders>
          </w:tcPr>
          <w:p w:rsidR="00000000" w:rsidRDefault="00000000">
            <w:pPr>
              <w:pStyle w:val="a2"/>
              <w:spacing w:line="240" w:lineRule="exact"/>
              <w:jc w:val="center"/>
              <w:rPr>
                <w:snapToGrid/>
              </w:rPr>
            </w:pPr>
            <w:r>
              <w:rPr>
                <w:snapToGrid/>
              </w:rPr>
              <w:t>0.97</w:t>
            </w:r>
          </w:p>
        </w:tc>
        <w:tc>
          <w:tcPr>
            <w:tcW w:w="572" w:type="pct"/>
            <w:tcBorders>
              <w:top w:val="nil"/>
              <w:bottom w:val="single" w:sz="4" w:space="0" w:color="auto"/>
            </w:tcBorders>
          </w:tcPr>
          <w:p w:rsidR="00000000" w:rsidRDefault="00000000">
            <w:pPr>
              <w:pStyle w:val="a2"/>
              <w:spacing w:line="240" w:lineRule="exact"/>
              <w:jc w:val="center"/>
              <w:rPr>
                <w:snapToGrid/>
              </w:rPr>
            </w:pPr>
            <w:r>
              <w:rPr>
                <w:snapToGrid/>
              </w:rPr>
              <w:t>1.28</w:t>
            </w:r>
          </w:p>
        </w:tc>
        <w:tc>
          <w:tcPr>
            <w:tcW w:w="413" w:type="pct"/>
            <w:tcBorders>
              <w:top w:val="nil"/>
              <w:bottom w:val="single" w:sz="4" w:space="0" w:color="auto"/>
            </w:tcBorders>
          </w:tcPr>
          <w:p w:rsidR="00000000" w:rsidRDefault="00000000">
            <w:pPr>
              <w:pStyle w:val="a2"/>
              <w:spacing w:line="240" w:lineRule="exact"/>
              <w:ind w:right="196"/>
              <w:jc w:val="right"/>
              <w:rPr>
                <w:snapToGrid/>
              </w:rPr>
            </w:pPr>
            <w:r>
              <w:rPr>
                <w:snapToGrid/>
              </w:rPr>
              <w:t>6 548</w:t>
            </w:r>
          </w:p>
        </w:tc>
        <w:tc>
          <w:tcPr>
            <w:tcW w:w="406" w:type="pct"/>
            <w:tcBorders>
              <w:top w:val="nil"/>
              <w:bottom w:val="single" w:sz="4" w:space="0" w:color="auto"/>
            </w:tcBorders>
          </w:tcPr>
          <w:p w:rsidR="00000000" w:rsidRDefault="00000000">
            <w:pPr>
              <w:pStyle w:val="a2"/>
              <w:spacing w:line="240" w:lineRule="exact"/>
              <w:jc w:val="center"/>
              <w:rPr>
                <w:snapToGrid/>
              </w:rPr>
            </w:pPr>
            <w:r>
              <w:rPr>
                <w:snapToGrid/>
              </w:rPr>
              <w:t>0.88</w:t>
            </w:r>
          </w:p>
        </w:tc>
        <w:tc>
          <w:tcPr>
            <w:tcW w:w="493" w:type="pct"/>
            <w:tcBorders>
              <w:top w:val="nil"/>
              <w:bottom w:val="single" w:sz="4" w:space="0" w:color="auto"/>
            </w:tcBorders>
          </w:tcPr>
          <w:p w:rsidR="00000000" w:rsidRDefault="00000000">
            <w:pPr>
              <w:pStyle w:val="a2"/>
              <w:spacing w:line="240" w:lineRule="exact"/>
              <w:jc w:val="center"/>
              <w:rPr>
                <w:snapToGrid/>
              </w:rPr>
            </w:pPr>
            <w:r>
              <w:rPr>
                <w:snapToGrid/>
              </w:rPr>
              <w:t>1.16</w:t>
            </w:r>
          </w:p>
        </w:tc>
        <w:tc>
          <w:tcPr>
            <w:tcW w:w="350" w:type="pct"/>
            <w:tcBorders>
              <w:top w:val="nil"/>
              <w:bottom w:val="single" w:sz="4" w:space="0" w:color="auto"/>
            </w:tcBorders>
          </w:tcPr>
          <w:p w:rsidR="00000000" w:rsidRDefault="00000000">
            <w:pPr>
              <w:pStyle w:val="a2"/>
              <w:spacing w:line="240" w:lineRule="exact"/>
              <w:ind w:right="112"/>
              <w:jc w:val="right"/>
              <w:rPr>
                <w:snapToGrid/>
              </w:rPr>
            </w:pPr>
            <w:r>
              <w:rPr>
                <w:snapToGrid/>
              </w:rPr>
              <w:t>8 064</w:t>
            </w:r>
          </w:p>
        </w:tc>
        <w:tc>
          <w:tcPr>
            <w:tcW w:w="407" w:type="pct"/>
            <w:tcBorders>
              <w:top w:val="nil"/>
              <w:bottom w:val="single" w:sz="4" w:space="0" w:color="auto"/>
            </w:tcBorders>
          </w:tcPr>
          <w:p w:rsidR="00000000" w:rsidRDefault="00000000">
            <w:pPr>
              <w:pStyle w:val="a2"/>
              <w:spacing w:line="240" w:lineRule="exact"/>
              <w:jc w:val="center"/>
              <w:rPr>
                <w:snapToGrid/>
              </w:rPr>
            </w:pPr>
            <w:r>
              <w:rPr>
                <w:snapToGrid/>
              </w:rPr>
              <w:t>1.08</w:t>
            </w:r>
          </w:p>
        </w:tc>
        <w:tc>
          <w:tcPr>
            <w:tcW w:w="530" w:type="pct"/>
            <w:tcBorders>
              <w:top w:val="nil"/>
              <w:bottom w:val="single" w:sz="4" w:space="0" w:color="auto"/>
            </w:tcBorders>
          </w:tcPr>
          <w:p w:rsidR="00000000" w:rsidRDefault="00000000">
            <w:pPr>
              <w:pStyle w:val="a2"/>
              <w:spacing w:line="240" w:lineRule="exact"/>
              <w:jc w:val="center"/>
              <w:rPr>
                <w:snapToGrid/>
              </w:rPr>
            </w:pPr>
            <w:r>
              <w:rPr>
                <w:snapToGrid/>
              </w:rPr>
              <w:t>1.43</w:t>
            </w:r>
          </w:p>
        </w:tc>
      </w:tr>
    </w:tbl>
    <w:p w:rsidR="00000000" w:rsidRDefault="00000000">
      <w:pPr>
        <w:rPr>
          <w:snapToGrid/>
        </w:rPr>
      </w:pPr>
    </w:p>
    <w:p w:rsidR="00000000" w:rsidRDefault="00000000">
      <w:pPr>
        <w:jc w:val="center"/>
        <w:rPr>
          <w:rFonts w:hint="eastAsia"/>
          <w:snapToGrid/>
          <w:sz w:val="22"/>
        </w:rPr>
      </w:pPr>
      <w:r>
        <w:rPr>
          <w:rFonts w:hint="eastAsia"/>
          <w:snapToGrid/>
          <w:sz w:val="22"/>
        </w:rPr>
        <w:t>表</w:t>
      </w:r>
      <w:r>
        <w:rPr>
          <w:rFonts w:hint="eastAsia"/>
          <w:snapToGrid/>
          <w:sz w:val="22"/>
        </w:rPr>
        <w:t>25</w:t>
      </w:r>
      <w:r>
        <w:rPr>
          <w:rFonts w:hint="eastAsia"/>
          <w:snapToGrid/>
          <w:sz w:val="22"/>
        </w:rPr>
        <w:t xml:space="preserve">　</w:t>
      </w:r>
      <w:r>
        <w:rPr>
          <w:rFonts w:hint="eastAsia"/>
          <w:snapToGrid/>
          <w:sz w:val="22"/>
        </w:rPr>
        <w:t>(</w:t>
      </w:r>
      <w:r>
        <w:rPr>
          <w:rFonts w:hint="eastAsia"/>
          <w:snapToGrid/>
          <w:sz w:val="22"/>
          <w:u w:val="single"/>
        </w:rPr>
        <w:t>续</w:t>
      </w:r>
      <w:r>
        <w:rPr>
          <w:rFonts w:hint="eastAsia"/>
          <w:snapToGrid/>
          <w:sz w:val="22"/>
        </w:rPr>
        <w:t>)</w:t>
      </w:r>
    </w:p>
    <w:tbl>
      <w:tblPr>
        <w:tblW w:w="48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76"/>
        <w:gridCol w:w="911"/>
        <w:gridCol w:w="1041"/>
        <w:gridCol w:w="1301"/>
        <w:gridCol w:w="1038"/>
        <w:gridCol w:w="1041"/>
        <w:gridCol w:w="1380"/>
        <w:gridCol w:w="936"/>
        <w:gridCol w:w="1061"/>
        <w:gridCol w:w="1296"/>
      </w:tblGrid>
      <w:tr w:rsidR="00000000">
        <w:tblPrEx>
          <w:tblCellMar>
            <w:top w:w="0" w:type="dxa"/>
          </w:tblCellMar>
        </w:tblPrEx>
        <w:trPr>
          <w:cantSplit/>
        </w:trPr>
        <w:tc>
          <w:tcPr>
            <w:tcW w:w="992" w:type="pct"/>
          </w:tcPr>
          <w:p w:rsidR="00000000" w:rsidRDefault="00000000">
            <w:pPr>
              <w:spacing w:before="40" w:line="240" w:lineRule="exact"/>
              <w:jc w:val="center"/>
              <w:rPr>
                <w:rFonts w:hint="eastAsia"/>
                <w:snapToGrid/>
                <w:sz w:val="18"/>
              </w:rPr>
            </w:pPr>
            <w:r>
              <w:rPr>
                <w:rFonts w:hint="eastAsia"/>
                <w:snapToGrid/>
                <w:sz w:val="18"/>
              </w:rPr>
              <w:t>领取养恤金和补充金额的人</w:t>
            </w:r>
          </w:p>
        </w:tc>
        <w:tc>
          <w:tcPr>
            <w:tcW w:w="4008" w:type="pct"/>
            <w:gridSpan w:val="9"/>
          </w:tcPr>
          <w:p w:rsidR="00000000" w:rsidRDefault="00000000">
            <w:pPr>
              <w:spacing w:before="40" w:line="240" w:lineRule="exact"/>
              <w:jc w:val="center"/>
              <w:rPr>
                <w:rFonts w:hint="eastAsia"/>
                <w:snapToGrid/>
                <w:sz w:val="18"/>
              </w:rPr>
            </w:pPr>
            <w:r>
              <w:rPr>
                <w:rFonts w:hint="eastAsia"/>
                <w:snapToGrid/>
                <w:sz w:val="18"/>
              </w:rPr>
              <w:t>年</w:t>
            </w:r>
            <w:r>
              <w:rPr>
                <w:snapToGrid/>
                <w:sz w:val="18"/>
              </w:rPr>
              <w:t xml:space="preserve">  </w:t>
            </w:r>
            <w:r>
              <w:rPr>
                <w:rFonts w:hint="eastAsia"/>
                <w:snapToGrid/>
                <w:sz w:val="18"/>
              </w:rPr>
              <w:t>份</w:t>
            </w:r>
          </w:p>
        </w:tc>
      </w:tr>
      <w:tr w:rsidR="00000000">
        <w:tblPrEx>
          <w:tblCellMar>
            <w:top w:w="0" w:type="dxa"/>
          </w:tblCellMar>
        </w:tblPrEx>
        <w:trPr>
          <w:cantSplit/>
        </w:trPr>
        <w:tc>
          <w:tcPr>
            <w:tcW w:w="992" w:type="pct"/>
            <w:vMerge w:val="restart"/>
          </w:tcPr>
          <w:p w:rsidR="00000000" w:rsidRDefault="00000000">
            <w:pPr>
              <w:spacing w:before="40" w:line="240" w:lineRule="exact"/>
              <w:jc w:val="center"/>
              <w:rPr>
                <w:snapToGrid/>
                <w:sz w:val="18"/>
              </w:rPr>
            </w:pPr>
          </w:p>
          <w:p w:rsidR="00000000" w:rsidRDefault="00000000">
            <w:pPr>
              <w:spacing w:before="40" w:line="240" w:lineRule="exact"/>
              <w:jc w:val="center"/>
              <w:rPr>
                <w:rFonts w:hint="eastAsia"/>
                <w:snapToGrid/>
                <w:sz w:val="18"/>
              </w:rPr>
            </w:pPr>
            <w:r>
              <w:rPr>
                <w:rFonts w:hint="eastAsia"/>
                <w:snapToGrid/>
                <w:sz w:val="18"/>
              </w:rPr>
              <w:t>领取人</w:t>
            </w:r>
          </w:p>
        </w:tc>
        <w:tc>
          <w:tcPr>
            <w:tcW w:w="1302" w:type="pct"/>
            <w:gridSpan w:val="3"/>
          </w:tcPr>
          <w:p w:rsidR="00000000" w:rsidRDefault="00000000">
            <w:pPr>
              <w:spacing w:before="40" w:line="240" w:lineRule="exact"/>
              <w:jc w:val="center"/>
              <w:rPr>
                <w:snapToGrid/>
                <w:sz w:val="18"/>
              </w:rPr>
            </w:pPr>
            <w:r>
              <w:rPr>
                <w:snapToGrid/>
                <w:sz w:val="18"/>
              </w:rPr>
              <w:t>1995</w:t>
            </w:r>
          </w:p>
        </w:tc>
        <w:tc>
          <w:tcPr>
            <w:tcW w:w="1385" w:type="pct"/>
            <w:gridSpan w:val="3"/>
          </w:tcPr>
          <w:p w:rsidR="00000000" w:rsidRDefault="00000000">
            <w:pPr>
              <w:spacing w:before="40" w:line="240" w:lineRule="exact"/>
              <w:jc w:val="center"/>
              <w:rPr>
                <w:snapToGrid/>
                <w:sz w:val="18"/>
              </w:rPr>
            </w:pPr>
            <w:r>
              <w:rPr>
                <w:snapToGrid/>
                <w:sz w:val="18"/>
              </w:rPr>
              <w:t>1996</w:t>
            </w:r>
          </w:p>
        </w:tc>
        <w:tc>
          <w:tcPr>
            <w:tcW w:w="1320" w:type="pct"/>
            <w:gridSpan w:val="3"/>
          </w:tcPr>
          <w:p w:rsidR="00000000" w:rsidRDefault="00000000">
            <w:pPr>
              <w:spacing w:before="40" w:line="240" w:lineRule="exact"/>
              <w:jc w:val="center"/>
              <w:rPr>
                <w:snapToGrid/>
                <w:sz w:val="18"/>
              </w:rPr>
            </w:pPr>
            <w:r>
              <w:rPr>
                <w:snapToGrid/>
                <w:sz w:val="18"/>
              </w:rPr>
              <w:t>1997</w:t>
            </w:r>
          </w:p>
        </w:tc>
      </w:tr>
      <w:tr w:rsidR="00000000">
        <w:tblPrEx>
          <w:tblCellMar>
            <w:top w:w="0" w:type="dxa"/>
          </w:tblCellMar>
        </w:tblPrEx>
        <w:trPr>
          <w:cantSplit/>
        </w:trPr>
        <w:tc>
          <w:tcPr>
            <w:tcW w:w="992" w:type="pct"/>
            <w:vMerge/>
            <w:tcBorders>
              <w:bottom w:val="single" w:sz="4" w:space="0" w:color="auto"/>
            </w:tcBorders>
          </w:tcPr>
          <w:p w:rsidR="00000000" w:rsidRDefault="00000000">
            <w:pPr>
              <w:spacing w:before="40" w:line="240" w:lineRule="exact"/>
              <w:jc w:val="center"/>
              <w:rPr>
                <w:snapToGrid/>
                <w:sz w:val="18"/>
              </w:rPr>
            </w:pPr>
          </w:p>
        </w:tc>
        <w:tc>
          <w:tcPr>
            <w:tcW w:w="365" w:type="pct"/>
            <w:tcBorders>
              <w:bottom w:val="single" w:sz="4" w:space="0" w:color="auto"/>
            </w:tcBorders>
          </w:tcPr>
          <w:p w:rsidR="00000000" w:rsidRDefault="00000000">
            <w:pPr>
              <w:spacing w:before="40" w:line="240" w:lineRule="exact"/>
              <w:jc w:val="center"/>
              <w:rPr>
                <w:snapToGrid/>
                <w:sz w:val="18"/>
              </w:rPr>
            </w:pPr>
            <w:r>
              <w:rPr>
                <w:rFonts w:hint="eastAsia"/>
                <w:snapToGrid/>
                <w:sz w:val="18"/>
              </w:rPr>
              <w:t>领取人</w:t>
            </w:r>
          </w:p>
          <w:p w:rsidR="00000000" w:rsidRDefault="00000000">
            <w:pPr>
              <w:spacing w:before="40" w:line="240" w:lineRule="exact"/>
              <w:jc w:val="center"/>
              <w:rPr>
                <w:rFonts w:hint="eastAsia"/>
                <w:snapToGrid/>
                <w:sz w:val="18"/>
              </w:rPr>
            </w:pPr>
            <w:r>
              <w:rPr>
                <w:rFonts w:hint="eastAsia"/>
                <w:snapToGrid/>
                <w:sz w:val="18"/>
              </w:rPr>
              <w:t>数</w:t>
            </w:r>
            <w:r>
              <w:rPr>
                <w:snapToGrid/>
                <w:sz w:val="18"/>
              </w:rPr>
              <w:t xml:space="preserve">  </w:t>
            </w:r>
            <w:r>
              <w:rPr>
                <w:rFonts w:hint="eastAsia"/>
                <w:snapToGrid/>
                <w:sz w:val="18"/>
              </w:rPr>
              <w:t>目</w:t>
            </w:r>
          </w:p>
        </w:tc>
        <w:tc>
          <w:tcPr>
            <w:tcW w:w="417" w:type="pct"/>
            <w:tcBorders>
              <w:bottom w:val="single" w:sz="4" w:space="0" w:color="auto"/>
            </w:tcBorders>
          </w:tcPr>
          <w:p w:rsidR="00000000" w:rsidRDefault="00000000">
            <w:pPr>
              <w:spacing w:before="40" w:line="240" w:lineRule="exact"/>
              <w:jc w:val="center"/>
              <w:rPr>
                <w:rFonts w:hint="eastAsia"/>
                <w:snapToGrid/>
                <w:sz w:val="18"/>
              </w:rPr>
            </w:pPr>
            <w:r>
              <w:rPr>
                <w:rFonts w:hint="eastAsia"/>
                <w:snapToGrid/>
                <w:sz w:val="18"/>
              </w:rPr>
              <w:t>领取人总数</w:t>
            </w:r>
            <w:r>
              <w:rPr>
                <w:snapToGrid/>
                <w:sz w:val="18"/>
              </w:rPr>
              <w:br/>
            </w:r>
            <w:r>
              <w:rPr>
                <w:rFonts w:hint="eastAsia"/>
                <w:snapToGrid/>
                <w:sz w:val="18"/>
              </w:rPr>
              <w:t>的百分比</w:t>
            </w:r>
          </w:p>
        </w:tc>
        <w:tc>
          <w:tcPr>
            <w:tcW w:w="521" w:type="pct"/>
            <w:tcBorders>
              <w:bottom w:val="single" w:sz="4" w:space="0" w:color="auto"/>
            </w:tcBorders>
          </w:tcPr>
          <w:p w:rsidR="00000000" w:rsidRDefault="00000000">
            <w:pPr>
              <w:spacing w:before="40" w:line="240" w:lineRule="exact"/>
              <w:jc w:val="center"/>
              <w:rPr>
                <w:rFonts w:hint="eastAsia"/>
                <w:snapToGrid/>
                <w:sz w:val="18"/>
              </w:rPr>
            </w:pPr>
            <w:r>
              <w:rPr>
                <w:rFonts w:hint="eastAsia"/>
                <w:snapToGrid/>
                <w:sz w:val="18"/>
              </w:rPr>
              <w:t>补贴领取人</w:t>
            </w:r>
            <w:r>
              <w:rPr>
                <w:snapToGrid/>
                <w:sz w:val="18"/>
              </w:rPr>
              <w:br/>
            </w:r>
            <w:r>
              <w:rPr>
                <w:rFonts w:hint="eastAsia"/>
                <w:snapToGrid/>
                <w:sz w:val="18"/>
              </w:rPr>
              <w:t>总数的百分比</w:t>
            </w:r>
          </w:p>
        </w:tc>
        <w:tc>
          <w:tcPr>
            <w:tcW w:w="416" w:type="pct"/>
            <w:tcBorders>
              <w:bottom w:val="single" w:sz="4" w:space="0" w:color="auto"/>
            </w:tcBorders>
          </w:tcPr>
          <w:p w:rsidR="00000000" w:rsidRDefault="00000000">
            <w:pPr>
              <w:spacing w:before="40" w:line="240" w:lineRule="exact"/>
              <w:jc w:val="center"/>
              <w:rPr>
                <w:snapToGrid/>
                <w:sz w:val="18"/>
              </w:rPr>
            </w:pPr>
            <w:r>
              <w:rPr>
                <w:rFonts w:hint="eastAsia"/>
                <w:snapToGrid/>
                <w:sz w:val="18"/>
              </w:rPr>
              <w:t>领取人</w:t>
            </w:r>
            <w:r>
              <w:rPr>
                <w:snapToGrid/>
                <w:sz w:val="18"/>
              </w:rPr>
              <w:br/>
            </w:r>
            <w:r>
              <w:rPr>
                <w:rFonts w:hint="eastAsia"/>
                <w:snapToGrid/>
                <w:sz w:val="18"/>
              </w:rPr>
              <w:t>数</w:t>
            </w:r>
            <w:r>
              <w:rPr>
                <w:snapToGrid/>
                <w:sz w:val="18"/>
              </w:rPr>
              <w:t xml:space="preserve">  </w:t>
            </w:r>
            <w:r>
              <w:rPr>
                <w:rFonts w:hint="eastAsia"/>
                <w:snapToGrid/>
                <w:sz w:val="18"/>
              </w:rPr>
              <w:t>目</w:t>
            </w:r>
          </w:p>
        </w:tc>
        <w:tc>
          <w:tcPr>
            <w:tcW w:w="417" w:type="pct"/>
            <w:tcBorders>
              <w:bottom w:val="single" w:sz="4" w:space="0" w:color="auto"/>
            </w:tcBorders>
          </w:tcPr>
          <w:p w:rsidR="00000000" w:rsidRDefault="00000000">
            <w:pPr>
              <w:spacing w:before="40" w:line="240" w:lineRule="exact"/>
              <w:jc w:val="center"/>
              <w:rPr>
                <w:snapToGrid/>
                <w:sz w:val="18"/>
              </w:rPr>
            </w:pPr>
            <w:r>
              <w:rPr>
                <w:rFonts w:hint="eastAsia"/>
                <w:snapToGrid/>
                <w:sz w:val="18"/>
              </w:rPr>
              <w:t>领取人总</w:t>
            </w:r>
            <w:r>
              <w:rPr>
                <w:snapToGrid/>
                <w:sz w:val="18"/>
              </w:rPr>
              <w:br/>
            </w:r>
            <w:r>
              <w:rPr>
                <w:rFonts w:hint="eastAsia"/>
                <w:snapToGrid/>
                <w:sz w:val="18"/>
              </w:rPr>
              <w:t>数的百分比</w:t>
            </w:r>
          </w:p>
        </w:tc>
        <w:tc>
          <w:tcPr>
            <w:tcW w:w="553" w:type="pct"/>
            <w:tcBorders>
              <w:bottom w:val="single" w:sz="4" w:space="0" w:color="auto"/>
            </w:tcBorders>
          </w:tcPr>
          <w:p w:rsidR="00000000" w:rsidRDefault="00000000">
            <w:pPr>
              <w:spacing w:before="40" w:line="240" w:lineRule="exact"/>
              <w:jc w:val="center"/>
              <w:rPr>
                <w:rFonts w:hint="eastAsia"/>
                <w:snapToGrid/>
                <w:sz w:val="18"/>
              </w:rPr>
            </w:pPr>
            <w:r>
              <w:rPr>
                <w:rFonts w:hint="eastAsia"/>
                <w:snapToGrid/>
                <w:sz w:val="18"/>
              </w:rPr>
              <w:t>补贴领取人总</w:t>
            </w:r>
            <w:r>
              <w:rPr>
                <w:snapToGrid/>
                <w:sz w:val="18"/>
              </w:rPr>
              <w:br/>
            </w:r>
            <w:r>
              <w:rPr>
                <w:rFonts w:hint="eastAsia"/>
                <w:snapToGrid/>
                <w:sz w:val="18"/>
              </w:rPr>
              <w:t>数的百分比</w:t>
            </w:r>
          </w:p>
        </w:tc>
        <w:tc>
          <w:tcPr>
            <w:tcW w:w="375" w:type="pct"/>
            <w:tcBorders>
              <w:bottom w:val="single" w:sz="4" w:space="0" w:color="auto"/>
            </w:tcBorders>
          </w:tcPr>
          <w:p w:rsidR="00000000" w:rsidRDefault="00000000">
            <w:pPr>
              <w:spacing w:before="40" w:line="240" w:lineRule="exact"/>
              <w:jc w:val="center"/>
              <w:rPr>
                <w:snapToGrid/>
                <w:sz w:val="18"/>
              </w:rPr>
            </w:pPr>
            <w:r>
              <w:rPr>
                <w:rFonts w:hint="eastAsia"/>
                <w:snapToGrid/>
                <w:sz w:val="18"/>
              </w:rPr>
              <w:t>领取人</w:t>
            </w:r>
            <w:r>
              <w:rPr>
                <w:snapToGrid/>
                <w:sz w:val="18"/>
              </w:rPr>
              <w:br/>
            </w:r>
            <w:r>
              <w:rPr>
                <w:rFonts w:hint="eastAsia"/>
                <w:snapToGrid/>
                <w:sz w:val="18"/>
              </w:rPr>
              <w:t>数</w:t>
            </w:r>
            <w:r>
              <w:rPr>
                <w:snapToGrid/>
                <w:sz w:val="18"/>
              </w:rPr>
              <w:t xml:space="preserve">  </w:t>
            </w:r>
            <w:r>
              <w:rPr>
                <w:rFonts w:hint="eastAsia"/>
                <w:snapToGrid/>
                <w:sz w:val="18"/>
              </w:rPr>
              <w:t>目</w:t>
            </w:r>
          </w:p>
        </w:tc>
        <w:tc>
          <w:tcPr>
            <w:tcW w:w="425" w:type="pct"/>
            <w:tcBorders>
              <w:bottom w:val="single" w:sz="4" w:space="0" w:color="auto"/>
            </w:tcBorders>
          </w:tcPr>
          <w:p w:rsidR="00000000" w:rsidRDefault="00000000">
            <w:pPr>
              <w:spacing w:before="40" w:line="240" w:lineRule="exact"/>
              <w:jc w:val="center"/>
              <w:rPr>
                <w:rFonts w:hint="eastAsia"/>
                <w:snapToGrid/>
                <w:sz w:val="18"/>
              </w:rPr>
            </w:pPr>
            <w:r>
              <w:rPr>
                <w:rFonts w:hint="eastAsia"/>
                <w:snapToGrid/>
                <w:sz w:val="18"/>
              </w:rPr>
              <w:t>领取人总数</w:t>
            </w:r>
            <w:r>
              <w:rPr>
                <w:snapToGrid/>
                <w:sz w:val="18"/>
              </w:rPr>
              <w:br/>
            </w:r>
            <w:r>
              <w:rPr>
                <w:rFonts w:hint="eastAsia"/>
                <w:snapToGrid/>
                <w:sz w:val="18"/>
              </w:rPr>
              <w:t>的百分比</w:t>
            </w:r>
          </w:p>
        </w:tc>
        <w:tc>
          <w:tcPr>
            <w:tcW w:w="520" w:type="pct"/>
            <w:tcBorders>
              <w:bottom w:val="single" w:sz="4" w:space="0" w:color="auto"/>
            </w:tcBorders>
          </w:tcPr>
          <w:p w:rsidR="00000000" w:rsidRDefault="00000000">
            <w:pPr>
              <w:spacing w:before="40" w:line="240" w:lineRule="exact"/>
              <w:jc w:val="center"/>
              <w:rPr>
                <w:rFonts w:hint="eastAsia"/>
                <w:snapToGrid/>
                <w:sz w:val="18"/>
              </w:rPr>
            </w:pPr>
            <w:r>
              <w:rPr>
                <w:rFonts w:hint="eastAsia"/>
                <w:snapToGrid/>
                <w:sz w:val="18"/>
              </w:rPr>
              <w:t>补贴领取人总数的百分比</w:t>
            </w:r>
          </w:p>
        </w:tc>
      </w:tr>
      <w:tr w:rsidR="00000000">
        <w:tblPrEx>
          <w:tblCellMar>
            <w:top w:w="0" w:type="dxa"/>
          </w:tblCellMar>
        </w:tblPrEx>
        <w:tc>
          <w:tcPr>
            <w:tcW w:w="992" w:type="pct"/>
            <w:tcBorders>
              <w:bottom w:val="nil"/>
            </w:tcBorders>
          </w:tcPr>
          <w:p w:rsidR="00000000" w:rsidRDefault="00000000">
            <w:pPr>
              <w:spacing w:line="240" w:lineRule="exact"/>
              <w:rPr>
                <w:rFonts w:hint="eastAsia"/>
                <w:snapToGrid/>
                <w:sz w:val="18"/>
              </w:rPr>
            </w:pPr>
            <w:r>
              <w:rPr>
                <w:rFonts w:hint="eastAsia"/>
                <w:snapToGrid/>
                <w:sz w:val="18"/>
              </w:rPr>
              <w:t>总数</w:t>
            </w:r>
          </w:p>
        </w:tc>
        <w:tc>
          <w:tcPr>
            <w:tcW w:w="365" w:type="pct"/>
            <w:tcBorders>
              <w:bottom w:val="nil"/>
            </w:tcBorders>
          </w:tcPr>
          <w:p w:rsidR="00000000" w:rsidRDefault="00000000">
            <w:pPr>
              <w:spacing w:line="240" w:lineRule="exact"/>
              <w:ind w:right="127"/>
              <w:jc w:val="right"/>
              <w:rPr>
                <w:snapToGrid/>
                <w:sz w:val="18"/>
              </w:rPr>
            </w:pPr>
            <w:r>
              <w:rPr>
                <w:snapToGrid/>
                <w:sz w:val="18"/>
              </w:rPr>
              <w:t>750 556</w:t>
            </w:r>
          </w:p>
        </w:tc>
        <w:tc>
          <w:tcPr>
            <w:tcW w:w="417" w:type="pct"/>
            <w:tcBorders>
              <w:bottom w:val="nil"/>
            </w:tcBorders>
          </w:tcPr>
          <w:p w:rsidR="00000000" w:rsidRDefault="00000000">
            <w:pPr>
              <w:spacing w:line="240" w:lineRule="exact"/>
              <w:jc w:val="center"/>
              <w:rPr>
                <w:snapToGrid/>
                <w:sz w:val="18"/>
              </w:rPr>
            </w:pPr>
            <w:r>
              <w:rPr>
                <w:snapToGrid/>
                <w:sz w:val="18"/>
              </w:rPr>
              <w:t>100</w:t>
            </w:r>
          </w:p>
        </w:tc>
        <w:tc>
          <w:tcPr>
            <w:tcW w:w="521" w:type="pct"/>
            <w:tcBorders>
              <w:bottom w:val="nil"/>
            </w:tcBorders>
          </w:tcPr>
          <w:p w:rsidR="00000000" w:rsidRDefault="00000000">
            <w:pPr>
              <w:spacing w:line="240" w:lineRule="exact"/>
              <w:jc w:val="center"/>
              <w:rPr>
                <w:snapToGrid/>
                <w:sz w:val="18"/>
              </w:rPr>
            </w:pPr>
            <w:r>
              <w:rPr>
                <w:snapToGrid/>
                <w:sz w:val="18"/>
              </w:rPr>
              <w:t>133.32</w:t>
            </w:r>
          </w:p>
        </w:tc>
        <w:tc>
          <w:tcPr>
            <w:tcW w:w="416" w:type="pct"/>
            <w:tcBorders>
              <w:bottom w:val="nil"/>
            </w:tcBorders>
          </w:tcPr>
          <w:p w:rsidR="00000000" w:rsidRDefault="00000000">
            <w:pPr>
              <w:spacing w:line="240" w:lineRule="exact"/>
              <w:ind w:right="188"/>
              <w:jc w:val="right"/>
              <w:rPr>
                <w:snapToGrid/>
                <w:sz w:val="18"/>
              </w:rPr>
            </w:pPr>
            <w:r>
              <w:rPr>
                <w:snapToGrid/>
                <w:sz w:val="18"/>
              </w:rPr>
              <w:t>754 653</w:t>
            </w:r>
          </w:p>
        </w:tc>
        <w:tc>
          <w:tcPr>
            <w:tcW w:w="417" w:type="pct"/>
            <w:tcBorders>
              <w:bottom w:val="nil"/>
            </w:tcBorders>
          </w:tcPr>
          <w:p w:rsidR="00000000" w:rsidRDefault="00000000">
            <w:pPr>
              <w:spacing w:line="240" w:lineRule="exact"/>
              <w:jc w:val="center"/>
              <w:rPr>
                <w:snapToGrid/>
                <w:sz w:val="18"/>
              </w:rPr>
            </w:pPr>
            <w:r>
              <w:rPr>
                <w:snapToGrid/>
                <w:sz w:val="18"/>
              </w:rPr>
              <w:t>100</w:t>
            </w:r>
          </w:p>
        </w:tc>
        <w:tc>
          <w:tcPr>
            <w:tcW w:w="553" w:type="pct"/>
            <w:tcBorders>
              <w:bottom w:val="nil"/>
            </w:tcBorders>
          </w:tcPr>
          <w:p w:rsidR="00000000" w:rsidRDefault="00000000">
            <w:pPr>
              <w:spacing w:line="240" w:lineRule="exact"/>
              <w:jc w:val="center"/>
              <w:rPr>
                <w:snapToGrid/>
                <w:sz w:val="18"/>
              </w:rPr>
            </w:pPr>
            <w:r>
              <w:rPr>
                <w:snapToGrid/>
                <w:sz w:val="18"/>
              </w:rPr>
              <w:t>134.12</w:t>
            </w:r>
          </w:p>
        </w:tc>
        <w:tc>
          <w:tcPr>
            <w:tcW w:w="375" w:type="pct"/>
            <w:tcBorders>
              <w:bottom w:val="nil"/>
            </w:tcBorders>
          </w:tcPr>
          <w:p w:rsidR="00000000" w:rsidRDefault="00000000">
            <w:pPr>
              <w:spacing w:line="240" w:lineRule="exact"/>
              <w:ind w:right="219"/>
              <w:jc w:val="right"/>
              <w:rPr>
                <w:snapToGrid/>
                <w:sz w:val="18"/>
              </w:rPr>
            </w:pPr>
            <w:r>
              <w:rPr>
                <w:snapToGrid/>
                <w:sz w:val="18"/>
              </w:rPr>
              <w:t>757 020</w:t>
            </w:r>
          </w:p>
        </w:tc>
        <w:tc>
          <w:tcPr>
            <w:tcW w:w="425" w:type="pct"/>
            <w:tcBorders>
              <w:bottom w:val="nil"/>
            </w:tcBorders>
          </w:tcPr>
          <w:p w:rsidR="00000000" w:rsidRDefault="00000000">
            <w:pPr>
              <w:spacing w:line="240" w:lineRule="exact"/>
              <w:jc w:val="center"/>
              <w:rPr>
                <w:snapToGrid/>
                <w:sz w:val="18"/>
              </w:rPr>
            </w:pPr>
            <w:r>
              <w:rPr>
                <w:snapToGrid/>
                <w:sz w:val="18"/>
              </w:rPr>
              <w:t>100</w:t>
            </w:r>
          </w:p>
        </w:tc>
        <w:tc>
          <w:tcPr>
            <w:tcW w:w="520" w:type="pct"/>
            <w:tcBorders>
              <w:bottom w:val="nil"/>
            </w:tcBorders>
          </w:tcPr>
          <w:p w:rsidR="00000000" w:rsidRDefault="00000000">
            <w:pPr>
              <w:spacing w:line="240" w:lineRule="exact"/>
              <w:jc w:val="center"/>
              <w:rPr>
                <w:snapToGrid/>
                <w:sz w:val="18"/>
              </w:rPr>
            </w:pPr>
            <w:r>
              <w:rPr>
                <w:snapToGrid/>
                <w:sz w:val="18"/>
              </w:rPr>
              <w:t>135.08</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补贴领取人数目</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562 954</w:t>
            </w:r>
          </w:p>
        </w:tc>
        <w:tc>
          <w:tcPr>
            <w:tcW w:w="417" w:type="pct"/>
            <w:tcBorders>
              <w:top w:val="nil"/>
              <w:bottom w:val="nil"/>
            </w:tcBorders>
          </w:tcPr>
          <w:p w:rsidR="00000000" w:rsidRDefault="00000000">
            <w:pPr>
              <w:spacing w:line="240" w:lineRule="exact"/>
              <w:jc w:val="center"/>
              <w:rPr>
                <w:snapToGrid/>
                <w:sz w:val="18"/>
              </w:rPr>
            </w:pPr>
            <w:r>
              <w:rPr>
                <w:snapToGrid/>
                <w:sz w:val="18"/>
              </w:rPr>
              <w:t>75</w:t>
            </w:r>
          </w:p>
        </w:tc>
        <w:tc>
          <w:tcPr>
            <w:tcW w:w="521" w:type="pct"/>
            <w:tcBorders>
              <w:top w:val="nil"/>
              <w:bottom w:val="nil"/>
            </w:tcBorders>
          </w:tcPr>
          <w:p w:rsidR="00000000" w:rsidRDefault="00000000">
            <w:pPr>
              <w:spacing w:line="240" w:lineRule="exact"/>
              <w:jc w:val="center"/>
              <w:rPr>
                <w:snapToGrid/>
                <w:sz w:val="18"/>
              </w:rPr>
            </w:pPr>
            <w:r>
              <w:rPr>
                <w:snapToGrid/>
                <w:sz w:val="18"/>
              </w:rPr>
              <w:t>100</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562 688</w:t>
            </w:r>
          </w:p>
        </w:tc>
        <w:tc>
          <w:tcPr>
            <w:tcW w:w="417" w:type="pct"/>
            <w:tcBorders>
              <w:top w:val="nil"/>
              <w:bottom w:val="nil"/>
            </w:tcBorders>
          </w:tcPr>
          <w:p w:rsidR="00000000" w:rsidRDefault="00000000">
            <w:pPr>
              <w:spacing w:line="240" w:lineRule="exact"/>
              <w:jc w:val="center"/>
              <w:rPr>
                <w:snapToGrid/>
                <w:sz w:val="18"/>
              </w:rPr>
            </w:pPr>
            <w:r>
              <w:rPr>
                <w:snapToGrid/>
                <w:sz w:val="18"/>
              </w:rPr>
              <w:t>74.56</w:t>
            </w:r>
          </w:p>
        </w:tc>
        <w:tc>
          <w:tcPr>
            <w:tcW w:w="553" w:type="pct"/>
            <w:tcBorders>
              <w:top w:val="nil"/>
              <w:bottom w:val="nil"/>
            </w:tcBorders>
          </w:tcPr>
          <w:p w:rsidR="00000000" w:rsidRDefault="00000000">
            <w:pPr>
              <w:spacing w:line="240" w:lineRule="exact"/>
              <w:jc w:val="center"/>
              <w:rPr>
                <w:snapToGrid/>
                <w:sz w:val="18"/>
              </w:rPr>
            </w:pPr>
            <w:r>
              <w:rPr>
                <w:snapToGrid/>
                <w:sz w:val="18"/>
              </w:rPr>
              <w:t>100</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560 439</w:t>
            </w:r>
          </w:p>
        </w:tc>
        <w:tc>
          <w:tcPr>
            <w:tcW w:w="425" w:type="pct"/>
            <w:tcBorders>
              <w:top w:val="nil"/>
              <w:bottom w:val="nil"/>
            </w:tcBorders>
          </w:tcPr>
          <w:p w:rsidR="00000000" w:rsidRDefault="00000000">
            <w:pPr>
              <w:spacing w:line="240" w:lineRule="exact"/>
              <w:jc w:val="center"/>
              <w:rPr>
                <w:snapToGrid/>
                <w:sz w:val="18"/>
              </w:rPr>
            </w:pPr>
            <w:r>
              <w:rPr>
                <w:snapToGrid/>
                <w:sz w:val="18"/>
              </w:rPr>
              <w:t>74.03</w:t>
            </w:r>
          </w:p>
        </w:tc>
        <w:tc>
          <w:tcPr>
            <w:tcW w:w="520" w:type="pct"/>
            <w:tcBorders>
              <w:top w:val="nil"/>
              <w:bottom w:val="nil"/>
            </w:tcBorders>
          </w:tcPr>
          <w:p w:rsidR="00000000" w:rsidRDefault="00000000">
            <w:pPr>
              <w:spacing w:line="240" w:lineRule="exact"/>
              <w:jc w:val="center"/>
              <w:rPr>
                <w:snapToGrid/>
                <w:sz w:val="18"/>
              </w:rPr>
            </w:pPr>
            <w:r>
              <w:rPr>
                <w:snapToGrid/>
                <w:sz w:val="18"/>
              </w:rPr>
              <w:t>100</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其中具有特权的养恤金的领取人数目</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br/>
              <w:t>135 450</w:t>
            </w:r>
          </w:p>
        </w:tc>
        <w:tc>
          <w:tcPr>
            <w:tcW w:w="417" w:type="pct"/>
            <w:tcBorders>
              <w:top w:val="nil"/>
              <w:bottom w:val="nil"/>
            </w:tcBorders>
          </w:tcPr>
          <w:p w:rsidR="00000000" w:rsidRDefault="00000000">
            <w:pPr>
              <w:spacing w:line="240" w:lineRule="exact"/>
              <w:jc w:val="center"/>
              <w:rPr>
                <w:snapToGrid/>
                <w:sz w:val="18"/>
              </w:rPr>
            </w:pPr>
            <w:r>
              <w:rPr>
                <w:snapToGrid/>
                <w:sz w:val="18"/>
              </w:rPr>
              <w:br/>
              <w:t>18.05</w:t>
            </w:r>
          </w:p>
        </w:tc>
        <w:tc>
          <w:tcPr>
            <w:tcW w:w="521" w:type="pct"/>
            <w:tcBorders>
              <w:top w:val="nil"/>
              <w:bottom w:val="nil"/>
            </w:tcBorders>
          </w:tcPr>
          <w:p w:rsidR="00000000" w:rsidRDefault="00000000">
            <w:pPr>
              <w:spacing w:line="240" w:lineRule="exact"/>
              <w:jc w:val="center"/>
              <w:rPr>
                <w:snapToGrid/>
                <w:sz w:val="18"/>
              </w:rPr>
            </w:pPr>
            <w:r>
              <w:rPr>
                <w:snapToGrid/>
                <w:sz w:val="18"/>
              </w:rPr>
              <w:br/>
              <w:t>24.06</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br/>
              <w:t>140 880</w:t>
            </w:r>
          </w:p>
        </w:tc>
        <w:tc>
          <w:tcPr>
            <w:tcW w:w="417" w:type="pct"/>
            <w:tcBorders>
              <w:top w:val="nil"/>
              <w:bottom w:val="nil"/>
            </w:tcBorders>
          </w:tcPr>
          <w:p w:rsidR="00000000" w:rsidRDefault="00000000">
            <w:pPr>
              <w:spacing w:line="240" w:lineRule="exact"/>
              <w:jc w:val="center"/>
              <w:rPr>
                <w:snapToGrid/>
                <w:sz w:val="18"/>
              </w:rPr>
            </w:pPr>
            <w:r>
              <w:rPr>
                <w:snapToGrid/>
                <w:sz w:val="18"/>
              </w:rPr>
              <w:br/>
              <w:t>18.67</w:t>
            </w:r>
          </w:p>
        </w:tc>
        <w:tc>
          <w:tcPr>
            <w:tcW w:w="553" w:type="pct"/>
            <w:tcBorders>
              <w:top w:val="nil"/>
              <w:bottom w:val="nil"/>
            </w:tcBorders>
          </w:tcPr>
          <w:p w:rsidR="00000000" w:rsidRDefault="00000000">
            <w:pPr>
              <w:spacing w:line="240" w:lineRule="exact"/>
              <w:jc w:val="center"/>
              <w:rPr>
                <w:snapToGrid/>
                <w:sz w:val="18"/>
              </w:rPr>
            </w:pPr>
            <w:r>
              <w:rPr>
                <w:snapToGrid/>
                <w:sz w:val="18"/>
              </w:rPr>
              <w:br/>
              <w:t>25.04</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br/>
              <w:t>147 305</w:t>
            </w:r>
          </w:p>
        </w:tc>
        <w:tc>
          <w:tcPr>
            <w:tcW w:w="425" w:type="pct"/>
            <w:tcBorders>
              <w:top w:val="nil"/>
              <w:bottom w:val="nil"/>
            </w:tcBorders>
          </w:tcPr>
          <w:p w:rsidR="00000000" w:rsidRDefault="00000000">
            <w:pPr>
              <w:spacing w:line="240" w:lineRule="exact"/>
              <w:jc w:val="center"/>
              <w:rPr>
                <w:snapToGrid/>
                <w:sz w:val="18"/>
              </w:rPr>
            </w:pPr>
            <w:r>
              <w:rPr>
                <w:snapToGrid/>
                <w:sz w:val="18"/>
              </w:rPr>
              <w:br/>
              <w:t>19.46</w:t>
            </w:r>
          </w:p>
        </w:tc>
        <w:tc>
          <w:tcPr>
            <w:tcW w:w="520" w:type="pct"/>
            <w:tcBorders>
              <w:top w:val="nil"/>
              <w:bottom w:val="nil"/>
            </w:tcBorders>
          </w:tcPr>
          <w:p w:rsidR="00000000" w:rsidRDefault="00000000">
            <w:pPr>
              <w:spacing w:line="240" w:lineRule="exact"/>
              <w:jc w:val="center"/>
              <w:rPr>
                <w:snapToGrid/>
                <w:sz w:val="18"/>
              </w:rPr>
            </w:pPr>
            <w:r>
              <w:rPr>
                <w:snapToGrid/>
                <w:sz w:val="18"/>
              </w:rPr>
              <w:br/>
              <w:t>26.28</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包括</w:t>
            </w:r>
            <w:r>
              <w:rPr>
                <w:snapToGrid/>
                <w:sz w:val="18"/>
              </w:rPr>
              <w:t>：</w:t>
            </w:r>
            <w:r>
              <w:rPr>
                <w:snapToGrid/>
                <w:sz w:val="18"/>
              </w:rPr>
              <w:br/>
              <w:t xml:space="preserve">   </w:t>
            </w:r>
            <w:r>
              <w:rPr>
                <w:rFonts w:hint="eastAsia"/>
                <w:snapToGrid/>
                <w:sz w:val="18"/>
              </w:rPr>
              <w:t>1</w:t>
            </w:r>
            <w:r>
              <w:rPr>
                <w:rFonts w:hint="eastAsia"/>
                <w:snapToGrid/>
                <w:sz w:val="18"/>
              </w:rPr>
              <w:t>号表中的养恤金</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br/>
              <w:t>5 680</w:t>
            </w:r>
          </w:p>
        </w:tc>
        <w:tc>
          <w:tcPr>
            <w:tcW w:w="417" w:type="pct"/>
            <w:tcBorders>
              <w:top w:val="nil"/>
              <w:bottom w:val="nil"/>
            </w:tcBorders>
          </w:tcPr>
          <w:p w:rsidR="00000000" w:rsidRDefault="00000000">
            <w:pPr>
              <w:spacing w:line="240" w:lineRule="exact"/>
              <w:jc w:val="center"/>
              <w:rPr>
                <w:snapToGrid/>
                <w:sz w:val="18"/>
              </w:rPr>
            </w:pPr>
            <w:r>
              <w:rPr>
                <w:snapToGrid/>
                <w:sz w:val="18"/>
              </w:rPr>
              <w:br/>
              <w:t>0.76</w:t>
            </w:r>
          </w:p>
        </w:tc>
        <w:tc>
          <w:tcPr>
            <w:tcW w:w="521" w:type="pct"/>
            <w:tcBorders>
              <w:top w:val="nil"/>
              <w:bottom w:val="nil"/>
            </w:tcBorders>
          </w:tcPr>
          <w:p w:rsidR="00000000" w:rsidRDefault="00000000">
            <w:pPr>
              <w:spacing w:line="240" w:lineRule="exact"/>
              <w:jc w:val="center"/>
              <w:rPr>
                <w:snapToGrid/>
                <w:sz w:val="18"/>
              </w:rPr>
            </w:pPr>
            <w:r>
              <w:rPr>
                <w:snapToGrid/>
                <w:sz w:val="18"/>
              </w:rPr>
              <w:br/>
              <w:t>1.01</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br/>
              <w:t>5 671</w:t>
            </w:r>
          </w:p>
        </w:tc>
        <w:tc>
          <w:tcPr>
            <w:tcW w:w="417" w:type="pct"/>
            <w:tcBorders>
              <w:top w:val="nil"/>
              <w:bottom w:val="nil"/>
            </w:tcBorders>
          </w:tcPr>
          <w:p w:rsidR="00000000" w:rsidRDefault="00000000">
            <w:pPr>
              <w:spacing w:line="240" w:lineRule="exact"/>
              <w:jc w:val="center"/>
              <w:rPr>
                <w:snapToGrid/>
                <w:sz w:val="18"/>
              </w:rPr>
            </w:pPr>
            <w:r>
              <w:rPr>
                <w:snapToGrid/>
                <w:sz w:val="18"/>
              </w:rPr>
              <w:br/>
              <w:t>0.75</w:t>
            </w:r>
          </w:p>
        </w:tc>
        <w:tc>
          <w:tcPr>
            <w:tcW w:w="553" w:type="pct"/>
            <w:tcBorders>
              <w:top w:val="nil"/>
              <w:bottom w:val="nil"/>
            </w:tcBorders>
          </w:tcPr>
          <w:p w:rsidR="00000000" w:rsidRDefault="00000000">
            <w:pPr>
              <w:spacing w:line="240" w:lineRule="exact"/>
              <w:jc w:val="center"/>
              <w:rPr>
                <w:snapToGrid/>
                <w:sz w:val="18"/>
              </w:rPr>
            </w:pPr>
            <w:r>
              <w:rPr>
                <w:snapToGrid/>
                <w:sz w:val="18"/>
              </w:rPr>
              <w:br/>
              <w:t>1.01</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br/>
              <w:t>5 627</w:t>
            </w:r>
          </w:p>
        </w:tc>
        <w:tc>
          <w:tcPr>
            <w:tcW w:w="425" w:type="pct"/>
            <w:tcBorders>
              <w:top w:val="nil"/>
              <w:bottom w:val="nil"/>
            </w:tcBorders>
          </w:tcPr>
          <w:p w:rsidR="00000000" w:rsidRDefault="00000000">
            <w:pPr>
              <w:spacing w:line="240" w:lineRule="exact"/>
              <w:jc w:val="center"/>
              <w:rPr>
                <w:snapToGrid/>
                <w:sz w:val="18"/>
              </w:rPr>
            </w:pPr>
            <w:r>
              <w:rPr>
                <w:snapToGrid/>
                <w:sz w:val="18"/>
              </w:rPr>
              <w:br/>
              <w:t>0.74</w:t>
            </w:r>
          </w:p>
        </w:tc>
        <w:tc>
          <w:tcPr>
            <w:tcW w:w="520" w:type="pct"/>
            <w:tcBorders>
              <w:top w:val="nil"/>
              <w:bottom w:val="nil"/>
            </w:tcBorders>
          </w:tcPr>
          <w:p w:rsidR="00000000" w:rsidRDefault="00000000">
            <w:pPr>
              <w:spacing w:line="240" w:lineRule="exact"/>
              <w:jc w:val="center"/>
              <w:rPr>
                <w:snapToGrid/>
                <w:sz w:val="18"/>
              </w:rPr>
            </w:pPr>
            <w:r>
              <w:rPr>
                <w:snapToGrid/>
                <w:sz w:val="18"/>
              </w:rPr>
              <w:br/>
              <w:t>1</w:t>
            </w:r>
          </w:p>
        </w:tc>
      </w:tr>
      <w:tr w:rsidR="00000000">
        <w:tblPrEx>
          <w:tblCellMar>
            <w:top w:w="0" w:type="dxa"/>
          </w:tblCellMar>
        </w:tblPrEx>
        <w:tc>
          <w:tcPr>
            <w:tcW w:w="992" w:type="pct"/>
            <w:tcBorders>
              <w:top w:val="nil"/>
              <w:bottom w:val="nil"/>
            </w:tcBorders>
          </w:tcPr>
          <w:p w:rsidR="00000000" w:rsidRDefault="00000000">
            <w:pPr>
              <w:spacing w:line="240" w:lineRule="exact"/>
              <w:rPr>
                <w:snapToGrid/>
                <w:sz w:val="18"/>
              </w:rPr>
            </w:pPr>
            <w:r>
              <w:rPr>
                <w:snapToGrid/>
                <w:sz w:val="18"/>
              </w:rPr>
              <w:t xml:space="preserve">   </w:t>
            </w:r>
            <w:r>
              <w:rPr>
                <w:rFonts w:hint="eastAsia"/>
                <w:snapToGrid/>
                <w:sz w:val="18"/>
              </w:rPr>
              <w:t>2</w:t>
            </w:r>
            <w:r>
              <w:rPr>
                <w:rFonts w:hint="eastAsia"/>
                <w:snapToGrid/>
                <w:sz w:val="18"/>
              </w:rPr>
              <w:t>号表中的养恤金</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12 337</w:t>
            </w:r>
          </w:p>
        </w:tc>
        <w:tc>
          <w:tcPr>
            <w:tcW w:w="417" w:type="pct"/>
            <w:tcBorders>
              <w:top w:val="nil"/>
              <w:bottom w:val="nil"/>
            </w:tcBorders>
          </w:tcPr>
          <w:p w:rsidR="00000000" w:rsidRDefault="00000000">
            <w:pPr>
              <w:spacing w:line="240" w:lineRule="exact"/>
              <w:jc w:val="center"/>
              <w:rPr>
                <w:snapToGrid/>
                <w:sz w:val="18"/>
              </w:rPr>
            </w:pPr>
            <w:r>
              <w:rPr>
                <w:snapToGrid/>
                <w:sz w:val="18"/>
              </w:rPr>
              <w:t>1.64</w:t>
            </w:r>
          </w:p>
        </w:tc>
        <w:tc>
          <w:tcPr>
            <w:tcW w:w="521" w:type="pct"/>
            <w:tcBorders>
              <w:top w:val="nil"/>
              <w:bottom w:val="nil"/>
            </w:tcBorders>
          </w:tcPr>
          <w:p w:rsidR="00000000" w:rsidRDefault="00000000">
            <w:pPr>
              <w:spacing w:line="240" w:lineRule="exact"/>
              <w:jc w:val="center"/>
              <w:rPr>
                <w:snapToGrid/>
                <w:sz w:val="18"/>
              </w:rPr>
            </w:pPr>
            <w:r>
              <w:rPr>
                <w:snapToGrid/>
                <w:sz w:val="18"/>
              </w:rPr>
              <w:t>2.19</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12 897</w:t>
            </w:r>
          </w:p>
        </w:tc>
        <w:tc>
          <w:tcPr>
            <w:tcW w:w="417" w:type="pct"/>
            <w:tcBorders>
              <w:top w:val="nil"/>
              <w:bottom w:val="nil"/>
            </w:tcBorders>
          </w:tcPr>
          <w:p w:rsidR="00000000" w:rsidRDefault="00000000">
            <w:pPr>
              <w:spacing w:line="240" w:lineRule="exact"/>
              <w:jc w:val="center"/>
              <w:rPr>
                <w:snapToGrid/>
                <w:sz w:val="18"/>
              </w:rPr>
            </w:pPr>
            <w:r>
              <w:rPr>
                <w:snapToGrid/>
                <w:sz w:val="18"/>
              </w:rPr>
              <w:t>1.71</w:t>
            </w:r>
          </w:p>
        </w:tc>
        <w:tc>
          <w:tcPr>
            <w:tcW w:w="553" w:type="pct"/>
            <w:tcBorders>
              <w:top w:val="nil"/>
              <w:bottom w:val="nil"/>
            </w:tcBorders>
          </w:tcPr>
          <w:p w:rsidR="00000000" w:rsidRDefault="00000000">
            <w:pPr>
              <w:spacing w:line="240" w:lineRule="exact"/>
              <w:jc w:val="center"/>
              <w:rPr>
                <w:snapToGrid/>
                <w:sz w:val="18"/>
              </w:rPr>
            </w:pPr>
            <w:r>
              <w:rPr>
                <w:snapToGrid/>
                <w:sz w:val="18"/>
              </w:rPr>
              <w:t>2.29</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13 348</w:t>
            </w:r>
          </w:p>
        </w:tc>
        <w:tc>
          <w:tcPr>
            <w:tcW w:w="425" w:type="pct"/>
            <w:tcBorders>
              <w:top w:val="nil"/>
              <w:bottom w:val="nil"/>
            </w:tcBorders>
          </w:tcPr>
          <w:p w:rsidR="00000000" w:rsidRDefault="00000000">
            <w:pPr>
              <w:spacing w:line="240" w:lineRule="exact"/>
              <w:jc w:val="center"/>
              <w:rPr>
                <w:snapToGrid/>
                <w:sz w:val="18"/>
              </w:rPr>
            </w:pPr>
            <w:r>
              <w:rPr>
                <w:snapToGrid/>
                <w:sz w:val="18"/>
              </w:rPr>
              <w:t>1.76</w:t>
            </w:r>
          </w:p>
        </w:tc>
        <w:tc>
          <w:tcPr>
            <w:tcW w:w="520" w:type="pct"/>
            <w:tcBorders>
              <w:top w:val="nil"/>
              <w:bottom w:val="nil"/>
            </w:tcBorders>
          </w:tcPr>
          <w:p w:rsidR="00000000" w:rsidRDefault="00000000">
            <w:pPr>
              <w:spacing w:line="240" w:lineRule="exact"/>
              <w:jc w:val="center"/>
              <w:rPr>
                <w:snapToGrid/>
                <w:sz w:val="18"/>
              </w:rPr>
            </w:pPr>
            <w:r>
              <w:rPr>
                <w:snapToGrid/>
                <w:sz w:val="18"/>
              </w:rPr>
              <w:t>2.38</w:t>
            </w:r>
          </w:p>
        </w:tc>
      </w:tr>
      <w:tr w:rsidR="00000000">
        <w:tblPrEx>
          <w:tblCellMar>
            <w:top w:w="0" w:type="dxa"/>
          </w:tblCellMar>
        </w:tblPrEx>
        <w:tc>
          <w:tcPr>
            <w:tcW w:w="992" w:type="pct"/>
            <w:tcBorders>
              <w:top w:val="nil"/>
              <w:bottom w:val="nil"/>
            </w:tcBorders>
          </w:tcPr>
          <w:p w:rsidR="00000000" w:rsidRDefault="00000000">
            <w:pPr>
              <w:spacing w:line="240" w:lineRule="exact"/>
              <w:rPr>
                <w:snapToGrid/>
                <w:sz w:val="18"/>
              </w:rPr>
            </w:pPr>
            <w:r>
              <w:rPr>
                <w:snapToGrid/>
                <w:sz w:val="18"/>
              </w:rPr>
              <w:t xml:space="preserve">   </w:t>
            </w:r>
            <w:r>
              <w:rPr>
                <w:rFonts w:hint="eastAsia"/>
                <w:snapToGrid/>
                <w:sz w:val="18"/>
              </w:rPr>
              <w:t>3</w:t>
            </w:r>
            <w:r>
              <w:rPr>
                <w:rFonts w:hint="eastAsia"/>
                <w:snapToGrid/>
                <w:sz w:val="18"/>
              </w:rPr>
              <w:t>号表中的养恤金</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13 112</w:t>
            </w:r>
          </w:p>
        </w:tc>
        <w:tc>
          <w:tcPr>
            <w:tcW w:w="417" w:type="pct"/>
            <w:tcBorders>
              <w:top w:val="nil"/>
              <w:bottom w:val="nil"/>
            </w:tcBorders>
          </w:tcPr>
          <w:p w:rsidR="00000000" w:rsidRDefault="00000000">
            <w:pPr>
              <w:spacing w:line="240" w:lineRule="exact"/>
              <w:jc w:val="center"/>
              <w:rPr>
                <w:snapToGrid/>
                <w:sz w:val="18"/>
              </w:rPr>
            </w:pPr>
            <w:r>
              <w:rPr>
                <w:snapToGrid/>
                <w:sz w:val="18"/>
              </w:rPr>
              <w:t>1.75</w:t>
            </w:r>
          </w:p>
        </w:tc>
        <w:tc>
          <w:tcPr>
            <w:tcW w:w="521" w:type="pct"/>
            <w:tcBorders>
              <w:top w:val="nil"/>
              <w:bottom w:val="nil"/>
            </w:tcBorders>
          </w:tcPr>
          <w:p w:rsidR="00000000" w:rsidRDefault="00000000">
            <w:pPr>
              <w:spacing w:line="240" w:lineRule="exact"/>
              <w:jc w:val="center"/>
              <w:rPr>
                <w:snapToGrid/>
                <w:sz w:val="18"/>
              </w:rPr>
            </w:pPr>
            <w:r>
              <w:rPr>
                <w:snapToGrid/>
                <w:sz w:val="18"/>
              </w:rPr>
              <w:t>2.33</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14 394</w:t>
            </w:r>
          </w:p>
        </w:tc>
        <w:tc>
          <w:tcPr>
            <w:tcW w:w="417" w:type="pct"/>
            <w:tcBorders>
              <w:top w:val="nil"/>
              <w:bottom w:val="nil"/>
            </w:tcBorders>
          </w:tcPr>
          <w:p w:rsidR="00000000" w:rsidRDefault="00000000">
            <w:pPr>
              <w:spacing w:line="240" w:lineRule="exact"/>
              <w:jc w:val="center"/>
              <w:rPr>
                <w:snapToGrid/>
                <w:sz w:val="18"/>
              </w:rPr>
            </w:pPr>
            <w:r>
              <w:rPr>
                <w:snapToGrid/>
                <w:sz w:val="18"/>
              </w:rPr>
              <w:t>1.91</w:t>
            </w:r>
          </w:p>
        </w:tc>
        <w:tc>
          <w:tcPr>
            <w:tcW w:w="553" w:type="pct"/>
            <w:tcBorders>
              <w:top w:val="nil"/>
              <w:bottom w:val="nil"/>
            </w:tcBorders>
          </w:tcPr>
          <w:p w:rsidR="00000000" w:rsidRDefault="00000000">
            <w:pPr>
              <w:spacing w:line="240" w:lineRule="exact"/>
              <w:jc w:val="center"/>
              <w:rPr>
                <w:snapToGrid/>
                <w:sz w:val="18"/>
              </w:rPr>
            </w:pPr>
            <w:r>
              <w:rPr>
                <w:snapToGrid/>
                <w:sz w:val="18"/>
              </w:rPr>
              <w:t>2.56</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15 681</w:t>
            </w:r>
          </w:p>
        </w:tc>
        <w:tc>
          <w:tcPr>
            <w:tcW w:w="425" w:type="pct"/>
            <w:tcBorders>
              <w:top w:val="nil"/>
              <w:bottom w:val="nil"/>
            </w:tcBorders>
          </w:tcPr>
          <w:p w:rsidR="00000000" w:rsidRDefault="00000000">
            <w:pPr>
              <w:spacing w:line="240" w:lineRule="exact"/>
              <w:jc w:val="center"/>
              <w:rPr>
                <w:snapToGrid/>
                <w:sz w:val="18"/>
              </w:rPr>
            </w:pPr>
            <w:r>
              <w:rPr>
                <w:snapToGrid/>
                <w:sz w:val="18"/>
              </w:rPr>
              <w:t>2.07</w:t>
            </w:r>
          </w:p>
        </w:tc>
        <w:tc>
          <w:tcPr>
            <w:tcW w:w="520" w:type="pct"/>
            <w:tcBorders>
              <w:top w:val="nil"/>
              <w:bottom w:val="nil"/>
            </w:tcBorders>
          </w:tcPr>
          <w:p w:rsidR="00000000" w:rsidRDefault="00000000">
            <w:pPr>
              <w:spacing w:line="240" w:lineRule="exact"/>
              <w:jc w:val="center"/>
              <w:rPr>
                <w:snapToGrid/>
                <w:sz w:val="18"/>
              </w:rPr>
            </w:pPr>
            <w:r>
              <w:rPr>
                <w:snapToGrid/>
                <w:sz w:val="18"/>
              </w:rPr>
              <w:t>2.80</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多子女母亲</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100 923</w:t>
            </w:r>
          </w:p>
        </w:tc>
        <w:tc>
          <w:tcPr>
            <w:tcW w:w="417" w:type="pct"/>
            <w:tcBorders>
              <w:top w:val="nil"/>
              <w:bottom w:val="nil"/>
            </w:tcBorders>
          </w:tcPr>
          <w:p w:rsidR="00000000" w:rsidRDefault="00000000">
            <w:pPr>
              <w:spacing w:line="240" w:lineRule="exact"/>
              <w:jc w:val="center"/>
              <w:rPr>
                <w:snapToGrid/>
                <w:sz w:val="18"/>
              </w:rPr>
            </w:pPr>
            <w:r>
              <w:rPr>
                <w:snapToGrid/>
                <w:sz w:val="18"/>
              </w:rPr>
              <w:t>13.45</w:t>
            </w:r>
          </w:p>
        </w:tc>
        <w:tc>
          <w:tcPr>
            <w:tcW w:w="521" w:type="pct"/>
            <w:tcBorders>
              <w:top w:val="nil"/>
              <w:bottom w:val="nil"/>
            </w:tcBorders>
          </w:tcPr>
          <w:p w:rsidR="00000000" w:rsidRDefault="00000000">
            <w:pPr>
              <w:spacing w:line="240" w:lineRule="exact"/>
              <w:jc w:val="center"/>
              <w:rPr>
                <w:snapToGrid/>
                <w:sz w:val="18"/>
              </w:rPr>
            </w:pPr>
            <w:r>
              <w:rPr>
                <w:snapToGrid/>
                <w:sz w:val="18"/>
              </w:rPr>
              <w:t>17.93</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102 779</w:t>
            </w:r>
          </w:p>
        </w:tc>
        <w:tc>
          <w:tcPr>
            <w:tcW w:w="417" w:type="pct"/>
            <w:tcBorders>
              <w:top w:val="nil"/>
              <w:bottom w:val="nil"/>
            </w:tcBorders>
          </w:tcPr>
          <w:p w:rsidR="00000000" w:rsidRDefault="00000000">
            <w:pPr>
              <w:spacing w:line="240" w:lineRule="exact"/>
              <w:jc w:val="center"/>
              <w:rPr>
                <w:snapToGrid/>
                <w:sz w:val="18"/>
              </w:rPr>
            </w:pPr>
            <w:r>
              <w:rPr>
                <w:snapToGrid/>
                <w:sz w:val="18"/>
              </w:rPr>
              <w:t>13.62</w:t>
            </w:r>
          </w:p>
        </w:tc>
        <w:tc>
          <w:tcPr>
            <w:tcW w:w="553" w:type="pct"/>
            <w:tcBorders>
              <w:top w:val="nil"/>
              <w:bottom w:val="nil"/>
            </w:tcBorders>
          </w:tcPr>
          <w:p w:rsidR="00000000" w:rsidRDefault="00000000">
            <w:pPr>
              <w:spacing w:line="240" w:lineRule="exact"/>
              <w:jc w:val="center"/>
              <w:rPr>
                <w:snapToGrid/>
                <w:sz w:val="18"/>
              </w:rPr>
            </w:pPr>
            <w:r>
              <w:rPr>
                <w:snapToGrid/>
                <w:sz w:val="18"/>
              </w:rPr>
              <w:t>18.27</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105 172</w:t>
            </w:r>
          </w:p>
        </w:tc>
        <w:tc>
          <w:tcPr>
            <w:tcW w:w="425" w:type="pct"/>
            <w:tcBorders>
              <w:top w:val="nil"/>
              <w:bottom w:val="nil"/>
            </w:tcBorders>
          </w:tcPr>
          <w:p w:rsidR="00000000" w:rsidRDefault="00000000">
            <w:pPr>
              <w:spacing w:line="240" w:lineRule="exact"/>
              <w:jc w:val="center"/>
              <w:rPr>
                <w:snapToGrid/>
                <w:sz w:val="18"/>
              </w:rPr>
            </w:pPr>
            <w:r>
              <w:rPr>
                <w:snapToGrid/>
                <w:sz w:val="18"/>
              </w:rPr>
              <w:t>13.89</w:t>
            </w:r>
          </w:p>
        </w:tc>
        <w:tc>
          <w:tcPr>
            <w:tcW w:w="520" w:type="pct"/>
            <w:tcBorders>
              <w:top w:val="nil"/>
              <w:bottom w:val="nil"/>
            </w:tcBorders>
          </w:tcPr>
          <w:p w:rsidR="00000000" w:rsidRDefault="00000000">
            <w:pPr>
              <w:spacing w:line="240" w:lineRule="exact"/>
              <w:jc w:val="center"/>
              <w:rPr>
                <w:snapToGrid/>
                <w:sz w:val="18"/>
              </w:rPr>
            </w:pPr>
            <w:r>
              <w:rPr>
                <w:snapToGrid/>
                <w:sz w:val="18"/>
              </w:rPr>
              <w:t>18.77</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有从小残疾子女的母亲</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460</w:t>
            </w:r>
          </w:p>
        </w:tc>
        <w:tc>
          <w:tcPr>
            <w:tcW w:w="417" w:type="pct"/>
            <w:tcBorders>
              <w:top w:val="nil"/>
              <w:bottom w:val="nil"/>
            </w:tcBorders>
          </w:tcPr>
          <w:p w:rsidR="00000000" w:rsidRDefault="00000000">
            <w:pPr>
              <w:spacing w:line="240" w:lineRule="exact"/>
              <w:jc w:val="center"/>
              <w:rPr>
                <w:snapToGrid/>
                <w:sz w:val="18"/>
              </w:rPr>
            </w:pPr>
            <w:r>
              <w:rPr>
                <w:snapToGrid/>
                <w:sz w:val="18"/>
              </w:rPr>
              <w:t>0.06</w:t>
            </w:r>
          </w:p>
        </w:tc>
        <w:tc>
          <w:tcPr>
            <w:tcW w:w="521" w:type="pct"/>
            <w:tcBorders>
              <w:top w:val="nil"/>
              <w:bottom w:val="nil"/>
            </w:tcBorders>
          </w:tcPr>
          <w:p w:rsidR="00000000" w:rsidRDefault="00000000">
            <w:pPr>
              <w:spacing w:line="240" w:lineRule="exact"/>
              <w:jc w:val="center"/>
              <w:rPr>
                <w:snapToGrid/>
                <w:sz w:val="18"/>
              </w:rPr>
            </w:pPr>
            <w:r>
              <w:rPr>
                <w:snapToGrid/>
                <w:sz w:val="18"/>
              </w:rPr>
              <w:t>0.08</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1 615</w:t>
            </w:r>
          </w:p>
        </w:tc>
        <w:tc>
          <w:tcPr>
            <w:tcW w:w="417" w:type="pct"/>
            <w:tcBorders>
              <w:top w:val="nil"/>
              <w:bottom w:val="nil"/>
            </w:tcBorders>
          </w:tcPr>
          <w:p w:rsidR="00000000" w:rsidRDefault="00000000">
            <w:pPr>
              <w:spacing w:line="240" w:lineRule="exact"/>
              <w:jc w:val="center"/>
              <w:rPr>
                <w:snapToGrid/>
                <w:sz w:val="18"/>
              </w:rPr>
            </w:pPr>
            <w:r>
              <w:rPr>
                <w:snapToGrid/>
                <w:sz w:val="18"/>
              </w:rPr>
              <w:t>1 615</w:t>
            </w:r>
          </w:p>
        </w:tc>
        <w:tc>
          <w:tcPr>
            <w:tcW w:w="553" w:type="pct"/>
            <w:tcBorders>
              <w:top w:val="nil"/>
              <w:bottom w:val="nil"/>
            </w:tcBorders>
          </w:tcPr>
          <w:p w:rsidR="00000000" w:rsidRDefault="00000000">
            <w:pPr>
              <w:spacing w:line="240" w:lineRule="exact"/>
              <w:jc w:val="center"/>
              <w:rPr>
                <w:snapToGrid/>
                <w:sz w:val="18"/>
              </w:rPr>
            </w:pPr>
            <w:r>
              <w:rPr>
                <w:snapToGrid/>
                <w:sz w:val="18"/>
              </w:rPr>
              <w:t>0.21</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0.29</w:t>
            </w:r>
          </w:p>
        </w:tc>
        <w:tc>
          <w:tcPr>
            <w:tcW w:w="425" w:type="pct"/>
            <w:tcBorders>
              <w:top w:val="nil"/>
              <w:bottom w:val="nil"/>
            </w:tcBorders>
          </w:tcPr>
          <w:p w:rsidR="00000000" w:rsidRDefault="00000000">
            <w:pPr>
              <w:spacing w:line="240" w:lineRule="exact"/>
              <w:jc w:val="center"/>
              <w:rPr>
                <w:snapToGrid/>
                <w:sz w:val="18"/>
              </w:rPr>
            </w:pPr>
            <w:r>
              <w:rPr>
                <w:snapToGrid/>
                <w:sz w:val="18"/>
              </w:rPr>
              <w:t>0.23</w:t>
            </w:r>
          </w:p>
        </w:tc>
        <w:tc>
          <w:tcPr>
            <w:tcW w:w="520" w:type="pct"/>
            <w:tcBorders>
              <w:top w:val="nil"/>
              <w:bottom w:val="nil"/>
            </w:tcBorders>
          </w:tcPr>
          <w:p w:rsidR="00000000" w:rsidRDefault="00000000">
            <w:pPr>
              <w:spacing w:line="240" w:lineRule="exact"/>
              <w:jc w:val="center"/>
              <w:rPr>
                <w:snapToGrid/>
                <w:sz w:val="18"/>
              </w:rPr>
            </w:pPr>
            <w:r>
              <w:rPr>
                <w:snapToGrid/>
                <w:sz w:val="18"/>
              </w:rPr>
              <w:t>0.31</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英雄母亲</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105</w:t>
            </w:r>
          </w:p>
        </w:tc>
        <w:tc>
          <w:tcPr>
            <w:tcW w:w="417" w:type="pct"/>
            <w:tcBorders>
              <w:top w:val="nil"/>
              <w:bottom w:val="nil"/>
            </w:tcBorders>
          </w:tcPr>
          <w:p w:rsidR="00000000" w:rsidRDefault="00000000">
            <w:pPr>
              <w:spacing w:line="240" w:lineRule="exact"/>
              <w:jc w:val="center"/>
              <w:rPr>
                <w:snapToGrid/>
                <w:sz w:val="18"/>
              </w:rPr>
            </w:pPr>
            <w:r>
              <w:rPr>
                <w:snapToGrid/>
                <w:sz w:val="18"/>
              </w:rPr>
              <w:t>0.01</w:t>
            </w:r>
          </w:p>
        </w:tc>
        <w:tc>
          <w:tcPr>
            <w:tcW w:w="521" w:type="pct"/>
            <w:tcBorders>
              <w:top w:val="nil"/>
              <w:bottom w:val="nil"/>
            </w:tcBorders>
          </w:tcPr>
          <w:p w:rsidR="00000000" w:rsidRDefault="00000000">
            <w:pPr>
              <w:spacing w:line="240" w:lineRule="exact"/>
              <w:jc w:val="center"/>
              <w:rPr>
                <w:snapToGrid/>
                <w:sz w:val="18"/>
              </w:rPr>
            </w:pPr>
            <w:r>
              <w:rPr>
                <w:snapToGrid/>
                <w:sz w:val="18"/>
              </w:rPr>
              <w:t>0.02</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105</w:t>
            </w:r>
          </w:p>
        </w:tc>
        <w:tc>
          <w:tcPr>
            <w:tcW w:w="417" w:type="pct"/>
            <w:tcBorders>
              <w:top w:val="nil"/>
              <w:bottom w:val="nil"/>
            </w:tcBorders>
          </w:tcPr>
          <w:p w:rsidR="00000000" w:rsidRDefault="00000000">
            <w:pPr>
              <w:spacing w:line="240" w:lineRule="exact"/>
              <w:jc w:val="center"/>
              <w:rPr>
                <w:snapToGrid/>
                <w:sz w:val="18"/>
              </w:rPr>
            </w:pPr>
            <w:r>
              <w:rPr>
                <w:snapToGrid/>
                <w:sz w:val="18"/>
              </w:rPr>
              <w:t>0.01</w:t>
            </w:r>
          </w:p>
        </w:tc>
        <w:tc>
          <w:tcPr>
            <w:tcW w:w="553" w:type="pct"/>
            <w:tcBorders>
              <w:top w:val="nil"/>
              <w:bottom w:val="nil"/>
            </w:tcBorders>
          </w:tcPr>
          <w:p w:rsidR="00000000" w:rsidRDefault="00000000">
            <w:pPr>
              <w:spacing w:line="240" w:lineRule="exact"/>
              <w:jc w:val="center"/>
              <w:rPr>
                <w:snapToGrid/>
                <w:sz w:val="18"/>
              </w:rPr>
            </w:pPr>
            <w:r>
              <w:rPr>
                <w:snapToGrid/>
                <w:sz w:val="18"/>
              </w:rPr>
              <w:t>0.02</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101</w:t>
            </w:r>
          </w:p>
        </w:tc>
        <w:tc>
          <w:tcPr>
            <w:tcW w:w="425" w:type="pct"/>
            <w:tcBorders>
              <w:top w:val="nil"/>
              <w:bottom w:val="nil"/>
            </w:tcBorders>
          </w:tcPr>
          <w:p w:rsidR="00000000" w:rsidRDefault="00000000">
            <w:pPr>
              <w:spacing w:line="240" w:lineRule="exact"/>
              <w:jc w:val="center"/>
              <w:rPr>
                <w:snapToGrid/>
                <w:sz w:val="18"/>
              </w:rPr>
            </w:pPr>
            <w:r>
              <w:rPr>
                <w:snapToGrid/>
                <w:sz w:val="18"/>
              </w:rPr>
              <w:t>0.01</w:t>
            </w:r>
          </w:p>
        </w:tc>
        <w:tc>
          <w:tcPr>
            <w:tcW w:w="520" w:type="pct"/>
            <w:tcBorders>
              <w:top w:val="nil"/>
              <w:bottom w:val="nil"/>
            </w:tcBorders>
          </w:tcPr>
          <w:p w:rsidR="00000000" w:rsidRDefault="00000000">
            <w:pPr>
              <w:spacing w:line="240" w:lineRule="exact"/>
              <w:jc w:val="center"/>
              <w:rPr>
                <w:snapToGrid/>
                <w:sz w:val="18"/>
              </w:rPr>
            </w:pPr>
            <w:r>
              <w:rPr>
                <w:snapToGrid/>
                <w:sz w:val="18"/>
              </w:rPr>
              <w:t>0.02</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残疾养恤金领取人数目</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102 255</w:t>
            </w:r>
          </w:p>
        </w:tc>
        <w:tc>
          <w:tcPr>
            <w:tcW w:w="417" w:type="pct"/>
            <w:tcBorders>
              <w:top w:val="nil"/>
              <w:bottom w:val="nil"/>
            </w:tcBorders>
          </w:tcPr>
          <w:p w:rsidR="00000000" w:rsidRDefault="00000000">
            <w:pPr>
              <w:spacing w:line="240" w:lineRule="exact"/>
              <w:jc w:val="center"/>
              <w:rPr>
                <w:snapToGrid/>
                <w:sz w:val="18"/>
              </w:rPr>
            </w:pPr>
            <w:r>
              <w:rPr>
                <w:snapToGrid/>
                <w:sz w:val="18"/>
              </w:rPr>
              <w:t>13.62</w:t>
            </w:r>
          </w:p>
        </w:tc>
        <w:tc>
          <w:tcPr>
            <w:tcW w:w="521" w:type="pct"/>
            <w:tcBorders>
              <w:top w:val="nil"/>
              <w:bottom w:val="nil"/>
            </w:tcBorders>
          </w:tcPr>
          <w:p w:rsidR="00000000" w:rsidRDefault="00000000">
            <w:pPr>
              <w:spacing w:line="240" w:lineRule="exact"/>
              <w:jc w:val="center"/>
              <w:rPr>
                <w:snapToGrid/>
                <w:sz w:val="18"/>
              </w:rPr>
            </w:pPr>
            <w:r>
              <w:rPr>
                <w:snapToGrid/>
                <w:sz w:val="18"/>
              </w:rPr>
              <w:t>18.16</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105 623</w:t>
            </w:r>
          </w:p>
        </w:tc>
        <w:tc>
          <w:tcPr>
            <w:tcW w:w="417" w:type="pct"/>
            <w:tcBorders>
              <w:top w:val="nil"/>
              <w:bottom w:val="nil"/>
            </w:tcBorders>
          </w:tcPr>
          <w:p w:rsidR="00000000" w:rsidRDefault="00000000">
            <w:pPr>
              <w:spacing w:line="240" w:lineRule="exact"/>
              <w:jc w:val="center"/>
              <w:rPr>
                <w:snapToGrid/>
                <w:sz w:val="18"/>
              </w:rPr>
            </w:pPr>
            <w:r>
              <w:rPr>
                <w:snapToGrid/>
                <w:sz w:val="18"/>
              </w:rPr>
              <w:t>14</w:t>
            </w:r>
          </w:p>
        </w:tc>
        <w:tc>
          <w:tcPr>
            <w:tcW w:w="553" w:type="pct"/>
            <w:tcBorders>
              <w:top w:val="nil"/>
              <w:bottom w:val="nil"/>
            </w:tcBorders>
          </w:tcPr>
          <w:p w:rsidR="00000000" w:rsidRDefault="00000000">
            <w:pPr>
              <w:spacing w:line="240" w:lineRule="exact"/>
              <w:jc w:val="center"/>
              <w:rPr>
                <w:snapToGrid/>
                <w:sz w:val="18"/>
              </w:rPr>
            </w:pPr>
            <w:r>
              <w:rPr>
                <w:snapToGrid/>
                <w:sz w:val="18"/>
              </w:rPr>
              <w:t>18.77</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109 219</w:t>
            </w:r>
          </w:p>
        </w:tc>
        <w:tc>
          <w:tcPr>
            <w:tcW w:w="425" w:type="pct"/>
            <w:tcBorders>
              <w:top w:val="nil"/>
              <w:bottom w:val="nil"/>
            </w:tcBorders>
          </w:tcPr>
          <w:p w:rsidR="00000000" w:rsidRDefault="00000000">
            <w:pPr>
              <w:spacing w:line="240" w:lineRule="exact"/>
              <w:jc w:val="center"/>
              <w:rPr>
                <w:snapToGrid/>
                <w:sz w:val="18"/>
              </w:rPr>
            </w:pPr>
            <w:r>
              <w:rPr>
                <w:snapToGrid/>
                <w:sz w:val="18"/>
              </w:rPr>
              <w:t>14.43</w:t>
            </w:r>
          </w:p>
        </w:tc>
        <w:tc>
          <w:tcPr>
            <w:tcW w:w="520" w:type="pct"/>
            <w:tcBorders>
              <w:top w:val="nil"/>
              <w:bottom w:val="nil"/>
            </w:tcBorders>
          </w:tcPr>
          <w:p w:rsidR="00000000" w:rsidRDefault="00000000">
            <w:pPr>
              <w:spacing w:line="240" w:lineRule="exact"/>
              <w:jc w:val="center"/>
              <w:rPr>
                <w:snapToGrid/>
                <w:sz w:val="18"/>
              </w:rPr>
            </w:pPr>
            <w:r>
              <w:rPr>
                <w:snapToGrid/>
                <w:sz w:val="18"/>
              </w:rPr>
              <w:t>19.49</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包括</w:t>
            </w:r>
            <w:r>
              <w:rPr>
                <w:snapToGrid/>
                <w:sz w:val="18"/>
              </w:rPr>
              <w:t>：</w:t>
            </w:r>
            <w:r>
              <w:rPr>
                <w:rFonts w:hint="eastAsia"/>
                <w:snapToGrid/>
                <w:sz w:val="18"/>
              </w:rPr>
              <w:t>因工伤事故和职业疾病致残</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4 925</w:t>
            </w:r>
          </w:p>
        </w:tc>
        <w:tc>
          <w:tcPr>
            <w:tcW w:w="417" w:type="pct"/>
            <w:tcBorders>
              <w:top w:val="nil"/>
              <w:bottom w:val="nil"/>
            </w:tcBorders>
          </w:tcPr>
          <w:p w:rsidR="00000000" w:rsidRDefault="00000000">
            <w:pPr>
              <w:spacing w:line="240" w:lineRule="exact"/>
              <w:jc w:val="center"/>
              <w:rPr>
                <w:snapToGrid/>
                <w:sz w:val="18"/>
              </w:rPr>
            </w:pPr>
            <w:r>
              <w:rPr>
                <w:snapToGrid/>
                <w:sz w:val="18"/>
              </w:rPr>
              <w:t>0.66</w:t>
            </w:r>
          </w:p>
        </w:tc>
        <w:tc>
          <w:tcPr>
            <w:tcW w:w="521" w:type="pct"/>
            <w:tcBorders>
              <w:top w:val="nil"/>
              <w:bottom w:val="nil"/>
            </w:tcBorders>
          </w:tcPr>
          <w:p w:rsidR="00000000" w:rsidRDefault="00000000">
            <w:pPr>
              <w:spacing w:line="240" w:lineRule="exact"/>
              <w:jc w:val="center"/>
              <w:rPr>
                <w:snapToGrid/>
                <w:sz w:val="18"/>
              </w:rPr>
            </w:pPr>
            <w:r>
              <w:rPr>
                <w:snapToGrid/>
                <w:sz w:val="18"/>
              </w:rPr>
              <w:t>0.87</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4 861</w:t>
            </w:r>
          </w:p>
        </w:tc>
        <w:tc>
          <w:tcPr>
            <w:tcW w:w="417" w:type="pct"/>
            <w:tcBorders>
              <w:top w:val="nil"/>
              <w:bottom w:val="nil"/>
            </w:tcBorders>
          </w:tcPr>
          <w:p w:rsidR="00000000" w:rsidRDefault="00000000">
            <w:pPr>
              <w:spacing w:line="240" w:lineRule="exact"/>
              <w:jc w:val="center"/>
              <w:rPr>
                <w:snapToGrid/>
                <w:sz w:val="18"/>
              </w:rPr>
            </w:pPr>
            <w:r>
              <w:rPr>
                <w:snapToGrid/>
                <w:sz w:val="18"/>
              </w:rPr>
              <w:t>0.64</w:t>
            </w:r>
          </w:p>
        </w:tc>
        <w:tc>
          <w:tcPr>
            <w:tcW w:w="553" w:type="pct"/>
            <w:tcBorders>
              <w:top w:val="nil"/>
              <w:bottom w:val="nil"/>
            </w:tcBorders>
          </w:tcPr>
          <w:p w:rsidR="00000000" w:rsidRDefault="00000000">
            <w:pPr>
              <w:spacing w:line="240" w:lineRule="exact"/>
              <w:jc w:val="center"/>
              <w:rPr>
                <w:snapToGrid/>
                <w:sz w:val="18"/>
              </w:rPr>
            </w:pPr>
            <w:r>
              <w:rPr>
                <w:snapToGrid/>
                <w:sz w:val="18"/>
              </w:rPr>
              <w:t>0.86</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4 706</w:t>
            </w:r>
          </w:p>
        </w:tc>
        <w:tc>
          <w:tcPr>
            <w:tcW w:w="425" w:type="pct"/>
            <w:tcBorders>
              <w:top w:val="nil"/>
              <w:bottom w:val="nil"/>
            </w:tcBorders>
          </w:tcPr>
          <w:p w:rsidR="00000000" w:rsidRDefault="00000000">
            <w:pPr>
              <w:spacing w:line="240" w:lineRule="exact"/>
              <w:jc w:val="center"/>
              <w:rPr>
                <w:snapToGrid/>
                <w:sz w:val="18"/>
              </w:rPr>
            </w:pPr>
            <w:r>
              <w:rPr>
                <w:snapToGrid/>
                <w:sz w:val="18"/>
              </w:rPr>
              <w:t>0.62</w:t>
            </w:r>
          </w:p>
        </w:tc>
        <w:tc>
          <w:tcPr>
            <w:tcW w:w="520" w:type="pct"/>
            <w:tcBorders>
              <w:top w:val="nil"/>
              <w:bottom w:val="nil"/>
            </w:tcBorders>
          </w:tcPr>
          <w:p w:rsidR="00000000" w:rsidRDefault="00000000">
            <w:pPr>
              <w:spacing w:line="240" w:lineRule="exact"/>
              <w:jc w:val="center"/>
              <w:rPr>
                <w:snapToGrid/>
                <w:sz w:val="18"/>
              </w:rPr>
            </w:pPr>
            <w:r>
              <w:rPr>
                <w:snapToGrid/>
                <w:sz w:val="18"/>
              </w:rPr>
              <w:t>0.84</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因一般疾病致残</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97 330</w:t>
            </w:r>
          </w:p>
        </w:tc>
        <w:tc>
          <w:tcPr>
            <w:tcW w:w="417" w:type="pct"/>
            <w:tcBorders>
              <w:top w:val="nil"/>
              <w:bottom w:val="nil"/>
            </w:tcBorders>
          </w:tcPr>
          <w:p w:rsidR="00000000" w:rsidRDefault="00000000">
            <w:pPr>
              <w:spacing w:line="240" w:lineRule="exact"/>
              <w:jc w:val="center"/>
              <w:rPr>
                <w:snapToGrid/>
                <w:sz w:val="18"/>
              </w:rPr>
            </w:pPr>
            <w:r>
              <w:rPr>
                <w:snapToGrid/>
                <w:sz w:val="18"/>
              </w:rPr>
              <w:t>12.97</w:t>
            </w:r>
          </w:p>
        </w:tc>
        <w:tc>
          <w:tcPr>
            <w:tcW w:w="521" w:type="pct"/>
            <w:tcBorders>
              <w:top w:val="nil"/>
              <w:bottom w:val="nil"/>
            </w:tcBorders>
          </w:tcPr>
          <w:p w:rsidR="00000000" w:rsidRDefault="00000000">
            <w:pPr>
              <w:spacing w:line="240" w:lineRule="exact"/>
              <w:jc w:val="center"/>
              <w:rPr>
                <w:snapToGrid/>
                <w:sz w:val="18"/>
              </w:rPr>
            </w:pPr>
            <w:r>
              <w:rPr>
                <w:snapToGrid/>
                <w:sz w:val="18"/>
              </w:rPr>
              <w:t>17.29</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100 762</w:t>
            </w:r>
          </w:p>
        </w:tc>
        <w:tc>
          <w:tcPr>
            <w:tcW w:w="417" w:type="pct"/>
            <w:tcBorders>
              <w:top w:val="nil"/>
              <w:bottom w:val="nil"/>
            </w:tcBorders>
          </w:tcPr>
          <w:p w:rsidR="00000000" w:rsidRDefault="00000000">
            <w:pPr>
              <w:spacing w:line="240" w:lineRule="exact"/>
              <w:jc w:val="center"/>
              <w:rPr>
                <w:snapToGrid/>
                <w:sz w:val="18"/>
              </w:rPr>
            </w:pPr>
            <w:r>
              <w:rPr>
                <w:snapToGrid/>
                <w:sz w:val="18"/>
              </w:rPr>
              <w:t>13.35</w:t>
            </w:r>
          </w:p>
        </w:tc>
        <w:tc>
          <w:tcPr>
            <w:tcW w:w="553" w:type="pct"/>
            <w:tcBorders>
              <w:top w:val="nil"/>
              <w:bottom w:val="nil"/>
            </w:tcBorders>
          </w:tcPr>
          <w:p w:rsidR="00000000" w:rsidRDefault="00000000">
            <w:pPr>
              <w:spacing w:line="240" w:lineRule="exact"/>
              <w:jc w:val="center"/>
              <w:rPr>
                <w:snapToGrid/>
                <w:sz w:val="18"/>
              </w:rPr>
            </w:pPr>
            <w:r>
              <w:rPr>
                <w:snapToGrid/>
                <w:sz w:val="18"/>
              </w:rPr>
              <w:t>17.91</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104 513</w:t>
            </w:r>
          </w:p>
        </w:tc>
        <w:tc>
          <w:tcPr>
            <w:tcW w:w="425" w:type="pct"/>
            <w:tcBorders>
              <w:top w:val="nil"/>
              <w:bottom w:val="nil"/>
            </w:tcBorders>
          </w:tcPr>
          <w:p w:rsidR="00000000" w:rsidRDefault="00000000">
            <w:pPr>
              <w:spacing w:line="240" w:lineRule="exact"/>
              <w:jc w:val="center"/>
              <w:rPr>
                <w:snapToGrid/>
                <w:sz w:val="18"/>
              </w:rPr>
            </w:pPr>
            <w:r>
              <w:rPr>
                <w:snapToGrid/>
                <w:sz w:val="18"/>
              </w:rPr>
              <w:t>13.81</w:t>
            </w:r>
          </w:p>
        </w:tc>
        <w:tc>
          <w:tcPr>
            <w:tcW w:w="520" w:type="pct"/>
            <w:tcBorders>
              <w:top w:val="nil"/>
              <w:bottom w:val="nil"/>
            </w:tcBorders>
          </w:tcPr>
          <w:p w:rsidR="00000000" w:rsidRDefault="00000000">
            <w:pPr>
              <w:spacing w:line="240" w:lineRule="exact"/>
              <w:jc w:val="center"/>
              <w:rPr>
                <w:snapToGrid/>
                <w:sz w:val="18"/>
              </w:rPr>
            </w:pPr>
            <w:r>
              <w:rPr>
                <w:snapToGrid/>
                <w:sz w:val="18"/>
              </w:rPr>
              <w:t>18.65</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遗属养恤金</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36 223</w:t>
            </w:r>
          </w:p>
        </w:tc>
        <w:tc>
          <w:tcPr>
            <w:tcW w:w="417" w:type="pct"/>
            <w:tcBorders>
              <w:top w:val="nil"/>
              <w:bottom w:val="nil"/>
            </w:tcBorders>
          </w:tcPr>
          <w:p w:rsidR="00000000" w:rsidRDefault="00000000">
            <w:pPr>
              <w:spacing w:line="240" w:lineRule="exact"/>
              <w:jc w:val="center"/>
              <w:rPr>
                <w:snapToGrid/>
                <w:sz w:val="18"/>
              </w:rPr>
            </w:pPr>
            <w:r>
              <w:rPr>
                <w:snapToGrid/>
                <w:sz w:val="18"/>
              </w:rPr>
              <w:t>4.83</w:t>
            </w:r>
          </w:p>
        </w:tc>
        <w:tc>
          <w:tcPr>
            <w:tcW w:w="521" w:type="pct"/>
            <w:tcBorders>
              <w:top w:val="nil"/>
              <w:bottom w:val="nil"/>
            </w:tcBorders>
          </w:tcPr>
          <w:p w:rsidR="00000000" w:rsidRDefault="00000000">
            <w:pPr>
              <w:spacing w:line="240" w:lineRule="exact"/>
              <w:jc w:val="center"/>
              <w:rPr>
                <w:snapToGrid/>
                <w:sz w:val="18"/>
              </w:rPr>
            </w:pPr>
            <w:r>
              <w:rPr>
                <w:snapToGrid/>
                <w:sz w:val="18"/>
              </w:rPr>
              <w:t>6.43</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36 351</w:t>
            </w:r>
          </w:p>
        </w:tc>
        <w:tc>
          <w:tcPr>
            <w:tcW w:w="417" w:type="pct"/>
            <w:tcBorders>
              <w:top w:val="nil"/>
              <w:bottom w:val="nil"/>
            </w:tcBorders>
          </w:tcPr>
          <w:p w:rsidR="00000000" w:rsidRDefault="00000000">
            <w:pPr>
              <w:spacing w:line="240" w:lineRule="exact"/>
              <w:jc w:val="center"/>
              <w:rPr>
                <w:snapToGrid/>
                <w:sz w:val="18"/>
              </w:rPr>
            </w:pPr>
            <w:r>
              <w:rPr>
                <w:snapToGrid/>
                <w:sz w:val="18"/>
              </w:rPr>
              <w:t>4.82</w:t>
            </w:r>
          </w:p>
        </w:tc>
        <w:tc>
          <w:tcPr>
            <w:tcW w:w="553" w:type="pct"/>
            <w:tcBorders>
              <w:top w:val="nil"/>
              <w:bottom w:val="nil"/>
            </w:tcBorders>
          </w:tcPr>
          <w:p w:rsidR="00000000" w:rsidRDefault="00000000">
            <w:pPr>
              <w:spacing w:line="240" w:lineRule="exact"/>
              <w:jc w:val="center"/>
              <w:rPr>
                <w:snapToGrid/>
                <w:sz w:val="18"/>
              </w:rPr>
            </w:pPr>
            <w:r>
              <w:rPr>
                <w:snapToGrid/>
                <w:sz w:val="18"/>
              </w:rPr>
              <w:t>6.46</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36 334</w:t>
            </w:r>
          </w:p>
        </w:tc>
        <w:tc>
          <w:tcPr>
            <w:tcW w:w="425" w:type="pct"/>
            <w:tcBorders>
              <w:top w:val="nil"/>
              <w:bottom w:val="nil"/>
            </w:tcBorders>
          </w:tcPr>
          <w:p w:rsidR="00000000" w:rsidRDefault="00000000">
            <w:pPr>
              <w:spacing w:line="240" w:lineRule="exact"/>
              <w:jc w:val="center"/>
              <w:rPr>
                <w:snapToGrid/>
                <w:sz w:val="18"/>
              </w:rPr>
            </w:pPr>
            <w:r>
              <w:rPr>
                <w:snapToGrid/>
                <w:sz w:val="18"/>
              </w:rPr>
              <w:t>4.8</w:t>
            </w:r>
          </w:p>
        </w:tc>
        <w:tc>
          <w:tcPr>
            <w:tcW w:w="520" w:type="pct"/>
            <w:tcBorders>
              <w:top w:val="nil"/>
              <w:bottom w:val="nil"/>
            </w:tcBorders>
          </w:tcPr>
          <w:p w:rsidR="00000000" w:rsidRDefault="00000000">
            <w:pPr>
              <w:spacing w:line="240" w:lineRule="exact"/>
              <w:jc w:val="center"/>
              <w:rPr>
                <w:snapToGrid/>
                <w:sz w:val="18"/>
              </w:rPr>
            </w:pPr>
            <w:r>
              <w:rPr>
                <w:snapToGrid/>
                <w:sz w:val="18"/>
              </w:rPr>
              <w:t>6.48</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资历养恤金</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2 286</w:t>
            </w:r>
          </w:p>
        </w:tc>
        <w:tc>
          <w:tcPr>
            <w:tcW w:w="417" w:type="pct"/>
            <w:tcBorders>
              <w:top w:val="nil"/>
              <w:bottom w:val="nil"/>
            </w:tcBorders>
          </w:tcPr>
          <w:p w:rsidR="00000000" w:rsidRDefault="00000000">
            <w:pPr>
              <w:spacing w:line="240" w:lineRule="exact"/>
              <w:jc w:val="center"/>
              <w:rPr>
                <w:snapToGrid/>
                <w:sz w:val="18"/>
              </w:rPr>
            </w:pPr>
            <w:r>
              <w:rPr>
                <w:snapToGrid/>
                <w:sz w:val="18"/>
              </w:rPr>
              <w:t>0.30</w:t>
            </w:r>
          </w:p>
        </w:tc>
        <w:tc>
          <w:tcPr>
            <w:tcW w:w="521" w:type="pct"/>
            <w:tcBorders>
              <w:top w:val="nil"/>
              <w:bottom w:val="nil"/>
            </w:tcBorders>
          </w:tcPr>
          <w:p w:rsidR="00000000" w:rsidRDefault="00000000">
            <w:pPr>
              <w:spacing w:line="240" w:lineRule="exact"/>
              <w:jc w:val="center"/>
              <w:rPr>
                <w:snapToGrid/>
                <w:sz w:val="18"/>
              </w:rPr>
            </w:pPr>
            <w:r>
              <w:rPr>
                <w:snapToGrid/>
                <w:sz w:val="18"/>
              </w:rPr>
              <w:t>0.41</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2 892</w:t>
            </w:r>
          </w:p>
        </w:tc>
        <w:tc>
          <w:tcPr>
            <w:tcW w:w="417" w:type="pct"/>
            <w:tcBorders>
              <w:top w:val="nil"/>
              <w:bottom w:val="nil"/>
            </w:tcBorders>
          </w:tcPr>
          <w:p w:rsidR="00000000" w:rsidRDefault="00000000">
            <w:pPr>
              <w:spacing w:line="240" w:lineRule="exact"/>
              <w:jc w:val="center"/>
              <w:rPr>
                <w:snapToGrid/>
                <w:sz w:val="18"/>
              </w:rPr>
            </w:pPr>
            <w:r>
              <w:rPr>
                <w:snapToGrid/>
                <w:sz w:val="18"/>
              </w:rPr>
              <w:t>0.38</w:t>
            </w:r>
          </w:p>
        </w:tc>
        <w:tc>
          <w:tcPr>
            <w:tcW w:w="553" w:type="pct"/>
            <w:tcBorders>
              <w:top w:val="nil"/>
              <w:bottom w:val="nil"/>
            </w:tcBorders>
          </w:tcPr>
          <w:p w:rsidR="00000000" w:rsidRDefault="00000000">
            <w:pPr>
              <w:spacing w:line="240" w:lineRule="exact"/>
              <w:jc w:val="center"/>
              <w:rPr>
                <w:snapToGrid/>
                <w:sz w:val="18"/>
              </w:rPr>
            </w:pPr>
            <w:r>
              <w:rPr>
                <w:snapToGrid/>
                <w:sz w:val="18"/>
              </w:rPr>
              <w:t>0.51</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3 799</w:t>
            </w:r>
          </w:p>
        </w:tc>
        <w:tc>
          <w:tcPr>
            <w:tcW w:w="425" w:type="pct"/>
            <w:tcBorders>
              <w:top w:val="nil"/>
              <w:bottom w:val="nil"/>
            </w:tcBorders>
          </w:tcPr>
          <w:p w:rsidR="00000000" w:rsidRDefault="00000000">
            <w:pPr>
              <w:spacing w:line="240" w:lineRule="exact"/>
              <w:jc w:val="center"/>
              <w:rPr>
                <w:snapToGrid/>
                <w:sz w:val="18"/>
              </w:rPr>
            </w:pPr>
            <w:r>
              <w:rPr>
                <w:snapToGrid/>
                <w:sz w:val="18"/>
              </w:rPr>
              <w:t>0.5</w:t>
            </w:r>
          </w:p>
        </w:tc>
        <w:tc>
          <w:tcPr>
            <w:tcW w:w="520" w:type="pct"/>
            <w:tcBorders>
              <w:top w:val="nil"/>
              <w:bottom w:val="nil"/>
            </w:tcBorders>
          </w:tcPr>
          <w:p w:rsidR="00000000" w:rsidRDefault="00000000">
            <w:pPr>
              <w:spacing w:line="240" w:lineRule="exact"/>
              <w:jc w:val="center"/>
              <w:rPr>
                <w:snapToGrid/>
                <w:sz w:val="18"/>
              </w:rPr>
            </w:pPr>
            <w:r>
              <w:rPr>
                <w:snapToGrid/>
                <w:sz w:val="18"/>
              </w:rPr>
              <w:t>0.68</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社会养恤金</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38 003</w:t>
            </w:r>
          </w:p>
        </w:tc>
        <w:tc>
          <w:tcPr>
            <w:tcW w:w="417" w:type="pct"/>
            <w:tcBorders>
              <w:top w:val="nil"/>
              <w:bottom w:val="nil"/>
            </w:tcBorders>
          </w:tcPr>
          <w:p w:rsidR="00000000" w:rsidRDefault="00000000">
            <w:pPr>
              <w:spacing w:line="240" w:lineRule="exact"/>
              <w:jc w:val="center"/>
              <w:rPr>
                <w:snapToGrid/>
                <w:sz w:val="18"/>
              </w:rPr>
            </w:pPr>
            <w:r>
              <w:rPr>
                <w:snapToGrid/>
                <w:sz w:val="18"/>
              </w:rPr>
              <w:t>5.06</w:t>
            </w:r>
          </w:p>
        </w:tc>
        <w:tc>
          <w:tcPr>
            <w:tcW w:w="521" w:type="pct"/>
            <w:tcBorders>
              <w:top w:val="nil"/>
              <w:bottom w:val="nil"/>
            </w:tcBorders>
          </w:tcPr>
          <w:p w:rsidR="00000000" w:rsidRDefault="00000000">
            <w:pPr>
              <w:spacing w:line="240" w:lineRule="exact"/>
              <w:jc w:val="center"/>
              <w:rPr>
                <w:snapToGrid/>
                <w:sz w:val="18"/>
              </w:rPr>
            </w:pPr>
            <w:r>
              <w:rPr>
                <w:snapToGrid/>
                <w:sz w:val="18"/>
              </w:rPr>
              <w:t>6.75</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38 267</w:t>
            </w:r>
          </w:p>
        </w:tc>
        <w:tc>
          <w:tcPr>
            <w:tcW w:w="417" w:type="pct"/>
            <w:tcBorders>
              <w:top w:val="nil"/>
              <w:bottom w:val="nil"/>
            </w:tcBorders>
          </w:tcPr>
          <w:p w:rsidR="00000000" w:rsidRDefault="00000000">
            <w:pPr>
              <w:spacing w:line="240" w:lineRule="exact"/>
              <w:jc w:val="center"/>
              <w:rPr>
                <w:snapToGrid/>
                <w:sz w:val="18"/>
              </w:rPr>
            </w:pPr>
            <w:r>
              <w:rPr>
                <w:snapToGrid/>
                <w:sz w:val="18"/>
              </w:rPr>
              <w:t>5.07</w:t>
            </w:r>
          </w:p>
        </w:tc>
        <w:tc>
          <w:tcPr>
            <w:tcW w:w="553" w:type="pct"/>
            <w:tcBorders>
              <w:top w:val="nil"/>
              <w:bottom w:val="nil"/>
            </w:tcBorders>
          </w:tcPr>
          <w:p w:rsidR="00000000" w:rsidRDefault="00000000">
            <w:pPr>
              <w:spacing w:line="240" w:lineRule="exact"/>
              <w:jc w:val="center"/>
              <w:rPr>
                <w:snapToGrid/>
                <w:sz w:val="18"/>
              </w:rPr>
            </w:pPr>
            <w:r>
              <w:rPr>
                <w:snapToGrid/>
                <w:sz w:val="18"/>
              </w:rPr>
              <w:t>6.8</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38 430</w:t>
            </w:r>
          </w:p>
        </w:tc>
        <w:tc>
          <w:tcPr>
            <w:tcW w:w="425" w:type="pct"/>
            <w:tcBorders>
              <w:top w:val="nil"/>
              <w:bottom w:val="nil"/>
            </w:tcBorders>
          </w:tcPr>
          <w:p w:rsidR="00000000" w:rsidRDefault="00000000">
            <w:pPr>
              <w:spacing w:line="240" w:lineRule="exact"/>
              <w:jc w:val="center"/>
              <w:rPr>
                <w:snapToGrid/>
                <w:sz w:val="18"/>
              </w:rPr>
            </w:pPr>
            <w:r>
              <w:rPr>
                <w:snapToGrid/>
                <w:sz w:val="18"/>
              </w:rPr>
              <w:t>5.08</w:t>
            </w:r>
          </w:p>
        </w:tc>
        <w:tc>
          <w:tcPr>
            <w:tcW w:w="520" w:type="pct"/>
            <w:tcBorders>
              <w:top w:val="nil"/>
              <w:bottom w:val="nil"/>
            </w:tcBorders>
          </w:tcPr>
          <w:p w:rsidR="00000000" w:rsidRDefault="00000000">
            <w:pPr>
              <w:spacing w:line="240" w:lineRule="exact"/>
              <w:jc w:val="center"/>
              <w:rPr>
                <w:snapToGrid/>
                <w:sz w:val="18"/>
              </w:rPr>
            </w:pPr>
            <w:r>
              <w:rPr>
                <w:snapToGrid/>
                <w:sz w:val="18"/>
              </w:rPr>
              <w:t>6.86</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包括</w:t>
            </w:r>
            <w:r>
              <w:rPr>
                <w:snapToGrid/>
                <w:sz w:val="18"/>
              </w:rPr>
              <w:t>：</w:t>
            </w:r>
            <w:r>
              <w:rPr>
                <w:rFonts w:hint="eastAsia"/>
                <w:snapToGrid/>
                <w:sz w:val="18"/>
              </w:rPr>
              <w:t>从小残疾的人</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23 694</w:t>
            </w:r>
          </w:p>
        </w:tc>
        <w:tc>
          <w:tcPr>
            <w:tcW w:w="417" w:type="pct"/>
            <w:tcBorders>
              <w:top w:val="nil"/>
              <w:bottom w:val="nil"/>
            </w:tcBorders>
          </w:tcPr>
          <w:p w:rsidR="00000000" w:rsidRDefault="00000000">
            <w:pPr>
              <w:spacing w:line="240" w:lineRule="exact"/>
              <w:jc w:val="center"/>
              <w:rPr>
                <w:snapToGrid/>
                <w:sz w:val="18"/>
              </w:rPr>
            </w:pPr>
            <w:r>
              <w:rPr>
                <w:snapToGrid/>
                <w:sz w:val="18"/>
              </w:rPr>
              <w:t>3.16</w:t>
            </w:r>
          </w:p>
        </w:tc>
        <w:tc>
          <w:tcPr>
            <w:tcW w:w="521" w:type="pct"/>
            <w:tcBorders>
              <w:top w:val="nil"/>
              <w:bottom w:val="nil"/>
            </w:tcBorders>
          </w:tcPr>
          <w:p w:rsidR="00000000" w:rsidRDefault="00000000">
            <w:pPr>
              <w:spacing w:line="240" w:lineRule="exact"/>
              <w:jc w:val="center"/>
              <w:rPr>
                <w:snapToGrid/>
                <w:sz w:val="18"/>
              </w:rPr>
            </w:pPr>
            <w:r>
              <w:rPr>
                <w:snapToGrid/>
                <w:sz w:val="18"/>
              </w:rPr>
              <w:t>4.21</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25 448</w:t>
            </w:r>
          </w:p>
        </w:tc>
        <w:tc>
          <w:tcPr>
            <w:tcW w:w="417" w:type="pct"/>
            <w:tcBorders>
              <w:top w:val="nil"/>
              <w:bottom w:val="nil"/>
            </w:tcBorders>
          </w:tcPr>
          <w:p w:rsidR="00000000" w:rsidRDefault="00000000">
            <w:pPr>
              <w:spacing w:line="240" w:lineRule="exact"/>
              <w:jc w:val="center"/>
              <w:rPr>
                <w:snapToGrid/>
                <w:sz w:val="18"/>
              </w:rPr>
            </w:pPr>
            <w:r>
              <w:rPr>
                <w:snapToGrid/>
                <w:sz w:val="18"/>
              </w:rPr>
              <w:t>3.37</w:t>
            </w:r>
          </w:p>
        </w:tc>
        <w:tc>
          <w:tcPr>
            <w:tcW w:w="553" w:type="pct"/>
            <w:tcBorders>
              <w:top w:val="nil"/>
              <w:bottom w:val="nil"/>
            </w:tcBorders>
          </w:tcPr>
          <w:p w:rsidR="00000000" w:rsidRDefault="00000000">
            <w:pPr>
              <w:spacing w:line="240" w:lineRule="exact"/>
              <w:jc w:val="center"/>
              <w:rPr>
                <w:snapToGrid/>
                <w:sz w:val="18"/>
              </w:rPr>
            </w:pPr>
            <w:r>
              <w:rPr>
                <w:snapToGrid/>
                <w:sz w:val="18"/>
              </w:rPr>
              <w:t>4.52</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26 950</w:t>
            </w:r>
          </w:p>
        </w:tc>
        <w:tc>
          <w:tcPr>
            <w:tcW w:w="425" w:type="pct"/>
            <w:tcBorders>
              <w:top w:val="nil"/>
              <w:bottom w:val="nil"/>
            </w:tcBorders>
          </w:tcPr>
          <w:p w:rsidR="00000000" w:rsidRDefault="00000000">
            <w:pPr>
              <w:spacing w:line="240" w:lineRule="exact"/>
              <w:jc w:val="center"/>
              <w:rPr>
                <w:snapToGrid/>
                <w:sz w:val="18"/>
              </w:rPr>
            </w:pPr>
            <w:r>
              <w:rPr>
                <w:snapToGrid/>
                <w:sz w:val="18"/>
              </w:rPr>
              <w:t>3.56</w:t>
            </w:r>
          </w:p>
        </w:tc>
        <w:tc>
          <w:tcPr>
            <w:tcW w:w="520" w:type="pct"/>
            <w:tcBorders>
              <w:top w:val="nil"/>
              <w:bottom w:val="nil"/>
            </w:tcBorders>
          </w:tcPr>
          <w:p w:rsidR="00000000" w:rsidRDefault="00000000">
            <w:pPr>
              <w:spacing w:line="240" w:lineRule="exact"/>
              <w:jc w:val="center"/>
              <w:rPr>
                <w:snapToGrid/>
                <w:sz w:val="18"/>
              </w:rPr>
            </w:pPr>
            <w:r>
              <w:rPr>
                <w:snapToGrid/>
                <w:sz w:val="18"/>
              </w:rPr>
              <w:t>4.81</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为“切尔诺贝利”清理行动提供的养恤金</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422</w:t>
            </w:r>
          </w:p>
        </w:tc>
        <w:tc>
          <w:tcPr>
            <w:tcW w:w="417" w:type="pct"/>
            <w:tcBorders>
              <w:top w:val="nil"/>
              <w:bottom w:val="nil"/>
            </w:tcBorders>
          </w:tcPr>
          <w:p w:rsidR="00000000" w:rsidRDefault="00000000">
            <w:pPr>
              <w:spacing w:line="240" w:lineRule="exact"/>
              <w:jc w:val="center"/>
              <w:rPr>
                <w:snapToGrid/>
                <w:sz w:val="18"/>
              </w:rPr>
            </w:pPr>
            <w:r>
              <w:rPr>
                <w:snapToGrid/>
                <w:sz w:val="18"/>
              </w:rPr>
              <w:t>0.06</w:t>
            </w:r>
          </w:p>
        </w:tc>
        <w:tc>
          <w:tcPr>
            <w:tcW w:w="521" w:type="pct"/>
            <w:tcBorders>
              <w:top w:val="nil"/>
              <w:bottom w:val="nil"/>
            </w:tcBorders>
          </w:tcPr>
          <w:p w:rsidR="00000000" w:rsidRDefault="00000000">
            <w:pPr>
              <w:spacing w:line="240" w:lineRule="exact"/>
              <w:jc w:val="center"/>
              <w:rPr>
                <w:snapToGrid/>
                <w:sz w:val="18"/>
              </w:rPr>
            </w:pPr>
            <w:r>
              <w:rPr>
                <w:snapToGrid/>
                <w:sz w:val="18"/>
              </w:rPr>
              <w:t>0.07</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677</w:t>
            </w:r>
          </w:p>
        </w:tc>
        <w:tc>
          <w:tcPr>
            <w:tcW w:w="417" w:type="pct"/>
            <w:tcBorders>
              <w:top w:val="nil"/>
              <w:bottom w:val="nil"/>
            </w:tcBorders>
          </w:tcPr>
          <w:p w:rsidR="00000000" w:rsidRDefault="00000000">
            <w:pPr>
              <w:spacing w:line="240" w:lineRule="exact"/>
              <w:jc w:val="center"/>
              <w:rPr>
                <w:snapToGrid/>
                <w:sz w:val="18"/>
              </w:rPr>
            </w:pPr>
            <w:r>
              <w:rPr>
                <w:snapToGrid/>
                <w:sz w:val="18"/>
              </w:rPr>
              <w:t>0.09</w:t>
            </w:r>
          </w:p>
        </w:tc>
        <w:tc>
          <w:tcPr>
            <w:tcW w:w="553" w:type="pct"/>
            <w:tcBorders>
              <w:top w:val="nil"/>
              <w:bottom w:val="nil"/>
            </w:tcBorders>
          </w:tcPr>
          <w:p w:rsidR="00000000" w:rsidRDefault="00000000">
            <w:pPr>
              <w:spacing w:line="240" w:lineRule="exact"/>
              <w:jc w:val="center"/>
              <w:rPr>
                <w:snapToGrid/>
                <w:sz w:val="18"/>
              </w:rPr>
            </w:pPr>
            <w:r>
              <w:rPr>
                <w:snapToGrid/>
                <w:sz w:val="18"/>
              </w:rPr>
              <w:t>0.12</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 xml:space="preserve">933 </w:t>
            </w:r>
          </w:p>
        </w:tc>
        <w:tc>
          <w:tcPr>
            <w:tcW w:w="425" w:type="pct"/>
            <w:tcBorders>
              <w:top w:val="nil"/>
              <w:bottom w:val="nil"/>
            </w:tcBorders>
          </w:tcPr>
          <w:p w:rsidR="00000000" w:rsidRDefault="00000000">
            <w:pPr>
              <w:spacing w:line="240" w:lineRule="exact"/>
              <w:jc w:val="center"/>
              <w:rPr>
                <w:snapToGrid/>
                <w:sz w:val="18"/>
              </w:rPr>
            </w:pPr>
            <w:r>
              <w:rPr>
                <w:snapToGrid/>
                <w:sz w:val="18"/>
              </w:rPr>
              <w:t>0.12</w:t>
            </w:r>
          </w:p>
        </w:tc>
        <w:tc>
          <w:tcPr>
            <w:tcW w:w="520" w:type="pct"/>
            <w:tcBorders>
              <w:top w:val="nil"/>
              <w:bottom w:val="nil"/>
            </w:tcBorders>
          </w:tcPr>
          <w:p w:rsidR="00000000" w:rsidRDefault="00000000">
            <w:pPr>
              <w:spacing w:line="240" w:lineRule="exact"/>
              <w:jc w:val="center"/>
              <w:rPr>
                <w:snapToGrid/>
                <w:sz w:val="18"/>
              </w:rPr>
            </w:pPr>
            <w:r>
              <w:rPr>
                <w:snapToGrid/>
                <w:sz w:val="18"/>
              </w:rPr>
              <w:t>0.17</w:t>
            </w:r>
          </w:p>
        </w:tc>
      </w:tr>
      <w:tr w:rsidR="00000000">
        <w:tblPrEx>
          <w:tblCellMar>
            <w:top w:w="0" w:type="dxa"/>
          </w:tblCellMar>
        </w:tblPrEx>
        <w:tc>
          <w:tcPr>
            <w:tcW w:w="992" w:type="pct"/>
            <w:tcBorders>
              <w:top w:val="nil"/>
              <w:bottom w:val="nil"/>
            </w:tcBorders>
          </w:tcPr>
          <w:p w:rsidR="00000000" w:rsidRDefault="00000000">
            <w:pPr>
              <w:spacing w:line="240" w:lineRule="exact"/>
              <w:rPr>
                <w:rFonts w:hint="eastAsia"/>
                <w:snapToGrid/>
                <w:sz w:val="18"/>
              </w:rPr>
            </w:pPr>
            <w:r>
              <w:rPr>
                <w:rFonts w:hint="eastAsia"/>
                <w:snapToGrid/>
                <w:sz w:val="18"/>
              </w:rPr>
              <w:t>为受到不公正镇压的人提供的补充金额</w:t>
            </w:r>
          </w:p>
        </w:tc>
        <w:tc>
          <w:tcPr>
            <w:tcW w:w="365" w:type="pct"/>
            <w:tcBorders>
              <w:top w:val="nil"/>
              <w:bottom w:val="nil"/>
            </w:tcBorders>
          </w:tcPr>
          <w:p w:rsidR="00000000" w:rsidRDefault="00000000">
            <w:pPr>
              <w:spacing w:line="240" w:lineRule="exact"/>
              <w:ind w:right="127"/>
              <w:jc w:val="right"/>
              <w:rPr>
                <w:snapToGrid/>
                <w:sz w:val="18"/>
              </w:rPr>
            </w:pPr>
            <w:r>
              <w:rPr>
                <w:snapToGrid/>
                <w:sz w:val="18"/>
              </w:rPr>
              <w:t>11 220</w:t>
            </w:r>
          </w:p>
        </w:tc>
        <w:tc>
          <w:tcPr>
            <w:tcW w:w="417" w:type="pct"/>
            <w:tcBorders>
              <w:top w:val="nil"/>
              <w:bottom w:val="nil"/>
            </w:tcBorders>
          </w:tcPr>
          <w:p w:rsidR="00000000" w:rsidRDefault="00000000">
            <w:pPr>
              <w:spacing w:line="240" w:lineRule="exact"/>
              <w:jc w:val="center"/>
              <w:rPr>
                <w:snapToGrid/>
                <w:sz w:val="18"/>
              </w:rPr>
            </w:pPr>
            <w:r>
              <w:rPr>
                <w:snapToGrid/>
                <w:sz w:val="18"/>
              </w:rPr>
              <w:t>1.49</w:t>
            </w:r>
          </w:p>
        </w:tc>
        <w:tc>
          <w:tcPr>
            <w:tcW w:w="521" w:type="pct"/>
            <w:tcBorders>
              <w:top w:val="nil"/>
              <w:bottom w:val="nil"/>
            </w:tcBorders>
          </w:tcPr>
          <w:p w:rsidR="00000000" w:rsidRDefault="00000000">
            <w:pPr>
              <w:spacing w:line="240" w:lineRule="exact"/>
              <w:jc w:val="center"/>
              <w:rPr>
                <w:snapToGrid/>
                <w:sz w:val="18"/>
              </w:rPr>
            </w:pPr>
            <w:r>
              <w:rPr>
                <w:snapToGrid/>
                <w:sz w:val="18"/>
              </w:rPr>
              <w:t>1.99</w:t>
            </w:r>
          </w:p>
        </w:tc>
        <w:tc>
          <w:tcPr>
            <w:tcW w:w="416" w:type="pct"/>
            <w:tcBorders>
              <w:top w:val="nil"/>
              <w:bottom w:val="nil"/>
            </w:tcBorders>
          </w:tcPr>
          <w:p w:rsidR="00000000" w:rsidRDefault="00000000">
            <w:pPr>
              <w:spacing w:line="240" w:lineRule="exact"/>
              <w:ind w:right="188"/>
              <w:jc w:val="right"/>
              <w:rPr>
                <w:snapToGrid/>
                <w:sz w:val="18"/>
              </w:rPr>
            </w:pPr>
            <w:r>
              <w:rPr>
                <w:snapToGrid/>
                <w:sz w:val="18"/>
              </w:rPr>
              <w:t>11 442</w:t>
            </w:r>
          </w:p>
        </w:tc>
        <w:tc>
          <w:tcPr>
            <w:tcW w:w="417" w:type="pct"/>
            <w:tcBorders>
              <w:top w:val="nil"/>
              <w:bottom w:val="nil"/>
            </w:tcBorders>
          </w:tcPr>
          <w:p w:rsidR="00000000" w:rsidRDefault="00000000">
            <w:pPr>
              <w:spacing w:line="240" w:lineRule="exact"/>
              <w:jc w:val="center"/>
              <w:rPr>
                <w:snapToGrid/>
                <w:sz w:val="18"/>
              </w:rPr>
            </w:pPr>
            <w:r>
              <w:rPr>
                <w:snapToGrid/>
                <w:sz w:val="18"/>
              </w:rPr>
              <w:t>1.52</w:t>
            </w:r>
          </w:p>
        </w:tc>
        <w:tc>
          <w:tcPr>
            <w:tcW w:w="553" w:type="pct"/>
            <w:tcBorders>
              <w:top w:val="nil"/>
              <w:bottom w:val="nil"/>
            </w:tcBorders>
          </w:tcPr>
          <w:p w:rsidR="00000000" w:rsidRDefault="00000000">
            <w:pPr>
              <w:spacing w:line="240" w:lineRule="exact"/>
              <w:jc w:val="center"/>
              <w:rPr>
                <w:snapToGrid/>
                <w:sz w:val="18"/>
              </w:rPr>
            </w:pPr>
            <w:r>
              <w:rPr>
                <w:snapToGrid/>
                <w:sz w:val="18"/>
              </w:rPr>
              <w:t>2.03</w:t>
            </w:r>
          </w:p>
        </w:tc>
        <w:tc>
          <w:tcPr>
            <w:tcW w:w="375" w:type="pct"/>
            <w:tcBorders>
              <w:top w:val="nil"/>
              <w:bottom w:val="nil"/>
            </w:tcBorders>
          </w:tcPr>
          <w:p w:rsidR="00000000" w:rsidRDefault="00000000">
            <w:pPr>
              <w:spacing w:line="240" w:lineRule="exact"/>
              <w:ind w:right="219"/>
              <w:jc w:val="right"/>
              <w:rPr>
                <w:snapToGrid/>
                <w:sz w:val="18"/>
              </w:rPr>
            </w:pPr>
            <w:r>
              <w:rPr>
                <w:snapToGrid/>
                <w:sz w:val="18"/>
              </w:rPr>
              <w:t>11 448</w:t>
            </w:r>
          </w:p>
        </w:tc>
        <w:tc>
          <w:tcPr>
            <w:tcW w:w="425" w:type="pct"/>
            <w:tcBorders>
              <w:top w:val="nil"/>
              <w:bottom w:val="nil"/>
            </w:tcBorders>
          </w:tcPr>
          <w:p w:rsidR="00000000" w:rsidRDefault="00000000">
            <w:pPr>
              <w:spacing w:line="240" w:lineRule="exact"/>
              <w:jc w:val="center"/>
              <w:rPr>
                <w:snapToGrid/>
                <w:sz w:val="18"/>
              </w:rPr>
            </w:pPr>
            <w:r>
              <w:rPr>
                <w:snapToGrid/>
                <w:sz w:val="18"/>
              </w:rPr>
              <w:t>1.51</w:t>
            </w:r>
          </w:p>
        </w:tc>
        <w:tc>
          <w:tcPr>
            <w:tcW w:w="520" w:type="pct"/>
            <w:tcBorders>
              <w:top w:val="nil"/>
              <w:bottom w:val="nil"/>
            </w:tcBorders>
          </w:tcPr>
          <w:p w:rsidR="00000000" w:rsidRDefault="00000000">
            <w:pPr>
              <w:spacing w:line="240" w:lineRule="exact"/>
              <w:jc w:val="center"/>
              <w:rPr>
                <w:snapToGrid/>
                <w:sz w:val="18"/>
              </w:rPr>
            </w:pPr>
            <w:r>
              <w:rPr>
                <w:snapToGrid/>
                <w:sz w:val="18"/>
              </w:rPr>
              <w:t>2.04</w:t>
            </w:r>
          </w:p>
        </w:tc>
      </w:tr>
      <w:tr w:rsidR="00000000">
        <w:tblPrEx>
          <w:tblCellMar>
            <w:top w:w="0" w:type="dxa"/>
          </w:tblCellMar>
        </w:tblPrEx>
        <w:tc>
          <w:tcPr>
            <w:tcW w:w="992" w:type="pct"/>
            <w:tcBorders>
              <w:top w:val="nil"/>
            </w:tcBorders>
          </w:tcPr>
          <w:p w:rsidR="00000000" w:rsidRDefault="00000000">
            <w:pPr>
              <w:spacing w:line="240" w:lineRule="exact"/>
              <w:rPr>
                <w:rFonts w:hint="eastAsia"/>
                <w:snapToGrid/>
                <w:sz w:val="18"/>
              </w:rPr>
            </w:pPr>
            <w:r>
              <w:rPr>
                <w:rFonts w:hint="eastAsia"/>
                <w:snapToGrid/>
                <w:sz w:val="18"/>
              </w:rPr>
              <w:t>军人养恤金</w:t>
            </w:r>
          </w:p>
        </w:tc>
        <w:tc>
          <w:tcPr>
            <w:tcW w:w="365" w:type="pct"/>
            <w:tcBorders>
              <w:top w:val="nil"/>
            </w:tcBorders>
          </w:tcPr>
          <w:p w:rsidR="00000000" w:rsidRDefault="00000000">
            <w:pPr>
              <w:spacing w:line="240" w:lineRule="exact"/>
              <w:ind w:right="127"/>
              <w:jc w:val="right"/>
              <w:rPr>
                <w:snapToGrid/>
                <w:sz w:val="18"/>
              </w:rPr>
            </w:pPr>
            <w:r>
              <w:rPr>
                <w:snapToGrid/>
                <w:sz w:val="18"/>
              </w:rPr>
              <w:t>8 835</w:t>
            </w:r>
          </w:p>
        </w:tc>
        <w:tc>
          <w:tcPr>
            <w:tcW w:w="417" w:type="pct"/>
            <w:tcBorders>
              <w:top w:val="nil"/>
            </w:tcBorders>
          </w:tcPr>
          <w:p w:rsidR="00000000" w:rsidRDefault="00000000">
            <w:pPr>
              <w:spacing w:line="240" w:lineRule="exact"/>
              <w:jc w:val="center"/>
              <w:rPr>
                <w:snapToGrid/>
                <w:sz w:val="18"/>
              </w:rPr>
            </w:pPr>
            <w:r>
              <w:rPr>
                <w:snapToGrid/>
                <w:sz w:val="18"/>
              </w:rPr>
              <w:t>1.18</w:t>
            </w:r>
          </w:p>
        </w:tc>
        <w:tc>
          <w:tcPr>
            <w:tcW w:w="521" w:type="pct"/>
            <w:tcBorders>
              <w:top w:val="nil"/>
            </w:tcBorders>
          </w:tcPr>
          <w:p w:rsidR="00000000" w:rsidRDefault="00000000">
            <w:pPr>
              <w:spacing w:line="240" w:lineRule="exact"/>
              <w:jc w:val="center"/>
              <w:rPr>
                <w:snapToGrid/>
                <w:sz w:val="18"/>
              </w:rPr>
            </w:pPr>
            <w:r>
              <w:rPr>
                <w:snapToGrid/>
                <w:sz w:val="18"/>
              </w:rPr>
              <w:t>1.57</w:t>
            </w:r>
          </w:p>
        </w:tc>
        <w:tc>
          <w:tcPr>
            <w:tcW w:w="416" w:type="pct"/>
            <w:tcBorders>
              <w:top w:val="nil"/>
            </w:tcBorders>
          </w:tcPr>
          <w:p w:rsidR="00000000" w:rsidRDefault="00000000">
            <w:pPr>
              <w:spacing w:line="240" w:lineRule="exact"/>
              <w:ind w:right="188"/>
              <w:jc w:val="right"/>
              <w:rPr>
                <w:snapToGrid/>
                <w:sz w:val="18"/>
              </w:rPr>
            </w:pPr>
            <w:r>
              <w:rPr>
                <w:snapToGrid/>
                <w:sz w:val="18"/>
              </w:rPr>
              <w:t>8 832</w:t>
            </w:r>
          </w:p>
        </w:tc>
        <w:tc>
          <w:tcPr>
            <w:tcW w:w="417" w:type="pct"/>
            <w:tcBorders>
              <w:top w:val="nil"/>
            </w:tcBorders>
          </w:tcPr>
          <w:p w:rsidR="00000000" w:rsidRDefault="00000000">
            <w:pPr>
              <w:spacing w:line="240" w:lineRule="exact"/>
              <w:jc w:val="center"/>
              <w:rPr>
                <w:snapToGrid/>
                <w:sz w:val="18"/>
              </w:rPr>
            </w:pPr>
            <w:r>
              <w:rPr>
                <w:snapToGrid/>
                <w:sz w:val="18"/>
              </w:rPr>
              <w:t>1.17</w:t>
            </w:r>
          </w:p>
        </w:tc>
        <w:tc>
          <w:tcPr>
            <w:tcW w:w="553" w:type="pct"/>
            <w:tcBorders>
              <w:top w:val="nil"/>
            </w:tcBorders>
          </w:tcPr>
          <w:p w:rsidR="00000000" w:rsidRDefault="00000000">
            <w:pPr>
              <w:spacing w:line="240" w:lineRule="exact"/>
              <w:jc w:val="center"/>
              <w:rPr>
                <w:snapToGrid/>
                <w:sz w:val="18"/>
              </w:rPr>
            </w:pPr>
            <w:r>
              <w:rPr>
                <w:snapToGrid/>
                <w:sz w:val="18"/>
              </w:rPr>
              <w:t>1.57</w:t>
            </w:r>
          </w:p>
        </w:tc>
        <w:tc>
          <w:tcPr>
            <w:tcW w:w="375" w:type="pct"/>
            <w:tcBorders>
              <w:top w:val="nil"/>
            </w:tcBorders>
          </w:tcPr>
          <w:p w:rsidR="00000000" w:rsidRDefault="00000000">
            <w:pPr>
              <w:spacing w:line="240" w:lineRule="exact"/>
              <w:ind w:right="219"/>
              <w:jc w:val="right"/>
              <w:rPr>
                <w:snapToGrid/>
                <w:sz w:val="18"/>
              </w:rPr>
            </w:pPr>
            <w:r>
              <w:rPr>
                <w:snapToGrid/>
                <w:sz w:val="18"/>
              </w:rPr>
              <w:t>8 799</w:t>
            </w:r>
          </w:p>
        </w:tc>
        <w:tc>
          <w:tcPr>
            <w:tcW w:w="425" w:type="pct"/>
            <w:tcBorders>
              <w:top w:val="nil"/>
            </w:tcBorders>
          </w:tcPr>
          <w:p w:rsidR="00000000" w:rsidRDefault="00000000">
            <w:pPr>
              <w:spacing w:line="240" w:lineRule="exact"/>
              <w:jc w:val="center"/>
              <w:rPr>
                <w:snapToGrid/>
                <w:sz w:val="18"/>
              </w:rPr>
            </w:pPr>
            <w:r>
              <w:rPr>
                <w:snapToGrid/>
                <w:sz w:val="18"/>
              </w:rPr>
              <w:t>1.16</w:t>
            </w:r>
          </w:p>
        </w:tc>
        <w:tc>
          <w:tcPr>
            <w:tcW w:w="520" w:type="pct"/>
            <w:tcBorders>
              <w:top w:val="nil"/>
            </w:tcBorders>
          </w:tcPr>
          <w:p w:rsidR="00000000" w:rsidRDefault="00000000">
            <w:pPr>
              <w:spacing w:line="240" w:lineRule="exact"/>
              <w:jc w:val="center"/>
              <w:rPr>
                <w:snapToGrid/>
                <w:sz w:val="18"/>
              </w:rPr>
            </w:pPr>
            <w:r>
              <w:rPr>
                <w:snapToGrid/>
                <w:sz w:val="18"/>
              </w:rPr>
              <w:t>1.57</w:t>
            </w:r>
          </w:p>
        </w:tc>
      </w:tr>
    </w:tbl>
    <w:p w:rsidR="00000000" w:rsidRDefault="00000000">
      <w:pPr>
        <w:rPr>
          <w:snapToGrid/>
        </w:rPr>
        <w:sectPr w:rsidR="00000000">
          <w:headerReference w:type="even" r:id="rId12"/>
          <w:headerReference w:type="default" r:id="rId13"/>
          <w:pgSz w:w="16838" w:h="11906" w:orient="landscape" w:code="9"/>
          <w:pgMar w:top="1701" w:right="1985" w:bottom="851" w:left="1985" w:header="794" w:footer="1588" w:gutter="0"/>
          <w:cols w:space="425"/>
          <w:docGrid w:type="lines" w:linePitch="360"/>
        </w:sectPr>
      </w:pPr>
    </w:p>
    <w:p w:rsidR="00000000" w:rsidRDefault="00000000">
      <w:pPr>
        <w:rPr>
          <w:rFonts w:hint="eastAsia"/>
          <w:snapToGrid/>
        </w:rPr>
      </w:pPr>
      <w:r>
        <w:rPr>
          <w:snapToGrid/>
        </w:rPr>
        <w:tab/>
      </w:r>
      <w:r>
        <w:rPr>
          <w:rFonts w:hint="eastAsia"/>
          <w:snapToGrid/>
        </w:rPr>
        <w:t>283.</w:t>
      </w:r>
      <w:r>
        <w:rPr>
          <w:snapToGrid/>
        </w:rPr>
        <w:t xml:space="preserve">  </w:t>
      </w:r>
      <w:r>
        <w:rPr>
          <w:rFonts w:hint="eastAsia"/>
          <w:snapToGrid/>
        </w:rPr>
        <w:t>这些养恤金的数额一般远高于补贴的平均数额</w:t>
      </w:r>
      <w:r>
        <w:rPr>
          <w:rFonts w:hint="eastAsia"/>
          <w:snapToGrid/>
        </w:rPr>
        <w:t>(86.15</w:t>
      </w:r>
      <w:r>
        <w:rPr>
          <w:rFonts w:hint="eastAsia"/>
          <w:snapToGrid/>
        </w:rPr>
        <w:t>列依</w:t>
      </w:r>
      <w:r>
        <w:rPr>
          <w:rFonts w:hint="eastAsia"/>
          <w:snapToGrid/>
        </w:rPr>
        <w:t>)</w:t>
      </w:r>
      <w:r>
        <w:rPr>
          <w:rFonts w:hint="eastAsia"/>
          <w:snapToGrid/>
        </w:rPr>
        <w:t>，在</w:t>
      </w:r>
      <w:r>
        <w:rPr>
          <w:rFonts w:hint="eastAsia"/>
          <w:snapToGrid/>
        </w:rPr>
        <w:t>3</w:t>
      </w:r>
      <w:r>
        <w:rPr>
          <w:rFonts w:hint="eastAsia"/>
          <w:snapToGrid/>
        </w:rPr>
        <w:t>号表中可达</w:t>
      </w:r>
      <w:r>
        <w:rPr>
          <w:rFonts w:hint="eastAsia"/>
          <w:snapToGrid/>
        </w:rPr>
        <w:t>108.48</w:t>
      </w:r>
      <w:r>
        <w:rPr>
          <w:rFonts w:hint="eastAsia"/>
          <w:snapToGrid/>
        </w:rPr>
        <w:t>列依，在</w:t>
      </w:r>
      <w:r>
        <w:rPr>
          <w:rFonts w:hint="eastAsia"/>
          <w:snapToGrid/>
        </w:rPr>
        <w:t>2</w:t>
      </w:r>
      <w:r>
        <w:rPr>
          <w:rFonts w:hint="eastAsia"/>
          <w:snapToGrid/>
        </w:rPr>
        <w:t>号表中可达</w:t>
      </w:r>
      <w:r>
        <w:rPr>
          <w:rFonts w:hint="eastAsia"/>
          <w:snapToGrid/>
        </w:rPr>
        <w:t>102.24</w:t>
      </w:r>
      <w:r>
        <w:rPr>
          <w:rFonts w:hint="eastAsia"/>
          <w:snapToGrid/>
        </w:rPr>
        <w:t>列依，在</w:t>
      </w:r>
      <w:r>
        <w:rPr>
          <w:rFonts w:hint="eastAsia"/>
          <w:snapToGrid/>
        </w:rPr>
        <w:t>1</w:t>
      </w:r>
      <w:r>
        <w:rPr>
          <w:rFonts w:hint="eastAsia"/>
          <w:snapToGrid/>
        </w:rPr>
        <w:t>号表中可达</w:t>
      </w:r>
      <w:r>
        <w:rPr>
          <w:rFonts w:hint="eastAsia"/>
          <w:snapToGrid/>
        </w:rPr>
        <w:t>101.33</w:t>
      </w:r>
      <w:r>
        <w:rPr>
          <w:rFonts w:hint="eastAsia"/>
          <w:snapToGrid/>
        </w:rPr>
        <w:t>列依。有工作并以优惠条件获得补贴的人数比按照一般条件领取固定养恤金的人数多出</w:t>
      </w:r>
      <w:r>
        <w:rPr>
          <w:rFonts w:hint="eastAsia"/>
          <w:snapToGrid/>
        </w:rPr>
        <w:t>3</w:t>
      </w:r>
      <w:r>
        <w:rPr>
          <w:rFonts w:hint="eastAsia"/>
          <w:snapToGrid/>
        </w:rPr>
        <w:t>倍。</w:t>
      </w:r>
    </w:p>
    <w:p w:rsidR="00000000" w:rsidRDefault="00000000">
      <w:pPr>
        <w:rPr>
          <w:rFonts w:hint="eastAsia"/>
          <w:snapToGrid/>
        </w:rPr>
      </w:pPr>
      <w:r>
        <w:rPr>
          <w:snapToGrid/>
        </w:rPr>
        <w:tab/>
      </w:r>
      <w:r>
        <w:rPr>
          <w:rFonts w:hint="eastAsia"/>
          <w:snapToGrid/>
        </w:rPr>
        <w:t>284.</w:t>
      </w:r>
      <w:r>
        <w:rPr>
          <w:snapToGrid/>
        </w:rPr>
        <w:t xml:space="preserve">  </w:t>
      </w:r>
      <w:r>
        <w:rPr>
          <w:rFonts w:hint="eastAsia"/>
          <w:snapToGrid/>
        </w:rPr>
        <w:t>以优惠条件支付养恤金需要额外的开支，除此以外这种做法还有其他不利之处，即违反了保险原则和社会公平的原则</w:t>
      </w:r>
      <w:r>
        <w:rPr>
          <w:rFonts w:hint="eastAsia"/>
          <w:snapToGrid/>
        </w:rPr>
        <w:t>(</w:t>
      </w:r>
      <w:r>
        <w:rPr>
          <w:rFonts w:hint="eastAsia"/>
          <w:snapToGrid/>
        </w:rPr>
        <w:t>开支记在其他人的帐上</w:t>
      </w:r>
      <w:r>
        <w:rPr>
          <w:rFonts w:hint="eastAsia"/>
          <w:snapToGrid/>
        </w:rPr>
        <w:t>)</w:t>
      </w:r>
      <w:r>
        <w:rPr>
          <w:rFonts w:hint="eastAsia"/>
          <w:snapToGrid/>
        </w:rPr>
        <w:t>，退休年龄被无道理地削减等等。</w:t>
      </w:r>
    </w:p>
    <w:p w:rsidR="00000000" w:rsidRDefault="00000000">
      <w:pPr>
        <w:rPr>
          <w:rFonts w:hint="eastAsia"/>
          <w:snapToGrid/>
        </w:rPr>
      </w:pPr>
      <w:r>
        <w:rPr>
          <w:snapToGrid/>
        </w:rPr>
        <w:tab/>
      </w:r>
      <w:r>
        <w:rPr>
          <w:rFonts w:hint="eastAsia"/>
          <w:snapToGrid/>
        </w:rPr>
        <w:t>285.</w:t>
      </w:r>
      <w:r>
        <w:rPr>
          <w:snapToGrid/>
        </w:rPr>
        <w:t xml:space="preserve">  </w:t>
      </w:r>
      <w:r>
        <w:rPr>
          <w:rFonts w:hint="eastAsia"/>
          <w:snapToGrid/>
        </w:rPr>
        <w:t>目前平均补贴为国家平均工资的</w:t>
      </w:r>
      <w:r>
        <w:rPr>
          <w:rFonts w:hint="eastAsia"/>
          <w:snapToGrid/>
        </w:rPr>
        <w:t>39.2%</w:t>
      </w:r>
      <w:r>
        <w:rPr>
          <w:rFonts w:hint="eastAsia"/>
          <w:snapToGrid/>
        </w:rPr>
        <w:t>。最低补贴</w:t>
      </w:r>
      <w:r>
        <w:rPr>
          <w:rFonts w:hint="eastAsia"/>
          <w:snapToGrid/>
        </w:rPr>
        <w:t>1997</w:t>
      </w:r>
      <w:r>
        <w:rPr>
          <w:rFonts w:hint="eastAsia"/>
          <w:snapToGrid/>
        </w:rPr>
        <w:t>年中占平均工资的</w:t>
      </w:r>
      <w:r>
        <w:rPr>
          <w:rFonts w:hint="eastAsia"/>
          <w:snapToGrid/>
        </w:rPr>
        <w:t>28.2%</w:t>
      </w:r>
      <w:r>
        <w:rPr>
          <w:rFonts w:hint="eastAsia"/>
          <w:snapToGrid/>
        </w:rPr>
        <w:t>，而</w:t>
      </w:r>
      <w:r>
        <w:rPr>
          <w:rFonts w:hint="eastAsia"/>
          <w:snapToGrid/>
        </w:rPr>
        <w:t>1993</w:t>
      </w:r>
      <w:r>
        <w:rPr>
          <w:rFonts w:hint="eastAsia"/>
          <w:snapToGrid/>
        </w:rPr>
        <w:t>年该比率为</w:t>
      </w:r>
      <w:r>
        <w:rPr>
          <w:rFonts w:hint="eastAsia"/>
          <w:snapToGrid/>
        </w:rPr>
        <w:t>43.3%</w:t>
      </w:r>
      <w:r>
        <w:rPr>
          <w:rFonts w:hint="eastAsia"/>
          <w:snapToGrid/>
        </w:rPr>
        <w:t>。越来越令人担忧的是，基本养恤金与对该养恤金的增加额和补充额之间无关。对退伍军人和战争致残者、受到不公正镇压的人和有显著功绩的人的养恤金的增加额超过了他们养恤金本身的数额，这笔增加额根据工资额和服务期限长短，按照</w:t>
      </w:r>
      <w:r>
        <w:rPr>
          <w:rFonts w:hint="eastAsia"/>
          <w:snapToGrid/>
        </w:rPr>
        <w:t>100</w:t>
      </w:r>
      <w:r>
        <w:rPr>
          <w:rFonts w:hint="eastAsia"/>
          <w:snapToGrid/>
        </w:rPr>
        <w:t>：</w:t>
      </w:r>
      <w:r>
        <w:rPr>
          <w:rFonts w:hint="eastAsia"/>
          <w:snapToGrid/>
        </w:rPr>
        <w:t>130</w:t>
      </w:r>
      <w:r>
        <w:rPr>
          <w:rFonts w:hint="eastAsia"/>
          <w:snapToGrid/>
        </w:rPr>
        <w:t>的比例计算。例如，对第一级程度的战争致残者的平均补贴额为</w:t>
      </w:r>
      <w:r>
        <w:rPr>
          <w:rFonts w:hint="eastAsia"/>
          <w:snapToGrid/>
        </w:rPr>
        <w:t>99</w:t>
      </w:r>
      <w:r>
        <w:rPr>
          <w:rFonts w:hint="eastAsia"/>
          <w:snapToGrid/>
        </w:rPr>
        <w:t>列依，但增加到</w:t>
      </w:r>
      <w:r>
        <w:rPr>
          <w:rFonts w:hint="eastAsia"/>
          <w:snapToGrid/>
        </w:rPr>
        <w:t>116.84</w:t>
      </w:r>
      <w:r>
        <w:rPr>
          <w:rFonts w:hint="eastAsia"/>
          <w:snapToGrid/>
        </w:rPr>
        <w:t>列依。同时，在有人需要获得赡养和有残疾者需要获得护理的情况下，拨发的补充金额只占平均养恤金的</w:t>
      </w:r>
      <w:r>
        <w:rPr>
          <w:rFonts w:hint="eastAsia"/>
          <w:snapToGrid/>
        </w:rPr>
        <w:t>5.6%</w:t>
      </w:r>
      <w:r>
        <w:rPr>
          <w:rFonts w:hint="eastAsia"/>
          <w:snapToGrid/>
        </w:rPr>
        <w:t>和最低生活预算的</w:t>
      </w:r>
      <w:r>
        <w:rPr>
          <w:rFonts w:hint="eastAsia"/>
          <w:snapToGrid/>
        </w:rPr>
        <w:t>1.45%</w:t>
      </w:r>
      <w:r>
        <w:rPr>
          <w:rFonts w:hint="eastAsia"/>
          <w:snapToGrid/>
        </w:rPr>
        <w:t>。</w:t>
      </w:r>
    </w:p>
    <w:p w:rsidR="00000000" w:rsidRDefault="00000000">
      <w:pPr>
        <w:spacing w:after="320"/>
        <w:rPr>
          <w:snapToGrid/>
        </w:rPr>
      </w:pPr>
      <w:r>
        <w:rPr>
          <w:snapToGrid/>
        </w:rPr>
        <w:tab/>
      </w:r>
      <w:r>
        <w:rPr>
          <w:rFonts w:hint="eastAsia"/>
          <w:snapToGrid/>
        </w:rPr>
        <w:t>286.</w:t>
      </w:r>
      <w:r>
        <w:rPr>
          <w:snapToGrid/>
        </w:rPr>
        <w:t xml:space="preserve">  </w:t>
      </w:r>
      <w:r>
        <w:rPr>
          <w:rFonts w:hint="eastAsia"/>
          <w:snapToGrid/>
        </w:rPr>
        <w:t>某些类型养恤金在数额上相差很大。例如，</w:t>
      </w:r>
      <w:r>
        <w:rPr>
          <w:rFonts w:hint="eastAsia"/>
          <w:snapToGrid/>
        </w:rPr>
        <w:t>1997</w:t>
      </w:r>
      <w:r>
        <w:rPr>
          <w:rFonts w:hint="eastAsia"/>
          <w:snapToGrid/>
        </w:rPr>
        <w:t>年的平均补贴为</w:t>
      </w:r>
      <w:r>
        <w:rPr>
          <w:rFonts w:hint="eastAsia"/>
          <w:snapToGrid/>
        </w:rPr>
        <w:t>86.15</w:t>
      </w:r>
      <w:r>
        <w:rPr>
          <w:rFonts w:hint="eastAsia"/>
          <w:snapToGrid/>
        </w:rPr>
        <w:t>列依，但对那些曾参与切尔诺贝利事故清理行动的人的补贴则为</w:t>
      </w:r>
      <w:r>
        <w:rPr>
          <w:rFonts w:hint="eastAsia"/>
          <w:snapToGrid/>
        </w:rPr>
        <w:t>338.6</w:t>
      </w:r>
      <w:r>
        <w:rPr>
          <w:rFonts w:hint="eastAsia"/>
          <w:snapToGrid/>
        </w:rPr>
        <w:t>列依，即平均补贴的</w:t>
      </w:r>
      <w:r>
        <w:rPr>
          <w:rFonts w:hint="eastAsia"/>
          <w:snapToGrid/>
        </w:rPr>
        <w:t>4</w:t>
      </w:r>
      <w:r>
        <w:rPr>
          <w:rFonts w:hint="eastAsia"/>
          <w:snapToGrid/>
        </w:rPr>
        <w:t>倍。最高补贴标准为</w:t>
      </w:r>
      <w:r>
        <w:rPr>
          <w:rFonts w:hint="eastAsia"/>
          <w:snapToGrid/>
        </w:rPr>
        <w:t>164.15</w:t>
      </w:r>
      <w:r>
        <w:rPr>
          <w:rFonts w:hint="eastAsia"/>
          <w:snapToGrid/>
        </w:rPr>
        <w:t>列依，但发给曾参与切尔诺贝利事故清理行动的人的最高补贴，在某些情况下，每月超过</w:t>
      </w:r>
      <w:r>
        <w:rPr>
          <w:rFonts w:hint="eastAsia"/>
          <w:snapToGrid/>
        </w:rPr>
        <w:t>1000</w:t>
      </w:r>
      <w:r>
        <w:rPr>
          <w:rFonts w:hint="eastAsia"/>
          <w:snapToGrid/>
        </w:rPr>
        <w:t>列依</w:t>
      </w:r>
      <w:r>
        <w:rPr>
          <w:rFonts w:hint="eastAsia"/>
          <w:snapToGrid/>
        </w:rPr>
        <w:t>(</w:t>
      </w:r>
      <w:r>
        <w:rPr>
          <w:rFonts w:hint="eastAsia"/>
          <w:snapToGrid/>
        </w:rPr>
        <w:t>见表</w:t>
      </w:r>
      <w:r>
        <w:rPr>
          <w:rFonts w:hint="eastAsia"/>
          <w:snapToGrid/>
        </w:rPr>
        <w:t>26)</w:t>
      </w:r>
      <w:r>
        <w:rPr>
          <w:rFonts w:hint="eastAsia"/>
          <w:snapToGrid/>
        </w:rPr>
        <w:t>。</w:t>
      </w:r>
    </w:p>
    <w:p w:rsidR="00000000" w:rsidRDefault="00000000">
      <w:pPr>
        <w:pStyle w:val="Heading3"/>
        <w:rPr>
          <w:rFonts w:hint="eastAsia"/>
          <w:kern w:val="0"/>
        </w:rPr>
      </w:pPr>
      <w:r>
        <w:rPr>
          <w:kern w:val="0"/>
          <w:u w:val="none"/>
        </w:rPr>
        <w:br w:type="page"/>
      </w:r>
      <w:r>
        <w:rPr>
          <w:rFonts w:hint="eastAsia"/>
          <w:kern w:val="0"/>
          <w:u w:val="none"/>
        </w:rPr>
        <w:t>表</w:t>
      </w:r>
      <w:r>
        <w:rPr>
          <w:kern w:val="0"/>
          <w:u w:val="none"/>
        </w:rPr>
        <w:t xml:space="preserve"> 26.  </w:t>
      </w:r>
      <w:r>
        <w:rPr>
          <w:rFonts w:hint="eastAsia"/>
          <w:kern w:val="0"/>
        </w:rPr>
        <w:t>劳动、社会保障和家庭部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1134"/>
        <w:gridCol w:w="992"/>
        <w:gridCol w:w="992"/>
        <w:gridCol w:w="993"/>
        <w:gridCol w:w="992"/>
        <w:gridCol w:w="992"/>
        <w:gridCol w:w="993"/>
      </w:tblGrid>
      <w:tr w:rsidR="00000000">
        <w:tblPrEx>
          <w:tblCellMar>
            <w:top w:w="0" w:type="dxa"/>
            <w:bottom w:w="0" w:type="dxa"/>
          </w:tblCellMar>
        </w:tblPrEx>
        <w:trPr>
          <w:cantSplit/>
        </w:trPr>
        <w:tc>
          <w:tcPr>
            <w:tcW w:w="2268" w:type="dxa"/>
            <w:tcBorders>
              <w:bottom w:val="nil"/>
            </w:tcBorders>
          </w:tcPr>
          <w:p w:rsidR="00000000" w:rsidRDefault="00000000">
            <w:pPr>
              <w:spacing w:before="60" w:line="240" w:lineRule="auto"/>
              <w:jc w:val="center"/>
              <w:rPr>
                <w:snapToGrid/>
                <w:sz w:val="18"/>
              </w:rPr>
            </w:pPr>
          </w:p>
        </w:tc>
        <w:tc>
          <w:tcPr>
            <w:tcW w:w="1134" w:type="dxa"/>
            <w:tcBorders>
              <w:bottom w:val="nil"/>
            </w:tcBorders>
          </w:tcPr>
          <w:p w:rsidR="00000000" w:rsidRDefault="00000000">
            <w:pPr>
              <w:spacing w:before="60" w:line="240" w:lineRule="auto"/>
              <w:jc w:val="center"/>
              <w:rPr>
                <w:rFonts w:hint="eastAsia"/>
                <w:snapToGrid/>
                <w:sz w:val="18"/>
              </w:rPr>
            </w:pPr>
            <w:r>
              <w:rPr>
                <w:rFonts w:hint="eastAsia"/>
                <w:snapToGrid/>
                <w:sz w:val="18"/>
              </w:rPr>
              <w:t>衡量单位</w:t>
            </w:r>
          </w:p>
        </w:tc>
        <w:tc>
          <w:tcPr>
            <w:tcW w:w="5954" w:type="dxa"/>
            <w:gridSpan w:val="6"/>
          </w:tcPr>
          <w:p w:rsidR="00000000" w:rsidRDefault="00000000">
            <w:pPr>
              <w:spacing w:before="60" w:line="240" w:lineRule="auto"/>
              <w:jc w:val="center"/>
              <w:rPr>
                <w:rFonts w:hint="eastAsia"/>
                <w:snapToGrid/>
                <w:sz w:val="18"/>
              </w:rPr>
            </w:pPr>
            <w:r>
              <w:rPr>
                <w:rFonts w:hint="eastAsia"/>
                <w:snapToGrid/>
                <w:sz w:val="18"/>
              </w:rPr>
              <w:t>年</w:t>
            </w:r>
            <w:r>
              <w:rPr>
                <w:snapToGrid/>
                <w:sz w:val="18"/>
              </w:rPr>
              <w:t xml:space="preserve">  </w:t>
            </w:r>
            <w:r>
              <w:rPr>
                <w:rFonts w:hint="eastAsia"/>
                <w:snapToGrid/>
                <w:sz w:val="18"/>
              </w:rPr>
              <w:t>份</w:t>
            </w:r>
          </w:p>
        </w:tc>
      </w:tr>
      <w:tr w:rsidR="00000000">
        <w:tblPrEx>
          <w:tblCellMar>
            <w:top w:w="0" w:type="dxa"/>
            <w:bottom w:w="0" w:type="dxa"/>
          </w:tblCellMar>
        </w:tblPrEx>
        <w:tc>
          <w:tcPr>
            <w:tcW w:w="2268" w:type="dxa"/>
            <w:tcBorders>
              <w:top w:val="nil"/>
            </w:tcBorders>
          </w:tcPr>
          <w:p w:rsidR="00000000" w:rsidRDefault="00000000">
            <w:pPr>
              <w:spacing w:before="60" w:line="240" w:lineRule="auto"/>
              <w:jc w:val="center"/>
              <w:rPr>
                <w:snapToGrid/>
                <w:sz w:val="18"/>
              </w:rPr>
            </w:pPr>
          </w:p>
        </w:tc>
        <w:tc>
          <w:tcPr>
            <w:tcW w:w="1134" w:type="dxa"/>
            <w:tcBorders>
              <w:top w:val="nil"/>
            </w:tcBorders>
          </w:tcPr>
          <w:p w:rsidR="00000000" w:rsidRDefault="00000000">
            <w:pPr>
              <w:spacing w:before="60" w:line="240" w:lineRule="auto"/>
              <w:jc w:val="center"/>
              <w:rPr>
                <w:snapToGrid/>
                <w:sz w:val="18"/>
              </w:rPr>
            </w:pPr>
          </w:p>
        </w:tc>
        <w:tc>
          <w:tcPr>
            <w:tcW w:w="992" w:type="dxa"/>
          </w:tcPr>
          <w:p w:rsidR="00000000" w:rsidRDefault="00000000">
            <w:pPr>
              <w:spacing w:before="60" w:line="240" w:lineRule="auto"/>
              <w:jc w:val="center"/>
              <w:rPr>
                <w:snapToGrid/>
                <w:sz w:val="18"/>
              </w:rPr>
            </w:pPr>
            <w:r>
              <w:rPr>
                <w:snapToGrid/>
                <w:sz w:val="18"/>
              </w:rPr>
              <w:t>1992</w:t>
            </w:r>
          </w:p>
        </w:tc>
        <w:tc>
          <w:tcPr>
            <w:tcW w:w="992" w:type="dxa"/>
          </w:tcPr>
          <w:p w:rsidR="00000000" w:rsidRDefault="00000000">
            <w:pPr>
              <w:spacing w:before="60" w:line="240" w:lineRule="auto"/>
              <w:jc w:val="center"/>
              <w:rPr>
                <w:snapToGrid/>
                <w:sz w:val="18"/>
              </w:rPr>
            </w:pPr>
            <w:r>
              <w:rPr>
                <w:snapToGrid/>
                <w:sz w:val="18"/>
              </w:rPr>
              <w:t>1993</w:t>
            </w:r>
          </w:p>
        </w:tc>
        <w:tc>
          <w:tcPr>
            <w:tcW w:w="993" w:type="dxa"/>
          </w:tcPr>
          <w:p w:rsidR="00000000" w:rsidRDefault="00000000">
            <w:pPr>
              <w:spacing w:before="60" w:line="240" w:lineRule="auto"/>
              <w:jc w:val="center"/>
              <w:rPr>
                <w:snapToGrid/>
                <w:sz w:val="18"/>
              </w:rPr>
            </w:pPr>
            <w:r>
              <w:rPr>
                <w:snapToGrid/>
                <w:sz w:val="18"/>
              </w:rPr>
              <w:t>1994</w:t>
            </w:r>
          </w:p>
        </w:tc>
        <w:tc>
          <w:tcPr>
            <w:tcW w:w="992" w:type="dxa"/>
          </w:tcPr>
          <w:p w:rsidR="00000000" w:rsidRDefault="00000000">
            <w:pPr>
              <w:spacing w:before="60" w:line="240" w:lineRule="auto"/>
              <w:jc w:val="center"/>
              <w:rPr>
                <w:snapToGrid/>
                <w:sz w:val="18"/>
              </w:rPr>
            </w:pPr>
            <w:r>
              <w:rPr>
                <w:snapToGrid/>
                <w:sz w:val="18"/>
              </w:rPr>
              <w:t>1995</w:t>
            </w:r>
          </w:p>
        </w:tc>
        <w:tc>
          <w:tcPr>
            <w:tcW w:w="992" w:type="dxa"/>
          </w:tcPr>
          <w:p w:rsidR="00000000" w:rsidRDefault="00000000">
            <w:pPr>
              <w:spacing w:before="60" w:line="240" w:lineRule="auto"/>
              <w:jc w:val="center"/>
              <w:rPr>
                <w:snapToGrid/>
                <w:sz w:val="18"/>
              </w:rPr>
            </w:pPr>
            <w:r>
              <w:rPr>
                <w:snapToGrid/>
                <w:sz w:val="18"/>
              </w:rPr>
              <w:t>1996</w:t>
            </w:r>
          </w:p>
        </w:tc>
        <w:tc>
          <w:tcPr>
            <w:tcW w:w="993" w:type="dxa"/>
          </w:tcPr>
          <w:p w:rsidR="00000000" w:rsidRDefault="00000000">
            <w:pPr>
              <w:spacing w:before="60" w:line="240" w:lineRule="auto"/>
              <w:jc w:val="center"/>
              <w:rPr>
                <w:snapToGrid/>
                <w:sz w:val="18"/>
              </w:rPr>
            </w:pPr>
            <w:r>
              <w:rPr>
                <w:snapToGrid/>
                <w:sz w:val="18"/>
              </w:rPr>
              <w:t>1997</w:t>
            </w:r>
          </w:p>
        </w:tc>
      </w:tr>
      <w:tr w:rsidR="00000000">
        <w:tblPrEx>
          <w:tblCellMar>
            <w:top w:w="0" w:type="dxa"/>
            <w:bottom w:w="0" w:type="dxa"/>
          </w:tblCellMar>
        </w:tblPrEx>
        <w:tc>
          <w:tcPr>
            <w:tcW w:w="2268" w:type="dxa"/>
            <w:tcBorders>
              <w:bottom w:val="single" w:sz="4" w:space="0" w:color="auto"/>
            </w:tcBorders>
          </w:tcPr>
          <w:p w:rsidR="00000000" w:rsidRDefault="00000000">
            <w:pPr>
              <w:spacing w:before="60" w:line="240" w:lineRule="auto"/>
              <w:jc w:val="center"/>
              <w:rPr>
                <w:snapToGrid/>
                <w:sz w:val="18"/>
              </w:rPr>
            </w:pPr>
            <w:r>
              <w:rPr>
                <w:snapToGrid/>
                <w:sz w:val="18"/>
              </w:rPr>
              <w:t>1</w:t>
            </w:r>
          </w:p>
        </w:tc>
        <w:tc>
          <w:tcPr>
            <w:tcW w:w="1134" w:type="dxa"/>
            <w:tcBorders>
              <w:bottom w:val="single" w:sz="4" w:space="0" w:color="auto"/>
            </w:tcBorders>
          </w:tcPr>
          <w:p w:rsidR="00000000" w:rsidRDefault="00000000">
            <w:pPr>
              <w:spacing w:before="60" w:line="240" w:lineRule="auto"/>
              <w:jc w:val="center"/>
              <w:rPr>
                <w:snapToGrid/>
                <w:sz w:val="18"/>
              </w:rPr>
            </w:pPr>
            <w:r>
              <w:rPr>
                <w:snapToGrid/>
                <w:sz w:val="18"/>
              </w:rPr>
              <w:t>2</w:t>
            </w:r>
          </w:p>
        </w:tc>
        <w:tc>
          <w:tcPr>
            <w:tcW w:w="992" w:type="dxa"/>
            <w:tcBorders>
              <w:bottom w:val="single" w:sz="4" w:space="0" w:color="auto"/>
            </w:tcBorders>
          </w:tcPr>
          <w:p w:rsidR="00000000" w:rsidRDefault="00000000">
            <w:pPr>
              <w:spacing w:before="60" w:line="240" w:lineRule="auto"/>
              <w:jc w:val="center"/>
              <w:rPr>
                <w:snapToGrid/>
                <w:sz w:val="18"/>
              </w:rPr>
            </w:pPr>
            <w:r>
              <w:rPr>
                <w:snapToGrid/>
                <w:sz w:val="18"/>
              </w:rPr>
              <w:t>3</w:t>
            </w:r>
          </w:p>
        </w:tc>
        <w:tc>
          <w:tcPr>
            <w:tcW w:w="992" w:type="dxa"/>
            <w:tcBorders>
              <w:bottom w:val="single" w:sz="4" w:space="0" w:color="auto"/>
            </w:tcBorders>
          </w:tcPr>
          <w:p w:rsidR="00000000" w:rsidRDefault="00000000">
            <w:pPr>
              <w:spacing w:before="60" w:line="240" w:lineRule="auto"/>
              <w:jc w:val="center"/>
              <w:rPr>
                <w:snapToGrid/>
                <w:sz w:val="18"/>
              </w:rPr>
            </w:pPr>
            <w:r>
              <w:rPr>
                <w:snapToGrid/>
                <w:sz w:val="18"/>
              </w:rPr>
              <w:t>4</w:t>
            </w:r>
          </w:p>
        </w:tc>
        <w:tc>
          <w:tcPr>
            <w:tcW w:w="993" w:type="dxa"/>
            <w:tcBorders>
              <w:bottom w:val="single" w:sz="4" w:space="0" w:color="auto"/>
            </w:tcBorders>
          </w:tcPr>
          <w:p w:rsidR="00000000" w:rsidRDefault="00000000">
            <w:pPr>
              <w:spacing w:before="60" w:line="240" w:lineRule="auto"/>
              <w:jc w:val="center"/>
              <w:rPr>
                <w:snapToGrid/>
                <w:sz w:val="18"/>
              </w:rPr>
            </w:pPr>
            <w:r>
              <w:rPr>
                <w:snapToGrid/>
                <w:sz w:val="18"/>
              </w:rPr>
              <w:t>5</w:t>
            </w:r>
          </w:p>
        </w:tc>
        <w:tc>
          <w:tcPr>
            <w:tcW w:w="992" w:type="dxa"/>
            <w:tcBorders>
              <w:bottom w:val="single" w:sz="4" w:space="0" w:color="auto"/>
            </w:tcBorders>
          </w:tcPr>
          <w:p w:rsidR="00000000" w:rsidRDefault="00000000">
            <w:pPr>
              <w:spacing w:before="60" w:line="240" w:lineRule="auto"/>
              <w:jc w:val="center"/>
              <w:rPr>
                <w:snapToGrid/>
                <w:sz w:val="18"/>
              </w:rPr>
            </w:pPr>
            <w:r>
              <w:rPr>
                <w:snapToGrid/>
                <w:sz w:val="18"/>
              </w:rPr>
              <w:t>6</w:t>
            </w:r>
          </w:p>
        </w:tc>
        <w:tc>
          <w:tcPr>
            <w:tcW w:w="992" w:type="dxa"/>
            <w:tcBorders>
              <w:bottom w:val="single" w:sz="4" w:space="0" w:color="auto"/>
            </w:tcBorders>
          </w:tcPr>
          <w:p w:rsidR="00000000" w:rsidRDefault="00000000">
            <w:pPr>
              <w:spacing w:before="60" w:line="240" w:lineRule="auto"/>
              <w:jc w:val="center"/>
              <w:rPr>
                <w:snapToGrid/>
                <w:sz w:val="18"/>
              </w:rPr>
            </w:pPr>
            <w:r>
              <w:rPr>
                <w:snapToGrid/>
                <w:sz w:val="18"/>
              </w:rPr>
              <w:t>7</w:t>
            </w:r>
          </w:p>
        </w:tc>
        <w:tc>
          <w:tcPr>
            <w:tcW w:w="993" w:type="dxa"/>
            <w:tcBorders>
              <w:bottom w:val="single" w:sz="4" w:space="0" w:color="auto"/>
            </w:tcBorders>
          </w:tcPr>
          <w:p w:rsidR="00000000" w:rsidRDefault="00000000">
            <w:pPr>
              <w:spacing w:before="60" w:line="240" w:lineRule="auto"/>
              <w:jc w:val="center"/>
              <w:rPr>
                <w:snapToGrid/>
                <w:sz w:val="18"/>
              </w:rPr>
            </w:pPr>
            <w:r>
              <w:rPr>
                <w:snapToGrid/>
                <w:sz w:val="18"/>
              </w:rPr>
              <w:t>8</w:t>
            </w:r>
          </w:p>
        </w:tc>
      </w:tr>
      <w:tr w:rsidR="00000000">
        <w:tblPrEx>
          <w:tblCellMar>
            <w:top w:w="0" w:type="dxa"/>
            <w:bottom w:w="0" w:type="dxa"/>
          </w:tblCellMar>
        </w:tblPrEx>
        <w:tc>
          <w:tcPr>
            <w:tcW w:w="2268" w:type="dxa"/>
            <w:tcBorders>
              <w:bottom w:val="nil"/>
            </w:tcBorders>
          </w:tcPr>
          <w:p w:rsidR="00000000" w:rsidRDefault="00000000">
            <w:pPr>
              <w:spacing w:before="60" w:line="240" w:lineRule="auto"/>
              <w:rPr>
                <w:rFonts w:hint="eastAsia"/>
                <w:snapToGrid/>
                <w:sz w:val="18"/>
              </w:rPr>
            </w:pPr>
            <w:r>
              <w:rPr>
                <w:rFonts w:hint="eastAsia"/>
                <w:snapToGrid/>
                <w:sz w:val="18"/>
              </w:rPr>
              <w:t>领取养恤金的人，总数</w:t>
            </w:r>
          </w:p>
        </w:tc>
        <w:tc>
          <w:tcPr>
            <w:tcW w:w="1134" w:type="dxa"/>
            <w:tcBorders>
              <w:bottom w:val="nil"/>
            </w:tcBorders>
          </w:tcPr>
          <w:p w:rsidR="00000000" w:rsidRDefault="00000000">
            <w:pPr>
              <w:spacing w:before="60" w:line="240" w:lineRule="auto"/>
              <w:jc w:val="center"/>
              <w:rPr>
                <w:rFonts w:hint="eastAsia"/>
                <w:snapToGrid/>
                <w:sz w:val="18"/>
              </w:rPr>
            </w:pPr>
            <w:r>
              <w:rPr>
                <w:rFonts w:hint="eastAsia"/>
                <w:snapToGrid/>
                <w:sz w:val="18"/>
              </w:rPr>
              <w:t>千</w:t>
            </w:r>
          </w:p>
        </w:tc>
        <w:tc>
          <w:tcPr>
            <w:tcW w:w="992" w:type="dxa"/>
            <w:tcBorders>
              <w:bottom w:val="nil"/>
            </w:tcBorders>
          </w:tcPr>
          <w:p w:rsidR="00000000" w:rsidRDefault="00000000">
            <w:pPr>
              <w:spacing w:before="60" w:line="240" w:lineRule="auto"/>
              <w:jc w:val="center"/>
              <w:rPr>
                <w:snapToGrid/>
                <w:sz w:val="18"/>
              </w:rPr>
            </w:pPr>
            <w:r>
              <w:rPr>
                <w:snapToGrid/>
                <w:sz w:val="18"/>
              </w:rPr>
              <w:t>727.4</w:t>
            </w:r>
          </w:p>
        </w:tc>
        <w:tc>
          <w:tcPr>
            <w:tcW w:w="992" w:type="dxa"/>
            <w:tcBorders>
              <w:bottom w:val="nil"/>
            </w:tcBorders>
          </w:tcPr>
          <w:p w:rsidR="00000000" w:rsidRDefault="00000000">
            <w:pPr>
              <w:spacing w:before="60" w:line="240" w:lineRule="auto"/>
              <w:jc w:val="center"/>
              <w:rPr>
                <w:snapToGrid/>
                <w:sz w:val="18"/>
              </w:rPr>
            </w:pPr>
            <w:r>
              <w:rPr>
                <w:snapToGrid/>
                <w:sz w:val="18"/>
              </w:rPr>
              <w:t>743.6</w:t>
            </w:r>
          </w:p>
        </w:tc>
        <w:tc>
          <w:tcPr>
            <w:tcW w:w="993" w:type="dxa"/>
            <w:tcBorders>
              <w:bottom w:val="nil"/>
            </w:tcBorders>
          </w:tcPr>
          <w:p w:rsidR="00000000" w:rsidRDefault="00000000">
            <w:pPr>
              <w:spacing w:before="60" w:line="240" w:lineRule="auto"/>
              <w:jc w:val="center"/>
              <w:rPr>
                <w:snapToGrid/>
                <w:sz w:val="18"/>
              </w:rPr>
            </w:pPr>
            <w:r>
              <w:rPr>
                <w:snapToGrid/>
                <w:sz w:val="18"/>
              </w:rPr>
              <w:t>746.7</w:t>
            </w:r>
          </w:p>
        </w:tc>
        <w:tc>
          <w:tcPr>
            <w:tcW w:w="992" w:type="dxa"/>
            <w:tcBorders>
              <w:bottom w:val="nil"/>
            </w:tcBorders>
          </w:tcPr>
          <w:p w:rsidR="00000000" w:rsidRDefault="00000000">
            <w:pPr>
              <w:spacing w:before="60" w:line="240" w:lineRule="auto"/>
              <w:jc w:val="center"/>
              <w:rPr>
                <w:snapToGrid/>
                <w:sz w:val="18"/>
              </w:rPr>
            </w:pPr>
            <w:r>
              <w:rPr>
                <w:snapToGrid/>
                <w:sz w:val="18"/>
              </w:rPr>
              <w:t>750.5</w:t>
            </w:r>
          </w:p>
        </w:tc>
        <w:tc>
          <w:tcPr>
            <w:tcW w:w="992" w:type="dxa"/>
            <w:tcBorders>
              <w:bottom w:val="nil"/>
            </w:tcBorders>
          </w:tcPr>
          <w:p w:rsidR="00000000" w:rsidRDefault="00000000">
            <w:pPr>
              <w:spacing w:before="60" w:line="240" w:lineRule="auto"/>
              <w:jc w:val="center"/>
              <w:rPr>
                <w:snapToGrid/>
                <w:sz w:val="18"/>
              </w:rPr>
            </w:pPr>
            <w:r>
              <w:rPr>
                <w:snapToGrid/>
                <w:sz w:val="18"/>
              </w:rPr>
              <w:t>754.8</w:t>
            </w:r>
          </w:p>
        </w:tc>
        <w:tc>
          <w:tcPr>
            <w:tcW w:w="993" w:type="dxa"/>
            <w:tcBorders>
              <w:bottom w:val="nil"/>
            </w:tcBorders>
          </w:tcPr>
          <w:p w:rsidR="00000000" w:rsidRDefault="00000000">
            <w:pPr>
              <w:spacing w:before="60" w:line="240" w:lineRule="auto"/>
              <w:jc w:val="center"/>
              <w:rPr>
                <w:snapToGrid/>
                <w:sz w:val="18"/>
              </w:rPr>
            </w:pPr>
            <w:r>
              <w:rPr>
                <w:snapToGrid/>
                <w:sz w:val="18"/>
              </w:rPr>
              <w:t>757.0</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平均养恤金</w:t>
            </w:r>
          </w:p>
        </w:tc>
        <w:tc>
          <w:tcPr>
            <w:tcW w:w="1134" w:type="dxa"/>
            <w:tcBorders>
              <w:top w:val="nil"/>
              <w:bottom w:val="nil"/>
            </w:tcBorders>
          </w:tcPr>
          <w:p w:rsidR="00000000" w:rsidRDefault="00000000">
            <w:pPr>
              <w:spacing w:line="240" w:lineRule="auto"/>
              <w:jc w:val="center"/>
              <w:rPr>
                <w:snapToGrid/>
                <w:sz w:val="18"/>
              </w:rPr>
            </w:pPr>
            <w:r>
              <w:rPr>
                <w:snapToGrid/>
                <w:sz w:val="18"/>
              </w:rPr>
              <w:t>列依</w:t>
            </w:r>
          </w:p>
        </w:tc>
        <w:tc>
          <w:tcPr>
            <w:tcW w:w="992" w:type="dxa"/>
            <w:tcBorders>
              <w:top w:val="nil"/>
              <w:bottom w:val="nil"/>
            </w:tcBorders>
          </w:tcPr>
          <w:p w:rsidR="00000000" w:rsidRDefault="00000000">
            <w:pPr>
              <w:spacing w:line="240" w:lineRule="auto"/>
              <w:jc w:val="center"/>
              <w:rPr>
                <w:snapToGrid/>
                <w:sz w:val="18"/>
              </w:rPr>
            </w:pPr>
            <w:r>
              <w:rPr>
                <w:snapToGrid/>
                <w:sz w:val="18"/>
              </w:rPr>
              <w:t>2.09</w:t>
            </w:r>
          </w:p>
        </w:tc>
        <w:tc>
          <w:tcPr>
            <w:tcW w:w="992" w:type="dxa"/>
            <w:tcBorders>
              <w:top w:val="nil"/>
              <w:bottom w:val="nil"/>
            </w:tcBorders>
          </w:tcPr>
          <w:p w:rsidR="00000000" w:rsidRDefault="00000000">
            <w:pPr>
              <w:spacing w:line="240" w:lineRule="auto"/>
              <w:jc w:val="center"/>
              <w:rPr>
                <w:snapToGrid/>
                <w:sz w:val="18"/>
              </w:rPr>
            </w:pPr>
            <w:r>
              <w:rPr>
                <w:snapToGrid/>
                <w:sz w:val="18"/>
              </w:rPr>
              <w:t>18.83</w:t>
            </w:r>
          </w:p>
        </w:tc>
        <w:tc>
          <w:tcPr>
            <w:tcW w:w="993" w:type="dxa"/>
            <w:tcBorders>
              <w:top w:val="nil"/>
              <w:bottom w:val="nil"/>
            </w:tcBorders>
          </w:tcPr>
          <w:p w:rsidR="00000000" w:rsidRDefault="00000000">
            <w:pPr>
              <w:spacing w:line="240" w:lineRule="auto"/>
              <w:jc w:val="center"/>
              <w:rPr>
                <w:snapToGrid/>
                <w:sz w:val="18"/>
              </w:rPr>
            </w:pPr>
            <w:r>
              <w:rPr>
                <w:snapToGrid/>
                <w:sz w:val="18"/>
              </w:rPr>
              <w:t>55.16</w:t>
            </w:r>
          </w:p>
        </w:tc>
        <w:tc>
          <w:tcPr>
            <w:tcW w:w="992" w:type="dxa"/>
            <w:tcBorders>
              <w:top w:val="nil"/>
              <w:bottom w:val="nil"/>
            </w:tcBorders>
          </w:tcPr>
          <w:p w:rsidR="00000000" w:rsidRDefault="00000000">
            <w:pPr>
              <w:spacing w:line="240" w:lineRule="auto"/>
              <w:jc w:val="center"/>
              <w:rPr>
                <w:snapToGrid/>
                <w:sz w:val="18"/>
              </w:rPr>
            </w:pPr>
            <w:r>
              <w:rPr>
                <w:snapToGrid/>
                <w:sz w:val="18"/>
              </w:rPr>
              <w:t>64.30</w:t>
            </w:r>
          </w:p>
        </w:tc>
        <w:tc>
          <w:tcPr>
            <w:tcW w:w="992" w:type="dxa"/>
            <w:tcBorders>
              <w:top w:val="nil"/>
              <w:bottom w:val="nil"/>
            </w:tcBorders>
          </w:tcPr>
          <w:p w:rsidR="00000000" w:rsidRDefault="00000000">
            <w:pPr>
              <w:spacing w:line="240" w:lineRule="auto"/>
              <w:jc w:val="center"/>
              <w:rPr>
                <w:snapToGrid/>
                <w:sz w:val="18"/>
              </w:rPr>
            </w:pPr>
            <w:r>
              <w:rPr>
                <w:snapToGrid/>
                <w:sz w:val="18"/>
              </w:rPr>
              <w:t>78.67</w:t>
            </w:r>
          </w:p>
        </w:tc>
        <w:tc>
          <w:tcPr>
            <w:tcW w:w="993" w:type="dxa"/>
            <w:tcBorders>
              <w:top w:val="nil"/>
              <w:bottom w:val="nil"/>
            </w:tcBorders>
          </w:tcPr>
          <w:p w:rsidR="00000000" w:rsidRDefault="00000000">
            <w:pPr>
              <w:spacing w:line="240" w:lineRule="auto"/>
              <w:jc w:val="center"/>
              <w:rPr>
                <w:snapToGrid/>
                <w:sz w:val="18"/>
              </w:rPr>
            </w:pPr>
            <w:r>
              <w:rPr>
                <w:snapToGrid/>
                <w:sz w:val="18"/>
              </w:rPr>
              <w:t>82.80</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有工作的养恤金领取人</w:t>
            </w:r>
          </w:p>
        </w:tc>
        <w:tc>
          <w:tcPr>
            <w:tcW w:w="1134" w:type="dxa"/>
            <w:tcBorders>
              <w:top w:val="nil"/>
              <w:bottom w:val="nil"/>
            </w:tcBorders>
          </w:tcPr>
          <w:p w:rsidR="00000000" w:rsidRDefault="00000000">
            <w:pPr>
              <w:spacing w:line="240" w:lineRule="auto"/>
              <w:jc w:val="center"/>
              <w:rPr>
                <w:snapToGrid/>
                <w:sz w:val="18"/>
              </w:rPr>
            </w:pPr>
            <w:r>
              <w:rPr>
                <w:snapToGrid/>
                <w:sz w:val="18"/>
              </w:rPr>
              <w:t>千</w:t>
            </w:r>
            <w:r>
              <w:rPr>
                <w:snapToGrid/>
                <w:sz w:val="18"/>
              </w:rPr>
              <w:br/>
              <w:t>%</w:t>
            </w:r>
          </w:p>
        </w:tc>
        <w:tc>
          <w:tcPr>
            <w:tcW w:w="992" w:type="dxa"/>
            <w:tcBorders>
              <w:top w:val="nil"/>
              <w:bottom w:val="nil"/>
            </w:tcBorders>
          </w:tcPr>
          <w:p w:rsidR="00000000" w:rsidRDefault="00000000">
            <w:pPr>
              <w:spacing w:line="240" w:lineRule="auto"/>
              <w:jc w:val="center"/>
              <w:rPr>
                <w:snapToGrid/>
                <w:sz w:val="18"/>
              </w:rPr>
            </w:pPr>
            <w:r>
              <w:rPr>
                <w:snapToGrid/>
                <w:sz w:val="18"/>
              </w:rPr>
              <w:t>43.5</w:t>
            </w:r>
            <w:r>
              <w:rPr>
                <w:snapToGrid/>
                <w:sz w:val="18"/>
              </w:rPr>
              <w:br/>
              <w:t>5.98</w:t>
            </w:r>
          </w:p>
        </w:tc>
        <w:tc>
          <w:tcPr>
            <w:tcW w:w="992" w:type="dxa"/>
            <w:tcBorders>
              <w:top w:val="nil"/>
              <w:bottom w:val="nil"/>
            </w:tcBorders>
          </w:tcPr>
          <w:p w:rsidR="00000000" w:rsidRDefault="00000000">
            <w:pPr>
              <w:spacing w:line="240" w:lineRule="auto"/>
              <w:jc w:val="center"/>
              <w:rPr>
                <w:snapToGrid/>
                <w:sz w:val="18"/>
              </w:rPr>
            </w:pPr>
            <w:r>
              <w:rPr>
                <w:snapToGrid/>
                <w:sz w:val="18"/>
              </w:rPr>
              <w:t>41.6</w:t>
            </w:r>
            <w:r>
              <w:rPr>
                <w:snapToGrid/>
                <w:sz w:val="18"/>
              </w:rPr>
              <w:br/>
              <w:t>5.59</w:t>
            </w:r>
          </w:p>
        </w:tc>
        <w:tc>
          <w:tcPr>
            <w:tcW w:w="993" w:type="dxa"/>
            <w:tcBorders>
              <w:top w:val="nil"/>
              <w:bottom w:val="nil"/>
            </w:tcBorders>
          </w:tcPr>
          <w:p w:rsidR="00000000" w:rsidRDefault="00000000">
            <w:pPr>
              <w:spacing w:line="240" w:lineRule="auto"/>
              <w:jc w:val="center"/>
              <w:rPr>
                <w:snapToGrid/>
                <w:sz w:val="18"/>
              </w:rPr>
            </w:pPr>
            <w:r>
              <w:rPr>
                <w:snapToGrid/>
                <w:sz w:val="18"/>
              </w:rPr>
              <w:t>48.7</w:t>
            </w:r>
            <w:r>
              <w:rPr>
                <w:snapToGrid/>
                <w:sz w:val="18"/>
              </w:rPr>
              <w:br/>
              <w:t>6.52</w:t>
            </w:r>
          </w:p>
        </w:tc>
        <w:tc>
          <w:tcPr>
            <w:tcW w:w="992" w:type="dxa"/>
            <w:tcBorders>
              <w:top w:val="nil"/>
              <w:bottom w:val="nil"/>
            </w:tcBorders>
          </w:tcPr>
          <w:p w:rsidR="00000000" w:rsidRDefault="00000000">
            <w:pPr>
              <w:spacing w:line="240" w:lineRule="auto"/>
              <w:jc w:val="center"/>
              <w:rPr>
                <w:snapToGrid/>
                <w:sz w:val="18"/>
              </w:rPr>
            </w:pPr>
            <w:r>
              <w:rPr>
                <w:snapToGrid/>
                <w:sz w:val="18"/>
              </w:rPr>
              <w:t>58.8</w:t>
            </w:r>
            <w:r>
              <w:rPr>
                <w:snapToGrid/>
                <w:sz w:val="18"/>
              </w:rPr>
              <w:br/>
              <w:t>7.83</w:t>
            </w:r>
          </w:p>
        </w:tc>
        <w:tc>
          <w:tcPr>
            <w:tcW w:w="992" w:type="dxa"/>
            <w:tcBorders>
              <w:top w:val="nil"/>
              <w:bottom w:val="nil"/>
            </w:tcBorders>
          </w:tcPr>
          <w:p w:rsidR="00000000" w:rsidRDefault="00000000">
            <w:pPr>
              <w:spacing w:line="240" w:lineRule="auto"/>
              <w:jc w:val="center"/>
              <w:rPr>
                <w:snapToGrid/>
                <w:sz w:val="18"/>
              </w:rPr>
            </w:pPr>
            <w:r>
              <w:rPr>
                <w:snapToGrid/>
                <w:sz w:val="18"/>
              </w:rPr>
              <w:t>53.6</w:t>
            </w:r>
            <w:r>
              <w:rPr>
                <w:snapToGrid/>
                <w:sz w:val="18"/>
              </w:rPr>
              <w:br/>
              <w:t>7.10</w:t>
            </w:r>
          </w:p>
        </w:tc>
        <w:tc>
          <w:tcPr>
            <w:tcW w:w="993" w:type="dxa"/>
            <w:tcBorders>
              <w:top w:val="nil"/>
              <w:bottom w:val="nil"/>
            </w:tcBorders>
          </w:tcPr>
          <w:p w:rsidR="00000000" w:rsidRDefault="00000000">
            <w:pPr>
              <w:spacing w:line="240" w:lineRule="auto"/>
              <w:jc w:val="center"/>
              <w:rPr>
                <w:snapToGrid/>
                <w:sz w:val="18"/>
              </w:rPr>
            </w:pPr>
            <w:r>
              <w:rPr>
                <w:snapToGrid/>
                <w:sz w:val="18"/>
              </w:rPr>
              <w:t>51.7</w:t>
            </w:r>
            <w:r>
              <w:rPr>
                <w:snapToGrid/>
                <w:sz w:val="18"/>
              </w:rPr>
              <w:br/>
              <w:t>6.83</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snapToGrid/>
                <w:sz w:val="18"/>
              </w:rPr>
            </w:pPr>
            <w:r>
              <w:rPr>
                <w:rFonts w:hint="eastAsia"/>
                <w:snapToGrid/>
                <w:sz w:val="18"/>
              </w:rPr>
              <w:t>领取一项养恤金的人数及在养恤金受益者总数中的比例</w:t>
            </w:r>
            <w:r>
              <w:rPr>
                <w:snapToGrid/>
                <w:sz w:val="18"/>
              </w:rPr>
              <w:t xml:space="preserve"> </w:t>
            </w:r>
          </w:p>
        </w:tc>
        <w:tc>
          <w:tcPr>
            <w:tcW w:w="1134" w:type="dxa"/>
            <w:tcBorders>
              <w:top w:val="nil"/>
              <w:bottom w:val="nil"/>
            </w:tcBorders>
          </w:tcPr>
          <w:p w:rsidR="00000000" w:rsidRDefault="00000000">
            <w:pPr>
              <w:spacing w:line="240" w:lineRule="auto"/>
              <w:jc w:val="center"/>
              <w:rPr>
                <w:snapToGrid/>
                <w:sz w:val="18"/>
              </w:rPr>
            </w:pPr>
          </w:p>
        </w:tc>
        <w:tc>
          <w:tcPr>
            <w:tcW w:w="992" w:type="dxa"/>
            <w:tcBorders>
              <w:top w:val="nil"/>
              <w:bottom w:val="nil"/>
            </w:tcBorders>
          </w:tcPr>
          <w:p w:rsidR="00000000" w:rsidRDefault="00000000">
            <w:pPr>
              <w:spacing w:line="240" w:lineRule="auto"/>
              <w:jc w:val="center"/>
              <w:rPr>
                <w:snapToGrid/>
                <w:sz w:val="18"/>
              </w:rPr>
            </w:pPr>
          </w:p>
        </w:tc>
        <w:tc>
          <w:tcPr>
            <w:tcW w:w="992" w:type="dxa"/>
            <w:tcBorders>
              <w:top w:val="nil"/>
              <w:bottom w:val="nil"/>
            </w:tcBorders>
          </w:tcPr>
          <w:p w:rsidR="00000000" w:rsidRDefault="00000000">
            <w:pPr>
              <w:spacing w:line="240" w:lineRule="auto"/>
              <w:jc w:val="center"/>
              <w:rPr>
                <w:snapToGrid/>
                <w:sz w:val="18"/>
              </w:rPr>
            </w:pPr>
          </w:p>
        </w:tc>
        <w:tc>
          <w:tcPr>
            <w:tcW w:w="993" w:type="dxa"/>
            <w:tcBorders>
              <w:top w:val="nil"/>
              <w:bottom w:val="nil"/>
            </w:tcBorders>
          </w:tcPr>
          <w:p w:rsidR="00000000" w:rsidRDefault="00000000">
            <w:pPr>
              <w:spacing w:line="240" w:lineRule="auto"/>
              <w:jc w:val="center"/>
              <w:rPr>
                <w:snapToGrid/>
                <w:sz w:val="18"/>
              </w:rPr>
            </w:pPr>
          </w:p>
        </w:tc>
        <w:tc>
          <w:tcPr>
            <w:tcW w:w="992" w:type="dxa"/>
            <w:tcBorders>
              <w:top w:val="nil"/>
              <w:bottom w:val="nil"/>
            </w:tcBorders>
          </w:tcPr>
          <w:p w:rsidR="00000000" w:rsidRDefault="00000000">
            <w:pPr>
              <w:spacing w:line="240" w:lineRule="auto"/>
              <w:jc w:val="center"/>
              <w:rPr>
                <w:snapToGrid/>
                <w:sz w:val="18"/>
              </w:rPr>
            </w:pPr>
          </w:p>
        </w:tc>
        <w:tc>
          <w:tcPr>
            <w:tcW w:w="992" w:type="dxa"/>
            <w:tcBorders>
              <w:top w:val="nil"/>
              <w:bottom w:val="nil"/>
            </w:tcBorders>
          </w:tcPr>
          <w:p w:rsidR="00000000" w:rsidRDefault="00000000">
            <w:pPr>
              <w:spacing w:line="240" w:lineRule="auto"/>
              <w:jc w:val="center"/>
              <w:rPr>
                <w:snapToGrid/>
                <w:sz w:val="18"/>
              </w:rPr>
            </w:pPr>
          </w:p>
        </w:tc>
        <w:tc>
          <w:tcPr>
            <w:tcW w:w="993" w:type="dxa"/>
            <w:tcBorders>
              <w:top w:val="nil"/>
              <w:bottom w:val="nil"/>
            </w:tcBorders>
          </w:tcPr>
          <w:p w:rsidR="00000000" w:rsidRDefault="00000000">
            <w:pPr>
              <w:spacing w:line="240" w:lineRule="auto"/>
              <w:jc w:val="center"/>
              <w:rPr>
                <w:snapToGrid/>
                <w:sz w:val="18"/>
              </w:rPr>
            </w:pP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snapToGrid/>
                <w:sz w:val="18"/>
              </w:rPr>
            </w:pPr>
            <w:r>
              <w:rPr>
                <w:rFonts w:hint="eastAsia"/>
                <w:snapToGrid/>
                <w:sz w:val="18"/>
              </w:rPr>
              <w:t>补贴</w:t>
            </w:r>
            <w:r>
              <w:rPr>
                <w:snapToGrid/>
                <w:sz w:val="18"/>
              </w:rPr>
              <w:br/>
            </w:r>
          </w:p>
        </w:tc>
        <w:tc>
          <w:tcPr>
            <w:tcW w:w="1134" w:type="dxa"/>
            <w:tcBorders>
              <w:top w:val="nil"/>
              <w:bottom w:val="nil"/>
            </w:tcBorders>
          </w:tcPr>
          <w:p w:rsidR="00000000" w:rsidRDefault="00000000">
            <w:pPr>
              <w:spacing w:line="240" w:lineRule="auto"/>
              <w:jc w:val="center"/>
              <w:rPr>
                <w:snapToGrid/>
                <w:sz w:val="18"/>
              </w:rPr>
            </w:pPr>
            <w:r>
              <w:rPr>
                <w:snapToGrid/>
                <w:sz w:val="18"/>
              </w:rPr>
              <w:t>千</w:t>
            </w:r>
            <w:r>
              <w:rPr>
                <w:snapToGrid/>
                <w:sz w:val="18"/>
              </w:rPr>
              <w:t xml:space="preserve"> </w:t>
            </w:r>
            <w:r>
              <w:rPr>
                <w:snapToGrid/>
                <w:sz w:val="18"/>
              </w:rPr>
              <w:br/>
              <w:t>%</w:t>
            </w:r>
          </w:p>
        </w:tc>
        <w:tc>
          <w:tcPr>
            <w:tcW w:w="992" w:type="dxa"/>
            <w:tcBorders>
              <w:top w:val="nil"/>
              <w:bottom w:val="nil"/>
            </w:tcBorders>
          </w:tcPr>
          <w:p w:rsidR="00000000" w:rsidRDefault="00000000">
            <w:pPr>
              <w:spacing w:line="240" w:lineRule="auto"/>
              <w:jc w:val="center"/>
              <w:rPr>
                <w:snapToGrid/>
                <w:sz w:val="18"/>
              </w:rPr>
            </w:pPr>
            <w:r>
              <w:rPr>
                <w:snapToGrid/>
                <w:sz w:val="18"/>
              </w:rPr>
              <w:t>551.4</w:t>
            </w:r>
            <w:r>
              <w:rPr>
                <w:snapToGrid/>
                <w:sz w:val="18"/>
              </w:rPr>
              <w:br/>
              <w:t>75.81</w:t>
            </w:r>
          </w:p>
        </w:tc>
        <w:tc>
          <w:tcPr>
            <w:tcW w:w="992" w:type="dxa"/>
            <w:tcBorders>
              <w:top w:val="nil"/>
              <w:bottom w:val="nil"/>
            </w:tcBorders>
          </w:tcPr>
          <w:p w:rsidR="00000000" w:rsidRDefault="00000000">
            <w:pPr>
              <w:spacing w:line="240" w:lineRule="auto"/>
              <w:jc w:val="center"/>
              <w:rPr>
                <w:snapToGrid/>
                <w:sz w:val="18"/>
              </w:rPr>
            </w:pPr>
            <w:r>
              <w:rPr>
                <w:snapToGrid/>
                <w:sz w:val="18"/>
              </w:rPr>
              <w:t>562.3</w:t>
            </w:r>
            <w:r>
              <w:rPr>
                <w:snapToGrid/>
                <w:sz w:val="18"/>
              </w:rPr>
              <w:br/>
              <w:t>75.62</w:t>
            </w:r>
          </w:p>
        </w:tc>
        <w:tc>
          <w:tcPr>
            <w:tcW w:w="993" w:type="dxa"/>
            <w:tcBorders>
              <w:top w:val="nil"/>
              <w:bottom w:val="nil"/>
            </w:tcBorders>
          </w:tcPr>
          <w:p w:rsidR="00000000" w:rsidRDefault="00000000">
            <w:pPr>
              <w:spacing w:line="240" w:lineRule="auto"/>
              <w:jc w:val="center"/>
              <w:rPr>
                <w:snapToGrid/>
                <w:sz w:val="18"/>
              </w:rPr>
            </w:pPr>
            <w:r>
              <w:rPr>
                <w:snapToGrid/>
                <w:sz w:val="18"/>
              </w:rPr>
              <w:t>563.9</w:t>
            </w:r>
            <w:r>
              <w:rPr>
                <w:snapToGrid/>
                <w:sz w:val="18"/>
              </w:rPr>
              <w:br/>
              <w:t>75.52</w:t>
            </w:r>
          </w:p>
        </w:tc>
        <w:tc>
          <w:tcPr>
            <w:tcW w:w="992" w:type="dxa"/>
            <w:tcBorders>
              <w:top w:val="nil"/>
              <w:bottom w:val="nil"/>
            </w:tcBorders>
          </w:tcPr>
          <w:p w:rsidR="00000000" w:rsidRDefault="00000000">
            <w:pPr>
              <w:spacing w:line="240" w:lineRule="auto"/>
              <w:jc w:val="center"/>
              <w:rPr>
                <w:snapToGrid/>
                <w:sz w:val="18"/>
              </w:rPr>
            </w:pPr>
            <w:r>
              <w:rPr>
                <w:snapToGrid/>
                <w:sz w:val="18"/>
              </w:rPr>
              <w:t>562.9</w:t>
            </w:r>
            <w:r>
              <w:rPr>
                <w:snapToGrid/>
                <w:sz w:val="18"/>
              </w:rPr>
              <w:br/>
              <w:t>75.00</w:t>
            </w:r>
          </w:p>
        </w:tc>
        <w:tc>
          <w:tcPr>
            <w:tcW w:w="992" w:type="dxa"/>
            <w:tcBorders>
              <w:top w:val="nil"/>
              <w:bottom w:val="nil"/>
            </w:tcBorders>
          </w:tcPr>
          <w:p w:rsidR="00000000" w:rsidRDefault="00000000">
            <w:pPr>
              <w:spacing w:line="240" w:lineRule="auto"/>
              <w:jc w:val="center"/>
              <w:rPr>
                <w:snapToGrid/>
                <w:sz w:val="18"/>
              </w:rPr>
            </w:pPr>
            <w:r>
              <w:rPr>
                <w:snapToGrid/>
                <w:sz w:val="18"/>
              </w:rPr>
              <w:t>562.7</w:t>
            </w:r>
            <w:r>
              <w:rPr>
                <w:snapToGrid/>
                <w:sz w:val="18"/>
              </w:rPr>
              <w:br/>
              <w:t>74.55</w:t>
            </w:r>
          </w:p>
        </w:tc>
        <w:tc>
          <w:tcPr>
            <w:tcW w:w="993" w:type="dxa"/>
            <w:tcBorders>
              <w:top w:val="nil"/>
              <w:bottom w:val="nil"/>
            </w:tcBorders>
          </w:tcPr>
          <w:p w:rsidR="00000000" w:rsidRDefault="00000000">
            <w:pPr>
              <w:spacing w:line="240" w:lineRule="auto"/>
              <w:jc w:val="center"/>
              <w:rPr>
                <w:snapToGrid/>
                <w:sz w:val="18"/>
              </w:rPr>
            </w:pPr>
            <w:r>
              <w:rPr>
                <w:snapToGrid/>
                <w:sz w:val="18"/>
              </w:rPr>
              <w:t>560.4</w:t>
            </w:r>
            <w:r>
              <w:rPr>
                <w:snapToGrid/>
                <w:sz w:val="18"/>
              </w:rPr>
              <w:br/>
              <w:t>74.03</w:t>
            </w:r>
          </w:p>
        </w:tc>
      </w:tr>
      <w:tr w:rsidR="00000000">
        <w:tblPrEx>
          <w:tblCellMar>
            <w:top w:w="0" w:type="dxa"/>
            <w:bottom w:w="0" w:type="dxa"/>
          </w:tblCellMar>
        </w:tblPrEx>
        <w:tc>
          <w:tcPr>
            <w:tcW w:w="2268" w:type="dxa"/>
            <w:tcBorders>
              <w:top w:val="nil"/>
              <w:left w:val="single" w:sz="4" w:space="0" w:color="auto"/>
              <w:bottom w:val="nil"/>
            </w:tcBorders>
          </w:tcPr>
          <w:p w:rsidR="00000000" w:rsidRDefault="00000000">
            <w:pPr>
              <w:spacing w:line="240" w:lineRule="auto"/>
              <w:rPr>
                <w:snapToGrid/>
                <w:sz w:val="18"/>
              </w:rPr>
            </w:pPr>
            <w:r>
              <w:rPr>
                <w:rFonts w:hint="eastAsia"/>
                <w:snapToGrid/>
                <w:sz w:val="18"/>
              </w:rPr>
              <w:t>平均养恤金</w:t>
            </w:r>
          </w:p>
        </w:tc>
        <w:tc>
          <w:tcPr>
            <w:tcW w:w="1134" w:type="dxa"/>
            <w:tcBorders>
              <w:top w:val="nil"/>
              <w:bottom w:val="nil"/>
            </w:tcBorders>
          </w:tcPr>
          <w:p w:rsidR="00000000" w:rsidRDefault="00000000">
            <w:pPr>
              <w:spacing w:line="240" w:lineRule="auto"/>
              <w:jc w:val="center"/>
              <w:rPr>
                <w:snapToGrid/>
                <w:sz w:val="18"/>
              </w:rPr>
            </w:pPr>
            <w:r>
              <w:rPr>
                <w:snapToGrid/>
                <w:sz w:val="18"/>
              </w:rPr>
              <w:t>列依</w:t>
            </w:r>
          </w:p>
        </w:tc>
        <w:tc>
          <w:tcPr>
            <w:tcW w:w="992" w:type="dxa"/>
            <w:tcBorders>
              <w:top w:val="nil"/>
              <w:bottom w:val="nil"/>
            </w:tcBorders>
          </w:tcPr>
          <w:p w:rsidR="00000000" w:rsidRDefault="00000000">
            <w:pPr>
              <w:spacing w:line="240" w:lineRule="auto"/>
              <w:jc w:val="center"/>
              <w:rPr>
                <w:snapToGrid/>
                <w:sz w:val="18"/>
              </w:rPr>
            </w:pPr>
            <w:r>
              <w:rPr>
                <w:snapToGrid/>
                <w:sz w:val="18"/>
              </w:rPr>
              <w:t>2.21</w:t>
            </w:r>
          </w:p>
        </w:tc>
        <w:tc>
          <w:tcPr>
            <w:tcW w:w="992" w:type="dxa"/>
            <w:tcBorders>
              <w:top w:val="nil"/>
              <w:bottom w:val="nil"/>
            </w:tcBorders>
          </w:tcPr>
          <w:p w:rsidR="00000000" w:rsidRDefault="00000000">
            <w:pPr>
              <w:spacing w:line="240" w:lineRule="auto"/>
              <w:jc w:val="center"/>
              <w:rPr>
                <w:snapToGrid/>
                <w:sz w:val="18"/>
              </w:rPr>
            </w:pPr>
            <w:r>
              <w:rPr>
                <w:snapToGrid/>
                <w:sz w:val="18"/>
              </w:rPr>
              <w:t>19.94</w:t>
            </w:r>
          </w:p>
        </w:tc>
        <w:tc>
          <w:tcPr>
            <w:tcW w:w="993" w:type="dxa"/>
            <w:tcBorders>
              <w:top w:val="nil"/>
              <w:bottom w:val="nil"/>
            </w:tcBorders>
          </w:tcPr>
          <w:p w:rsidR="00000000" w:rsidRDefault="00000000">
            <w:pPr>
              <w:spacing w:line="240" w:lineRule="auto"/>
              <w:jc w:val="center"/>
              <w:rPr>
                <w:snapToGrid/>
                <w:sz w:val="18"/>
              </w:rPr>
            </w:pPr>
            <w:r>
              <w:rPr>
                <w:snapToGrid/>
                <w:sz w:val="18"/>
              </w:rPr>
              <w:t>57.94</w:t>
            </w:r>
          </w:p>
        </w:tc>
        <w:tc>
          <w:tcPr>
            <w:tcW w:w="992" w:type="dxa"/>
            <w:tcBorders>
              <w:top w:val="nil"/>
              <w:bottom w:val="nil"/>
            </w:tcBorders>
          </w:tcPr>
          <w:p w:rsidR="00000000" w:rsidRDefault="00000000">
            <w:pPr>
              <w:spacing w:line="240" w:lineRule="auto"/>
              <w:jc w:val="center"/>
              <w:rPr>
                <w:snapToGrid/>
                <w:sz w:val="18"/>
              </w:rPr>
            </w:pPr>
            <w:r>
              <w:rPr>
                <w:snapToGrid/>
                <w:sz w:val="18"/>
              </w:rPr>
              <w:t>66.90</w:t>
            </w:r>
          </w:p>
        </w:tc>
        <w:tc>
          <w:tcPr>
            <w:tcW w:w="992" w:type="dxa"/>
            <w:tcBorders>
              <w:top w:val="nil"/>
              <w:bottom w:val="nil"/>
            </w:tcBorders>
          </w:tcPr>
          <w:p w:rsidR="00000000" w:rsidRDefault="00000000">
            <w:pPr>
              <w:spacing w:line="240" w:lineRule="auto"/>
              <w:jc w:val="center"/>
              <w:rPr>
                <w:snapToGrid/>
                <w:sz w:val="18"/>
              </w:rPr>
            </w:pPr>
            <w:r>
              <w:rPr>
                <w:snapToGrid/>
                <w:sz w:val="18"/>
              </w:rPr>
              <w:t>81.56</w:t>
            </w:r>
          </w:p>
        </w:tc>
        <w:tc>
          <w:tcPr>
            <w:tcW w:w="993" w:type="dxa"/>
            <w:tcBorders>
              <w:top w:val="nil"/>
              <w:bottom w:val="nil"/>
              <w:right w:val="single" w:sz="4" w:space="0" w:color="auto"/>
            </w:tcBorders>
          </w:tcPr>
          <w:p w:rsidR="00000000" w:rsidRDefault="00000000">
            <w:pPr>
              <w:spacing w:line="240" w:lineRule="auto"/>
              <w:jc w:val="center"/>
              <w:rPr>
                <w:snapToGrid/>
                <w:sz w:val="18"/>
              </w:rPr>
            </w:pPr>
            <w:r>
              <w:rPr>
                <w:snapToGrid/>
                <w:sz w:val="18"/>
              </w:rPr>
              <w:t>86.15</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残疾养恤金领取人</w:t>
            </w:r>
          </w:p>
        </w:tc>
        <w:tc>
          <w:tcPr>
            <w:tcW w:w="1134" w:type="dxa"/>
            <w:tcBorders>
              <w:top w:val="nil"/>
              <w:bottom w:val="nil"/>
            </w:tcBorders>
          </w:tcPr>
          <w:p w:rsidR="00000000" w:rsidRDefault="00000000">
            <w:pPr>
              <w:spacing w:line="240" w:lineRule="auto"/>
              <w:jc w:val="center"/>
              <w:rPr>
                <w:snapToGrid/>
                <w:sz w:val="18"/>
              </w:rPr>
            </w:pPr>
            <w:r>
              <w:rPr>
                <w:snapToGrid/>
                <w:sz w:val="18"/>
              </w:rPr>
              <w:t>千</w:t>
            </w:r>
            <w:r>
              <w:rPr>
                <w:snapToGrid/>
                <w:sz w:val="18"/>
              </w:rPr>
              <w:br/>
              <w:t>%</w:t>
            </w:r>
          </w:p>
        </w:tc>
        <w:tc>
          <w:tcPr>
            <w:tcW w:w="992" w:type="dxa"/>
            <w:tcBorders>
              <w:top w:val="nil"/>
              <w:bottom w:val="nil"/>
            </w:tcBorders>
          </w:tcPr>
          <w:p w:rsidR="00000000" w:rsidRDefault="00000000">
            <w:pPr>
              <w:spacing w:line="240" w:lineRule="auto"/>
              <w:jc w:val="center"/>
              <w:rPr>
                <w:snapToGrid/>
                <w:sz w:val="18"/>
              </w:rPr>
            </w:pPr>
            <w:r>
              <w:rPr>
                <w:snapToGrid/>
                <w:sz w:val="18"/>
              </w:rPr>
              <w:t>88.6</w:t>
            </w:r>
            <w:r>
              <w:rPr>
                <w:snapToGrid/>
                <w:sz w:val="18"/>
              </w:rPr>
              <w:br/>
              <w:t>12.18</w:t>
            </w:r>
          </w:p>
        </w:tc>
        <w:tc>
          <w:tcPr>
            <w:tcW w:w="992" w:type="dxa"/>
            <w:tcBorders>
              <w:top w:val="nil"/>
              <w:bottom w:val="nil"/>
            </w:tcBorders>
          </w:tcPr>
          <w:p w:rsidR="00000000" w:rsidRDefault="00000000">
            <w:pPr>
              <w:spacing w:line="240" w:lineRule="auto"/>
              <w:jc w:val="center"/>
              <w:rPr>
                <w:snapToGrid/>
                <w:sz w:val="18"/>
              </w:rPr>
            </w:pPr>
            <w:r>
              <w:rPr>
                <w:snapToGrid/>
                <w:sz w:val="18"/>
              </w:rPr>
              <w:t>94.9</w:t>
            </w:r>
            <w:r>
              <w:rPr>
                <w:snapToGrid/>
                <w:sz w:val="18"/>
              </w:rPr>
              <w:br/>
              <w:t>12.76</w:t>
            </w:r>
          </w:p>
        </w:tc>
        <w:tc>
          <w:tcPr>
            <w:tcW w:w="993" w:type="dxa"/>
            <w:tcBorders>
              <w:top w:val="nil"/>
              <w:bottom w:val="nil"/>
            </w:tcBorders>
          </w:tcPr>
          <w:p w:rsidR="00000000" w:rsidRDefault="00000000">
            <w:pPr>
              <w:spacing w:line="240" w:lineRule="auto"/>
              <w:jc w:val="center"/>
              <w:rPr>
                <w:snapToGrid/>
                <w:sz w:val="18"/>
              </w:rPr>
            </w:pPr>
            <w:r>
              <w:rPr>
                <w:snapToGrid/>
                <w:sz w:val="18"/>
              </w:rPr>
              <w:t>97.6</w:t>
            </w:r>
            <w:r>
              <w:rPr>
                <w:snapToGrid/>
                <w:sz w:val="18"/>
              </w:rPr>
              <w:br/>
              <w:t>13.07</w:t>
            </w:r>
          </w:p>
        </w:tc>
        <w:tc>
          <w:tcPr>
            <w:tcW w:w="992" w:type="dxa"/>
            <w:tcBorders>
              <w:top w:val="nil"/>
              <w:bottom w:val="nil"/>
            </w:tcBorders>
          </w:tcPr>
          <w:p w:rsidR="00000000" w:rsidRDefault="00000000">
            <w:pPr>
              <w:spacing w:line="240" w:lineRule="auto"/>
              <w:jc w:val="center"/>
              <w:rPr>
                <w:snapToGrid/>
                <w:sz w:val="18"/>
              </w:rPr>
            </w:pPr>
            <w:r>
              <w:rPr>
                <w:snapToGrid/>
                <w:sz w:val="18"/>
              </w:rPr>
              <w:t>102.3</w:t>
            </w:r>
            <w:r>
              <w:rPr>
                <w:snapToGrid/>
                <w:sz w:val="18"/>
              </w:rPr>
              <w:br/>
              <w:t>13.63</w:t>
            </w:r>
          </w:p>
        </w:tc>
        <w:tc>
          <w:tcPr>
            <w:tcW w:w="992" w:type="dxa"/>
            <w:tcBorders>
              <w:top w:val="nil"/>
              <w:bottom w:val="nil"/>
            </w:tcBorders>
          </w:tcPr>
          <w:p w:rsidR="00000000" w:rsidRDefault="00000000">
            <w:pPr>
              <w:spacing w:line="240" w:lineRule="auto"/>
              <w:jc w:val="center"/>
              <w:rPr>
                <w:snapToGrid/>
                <w:sz w:val="18"/>
              </w:rPr>
            </w:pPr>
            <w:r>
              <w:rPr>
                <w:snapToGrid/>
                <w:sz w:val="18"/>
              </w:rPr>
              <w:t>105.6</w:t>
            </w:r>
            <w:r>
              <w:rPr>
                <w:snapToGrid/>
                <w:sz w:val="18"/>
              </w:rPr>
              <w:br/>
              <w:t>13.99</w:t>
            </w:r>
          </w:p>
        </w:tc>
        <w:tc>
          <w:tcPr>
            <w:tcW w:w="993" w:type="dxa"/>
            <w:tcBorders>
              <w:top w:val="nil"/>
              <w:bottom w:val="nil"/>
            </w:tcBorders>
          </w:tcPr>
          <w:p w:rsidR="00000000" w:rsidRDefault="00000000">
            <w:pPr>
              <w:spacing w:line="240" w:lineRule="auto"/>
              <w:jc w:val="center"/>
              <w:rPr>
                <w:snapToGrid/>
                <w:sz w:val="18"/>
              </w:rPr>
            </w:pPr>
            <w:r>
              <w:rPr>
                <w:snapToGrid/>
                <w:sz w:val="18"/>
              </w:rPr>
              <w:t>109.2</w:t>
            </w:r>
            <w:r>
              <w:rPr>
                <w:snapToGrid/>
                <w:sz w:val="18"/>
              </w:rPr>
              <w:br/>
              <w:t>14.42</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平均养恤金</w:t>
            </w:r>
          </w:p>
        </w:tc>
        <w:tc>
          <w:tcPr>
            <w:tcW w:w="1134" w:type="dxa"/>
            <w:tcBorders>
              <w:top w:val="nil"/>
              <w:bottom w:val="nil"/>
            </w:tcBorders>
          </w:tcPr>
          <w:p w:rsidR="00000000" w:rsidRDefault="00000000">
            <w:pPr>
              <w:spacing w:line="240" w:lineRule="auto"/>
              <w:jc w:val="center"/>
              <w:rPr>
                <w:snapToGrid/>
                <w:sz w:val="18"/>
              </w:rPr>
            </w:pPr>
            <w:r>
              <w:rPr>
                <w:snapToGrid/>
                <w:sz w:val="18"/>
              </w:rPr>
              <w:t>列依</w:t>
            </w:r>
          </w:p>
        </w:tc>
        <w:tc>
          <w:tcPr>
            <w:tcW w:w="992" w:type="dxa"/>
            <w:tcBorders>
              <w:top w:val="nil"/>
              <w:bottom w:val="nil"/>
            </w:tcBorders>
          </w:tcPr>
          <w:p w:rsidR="00000000" w:rsidRDefault="00000000">
            <w:pPr>
              <w:spacing w:line="240" w:lineRule="auto"/>
              <w:jc w:val="center"/>
              <w:rPr>
                <w:snapToGrid/>
                <w:sz w:val="18"/>
              </w:rPr>
            </w:pPr>
            <w:r>
              <w:rPr>
                <w:snapToGrid/>
                <w:sz w:val="18"/>
              </w:rPr>
              <w:t>2.03</w:t>
            </w:r>
          </w:p>
        </w:tc>
        <w:tc>
          <w:tcPr>
            <w:tcW w:w="992" w:type="dxa"/>
            <w:tcBorders>
              <w:top w:val="nil"/>
              <w:bottom w:val="nil"/>
            </w:tcBorders>
          </w:tcPr>
          <w:p w:rsidR="00000000" w:rsidRDefault="00000000">
            <w:pPr>
              <w:spacing w:line="240" w:lineRule="auto"/>
              <w:jc w:val="center"/>
              <w:rPr>
                <w:snapToGrid/>
                <w:sz w:val="18"/>
              </w:rPr>
            </w:pPr>
            <w:r>
              <w:rPr>
                <w:snapToGrid/>
                <w:sz w:val="18"/>
              </w:rPr>
              <w:t>18.43</w:t>
            </w:r>
          </w:p>
        </w:tc>
        <w:tc>
          <w:tcPr>
            <w:tcW w:w="993" w:type="dxa"/>
            <w:tcBorders>
              <w:top w:val="nil"/>
              <w:bottom w:val="nil"/>
            </w:tcBorders>
          </w:tcPr>
          <w:p w:rsidR="00000000" w:rsidRDefault="00000000">
            <w:pPr>
              <w:spacing w:line="240" w:lineRule="auto"/>
              <w:jc w:val="center"/>
              <w:rPr>
                <w:snapToGrid/>
                <w:sz w:val="18"/>
              </w:rPr>
            </w:pPr>
            <w:r>
              <w:rPr>
                <w:snapToGrid/>
                <w:sz w:val="18"/>
              </w:rPr>
              <w:t>53.96</w:t>
            </w:r>
          </w:p>
        </w:tc>
        <w:tc>
          <w:tcPr>
            <w:tcW w:w="992" w:type="dxa"/>
            <w:tcBorders>
              <w:top w:val="nil"/>
              <w:bottom w:val="nil"/>
            </w:tcBorders>
          </w:tcPr>
          <w:p w:rsidR="00000000" w:rsidRDefault="00000000">
            <w:pPr>
              <w:spacing w:line="240" w:lineRule="auto"/>
              <w:jc w:val="center"/>
              <w:rPr>
                <w:snapToGrid/>
                <w:sz w:val="18"/>
              </w:rPr>
            </w:pPr>
            <w:r>
              <w:rPr>
                <w:snapToGrid/>
                <w:sz w:val="18"/>
              </w:rPr>
              <w:t>63.25</w:t>
            </w:r>
          </w:p>
        </w:tc>
        <w:tc>
          <w:tcPr>
            <w:tcW w:w="992" w:type="dxa"/>
            <w:tcBorders>
              <w:top w:val="nil"/>
              <w:bottom w:val="nil"/>
            </w:tcBorders>
          </w:tcPr>
          <w:p w:rsidR="00000000" w:rsidRDefault="00000000">
            <w:pPr>
              <w:spacing w:line="240" w:lineRule="auto"/>
              <w:jc w:val="center"/>
              <w:rPr>
                <w:snapToGrid/>
                <w:sz w:val="18"/>
              </w:rPr>
            </w:pPr>
            <w:r>
              <w:rPr>
                <w:snapToGrid/>
                <w:sz w:val="18"/>
              </w:rPr>
              <w:t>78.25</w:t>
            </w:r>
          </w:p>
        </w:tc>
        <w:tc>
          <w:tcPr>
            <w:tcW w:w="993" w:type="dxa"/>
            <w:tcBorders>
              <w:top w:val="nil"/>
              <w:bottom w:val="nil"/>
            </w:tcBorders>
          </w:tcPr>
          <w:p w:rsidR="00000000" w:rsidRDefault="00000000">
            <w:pPr>
              <w:spacing w:line="240" w:lineRule="auto"/>
              <w:jc w:val="center"/>
              <w:rPr>
                <w:snapToGrid/>
                <w:sz w:val="18"/>
              </w:rPr>
            </w:pPr>
            <w:r>
              <w:rPr>
                <w:snapToGrid/>
                <w:sz w:val="18"/>
              </w:rPr>
              <w:t>81.74</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遗属养恤金领取人</w:t>
            </w:r>
          </w:p>
        </w:tc>
        <w:tc>
          <w:tcPr>
            <w:tcW w:w="1134" w:type="dxa"/>
            <w:tcBorders>
              <w:top w:val="nil"/>
              <w:bottom w:val="nil"/>
            </w:tcBorders>
          </w:tcPr>
          <w:p w:rsidR="00000000" w:rsidRDefault="00000000">
            <w:pPr>
              <w:spacing w:line="240" w:lineRule="auto"/>
              <w:jc w:val="center"/>
              <w:rPr>
                <w:snapToGrid/>
                <w:sz w:val="18"/>
              </w:rPr>
            </w:pPr>
            <w:r>
              <w:rPr>
                <w:snapToGrid/>
                <w:sz w:val="18"/>
              </w:rPr>
              <w:t>千</w:t>
            </w:r>
            <w:r>
              <w:rPr>
                <w:snapToGrid/>
                <w:sz w:val="18"/>
              </w:rPr>
              <w:t xml:space="preserve"> </w:t>
            </w:r>
            <w:r>
              <w:rPr>
                <w:snapToGrid/>
                <w:sz w:val="18"/>
              </w:rPr>
              <w:br/>
              <w:t>%</w:t>
            </w:r>
          </w:p>
        </w:tc>
        <w:tc>
          <w:tcPr>
            <w:tcW w:w="992" w:type="dxa"/>
            <w:tcBorders>
              <w:top w:val="nil"/>
              <w:bottom w:val="nil"/>
            </w:tcBorders>
          </w:tcPr>
          <w:p w:rsidR="00000000" w:rsidRDefault="00000000">
            <w:pPr>
              <w:spacing w:line="240" w:lineRule="auto"/>
              <w:jc w:val="center"/>
              <w:rPr>
                <w:snapToGrid/>
                <w:sz w:val="18"/>
              </w:rPr>
            </w:pPr>
            <w:r>
              <w:rPr>
                <w:snapToGrid/>
                <w:sz w:val="18"/>
              </w:rPr>
              <w:t>37.8</w:t>
            </w:r>
            <w:r>
              <w:rPr>
                <w:snapToGrid/>
                <w:sz w:val="18"/>
              </w:rPr>
              <w:br/>
              <w:t>5.20</w:t>
            </w:r>
          </w:p>
        </w:tc>
        <w:tc>
          <w:tcPr>
            <w:tcW w:w="992" w:type="dxa"/>
            <w:tcBorders>
              <w:top w:val="nil"/>
              <w:bottom w:val="nil"/>
            </w:tcBorders>
          </w:tcPr>
          <w:p w:rsidR="00000000" w:rsidRDefault="00000000">
            <w:pPr>
              <w:spacing w:line="240" w:lineRule="auto"/>
              <w:jc w:val="center"/>
              <w:rPr>
                <w:snapToGrid/>
                <w:sz w:val="18"/>
              </w:rPr>
            </w:pPr>
            <w:r>
              <w:rPr>
                <w:snapToGrid/>
                <w:sz w:val="18"/>
              </w:rPr>
              <w:t>37.5</w:t>
            </w:r>
            <w:r>
              <w:rPr>
                <w:snapToGrid/>
                <w:sz w:val="18"/>
              </w:rPr>
              <w:br/>
              <w:t>5.04</w:t>
            </w:r>
          </w:p>
        </w:tc>
        <w:tc>
          <w:tcPr>
            <w:tcW w:w="993" w:type="dxa"/>
            <w:tcBorders>
              <w:top w:val="nil"/>
              <w:bottom w:val="nil"/>
            </w:tcBorders>
          </w:tcPr>
          <w:p w:rsidR="00000000" w:rsidRDefault="00000000">
            <w:pPr>
              <w:spacing w:line="240" w:lineRule="auto"/>
              <w:jc w:val="center"/>
              <w:rPr>
                <w:snapToGrid/>
                <w:sz w:val="18"/>
              </w:rPr>
            </w:pPr>
            <w:r>
              <w:rPr>
                <w:snapToGrid/>
                <w:sz w:val="18"/>
              </w:rPr>
              <w:t>36.4</w:t>
            </w:r>
            <w:r>
              <w:rPr>
                <w:snapToGrid/>
                <w:sz w:val="18"/>
              </w:rPr>
              <w:br/>
              <w:t>4.87</w:t>
            </w:r>
          </w:p>
        </w:tc>
        <w:tc>
          <w:tcPr>
            <w:tcW w:w="992" w:type="dxa"/>
            <w:tcBorders>
              <w:top w:val="nil"/>
              <w:bottom w:val="nil"/>
            </w:tcBorders>
          </w:tcPr>
          <w:p w:rsidR="00000000" w:rsidRDefault="00000000">
            <w:pPr>
              <w:spacing w:line="240" w:lineRule="auto"/>
              <w:jc w:val="center"/>
              <w:rPr>
                <w:snapToGrid/>
                <w:sz w:val="18"/>
              </w:rPr>
            </w:pPr>
            <w:r>
              <w:rPr>
                <w:snapToGrid/>
                <w:sz w:val="18"/>
              </w:rPr>
              <w:t>36.2</w:t>
            </w:r>
            <w:r>
              <w:rPr>
                <w:snapToGrid/>
                <w:sz w:val="18"/>
              </w:rPr>
              <w:br/>
              <w:t>4.82</w:t>
            </w:r>
          </w:p>
        </w:tc>
        <w:tc>
          <w:tcPr>
            <w:tcW w:w="992" w:type="dxa"/>
            <w:tcBorders>
              <w:top w:val="nil"/>
              <w:bottom w:val="nil"/>
            </w:tcBorders>
          </w:tcPr>
          <w:p w:rsidR="00000000" w:rsidRDefault="00000000">
            <w:pPr>
              <w:spacing w:line="240" w:lineRule="auto"/>
              <w:jc w:val="center"/>
              <w:rPr>
                <w:snapToGrid/>
                <w:sz w:val="18"/>
              </w:rPr>
            </w:pPr>
            <w:r>
              <w:rPr>
                <w:snapToGrid/>
                <w:sz w:val="18"/>
              </w:rPr>
              <w:t>36.4</w:t>
            </w:r>
            <w:r>
              <w:rPr>
                <w:snapToGrid/>
                <w:sz w:val="18"/>
              </w:rPr>
              <w:br/>
              <w:t>4.82</w:t>
            </w:r>
          </w:p>
        </w:tc>
        <w:tc>
          <w:tcPr>
            <w:tcW w:w="993" w:type="dxa"/>
            <w:tcBorders>
              <w:top w:val="nil"/>
              <w:bottom w:val="nil"/>
            </w:tcBorders>
          </w:tcPr>
          <w:p w:rsidR="00000000" w:rsidRDefault="00000000">
            <w:pPr>
              <w:spacing w:line="240" w:lineRule="auto"/>
              <w:jc w:val="center"/>
              <w:rPr>
                <w:snapToGrid/>
                <w:sz w:val="18"/>
              </w:rPr>
            </w:pPr>
            <w:r>
              <w:rPr>
                <w:snapToGrid/>
                <w:sz w:val="18"/>
              </w:rPr>
              <w:t>36.3</w:t>
            </w:r>
            <w:r>
              <w:rPr>
                <w:snapToGrid/>
                <w:sz w:val="18"/>
              </w:rPr>
              <w:br/>
              <w:t>4.80</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snapToGrid/>
                <w:sz w:val="18"/>
              </w:rPr>
            </w:pPr>
            <w:r>
              <w:rPr>
                <w:rFonts w:hint="eastAsia"/>
                <w:snapToGrid/>
                <w:sz w:val="18"/>
              </w:rPr>
              <w:t>平均养恤金</w:t>
            </w:r>
            <w:r>
              <w:rPr>
                <w:snapToGrid/>
                <w:sz w:val="18"/>
              </w:rPr>
              <w:br/>
            </w:r>
          </w:p>
        </w:tc>
        <w:tc>
          <w:tcPr>
            <w:tcW w:w="1134" w:type="dxa"/>
            <w:tcBorders>
              <w:top w:val="nil"/>
              <w:bottom w:val="nil"/>
            </w:tcBorders>
          </w:tcPr>
          <w:p w:rsidR="00000000" w:rsidRDefault="00000000">
            <w:pPr>
              <w:spacing w:line="240" w:lineRule="auto"/>
              <w:jc w:val="center"/>
              <w:rPr>
                <w:snapToGrid/>
                <w:sz w:val="18"/>
              </w:rPr>
            </w:pPr>
            <w:r>
              <w:rPr>
                <w:snapToGrid/>
                <w:sz w:val="18"/>
              </w:rPr>
              <w:t>列依</w:t>
            </w:r>
          </w:p>
        </w:tc>
        <w:tc>
          <w:tcPr>
            <w:tcW w:w="992" w:type="dxa"/>
            <w:tcBorders>
              <w:top w:val="nil"/>
              <w:bottom w:val="nil"/>
            </w:tcBorders>
          </w:tcPr>
          <w:p w:rsidR="00000000" w:rsidRDefault="00000000">
            <w:pPr>
              <w:spacing w:line="240" w:lineRule="auto"/>
              <w:jc w:val="center"/>
              <w:rPr>
                <w:snapToGrid/>
                <w:sz w:val="18"/>
              </w:rPr>
            </w:pPr>
            <w:r>
              <w:rPr>
                <w:snapToGrid/>
                <w:sz w:val="18"/>
              </w:rPr>
              <w:t>1.47</w:t>
            </w:r>
          </w:p>
        </w:tc>
        <w:tc>
          <w:tcPr>
            <w:tcW w:w="992" w:type="dxa"/>
            <w:tcBorders>
              <w:top w:val="nil"/>
              <w:bottom w:val="nil"/>
            </w:tcBorders>
          </w:tcPr>
          <w:p w:rsidR="00000000" w:rsidRDefault="00000000">
            <w:pPr>
              <w:spacing w:line="240" w:lineRule="auto"/>
              <w:jc w:val="center"/>
              <w:rPr>
                <w:snapToGrid/>
                <w:sz w:val="18"/>
              </w:rPr>
            </w:pPr>
            <w:r>
              <w:rPr>
                <w:snapToGrid/>
                <w:sz w:val="18"/>
              </w:rPr>
              <w:t>12.28</w:t>
            </w:r>
          </w:p>
        </w:tc>
        <w:tc>
          <w:tcPr>
            <w:tcW w:w="993" w:type="dxa"/>
            <w:tcBorders>
              <w:top w:val="nil"/>
              <w:bottom w:val="nil"/>
            </w:tcBorders>
          </w:tcPr>
          <w:p w:rsidR="00000000" w:rsidRDefault="00000000">
            <w:pPr>
              <w:spacing w:line="240" w:lineRule="auto"/>
              <w:jc w:val="center"/>
              <w:rPr>
                <w:snapToGrid/>
                <w:sz w:val="18"/>
              </w:rPr>
            </w:pPr>
            <w:r>
              <w:rPr>
                <w:snapToGrid/>
                <w:sz w:val="18"/>
              </w:rPr>
              <w:t>40.41</w:t>
            </w:r>
          </w:p>
        </w:tc>
        <w:tc>
          <w:tcPr>
            <w:tcW w:w="992" w:type="dxa"/>
            <w:tcBorders>
              <w:top w:val="nil"/>
              <w:bottom w:val="nil"/>
            </w:tcBorders>
          </w:tcPr>
          <w:p w:rsidR="00000000" w:rsidRDefault="00000000">
            <w:pPr>
              <w:spacing w:line="240" w:lineRule="auto"/>
              <w:jc w:val="center"/>
              <w:rPr>
                <w:snapToGrid/>
                <w:sz w:val="18"/>
              </w:rPr>
            </w:pPr>
            <w:r>
              <w:rPr>
                <w:snapToGrid/>
                <w:sz w:val="18"/>
              </w:rPr>
              <w:t>51.70</w:t>
            </w:r>
          </w:p>
        </w:tc>
        <w:tc>
          <w:tcPr>
            <w:tcW w:w="992" w:type="dxa"/>
            <w:tcBorders>
              <w:top w:val="nil"/>
              <w:bottom w:val="nil"/>
            </w:tcBorders>
          </w:tcPr>
          <w:p w:rsidR="00000000" w:rsidRDefault="00000000">
            <w:pPr>
              <w:spacing w:line="240" w:lineRule="auto"/>
              <w:jc w:val="center"/>
              <w:rPr>
                <w:snapToGrid/>
                <w:sz w:val="18"/>
              </w:rPr>
            </w:pPr>
            <w:r>
              <w:rPr>
                <w:snapToGrid/>
                <w:sz w:val="18"/>
              </w:rPr>
              <w:t>65.97</w:t>
            </w:r>
          </w:p>
        </w:tc>
        <w:tc>
          <w:tcPr>
            <w:tcW w:w="993" w:type="dxa"/>
            <w:tcBorders>
              <w:top w:val="nil"/>
              <w:bottom w:val="nil"/>
            </w:tcBorders>
          </w:tcPr>
          <w:p w:rsidR="00000000" w:rsidRDefault="00000000">
            <w:pPr>
              <w:spacing w:line="240" w:lineRule="auto"/>
              <w:jc w:val="center"/>
              <w:rPr>
                <w:snapToGrid/>
                <w:sz w:val="18"/>
              </w:rPr>
            </w:pPr>
            <w:r>
              <w:rPr>
                <w:snapToGrid/>
                <w:sz w:val="18"/>
              </w:rPr>
              <w:t>65.49</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资历养恤金领取人</w:t>
            </w:r>
          </w:p>
        </w:tc>
        <w:tc>
          <w:tcPr>
            <w:tcW w:w="1134" w:type="dxa"/>
            <w:tcBorders>
              <w:top w:val="nil"/>
              <w:bottom w:val="nil"/>
            </w:tcBorders>
          </w:tcPr>
          <w:p w:rsidR="00000000" w:rsidRDefault="00000000">
            <w:pPr>
              <w:spacing w:line="240" w:lineRule="auto"/>
              <w:jc w:val="center"/>
              <w:rPr>
                <w:snapToGrid/>
                <w:sz w:val="18"/>
              </w:rPr>
            </w:pPr>
            <w:r>
              <w:rPr>
                <w:snapToGrid/>
                <w:sz w:val="18"/>
              </w:rPr>
              <w:t>千</w:t>
            </w:r>
            <w:r>
              <w:rPr>
                <w:snapToGrid/>
                <w:sz w:val="18"/>
              </w:rPr>
              <w:br/>
              <w:t>%</w:t>
            </w:r>
          </w:p>
        </w:tc>
        <w:tc>
          <w:tcPr>
            <w:tcW w:w="992" w:type="dxa"/>
            <w:tcBorders>
              <w:top w:val="nil"/>
              <w:bottom w:val="nil"/>
            </w:tcBorders>
          </w:tcPr>
          <w:p w:rsidR="00000000" w:rsidRDefault="00000000">
            <w:pPr>
              <w:spacing w:line="240" w:lineRule="auto"/>
              <w:jc w:val="center"/>
              <w:rPr>
                <w:snapToGrid/>
                <w:sz w:val="18"/>
              </w:rPr>
            </w:pPr>
            <w:r>
              <w:rPr>
                <w:snapToGrid/>
                <w:sz w:val="18"/>
              </w:rPr>
              <w:t>1.9</w:t>
            </w:r>
            <w:r>
              <w:rPr>
                <w:snapToGrid/>
                <w:sz w:val="18"/>
              </w:rPr>
              <w:br/>
              <w:t>0.26</w:t>
            </w:r>
          </w:p>
        </w:tc>
        <w:tc>
          <w:tcPr>
            <w:tcW w:w="992" w:type="dxa"/>
            <w:tcBorders>
              <w:top w:val="nil"/>
              <w:bottom w:val="nil"/>
            </w:tcBorders>
          </w:tcPr>
          <w:p w:rsidR="00000000" w:rsidRDefault="00000000">
            <w:pPr>
              <w:spacing w:line="240" w:lineRule="auto"/>
              <w:jc w:val="center"/>
              <w:rPr>
                <w:snapToGrid/>
                <w:sz w:val="18"/>
              </w:rPr>
            </w:pPr>
            <w:r>
              <w:rPr>
                <w:snapToGrid/>
                <w:sz w:val="18"/>
              </w:rPr>
              <w:t>1.9</w:t>
            </w:r>
            <w:r>
              <w:rPr>
                <w:snapToGrid/>
                <w:sz w:val="18"/>
              </w:rPr>
              <w:br/>
              <w:t>0.26</w:t>
            </w:r>
          </w:p>
        </w:tc>
        <w:tc>
          <w:tcPr>
            <w:tcW w:w="993" w:type="dxa"/>
            <w:tcBorders>
              <w:top w:val="nil"/>
              <w:bottom w:val="nil"/>
            </w:tcBorders>
          </w:tcPr>
          <w:p w:rsidR="00000000" w:rsidRDefault="00000000">
            <w:pPr>
              <w:spacing w:line="240" w:lineRule="auto"/>
              <w:jc w:val="center"/>
              <w:rPr>
                <w:snapToGrid/>
                <w:sz w:val="18"/>
              </w:rPr>
            </w:pPr>
            <w:r>
              <w:rPr>
                <w:snapToGrid/>
                <w:sz w:val="18"/>
              </w:rPr>
              <w:t>1.8</w:t>
            </w:r>
            <w:r>
              <w:rPr>
                <w:snapToGrid/>
                <w:sz w:val="18"/>
              </w:rPr>
              <w:br/>
              <w:t>0.24</w:t>
            </w:r>
          </w:p>
        </w:tc>
        <w:tc>
          <w:tcPr>
            <w:tcW w:w="992" w:type="dxa"/>
            <w:tcBorders>
              <w:top w:val="nil"/>
              <w:bottom w:val="nil"/>
            </w:tcBorders>
          </w:tcPr>
          <w:p w:rsidR="00000000" w:rsidRDefault="00000000">
            <w:pPr>
              <w:spacing w:line="240" w:lineRule="auto"/>
              <w:jc w:val="center"/>
              <w:rPr>
                <w:snapToGrid/>
                <w:sz w:val="18"/>
              </w:rPr>
            </w:pPr>
            <w:r>
              <w:rPr>
                <w:snapToGrid/>
                <w:sz w:val="18"/>
              </w:rPr>
              <w:t>2.3</w:t>
            </w:r>
            <w:r>
              <w:rPr>
                <w:snapToGrid/>
                <w:sz w:val="18"/>
              </w:rPr>
              <w:br/>
              <w:t>0.31</w:t>
            </w:r>
          </w:p>
        </w:tc>
        <w:tc>
          <w:tcPr>
            <w:tcW w:w="992" w:type="dxa"/>
            <w:tcBorders>
              <w:top w:val="nil"/>
              <w:bottom w:val="nil"/>
            </w:tcBorders>
          </w:tcPr>
          <w:p w:rsidR="00000000" w:rsidRDefault="00000000">
            <w:pPr>
              <w:spacing w:line="240" w:lineRule="auto"/>
              <w:jc w:val="center"/>
              <w:rPr>
                <w:snapToGrid/>
                <w:sz w:val="18"/>
              </w:rPr>
            </w:pPr>
            <w:r>
              <w:rPr>
                <w:snapToGrid/>
                <w:sz w:val="18"/>
              </w:rPr>
              <w:t>2.9</w:t>
            </w:r>
            <w:r>
              <w:rPr>
                <w:snapToGrid/>
                <w:sz w:val="18"/>
              </w:rPr>
              <w:br/>
              <w:t>0.38</w:t>
            </w:r>
          </w:p>
        </w:tc>
        <w:tc>
          <w:tcPr>
            <w:tcW w:w="993" w:type="dxa"/>
            <w:tcBorders>
              <w:top w:val="nil"/>
              <w:bottom w:val="nil"/>
            </w:tcBorders>
          </w:tcPr>
          <w:p w:rsidR="00000000" w:rsidRDefault="00000000">
            <w:pPr>
              <w:spacing w:line="240" w:lineRule="auto"/>
              <w:jc w:val="center"/>
              <w:rPr>
                <w:snapToGrid/>
                <w:sz w:val="18"/>
              </w:rPr>
            </w:pPr>
            <w:r>
              <w:rPr>
                <w:snapToGrid/>
                <w:sz w:val="18"/>
              </w:rPr>
              <w:t>3.8</w:t>
            </w:r>
            <w:r>
              <w:rPr>
                <w:snapToGrid/>
                <w:sz w:val="18"/>
              </w:rPr>
              <w:br/>
              <w:t>0.38</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平均养恤金</w:t>
            </w:r>
          </w:p>
        </w:tc>
        <w:tc>
          <w:tcPr>
            <w:tcW w:w="1134" w:type="dxa"/>
            <w:tcBorders>
              <w:top w:val="nil"/>
              <w:bottom w:val="nil"/>
            </w:tcBorders>
          </w:tcPr>
          <w:p w:rsidR="00000000" w:rsidRDefault="00000000">
            <w:pPr>
              <w:spacing w:line="240" w:lineRule="auto"/>
              <w:jc w:val="center"/>
              <w:rPr>
                <w:snapToGrid/>
                <w:sz w:val="18"/>
              </w:rPr>
            </w:pPr>
            <w:r>
              <w:rPr>
                <w:snapToGrid/>
                <w:sz w:val="18"/>
              </w:rPr>
              <w:t>列依</w:t>
            </w:r>
          </w:p>
        </w:tc>
        <w:tc>
          <w:tcPr>
            <w:tcW w:w="992" w:type="dxa"/>
            <w:tcBorders>
              <w:top w:val="nil"/>
              <w:bottom w:val="nil"/>
            </w:tcBorders>
          </w:tcPr>
          <w:p w:rsidR="00000000" w:rsidRDefault="00000000">
            <w:pPr>
              <w:spacing w:line="240" w:lineRule="auto"/>
              <w:jc w:val="center"/>
              <w:rPr>
                <w:snapToGrid/>
                <w:sz w:val="18"/>
              </w:rPr>
            </w:pPr>
            <w:r>
              <w:rPr>
                <w:snapToGrid/>
                <w:sz w:val="18"/>
              </w:rPr>
              <w:t>1.82</w:t>
            </w:r>
          </w:p>
        </w:tc>
        <w:tc>
          <w:tcPr>
            <w:tcW w:w="992" w:type="dxa"/>
            <w:tcBorders>
              <w:top w:val="nil"/>
              <w:bottom w:val="nil"/>
            </w:tcBorders>
          </w:tcPr>
          <w:p w:rsidR="00000000" w:rsidRDefault="00000000">
            <w:pPr>
              <w:spacing w:line="240" w:lineRule="auto"/>
              <w:jc w:val="center"/>
              <w:rPr>
                <w:snapToGrid/>
                <w:sz w:val="18"/>
              </w:rPr>
            </w:pPr>
            <w:r>
              <w:rPr>
                <w:snapToGrid/>
                <w:sz w:val="18"/>
              </w:rPr>
              <w:t>24.18</w:t>
            </w:r>
          </w:p>
        </w:tc>
        <w:tc>
          <w:tcPr>
            <w:tcW w:w="993" w:type="dxa"/>
            <w:tcBorders>
              <w:top w:val="nil"/>
              <w:bottom w:val="nil"/>
            </w:tcBorders>
          </w:tcPr>
          <w:p w:rsidR="00000000" w:rsidRDefault="00000000">
            <w:pPr>
              <w:spacing w:line="240" w:lineRule="auto"/>
              <w:jc w:val="center"/>
              <w:rPr>
                <w:snapToGrid/>
                <w:sz w:val="18"/>
              </w:rPr>
            </w:pPr>
            <w:r>
              <w:rPr>
                <w:snapToGrid/>
                <w:sz w:val="18"/>
              </w:rPr>
              <w:t>63.76</w:t>
            </w:r>
          </w:p>
        </w:tc>
        <w:tc>
          <w:tcPr>
            <w:tcW w:w="992" w:type="dxa"/>
            <w:tcBorders>
              <w:top w:val="nil"/>
              <w:bottom w:val="nil"/>
            </w:tcBorders>
          </w:tcPr>
          <w:p w:rsidR="00000000" w:rsidRDefault="00000000">
            <w:pPr>
              <w:spacing w:line="240" w:lineRule="auto"/>
              <w:jc w:val="center"/>
              <w:rPr>
                <w:snapToGrid/>
                <w:sz w:val="18"/>
              </w:rPr>
            </w:pPr>
            <w:r>
              <w:rPr>
                <w:snapToGrid/>
                <w:sz w:val="18"/>
              </w:rPr>
              <w:t>69.96</w:t>
            </w:r>
          </w:p>
        </w:tc>
        <w:tc>
          <w:tcPr>
            <w:tcW w:w="992" w:type="dxa"/>
            <w:tcBorders>
              <w:top w:val="nil"/>
              <w:bottom w:val="nil"/>
            </w:tcBorders>
          </w:tcPr>
          <w:p w:rsidR="00000000" w:rsidRDefault="00000000">
            <w:pPr>
              <w:spacing w:line="240" w:lineRule="auto"/>
              <w:jc w:val="center"/>
              <w:rPr>
                <w:snapToGrid/>
                <w:sz w:val="18"/>
              </w:rPr>
            </w:pPr>
            <w:r>
              <w:rPr>
                <w:snapToGrid/>
                <w:sz w:val="18"/>
              </w:rPr>
              <w:t>80.99</w:t>
            </w:r>
          </w:p>
        </w:tc>
        <w:tc>
          <w:tcPr>
            <w:tcW w:w="993" w:type="dxa"/>
            <w:tcBorders>
              <w:top w:val="nil"/>
              <w:bottom w:val="nil"/>
            </w:tcBorders>
          </w:tcPr>
          <w:p w:rsidR="00000000" w:rsidRDefault="00000000">
            <w:pPr>
              <w:spacing w:line="240" w:lineRule="auto"/>
              <w:jc w:val="center"/>
              <w:rPr>
                <w:snapToGrid/>
                <w:sz w:val="18"/>
              </w:rPr>
            </w:pPr>
            <w:r>
              <w:rPr>
                <w:snapToGrid/>
                <w:sz w:val="18"/>
              </w:rPr>
              <w:t>79.37</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rFonts w:hint="eastAsia"/>
                <w:snapToGrid/>
                <w:sz w:val="18"/>
              </w:rPr>
            </w:pPr>
            <w:r>
              <w:rPr>
                <w:rFonts w:hint="eastAsia"/>
                <w:snapToGrid/>
                <w:sz w:val="18"/>
              </w:rPr>
              <w:t>为参与切尔诺贝利事故清理行动的人提供的养恤金的受益者</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千</w:t>
            </w:r>
            <w:r>
              <w:rPr>
                <w:snapToGrid/>
                <w:sz w:val="18"/>
              </w:rPr>
              <w:br/>
              <w:t>%</w:t>
            </w:r>
          </w:p>
        </w:tc>
        <w:tc>
          <w:tcPr>
            <w:tcW w:w="992" w:type="dxa"/>
            <w:tcBorders>
              <w:top w:val="nil"/>
              <w:bottom w:val="nil"/>
            </w:tcBorders>
          </w:tcPr>
          <w:p w:rsidR="00000000" w:rsidRDefault="00000000">
            <w:pPr>
              <w:spacing w:before="60" w:line="240" w:lineRule="auto"/>
              <w:jc w:val="center"/>
              <w:rPr>
                <w:snapToGrid/>
                <w:sz w:val="18"/>
              </w:rPr>
            </w:pPr>
            <w:r>
              <w:rPr>
                <w:snapToGrid/>
                <w:sz w:val="18"/>
              </w:rPr>
              <w:t>0.1</w:t>
            </w:r>
            <w:r>
              <w:rPr>
                <w:snapToGrid/>
                <w:sz w:val="18"/>
              </w:rPr>
              <w:br/>
              <w:t>0.01</w:t>
            </w:r>
          </w:p>
        </w:tc>
        <w:tc>
          <w:tcPr>
            <w:tcW w:w="992" w:type="dxa"/>
            <w:tcBorders>
              <w:top w:val="nil"/>
              <w:bottom w:val="nil"/>
            </w:tcBorders>
          </w:tcPr>
          <w:p w:rsidR="00000000" w:rsidRDefault="00000000">
            <w:pPr>
              <w:spacing w:before="60" w:line="240" w:lineRule="auto"/>
              <w:jc w:val="center"/>
              <w:rPr>
                <w:snapToGrid/>
                <w:sz w:val="18"/>
              </w:rPr>
            </w:pPr>
            <w:r>
              <w:rPr>
                <w:snapToGrid/>
                <w:sz w:val="18"/>
              </w:rPr>
              <w:t>0.2</w:t>
            </w:r>
            <w:r>
              <w:rPr>
                <w:snapToGrid/>
                <w:sz w:val="18"/>
              </w:rPr>
              <w:br/>
              <w:t>0.03</w:t>
            </w:r>
          </w:p>
        </w:tc>
        <w:tc>
          <w:tcPr>
            <w:tcW w:w="993" w:type="dxa"/>
            <w:tcBorders>
              <w:top w:val="nil"/>
              <w:bottom w:val="nil"/>
            </w:tcBorders>
          </w:tcPr>
          <w:p w:rsidR="00000000" w:rsidRDefault="00000000">
            <w:pPr>
              <w:spacing w:before="60" w:line="240" w:lineRule="auto"/>
              <w:jc w:val="center"/>
              <w:rPr>
                <w:snapToGrid/>
                <w:sz w:val="18"/>
              </w:rPr>
            </w:pPr>
            <w:r>
              <w:rPr>
                <w:snapToGrid/>
                <w:sz w:val="18"/>
              </w:rPr>
              <w:t>0.3</w:t>
            </w:r>
            <w:r>
              <w:rPr>
                <w:snapToGrid/>
                <w:sz w:val="18"/>
              </w:rPr>
              <w:br/>
              <w:t>0.04</w:t>
            </w:r>
          </w:p>
        </w:tc>
        <w:tc>
          <w:tcPr>
            <w:tcW w:w="992" w:type="dxa"/>
            <w:tcBorders>
              <w:top w:val="nil"/>
              <w:bottom w:val="nil"/>
            </w:tcBorders>
          </w:tcPr>
          <w:p w:rsidR="00000000" w:rsidRDefault="00000000">
            <w:pPr>
              <w:spacing w:before="60" w:line="240" w:lineRule="auto"/>
              <w:jc w:val="center"/>
              <w:rPr>
                <w:snapToGrid/>
                <w:sz w:val="18"/>
              </w:rPr>
            </w:pPr>
            <w:r>
              <w:rPr>
                <w:snapToGrid/>
                <w:sz w:val="18"/>
              </w:rPr>
              <w:t>0.4</w:t>
            </w:r>
            <w:r>
              <w:rPr>
                <w:snapToGrid/>
                <w:sz w:val="18"/>
              </w:rPr>
              <w:br/>
              <w:t>0.05</w:t>
            </w:r>
          </w:p>
        </w:tc>
        <w:tc>
          <w:tcPr>
            <w:tcW w:w="992" w:type="dxa"/>
            <w:tcBorders>
              <w:top w:val="nil"/>
              <w:bottom w:val="nil"/>
            </w:tcBorders>
          </w:tcPr>
          <w:p w:rsidR="00000000" w:rsidRDefault="00000000">
            <w:pPr>
              <w:spacing w:before="60" w:line="240" w:lineRule="auto"/>
              <w:jc w:val="center"/>
              <w:rPr>
                <w:snapToGrid/>
                <w:sz w:val="18"/>
              </w:rPr>
            </w:pPr>
            <w:r>
              <w:rPr>
                <w:snapToGrid/>
                <w:sz w:val="18"/>
              </w:rPr>
              <w:t>0.7</w:t>
            </w:r>
            <w:r>
              <w:rPr>
                <w:snapToGrid/>
                <w:sz w:val="18"/>
              </w:rPr>
              <w:br/>
              <w:t>0.09</w:t>
            </w:r>
          </w:p>
        </w:tc>
        <w:tc>
          <w:tcPr>
            <w:tcW w:w="993" w:type="dxa"/>
            <w:tcBorders>
              <w:top w:val="nil"/>
              <w:bottom w:val="nil"/>
            </w:tcBorders>
          </w:tcPr>
          <w:p w:rsidR="00000000" w:rsidRDefault="00000000">
            <w:pPr>
              <w:spacing w:before="60" w:line="240" w:lineRule="auto"/>
              <w:jc w:val="center"/>
              <w:rPr>
                <w:snapToGrid/>
                <w:sz w:val="18"/>
              </w:rPr>
            </w:pPr>
            <w:r>
              <w:rPr>
                <w:snapToGrid/>
                <w:sz w:val="18"/>
              </w:rPr>
              <w:t>0.9</w:t>
            </w:r>
            <w:r>
              <w:rPr>
                <w:snapToGrid/>
                <w:sz w:val="18"/>
              </w:rPr>
              <w:br/>
              <w:t>0.01</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rFonts w:hint="eastAsia"/>
                <w:snapToGrid/>
                <w:sz w:val="18"/>
              </w:rPr>
            </w:pPr>
            <w:r>
              <w:rPr>
                <w:rFonts w:hint="eastAsia"/>
                <w:snapToGrid/>
                <w:sz w:val="18"/>
              </w:rPr>
              <w:t>平均养恤金</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列依</w:t>
            </w:r>
          </w:p>
        </w:tc>
        <w:tc>
          <w:tcPr>
            <w:tcW w:w="992" w:type="dxa"/>
            <w:tcBorders>
              <w:top w:val="nil"/>
              <w:bottom w:val="nil"/>
            </w:tcBorders>
          </w:tcPr>
          <w:p w:rsidR="00000000" w:rsidRDefault="00000000">
            <w:pPr>
              <w:spacing w:before="60" w:line="240" w:lineRule="auto"/>
              <w:jc w:val="center"/>
              <w:rPr>
                <w:snapToGrid/>
                <w:sz w:val="18"/>
              </w:rPr>
            </w:pPr>
            <w:r>
              <w:rPr>
                <w:snapToGrid/>
                <w:sz w:val="18"/>
              </w:rPr>
              <w:t>0.03</w:t>
            </w:r>
          </w:p>
        </w:tc>
        <w:tc>
          <w:tcPr>
            <w:tcW w:w="992" w:type="dxa"/>
            <w:tcBorders>
              <w:top w:val="nil"/>
              <w:bottom w:val="nil"/>
            </w:tcBorders>
          </w:tcPr>
          <w:p w:rsidR="00000000" w:rsidRDefault="00000000">
            <w:pPr>
              <w:spacing w:before="60" w:line="240" w:lineRule="auto"/>
              <w:jc w:val="center"/>
              <w:rPr>
                <w:snapToGrid/>
                <w:sz w:val="18"/>
              </w:rPr>
            </w:pPr>
            <w:r>
              <w:rPr>
                <w:snapToGrid/>
                <w:sz w:val="18"/>
              </w:rPr>
              <w:t>41.70</w:t>
            </w:r>
          </w:p>
        </w:tc>
        <w:tc>
          <w:tcPr>
            <w:tcW w:w="993" w:type="dxa"/>
            <w:tcBorders>
              <w:top w:val="nil"/>
              <w:bottom w:val="nil"/>
            </w:tcBorders>
          </w:tcPr>
          <w:p w:rsidR="00000000" w:rsidRDefault="00000000">
            <w:pPr>
              <w:spacing w:before="60" w:line="240" w:lineRule="auto"/>
              <w:jc w:val="center"/>
              <w:rPr>
                <w:snapToGrid/>
                <w:sz w:val="18"/>
              </w:rPr>
            </w:pPr>
            <w:r>
              <w:rPr>
                <w:snapToGrid/>
                <w:sz w:val="18"/>
              </w:rPr>
              <w:t>160.95</w:t>
            </w:r>
          </w:p>
        </w:tc>
        <w:tc>
          <w:tcPr>
            <w:tcW w:w="992" w:type="dxa"/>
            <w:tcBorders>
              <w:top w:val="nil"/>
              <w:bottom w:val="nil"/>
            </w:tcBorders>
          </w:tcPr>
          <w:p w:rsidR="00000000" w:rsidRDefault="00000000">
            <w:pPr>
              <w:spacing w:before="60" w:line="240" w:lineRule="auto"/>
              <w:jc w:val="center"/>
              <w:rPr>
                <w:snapToGrid/>
                <w:sz w:val="18"/>
              </w:rPr>
            </w:pPr>
            <w:r>
              <w:rPr>
                <w:snapToGrid/>
                <w:sz w:val="18"/>
              </w:rPr>
              <w:t>242.39</w:t>
            </w:r>
          </w:p>
        </w:tc>
        <w:tc>
          <w:tcPr>
            <w:tcW w:w="992" w:type="dxa"/>
            <w:tcBorders>
              <w:top w:val="nil"/>
              <w:bottom w:val="nil"/>
            </w:tcBorders>
          </w:tcPr>
          <w:p w:rsidR="00000000" w:rsidRDefault="00000000">
            <w:pPr>
              <w:spacing w:before="60" w:line="240" w:lineRule="auto"/>
              <w:jc w:val="center"/>
              <w:rPr>
                <w:snapToGrid/>
                <w:sz w:val="18"/>
              </w:rPr>
            </w:pPr>
            <w:r>
              <w:rPr>
                <w:snapToGrid/>
                <w:sz w:val="18"/>
              </w:rPr>
              <w:t>334.29</w:t>
            </w:r>
          </w:p>
        </w:tc>
        <w:tc>
          <w:tcPr>
            <w:tcW w:w="993" w:type="dxa"/>
            <w:tcBorders>
              <w:top w:val="nil"/>
              <w:bottom w:val="nil"/>
            </w:tcBorders>
          </w:tcPr>
          <w:p w:rsidR="00000000" w:rsidRDefault="00000000">
            <w:pPr>
              <w:spacing w:before="60" w:line="240" w:lineRule="auto"/>
              <w:jc w:val="center"/>
              <w:rPr>
                <w:snapToGrid/>
                <w:sz w:val="18"/>
              </w:rPr>
            </w:pPr>
            <w:r>
              <w:rPr>
                <w:snapToGrid/>
                <w:sz w:val="18"/>
              </w:rPr>
              <w:t>338.64</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rFonts w:hint="eastAsia"/>
                <w:snapToGrid/>
                <w:sz w:val="18"/>
              </w:rPr>
            </w:pPr>
            <w:r>
              <w:rPr>
                <w:rFonts w:hint="eastAsia"/>
                <w:snapToGrid/>
                <w:sz w:val="18"/>
              </w:rPr>
              <w:t>社会养恤金领取人</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千</w:t>
            </w:r>
            <w:r>
              <w:rPr>
                <w:snapToGrid/>
                <w:sz w:val="18"/>
              </w:rPr>
              <w:br/>
              <w:t>%</w:t>
            </w:r>
          </w:p>
        </w:tc>
        <w:tc>
          <w:tcPr>
            <w:tcW w:w="992" w:type="dxa"/>
            <w:tcBorders>
              <w:top w:val="nil"/>
              <w:bottom w:val="nil"/>
            </w:tcBorders>
          </w:tcPr>
          <w:p w:rsidR="00000000" w:rsidRDefault="00000000">
            <w:pPr>
              <w:spacing w:before="60" w:line="240" w:lineRule="auto"/>
              <w:jc w:val="center"/>
              <w:rPr>
                <w:snapToGrid/>
                <w:sz w:val="18"/>
              </w:rPr>
            </w:pPr>
            <w:r>
              <w:rPr>
                <w:snapToGrid/>
                <w:sz w:val="18"/>
              </w:rPr>
              <w:t>40.5</w:t>
            </w:r>
            <w:r>
              <w:rPr>
                <w:snapToGrid/>
                <w:sz w:val="18"/>
              </w:rPr>
              <w:br/>
              <w:t>5.57</w:t>
            </w:r>
          </w:p>
        </w:tc>
        <w:tc>
          <w:tcPr>
            <w:tcW w:w="992" w:type="dxa"/>
            <w:tcBorders>
              <w:top w:val="nil"/>
              <w:bottom w:val="nil"/>
            </w:tcBorders>
          </w:tcPr>
          <w:p w:rsidR="00000000" w:rsidRDefault="00000000">
            <w:pPr>
              <w:spacing w:before="60" w:line="240" w:lineRule="auto"/>
              <w:jc w:val="center"/>
              <w:rPr>
                <w:snapToGrid/>
                <w:sz w:val="18"/>
              </w:rPr>
            </w:pPr>
            <w:r>
              <w:rPr>
                <w:snapToGrid/>
                <w:sz w:val="18"/>
              </w:rPr>
              <w:t>40.3</w:t>
            </w:r>
            <w:r>
              <w:rPr>
                <w:snapToGrid/>
                <w:sz w:val="18"/>
              </w:rPr>
              <w:br/>
              <w:t>5.42</w:t>
            </w:r>
          </w:p>
        </w:tc>
        <w:tc>
          <w:tcPr>
            <w:tcW w:w="993" w:type="dxa"/>
            <w:tcBorders>
              <w:top w:val="nil"/>
              <w:bottom w:val="nil"/>
            </w:tcBorders>
          </w:tcPr>
          <w:p w:rsidR="00000000" w:rsidRDefault="00000000">
            <w:pPr>
              <w:spacing w:before="60" w:line="240" w:lineRule="auto"/>
              <w:jc w:val="center"/>
              <w:rPr>
                <w:snapToGrid/>
                <w:sz w:val="18"/>
              </w:rPr>
            </w:pPr>
            <w:r>
              <w:rPr>
                <w:snapToGrid/>
                <w:sz w:val="18"/>
              </w:rPr>
              <w:t>38.8</w:t>
            </w:r>
            <w:r>
              <w:rPr>
                <w:snapToGrid/>
                <w:sz w:val="18"/>
              </w:rPr>
              <w:br/>
              <w:t>5.20</w:t>
            </w:r>
          </w:p>
        </w:tc>
        <w:tc>
          <w:tcPr>
            <w:tcW w:w="992" w:type="dxa"/>
            <w:tcBorders>
              <w:top w:val="nil"/>
              <w:bottom w:val="nil"/>
            </w:tcBorders>
          </w:tcPr>
          <w:p w:rsidR="00000000" w:rsidRDefault="00000000">
            <w:pPr>
              <w:spacing w:before="60" w:line="240" w:lineRule="auto"/>
              <w:jc w:val="center"/>
              <w:rPr>
                <w:snapToGrid/>
                <w:sz w:val="18"/>
              </w:rPr>
            </w:pPr>
            <w:r>
              <w:rPr>
                <w:snapToGrid/>
                <w:sz w:val="18"/>
              </w:rPr>
              <w:t>38.0</w:t>
            </w:r>
            <w:r>
              <w:rPr>
                <w:snapToGrid/>
                <w:sz w:val="18"/>
              </w:rPr>
              <w:br/>
              <w:t>5.06</w:t>
            </w:r>
          </w:p>
        </w:tc>
        <w:tc>
          <w:tcPr>
            <w:tcW w:w="992" w:type="dxa"/>
            <w:tcBorders>
              <w:top w:val="nil"/>
              <w:bottom w:val="nil"/>
            </w:tcBorders>
          </w:tcPr>
          <w:p w:rsidR="00000000" w:rsidRDefault="00000000">
            <w:pPr>
              <w:spacing w:before="60" w:line="240" w:lineRule="auto"/>
              <w:jc w:val="center"/>
              <w:rPr>
                <w:snapToGrid/>
                <w:sz w:val="18"/>
              </w:rPr>
            </w:pPr>
            <w:r>
              <w:rPr>
                <w:snapToGrid/>
                <w:sz w:val="18"/>
              </w:rPr>
              <w:t>38.3</w:t>
            </w:r>
            <w:r>
              <w:rPr>
                <w:snapToGrid/>
                <w:sz w:val="18"/>
              </w:rPr>
              <w:br/>
              <w:t>5.07</w:t>
            </w:r>
          </w:p>
        </w:tc>
        <w:tc>
          <w:tcPr>
            <w:tcW w:w="993" w:type="dxa"/>
            <w:tcBorders>
              <w:top w:val="nil"/>
              <w:bottom w:val="nil"/>
            </w:tcBorders>
          </w:tcPr>
          <w:p w:rsidR="00000000" w:rsidRDefault="00000000">
            <w:pPr>
              <w:spacing w:before="60" w:line="240" w:lineRule="auto"/>
              <w:jc w:val="center"/>
              <w:rPr>
                <w:snapToGrid/>
                <w:sz w:val="18"/>
              </w:rPr>
            </w:pPr>
            <w:r>
              <w:rPr>
                <w:snapToGrid/>
                <w:sz w:val="18"/>
              </w:rPr>
              <w:t>38.4</w:t>
            </w:r>
            <w:r>
              <w:rPr>
                <w:snapToGrid/>
                <w:sz w:val="18"/>
              </w:rPr>
              <w:br/>
              <w:t>5.07</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平均养恤金</w:t>
            </w:r>
          </w:p>
        </w:tc>
        <w:tc>
          <w:tcPr>
            <w:tcW w:w="1134" w:type="dxa"/>
            <w:tcBorders>
              <w:top w:val="nil"/>
              <w:bottom w:val="nil"/>
            </w:tcBorders>
          </w:tcPr>
          <w:p w:rsidR="00000000" w:rsidRDefault="00000000">
            <w:pPr>
              <w:spacing w:line="240" w:lineRule="auto"/>
              <w:jc w:val="center"/>
              <w:rPr>
                <w:snapToGrid/>
                <w:sz w:val="18"/>
              </w:rPr>
            </w:pPr>
            <w:r>
              <w:rPr>
                <w:snapToGrid/>
                <w:sz w:val="18"/>
              </w:rPr>
              <w:t>列依</w:t>
            </w:r>
          </w:p>
        </w:tc>
        <w:tc>
          <w:tcPr>
            <w:tcW w:w="992" w:type="dxa"/>
            <w:tcBorders>
              <w:top w:val="nil"/>
              <w:bottom w:val="nil"/>
            </w:tcBorders>
          </w:tcPr>
          <w:p w:rsidR="00000000" w:rsidRDefault="00000000">
            <w:pPr>
              <w:spacing w:line="240" w:lineRule="auto"/>
              <w:jc w:val="center"/>
              <w:rPr>
                <w:snapToGrid/>
                <w:sz w:val="18"/>
              </w:rPr>
            </w:pPr>
            <w:r>
              <w:rPr>
                <w:snapToGrid/>
                <w:sz w:val="18"/>
              </w:rPr>
              <w:t>0.01</w:t>
            </w:r>
          </w:p>
        </w:tc>
        <w:tc>
          <w:tcPr>
            <w:tcW w:w="992" w:type="dxa"/>
            <w:tcBorders>
              <w:top w:val="nil"/>
              <w:bottom w:val="nil"/>
            </w:tcBorders>
          </w:tcPr>
          <w:p w:rsidR="00000000" w:rsidRDefault="00000000">
            <w:pPr>
              <w:spacing w:line="240" w:lineRule="auto"/>
              <w:jc w:val="center"/>
              <w:rPr>
                <w:snapToGrid/>
                <w:sz w:val="18"/>
              </w:rPr>
            </w:pPr>
            <w:r>
              <w:rPr>
                <w:snapToGrid/>
                <w:sz w:val="18"/>
              </w:rPr>
              <w:t>10.51</w:t>
            </w:r>
          </w:p>
        </w:tc>
        <w:tc>
          <w:tcPr>
            <w:tcW w:w="993" w:type="dxa"/>
            <w:tcBorders>
              <w:top w:val="nil"/>
              <w:bottom w:val="nil"/>
            </w:tcBorders>
          </w:tcPr>
          <w:p w:rsidR="00000000" w:rsidRDefault="00000000">
            <w:pPr>
              <w:spacing w:line="240" w:lineRule="auto"/>
              <w:jc w:val="center"/>
              <w:rPr>
                <w:snapToGrid/>
                <w:sz w:val="18"/>
              </w:rPr>
            </w:pPr>
            <w:r>
              <w:rPr>
                <w:snapToGrid/>
                <w:sz w:val="18"/>
              </w:rPr>
              <w:t>32.38</w:t>
            </w:r>
          </w:p>
        </w:tc>
        <w:tc>
          <w:tcPr>
            <w:tcW w:w="992" w:type="dxa"/>
            <w:tcBorders>
              <w:top w:val="nil"/>
              <w:bottom w:val="nil"/>
            </w:tcBorders>
          </w:tcPr>
          <w:p w:rsidR="00000000" w:rsidRDefault="00000000">
            <w:pPr>
              <w:spacing w:line="240" w:lineRule="auto"/>
              <w:jc w:val="center"/>
              <w:rPr>
                <w:snapToGrid/>
                <w:sz w:val="18"/>
              </w:rPr>
            </w:pPr>
            <w:r>
              <w:rPr>
                <w:snapToGrid/>
                <w:sz w:val="18"/>
              </w:rPr>
              <w:t>38.07</w:t>
            </w:r>
          </w:p>
        </w:tc>
        <w:tc>
          <w:tcPr>
            <w:tcW w:w="992" w:type="dxa"/>
            <w:tcBorders>
              <w:top w:val="nil"/>
              <w:bottom w:val="nil"/>
            </w:tcBorders>
          </w:tcPr>
          <w:p w:rsidR="00000000" w:rsidRDefault="00000000">
            <w:pPr>
              <w:spacing w:line="240" w:lineRule="auto"/>
              <w:jc w:val="center"/>
              <w:rPr>
                <w:snapToGrid/>
                <w:sz w:val="18"/>
              </w:rPr>
            </w:pPr>
            <w:r>
              <w:rPr>
                <w:snapToGrid/>
                <w:sz w:val="18"/>
              </w:rPr>
              <w:t>47.90</w:t>
            </w:r>
          </w:p>
        </w:tc>
        <w:tc>
          <w:tcPr>
            <w:tcW w:w="993" w:type="dxa"/>
            <w:tcBorders>
              <w:top w:val="nil"/>
              <w:bottom w:val="nil"/>
            </w:tcBorders>
          </w:tcPr>
          <w:p w:rsidR="00000000" w:rsidRDefault="00000000">
            <w:pPr>
              <w:spacing w:line="240" w:lineRule="auto"/>
              <w:jc w:val="center"/>
              <w:rPr>
                <w:snapToGrid/>
                <w:sz w:val="18"/>
              </w:rPr>
            </w:pPr>
            <w:r>
              <w:rPr>
                <w:snapToGrid/>
                <w:sz w:val="18"/>
              </w:rPr>
              <w:t>47.67</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rFonts w:hint="eastAsia"/>
                <w:snapToGrid/>
                <w:sz w:val="18"/>
              </w:rPr>
            </w:pPr>
            <w:r>
              <w:rPr>
                <w:rFonts w:hint="eastAsia"/>
                <w:snapToGrid/>
                <w:sz w:val="18"/>
              </w:rPr>
              <w:t>为曾受到不公正镇压的人提供的养恤金的受益者</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千</w:t>
            </w:r>
            <w:r>
              <w:rPr>
                <w:snapToGrid/>
                <w:sz w:val="18"/>
              </w:rPr>
              <w:br/>
              <w:t>%</w:t>
            </w:r>
          </w:p>
        </w:tc>
        <w:tc>
          <w:tcPr>
            <w:tcW w:w="992" w:type="dxa"/>
            <w:tcBorders>
              <w:top w:val="nil"/>
              <w:bottom w:val="nil"/>
            </w:tcBorders>
          </w:tcPr>
          <w:p w:rsidR="00000000" w:rsidRDefault="00000000">
            <w:pPr>
              <w:spacing w:before="60" w:line="240" w:lineRule="auto"/>
              <w:jc w:val="center"/>
              <w:rPr>
                <w:snapToGrid/>
                <w:sz w:val="18"/>
              </w:rPr>
            </w:pPr>
            <w:r>
              <w:rPr>
                <w:snapToGrid/>
                <w:sz w:val="18"/>
              </w:rPr>
              <w:t>6.0</w:t>
            </w:r>
            <w:r>
              <w:rPr>
                <w:snapToGrid/>
                <w:sz w:val="18"/>
              </w:rPr>
              <w:br/>
              <w:t>0.82</w:t>
            </w:r>
          </w:p>
        </w:tc>
        <w:tc>
          <w:tcPr>
            <w:tcW w:w="992" w:type="dxa"/>
            <w:tcBorders>
              <w:top w:val="nil"/>
              <w:bottom w:val="nil"/>
            </w:tcBorders>
          </w:tcPr>
          <w:p w:rsidR="00000000" w:rsidRDefault="00000000">
            <w:pPr>
              <w:spacing w:before="60" w:line="240" w:lineRule="auto"/>
              <w:jc w:val="center"/>
              <w:rPr>
                <w:snapToGrid/>
                <w:sz w:val="18"/>
              </w:rPr>
            </w:pPr>
            <w:r>
              <w:rPr>
                <w:snapToGrid/>
                <w:sz w:val="18"/>
              </w:rPr>
              <w:t>10.0</w:t>
            </w:r>
            <w:r>
              <w:rPr>
                <w:snapToGrid/>
                <w:sz w:val="18"/>
              </w:rPr>
              <w:br/>
              <w:t>1.34</w:t>
            </w:r>
          </w:p>
        </w:tc>
        <w:tc>
          <w:tcPr>
            <w:tcW w:w="993" w:type="dxa"/>
            <w:tcBorders>
              <w:top w:val="nil"/>
              <w:bottom w:val="nil"/>
            </w:tcBorders>
          </w:tcPr>
          <w:p w:rsidR="00000000" w:rsidRDefault="00000000">
            <w:pPr>
              <w:spacing w:before="60" w:line="240" w:lineRule="auto"/>
              <w:jc w:val="center"/>
              <w:rPr>
                <w:snapToGrid/>
                <w:sz w:val="18"/>
              </w:rPr>
            </w:pPr>
            <w:r>
              <w:rPr>
                <w:snapToGrid/>
                <w:sz w:val="18"/>
              </w:rPr>
              <w:t>10.7</w:t>
            </w:r>
            <w:r>
              <w:rPr>
                <w:snapToGrid/>
                <w:sz w:val="18"/>
              </w:rPr>
              <w:br/>
              <w:t>1.43</w:t>
            </w:r>
          </w:p>
        </w:tc>
        <w:tc>
          <w:tcPr>
            <w:tcW w:w="992" w:type="dxa"/>
            <w:tcBorders>
              <w:top w:val="nil"/>
              <w:bottom w:val="nil"/>
            </w:tcBorders>
          </w:tcPr>
          <w:p w:rsidR="00000000" w:rsidRDefault="00000000">
            <w:pPr>
              <w:spacing w:before="60" w:line="240" w:lineRule="auto"/>
              <w:jc w:val="center"/>
              <w:rPr>
                <w:snapToGrid/>
                <w:sz w:val="18"/>
              </w:rPr>
            </w:pPr>
            <w:r>
              <w:rPr>
                <w:snapToGrid/>
                <w:sz w:val="18"/>
              </w:rPr>
              <w:t>11.2</w:t>
            </w:r>
            <w:r>
              <w:rPr>
                <w:snapToGrid/>
                <w:sz w:val="18"/>
              </w:rPr>
              <w:br/>
              <w:t>1.49</w:t>
            </w:r>
          </w:p>
        </w:tc>
        <w:tc>
          <w:tcPr>
            <w:tcW w:w="992" w:type="dxa"/>
            <w:tcBorders>
              <w:top w:val="nil"/>
              <w:bottom w:val="nil"/>
            </w:tcBorders>
          </w:tcPr>
          <w:p w:rsidR="00000000" w:rsidRDefault="00000000">
            <w:pPr>
              <w:spacing w:before="60" w:line="240" w:lineRule="auto"/>
              <w:jc w:val="center"/>
              <w:rPr>
                <w:snapToGrid/>
                <w:sz w:val="18"/>
              </w:rPr>
            </w:pPr>
            <w:r>
              <w:rPr>
                <w:snapToGrid/>
                <w:sz w:val="18"/>
              </w:rPr>
              <w:t>11.4</w:t>
            </w:r>
            <w:r>
              <w:rPr>
                <w:snapToGrid/>
                <w:sz w:val="18"/>
              </w:rPr>
              <w:br/>
              <w:t>1.51</w:t>
            </w:r>
          </w:p>
        </w:tc>
        <w:tc>
          <w:tcPr>
            <w:tcW w:w="993" w:type="dxa"/>
            <w:tcBorders>
              <w:top w:val="nil"/>
              <w:bottom w:val="nil"/>
            </w:tcBorders>
          </w:tcPr>
          <w:p w:rsidR="00000000" w:rsidRDefault="00000000">
            <w:pPr>
              <w:spacing w:before="60" w:line="240" w:lineRule="auto"/>
              <w:jc w:val="center"/>
              <w:rPr>
                <w:snapToGrid/>
                <w:sz w:val="18"/>
              </w:rPr>
            </w:pPr>
            <w:r>
              <w:rPr>
                <w:snapToGrid/>
                <w:sz w:val="18"/>
              </w:rPr>
              <w:t>11.4</w:t>
            </w:r>
            <w:r>
              <w:rPr>
                <w:snapToGrid/>
                <w:sz w:val="18"/>
              </w:rPr>
              <w:br/>
              <w:t>1.51</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snapToGrid/>
                <w:sz w:val="18"/>
              </w:rPr>
            </w:pPr>
            <w:r>
              <w:rPr>
                <w:snapToGrid/>
                <w:sz w:val="18"/>
              </w:rPr>
              <w:t>平均养恤金</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列依</w:t>
            </w:r>
          </w:p>
        </w:tc>
        <w:tc>
          <w:tcPr>
            <w:tcW w:w="992" w:type="dxa"/>
            <w:tcBorders>
              <w:top w:val="nil"/>
              <w:bottom w:val="nil"/>
            </w:tcBorders>
          </w:tcPr>
          <w:p w:rsidR="00000000" w:rsidRDefault="00000000">
            <w:pPr>
              <w:spacing w:before="60" w:line="240" w:lineRule="auto"/>
              <w:jc w:val="center"/>
              <w:rPr>
                <w:snapToGrid/>
                <w:sz w:val="18"/>
              </w:rPr>
            </w:pPr>
            <w:r>
              <w:rPr>
                <w:snapToGrid/>
                <w:sz w:val="18"/>
              </w:rPr>
              <w:t>2.75</w:t>
            </w:r>
          </w:p>
        </w:tc>
        <w:tc>
          <w:tcPr>
            <w:tcW w:w="992" w:type="dxa"/>
            <w:tcBorders>
              <w:top w:val="nil"/>
              <w:bottom w:val="nil"/>
            </w:tcBorders>
          </w:tcPr>
          <w:p w:rsidR="00000000" w:rsidRDefault="00000000">
            <w:pPr>
              <w:spacing w:before="60" w:line="240" w:lineRule="auto"/>
              <w:jc w:val="center"/>
              <w:rPr>
                <w:snapToGrid/>
                <w:sz w:val="18"/>
              </w:rPr>
            </w:pPr>
            <w:r>
              <w:rPr>
                <w:snapToGrid/>
                <w:sz w:val="18"/>
              </w:rPr>
              <w:t>26.18</w:t>
            </w:r>
          </w:p>
        </w:tc>
        <w:tc>
          <w:tcPr>
            <w:tcW w:w="993" w:type="dxa"/>
            <w:tcBorders>
              <w:top w:val="nil"/>
              <w:bottom w:val="nil"/>
            </w:tcBorders>
          </w:tcPr>
          <w:p w:rsidR="00000000" w:rsidRDefault="00000000">
            <w:pPr>
              <w:spacing w:before="60" w:line="240" w:lineRule="auto"/>
              <w:jc w:val="center"/>
              <w:rPr>
                <w:snapToGrid/>
                <w:sz w:val="18"/>
              </w:rPr>
            </w:pPr>
            <w:r>
              <w:rPr>
                <w:snapToGrid/>
                <w:sz w:val="18"/>
              </w:rPr>
              <w:t>68.67</w:t>
            </w:r>
          </w:p>
        </w:tc>
        <w:tc>
          <w:tcPr>
            <w:tcW w:w="992" w:type="dxa"/>
            <w:tcBorders>
              <w:top w:val="nil"/>
              <w:bottom w:val="nil"/>
            </w:tcBorders>
          </w:tcPr>
          <w:p w:rsidR="00000000" w:rsidRDefault="00000000">
            <w:pPr>
              <w:spacing w:before="60" w:line="240" w:lineRule="auto"/>
              <w:jc w:val="center"/>
              <w:rPr>
                <w:snapToGrid/>
                <w:sz w:val="18"/>
              </w:rPr>
            </w:pPr>
            <w:r>
              <w:rPr>
                <w:snapToGrid/>
                <w:sz w:val="18"/>
              </w:rPr>
              <w:t>78.70</w:t>
            </w:r>
          </w:p>
        </w:tc>
        <w:tc>
          <w:tcPr>
            <w:tcW w:w="992" w:type="dxa"/>
            <w:tcBorders>
              <w:top w:val="nil"/>
              <w:bottom w:val="nil"/>
            </w:tcBorders>
          </w:tcPr>
          <w:p w:rsidR="00000000" w:rsidRDefault="00000000">
            <w:pPr>
              <w:spacing w:before="60" w:line="240" w:lineRule="auto"/>
              <w:jc w:val="center"/>
              <w:rPr>
                <w:snapToGrid/>
                <w:sz w:val="18"/>
              </w:rPr>
            </w:pPr>
            <w:r>
              <w:rPr>
                <w:snapToGrid/>
                <w:sz w:val="18"/>
              </w:rPr>
              <w:t>95.33</w:t>
            </w:r>
          </w:p>
        </w:tc>
        <w:tc>
          <w:tcPr>
            <w:tcW w:w="993" w:type="dxa"/>
            <w:tcBorders>
              <w:top w:val="nil"/>
              <w:bottom w:val="nil"/>
            </w:tcBorders>
          </w:tcPr>
          <w:p w:rsidR="00000000" w:rsidRDefault="00000000">
            <w:pPr>
              <w:spacing w:before="60" w:line="240" w:lineRule="auto"/>
              <w:jc w:val="center"/>
              <w:rPr>
                <w:snapToGrid/>
                <w:sz w:val="18"/>
              </w:rPr>
            </w:pPr>
            <w:r>
              <w:rPr>
                <w:snapToGrid/>
                <w:sz w:val="18"/>
              </w:rPr>
              <w:t>99.77</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rFonts w:hint="eastAsia"/>
                <w:snapToGrid/>
                <w:sz w:val="18"/>
              </w:rPr>
            </w:pPr>
            <w:r>
              <w:rPr>
                <w:rFonts w:hint="eastAsia"/>
                <w:snapToGrid/>
                <w:sz w:val="18"/>
              </w:rPr>
              <w:t>军人养恤金领取人</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千</w:t>
            </w:r>
            <w:r>
              <w:rPr>
                <w:snapToGrid/>
                <w:sz w:val="18"/>
              </w:rPr>
              <w:t xml:space="preserve"> </w:t>
            </w:r>
            <w:r>
              <w:rPr>
                <w:snapToGrid/>
                <w:sz w:val="18"/>
              </w:rPr>
              <w:br/>
              <w:t>%</w:t>
            </w:r>
          </w:p>
        </w:tc>
        <w:tc>
          <w:tcPr>
            <w:tcW w:w="992" w:type="dxa"/>
            <w:tcBorders>
              <w:top w:val="nil"/>
              <w:bottom w:val="nil"/>
            </w:tcBorders>
          </w:tcPr>
          <w:p w:rsidR="00000000" w:rsidRDefault="00000000">
            <w:pPr>
              <w:spacing w:before="60" w:line="240" w:lineRule="auto"/>
              <w:jc w:val="center"/>
              <w:rPr>
                <w:snapToGrid/>
                <w:sz w:val="18"/>
              </w:rPr>
            </w:pPr>
            <w:r>
              <w:rPr>
                <w:snapToGrid/>
                <w:sz w:val="18"/>
              </w:rPr>
              <w:t>7.1</w:t>
            </w:r>
            <w:r>
              <w:rPr>
                <w:snapToGrid/>
                <w:sz w:val="18"/>
              </w:rPr>
              <w:br/>
              <w:t>0.98</w:t>
            </w:r>
          </w:p>
        </w:tc>
        <w:tc>
          <w:tcPr>
            <w:tcW w:w="992" w:type="dxa"/>
            <w:tcBorders>
              <w:top w:val="nil"/>
              <w:bottom w:val="nil"/>
            </w:tcBorders>
          </w:tcPr>
          <w:p w:rsidR="00000000" w:rsidRDefault="00000000">
            <w:pPr>
              <w:spacing w:before="60" w:line="240" w:lineRule="auto"/>
              <w:jc w:val="center"/>
              <w:rPr>
                <w:snapToGrid/>
                <w:sz w:val="18"/>
              </w:rPr>
            </w:pPr>
            <w:r>
              <w:rPr>
                <w:snapToGrid/>
                <w:sz w:val="18"/>
              </w:rPr>
              <w:t>6.5</w:t>
            </w:r>
            <w:r>
              <w:rPr>
                <w:snapToGrid/>
                <w:sz w:val="18"/>
              </w:rPr>
              <w:br/>
              <w:t>0.87</w:t>
            </w:r>
          </w:p>
        </w:tc>
        <w:tc>
          <w:tcPr>
            <w:tcW w:w="993" w:type="dxa"/>
            <w:tcBorders>
              <w:top w:val="nil"/>
              <w:bottom w:val="nil"/>
            </w:tcBorders>
          </w:tcPr>
          <w:p w:rsidR="00000000" w:rsidRDefault="00000000">
            <w:pPr>
              <w:spacing w:before="60" w:line="240" w:lineRule="auto"/>
              <w:jc w:val="center"/>
              <w:rPr>
                <w:snapToGrid/>
                <w:sz w:val="18"/>
              </w:rPr>
            </w:pPr>
            <w:r>
              <w:rPr>
                <w:snapToGrid/>
                <w:sz w:val="18"/>
              </w:rPr>
              <w:t>8.1</w:t>
            </w:r>
            <w:r>
              <w:rPr>
                <w:snapToGrid/>
                <w:sz w:val="18"/>
              </w:rPr>
              <w:br/>
              <w:t>1.08</w:t>
            </w:r>
          </w:p>
        </w:tc>
        <w:tc>
          <w:tcPr>
            <w:tcW w:w="992" w:type="dxa"/>
            <w:tcBorders>
              <w:top w:val="nil"/>
              <w:bottom w:val="nil"/>
            </w:tcBorders>
          </w:tcPr>
          <w:p w:rsidR="00000000" w:rsidRDefault="00000000">
            <w:pPr>
              <w:spacing w:before="60" w:line="240" w:lineRule="auto"/>
              <w:jc w:val="center"/>
              <w:rPr>
                <w:snapToGrid/>
                <w:sz w:val="18"/>
              </w:rPr>
            </w:pPr>
            <w:r>
              <w:rPr>
                <w:snapToGrid/>
                <w:sz w:val="18"/>
              </w:rPr>
              <w:t>8.8</w:t>
            </w:r>
            <w:r>
              <w:rPr>
                <w:snapToGrid/>
                <w:sz w:val="18"/>
              </w:rPr>
              <w:br/>
              <w:t>1.17</w:t>
            </w:r>
          </w:p>
        </w:tc>
        <w:tc>
          <w:tcPr>
            <w:tcW w:w="992" w:type="dxa"/>
            <w:tcBorders>
              <w:top w:val="nil"/>
              <w:bottom w:val="nil"/>
            </w:tcBorders>
          </w:tcPr>
          <w:p w:rsidR="00000000" w:rsidRDefault="00000000">
            <w:pPr>
              <w:spacing w:before="60" w:line="240" w:lineRule="auto"/>
              <w:jc w:val="center"/>
              <w:rPr>
                <w:snapToGrid/>
                <w:sz w:val="18"/>
              </w:rPr>
            </w:pPr>
            <w:r>
              <w:rPr>
                <w:snapToGrid/>
                <w:sz w:val="18"/>
              </w:rPr>
              <w:t>8.8</w:t>
            </w:r>
            <w:r>
              <w:rPr>
                <w:snapToGrid/>
                <w:sz w:val="18"/>
              </w:rPr>
              <w:br/>
              <w:t>1.17</w:t>
            </w:r>
          </w:p>
        </w:tc>
        <w:tc>
          <w:tcPr>
            <w:tcW w:w="993" w:type="dxa"/>
            <w:tcBorders>
              <w:top w:val="nil"/>
              <w:bottom w:val="nil"/>
            </w:tcBorders>
          </w:tcPr>
          <w:p w:rsidR="00000000" w:rsidRDefault="00000000">
            <w:pPr>
              <w:spacing w:before="60" w:line="240" w:lineRule="auto"/>
              <w:jc w:val="center"/>
              <w:rPr>
                <w:snapToGrid/>
                <w:sz w:val="18"/>
              </w:rPr>
            </w:pPr>
            <w:r>
              <w:rPr>
                <w:snapToGrid/>
                <w:sz w:val="18"/>
              </w:rPr>
              <w:t>8.8</w:t>
            </w:r>
            <w:r>
              <w:rPr>
                <w:snapToGrid/>
                <w:sz w:val="18"/>
              </w:rPr>
              <w:br/>
              <w:t>1.16</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snapToGrid/>
                <w:sz w:val="18"/>
              </w:rPr>
            </w:pPr>
            <w:r>
              <w:rPr>
                <w:snapToGrid/>
                <w:sz w:val="18"/>
              </w:rPr>
              <w:t>平均养恤金</w:t>
            </w:r>
          </w:p>
        </w:tc>
        <w:tc>
          <w:tcPr>
            <w:tcW w:w="1134" w:type="dxa"/>
            <w:tcBorders>
              <w:top w:val="nil"/>
              <w:bottom w:val="nil"/>
            </w:tcBorders>
          </w:tcPr>
          <w:p w:rsidR="00000000" w:rsidRDefault="00000000">
            <w:pPr>
              <w:spacing w:line="240" w:lineRule="auto"/>
              <w:jc w:val="center"/>
              <w:rPr>
                <w:snapToGrid/>
                <w:sz w:val="18"/>
              </w:rPr>
            </w:pPr>
            <w:r>
              <w:rPr>
                <w:snapToGrid/>
                <w:sz w:val="18"/>
              </w:rPr>
              <w:t>列依</w:t>
            </w:r>
          </w:p>
        </w:tc>
        <w:tc>
          <w:tcPr>
            <w:tcW w:w="992" w:type="dxa"/>
            <w:tcBorders>
              <w:top w:val="nil"/>
              <w:bottom w:val="nil"/>
            </w:tcBorders>
          </w:tcPr>
          <w:p w:rsidR="00000000" w:rsidRDefault="00000000">
            <w:pPr>
              <w:spacing w:line="240" w:lineRule="auto"/>
              <w:jc w:val="center"/>
              <w:rPr>
                <w:snapToGrid/>
                <w:sz w:val="18"/>
              </w:rPr>
            </w:pPr>
            <w:r>
              <w:rPr>
                <w:snapToGrid/>
                <w:sz w:val="18"/>
              </w:rPr>
              <w:t>2.07</w:t>
            </w:r>
          </w:p>
        </w:tc>
        <w:tc>
          <w:tcPr>
            <w:tcW w:w="992" w:type="dxa"/>
            <w:tcBorders>
              <w:top w:val="nil"/>
              <w:bottom w:val="nil"/>
            </w:tcBorders>
          </w:tcPr>
          <w:p w:rsidR="00000000" w:rsidRDefault="00000000">
            <w:pPr>
              <w:spacing w:line="240" w:lineRule="auto"/>
              <w:jc w:val="center"/>
              <w:rPr>
                <w:snapToGrid/>
                <w:sz w:val="18"/>
              </w:rPr>
            </w:pPr>
            <w:r>
              <w:rPr>
                <w:snapToGrid/>
                <w:sz w:val="18"/>
              </w:rPr>
              <w:t>17.12</w:t>
            </w:r>
          </w:p>
        </w:tc>
        <w:tc>
          <w:tcPr>
            <w:tcW w:w="993" w:type="dxa"/>
            <w:tcBorders>
              <w:top w:val="nil"/>
              <w:bottom w:val="nil"/>
            </w:tcBorders>
          </w:tcPr>
          <w:p w:rsidR="00000000" w:rsidRDefault="00000000">
            <w:pPr>
              <w:spacing w:line="240" w:lineRule="auto"/>
              <w:jc w:val="center"/>
              <w:rPr>
                <w:snapToGrid/>
                <w:sz w:val="18"/>
              </w:rPr>
            </w:pPr>
            <w:r>
              <w:rPr>
                <w:snapToGrid/>
                <w:sz w:val="18"/>
              </w:rPr>
              <w:t>49.01</w:t>
            </w:r>
          </w:p>
        </w:tc>
        <w:tc>
          <w:tcPr>
            <w:tcW w:w="992" w:type="dxa"/>
            <w:tcBorders>
              <w:top w:val="nil"/>
              <w:bottom w:val="nil"/>
            </w:tcBorders>
          </w:tcPr>
          <w:p w:rsidR="00000000" w:rsidRDefault="00000000">
            <w:pPr>
              <w:spacing w:line="240" w:lineRule="auto"/>
              <w:jc w:val="center"/>
              <w:rPr>
                <w:snapToGrid/>
                <w:sz w:val="18"/>
              </w:rPr>
            </w:pPr>
            <w:r>
              <w:rPr>
                <w:snapToGrid/>
                <w:sz w:val="18"/>
              </w:rPr>
              <w:t>73.80</w:t>
            </w:r>
          </w:p>
        </w:tc>
        <w:tc>
          <w:tcPr>
            <w:tcW w:w="992" w:type="dxa"/>
            <w:tcBorders>
              <w:top w:val="nil"/>
              <w:bottom w:val="nil"/>
            </w:tcBorders>
          </w:tcPr>
          <w:p w:rsidR="00000000" w:rsidRDefault="00000000">
            <w:pPr>
              <w:spacing w:line="240" w:lineRule="auto"/>
              <w:jc w:val="center"/>
              <w:rPr>
                <w:snapToGrid/>
                <w:sz w:val="18"/>
              </w:rPr>
            </w:pPr>
            <w:r>
              <w:rPr>
                <w:snapToGrid/>
                <w:sz w:val="18"/>
              </w:rPr>
              <w:t>90.25</w:t>
            </w:r>
          </w:p>
        </w:tc>
        <w:tc>
          <w:tcPr>
            <w:tcW w:w="993" w:type="dxa"/>
            <w:tcBorders>
              <w:top w:val="nil"/>
              <w:bottom w:val="nil"/>
            </w:tcBorders>
          </w:tcPr>
          <w:p w:rsidR="00000000" w:rsidRDefault="00000000">
            <w:pPr>
              <w:spacing w:line="240" w:lineRule="auto"/>
              <w:jc w:val="center"/>
              <w:rPr>
                <w:snapToGrid/>
                <w:sz w:val="18"/>
              </w:rPr>
            </w:pPr>
            <w:r>
              <w:rPr>
                <w:snapToGrid/>
                <w:sz w:val="18"/>
              </w:rPr>
              <w:t>109.45</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snapToGrid/>
                <w:sz w:val="18"/>
              </w:rPr>
            </w:pPr>
            <w:r>
              <w:rPr>
                <w:rFonts w:hint="eastAsia"/>
                <w:snapToGrid/>
                <w:sz w:val="18"/>
              </w:rPr>
              <w:t>目前行政管理期间固定养恤金的领取人</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千</w:t>
            </w:r>
            <w:r>
              <w:rPr>
                <w:snapToGrid/>
                <w:sz w:val="18"/>
              </w:rPr>
              <w:br/>
              <w:t>%</w:t>
            </w:r>
          </w:p>
        </w:tc>
        <w:tc>
          <w:tcPr>
            <w:tcW w:w="992" w:type="dxa"/>
            <w:tcBorders>
              <w:top w:val="nil"/>
              <w:bottom w:val="nil"/>
            </w:tcBorders>
          </w:tcPr>
          <w:p w:rsidR="00000000" w:rsidRDefault="00000000">
            <w:pPr>
              <w:spacing w:before="60" w:line="240" w:lineRule="auto"/>
              <w:jc w:val="center"/>
              <w:rPr>
                <w:snapToGrid/>
                <w:sz w:val="18"/>
              </w:rPr>
            </w:pPr>
            <w:r>
              <w:rPr>
                <w:snapToGrid/>
                <w:sz w:val="18"/>
              </w:rPr>
              <w:t>79.5</w:t>
            </w:r>
            <w:r>
              <w:rPr>
                <w:snapToGrid/>
                <w:sz w:val="18"/>
              </w:rPr>
              <w:br/>
              <w:t>10.93</w:t>
            </w:r>
          </w:p>
        </w:tc>
        <w:tc>
          <w:tcPr>
            <w:tcW w:w="992" w:type="dxa"/>
            <w:tcBorders>
              <w:top w:val="nil"/>
              <w:bottom w:val="nil"/>
            </w:tcBorders>
          </w:tcPr>
          <w:p w:rsidR="00000000" w:rsidRDefault="00000000">
            <w:pPr>
              <w:spacing w:before="60" w:line="240" w:lineRule="auto"/>
              <w:jc w:val="center"/>
              <w:rPr>
                <w:snapToGrid/>
                <w:sz w:val="18"/>
              </w:rPr>
            </w:pPr>
            <w:r>
              <w:rPr>
                <w:snapToGrid/>
                <w:sz w:val="18"/>
              </w:rPr>
              <w:t>60.6</w:t>
            </w:r>
            <w:r>
              <w:rPr>
                <w:snapToGrid/>
                <w:sz w:val="18"/>
              </w:rPr>
              <w:br/>
              <w:t>8.15</w:t>
            </w:r>
          </w:p>
        </w:tc>
        <w:tc>
          <w:tcPr>
            <w:tcW w:w="993" w:type="dxa"/>
            <w:tcBorders>
              <w:top w:val="nil"/>
              <w:bottom w:val="nil"/>
            </w:tcBorders>
          </w:tcPr>
          <w:p w:rsidR="00000000" w:rsidRDefault="00000000">
            <w:pPr>
              <w:spacing w:before="60" w:line="240" w:lineRule="auto"/>
              <w:jc w:val="center"/>
              <w:rPr>
                <w:snapToGrid/>
                <w:sz w:val="18"/>
              </w:rPr>
            </w:pPr>
            <w:r>
              <w:rPr>
                <w:snapToGrid/>
                <w:sz w:val="18"/>
              </w:rPr>
              <w:t>50.0</w:t>
            </w:r>
            <w:r>
              <w:rPr>
                <w:snapToGrid/>
                <w:sz w:val="18"/>
              </w:rPr>
              <w:br/>
              <w:t>6.70</w:t>
            </w:r>
          </w:p>
        </w:tc>
        <w:tc>
          <w:tcPr>
            <w:tcW w:w="992" w:type="dxa"/>
            <w:tcBorders>
              <w:top w:val="nil"/>
              <w:bottom w:val="nil"/>
            </w:tcBorders>
          </w:tcPr>
          <w:p w:rsidR="00000000" w:rsidRDefault="00000000">
            <w:pPr>
              <w:spacing w:before="60" w:line="240" w:lineRule="auto"/>
              <w:jc w:val="center"/>
              <w:rPr>
                <w:snapToGrid/>
                <w:sz w:val="18"/>
              </w:rPr>
            </w:pPr>
            <w:r>
              <w:rPr>
                <w:snapToGrid/>
                <w:sz w:val="18"/>
              </w:rPr>
              <w:t>50.0</w:t>
            </w:r>
            <w:r>
              <w:rPr>
                <w:snapToGrid/>
                <w:sz w:val="18"/>
              </w:rPr>
              <w:br/>
              <w:t>6.66</w:t>
            </w:r>
          </w:p>
        </w:tc>
        <w:tc>
          <w:tcPr>
            <w:tcW w:w="992" w:type="dxa"/>
            <w:tcBorders>
              <w:top w:val="nil"/>
              <w:bottom w:val="nil"/>
            </w:tcBorders>
          </w:tcPr>
          <w:p w:rsidR="00000000" w:rsidRDefault="00000000">
            <w:pPr>
              <w:spacing w:before="60" w:line="240" w:lineRule="auto"/>
              <w:jc w:val="center"/>
              <w:rPr>
                <w:snapToGrid/>
                <w:sz w:val="18"/>
              </w:rPr>
            </w:pPr>
            <w:r>
              <w:rPr>
                <w:snapToGrid/>
                <w:sz w:val="18"/>
              </w:rPr>
              <w:t>53.6</w:t>
            </w:r>
            <w:r>
              <w:rPr>
                <w:snapToGrid/>
                <w:sz w:val="18"/>
              </w:rPr>
              <w:br/>
              <w:t>7.10</w:t>
            </w:r>
          </w:p>
        </w:tc>
        <w:tc>
          <w:tcPr>
            <w:tcW w:w="993" w:type="dxa"/>
            <w:tcBorders>
              <w:top w:val="nil"/>
              <w:bottom w:val="nil"/>
            </w:tcBorders>
          </w:tcPr>
          <w:p w:rsidR="00000000" w:rsidRDefault="00000000">
            <w:pPr>
              <w:spacing w:before="60" w:line="240" w:lineRule="auto"/>
              <w:jc w:val="center"/>
              <w:rPr>
                <w:snapToGrid/>
                <w:sz w:val="18"/>
              </w:rPr>
            </w:pPr>
            <w:r>
              <w:rPr>
                <w:snapToGrid/>
                <w:sz w:val="18"/>
              </w:rPr>
              <w:t>50.9</w:t>
            </w:r>
            <w:r>
              <w:rPr>
                <w:snapToGrid/>
                <w:sz w:val="18"/>
              </w:rPr>
              <w:br/>
              <w:t>6.72</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snapToGrid/>
                <w:sz w:val="18"/>
              </w:rPr>
            </w:pPr>
            <w:r>
              <w:rPr>
                <w:snapToGrid/>
                <w:sz w:val="18"/>
              </w:rPr>
              <w:t>平均养恤金</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列依</w:t>
            </w:r>
          </w:p>
        </w:tc>
        <w:tc>
          <w:tcPr>
            <w:tcW w:w="992" w:type="dxa"/>
            <w:tcBorders>
              <w:top w:val="nil"/>
              <w:bottom w:val="nil"/>
            </w:tcBorders>
          </w:tcPr>
          <w:p w:rsidR="00000000" w:rsidRDefault="00000000">
            <w:pPr>
              <w:spacing w:before="60" w:line="240" w:lineRule="auto"/>
              <w:jc w:val="center"/>
              <w:rPr>
                <w:snapToGrid/>
                <w:sz w:val="18"/>
              </w:rPr>
            </w:pPr>
            <w:r>
              <w:rPr>
                <w:snapToGrid/>
                <w:sz w:val="18"/>
              </w:rPr>
              <w:t>2.15</w:t>
            </w:r>
          </w:p>
        </w:tc>
        <w:tc>
          <w:tcPr>
            <w:tcW w:w="992" w:type="dxa"/>
            <w:tcBorders>
              <w:top w:val="nil"/>
              <w:bottom w:val="nil"/>
            </w:tcBorders>
          </w:tcPr>
          <w:p w:rsidR="00000000" w:rsidRDefault="00000000">
            <w:pPr>
              <w:spacing w:before="60" w:line="240" w:lineRule="auto"/>
              <w:jc w:val="center"/>
              <w:rPr>
                <w:snapToGrid/>
                <w:sz w:val="18"/>
              </w:rPr>
            </w:pPr>
            <w:r>
              <w:rPr>
                <w:snapToGrid/>
                <w:sz w:val="18"/>
              </w:rPr>
              <w:t>23.72</w:t>
            </w:r>
          </w:p>
        </w:tc>
        <w:tc>
          <w:tcPr>
            <w:tcW w:w="993" w:type="dxa"/>
            <w:tcBorders>
              <w:top w:val="nil"/>
              <w:bottom w:val="nil"/>
            </w:tcBorders>
          </w:tcPr>
          <w:p w:rsidR="00000000" w:rsidRDefault="00000000">
            <w:pPr>
              <w:spacing w:before="60" w:line="240" w:lineRule="auto"/>
              <w:jc w:val="center"/>
              <w:rPr>
                <w:snapToGrid/>
                <w:sz w:val="18"/>
              </w:rPr>
            </w:pPr>
            <w:r>
              <w:rPr>
                <w:snapToGrid/>
                <w:sz w:val="18"/>
              </w:rPr>
              <w:t>60.19</w:t>
            </w:r>
          </w:p>
        </w:tc>
        <w:tc>
          <w:tcPr>
            <w:tcW w:w="992" w:type="dxa"/>
            <w:tcBorders>
              <w:top w:val="nil"/>
              <w:bottom w:val="nil"/>
            </w:tcBorders>
          </w:tcPr>
          <w:p w:rsidR="00000000" w:rsidRDefault="00000000">
            <w:pPr>
              <w:spacing w:before="60" w:line="240" w:lineRule="auto"/>
              <w:jc w:val="center"/>
              <w:rPr>
                <w:snapToGrid/>
                <w:sz w:val="18"/>
              </w:rPr>
            </w:pPr>
            <w:r>
              <w:rPr>
                <w:snapToGrid/>
                <w:sz w:val="18"/>
              </w:rPr>
              <w:t>70.73</w:t>
            </w:r>
          </w:p>
        </w:tc>
        <w:tc>
          <w:tcPr>
            <w:tcW w:w="992" w:type="dxa"/>
            <w:tcBorders>
              <w:top w:val="nil"/>
              <w:bottom w:val="nil"/>
            </w:tcBorders>
          </w:tcPr>
          <w:p w:rsidR="00000000" w:rsidRDefault="00000000">
            <w:pPr>
              <w:spacing w:before="60" w:line="240" w:lineRule="auto"/>
              <w:jc w:val="center"/>
              <w:rPr>
                <w:snapToGrid/>
                <w:sz w:val="18"/>
              </w:rPr>
            </w:pPr>
            <w:r>
              <w:rPr>
                <w:snapToGrid/>
                <w:sz w:val="18"/>
              </w:rPr>
              <w:t>62.00</w:t>
            </w:r>
          </w:p>
        </w:tc>
        <w:tc>
          <w:tcPr>
            <w:tcW w:w="993" w:type="dxa"/>
            <w:tcBorders>
              <w:top w:val="nil"/>
              <w:bottom w:val="nil"/>
            </w:tcBorders>
          </w:tcPr>
          <w:p w:rsidR="00000000" w:rsidRDefault="00000000">
            <w:pPr>
              <w:spacing w:before="60" w:line="240" w:lineRule="auto"/>
              <w:jc w:val="center"/>
              <w:rPr>
                <w:snapToGrid/>
                <w:sz w:val="18"/>
              </w:rPr>
            </w:pPr>
            <w:r>
              <w:rPr>
                <w:snapToGrid/>
                <w:sz w:val="18"/>
              </w:rPr>
              <w:t>86.80</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rFonts w:hint="eastAsia"/>
                <w:snapToGrid/>
                <w:sz w:val="18"/>
              </w:rPr>
            </w:pPr>
            <w:r>
              <w:rPr>
                <w:rFonts w:hint="eastAsia"/>
                <w:snapToGrid/>
                <w:sz w:val="18"/>
              </w:rPr>
              <w:t>最低养恤金领取人</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千</w:t>
            </w:r>
            <w:r>
              <w:rPr>
                <w:snapToGrid/>
                <w:sz w:val="18"/>
              </w:rPr>
              <w:t xml:space="preserve"> </w:t>
            </w:r>
            <w:r>
              <w:rPr>
                <w:snapToGrid/>
                <w:sz w:val="18"/>
              </w:rPr>
              <w:br/>
              <w:t>%</w:t>
            </w:r>
          </w:p>
        </w:tc>
        <w:tc>
          <w:tcPr>
            <w:tcW w:w="992" w:type="dxa"/>
            <w:tcBorders>
              <w:top w:val="nil"/>
              <w:bottom w:val="nil"/>
            </w:tcBorders>
          </w:tcPr>
          <w:p w:rsidR="00000000" w:rsidRDefault="00000000">
            <w:pPr>
              <w:spacing w:before="60" w:line="240" w:lineRule="auto"/>
              <w:jc w:val="center"/>
              <w:rPr>
                <w:snapToGrid/>
                <w:sz w:val="18"/>
              </w:rPr>
            </w:pPr>
            <w:r>
              <w:rPr>
                <w:snapToGrid/>
                <w:sz w:val="18"/>
              </w:rPr>
              <w:t>241.9</w:t>
            </w:r>
            <w:r>
              <w:rPr>
                <w:snapToGrid/>
                <w:sz w:val="18"/>
              </w:rPr>
              <w:br/>
              <w:t>33.2</w:t>
            </w:r>
          </w:p>
        </w:tc>
        <w:tc>
          <w:tcPr>
            <w:tcW w:w="992" w:type="dxa"/>
            <w:tcBorders>
              <w:top w:val="nil"/>
              <w:bottom w:val="nil"/>
            </w:tcBorders>
          </w:tcPr>
          <w:p w:rsidR="00000000" w:rsidRDefault="00000000">
            <w:pPr>
              <w:spacing w:before="60" w:line="240" w:lineRule="auto"/>
              <w:jc w:val="center"/>
              <w:rPr>
                <w:snapToGrid/>
                <w:sz w:val="18"/>
              </w:rPr>
            </w:pPr>
            <w:r>
              <w:rPr>
                <w:snapToGrid/>
                <w:sz w:val="18"/>
              </w:rPr>
              <w:t>222.2</w:t>
            </w:r>
            <w:r>
              <w:rPr>
                <w:snapToGrid/>
                <w:sz w:val="18"/>
              </w:rPr>
              <w:br/>
              <w:t>29.9</w:t>
            </w:r>
          </w:p>
        </w:tc>
        <w:tc>
          <w:tcPr>
            <w:tcW w:w="993" w:type="dxa"/>
            <w:tcBorders>
              <w:top w:val="nil"/>
              <w:bottom w:val="nil"/>
            </w:tcBorders>
          </w:tcPr>
          <w:p w:rsidR="00000000" w:rsidRDefault="00000000">
            <w:pPr>
              <w:spacing w:before="60" w:line="240" w:lineRule="auto"/>
              <w:jc w:val="center"/>
              <w:rPr>
                <w:snapToGrid/>
                <w:sz w:val="18"/>
              </w:rPr>
            </w:pPr>
            <w:r>
              <w:rPr>
                <w:snapToGrid/>
                <w:sz w:val="18"/>
              </w:rPr>
              <w:t>34.7</w:t>
            </w:r>
            <w:r>
              <w:rPr>
                <w:snapToGrid/>
                <w:sz w:val="18"/>
              </w:rPr>
              <w:br/>
              <w:t>4.65</w:t>
            </w:r>
          </w:p>
        </w:tc>
        <w:tc>
          <w:tcPr>
            <w:tcW w:w="992" w:type="dxa"/>
            <w:tcBorders>
              <w:top w:val="nil"/>
              <w:bottom w:val="nil"/>
            </w:tcBorders>
          </w:tcPr>
          <w:p w:rsidR="00000000" w:rsidRDefault="00000000">
            <w:pPr>
              <w:spacing w:before="60" w:line="240" w:lineRule="auto"/>
              <w:jc w:val="center"/>
              <w:rPr>
                <w:snapToGrid/>
                <w:sz w:val="18"/>
              </w:rPr>
            </w:pPr>
            <w:r>
              <w:rPr>
                <w:snapToGrid/>
                <w:sz w:val="18"/>
              </w:rPr>
              <w:t>30.4</w:t>
            </w:r>
            <w:r>
              <w:rPr>
                <w:snapToGrid/>
                <w:sz w:val="18"/>
              </w:rPr>
              <w:br/>
              <w:t>4.05</w:t>
            </w:r>
          </w:p>
        </w:tc>
        <w:tc>
          <w:tcPr>
            <w:tcW w:w="992" w:type="dxa"/>
            <w:tcBorders>
              <w:top w:val="nil"/>
              <w:bottom w:val="nil"/>
            </w:tcBorders>
          </w:tcPr>
          <w:p w:rsidR="00000000" w:rsidRDefault="00000000">
            <w:pPr>
              <w:spacing w:before="60" w:line="240" w:lineRule="auto"/>
              <w:jc w:val="center"/>
              <w:rPr>
                <w:snapToGrid/>
                <w:sz w:val="18"/>
              </w:rPr>
            </w:pPr>
            <w:r>
              <w:rPr>
                <w:snapToGrid/>
                <w:sz w:val="18"/>
              </w:rPr>
              <w:t>28.8</w:t>
            </w:r>
            <w:r>
              <w:rPr>
                <w:snapToGrid/>
                <w:sz w:val="18"/>
              </w:rPr>
              <w:br/>
              <w:t>3.82</w:t>
            </w:r>
          </w:p>
        </w:tc>
        <w:tc>
          <w:tcPr>
            <w:tcW w:w="993" w:type="dxa"/>
            <w:tcBorders>
              <w:top w:val="nil"/>
              <w:bottom w:val="nil"/>
            </w:tcBorders>
          </w:tcPr>
          <w:p w:rsidR="00000000" w:rsidRDefault="00000000">
            <w:pPr>
              <w:spacing w:before="60" w:line="240" w:lineRule="auto"/>
              <w:jc w:val="center"/>
              <w:rPr>
                <w:snapToGrid/>
                <w:sz w:val="18"/>
              </w:rPr>
            </w:pPr>
            <w:r>
              <w:rPr>
                <w:snapToGrid/>
                <w:sz w:val="18"/>
              </w:rPr>
              <w:t>25.9</w:t>
            </w:r>
            <w:r>
              <w:rPr>
                <w:snapToGrid/>
                <w:sz w:val="18"/>
              </w:rPr>
              <w:br/>
              <w:t>3.42</w:t>
            </w:r>
          </w:p>
        </w:tc>
      </w:tr>
      <w:tr w:rsidR="00000000">
        <w:tblPrEx>
          <w:tblCellMar>
            <w:top w:w="0" w:type="dxa"/>
            <w:bottom w:w="0" w:type="dxa"/>
          </w:tblCellMar>
        </w:tblPrEx>
        <w:tc>
          <w:tcPr>
            <w:tcW w:w="2268" w:type="dxa"/>
            <w:tcBorders>
              <w:top w:val="nil"/>
              <w:bottom w:val="nil"/>
            </w:tcBorders>
          </w:tcPr>
          <w:p w:rsidR="00000000" w:rsidRDefault="00000000">
            <w:pPr>
              <w:spacing w:line="240" w:lineRule="auto"/>
              <w:rPr>
                <w:rFonts w:hint="eastAsia"/>
                <w:snapToGrid/>
                <w:sz w:val="18"/>
              </w:rPr>
            </w:pPr>
            <w:r>
              <w:rPr>
                <w:rFonts w:hint="eastAsia"/>
                <w:snapToGrid/>
                <w:sz w:val="18"/>
              </w:rPr>
              <w:t>最低养恤金</w:t>
            </w:r>
          </w:p>
        </w:tc>
        <w:tc>
          <w:tcPr>
            <w:tcW w:w="1134" w:type="dxa"/>
            <w:tcBorders>
              <w:top w:val="nil"/>
              <w:bottom w:val="nil"/>
            </w:tcBorders>
          </w:tcPr>
          <w:p w:rsidR="00000000" w:rsidRDefault="00000000">
            <w:pPr>
              <w:spacing w:line="240" w:lineRule="auto"/>
              <w:jc w:val="center"/>
              <w:rPr>
                <w:snapToGrid/>
                <w:sz w:val="18"/>
              </w:rPr>
            </w:pPr>
            <w:r>
              <w:rPr>
                <w:snapToGrid/>
                <w:sz w:val="18"/>
              </w:rPr>
              <w:t>列依</w:t>
            </w:r>
          </w:p>
        </w:tc>
        <w:tc>
          <w:tcPr>
            <w:tcW w:w="992" w:type="dxa"/>
            <w:tcBorders>
              <w:top w:val="nil"/>
              <w:bottom w:val="nil"/>
            </w:tcBorders>
          </w:tcPr>
          <w:p w:rsidR="00000000" w:rsidRDefault="00000000">
            <w:pPr>
              <w:spacing w:line="240" w:lineRule="auto"/>
              <w:jc w:val="center"/>
              <w:rPr>
                <w:snapToGrid/>
                <w:sz w:val="18"/>
              </w:rPr>
            </w:pPr>
            <w:r>
              <w:rPr>
                <w:snapToGrid/>
                <w:sz w:val="18"/>
              </w:rPr>
              <w:t>1.70</w:t>
            </w:r>
          </w:p>
        </w:tc>
        <w:tc>
          <w:tcPr>
            <w:tcW w:w="992" w:type="dxa"/>
            <w:tcBorders>
              <w:top w:val="nil"/>
              <w:bottom w:val="nil"/>
            </w:tcBorders>
          </w:tcPr>
          <w:p w:rsidR="00000000" w:rsidRDefault="00000000">
            <w:pPr>
              <w:spacing w:line="240" w:lineRule="auto"/>
              <w:jc w:val="center"/>
              <w:rPr>
                <w:snapToGrid/>
                <w:sz w:val="18"/>
              </w:rPr>
            </w:pPr>
            <w:r>
              <w:rPr>
                <w:snapToGrid/>
                <w:sz w:val="18"/>
              </w:rPr>
              <w:t>0.14</w:t>
            </w:r>
          </w:p>
        </w:tc>
        <w:tc>
          <w:tcPr>
            <w:tcW w:w="993" w:type="dxa"/>
            <w:tcBorders>
              <w:top w:val="nil"/>
              <w:bottom w:val="nil"/>
            </w:tcBorders>
          </w:tcPr>
          <w:p w:rsidR="00000000" w:rsidRDefault="00000000">
            <w:pPr>
              <w:spacing w:line="240" w:lineRule="auto"/>
              <w:jc w:val="center"/>
              <w:rPr>
                <w:snapToGrid/>
                <w:sz w:val="18"/>
              </w:rPr>
            </w:pPr>
            <w:r>
              <w:rPr>
                <w:snapToGrid/>
                <w:sz w:val="18"/>
              </w:rPr>
              <w:t>42.80</w:t>
            </w:r>
          </w:p>
        </w:tc>
        <w:tc>
          <w:tcPr>
            <w:tcW w:w="992" w:type="dxa"/>
            <w:tcBorders>
              <w:top w:val="nil"/>
              <w:bottom w:val="nil"/>
            </w:tcBorders>
          </w:tcPr>
          <w:p w:rsidR="00000000" w:rsidRDefault="00000000">
            <w:pPr>
              <w:spacing w:line="240" w:lineRule="auto"/>
              <w:jc w:val="center"/>
              <w:rPr>
                <w:snapToGrid/>
                <w:sz w:val="18"/>
              </w:rPr>
            </w:pPr>
            <w:r>
              <w:rPr>
                <w:snapToGrid/>
                <w:sz w:val="18"/>
              </w:rPr>
              <w:t>50.00</w:t>
            </w:r>
          </w:p>
        </w:tc>
        <w:tc>
          <w:tcPr>
            <w:tcW w:w="992" w:type="dxa"/>
            <w:tcBorders>
              <w:top w:val="nil"/>
              <w:bottom w:val="nil"/>
            </w:tcBorders>
          </w:tcPr>
          <w:p w:rsidR="00000000" w:rsidRDefault="00000000">
            <w:pPr>
              <w:spacing w:line="240" w:lineRule="auto"/>
              <w:jc w:val="center"/>
              <w:rPr>
                <w:snapToGrid/>
                <w:sz w:val="18"/>
              </w:rPr>
            </w:pPr>
            <w:r>
              <w:rPr>
                <w:snapToGrid/>
                <w:sz w:val="18"/>
              </w:rPr>
              <w:t>62.00</w:t>
            </w:r>
          </w:p>
        </w:tc>
        <w:tc>
          <w:tcPr>
            <w:tcW w:w="993" w:type="dxa"/>
            <w:tcBorders>
              <w:top w:val="nil"/>
              <w:bottom w:val="nil"/>
            </w:tcBorders>
          </w:tcPr>
          <w:p w:rsidR="00000000" w:rsidRDefault="00000000">
            <w:pPr>
              <w:spacing w:line="240" w:lineRule="auto"/>
              <w:jc w:val="center"/>
              <w:rPr>
                <w:snapToGrid/>
                <w:sz w:val="18"/>
              </w:rPr>
            </w:pPr>
            <w:r>
              <w:rPr>
                <w:snapToGrid/>
                <w:sz w:val="18"/>
              </w:rPr>
              <w:t>62.00</w:t>
            </w:r>
          </w:p>
        </w:tc>
      </w:tr>
      <w:tr w:rsidR="00000000">
        <w:tblPrEx>
          <w:tblCellMar>
            <w:top w:w="0" w:type="dxa"/>
            <w:bottom w:w="0" w:type="dxa"/>
          </w:tblCellMar>
        </w:tblPrEx>
        <w:tc>
          <w:tcPr>
            <w:tcW w:w="2268" w:type="dxa"/>
            <w:tcBorders>
              <w:top w:val="nil"/>
              <w:bottom w:val="nil"/>
            </w:tcBorders>
          </w:tcPr>
          <w:p w:rsidR="00000000" w:rsidRDefault="00000000">
            <w:pPr>
              <w:spacing w:before="60" w:line="240" w:lineRule="auto"/>
              <w:rPr>
                <w:rFonts w:hint="eastAsia"/>
                <w:snapToGrid/>
                <w:sz w:val="18"/>
              </w:rPr>
            </w:pPr>
            <w:r>
              <w:rPr>
                <w:rFonts w:hint="eastAsia"/>
                <w:snapToGrid/>
                <w:sz w:val="18"/>
              </w:rPr>
              <w:t>最高养恤金</w:t>
            </w:r>
          </w:p>
        </w:tc>
        <w:tc>
          <w:tcPr>
            <w:tcW w:w="1134" w:type="dxa"/>
            <w:tcBorders>
              <w:top w:val="nil"/>
              <w:bottom w:val="nil"/>
            </w:tcBorders>
          </w:tcPr>
          <w:p w:rsidR="00000000" w:rsidRDefault="00000000">
            <w:pPr>
              <w:spacing w:before="60" w:line="240" w:lineRule="auto"/>
              <w:jc w:val="center"/>
              <w:rPr>
                <w:snapToGrid/>
                <w:sz w:val="18"/>
              </w:rPr>
            </w:pPr>
            <w:r>
              <w:rPr>
                <w:snapToGrid/>
                <w:sz w:val="18"/>
              </w:rPr>
              <w:t>列依</w:t>
            </w:r>
          </w:p>
        </w:tc>
        <w:tc>
          <w:tcPr>
            <w:tcW w:w="992" w:type="dxa"/>
            <w:tcBorders>
              <w:top w:val="nil"/>
              <w:bottom w:val="nil"/>
            </w:tcBorders>
          </w:tcPr>
          <w:p w:rsidR="00000000" w:rsidRDefault="00000000">
            <w:pPr>
              <w:spacing w:before="60" w:line="240" w:lineRule="auto"/>
              <w:jc w:val="center"/>
              <w:rPr>
                <w:snapToGrid/>
                <w:sz w:val="18"/>
              </w:rPr>
            </w:pPr>
            <w:r>
              <w:rPr>
                <w:snapToGrid/>
                <w:sz w:val="18"/>
              </w:rPr>
              <w:t>3.40</w:t>
            </w:r>
          </w:p>
        </w:tc>
        <w:tc>
          <w:tcPr>
            <w:tcW w:w="992" w:type="dxa"/>
            <w:tcBorders>
              <w:top w:val="nil"/>
              <w:bottom w:val="nil"/>
            </w:tcBorders>
          </w:tcPr>
          <w:p w:rsidR="00000000" w:rsidRDefault="00000000">
            <w:pPr>
              <w:spacing w:before="60" w:line="240" w:lineRule="auto"/>
              <w:jc w:val="center"/>
              <w:rPr>
                <w:snapToGrid/>
                <w:sz w:val="18"/>
              </w:rPr>
            </w:pPr>
            <w:r>
              <w:rPr>
                <w:snapToGrid/>
                <w:sz w:val="18"/>
              </w:rPr>
              <w:t>68.35</w:t>
            </w:r>
          </w:p>
        </w:tc>
        <w:tc>
          <w:tcPr>
            <w:tcW w:w="993" w:type="dxa"/>
            <w:tcBorders>
              <w:top w:val="nil"/>
              <w:bottom w:val="nil"/>
            </w:tcBorders>
          </w:tcPr>
          <w:p w:rsidR="00000000" w:rsidRDefault="00000000">
            <w:pPr>
              <w:spacing w:before="60" w:line="240" w:lineRule="auto"/>
              <w:jc w:val="center"/>
              <w:rPr>
                <w:snapToGrid/>
                <w:sz w:val="18"/>
              </w:rPr>
            </w:pPr>
            <w:r>
              <w:rPr>
                <w:snapToGrid/>
                <w:sz w:val="18"/>
              </w:rPr>
              <w:t>126.55</w:t>
            </w:r>
          </w:p>
        </w:tc>
        <w:tc>
          <w:tcPr>
            <w:tcW w:w="992" w:type="dxa"/>
            <w:tcBorders>
              <w:top w:val="nil"/>
              <w:bottom w:val="nil"/>
            </w:tcBorders>
          </w:tcPr>
          <w:p w:rsidR="00000000" w:rsidRDefault="00000000">
            <w:pPr>
              <w:spacing w:before="60" w:line="240" w:lineRule="auto"/>
              <w:jc w:val="center"/>
              <w:rPr>
                <w:snapToGrid/>
                <w:sz w:val="18"/>
              </w:rPr>
            </w:pPr>
            <w:r>
              <w:rPr>
                <w:snapToGrid/>
                <w:sz w:val="18"/>
              </w:rPr>
              <w:t>133.75</w:t>
            </w:r>
          </w:p>
        </w:tc>
        <w:tc>
          <w:tcPr>
            <w:tcW w:w="992" w:type="dxa"/>
            <w:tcBorders>
              <w:top w:val="nil"/>
              <w:bottom w:val="nil"/>
            </w:tcBorders>
          </w:tcPr>
          <w:p w:rsidR="00000000" w:rsidRDefault="00000000">
            <w:pPr>
              <w:spacing w:before="60" w:line="240" w:lineRule="auto"/>
              <w:jc w:val="center"/>
              <w:rPr>
                <w:snapToGrid/>
                <w:sz w:val="18"/>
              </w:rPr>
            </w:pPr>
            <w:r>
              <w:rPr>
                <w:snapToGrid/>
                <w:sz w:val="18"/>
              </w:rPr>
              <w:t>164.15</w:t>
            </w:r>
          </w:p>
        </w:tc>
        <w:tc>
          <w:tcPr>
            <w:tcW w:w="993" w:type="dxa"/>
            <w:tcBorders>
              <w:top w:val="nil"/>
              <w:bottom w:val="nil"/>
            </w:tcBorders>
          </w:tcPr>
          <w:p w:rsidR="00000000" w:rsidRDefault="00000000">
            <w:pPr>
              <w:spacing w:before="60" w:line="240" w:lineRule="auto"/>
              <w:jc w:val="center"/>
              <w:rPr>
                <w:snapToGrid/>
                <w:sz w:val="18"/>
              </w:rPr>
            </w:pPr>
            <w:r>
              <w:rPr>
                <w:snapToGrid/>
                <w:sz w:val="18"/>
              </w:rPr>
              <w:t>164.15</w:t>
            </w:r>
          </w:p>
        </w:tc>
      </w:tr>
      <w:tr w:rsidR="00000000">
        <w:tblPrEx>
          <w:tblCellMar>
            <w:top w:w="0" w:type="dxa"/>
            <w:bottom w:w="0" w:type="dxa"/>
          </w:tblCellMar>
        </w:tblPrEx>
        <w:tc>
          <w:tcPr>
            <w:tcW w:w="2268" w:type="dxa"/>
            <w:tcBorders>
              <w:top w:val="nil"/>
            </w:tcBorders>
          </w:tcPr>
          <w:p w:rsidR="00000000" w:rsidRDefault="00000000">
            <w:pPr>
              <w:spacing w:before="60" w:line="240" w:lineRule="auto"/>
              <w:rPr>
                <w:rFonts w:hint="eastAsia"/>
                <w:snapToGrid/>
                <w:sz w:val="18"/>
              </w:rPr>
            </w:pPr>
            <w:r>
              <w:rPr>
                <w:rFonts w:hint="eastAsia"/>
                <w:snapToGrid/>
                <w:sz w:val="18"/>
              </w:rPr>
              <w:t>支付的养恤金和赔偿金总额</w:t>
            </w:r>
          </w:p>
        </w:tc>
        <w:tc>
          <w:tcPr>
            <w:tcW w:w="1134" w:type="dxa"/>
            <w:tcBorders>
              <w:top w:val="nil"/>
            </w:tcBorders>
          </w:tcPr>
          <w:p w:rsidR="00000000" w:rsidRDefault="00000000">
            <w:pPr>
              <w:spacing w:before="60" w:line="240" w:lineRule="auto"/>
              <w:jc w:val="center"/>
              <w:rPr>
                <w:snapToGrid/>
                <w:sz w:val="18"/>
              </w:rPr>
            </w:pPr>
            <w:r>
              <w:rPr>
                <w:snapToGrid/>
                <w:sz w:val="18"/>
              </w:rPr>
              <w:t>千</w:t>
            </w:r>
            <w:r>
              <w:rPr>
                <w:snapToGrid/>
                <w:sz w:val="18"/>
              </w:rPr>
              <w:t xml:space="preserve"> </w:t>
            </w:r>
            <w:r>
              <w:rPr>
                <w:snapToGrid/>
                <w:sz w:val="18"/>
              </w:rPr>
              <w:br/>
            </w:r>
            <w:r>
              <w:rPr>
                <w:snapToGrid/>
                <w:sz w:val="18"/>
              </w:rPr>
              <w:t>列依</w:t>
            </w:r>
          </w:p>
        </w:tc>
        <w:tc>
          <w:tcPr>
            <w:tcW w:w="992" w:type="dxa"/>
            <w:tcBorders>
              <w:top w:val="nil"/>
            </w:tcBorders>
          </w:tcPr>
          <w:p w:rsidR="00000000" w:rsidRDefault="00000000">
            <w:pPr>
              <w:spacing w:before="60" w:line="240" w:lineRule="auto"/>
              <w:jc w:val="center"/>
              <w:rPr>
                <w:snapToGrid/>
                <w:sz w:val="18"/>
              </w:rPr>
            </w:pPr>
            <w:r>
              <w:rPr>
                <w:snapToGrid/>
                <w:sz w:val="18"/>
              </w:rPr>
              <w:t>8 372.3</w:t>
            </w:r>
          </w:p>
        </w:tc>
        <w:tc>
          <w:tcPr>
            <w:tcW w:w="992" w:type="dxa"/>
            <w:tcBorders>
              <w:top w:val="nil"/>
            </w:tcBorders>
          </w:tcPr>
          <w:p w:rsidR="00000000" w:rsidRDefault="00000000">
            <w:pPr>
              <w:spacing w:before="60" w:line="240" w:lineRule="auto"/>
              <w:jc w:val="center"/>
              <w:rPr>
                <w:snapToGrid/>
                <w:sz w:val="18"/>
              </w:rPr>
            </w:pPr>
            <w:r>
              <w:rPr>
                <w:snapToGrid/>
                <w:sz w:val="18"/>
              </w:rPr>
              <w:t>80 180.6</w:t>
            </w:r>
          </w:p>
        </w:tc>
        <w:tc>
          <w:tcPr>
            <w:tcW w:w="993" w:type="dxa"/>
            <w:tcBorders>
              <w:top w:val="nil"/>
            </w:tcBorders>
          </w:tcPr>
          <w:p w:rsidR="00000000" w:rsidRDefault="00000000">
            <w:pPr>
              <w:spacing w:before="60" w:line="240" w:lineRule="auto"/>
              <w:jc w:val="center"/>
              <w:rPr>
                <w:snapToGrid/>
                <w:sz w:val="18"/>
              </w:rPr>
            </w:pPr>
            <w:r>
              <w:rPr>
                <w:snapToGrid/>
                <w:sz w:val="18"/>
              </w:rPr>
              <w:t>354 895.8</w:t>
            </w:r>
          </w:p>
        </w:tc>
        <w:tc>
          <w:tcPr>
            <w:tcW w:w="992" w:type="dxa"/>
            <w:tcBorders>
              <w:top w:val="nil"/>
            </w:tcBorders>
          </w:tcPr>
          <w:p w:rsidR="00000000" w:rsidRDefault="00000000">
            <w:pPr>
              <w:spacing w:before="60" w:line="240" w:lineRule="auto"/>
              <w:jc w:val="center"/>
              <w:rPr>
                <w:snapToGrid/>
                <w:sz w:val="18"/>
              </w:rPr>
            </w:pPr>
            <w:r>
              <w:rPr>
                <w:snapToGrid/>
                <w:sz w:val="18"/>
              </w:rPr>
              <w:t>514 193.9</w:t>
            </w:r>
          </w:p>
        </w:tc>
        <w:tc>
          <w:tcPr>
            <w:tcW w:w="992" w:type="dxa"/>
            <w:tcBorders>
              <w:top w:val="nil"/>
            </w:tcBorders>
          </w:tcPr>
          <w:p w:rsidR="00000000" w:rsidRDefault="00000000">
            <w:pPr>
              <w:spacing w:before="60" w:line="240" w:lineRule="auto"/>
              <w:jc w:val="center"/>
              <w:rPr>
                <w:snapToGrid/>
                <w:sz w:val="18"/>
              </w:rPr>
            </w:pPr>
            <w:r>
              <w:rPr>
                <w:snapToGrid/>
                <w:sz w:val="18"/>
              </w:rPr>
              <w:t>484 200</w:t>
            </w:r>
          </w:p>
        </w:tc>
        <w:tc>
          <w:tcPr>
            <w:tcW w:w="993" w:type="dxa"/>
            <w:tcBorders>
              <w:top w:val="nil"/>
            </w:tcBorders>
          </w:tcPr>
          <w:p w:rsidR="00000000" w:rsidRDefault="00000000">
            <w:pPr>
              <w:spacing w:before="60" w:line="240" w:lineRule="auto"/>
              <w:jc w:val="center"/>
              <w:rPr>
                <w:snapToGrid/>
                <w:sz w:val="18"/>
              </w:rPr>
            </w:pPr>
            <w:r>
              <w:rPr>
                <w:snapToGrid/>
                <w:sz w:val="18"/>
              </w:rPr>
              <w:t>609 060.5</w:t>
            </w:r>
          </w:p>
        </w:tc>
      </w:tr>
    </w:tbl>
    <w:p w:rsidR="00000000" w:rsidRDefault="00000000">
      <w:pPr>
        <w:rPr>
          <w:rFonts w:hint="eastAsia"/>
          <w:snapToGrid/>
        </w:rPr>
      </w:pPr>
    </w:p>
    <w:p w:rsidR="00000000" w:rsidRDefault="00000000">
      <w:pPr>
        <w:rPr>
          <w:rFonts w:hint="eastAsia"/>
          <w:snapToGrid/>
        </w:rPr>
      </w:pPr>
      <w:r>
        <w:rPr>
          <w:snapToGrid/>
        </w:rPr>
        <w:tab/>
      </w:r>
      <w:r>
        <w:rPr>
          <w:rFonts w:hint="eastAsia"/>
          <w:snapToGrid/>
        </w:rPr>
        <w:t>287.</w:t>
      </w:r>
      <w:r>
        <w:rPr>
          <w:snapToGrid/>
        </w:rPr>
        <w:t xml:space="preserve">  </w:t>
      </w:r>
      <w:r>
        <w:rPr>
          <w:rFonts w:hint="eastAsia"/>
          <w:snapToGrid/>
        </w:rPr>
        <w:t>不同时期拨发的养恤金金额之间存在很大差异，特别是对于</w:t>
      </w:r>
      <w:r>
        <w:rPr>
          <w:rFonts w:hint="eastAsia"/>
          <w:snapToGrid/>
        </w:rPr>
        <w:t>1990</w:t>
      </w:r>
      <w:r>
        <w:rPr>
          <w:rFonts w:hint="eastAsia"/>
          <w:snapToGrid/>
        </w:rPr>
        <w:t>年以前确定的养恤金而言更是如此。一般说来，到</w:t>
      </w:r>
      <w:r>
        <w:rPr>
          <w:rFonts w:hint="eastAsia"/>
          <w:snapToGrid/>
        </w:rPr>
        <w:t>1990</w:t>
      </w:r>
      <w:r>
        <w:rPr>
          <w:rFonts w:hint="eastAsia"/>
          <w:snapToGrid/>
        </w:rPr>
        <w:t>年为止之前计算的养恤金数额低于目前确定的金额。而且此趋势仍在持续。由此，</w:t>
      </w:r>
      <w:r>
        <w:rPr>
          <w:rFonts w:hint="eastAsia"/>
          <w:snapToGrid/>
        </w:rPr>
        <w:t>1998</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日时的平均补贴为</w:t>
      </w:r>
      <w:r>
        <w:rPr>
          <w:rFonts w:hint="eastAsia"/>
          <w:snapToGrid/>
        </w:rPr>
        <w:t>86.15</w:t>
      </w:r>
      <w:r>
        <w:rPr>
          <w:rFonts w:hint="eastAsia"/>
          <w:snapToGrid/>
        </w:rPr>
        <w:t>列依，</w:t>
      </w:r>
      <w:r>
        <w:rPr>
          <w:rFonts w:hint="eastAsia"/>
          <w:snapToGrid/>
        </w:rPr>
        <w:t>1997</w:t>
      </w:r>
      <w:r>
        <w:rPr>
          <w:rFonts w:hint="eastAsia"/>
          <w:snapToGrid/>
        </w:rPr>
        <w:t>年中确定的最低养恤金为</w:t>
      </w:r>
      <w:r>
        <w:rPr>
          <w:rFonts w:hint="eastAsia"/>
          <w:snapToGrid/>
        </w:rPr>
        <w:t>91.7</w:t>
      </w:r>
      <w:r>
        <w:rPr>
          <w:rFonts w:hint="eastAsia"/>
          <w:snapToGrid/>
        </w:rPr>
        <w:t>列依，高出</w:t>
      </w:r>
      <w:r>
        <w:rPr>
          <w:rFonts w:hint="eastAsia"/>
          <w:snapToGrid/>
        </w:rPr>
        <w:t>6%</w:t>
      </w:r>
      <w:r>
        <w:rPr>
          <w:rFonts w:hint="eastAsia"/>
          <w:snapToGrid/>
        </w:rPr>
        <w:t>。</w:t>
      </w:r>
    </w:p>
    <w:p w:rsidR="00000000" w:rsidRDefault="00000000">
      <w:pPr>
        <w:rPr>
          <w:rFonts w:hint="eastAsia"/>
          <w:snapToGrid/>
        </w:rPr>
      </w:pPr>
      <w:r>
        <w:rPr>
          <w:snapToGrid/>
        </w:rPr>
        <w:tab/>
      </w:r>
      <w:r>
        <w:rPr>
          <w:rFonts w:hint="eastAsia"/>
          <w:snapToGrid/>
        </w:rPr>
        <w:t>288.</w:t>
      </w:r>
      <w:r>
        <w:rPr>
          <w:snapToGrid/>
        </w:rPr>
        <w:t xml:space="preserve">  </w:t>
      </w:r>
      <w:r>
        <w:rPr>
          <w:rFonts w:hint="eastAsia"/>
          <w:snapToGrid/>
        </w:rPr>
        <w:t>由于养恤金保障法的条款与其他法律和准则不协调，造成了许多问题，而且使执行这些条款的工作很复杂。很多规范性法案已陈旧，而新的法案尚未得到拟订。因此，国家养恤金保障方面的新的社会关系尚未得到稳固。</w:t>
      </w:r>
    </w:p>
    <w:p w:rsidR="00000000" w:rsidRDefault="00000000">
      <w:pPr>
        <w:rPr>
          <w:rFonts w:hint="eastAsia"/>
          <w:snapToGrid/>
        </w:rPr>
      </w:pPr>
      <w:r>
        <w:rPr>
          <w:snapToGrid/>
        </w:rPr>
        <w:tab/>
      </w:r>
      <w:r>
        <w:rPr>
          <w:rFonts w:hint="eastAsia"/>
          <w:snapToGrid/>
        </w:rPr>
        <w:t>289.</w:t>
      </w:r>
      <w:r>
        <w:rPr>
          <w:snapToGrid/>
        </w:rPr>
        <w:t xml:space="preserve">  </w:t>
      </w:r>
      <w:r>
        <w:rPr>
          <w:rFonts w:hint="eastAsia"/>
          <w:snapToGrid/>
        </w:rPr>
        <w:t>有必要改善社会保险制度的管理工作，首先是各社会援助机构的管理，这些机构中许多职能是重复的且界限不清，其雇员们的工作成效也低。养恤金信息系统的技术和设备都已陈旧，不能解决所有问题。</w:t>
      </w:r>
    </w:p>
    <w:p w:rsidR="00000000" w:rsidRDefault="00000000">
      <w:pPr>
        <w:rPr>
          <w:rFonts w:hint="eastAsia"/>
          <w:snapToGrid/>
        </w:rPr>
      </w:pPr>
      <w:r>
        <w:rPr>
          <w:snapToGrid/>
        </w:rPr>
        <w:tab/>
      </w:r>
      <w:r>
        <w:rPr>
          <w:rFonts w:hint="eastAsia"/>
          <w:snapToGrid/>
        </w:rPr>
        <w:t>290.</w:t>
      </w:r>
      <w:r>
        <w:rPr>
          <w:snapToGrid/>
        </w:rPr>
        <w:t xml:space="preserve">  </w:t>
      </w:r>
      <w:r>
        <w:rPr>
          <w:rFonts w:hint="eastAsia"/>
          <w:snapToGrid/>
        </w:rPr>
        <w:t>通过上述分析和结论，以及通过预示该制度发展的模式，已能够确认必须在养恤金制度中进行某些变革。劳动、社会保障和家庭部已经拟订了一种长期的计算机化的养恤金保障制度模式，能够根据宏观经济方面的预兆来预测该制度中缴款抽取程度。通过该模式计算出的结果表明如果国家经济获得增长且劳力市场情况得到改善，那么向该制度缴款的比率应升高并达到</w:t>
      </w:r>
      <w:r>
        <w:rPr>
          <w:rFonts w:hint="eastAsia"/>
          <w:snapToGrid/>
        </w:rPr>
        <w:t>45%</w:t>
      </w:r>
      <w:r>
        <w:rPr>
          <w:rFonts w:hint="eastAsia"/>
          <w:snapToGrid/>
        </w:rPr>
        <w:t>，或者如果现有制度和相对于平均工资的养恤金水平低的状况得不到改变，则该比率甚至应上升得更多。这种情况不可能持久，也不可能保证使养恤金制度得到有效发展。例如，发达国家中向养恤金制度缴款的比率为</w:t>
      </w:r>
      <w:r>
        <w:rPr>
          <w:rFonts w:hint="eastAsia"/>
          <w:snapToGrid/>
        </w:rPr>
        <w:t>15-20%</w:t>
      </w:r>
      <w:r>
        <w:rPr>
          <w:rFonts w:hint="eastAsia"/>
          <w:snapToGrid/>
        </w:rPr>
        <w:t>。</w:t>
      </w:r>
    </w:p>
    <w:p w:rsidR="00000000" w:rsidRDefault="00000000">
      <w:pPr>
        <w:spacing w:after="320"/>
        <w:rPr>
          <w:snapToGrid/>
        </w:rPr>
      </w:pPr>
      <w:r>
        <w:rPr>
          <w:snapToGrid/>
        </w:rPr>
        <w:tab/>
      </w:r>
      <w:r>
        <w:rPr>
          <w:rFonts w:hint="eastAsia"/>
          <w:snapToGrid/>
        </w:rPr>
        <w:t>291.</w:t>
      </w:r>
      <w:r>
        <w:rPr>
          <w:snapToGrid/>
        </w:rPr>
        <w:t xml:space="preserve">  </w:t>
      </w:r>
      <w:r>
        <w:rPr>
          <w:rFonts w:hint="eastAsia"/>
          <w:snapToGrid/>
        </w:rPr>
        <w:t>这项分析突出表明人口状况对养恤金制度的发展产生不当影响。自</w:t>
      </w:r>
      <w:r>
        <w:rPr>
          <w:rFonts w:hint="eastAsia"/>
          <w:snapToGrid/>
        </w:rPr>
        <w:t>2005</w:t>
      </w:r>
      <w:r>
        <w:rPr>
          <w:rFonts w:hint="eastAsia"/>
          <w:snapToGrid/>
        </w:rPr>
        <w:t>年起，养恤金领取者数量与参加经济活动的人数之间的相互关系将大大恶化。如果不为支付养恤金建立一种储备，那么当今的年轻一代将被迫为养恤金制度缴纳高得多的款额，以便向目前参加经济活动的人口提供养恤金。这也是西方国家关注的话题。许多欧洲国家已经对它们的养恤金制度进行了改革，限定付款额并建立了储备金以确保制度的稳定。为避免可能出现危机，摩尔多瓦共和国应尽早，无论如何要于</w:t>
      </w:r>
      <w:r>
        <w:rPr>
          <w:rFonts w:hint="eastAsia"/>
          <w:snapToGrid/>
        </w:rPr>
        <w:t>2003</w:t>
      </w:r>
      <w:r>
        <w:rPr>
          <w:rFonts w:hint="eastAsia"/>
          <w:snapToGrid/>
        </w:rPr>
        <w:t>年起开始为养恤金基金积累储备金。</w:t>
      </w:r>
    </w:p>
    <w:p w:rsidR="00000000" w:rsidRDefault="00000000">
      <w:pPr>
        <w:pStyle w:val="Heading4"/>
        <w:rPr>
          <w:rFonts w:hint="eastAsia"/>
        </w:rPr>
      </w:pPr>
      <w:r>
        <w:rPr>
          <w:rFonts w:hint="eastAsia"/>
        </w:rPr>
        <w:t>改革的主要目的</w:t>
      </w:r>
    </w:p>
    <w:p w:rsidR="00000000" w:rsidRDefault="00000000">
      <w:pPr>
        <w:rPr>
          <w:snapToGrid/>
        </w:rPr>
      </w:pPr>
      <w:r>
        <w:rPr>
          <w:snapToGrid/>
        </w:rPr>
        <w:tab/>
      </w:r>
      <w:r>
        <w:rPr>
          <w:rFonts w:hint="eastAsia"/>
          <w:snapToGrid/>
        </w:rPr>
        <w:t>292.</w:t>
      </w:r>
      <w:r>
        <w:rPr>
          <w:snapToGrid/>
        </w:rPr>
        <w:t xml:space="preserve">  </w:t>
      </w:r>
      <w:r>
        <w:rPr>
          <w:rFonts w:hint="eastAsia"/>
          <w:snapToGrid/>
        </w:rPr>
        <w:t>对养恤金制度进行改革的目的如下：</w:t>
      </w:r>
    </w:p>
    <w:p w:rsidR="00000000" w:rsidRDefault="00000000">
      <w:pPr>
        <w:numPr>
          <w:ilvl w:val="0"/>
          <w:numId w:val="451"/>
        </w:numPr>
        <w:rPr>
          <w:snapToGrid/>
        </w:rPr>
      </w:pPr>
      <w:r>
        <w:rPr>
          <w:rFonts w:hint="eastAsia"/>
          <w:snapToGrid/>
        </w:rPr>
        <w:t>保证全民在老年时期或者在丧失工作能力或养家人的情况下能获得适当的物质支助。这意味着改革后，由于把国家养恤金制度与私人养恤金制度结合起来，所以处于这些情况中的多数公民将能获得一份适当的收入。地位不利阶层中只有一小部分人将从社会援助方案获得帮助；</w:t>
      </w:r>
    </w:p>
    <w:p w:rsidR="00000000" w:rsidRDefault="00000000">
      <w:pPr>
        <w:numPr>
          <w:ilvl w:val="0"/>
          <w:numId w:val="451"/>
        </w:numPr>
        <w:rPr>
          <w:snapToGrid/>
        </w:rPr>
      </w:pPr>
      <w:r>
        <w:rPr>
          <w:rFonts w:hint="eastAsia"/>
          <w:snapToGrid/>
        </w:rPr>
        <w:t>保证遵守社会公平的原则，即要根据绝大多数公民向养恤金制度缴纳款额的情况，来让他们受益于养恤金；</w:t>
      </w:r>
    </w:p>
    <w:p w:rsidR="00000000" w:rsidRDefault="00000000">
      <w:pPr>
        <w:numPr>
          <w:ilvl w:val="0"/>
          <w:numId w:val="451"/>
        </w:numPr>
        <w:rPr>
          <w:snapToGrid/>
        </w:rPr>
      </w:pPr>
      <w:r>
        <w:rPr>
          <w:snapToGrid/>
        </w:rPr>
        <w:tab/>
      </w:r>
      <w:r>
        <w:rPr>
          <w:rFonts w:hint="eastAsia"/>
          <w:snapToGrid/>
        </w:rPr>
        <w:t>提供具有良好平衡和严格纪律的财务制度，也就是说要准时支付所有养恤金。如果养恤金制度拥有充足的资金便可使养恤金指数化；</w:t>
      </w:r>
    </w:p>
    <w:p w:rsidR="00000000" w:rsidRDefault="00000000">
      <w:pPr>
        <w:numPr>
          <w:ilvl w:val="0"/>
          <w:numId w:val="451"/>
        </w:numPr>
        <w:spacing w:after="320"/>
        <w:rPr>
          <w:snapToGrid/>
        </w:rPr>
      </w:pPr>
      <w:r>
        <w:rPr>
          <w:rFonts w:hint="eastAsia"/>
          <w:snapToGrid/>
        </w:rPr>
        <w:t>建立一个适合各代人的养恤金制度。考虑到摩尔多瓦特有的人口状况，为了避免增加目前参加经济活动的人口的税务负担，国家养恤金制度必须积累充足的储备金。</w:t>
      </w:r>
    </w:p>
    <w:p w:rsidR="00000000" w:rsidRDefault="00000000">
      <w:pPr>
        <w:pStyle w:val="Heading4"/>
        <w:rPr>
          <w:rFonts w:hint="eastAsia"/>
        </w:rPr>
      </w:pPr>
      <w:r>
        <w:rPr>
          <w:rFonts w:hint="eastAsia"/>
        </w:rPr>
        <w:t>养恤金制度改革的方针</w:t>
      </w:r>
    </w:p>
    <w:p w:rsidR="00000000" w:rsidRDefault="00000000">
      <w:pPr>
        <w:rPr>
          <w:snapToGrid/>
        </w:rPr>
      </w:pPr>
      <w:r>
        <w:rPr>
          <w:snapToGrid/>
        </w:rPr>
        <w:tab/>
      </w:r>
      <w:r>
        <w:rPr>
          <w:rFonts w:hint="eastAsia"/>
          <w:snapToGrid/>
        </w:rPr>
        <w:t>293.</w:t>
      </w:r>
      <w:r>
        <w:rPr>
          <w:snapToGrid/>
        </w:rPr>
        <w:t xml:space="preserve">  </w:t>
      </w:r>
      <w:r>
        <w:rPr>
          <w:rFonts w:hint="eastAsia"/>
          <w:snapToGrid/>
        </w:rPr>
        <w:t>为实现上述目标，必须对养恤金制度进行一项复杂的改革。改革的主要内容将包括：</w:t>
      </w:r>
    </w:p>
    <w:p w:rsidR="00000000" w:rsidRDefault="00000000">
      <w:pPr>
        <w:numPr>
          <w:ilvl w:val="0"/>
          <w:numId w:val="452"/>
        </w:numPr>
        <w:rPr>
          <w:snapToGrid/>
        </w:rPr>
      </w:pPr>
      <w:r>
        <w:rPr>
          <w:rFonts w:hint="eastAsia"/>
          <w:snapToGrid/>
        </w:rPr>
        <w:t>为目前养恤金领取者制定一个稳定的方案；</w:t>
      </w:r>
    </w:p>
    <w:p w:rsidR="00000000" w:rsidRDefault="00000000">
      <w:pPr>
        <w:numPr>
          <w:ilvl w:val="0"/>
          <w:numId w:val="452"/>
        </w:numPr>
        <w:rPr>
          <w:snapToGrid/>
        </w:rPr>
      </w:pPr>
      <w:r>
        <w:rPr>
          <w:rFonts w:hint="eastAsia"/>
          <w:snapToGrid/>
        </w:rPr>
        <w:t>为未来的养恤金领取者制定一个新方案；</w:t>
      </w:r>
    </w:p>
    <w:p w:rsidR="00000000" w:rsidRDefault="00000000">
      <w:pPr>
        <w:numPr>
          <w:ilvl w:val="0"/>
          <w:numId w:val="452"/>
        </w:numPr>
        <w:rPr>
          <w:rFonts w:hint="eastAsia"/>
          <w:snapToGrid/>
        </w:rPr>
      </w:pPr>
      <w:r>
        <w:rPr>
          <w:rFonts w:hint="eastAsia"/>
          <w:snapToGrid/>
        </w:rPr>
        <w:t>从现有养恤金制度向一种新制度过渡。</w:t>
      </w:r>
    </w:p>
    <w:p w:rsidR="00000000" w:rsidRDefault="00000000">
      <w:pPr>
        <w:rPr>
          <w:snapToGrid/>
        </w:rPr>
      </w:pPr>
      <w:r>
        <w:rPr>
          <w:snapToGrid/>
        </w:rPr>
        <w:tab/>
      </w:r>
      <w:r>
        <w:rPr>
          <w:rFonts w:hint="eastAsia"/>
          <w:snapToGrid/>
        </w:rPr>
        <w:t>294.</w:t>
      </w:r>
      <w:r>
        <w:rPr>
          <w:snapToGrid/>
        </w:rPr>
        <w:t xml:space="preserve">  </w:t>
      </w:r>
      <w:r>
        <w:rPr>
          <w:rFonts w:hint="eastAsia"/>
          <w:snapToGrid/>
        </w:rPr>
        <w:t>关于针对目前养恤金领取者的稳定方案：</w:t>
      </w:r>
    </w:p>
    <w:p w:rsidR="00000000" w:rsidRDefault="00000000">
      <w:pPr>
        <w:numPr>
          <w:ilvl w:val="0"/>
          <w:numId w:val="453"/>
        </w:numPr>
        <w:rPr>
          <w:snapToGrid/>
        </w:rPr>
      </w:pPr>
      <w:r>
        <w:rPr>
          <w:rFonts w:hint="eastAsia"/>
          <w:snapToGrid/>
        </w:rPr>
        <w:t>将采取措施保证在支付养恤金时，不论领取人的生活地在哪儿，无拖欠现象；</w:t>
      </w:r>
    </w:p>
    <w:p w:rsidR="00000000" w:rsidRDefault="00000000">
      <w:pPr>
        <w:numPr>
          <w:ilvl w:val="0"/>
          <w:numId w:val="453"/>
        </w:numPr>
        <w:rPr>
          <w:snapToGrid/>
        </w:rPr>
      </w:pPr>
      <w:r>
        <w:rPr>
          <w:rFonts w:hint="eastAsia"/>
          <w:snapToGrid/>
        </w:rPr>
        <w:t>当所欠养恤金已被全部清偿，且每月的储备金积累已充足时，将重新依据物价的上涨情况对养恤金进行指数化；</w:t>
      </w:r>
    </w:p>
    <w:p w:rsidR="00000000" w:rsidRDefault="00000000">
      <w:pPr>
        <w:numPr>
          <w:ilvl w:val="0"/>
          <w:numId w:val="453"/>
        </w:numPr>
        <w:rPr>
          <w:snapToGrid/>
        </w:rPr>
      </w:pPr>
      <w:r>
        <w:rPr>
          <w:rFonts w:hint="eastAsia"/>
          <w:snapToGrid/>
        </w:rPr>
        <w:t>未来将根据支付给养恤金制度的收入的动态趋势，修正指数化的方法以确保养恤金。其中一个变体可能是“瑞典模式”，根据该模式，养恤金指数化的系数以</w:t>
      </w:r>
      <w:r>
        <w:rPr>
          <w:rFonts w:hint="eastAsia"/>
          <w:snapToGrid/>
        </w:rPr>
        <w:t>50</w:t>
      </w:r>
      <w:r>
        <w:rPr>
          <w:rFonts w:hint="eastAsia"/>
          <w:snapToGrid/>
        </w:rPr>
        <w:t>：</w:t>
      </w:r>
      <w:r>
        <w:rPr>
          <w:rFonts w:hint="eastAsia"/>
          <w:snapToGrid/>
        </w:rPr>
        <w:t>50</w:t>
      </w:r>
      <w:r>
        <w:rPr>
          <w:rFonts w:hint="eastAsia"/>
          <w:snapToGrid/>
        </w:rPr>
        <w:t>的比例，反映物价上涨的指标和人口收入增长的指标；</w:t>
      </w:r>
    </w:p>
    <w:p w:rsidR="00000000" w:rsidRDefault="00000000">
      <w:pPr>
        <w:numPr>
          <w:ilvl w:val="0"/>
          <w:numId w:val="453"/>
        </w:numPr>
        <w:rPr>
          <w:rFonts w:hint="eastAsia"/>
          <w:snapToGrid/>
        </w:rPr>
      </w:pPr>
      <w:r>
        <w:rPr>
          <w:rFonts w:hint="eastAsia"/>
          <w:snapToGrid/>
        </w:rPr>
        <w:t>对短期内社会基金收入和支出的预测表明，如不进行养恤金制度改革，将不可能回到</w:t>
      </w:r>
      <w:r>
        <w:rPr>
          <w:rFonts w:hint="eastAsia"/>
          <w:snapToGrid/>
        </w:rPr>
        <w:t>1998</w:t>
      </w:r>
      <w:r>
        <w:rPr>
          <w:rFonts w:hint="eastAsia"/>
          <w:snapToGrid/>
        </w:rPr>
        <w:t>年和</w:t>
      </w:r>
      <w:r>
        <w:rPr>
          <w:rFonts w:hint="eastAsia"/>
          <w:snapToGrid/>
        </w:rPr>
        <w:t>1999</w:t>
      </w:r>
      <w:r>
        <w:rPr>
          <w:rFonts w:hint="eastAsia"/>
          <w:snapToGrid/>
        </w:rPr>
        <w:t>年时的养恤金指数化情况。这将导致养恤金购买力下降和养恤金领取人生活水平降低。因此，社会基金将必须从国家预算获得资金以弥补当前的赤字。但是其它计算结果表明，如果采取措施对养恤金保障制度进行改革</w:t>
      </w:r>
      <w:r>
        <w:rPr>
          <w:rFonts w:hint="eastAsia"/>
          <w:snapToGrid/>
        </w:rPr>
        <w:t>(</w:t>
      </w:r>
      <w:r>
        <w:rPr>
          <w:rFonts w:hint="eastAsia"/>
          <w:snapToGrid/>
        </w:rPr>
        <w:t>即使只是增加退休年龄</w:t>
      </w:r>
      <w:r>
        <w:rPr>
          <w:rFonts w:hint="eastAsia"/>
          <w:snapToGrid/>
        </w:rPr>
        <w:t>)</w:t>
      </w:r>
      <w:r>
        <w:rPr>
          <w:rFonts w:hint="eastAsia"/>
          <w:snapToGrid/>
        </w:rPr>
        <w:t>，将可能恢复</w:t>
      </w:r>
      <w:r>
        <w:rPr>
          <w:rFonts w:hint="eastAsia"/>
          <w:snapToGrid/>
        </w:rPr>
        <w:t>1999</w:t>
      </w:r>
      <w:r>
        <w:rPr>
          <w:rFonts w:hint="eastAsia"/>
          <w:snapToGrid/>
        </w:rPr>
        <w:t>年中的指数化情况。</w:t>
      </w:r>
    </w:p>
    <w:p w:rsidR="00000000" w:rsidRDefault="00000000">
      <w:pPr>
        <w:rPr>
          <w:snapToGrid/>
        </w:rPr>
      </w:pPr>
      <w:r>
        <w:rPr>
          <w:snapToGrid/>
        </w:rPr>
        <w:tab/>
      </w:r>
      <w:r>
        <w:rPr>
          <w:rFonts w:hint="eastAsia"/>
          <w:snapToGrid/>
        </w:rPr>
        <w:t>295.</w:t>
      </w:r>
      <w:r>
        <w:rPr>
          <w:snapToGrid/>
        </w:rPr>
        <w:t xml:space="preserve">  </w:t>
      </w:r>
      <w:r>
        <w:rPr>
          <w:rFonts w:hint="eastAsia"/>
          <w:snapToGrid/>
        </w:rPr>
        <w:t>针对未来养恤金领取者的新方案：</w:t>
      </w:r>
    </w:p>
    <w:p w:rsidR="00000000" w:rsidRDefault="00000000">
      <w:pPr>
        <w:numPr>
          <w:ilvl w:val="0"/>
          <w:numId w:val="454"/>
        </w:numPr>
        <w:rPr>
          <w:snapToGrid/>
        </w:rPr>
      </w:pPr>
      <w:r>
        <w:rPr>
          <w:rFonts w:hint="eastAsia"/>
          <w:snapToGrid/>
        </w:rPr>
        <w:t>目前养恤金制度的特征是，一方面数额少且欠领取者的款额增加；另一方面，养恤金缴款额方面抽取的比例越来越高，鉴于这种情况，很明显有必要对这种养恤金制度进行彻底改革；</w:t>
      </w:r>
    </w:p>
    <w:p w:rsidR="00000000" w:rsidRDefault="00000000">
      <w:pPr>
        <w:numPr>
          <w:ilvl w:val="0"/>
          <w:numId w:val="454"/>
        </w:numPr>
        <w:rPr>
          <w:snapToGrid/>
        </w:rPr>
      </w:pPr>
      <w:r>
        <w:rPr>
          <w:rFonts w:hint="eastAsia"/>
          <w:snapToGrid/>
        </w:rPr>
        <w:t>残疾养恤金和遗属养恤金必须与补贴分开；</w:t>
      </w:r>
    </w:p>
    <w:p w:rsidR="00000000" w:rsidRDefault="00000000">
      <w:pPr>
        <w:numPr>
          <w:ilvl w:val="0"/>
          <w:numId w:val="454"/>
        </w:numPr>
        <w:rPr>
          <w:snapToGrid/>
        </w:rPr>
      </w:pPr>
      <w:r>
        <w:rPr>
          <w:rFonts w:hint="eastAsia"/>
          <w:snapToGrid/>
        </w:rPr>
        <w:t>对军人和警察的养恤金情况应单独进行审查。这两种养恤金都由国家预算供资，但是军人和警察都不向社会保险缴款。因此他们的养恤金须由军人和警察养恤金制度或由普通养恤金制度支付；</w:t>
      </w:r>
    </w:p>
    <w:p w:rsidR="00000000" w:rsidRDefault="00000000">
      <w:pPr>
        <w:numPr>
          <w:ilvl w:val="0"/>
          <w:numId w:val="454"/>
        </w:numPr>
        <w:rPr>
          <w:snapToGrid/>
        </w:rPr>
      </w:pPr>
      <w:r>
        <w:rPr>
          <w:rFonts w:hint="eastAsia"/>
          <w:snapToGrid/>
        </w:rPr>
        <w:t>退休金制度独立于残疾养恤金和遗属养恤金制度。根据新的养恤金保障政策，退休金包括两部分：公共社会养恤金和私人补充养恤金</w:t>
      </w:r>
      <w:r>
        <w:rPr>
          <w:rFonts w:hint="eastAsia"/>
          <w:snapToGrid/>
        </w:rPr>
        <w:t>(</w:t>
      </w:r>
      <w:r>
        <w:rPr>
          <w:rFonts w:hint="eastAsia"/>
          <w:snapToGrid/>
        </w:rPr>
        <w:t>自愿或强制性的</w:t>
      </w:r>
      <w:r>
        <w:rPr>
          <w:rFonts w:hint="eastAsia"/>
          <w:snapToGrid/>
        </w:rPr>
        <w:t>)</w:t>
      </w:r>
      <w:r>
        <w:rPr>
          <w:rFonts w:hint="eastAsia"/>
          <w:snapToGrid/>
        </w:rPr>
        <w:t>，这两部分将被分别单独支付；</w:t>
      </w:r>
    </w:p>
    <w:p w:rsidR="00000000" w:rsidRDefault="00000000">
      <w:pPr>
        <w:numPr>
          <w:ilvl w:val="0"/>
          <w:numId w:val="454"/>
        </w:numPr>
        <w:rPr>
          <w:snapToGrid/>
        </w:rPr>
      </w:pPr>
      <w:r>
        <w:rPr>
          <w:rFonts w:hint="eastAsia"/>
          <w:snapToGrid/>
        </w:rPr>
        <w:t>公共养恤金制度的基础是国家拨给有资格的人的一笔最低养恤金。计算这笔养恤金时须考虑保险缴款额的比例和缴款期限的长短。这将鼓励人民向公共社会保险制度缴款；</w:t>
      </w:r>
    </w:p>
    <w:p w:rsidR="00000000" w:rsidRDefault="00000000">
      <w:pPr>
        <w:numPr>
          <w:ilvl w:val="0"/>
          <w:numId w:val="454"/>
        </w:numPr>
        <w:rPr>
          <w:snapToGrid/>
        </w:rPr>
      </w:pPr>
      <w:r>
        <w:rPr>
          <w:rFonts w:hint="eastAsia"/>
          <w:snapToGrid/>
        </w:rPr>
        <w:t>支付给养恤金基金的社会保险缴款额的比例将根据商品与服务的价格指数增长情况每年得到指数化。指数化的系数不固定，而是根据经济指数的变化来确定。养恤金的指数化将以平均工资和消费者的物价指数为基础；</w:t>
      </w:r>
    </w:p>
    <w:p w:rsidR="00000000" w:rsidRDefault="00000000">
      <w:pPr>
        <w:numPr>
          <w:ilvl w:val="0"/>
          <w:numId w:val="454"/>
        </w:numPr>
        <w:rPr>
          <w:snapToGrid/>
        </w:rPr>
      </w:pPr>
      <w:r>
        <w:rPr>
          <w:rFonts w:hint="eastAsia"/>
          <w:snapToGrid/>
        </w:rPr>
        <w:t>缴款将从一定数额的收入中支付，社会保险缴款额的固定限度将是</w:t>
      </w:r>
      <w:r>
        <w:rPr>
          <w:rFonts w:hint="eastAsia"/>
          <w:snapToGrid/>
        </w:rPr>
        <w:t>20-22%</w:t>
      </w:r>
      <w:r>
        <w:rPr>
          <w:rFonts w:hint="eastAsia"/>
          <w:snapToGrid/>
        </w:rPr>
        <w:t>。降低所得税将鼓励收入高的人们将钱存入私人养恤金基金。对收入强行实行限制将能够削减劳动力支出；</w:t>
      </w:r>
    </w:p>
    <w:p w:rsidR="00000000" w:rsidRDefault="00000000">
      <w:pPr>
        <w:numPr>
          <w:ilvl w:val="0"/>
          <w:numId w:val="454"/>
        </w:numPr>
        <w:rPr>
          <w:snapToGrid/>
        </w:rPr>
      </w:pPr>
      <w:r>
        <w:rPr>
          <w:rFonts w:hint="eastAsia"/>
          <w:snapToGrid/>
        </w:rPr>
        <w:t>在新的国家社会保险制度中，所有受益者将缴纳数量相同的款额。如果养恤金少于国家提供的最低数额，则由养恤金基金来弥补这一差额；</w:t>
      </w:r>
    </w:p>
    <w:p w:rsidR="00000000" w:rsidRDefault="00000000">
      <w:pPr>
        <w:numPr>
          <w:ilvl w:val="0"/>
          <w:numId w:val="454"/>
        </w:numPr>
        <w:rPr>
          <w:snapToGrid/>
        </w:rPr>
      </w:pPr>
      <w:r>
        <w:rPr>
          <w:rFonts w:hint="eastAsia"/>
          <w:snapToGrid/>
        </w:rPr>
        <w:t>所有雇员，以及农业劳动者，应受到强制性社会保险。该保险也应扩及到私人经济活动中的公民和自营职业者</w:t>
      </w:r>
      <w:r>
        <w:rPr>
          <w:rFonts w:hint="eastAsia"/>
          <w:snapToGrid/>
        </w:rPr>
        <w:t>(</w:t>
      </w:r>
      <w:r>
        <w:rPr>
          <w:rFonts w:hint="eastAsia"/>
          <w:snapToGrid/>
        </w:rPr>
        <w:t>律师、画家、作家等等</w:t>
      </w:r>
      <w:r>
        <w:rPr>
          <w:rFonts w:hint="eastAsia"/>
          <w:snapToGrid/>
        </w:rPr>
        <w:t>)</w:t>
      </w:r>
      <w:r>
        <w:rPr>
          <w:rFonts w:hint="eastAsia"/>
          <w:snapToGrid/>
        </w:rPr>
        <w:t>；</w:t>
      </w:r>
    </w:p>
    <w:p w:rsidR="00000000" w:rsidRDefault="00000000">
      <w:pPr>
        <w:numPr>
          <w:ilvl w:val="0"/>
          <w:numId w:val="454"/>
        </w:numPr>
        <w:rPr>
          <w:snapToGrid/>
        </w:rPr>
      </w:pPr>
      <w:r>
        <w:rPr>
          <w:rFonts w:hint="eastAsia"/>
          <w:snapToGrid/>
        </w:rPr>
        <w:t>养恤金保险应是强制性的。它将有助于建立一个纳税人的社会，允许以最佳方式分担诸如丧失工作能力等风险，并能降低保险的费用；</w:t>
      </w:r>
    </w:p>
    <w:p w:rsidR="00000000" w:rsidRDefault="00000000">
      <w:pPr>
        <w:numPr>
          <w:ilvl w:val="0"/>
          <w:numId w:val="454"/>
        </w:numPr>
        <w:rPr>
          <w:snapToGrid/>
        </w:rPr>
      </w:pPr>
      <w:r>
        <w:rPr>
          <w:rFonts w:hint="eastAsia"/>
          <w:snapToGrid/>
        </w:rPr>
        <w:t>农业劳动者的强制性缴款数额将取决于所申报的收入额，但是将确定一个固定的最低缴款额。他们的家庭成员如果单独向养恤金基金缴纳款额，则也可有权享有一份养恤金。</w:t>
      </w:r>
      <w:r>
        <w:rPr>
          <w:rFonts w:hint="eastAsia"/>
          <w:snapToGrid/>
        </w:rPr>
        <w:t xml:space="preserve"> </w:t>
      </w:r>
      <w:r>
        <w:rPr>
          <w:rFonts w:hint="eastAsia"/>
          <w:snapToGrid/>
        </w:rPr>
        <w:t>农业劳动者将像所有雇佣劳动者一样缴款；</w:t>
      </w:r>
    </w:p>
    <w:p w:rsidR="00000000" w:rsidRDefault="00000000">
      <w:pPr>
        <w:numPr>
          <w:ilvl w:val="0"/>
          <w:numId w:val="454"/>
        </w:numPr>
        <w:rPr>
          <w:snapToGrid/>
        </w:rPr>
      </w:pPr>
      <w:r>
        <w:rPr>
          <w:rFonts w:hint="eastAsia"/>
          <w:snapToGrid/>
        </w:rPr>
        <w:t>一个人未受到强制性保险的时期将不被算入缴款期限，但是服兵役的时期和在孩子年满</w:t>
      </w:r>
      <w:r>
        <w:rPr>
          <w:rFonts w:hint="eastAsia"/>
          <w:snapToGrid/>
        </w:rPr>
        <w:t>1</w:t>
      </w:r>
      <w:r>
        <w:rPr>
          <w:rFonts w:hint="eastAsia"/>
          <w:snapToGrid/>
        </w:rPr>
        <w:t>岁半之前的保育时期是例外。在这两段时期，以及在未缴款的时期</w:t>
      </w:r>
      <w:r>
        <w:rPr>
          <w:rFonts w:hint="eastAsia"/>
          <w:snapToGrid/>
        </w:rPr>
        <w:t>(</w:t>
      </w:r>
      <w:r>
        <w:rPr>
          <w:rFonts w:hint="eastAsia"/>
          <w:snapToGrid/>
        </w:rPr>
        <w:t>受教育时期、照顾某个未参加经济活动者的时期等</w:t>
      </w:r>
      <w:r>
        <w:rPr>
          <w:rFonts w:hint="eastAsia"/>
          <w:snapToGrid/>
        </w:rPr>
        <w:t>)</w:t>
      </w:r>
      <w:r>
        <w:rPr>
          <w:rFonts w:hint="eastAsia"/>
          <w:snapToGrid/>
        </w:rPr>
        <w:t>中，国家预算应补偿养恤金基金的有关支出；</w:t>
      </w:r>
    </w:p>
    <w:p w:rsidR="00000000" w:rsidRDefault="00000000">
      <w:pPr>
        <w:numPr>
          <w:ilvl w:val="0"/>
          <w:numId w:val="454"/>
        </w:numPr>
        <w:rPr>
          <w:rFonts w:hint="eastAsia"/>
          <w:snapToGrid/>
        </w:rPr>
      </w:pPr>
      <w:r>
        <w:rPr>
          <w:rFonts w:hint="eastAsia"/>
          <w:snapToGrid/>
        </w:rPr>
        <w:t>失业和残疾时期只有在这两种基金分别已向养恤金基金缴纳过款额时，才被算入投保的服务期限。</w:t>
      </w:r>
    </w:p>
    <w:p w:rsidR="00000000" w:rsidRDefault="00000000">
      <w:pPr>
        <w:rPr>
          <w:rFonts w:hint="eastAsia"/>
          <w:snapToGrid/>
        </w:rPr>
      </w:pPr>
      <w:r>
        <w:rPr>
          <w:snapToGrid/>
        </w:rPr>
        <w:tab/>
      </w:r>
      <w:r>
        <w:rPr>
          <w:rFonts w:hint="eastAsia"/>
          <w:snapToGrid/>
        </w:rPr>
        <w:t>296.</w:t>
      </w:r>
      <w:r>
        <w:rPr>
          <w:snapToGrid/>
        </w:rPr>
        <w:t xml:space="preserve">  </w:t>
      </w:r>
      <w:r>
        <w:rPr>
          <w:rFonts w:hint="eastAsia"/>
          <w:snapToGrid/>
        </w:rPr>
        <w:t>考虑到上述问题，劳动、社会保障和家庭部制定了不同的养恤金制度改革方法。人口情况预测和宏观经济指数是其中两种。该方法指明了为保持养恤金制度资金平衡所必须的缴款比例。下面的方法受到了评估。基本步骤</w:t>
      </w:r>
      <w:r>
        <w:rPr>
          <w:rFonts w:hint="eastAsia"/>
          <w:snapToGrid/>
        </w:rPr>
        <w:t>(</w:t>
      </w:r>
      <w:r>
        <w:rPr>
          <w:rFonts w:hint="eastAsia"/>
          <w:snapToGrid/>
        </w:rPr>
        <w:t>零步骤</w:t>
      </w:r>
      <w:r>
        <w:rPr>
          <w:rFonts w:hint="eastAsia"/>
          <w:snapToGrid/>
        </w:rPr>
        <w:t>)</w:t>
      </w:r>
      <w:r>
        <w:rPr>
          <w:rFonts w:hint="eastAsia"/>
          <w:snapToGrid/>
        </w:rPr>
        <w:t>没有给养恤金制度带来任何改变；经过改进的基本步骤规定将平均养恤金由平均工资的</w:t>
      </w:r>
      <w:r>
        <w:rPr>
          <w:rFonts w:hint="eastAsia"/>
          <w:snapToGrid/>
        </w:rPr>
        <w:t>40%</w:t>
      </w:r>
      <w:r>
        <w:rPr>
          <w:rFonts w:hint="eastAsia"/>
          <w:snapToGrid/>
        </w:rPr>
        <w:t>增加到</w:t>
      </w:r>
      <w:r>
        <w:rPr>
          <w:rFonts w:hint="eastAsia"/>
          <w:snapToGrid/>
        </w:rPr>
        <w:t>50%</w:t>
      </w:r>
      <w:r>
        <w:rPr>
          <w:rFonts w:hint="eastAsia"/>
          <w:snapToGrid/>
        </w:rPr>
        <w:t>，但没有改变养恤金制度。</w:t>
      </w:r>
    </w:p>
    <w:p w:rsidR="00000000" w:rsidRDefault="00000000">
      <w:pPr>
        <w:rPr>
          <w:snapToGrid/>
        </w:rPr>
      </w:pPr>
      <w:r>
        <w:rPr>
          <w:snapToGrid/>
        </w:rPr>
        <w:tab/>
      </w:r>
      <w:r>
        <w:rPr>
          <w:rFonts w:hint="eastAsia"/>
          <w:snapToGrid/>
        </w:rPr>
        <w:t>297.</w:t>
      </w:r>
      <w:r>
        <w:rPr>
          <w:snapToGrid/>
        </w:rPr>
        <w:t xml:space="preserve">  </w:t>
      </w:r>
      <w:r>
        <w:rPr>
          <w:rFonts w:hint="eastAsia"/>
          <w:snapToGrid/>
        </w:rPr>
        <w:t>步骤一规定提高退休年龄，包括两种可能性：</w:t>
      </w:r>
    </w:p>
    <w:p w:rsidR="00000000" w:rsidRDefault="00000000">
      <w:pPr>
        <w:numPr>
          <w:ilvl w:val="0"/>
          <w:numId w:val="455"/>
        </w:numPr>
        <w:rPr>
          <w:snapToGrid/>
        </w:rPr>
      </w:pPr>
      <w:r>
        <w:rPr>
          <w:rFonts w:hint="eastAsia"/>
          <w:snapToGrid/>
        </w:rPr>
        <w:t>把男性退休年龄由</w:t>
      </w:r>
      <w:r>
        <w:rPr>
          <w:rFonts w:hint="eastAsia"/>
          <w:snapToGrid/>
        </w:rPr>
        <w:t>60</w:t>
      </w:r>
      <w:r>
        <w:rPr>
          <w:rFonts w:hint="eastAsia"/>
          <w:snapToGrid/>
        </w:rPr>
        <w:t>岁提高到</w:t>
      </w:r>
      <w:r>
        <w:rPr>
          <w:rFonts w:hint="eastAsia"/>
          <w:snapToGrid/>
        </w:rPr>
        <w:t>65</w:t>
      </w:r>
      <w:r>
        <w:rPr>
          <w:rFonts w:hint="eastAsia"/>
          <w:snapToGrid/>
        </w:rPr>
        <w:t>岁，把女性退休年龄由</w:t>
      </w:r>
      <w:r>
        <w:rPr>
          <w:rFonts w:hint="eastAsia"/>
          <w:snapToGrid/>
        </w:rPr>
        <w:t>55</w:t>
      </w:r>
      <w:r>
        <w:rPr>
          <w:rFonts w:hint="eastAsia"/>
          <w:snapToGrid/>
        </w:rPr>
        <w:t>岁提高到</w:t>
      </w:r>
      <w:r>
        <w:rPr>
          <w:rFonts w:hint="eastAsia"/>
          <w:snapToGrid/>
        </w:rPr>
        <w:t>60</w:t>
      </w:r>
      <w:r>
        <w:rPr>
          <w:rFonts w:hint="eastAsia"/>
          <w:snapToGrid/>
        </w:rPr>
        <w:t>岁，办法是每年增加</w:t>
      </w:r>
      <w:r>
        <w:rPr>
          <w:rFonts w:hint="eastAsia"/>
          <w:snapToGrid/>
        </w:rPr>
        <w:t>6</w:t>
      </w:r>
      <w:r>
        <w:rPr>
          <w:rFonts w:hint="eastAsia"/>
          <w:snapToGrid/>
        </w:rPr>
        <w:t>个月；</w:t>
      </w:r>
    </w:p>
    <w:p w:rsidR="00000000" w:rsidRDefault="00000000">
      <w:pPr>
        <w:numPr>
          <w:ilvl w:val="0"/>
          <w:numId w:val="455"/>
        </w:numPr>
        <w:rPr>
          <w:rFonts w:hint="eastAsia"/>
          <w:snapToGrid/>
        </w:rPr>
      </w:pPr>
      <w:r>
        <w:rPr>
          <w:rFonts w:hint="eastAsia"/>
          <w:snapToGrid/>
        </w:rPr>
        <w:t>通过每年增加</w:t>
      </w:r>
      <w:r>
        <w:rPr>
          <w:rFonts w:hint="eastAsia"/>
          <w:snapToGrid/>
        </w:rPr>
        <w:t>6</w:t>
      </w:r>
      <w:r>
        <w:rPr>
          <w:rFonts w:hint="eastAsia"/>
          <w:snapToGrid/>
        </w:rPr>
        <w:t>个月把男女的退休年龄都提高到</w:t>
      </w:r>
      <w:r>
        <w:rPr>
          <w:rFonts w:hint="eastAsia"/>
          <w:snapToGrid/>
        </w:rPr>
        <w:t>65</w:t>
      </w:r>
      <w:r>
        <w:rPr>
          <w:rFonts w:hint="eastAsia"/>
          <w:snapToGrid/>
        </w:rPr>
        <w:t>岁。步骤二取消了</w:t>
      </w:r>
      <w:r>
        <w:rPr>
          <w:rFonts w:hint="eastAsia"/>
          <w:snapToGrid/>
        </w:rPr>
        <w:t>1</w:t>
      </w:r>
      <w:r>
        <w:rPr>
          <w:rFonts w:hint="eastAsia"/>
          <w:snapToGrid/>
        </w:rPr>
        <w:t>号、</w:t>
      </w:r>
      <w:r>
        <w:rPr>
          <w:rFonts w:hint="eastAsia"/>
          <w:snapToGrid/>
        </w:rPr>
        <w:t>2</w:t>
      </w:r>
      <w:r>
        <w:rPr>
          <w:rFonts w:hint="eastAsia"/>
          <w:snapToGrid/>
        </w:rPr>
        <w:t>号和</w:t>
      </w:r>
      <w:r>
        <w:rPr>
          <w:rFonts w:hint="eastAsia"/>
          <w:snapToGrid/>
        </w:rPr>
        <w:t>3</w:t>
      </w:r>
      <w:r>
        <w:rPr>
          <w:rFonts w:hint="eastAsia"/>
          <w:snapToGrid/>
        </w:rPr>
        <w:t>号表中核准的养恤金优惠条件以及针对有多个子女的母亲的优惠条件。步骤三规定改善社会基金的缴款征集系统，使征集覆盖率从</w:t>
      </w:r>
      <w:r>
        <w:rPr>
          <w:rFonts w:hint="eastAsia"/>
          <w:snapToGrid/>
        </w:rPr>
        <w:t>1996</w:t>
      </w:r>
      <w:r>
        <w:rPr>
          <w:rFonts w:hint="eastAsia"/>
          <w:snapToGrid/>
        </w:rPr>
        <w:t>年的</w:t>
      </w:r>
      <w:r>
        <w:rPr>
          <w:rFonts w:hint="eastAsia"/>
          <w:snapToGrid/>
        </w:rPr>
        <w:t>70%</w:t>
      </w:r>
      <w:r>
        <w:rPr>
          <w:rFonts w:hint="eastAsia"/>
          <w:snapToGrid/>
        </w:rPr>
        <w:t>上升到</w:t>
      </w:r>
      <w:r>
        <w:rPr>
          <w:rFonts w:hint="eastAsia"/>
          <w:snapToGrid/>
        </w:rPr>
        <w:t>2007</w:t>
      </w:r>
      <w:r>
        <w:rPr>
          <w:rFonts w:hint="eastAsia"/>
          <w:snapToGrid/>
        </w:rPr>
        <w:t>年的</w:t>
      </w:r>
      <w:r>
        <w:rPr>
          <w:rFonts w:hint="eastAsia"/>
          <w:snapToGrid/>
        </w:rPr>
        <w:t>90%(</w:t>
      </w:r>
      <w:r>
        <w:rPr>
          <w:rFonts w:hint="eastAsia"/>
          <w:snapToGrid/>
        </w:rPr>
        <w:t>自</w:t>
      </w:r>
      <w:r>
        <w:rPr>
          <w:rFonts w:hint="eastAsia"/>
          <w:snapToGrid/>
        </w:rPr>
        <w:t>2000</w:t>
      </w:r>
      <w:r>
        <w:rPr>
          <w:rFonts w:hint="eastAsia"/>
          <w:snapToGrid/>
        </w:rPr>
        <w:t>年开始缴款征集覆盖率每年增加</w:t>
      </w:r>
      <w:r>
        <w:rPr>
          <w:rFonts w:hint="eastAsia"/>
          <w:snapToGrid/>
        </w:rPr>
        <w:t>2.5%)</w:t>
      </w:r>
      <w:r>
        <w:rPr>
          <w:rFonts w:hint="eastAsia"/>
          <w:snapToGrid/>
        </w:rPr>
        <w:t>。</w:t>
      </w:r>
    </w:p>
    <w:p w:rsidR="00000000" w:rsidRDefault="00000000">
      <w:pPr>
        <w:rPr>
          <w:rFonts w:hint="eastAsia"/>
          <w:snapToGrid/>
        </w:rPr>
      </w:pPr>
      <w:r>
        <w:rPr>
          <w:snapToGrid/>
        </w:rPr>
        <w:tab/>
      </w:r>
      <w:r>
        <w:rPr>
          <w:rFonts w:hint="eastAsia"/>
          <w:snapToGrid/>
        </w:rPr>
        <w:t>298.</w:t>
      </w:r>
      <w:r>
        <w:rPr>
          <w:snapToGrid/>
        </w:rPr>
        <w:t xml:space="preserve">  </w:t>
      </w:r>
      <w:r>
        <w:rPr>
          <w:rFonts w:hint="eastAsia"/>
          <w:snapToGrid/>
        </w:rPr>
        <w:t>该分析表明若不进行养恤金制度改革，将不可避免地使缴款比例增加</w:t>
      </w:r>
      <w:r>
        <w:rPr>
          <w:rFonts w:hint="eastAsia"/>
          <w:snapToGrid/>
        </w:rPr>
        <w:t>45%</w:t>
      </w:r>
      <w:r>
        <w:rPr>
          <w:rFonts w:hint="eastAsia"/>
          <w:snapToGrid/>
        </w:rPr>
        <w:t>，但如果进行改革就可避免这种情况，反而可以使缴款比例降低</w:t>
      </w:r>
      <w:r>
        <w:rPr>
          <w:rFonts w:hint="eastAsia"/>
          <w:snapToGrid/>
        </w:rPr>
        <w:t>20%</w:t>
      </w:r>
      <w:r>
        <w:rPr>
          <w:rFonts w:hint="eastAsia"/>
          <w:snapToGrid/>
        </w:rPr>
        <w:t>并能维持该比例，同时还能使养恤金相对于工资增加近</w:t>
      </w:r>
      <w:r>
        <w:rPr>
          <w:rFonts w:hint="eastAsia"/>
          <w:snapToGrid/>
        </w:rPr>
        <w:t>20%</w:t>
      </w:r>
      <w:r>
        <w:rPr>
          <w:rFonts w:hint="eastAsia"/>
          <w:snapToGrid/>
        </w:rPr>
        <w:t>。</w:t>
      </w:r>
    </w:p>
    <w:p w:rsidR="00000000" w:rsidRDefault="00000000">
      <w:pPr>
        <w:rPr>
          <w:snapToGrid/>
        </w:rPr>
      </w:pPr>
      <w:r>
        <w:rPr>
          <w:snapToGrid/>
        </w:rPr>
        <w:tab/>
      </w:r>
      <w:r>
        <w:rPr>
          <w:rFonts w:hint="eastAsia"/>
          <w:snapToGrid/>
        </w:rPr>
        <w:t>299.</w:t>
      </w:r>
      <w:r>
        <w:rPr>
          <w:snapToGrid/>
        </w:rPr>
        <w:t xml:space="preserve">  </w:t>
      </w:r>
      <w:r>
        <w:rPr>
          <w:rFonts w:hint="eastAsia"/>
          <w:snapToGrid/>
        </w:rPr>
        <w:t>下述建议或许能有助于退休金制度的改革：</w:t>
      </w:r>
    </w:p>
    <w:p w:rsidR="00000000" w:rsidRDefault="00000000">
      <w:pPr>
        <w:numPr>
          <w:ilvl w:val="0"/>
          <w:numId w:val="460"/>
        </w:numPr>
        <w:tabs>
          <w:tab w:val="clear" w:pos="2127"/>
        </w:tabs>
        <w:ind w:left="1531"/>
        <w:rPr>
          <w:snapToGrid/>
        </w:rPr>
      </w:pPr>
      <w:r>
        <w:rPr>
          <w:rFonts w:hint="eastAsia"/>
          <w:snapToGrid/>
        </w:rPr>
        <w:t>改变退休年龄。如果实施新制度，退休金将获得增加，至少达到工资的</w:t>
      </w:r>
      <w:r>
        <w:rPr>
          <w:rFonts w:hint="eastAsia"/>
          <w:snapToGrid/>
        </w:rPr>
        <w:t>42%</w:t>
      </w:r>
      <w:r>
        <w:rPr>
          <w:rFonts w:hint="eastAsia"/>
          <w:snapToGrid/>
        </w:rPr>
        <w:t>，而目前占平均工资的</w:t>
      </w:r>
      <w:r>
        <w:rPr>
          <w:rFonts w:hint="eastAsia"/>
          <w:snapToGrid/>
        </w:rPr>
        <w:t>32%</w:t>
      </w:r>
      <w:r>
        <w:rPr>
          <w:rFonts w:hint="eastAsia"/>
          <w:snapToGrid/>
        </w:rPr>
        <w:t>。享受全额退休金的年龄男性将增至</w:t>
      </w:r>
      <w:r>
        <w:rPr>
          <w:rFonts w:hint="eastAsia"/>
          <w:snapToGrid/>
        </w:rPr>
        <w:t>65</w:t>
      </w:r>
      <w:r>
        <w:rPr>
          <w:rFonts w:hint="eastAsia"/>
          <w:snapToGrid/>
        </w:rPr>
        <w:t>岁，女性将增至</w:t>
      </w:r>
      <w:r>
        <w:rPr>
          <w:rFonts w:hint="eastAsia"/>
          <w:snapToGrid/>
        </w:rPr>
        <w:t>60</w:t>
      </w:r>
      <w:r>
        <w:rPr>
          <w:rFonts w:hint="eastAsia"/>
          <w:snapToGrid/>
        </w:rPr>
        <w:t>岁。任何人在达到该年龄以前都无权索要全额退休金。最短服务期限，对男女而言，都将增至</w:t>
      </w:r>
      <w:r>
        <w:rPr>
          <w:rFonts w:hint="eastAsia"/>
          <w:snapToGrid/>
        </w:rPr>
        <w:t>35</w:t>
      </w:r>
      <w:r>
        <w:rPr>
          <w:rFonts w:hint="eastAsia"/>
          <w:snapToGrid/>
        </w:rPr>
        <w:t>年</w:t>
      </w:r>
      <w:r>
        <w:rPr>
          <w:rFonts w:hint="eastAsia"/>
          <w:snapToGrid/>
        </w:rPr>
        <w:t>(</w:t>
      </w:r>
      <w:r>
        <w:rPr>
          <w:rFonts w:hint="eastAsia"/>
          <w:snapToGrid/>
        </w:rPr>
        <w:t>现在男性为</w:t>
      </w:r>
      <w:r>
        <w:rPr>
          <w:rFonts w:hint="eastAsia"/>
          <w:snapToGrid/>
        </w:rPr>
        <w:t>25</w:t>
      </w:r>
      <w:r>
        <w:rPr>
          <w:rFonts w:hint="eastAsia"/>
          <w:snapToGrid/>
        </w:rPr>
        <w:t>年，女性为</w:t>
      </w:r>
      <w:r>
        <w:rPr>
          <w:rFonts w:hint="eastAsia"/>
          <w:snapToGrid/>
        </w:rPr>
        <w:t>20</w:t>
      </w:r>
      <w:r>
        <w:rPr>
          <w:rFonts w:hint="eastAsia"/>
          <w:snapToGrid/>
        </w:rPr>
        <w:t>年</w:t>
      </w:r>
      <w:r>
        <w:rPr>
          <w:rFonts w:hint="eastAsia"/>
          <w:snapToGrid/>
        </w:rPr>
        <w:t>)</w:t>
      </w:r>
      <w:r>
        <w:rPr>
          <w:rFonts w:hint="eastAsia"/>
          <w:snapToGrid/>
        </w:rPr>
        <w:t>。对摩尔多瓦平均预期寿命的分析为提高退休年龄提供了论据。尽管平均预期寿命男性为</w:t>
      </w:r>
      <w:r>
        <w:rPr>
          <w:rFonts w:hint="eastAsia"/>
          <w:snapToGrid/>
        </w:rPr>
        <w:t>63</w:t>
      </w:r>
      <w:r>
        <w:rPr>
          <w:rFonts w:hint="eastAsia"/>
          <w:snapToGrid/>
        </w:rPr>
        <w:t>岁，女性为</w:t>
      </w:r>
      <w:r>
        <w:rPr>
          <w:rFonts w:hint="eastAsia"/>
          <w:snapToGrid/>
        </w:rPr>
        <w:t>71</w:t>
      </w:r>
      <w:r>
        <w:rPr>
          <w:rFonts w:hint="eastAsia"/>
          <w:snapToGrid/>
        </w:rPr>
        <w:t>岁，但达到退休年龄的那些人的平均预期寿命要长得多。估算结果证明于</w:t>
      </w:r>
      <w:r>
        <w:rPr>
          <w:rFonts w:hint="eastAsia"/>
          <w:snapToGrid/>
        </w:rPr>
        <w:t>60</w:t>
      </w:r>
      <w:r>
        <w:rPr>
          <w:rFonts w:hint="eastAsia"/>
          <w:snapToGrid/>
        </w:rPr>
        <w:t>岁退休的男性的平均预期寿命为</w:t>
      </w:r>
      <w:r>
        <w:rPr>
          <w:rFonts w:hint="eastAsia"/>
          <w:snapToGrid/>
        </w:rPr>
        <w:t>75</w:t>
      </w:r>
      <w:r>
        <w:rPr>
          <w:rFonts w:hint="eastAsia"/>
          <w:snapToGrid/>
        </w:rPr>
        <w:t>岁，于</w:t>
      </w:r>
      <w:r>
        <w:rPr>
          <w:rFonts w:hint="eastAsia"/>
          <w:snapToGrid/>
        </w:rPr>
        <w:t>55</w:t>
      </w:r>
      <w:r>
        <w:rPr>
          <w:rFonts w:hint="eastAsia"/>
          <w:snapToGrid/>
        </w:rPr>
        <w:t>岁退休的女性的平均预期寿命为</w:t>
      </w:r>
      <w:r>
        <w:rPr>
          <w:rFonts w:hint="eastAsia"/>
          <w:snapToGrid/>
        </w:rPr>
        <w:t>79</w:t>
      </w:r>
      <w:r>
        <w:rPr>
          <w:rFonts w:hint="eastAsia"/>
          <w:snapToGrid/>
        </w:rPr>
        <w:t>岁。</w:t>
      </w:r>
      <w:r>
        <w:rPr>
          <w:rFonts w:hint="eastAsia"/>
          <w:snapToGrid/>
        </w:rPr>
        <w:t>75%</w:t>
      </w:r>
      <w:r>
        <w:rPr>
          <w:rFonts w:hint="eastAsia"/>
          <w:snapToGrid/>
        </w:rPr>
        <w:t>的女性于</w:t>
      </w:r>
      <w:r>
        <w:rPr>
          <w:rFonts w:hint="eastAsia"/>
          <w:snapToGrid/>
        </w:rPr>
        <w:t>65</w:t>
      </w:r>
      <w:r>
        <w:rPr>
          <w:rFonts w:hint="eastAsia"/>
          <w:snapToGrid/>
        </w:rPr>
        <w:t>岁退休，而</w:t>
      </w:r>
      <w:r>
        <w:rPr>
          <w:rFonts w:hint="eastAsia"/>
          <w:snapToGrid/>
        </w:rPr>
        <w:t>75</w:t>
      </w:r>
      <w:r>
        <w:rPr>
          <w:rFonts w:hint="eastAsia"/>
          <w:snapToGrid/>
        </w:rPr>
        <w:t>岁的人中于</w:t>
      </w:r>
      <w:r>
        <w:rPr>
          <w:rFonts w:hint="eastAsia"/>
          <w:snapToGrid/>
        </w:rPr>
        <w:t>60</w:t>
      </w:r>
      <w:r>
        <w:rPr>
          <w:rFonts w:hint="eastAsia"/>
          <w:snapToGrid/>
        </w:rPr>
        <w:t>岁退休的男性只占</w:t>
      </w:r>
      <w:r>
        <w:rPr>
          <w:rFonts w:hint="eastAsia"/>
          <w:snapToGrid/>
        </w:rPr>
        <w:t>55%</w:t>
      </w:r>
      <w:r>
        <w:rPr>
          <w:rFonts w:hint="eastAsia"/>
          <w:snapToGrid/>
        </w:rPr>
        <w:t>。计算结果还表明，退休男女之间的死亡比例为：</w:t>
      </w:r>
      <w:r>
        <w:rPr>
          <w:rFonts w:hint="eastAsia"/>
          <w:snapToGrid/>
        </w:rPr>
        <w:t>10</w:t>
      </w:r>
      <w:r>
        <w:rPr>
          <w:rFonts w:hint="eastAsia"/>
          <w:snapToGrid/>
        </w:rPr>
        <w:t>：</w:t>
      </w:r>
      <w:r>
        <w:rPr>
          <w:rFonts w:hint="eastAsia"/>
          <w:snapToGrid/>
        </w:rPr>
        <w:t>5</w:t>
      </w:r>
      <w:r>
        <w:rPr>
          <w:rFonts w:hint="eastAsia"/>
          <w:snapToGrid/>
        </w:rPr>
        <w:t>。前面步骤一的</w:t>
      </w:r>
      <w:r>
        <w:rPr>
          <w:rFonts w:hint="eastAsia"/>
          <w:snapToGrid/>
        </w:rPr>
        <w:t>(a)</w:t>
      </w:r>
      <w:r>
        <w:rPr>
          <w:rFonts w:hint="eastAsia"/>
          <w:snapToGrid/>
        </w:rPr>
        <w:t>和</w:t>
      </w:r>
      <w:r>
        <w:rPr>
          <w:rFonts w:hint="eastAsia"/>
          <w:snapToGrid/>
        </w:rPr>
        <w:t>(b)</w:t>
      </w:r>
      <w:r>
        <w:rPr>
          <w:rFonts w:hint="eastAsia"/>
          <w:snapToGrid/>
        </w:rPr>
        <w:t>表明，如果男性的退休年龄升至</w:t>
      </w:r>
      <w:r>
        <w:rPr>
          <w:rFonts w:hint="eastAsia"/>
          <w:snapToGrid/>
        </w:rPr>
        <w:t>65</w:t>
      </w:r>
      <w:r>
        <w:rPr>
          <w:rFonts w:hint="eastAsia"/>
          <w:snapToGrid/>
        </w:rPr>
        <w:t>岁，女性的退休年龄升至</w:t>
      </w:r>
      <w:r>
        <w:rPr>
          <w:rFonts w:hint="eastAsia"/>
          <w:snapToGrid/>
        </w:rPr>
        <w:t>60</w:t>
      </w:r>
      <w:r>
        <w:rPr>
          <w:rFonts w:hint="eastAsia"/>
          <w:snapToGrid/>
        </w:rPr>
        <w:t>岁，则缴款额与目前相比可能降低</w:t>
      </w:r>
      <w:r>
        <w:rPr>
          <w:rFonts w:hint="eastAsia"/>
          <w:snapToGrid/>
        </w:rPr>
        <w:t>13%</w:t>
      </w:r>
      <w:r>
        <w:rPr>
          <w:rFonts w:hint="eastAsia"/>
          <w:snapToGrid/>
        </w:rPr>
        <w:t>，而如果男女的退休年龄都升至</w:t>
      </w:r>
      <w:r>
        <w:rPr>
          <w:rFonts w:hint="eastAsia"/>
          <w:snapToGrid/>
        </w:rPr>
        <w:t>65</w:t>
      </w:r>
      <w:r>
        <w:rPr>
          <w:rFonts w:hint="eastAsia"/>
          <w:snapToGrid/>
        </w:rPr>
        <w:t>岁，则缴款额可能比目前降低</w:t>
      </w:r>
      <w:r>
        <w:rPr>
          <w:rFonts w:hint="eastAsia"/>
          <w:snapToGrid/>
        </w:rPr>
        <w:t>19%(</w:t>
      </w:r>
      <w:r>
        <w:rPr>
          <w:rFonts w:hint="eastAsia"/>
          <w:snapToGrid/>
        </w:rPr>
        <w:t>每年将退休年龄增加</w:t>
      </w:r>
      <w:r>
        <w:rPr>
          <w:rFonts w:hint="eastAsia"/>
          <w:snapToGrid/>
        </w:rPr>
        <w:t>6</w:t>
      </w:r>
      <w:r>
        <w:rPr>
          <w:rFonts w:hint="eastAsia"/>
          <w:snapToGrid/>
        </w:rPr>
        <w:t>个月</w:t>
      </w:r>
      <w:r>
        <w:rPr>
          <w:rFonts w:hint="eastAsia"/>
          <w:snapToGrid/>
        </w:rPr>
        <w:t>)</w:t>
      </w:r>
      <w:r>
        <w:rPr>
          <w:rFonts w:hint="eastAsia"/>
          <w:snapToGrid/>
        </w:rPr>
        <w:t>；</w:t>
      </w:r>
    </w:p>
    <w:p w:rsidR="00000000" w:rsidRDefault="00000000">
      <w:pPr>
        <w:numPr>
          <w:ilvl w:val="0"/>
          <w:numId w:val="460"/>
        </w:numPr>
        <w:tabs>
          <w:tab w:val="clear" w:pos="2127"/>
        </w:tabs>
        <w:ind w:left="1531"/>
        <w:rPr>
          <w:snapToGrid/>
        </w:rPr>
      </w:pPr>
      <w:r>
        <w:rPr>
          <w:rFonts w:hint="eastAsia"/>
          <w:snapToGrid/>
        </w:rPr>
        <w:t>取消退休方面的优惠条件。最好取消目前针对从事某些职业和活动的人制定的退休方面的优惠条件。由此，企业将有可能加入下面将介绍的私人退休金制度。有三个或更多子女的母亲也将被剥夺退休方面的优惠条件。子女补贴将提供给有幼小子女的大家庭。步骤二表明取消退休方面的优惠条件将使养恤金制度中抽取的缴款额减少</w:t>
      </w:r>
      <w:r>
        <w:rPr>
          <w:rFonts w:hint="eastAsia"/>
          <w:snapToGrid/>
        </w:rPr>
        <w:t>6%</w:t>
      </w:r>
      <w:r>
        <w:rPr>
          <w:rFonts w:hint="eastAsia"/>
          <w:snapToGrid/>
        </w:rPr>
        <w:t>；</w:t>
      </w:r>
    </w:p>
    <w:p w:rsidR="00000000" w:rsidRDefault="00000000">
      <w:pPr>
        <w:numPr>
          <w:ilvl w:val="0"/>
          <w:numId w:val="460"/>
        </w:numPr>
        <w:tabs>
          <w:tab w:val="clear" w:pos="2127"/>
        </w:tabs>
        <w:ind w:left="1531"/>
        <w:rPr>
          <w:snapToGrid/>
        </w:rPr>
      </w:pPr>
      <w:r>
        <w:rPr>
          <w:rFonts w:hint="eastAsia"/>
          <w:snapToGrid/>
        </w:rPr>
        <w:t>改善为养恤金制度征集缴款的方案。在此值得提及的是，养恤金制度必须改善其征集缴款的方法。在这方面应对电子设备和培训法律人员进行投资，对不缴款者予以严厉惩处并要具备政治意愿。如果所有这几条能够在最近的将来得到落实，那么十年后将会取得明显效果。步骤三将改善养恤金制度的缴款征集工作。事实证明到</w:t>
      </w:r>
      <w:r>
        <w:rPr>
          <w:rFonts w:hint="eastAsia"/>
          <w:snapToGrid/>
        </w:rPr>
        <w:t>2007</w:t>
      </w:r>
      <w:r>
        <w:rPr>
          <w:rFonts w:hint="eastAsia"/>
          <w:snapToGrid/>
        </w:rPr>
        <w:t>年时如果缴款征集覆盖率能从</w:t>
      </w:r>
      <w:r>
        <w:rPr>
          <w:rFonts w:hint="eastAsia"/>
          <w:snapToGrid/>
        </w:rPr>
        <w:t>70%</w:t>
      </w:r>
      <w:r>
        <w:rPr>
          <w:rFonts w:hint="eastAsia"/>
          <w:snapToGrid/>
        </w:rPr>
        <w:t>增加至</w:t>
      </w:r>
      <w:r>
        <w:rPr>
          <w:rFonts w:hint="eastAsia"/>
          <w:snapToGrid/>
        </w:rPr>
        <w:t>90%</w:t>
      </w:r>
      <w:r>
        <w:rPr>
          <w:rFonts w:hint="eastAsia"/>
          <w:snapToGrid/>
        </w:rPr>
        <w:t>，则所缴款额可以降低</w:t>
      </w:r>
      <w:r>
        <w:rPr>
          <w:rFonts w:hint="eastAsia"/>
          <w:snapToGrid/>
        </w:rPr>
        <w:t>10%</w:t>
      </w:r>
      <w:r>
        <w:rPr>
          <w:rFonts w:hint="eastAsia"/>
          <w:snapToGrid/>
        </w:rPr>
        <w:t>；</w:t>
      </w:r>
    </w:p>
    <w:p w:rsidR="00000000" w:rsidRDefault="00000000">
      <w:pPr>
        <w:numPr>
          <w:ilvl w:val="0"/>
          <w:numId w:val="460"/>
        </w:numPr>
        <w:tabs>
          <w:tab w:val="clear" w:pos="2127"/>
        </w:tabs>
        <w:ind w:left="1531"/>
        <w:rPr>
          <w:rFonts w:hint="eastAsia"/>
          <w:snapToGrid/>
        </w:rPr>
      </w:pPr>
      <w:r>
        <w:rPr>
          <w:rFonts w:hint="eastAsia"/>
          <w:snapToGrid/>
        </w:rPr>
        <w:t>积累储备金。</w:t>
      </w:r>
      <w:r>
        <w:rPr>
          <w:rFonts w:hint="eastAsia"/>
          <w:snapToGrid/>
        </w:rPr>
        <w:t>2003</w:t>
      </w:r>
      <w:r>
        <w:rPr>
          <w:rFonts w:hint="eastAsia"/>
          <w:snapToGrid/>
        </w:rPr>
        <w:t>年起公共养恤金制度将开始累积储备金。该储备金将有助于解决未来人口状况恶化的问题。必须拟订一些方法，用这些基金进行投资。尽管对上述措施的分析表明，有可能将养恤金缴款减至</w:t>
      </w:r>
      <w:r>
        <w:rPr>
          <w:rFonts w:hint="eastAsia"/>
          <w:snapToGrid/>
        </w:rPr>
        <w:t>15%</w:t>
      </w:r>
      <w:r>
        <w:rPr>
          <w:rFonts w:hint="eastAsia"/>
          <w:snapToGrid/>
        </w:rPr>
        <w:t>，但是出于累积储备金的目的，应当将此比率保持在</w:t>
      </w:r>
      <w:r>
        <w:rPr>
          <w:rFonts w:hint="eastAsia"/>
          <w:snapToGrid/>
        </w:rPr>
        <w:t>20%</w:t>
      </w:r>
      <w:r>
        <w:rPr>
          <w:rFonts w:hint="eastAsia"/>
          <w:snapToGrid/>
        </w:rPr>
        <w:t>。</w:t>
      </w:r>
    </w:p>
    <w:p w:rsidR="00000000" w:rsidRDefault="00000000">
      <w:pPr>
        <w:rPr>
          <w:snapToGrid/>
        </w:rPr>
      </w:pPr>
      <w:r>
        <w:rPr>
          <w:snapToGrid/>
        </w:rPr>
        <w:tab/>
      </w:r>
      <w:r>
        <w:rPr>
          <w:rFonts w:hint="eastAsia"/>
          <w:snapToGrid/>
        </w:rPr>
        <w:t>300.</w:t>
      </w:r>
      <w:r>
        <w:rPr>
          <w:snapToGrid/>
        </w:rPr>
        <w:t xml:space="preserve">  </w:t>
      </w:r>
      <w:r>
        <w:rPr>
          <w:rFonts w:hint="eastAsia"/>
          <w:snapToGrid/>
        </w:rPr>
        <w:t>关于现有养恤金制度过渡到一种新制度的问题：</w:t>
      </w:r>
    </w:p>
    <w:p w:rsidR="00000000" w:rsidRDefault="00000000">
      <w:pPr>
        <w:numPr>
          <w:ilvl w:val="0"/>
          <w:numId w:val="462"/>
        </w:numPr>
        <w:tabs>
          <w:tab w:val="clear" w:pos="2127"/>
        </w:tabs>
        <w:ind w:left="1531"/>
        <w:rPr>
          <w:snapToGrid/>
        </w:rPr>
      </w:pPr>
      <w:r>
        <w:rPr>
          <w:rFonts w:hint="eastAsia"/>
          <w:snapToGrid/>
        </w:rPr>
        <w:t>目前这种唯一的、非个人和平等主义的养恤金制度有必要过渡到一种具有多样性、个人化和灵活的新制度。过渡时期必须保证新老制度间的连续性。使所有雇员参与新养恤金制度的工作需要一定时间；</w:t>
      </w:r>
    </w:p>
    <w:p w:rsidR="00000000" w:rsidRDefault="00000000">
      <w:pPr>
        <w:numPr>
          <w:ilvl w:val="0"/>
          <w:numId w:val="462"/>
        </w:numPr>
        <w:tabs>
          <w:tab w:val="clear" w:pos="2127"/>
        </w:tabs>
        <w:ind w:left="1531"/>
        <w:rPr>
          <w:snapToGrid/>
        </w:rPr>
      </w:pPr>
      <w:r>
        <w:rPr>
          <w:rFonts w:hint="eastAsia"/>
          <w:snapToGrid/>
        </w:rPr>
        <w:t>对享受强制性国家社会保障的人，即有收入的人和根据目前规范性法案有权享有退休金的人，或将来根据其他规范性法案将有权享有退休金的人</w:t>
      </w:r>
      <w:r>
        <w:rPr>
          <w:rFonts w:hint="eastAsia"/>
          <w:snapToGrid/>
        </w:rPr>
        <w:t>(</w:t>
      </w:r>
      <w:r>
        <w:rPr>
          <w:rFonts w:hint="eastAsia"/>
          <w:snapToGrid/>
        </w:rPr>
        <w:t>法官、律师、公务员等等</w:t>
      </w:r>
      <w:r>
        <w:rPr>
          <w:rFonts w:hint="eastAsia"/>
          <w:snapToGrid/>
        </w:rPr>
        <w:t>)</w:t>
      </w:r>
      <w:r>
        <w:rPr>
          <w:rFonts w:hint="eastAsia"/>
          <w:snapToGrid/>
        </w:rPr>
        <w:t>必须作出更明确的确定。换言之，应扩大养恤金基金的强制性缴款基础，同时应巩固私人养恤金制度；</w:t>
      </w:r>
    </w:p>
    <w:p w:rsidR="00000000" w:rsidRDefault="00000000">
      <w:pPr>
        <w:numPr>
          <w:ilvl w:val="0"/>
          <w:numId w:val="462"/>
        </w:numPr>
        <w:tabs>
          <w:tab w:val="clear" w:pos="2127"/>
        </w:tabs>
        <w:ind w:left="1531"/>
        <w:rPr>
          <w:snapToGrid/>
        </w:rPr>
      </w:pPr>
      <w:r>
        <w:rPr>
          <w:rFonts w:hint="eastAsia"/>
          <w:snapToGrid/>
        </w:rPr>
        <w:t>雇主和雇员的社会保险缴款应得到逐步改变。雇员的工资应按照他向养恤金基金支付的款额获得相等的增加。这将可以保护雇员不会因养恤金制度的改变而遭受损害，而雇主将不再向养恤金基金缴纳任何款额。由于养恤金金额取决于缴款期限的长短，所以雇员必须核对缴款的支付情况，或缩短无支付的时期；</w:t>
      </w:r>
    </w:p>
    <w:p w:rsidR="00000000" w:rsidRDefault="00000000">
      <w:pPr>
        <w:numPr>
          <w:ilvl w:val="0"/>
          <w:numId w:val="462"/>
        </w:numPr>
        <w:tabs>
          <w:tab w:val="clear" w:pos="2127"/>
        </w:tabs>
        <w:ind w:left="1531"/>
        <w:rPr>
          <w:snapToGrid/>
        </w:rPr>
      </w:pPr>
      <w:r>
        <w:rPr>
          <w:rFonts w:hint="eastAsia"/>
          <w:snapToGrid/>
        </w:rPr>
        <w:t>急需通过一项社会保险法，在现代信息科学方法的基础上实施社会保险缴款付款证明的措施。这种证明可以解决一系列重要问题：</w:t>
      </w:r>
    </w:p>
    <w:p w:rsidR="00000000" w:rsidRDefault="00000000">
      <w:pPr>
        <w:pStyle w:val="ac"/>
        <w:numPr>
          <w:ilvl w:val="0"/>
          <w:numId w:val="461"/>
        </w:numPr>
        <w:tabs>
          <w:tab w:val="clear" w:pos="3091"/>
        </w:tabs>
        <w:ind w:left="2051"/>
        <w:rPr>
          <w:snapToGrid/>
        </w:rPr>
      </w:pPr>
      <w:r>
        <w:rPr>
          <w:rFonts w:hint="eastAsia"/>
          <w:snapToGrid/>
        </w:rPr>
        <w:t>使养恤金制度与市场关系之间协调一致；</w:t>
      </w:r>
    </w:p>
    <w:p w:rsidR="00000000" w:rsidRDefault="00000000">
      <w:pPr>
        <w:pStyle w:val="ac"/>
        <w:numPr>
          <w:ilvl w:val="0"/>
          <w:numId w:val="461"/>
        </w:numPr>
        <w:tabs>
          <w:tab w:val="clear" w:pos="3091"/>
        </w:tabs>
        <w:ind w:left="2051"/>
        <w:rPr>
          <w:snapToGrid/>
        </w:rPr>
      </w:pPr>
      <w:r>
        <w:rPr>
          <w:rFonts w:hint="eastAsia"/>
          <w:snapToGrid/>
        </w:rPr>
        <w:t>在养恤金金额和资历与向养恤金制度缴款之间建立一种相互依存关系，这将可以通过即时缴纳全部款额来对养恤金基金预算产生积极影响；</w:t>
      </w:r>
    </w:p>
    <w:p w:rsidR="00000000" w:rsidRDefault="00000000">
      <w:pPr>
        <w:pStyle w:val="ac"/>
        <w:numPr>
          <w:ilvl w:val="0"/>
          <w:numId w:val="461"/>
        </w:numPr>
        <w:tabs>
          <w:tab w:val="clear" w:pos="3091"/>
        </w:tabs>
        <w:ind w:left="2051"/>
        <w:rPr>
          <w:rFonts w:hint="eastAsia"/>
          <w:snapToGrid/>
        </w:rPr>
      </w:pPr>
      <w:r>
        <w:rPr>
          <w:rFonts w:hint="eastAsia"/>
          <w:snapToGrid/>
        </w:rPr>
        <w:t>为预测普通和特定职业中雇员及养恤金领取者数目的变化情况创造可能性。这将能够实事求是地估算养恤金支付方面的开支并计算社会保险的缴款数额。该数额将构成养恤金基金的基础并将具有严格的明确用途：即向参与养恤金保险计划的个人支付养恤金；</w:t>
      </w:r>
    </w:p>
    <w:p w:rsidR="00000000" w:rsidRDefault="00000000">
      <w:pPr>
        <w:pStyle w:val="ac"/>
        <w:rPr>
          <w:snapToGrid/>
        </w:rPr>
      </w:pPr>
      <w:r>
        <w:rPr>
          <w:snapToGrid/>
        </w:rPr>
        <w:t>(e)</w:t>
      </w:r>
      <w:r>
        <w:rPr>
          <w:snapToGrid/>
        </w:rPr>
        <w:tab/>
      </w:r>
      <w:r>
        <w:rPr>
          <w:rFonts w:hint="eastAsia"/>
          <w:snapToGrid/>
        </w:rPr>
        <w:t>促进养恤金制度中的保险原则，不再为某些类投保人提供特权；</w:t>
      </w:r>
    </w:p>
    <w:p w:rsidR="00000000" w:rsidRDefault="00000000">
      <w:pPr>
        <w:pStyle w:val="ac"/>
        <w:rPr>
          <w:snapToGrid/>
        </w:rPr>
      </w:pPr>
      <w:r>
        <w:rPr>
          <w:snapToGrid/>
        </w:rPr>
        <w:t>(f)</w:t>
      </w:r>
      <w:r>
        <w:rPr>
          <w:snapToGrid/>
        </w:rPr>
        <w:tab/>
      </w:r>
      <w:r>
        <w:rPr>
          <w:rFonts w:hint="eastAsia"/>
          <w:snapToGrid/>
        </w:rPr>
        <w:t>对于在某段时期内未参与养恤金制度的人来说，由国家预算支付其养恤金。因此，支付退伍军人及参与切尔诺贝利事故清理行动的人的养恤金或部分养恤金的开支，以及增加额和其他支付额，包括社会养恤金在内，均应由国家预算承担；</w:t>
      </w:r>
    </w:p>
    <w:p w:rsidR="00000000" w:rsidRDefault="00000000">
      <w:pPr>
        <w:pStyle w:val="ac"/>
        <w:rPr>
          <w:snapToGrid/>
        </w:rPr>
      </w:pPr>
      <w:r>
        <w:rPr>
          <w:snapToGrid/>
        </w:rPr>
        <w:t>(g)</w:t>
      </w:r>
      <w:r>
        <w:rPr>
          <w:snapToGrid/>
        </w:rPr>
        <w:tab/>
      </w:r>
      <w:r>
        <w:rPr>
          <w:rFonts w:hint="eastAsia"/>
          <w:snapToGrid/>
        </w:rPr>
        <w:t>在过渡时期，男女的退休年龄都将每年增加</w:t>
      </w:r>
      <w:r>
        <w:rPr>
          <w:rFonts w:hint="eastAsia"/>
          <w:snapToGrid/>
        </w:rPr>
        <w:t>6</w:t>
      </w:r>
      <w:r>
        <w:rPr>
          <w:rFonts w:hint="eastAsia"/>
          <w:snapToGrid/>
        </w:rPr>
        <w:t>个月，最后男性退休年龄将增至</w:t>
      </w:r>
      <w:r>
        <w:rPr>
          <w:rFonts w:hint="eastAsia"/>
          <w:snapToGrid/>
        </w:rPr>
        <w:t>65</w:t>
      </w:r>
      <w:r>
        <w:rPr>
          <w:rFonts w:hint="eastAsia"/>
          <w:snapToGrid/>
        </w:rPr>
        <w:t>岁，女性将增至</w:t>
      </w:r>
      <w:r>
        <w:rPr>
          <w:rFonts w:hint="eastAsia"/>
          <w:snapToGrid/>
        </w:rPr>
        <w:t>60</w:t>
      </w:r>
      <w:r>
        <w:rPr>
          <w:rFonts w:hint="eastAsia"/>
          <w:snapToGrid/>
        </w:rPr>
        <w:t>岁；</w:t>
      </w:r>
    </w:p>
    <w:p w:rsidR="00000000" w:rsidRDefault="00000000">
      <w:pPr>
        <w:pStyle w:val="ac"/>
        <w:rPr>
          <w:snapToGrid/>
        </w:rPr>
      </w:pPr>
      <w:r>
        <w:rPr>
          <w:snapToGrid/>
        </w:rPr>
        <w:t>(h)</w:t>
      </w:r>
      <w:r>
        <w:rPr>
          <w:snapToGrid/>
        </w:rPr>
        <w:tab/>
      </w:r>
      <w:r>
        <w:rPr>
          <w:rFonts w:hint="eastAsia"/>
          <w:snapToGrid/>
        </w:rPr>
        <w:t>为获得全额退休金，男女的服务期限均须达到</w:t>
      </w:r>
      <w:r>
        <w:rPr>
          <w:rFonts w:hint="eastAsia"/>
          <w:snapToGrid/>
        </w:rPr>
        <w:t>35</w:t>
      </w:r>
      <w:r>
        <w:rPr>
          <w:rFonts w:hint="eastAsia"/>
          <w:snapToGrid/>
        </w:rPr>
        <w:t>年。在过渡时期，服务期限中将包括一个人未受到社会保险的时期；</w:t>
      </w:r>
    </w:p>
    <w:p w:rsidR="00000000" w:rsidRDefault="00000000">
      <w:pPr>
        <w:pStyle w:val="ac"/>
        <w:rPr>
          <w:snapToGrid/>
        </w:rPr>
      </w:pPr>
      <w:r>
        <w:rPr>
          <w:snapToGrid/>
        </w:rPr>
        <w:t>(i)</w:t>
      </w:r>
      <w:r>
        <w:rPr>
          <w:snapToGrid/>
        </w:rPr>
        <w:tab/>
      </w:r>
      <w:r>
        <w:rPr>
          <w:rFonts w:hint="eastAsia"/>
          <w:snapToGrid/>
        </w:rPr>
        <w:t>必须使计算养恤金时赖以为基础的工资切合实际情况，也就是说必须确定每个养恤金领取人的个人系数；</w:t>
      </w:r>
    </w:p>
    <w:p w:rsidR="00000000" w:rsidRDefault="00000000">
      <w:pPr>
        <w:pStyle w:val="ac"/>
        <w:rPr>
          <w:snapToGrid/>
        </w:rPr>
      </w:pPr>
      <w:r>
        <w:rPr>
          <w:snapToGrid/>
        </w:rPr>
        <w:t>(j)</w:t>
      </w:r>
      <w:r>
        <w:rPr>
          <w:snapToGrid/>
        </w:rPr>
        <w:tab/>
      </w:r>
      <w:r>
        <w:rPr>
          <w:rFonts w:hint="eastAsia"/>
          <w:snapToGrid/>
        </w:rPr>
        <w:t>在今后十年中，投保的服务期限中将包括接受高等教育但不缴款的时期；</w:t>
      </w:r>
    </w:p>
    <w:p w:rsidR="00000000" w:rsidRDefault="00000000">
      <w:pPr>
        <w:pStyle w:val="ac"/>
        <w:rPr>
          <w:snapToGrid/>
        </w:rPr>
      </w:pPr>
      <w:r>
        <w:rPr>
          <w:snapToGrid/>
        </w:rPr>
        <w:t>(k)</w:t>
      </w:r>
      <w:r>
        <w:rPr>
          <w:snapToGrid/>
        </w:rPr>
        <w:tab/>
      </w:r>
      <w:r>
        <w:rPr>
          <w:rFonts w:hint="eastAsia"/>
          <w:snapToGrid/>
        </w:rPr>
        <w:t>使服务期限增加一倍或两倍的时期将不被包括在内。对飞行员的服务期限将采取单独的计算办法；</w:t>
      </w:r>
    </w:p>
    <w:p w:rsidR="00000000" w:rsidRDefault="00000000">
      <w:pPr>
        <w:pStyle w:val="ac"/>
        <w:rPr>
          <w:rFonts w:hint="eastAsia"/>
          <w:snapToGrid/>
        </w:rPr>
      </w:pPr>
      <w:r>
        <w:rPr>
          <w:snapToGrid/>
        </w:rPr>
        <w:t>(l)</w:t>
      </w:r>
      <w:r>
        <w:rPr>
          <w:snapToGrid/>
        </w:rPr>
        <w:tab/>
      </w:r>
      <w:r>
        <w:rPr>
          <w:rFonts w:hint="eastAsia"/>
          <w:snapToGrid/>
        </w:rPr>
        <w:t>为取消享受优惠条件的权利，建议缩减列有特权职业和职位的清单。这些措施既公平又合理，因为要满足养恤金优惠条件方面的支出，所有参与养恤金制度的人必须缴纳更多的款额。这不利于那些由于健康问题而不能继续工作的养恤金领取者。他们的养恤金由于具有优惠条件的养恤金方面的不必要开支而不断减少。而且，利用养恤金基金来解决在有害和困难条件下工作的人的社会问题是不正当的。必须通过改善他们的工作条件和增加他们的工资来确保为他们提供社会保护。具有优惠条件的养恤金问题须通过建立其他养恤金制度来解决。</w:t>
      </w:r>
    </w:p>
    <w:p w:rsidR="00000000" w:rsidRDefault="00000000">
      <w:pPr>
        <w:rPr>
          <w:rFonts w:hint="eastAsia"/>
          <w:snapToGrid/>
        </w:rPr>
      </w:pPr>
      <w:r>
        <w:rPr>
          <w:snapToGrid/>
        </w:rPr>
        <w:tab/>
      </w:r>
      <w:r>
        <w:rPr>
          <w:rFonts w:hint="eastAsia"/>
          <w:snapToGrid/>
        </w:rPr>
        <w:t>301.</w:t>
      </w:r>
      <w:r>
        <w:rPr>
          <w:snapToGrid/>
        </w:rPr>
        <w:t xml:space="preserve">  </w:t>
      </w:r>
      <w:r>
        <w:rPr>
          <w:rFonts w:hint="eastAsia"/>
          <w:snapToGrid/>
        </w:rPr>
        <w:t>立即过渡到新的养恤金制度是不可能的。法律可以取消具有优惠条件的养恤金，但首先必须建立一个规范的基础和一项职业基金。在过渡期间，将只向在有害和困难条件下工作的人，以及有</w:t>
      </w:r>
      <w:r>
        <w:rPr>
          <w:rFonts w:hint="eastAsia"/>
          <w:snapToGrid/>
        </w:rPr>
        <w:t>5</w:t>
      </w:r>
      <w:r>
        <w:rPr>
          <w:rFonts w:hint="eastAsia"/>
          <w:snapToGrid/>
        </w:rPr>
        <w:t>个或更多子女的母亲拨发具有优惠条件的养恤金。享受这种养恤金所必须的年龄将逐步增加，直到达到领取养恤金的标准年龄。该法也适用于有</w:t>
      </w:r>
      <w:r>
        <w:rPr>
          <w:rFonts w:hint="eastAsia"/>
          <w:snapToGrid/>
        </w:rPr>
        <w:t>5</w:t>
      </w:r>
      <w:r>
        <w:rPr>
          <w:rFonts w:hint="eastAsia"/>
          <w:snapToGrid/>
        </w:rPr>
        <w:t>个或更多子女的母亲。此外，在计算有害和困难工作条件中的资历时，只考虑新法律落实前的累积服务期限。</w:t>
      </w:r>
    </w:p>
    <w:p w:rsidR="00000000" w:rsidRDefault="00000000">
      <w:pPr>
        <w:rPr>
          <w:rFonts w:hint="eastAsia"/>
          <w:snapToGrid/>
        </w:rPr>
      </w:pPr>
      <w:r>
        <w:rPr>
          <w:snapToGrid/>
        </w:rPr>
        <w:tab/>
      </w:r>
      <w:r>
        <w:rPr>
          <w:rFonts w:hint="eastAsia"/>
          <w:snapToGrid/>
        </w:rPr>
        <w:t>302.</w:t>
      </w:r>
      <w:r>
        <w:rPr>
          <w:snapToGrid/>
        </w:rPr>
        <w:t xml:space="preserve">  </w:t>
      </w:r>
      <w:r>
        <w:rPr>
          <w:rFonts w:hint="eastAsia"/>
          <w:snapToGrid/>
        </w:rPr>
        <w:t>在过渡时期，应对收入有保证者的养恤金进行限制，并应额外建立一种私人养恤金制度。在发达国家，私人养恤金制度与公共养恤金制度并存，私人养恤金制度旨在维持一种与工作最后几年的福利情况相当的水平。建立私人养恤金制度的理由如下：</w:t>
      </w:r>
    </w:p>
    <w:p w:rsidR="00000000" w:rsidRDefault="00000000">
      <w:pPr>
        <w:numPr>
          <w:ilvl w:val="0"/>
          <w:numId w:val="458"/>
        </w:numPr>
        <w:rPr>
          <w:snapToGrid/>
        </w:rPr>
      </w:pPr>
      <w:r>
        <w:rPr>
          <w:rFonts w:hint="eastAsia"/>
          <w:snapToGrid/>
        </w:rPr>
        <w:t>市场关系使公民们对其自身的福利和社会保险负有责任，因此，每个人都对自己在老龄或早期丧失工作能力情况中的社会保障问题承担有责任；</w:t>
      </w:r>
    </w:p>
    <w:p w:rsidR="00000000" w:rsidRDefault="00000000">
      <w:pPr>
        <w:numPr>
          <w:ilvl w:val="0"/>
          <w:numId w:val="458"/>
        </w:numPr>
        <w:rPr>
          <w:rFonts w:hint="eastAsia"/>
          <w:snapToGrid/>
        </w:rPr>
      </w:pPr>
      <w:r>
        <w:rPr>
          <w:rFonts w:hint="eastAsia"/>
          <w:snapToGrid/>
        </w:rPr>
        <w:t>任何国家，即使是富裕国家向其公民提供的社会保险也不可能与他们停止工作前的生活水平完全相等。然而，国家应为建立私人养恤金制度确定一种法律程序并保证这种制度能安全运作。</w:t>
      </w:r>
    </w:p>
    <w:p w:rsidR="00000000" w:rsidRDefault="00000000">
      <w:pPr>
        <w:spacing w:after="320"/>
        <w:rPr>
          <w:snapToGrid/>
        </w:rPr>
      </w:pPr>
      <w:r>
        <w:rPr>
          <w:snapToGrid/>
        </w:rPr>
        <w:tab/>
      </w:r>
      <w:r>
        <w:rPr>
          <w:rFonts w:hint="eastAsia"/>
          <w:snapToGrid/>
        </w:rPr>
        <w:t>303.</w:t>
      </w:r>
      <w:r>
        <w:rPr>
          <w:snapToGrid/>
        </w:rPr>
        <w:t xml:space="preserve">  </w:t>
      </w:r>
      <w:r>
        <w:rPr>
          <w:rFonts w:hint="eastAsia"/>
          <w:snapToGrid/>
        </w:rPr>
        <w:t>对社会保险制度的其他成分，如为孕产、暂时残疾、工伤事故和职业疾病等提供的社会保险，应进行改革，从而为发展一种新的养恤金制度奠定基础。</w:t>
      </w:r>
    </w:p>
    <w:p w:rsidR="00000000" w:rsidRDefault="00000000">
      <w:pPr>
        <w:pStyle w:val="Heading4"/>
        <w:rPr>
          <w:rFonts w:hint="eastAsia"/>
        </w:rPr>
      </w:pPr>
      <w:r>
        <w:rPr>
          <w:rFonts w:hint="eastAsia"/>
        </w:rPr>
        <w:t>养恤金制度改革方面的基本行动</w:t>
      </w:r>
    </w:p>
    <w:p w:rsidR="00000000" w:rsidRDefault="00000000">
      <w:pPr>
        <w:rPr>
          <w:rFonts w:hint="eastAsia"/>
          <w:snapToGrid/>
        </w:rPr>
      </w:pPr>
      <w:r>
        <w:rPr>
          <w:rFonts w:hint="eastAsia"/>
          <w:snapToGrid/>
        </w:rPr>
        <w:tab/>
        <w:t>304.  1998</w:t>
      </w:r>
      <w:r>
        <w:rPr>
          <w:rFonts w:hint="eastAsia"/>
          <w:snapToGrid/>
        </w:rPr>
        <w:t>年采取了下列行动：</w:t>
      </w:r>
    </w:p>
    <w:p w:rsidR="00000000" w:rsidRDefault="00000000">
      <w:pPr>
        <w:numPr>
          <w:ilvl w:val="0"/>
          <w:numId w:val="463"/>
        </w:numPr>
        <w:ind w:left="1531"/>
        <w:rPr>
          <w:rFonts w:hint="eastAsia"/>
          <w:snapToGrid/>
        </w:rPr>
      </w:pPr>
      <w:r>
        <w:rPr>
          <w:rFonts w:hint="eastAsia"/>
          <w:snapToGrid/>
        </w:rPr>
        <w:t>防止进一步形成养恤金债务；冻结养恤金款额；将部分补偿付款转入国家预算；弥补国家预算出现的经常赤字等；</w:t>
      </w:r>
    </w:p>
    <w:p w:rsidR="00000000" w:rsidRDefault="00000000">
      <w:pPr>
        <w:numPr>
          <w:ilvl w:val="0"/>
          <w:numId w:val="463"/>
        </w:numPr>
        <w:ind w:left="1531"/>
        <w:rPr>
          <w:rFonts w:hint="eastAsia"/>
          <w:snapToGrid/>
        </w:rPr>
      </w:pPr>
      <w:r>
        <w:rPr>
          <w:rFonts w:hint="eastAsia"/>
          <w:snapToGrid/>
        </w:rPr>
        <w:t>改善社会保险缴款的收缴机制；加大对经济行为主体逃避缴款行为的惩罚力度；</w:t>
      </w:r>
    </w:p>
    <w:p w:rsidR="00000000" w:rsidRDefault="00000000">
      <w:pPr>
        <w:numPr>
          <w:ilvl w:val="0"/>
          <w:numId w:val="463"/>
        </w:numPr>
        <w:ind w:left="1531"/>
        <w:rPr>
          <w:rFonts w:hint="eastAsia"/>
          <w:snapToGrid/>
        </w:rPr>
      </w:pPr>
      <w:r>
        <w:rPr>
          <w:rFonts w:hint="eastAsia"/>
          <w:snapToGrid/>
        </w:rPr>
        <w:t>拟订最低限度的一揽子政府规范性文书，以期加速改革进程：</w:t>
      </w:r>
    </w:p>
    <w:p w:rsidR="00000000" w:rsidRDefault="00000000">
      <w:pPr>
        <w:numPr>
          <w:ilvl w:val="2"/>
          <w:numId w:val="504"/>
        </w:numPr>
        <w:ind w:left="2051"/>
        <w:rPr>
          <w:rFonts w:hint="eastAsia"/>
          <w:snapToGrid/>
        </w:rPr>
      </w:pPr>
      <w:r>
        <w:rPr>
          <w:rFonts w:hint="eastAsia"/>
          <w:snapToGrid/>
        </w:rPr>
        <w:t>养恤金制度法案，将提出一项适用未来养恤金领取者的方案和向新的养恤金制度过渡的方案；</w:t>
      </w:r>
    </w:p>
    <w:p w:rsidR="00000000" w:rsidRDefault="00000000">
      <w:pPr>
        <w:numPr>
          <w:ilvl w:val="2"/>
          <w:numId w:val="504"/>
        </w:numPr>
        <w:ind w:left="2051"/>
        <w:rPr>
          <w:rFonts w:hint="eastAsia"/>
          <w:snapToGrid/>
        </w:rPr>
      </w:pPr>
      <w:r>
        <w:rPr>
          <w:rFonts w:hint="eastAsia"/>
          <w:snapToGrid/>
        </w:rPr>
        <w:t>提供个人社会保险缴款支付证据的法律依据；</w:t>
      </w:r>
    </w:p>
    <w:p w:rsidR="00000000" w:rsidRDefault="00000000">
      <w:pPr>
        <w:numPr>
          <w:ilvl w:val="2"/>
          <w:numId w:val="504"/>
        </w:numPr>
        <w:ind w:left="2051"/>
        <w:rPr>
          <w:rFonts w:hint="eastAsia"/>
          <w:snapToGrid/>
        </w:rPr>
      </w:pPr>
      <w:r>
        <w:rPr>
          <w:rFonts w:hint="eastAsia"/>
          <w:snapToGrid/>
        </w:rPr>
        <w:t>国家社会保险法案；</w:t>
      </w:r>
    </w:p>
    <w:p w:rsidR="00000000" w:rsidRDefault="00000000">
      <w:pPr>
        <w:numPr>
          <w:ilvl w:val="2"/>
          <w:numId w:val="504"/>
        </w:numPr>
        <w:ind w:left="2051"/>
        <w:rPr>
          <w:rFonts w:hint="eastAsia"/>
          <w:snapToGrid/>
        </w:rPr>
      </w:pPr>
      <w:r>
        <w:rPr>
          <w:rFonts w:hint="eastAsia"/>
          <w:snapToGrid/>
        </w:rPr>
        <w:t>民间养恤金基金法案，保障储户存款安全，并对国家基金活动予以适当管制；</w:t>
      </w:r>
    </w:p>
    <w:p w:rsidR="00000000" w:rsidRDefault="00000000">
      <w:pPr>
        <w:numPr>
          <w:ilvl w:val="0"/>
          <w:numId w:val="463"/>
        </w:numPr>
        <w:ind w:left="1531"/>
        <w:rPr>
          <w:rFonts w:hint="eastAsia"/>
          <w:snapToGrid/>
        </w:rPr>
      </w:pPr>
      <w:r>
        <w:rPr>
          <w:rFonts w:hint="eastAsia"/>
          <w:snapToGrid/>
        </w:rPr>
        <w:t>拟订基于具体人口预测和采用新公式计算退休年龄的新养恤金制度；</w:t>
      </w:r>
    </w:p>
    <w:p w:rsidR="00000000" w:rsidRDefault="00000000">
      <w:pPr>
        <w:numPr>
          <w:ilvl w:val="0"/>
          <w:numId w:val="463"/>
        </w:numPr>
        <w:ind w:left="1531"/>
        <w:rPr>
          <w:rFonts w:hint="eastAsia"/>
          <w:snapToGrid/>
        </w:rPr>
      </w:pPr>
      <w:r>
        <w:rPr>
          <w:rFonts w:hint="eastAsia"/>
          <w:snapToGrid/>
        </w:rPr>
        <w:tab/>
      </w:r>
      <w:r>
        <w:rPr>
          <w:rFonts w:hint="eastAsia"/>
          <w:snapToGrid/>
        </w:rPr>
        <w:t>拟订一项养恤金制度行政管理结构改革计划；</w:t>
      </w:r>
    </w:p>
    <w:p w:rsidR="00000000" w:rsidRDefault="00000000">
      <w:pPr>
        <w:numPr>
          <w:ilvl w:val="0"/>
          <w:numId w:val="463"/>
        </w:numPr>
        <w:ind w:left="1531"/>
        <w:rPr>
          <w:rFonts w:hint="eastAsia"/>
          <w:snapToGrid/>
        </w:rPr>
      </w:pPr>
      <w:r>
        <w:rPr>
          <w:rFonts w:hint="eastAsia"/>
          <w:snapToGrid/>
        </w:rPr>
        <w:tab/>
      </w:r>
      <w:r>
        <w:rPr>
          <w:rFonts w:hint="eastAsia"/>
          <w:snapToGrid/>
        </w:rPr>
        <w:t>制定规范性文书，以规定公民因母性、暂时残疾、工伤事故和职业病享有社会保险权利。</w:t>
      </w:r>
    </w:p>
    <w:p w:rsidR="00000000" w:rsidRDefault="00000000">
      <w:pPr>
        <w:rPr>
          <w:rFonts w:hint="eastAsia"/>
          <w:snapToGrid/>
        </w:rPr>
      </w:pPr>
      <w:r>
        <w:rPr>
          <w:rFonts w:hint="eastAsia"/>
          <w:snapToGrid/>
        </w:rPr>
        <w:tab/>
        <w:t>305.  1999</w:t>
      </w:r>
      <w:r>
        <w:rPr>
          <w:rFonts w:hint="eastAsia"/>
          <w:snapToGrid/>
        </w:rPr>
        <w:t>年采取了下列行动：</w:t>
      </w:r>
    </w:p>
    <w:p w:rsidR="00000000" w:rsidRDefault="00000000">
      <w:pPr>
        <w:numPr>
          <w:ilvl w:val="0"/>
          <w:numId w:val="505"/>
        </w:numPr>
        <w:ind w:left="1531"/>
        <w:rPr>
          <w:rFonts w:hint="eastAsia"/>
          <w:snapToGrid/>
        </w:rPr>
      </w:pPr>
      <w:r>
        <w:rPr>
          <w:rFonts w:hint="eastAsia"/>
          <w:snapToGrid/>
        </w:rPr>
        <w:t>实行国家社会保险养恤金法；</w:t>
      </w:r>
    </w:p>
    <w:p w:rsidR="00000000" w:rsidRDefault="00000000">
      <w:pPr>
        <w:numPr>
          <w:ilvl w:val="0"/>
          <w:numId w:val="505"/>
        </w:numPr>
        <w:ind w:left="1531"/>
        <w:rPr>
          <w:rFonts w:hint="eastAsia"/>
          <w:snapToGrid/>
        </w:rPr>
      </w:pPr>
      <w:r>
        <w:rPr>
          <w:rFonts w:hint="eastAsia"/>
          <w:snapToGrid/>
        </w:rPr>
        <w:t>颁布制定改革进一步措施的法律和规范性文书；</w:t>
      </w:r>
    </w:p>
    <w:p w:rsidR="00000000" w:rsidRDefault="00000000">
      <w:pPr>
        <w:numPr>
          <w:ilvl w:val="0"/>
          <w:numId w:val="505"/>
        </w:numPr>
        <w:ind w:left="1531"/>
        <w:rPr>
          <w:rFonts w:hint="eastAsia"/>
          <w:snapToGrid/>
        </w:rPr>
      </w:pPr>
      <w:r>
        <w:rPr>
          <w:rFonts w:hint="eastAsia"/>
          <w:snapToGrid/>
        </w:rPr>
        <w:t>逐步改组行政部门；</w:t>
      </w:r>
    </w:p>
    <w:p w:rsidR="00000000" w:rsidRDefault="00000000">
      <w:pPr>
        <w:numPr>
          <w:ilvl w:val="0"/>
          <w:numId w:val="505"/>
        </w:numPr>
        <w:ind w:left="1531"/>
        <w:rPr>
          <w:rFonts w:hint="eastAsia"/>
          <w:snapToGrid/>
        </w:rPr>
      </w:pPr>
      <w:r>
        <w:rPr>
          <w:rFonts w:hint="eastAsia"/>
          <w:snapToGrid/>
        </w:rPr>
        <w:t>分阶段实施养恤金基金个人缴款证据制度。</w:t>
      </w:r>
    </w:p>
    <w:p w:rsidR="00000000" w:rsidRDefault="00000000">
      <w:pPr>
        <w:rPr>
          <w:rFonts w:hint="eastAsia"/>
          <w:snapToGrid/>
        </w:rPr>
      </w:pPr>
      <w:r>
        <w:rPr>
          <w:rFonts w:hint="eastAsia"/>
          <w:snapToGrid/>
        </w:rPr>
        <w:tab/>
        <w:t>306.  2000</w:t>
      </w:r>
      <w:r>
        <w:rPr>
          <w:snapToGrid/>
        </w:rPr>
        <w:t>-</w:t>
      </w:r>
      <w:r>
        <w:rPr>
          <w:rFonts w:hint="eastAsia"/>
          <w:snapToGrid/>
        </w:rPr>
        <w:t>2005</w:t>
      </w:r>
      <w:r>
        <w:rPr>
          <w:rFonts w:hint="eastAsia"/>
          <w:snapToGrid/>
        </w:rPr>
        <w:t>年期间采取的行动将完成对养恤金制度的改革。完成养恤金制度改革所必要的规范性文书如下：</w:t>
      </w:r>
    </w:p>
    <w:p w:rsidR="00000000" w:rsidRDefault="00000000">
      <w:pPr>
        <w:numPr>
          <w:ilvl w:val="0"/>
          <w:numId w:val="506"/>
        </w:numPr>
        <w:ind w:left="1531"/>
        <w:rPr>
          <w:rFonts w:hint="eastAsia"/>
          <w:snapToGrid/>
        </w:rPr>
      </w:pPr>
      <w:r>
        <w:rPr>
          <w:rFonts w:hint="eastAsia"/>
          <w:snapToGrid/>
        </w:rPr>
        <w:t>国家社会保险养恤金法</w:t>
      </w:r>
      <w:r>
        <w:rPr>
          <w:rFonts w:hint="eastAsia"/>
          <w:snapToGrid/>
        </w:rPr>
        <w:t>(</w:t>
      </w:r>
      <w:r>
        <w:rPr>
          <w:rFonts w:hint="eastAsia"/>
          <w:snapToGrid/>
        </w:rPr>
        <w:t>第</w:t>
      </w:r>
      <w:r>
        <w:rPr>
          <w:rFonts w:hint="eastAsia"/>
          <w:snapToGrid/>
        </w:rPr>
        <w:t>156-XIV</w:t>
      </w:r>
      <w:r>
        <w:rPr>
          <w:rFonts w:hint="eastAsia"/>
          <w:snapToGrid/>
        </w:rPr>
        <w:t>号决定，</w:t>
      </w:r>
      <w:r>
        <w:rPr>
          <w:rFonts w:hint="eastAsia"/>
          <w:snapToGrid/>
        </w:rPr>
        <w:t>1999</w:t>
      </w:r>
      <w:r>
        <w:rPr>
          <w:rFonts w:hint="eastAsia"/>
          <w:snapToGrid/>
        </w:rPr>
        <w:t>年</w:t>
      </w:r>
      <w:r>
        <w:rPr>
          <w:rFonts w:hint="eastAsia"/>
          <w:snapToGrid/>
        </w:rPr>
        <w:t>10</w:t>
      </w:r>
      <w:r>
        <w:rPr>
          <w:rFonts w:hint="eastAsia"/>
          <w:snapToGrid/>
        </w:rPr>
        <w:t>月</w:t>
      </w:r>
      <w:r>
        <w:rPr>
          <w:rFonts w:hint="eastAsia"/>
          <w:snapToGrid/>
        </w:rPr>
        <w:t>14</w:t>
      </w:r>
      <w:r>
        <w:rPr>
          <w:rFonts w:hint="eastAsia"/>
          <w:snapToGrid/>
        </w:rPr>
        <w:t>日通过</w:t>
      </w:r>
      <w:r>
        <w:rPr>
          <w:rFonts w:hint="eastAsia"/>
          <w:snapToGrid/>
        </w:rPr>
        <w:t>)</w:t>
      </w:r>
      <w:r>
        <w:rPr>
          <w:rFonts w:hint="eastAsia"/>
          <w:snapToGrid/>
        </w:rPr>
        <w:t>；</w:t>
      </w:r>
    </w:p>
    <w:p w:rsidR="00000000" w:rsidRDefault="00000000">
      <w:pPr>
        <w:numPr>
          <w:ilvl w:val="0"/>
          <w:numId w:val="506"/>
        </w:numPr>
        <w:ind w:left="1531"/>
        <w:rPr>
          <w:rFonts w:hint="eastAsia"/>
          <w:snapToGrid/>
        </w:rPr>
      </w:pPr>
      <w:r>
        <w:rPr>
          <w:rFonts w:hint="eastAsia"/>
          <w:snapToGrid/>
        </w:rPr>
        <w:t>公共社会保险制度法</w:t>
      </w:r>
      <w:r>
        <w:rPr>
          <w:rFonts w:hint="eastAsia"/>
          <w:snapToGrid/>
        </w:rPr>
        <w:t>(</w:t>
      </w:r>
      <w:r>
        <w:rPr>
          <w:rFonts w:hint="eastAsia"/>
          <w:snapToGrid/>
        </w:rPr>
        <w:t>第</w:t>
      </w:r>
      <w:r>
        <w:rPr>
          <w:rFonts w:hint="eastAsia"/>
          <w:snapToGrid/>
        </w:rPr>
        <w:t>498-XIV</w:t>
      </w:r>
      <w:r>
        <w:rPr>
          <w:rFonts w:hint="eastAsia"/>
          <w:snapToGrid/>
        </w:rPr>
        <w:t>号决定，</w:t>
      </w:r>
      <w:r>
        <w:rPr>
          <w:rFonts w:hint="eastAsia"/>
          <w:snapToGrid/>
        </w:rPr>
        <w:t>1999</w:t>
      </w:r>
      <w:r>
        <w:rPr>
          <w:rFonts w:hint="eastAsia"/>
          <w:snapToGrid/>
        </w:rPr>
        <w:t>年</w:t>
      </w:r>
      <w:r>
        <w:rPr>
          <w:rFonts w:hint="eastAsia"/>
          <w:snapToGrid/>
        </w:rPr>
        <w:t>7</w:t>
      </w:r>
      <w:r>
        <w:rPr>
          <w:rFonts w:hint="eastAsia"/>
          <w:snapToGrid/>
        </w:rPr>
        <w:t>月</w:t>
      </w:r>
      <w:r>
        <w:rPr>
          <w:rFonts w:hint="eastAsia"/>
          <w:snapToGrid/>
        </w:rPr>
        <w:t>8</w:t>
      </w:r>
      <w:r>
        <w:rPr>
          <w:rFonts w:hint="eastAsia"/>
          <w:snapToGrid/>
        </w:rPr>
        <w:t>日通过</w:t>
      </w:r>
      <w:r>
        <w:rPr>
          <w:rFonts w:hint="eastAsia"/>
          <w:snapToGrid/>
        </w:rPr>
        <w:t>)</w:t>
      </w:r>
      <w:r>
        <w:rPr>
          <w:rFonts w:hint="eastAsia"/>
          <w:snapToGrid/>
        </w:rPr>
        <w:t>；</w:t>
      </w:r>
    </w:p>
    <w:p w:rsidR="00000000" w:rsidRDefault="00000000">
      <w:pPr>
        <w:numPr>
          <w:ilvl w:val="0"/>
          <w:numId w:val="506"/>
        </w:numPr>
        <w:ind w:left="1531"/>
        <w:rPr>
          <w:rFonts w:hint="eastAsia"/>
          <w:snapToGrid/>
        </w:rPr>
      </w:pPr>
      <w:r>
        <w:rPr>
          <w:rFonts w:hint="eastAsia"/>
          <w:snapToGrid/>
        </w:rPr>
        <w:t>民间社会保险养恤金法；</w:t>
      </w:r>
    </w:p>
    <w:p w:rsidR="00000000" w:rsidRDefault="00000000">
      <w:pPr>
        <w:numPr>
          <w:ilvl w:val="0"/>
          <w:numId w:val="506"/>
        </w:numPr>
        <w:ind w:left="1531"/>
        <w:rPr>
          <w:rFonts w:hint="eastAsia"/>
          <w:snapToGrid/>
        </w:rPr>
      </w:pPr>
      <w:r>
        <w:rPr>
          <w:rFonts w:hint="eastAsia"/>
          <w:snapToGrid/>
        </w:rPr>
        <w:t>强制性职业养恤金制度法；</w:t>
      </w:r>
    </w:p>
    <w:p w:rsidR="00000000" w:rsidRDefault="00000000">
      <w:pPr>
        <w:numPr>
          <w:ilvl w:val="0"/>
          <w:numId w:val="506"/>
        </w:numPr>
        <w:ind w:left="1531"/>
        <w:rPr>
          <w:rFonts w:hint="eastAsia"/>
          <w:snapToGrid/>
        </w:rPr>
      </w:pPr>
      <w:r>
        <w:rPr>
          <w:rFonts w:hint="eastAsia"/>
          <w:snapToGrid/>
        </w:rPr>
        <w:t>国家社会保险年度预算法；</w:t>
      </w:r>
    </w:p>
    <w:p w:rsidR="00000000" w:rsidRDefault="00000000">
      <w:pPr>
        <w:numPr>
          <w:ilvl w:val="0"/>
          <w:numId w:val="506"/>
        </w:numPr>
        <w:ind w:left="1531"/>
        <w:rPr>
          <w:rFonts w:hint="eastAsia"/>
          <w:snapToGrid/>
        </w:rPr>
      </w:pPr>
      <w:r>
        <w:rPr>
          <w:rFonts w:hint="eastAsia"/>
          <w:snapToGrid/>
        </w:rPr>
        <w:t>工伤事故和职业病强制性社会保险法；</w:t>
      </w:r>
    </w:p>
    <w:p w:rsidR="00000000" w:rsidRDefault="00000000">
      <w:pPr>
        <w:numPr>
          <w:ilvl w:val="0"/>
          <w:numId w:val="506"/>
        </w:numPr>
        <w:ind w:left="1531"/>
        <w:rPr>
          <w:rFonts w:hint="eastAsia"/>
          <w:snapToGrid/>
        </w:rPr>
      </w:pPr>
      <w:r>
        <w:rPr>
          <w:rFonts w:hint="eastAsia"/>
          <w:snapToGrid/>
        </w:rPr>
        <w:t>养恤金基金法；</w:t>
      </w:r>
    </w:p>
    <w:p w:rsidR="00000000" w:rsidRDefault="00000000">
      <w:pPr>
        <w:numPr>
          <w:ilvl w:val="0"/>
          <w:numId w:val="506"/>
        </w:numPr>
        <w:ind w:left="1531"/>
        <w:rPr>
          <w:rFonts w:hint="eastAsia"/>
          <w:snapToGrid/>
        </w:rPr>
      </w:pPr>
      <w:r>
        <w:rPr>
          <w:rFonts w:hint="eastAsia"/>
          <w:snapToGrid/>
        </w:rPr>
        <w:t>强制性失业社会保险法；</w:t>
      </w:r>
    </w:p>
    <w:p w:rsidR="00000000" w:rsidRDefault="00000000">
      <w:pPr>
        <w:numPr>
          <w:ilvl w:val="0"/>
          <w:numId w:val="506"/>
        </w:numPr>
        <w:ind w:left="1531"/>
        <w:rPr>
          <w:rFonts w:hint="eastAsia"/>
          <w:snapToGrid/>
        </w:rPr>
      </w:pPr>
      <w:r>
        <w:rPr>
          <w:rFonts w:hint="eastAsia"/>
          <w:snapToGrid/>
        </w:rPr>
        <w:t>母性和暂时残疾法；</w:t>
      </w:r>
    </w:p>
    <w:p w:rsidR="00000000" w:rsidRDefault="00000000">
      <w:pPr>
        <w:numPr>
          <w:ilvl w:val="0"/>
          <w:numId w:val="506"/>
        </w:numPr>
        <w:ind w:left="1531"/>
        <w:rPr>
          <w:rFonts w:hint="eastAsia"/>
          <w:snapToGrid/>
        </w:rPr>
      </w:pPr>
      <w:r>
        <w:rPr>
          <w:rFonts w:hint="eastAsia"/>
          <w:snapToGrid/>
        </w:rPr>
        <w:t>缴款期计算条例；</w:t>
      </w:r>
    </w:p>
    <w:p w:rsidR="00000000" w:rsidRDefault="00000000">
      <w:pPr>
        <w:numPr>
          <w:ilvl w:val="0"/>
          <w:numId w:val="506"/>
        </w:numPr>
        <w:ind w:left="1531"/>
        <w:rPr>
          <w:rFonts w:hint="eastAsia"/>
          <w:snapToGrid/>
        </w:rPr>
      </w:pPr>
      <w:r>
        <w:rPr>
          <w:rFonts w:hint="eastAsia"/>
          <w:snapToGrid/>
        </w:rPr>
        <w:t>养恤金支付条例；</w:t>
      </w:r>
    </w:p>
    <w:p w:rsidR="00000000" w:rsidRDefault="00000000">
      <w:pPr>
        <w:numPr>
          <w:ilvl w:val="0"/>
          <w:numId w:val="506"/>
        </w:numPr>
        <w:ind w:left="1531"/>
        <w:rPr>
          <w:rFonts w:hint="eastAsia"/>
          <w:snapToGrid/>
        </w:rPr>
      </w:pPr>
      <w:r>
        <w:rPr>
          <w:rFonts w:hint="eastAsia"/>
          <w:snapToGrid/>
        </w:rPr>
        <w:t>养恤金计算条例；</w:t>
      </w:r>
    </w:p>
    <w:p w:rsidR="00000000" w:rsidRDefault="00000000">
      <w:pPr>
        <w:numPr>
          <w:ilvl w:val="0"/>
          <w:numId w:val="506"/>
        </w:numPr>
        <w:ind w:left="1531"/>
        <w:rPr>
          <w:rFonts w:hint="eastAsia"/>
          <w:snapToGrid/>
        </w:rPr>
      </w:pPr>
      <w:r>
        <w:rPr>
          <w:rFonts w:hint="eastAsia"/>
          <w:snapToGrid/>
        </w:rPr>
        <w:t>公共社会保险制度所涉个人证据登记中心条例</w:t>
      </w:r>
      <w:r>
        <w:rPr>
          <w:rFonts w:hint="eastAsia"/>
          <w:snapToGrid/>
        </w:rPr>
        <w:t>(2000</w:t>
      </w:r>
      <w:r>
        <w:rPr>
          <w:rFonts w:hint="eastAsia"/>
          <w:snapToGrid/>
        </w:rPr>
        <w:t>年</w:t>
      </w:r>
      <w:r>
        <w:rPr>
          <w:rFonts w:hint="eastAsia"/>
          <w:snapToGrid/>
        </w:rPr>
        <w:t>5</w:t>
      </w:r>
      <w:r>
        <w:rPr>
          <w:rFonts w:hint="eastAsia"/>
          <w:snapToGrid/>
        </w:rPr>
        <w:t>月</w:t>
      </w:r>
      <w:r>
        <w:rPr>
          <w:rFonts w:hint="eastAsia"/>
          <w:snapToGrid/>
        </w:rPr>
        <w:t>3</w:t>
      </w:r>
      <w:r>
        <w:rPr>
          <w:rFonts w:hint="eastAsia"/>
          <w:snapToGrid/>
        </w:rPr>
        <w:t>日通过第</w:t>
      </w:r>
      <w:r>
        <w:rPr>
          <w:rFonts w:hint="eastAsia"/>
          <w:snapToGrid/>
        </w:rPr>
        <w:t>418</w:t>
      </w:r>
      <w:r>
        <w:rPr>
          <w:rFonts w:hint="eastAsia"/>
          <w:snapToGrid/>
        </w:rPr>
        <w:t>号政府决定颁布</w:t>
      </w:r>
      <w:r>
        <w:rPr>
          <w:rFonts w:hint="eastAsia"/>
          <w:snapToGrid/>
        </w:rPr>
        <w:t>)</w:t>
      </w:r>
      <w:r>
        <w:rPr>
          <w:rFonts w:hint="eastAsia"/>
          <w:snapToGrid/>
        </w:rPr>
        <w:t>；</w:t>
      </w:r>
    </w:p>
    <w:p w:rsidR="00000000" w:rsidRDefault="00000000">
      <w:pPr>
        <w:numPr>
          <w:ilvl w:val="0"/>
          <w:numId w:val="506"/>
        </w:numPr>
        <w:ind w:left="1531"/>
        <w:rPr>
          <w:rFonts w:hint="eastAsia"/>
          <w:snapToGrid/>
        </w:rPr>
      </w:pPr>
      <w:r>
        <w:rPr>
          <w:rFonts w:hint="eastAsia"/>
          <w:snapToGrid/>
        </w:rPr>
        <w:t>关于实施公共社会保险制度所涉个人证据制度的政府决定；</w:t>
      </w:r>
    </w:p>
    <w:p w:rsidR="00000000" w:rsidRDefault="00000000">
      <w:pPr>
        <w:numPr>
          <w:ilvl w:val="0"/>
          <w:numId w:val="506"/>
        </w:numPr>
        <w:ind w:left="1531"/>
        <w:rPr>
          <w:rFonts w:hint="eastAsia"/>
          <w:snapToGrid/>
        </w:rPr>
      </w:pPr>
      <w:r>
        <w:rPr>
          <w:rFonts w:hint="eastAsia"/>
          <w:snapToGrid/>
        </w:rPr>
        <w:t>关于不需缴纳国家社会保险的收入种类的政府决定。</w:t>
      </w:r>
    </w:p>
    <w:p w:rsidR="00000000" w:rsidRDefault="00000000">
      <w:pPr>
        <w:rPr>
          <w:rFonts w:hint="eastAsia"/>
          <w:snapToGrid/>
        </w:rPr>
      </w:pPr>
      <w:r>
        <w:rPr>
          <w:rFonts w:hint="eastAsia"/>
          <w:snapToGrid/>
        </w:rPr>
        <w:tab/>
        <w:t xml:space="preserve">307.  </w:t>
      </w:r>
      <w:r>
        <w:rPr>
          <w:rFonts w:hint="eastAsia"/>
          <w:snapToGrid/>
        </w:rPr>
        <w:t>按照</w:t>
      </w:r>
      <w:r>
        <w:rPr>
          <w:rFonts w:hint="eastAsia"/>
          <w:snapToGrid/>
        </w:rPr>
        <w:t>1991</w:t>
      </w:r>
      <w:r>
        <w:rPr>
          <w:rFonts w:hint="eastAsia"/>
          <w:snapToGrid/>
        </w:rPr>
        <w:t>年</w:t>
      </w:r>
      <w:r>
        <w:rPr>
          <w:rFonts w:hint="eastAsia"/>
          <w:snapToGrid/>
        </w:rPr>
        <w:t>12</w:t>
      </w:r>
      <w:r>
        <w:rPr>
          <w:rFonts w:hint="eastAsia"/>
          <w:snapToGrid/>
        </w:rPr>
        <w:t>月</w:t>
      </w:r>
      <w:r>
        <w:rPr>
          <w:rFonts w:hint="eastAsia"/>
          <w:snapToGrid/>
        </w:rPr>
        <w:t>24</w:t>
      </w:r>
      <w:r>
        <w:rPr>
          <w:rFonts w:hint="eastAsia"/>
          <w:snapToGrid/>
        </w:rPr>
        <w:t>日《第</w:t>
      </w:r>
      <w:r>
        <w:rPr>
          <w:rFonts w:hint="eastAsia"/>
          <w:snapToGrid/>
        </w:rPr>
        <w:t>821-XII</w:t>
      </w:r>
      <w:r>
        <w:rPr>
          <w:rFonts w:hint="eastAsia"/>
          <w:snapToGrid/>
        </w:rPr>
        <w:t>号残疾人社会保护法》，摩尔多瓦共和国的残疾人均享有联合国大会所通过的、并为《摩尔多瓦共和国宪法》和其他法律文书所承认的《残疾人权利宣言》中所规定的各项社会、经济和个人权利与自由。严禁歧视残疾人，并对歧视行为依法予以惩处。</w:t>
      </w:r>
    </w:p>
    <w:p w:rsidR="00000000" w:rsidRDefault="00000000">
      <w:pPr>
        <w:rPr>
          <w:rFonts w:hint="eastAsia"/>
          <w:snapToGrid/>
        </w:rPr>
      </w:pPr>
      <w:r>
        <w:rPr>
          <w:rFonts w:hint="eastAsia"/>
          <w:snapToGrid/>
        </w:rPr>
        <w:tab/>
        <w:t xml:space="preserve">308.  </w:t>
      </w:r>
      <w:r>
        <w:rPr>
          <w:rFonts w:hint="eastAsia"/>
          <w:snapToGrid/>
        </w:rPr>
        <w:t>残疾人是因身体或精神上的缺陷而行动受限的人，他们需要社会给于援助和保护。受限是指完全或部分残疾，或完全或部分丧失照顾自己、谋职、与人交流、控制自己的行为或工作的能力。经国家授权机构确认患有缺陷的人，即为残疾人</w:t>
      </w:r>
      <w:r>
        <w:rPr>
          <w:rFonts w:hint="eastAsia"/>
          <w:snapToGrid/>
        </w:rPr>
        <w:t>(</w:t>
      </w:r>
      <w:r>
        <w:rPr>
          <w:rFonts w:hint="eastAsia"/>
          <w:snapToGrid/>
        </w:rPr>
        <w:t>第</w:t>
      </w:r>
      <w:r>
        <w:rPr>
          <w:rFonts w:hint="eastAsia"/>
          <w:snapToGrid/>
        </w:rPr>
        <w:t>2</w:t>
      </w:r>
      <w:r>
        <w:rPr>
          <w:rFonts w:hint="eastAsia"/>
          <w:snapToGrid/>
        </w:rPr>
        <w:t>条</w:t>
      </w:r>
      <w:r>
        <w:rPr>
          <w:rFonts w:hint="eastAsia"/>
          <w:snapToGrid/>
        </w:rPr>
        <w:t>)</w:t>
      </w:r>
      <w:r>
        <w:rPr>
          <w:rFonts w:hint="eastAsia"/>
          <w:snapToGrid/>
        </w:rPr>
        <w:t>。残疾人社会保护是指，国家应为残疾人创造有利条件以促进其个人发展，使他们能够在与其他公民平等的基础上实现其能力、权利和自由。共和国和地方的社会经济发展方案分别对残疾人社会保护作出了规定，并通过法律文书和决定予以确认。国家规定残疾人享有补充保险，以保护他们的权利和利益</w:t>
      </w:r>
      <w:r>
        <w:rPr>
          <w:rFonts w:hint="eastAsia"/>
          <w:snapToGrid/>
        </w:rPr>
        <w:t>(</w:t>
      </w:r>
      <w:r>
        <w:rPr>
          <w:rFonts w:hint="eastAsia"/>
          <w:snapToGrid/>
        </w:rPr>
        <w:t>第</w:t>
      </w:r>
      <w:r>
        <w:rPr>
          <w:rFonts w:hint="eastAsia"/>
          <w:snapToGrid/>
        </w:rPr>
        <w:t>3)</w:t>
      </w:r>
      <w:r>
        <w:rPr>
          <w:rFonts w:hint="eastAsia"/>
          <w:snapToGrid/>
        </w:rPr>
        <w:t>条。</w:t>
      </w:r>
    </w:p>
    <w:p w:rsidR="00000000" w:rsidRDefault="00000000">
      <w:pPr>
        <w:rPr>
          <w:rFonts w:hint="eastAsia"/>
          <w:snapToGrid/>
        </w:rPr>
      </w:pPr>
      <w:r>
        <w:rPr>
          <w:rFonts w:hint="eastAsia"/>
          <w:snapToGrid/>
        </w:rPr>
        <w:tab/>
        <w:t xml:space="preserve">309.  </w:t>
      </w:r>
      <w:r>
        <w:rPr>
          <w:rFonts w:hint="eastAsia"/>
          <w:snapToGrid/>
        </w:rPr>
        <w:t>按照本法第二章，国家提供必要条件使残疾人可以自由出入社会基础设施。中央行政机关和地方自治机构、产业单位、机构和组织为残疾人</w:t>
      </w:r>
      <w:r>
        <w:rPr>
          <w:rFonts w:hint="eastAsia"/>
          <w:snapToGrid/>
        </w:rPr>
        <w:t>(</w:t>
      </w:r>
      <w:r>
        <w:rPr>
          <w:rFonts w:hint="eastAsia"/>
          <w:snapToGrid/>
        </w:rPr>
        <w:t>包括使用轮椅的人</w:t>
      </w:r>
      <w:r>
        <w:rPr>
          <w:rFonts w:hint="eastAsia"/>
          <w:snapToGrid/>
        </w:rPr>
        <w:t>)</w:t>
      </w:r>
      <w:r>
        <w:rPr>
          <w:rFonts w:hint="eastAsia"/>
          <w:snapToGrid/>
        </w:rPr>
        <w:t>创造条件，方便其出入房屋、建筑物、公共建筑物和工作场所，自由使用公共交通工具和电讯、电信及新闻媒体，熟悉情况和自由行动。设计和建造公共中心和住宅区，拟订项目解决办法，修建和重建设施、住宅区和交通系统，以及拟订交通、电信和新闻手段时，必须考虑到残疾人的出入和使用问题。现有交通、电信和新闻手段以及其他社会基础设施物体必须方便残疾人使用。中央行政机关或地方政府行政机关在有残疾人公共组织代表参与的情况下，就这些条件作出规定。如果所述目标不能以易于使用的方式实现，则企业、机构和组织就必须制定满足残疾人需要的必要措施并予以落实。</w:t>
      </w:r>
    </w:p>
    <w:p w:rsidR="00000000" w:rsidRDefault="00000000">
      <w:pPr>
        <w:rPr>
          <w:rFonts w:hint="eastAsia"/>
          <w:snapToGrid/>
        </w:rPr>
      </w:pPr>
      <w:r>
        <w:rPr>
          <w:rFonts w:hint="eastAsia"/>
          <w:snapToGrid/>
        </w:rPr>
        <w:tab/>
        <w:t>3</w:t>
      </w:r>
      <w:r>
        <w:rPr>
          <w:snapToGrid/>
        </w:rPr>
        <w:t>10.</w:t>
      </w:r>
      <w:r>
        <w:rPr>
          <w:rFonts w:hint="eastAsia"/>
          <w:snapToGrid/>
        </w:rPr>
        <w:t xml:space="preserve">  </w:t>
      </w:r>
      <w:r>
        <w:rPr>
          <w:rFonts w:hint="eastAsia"/>
          <w:snapToGrid/>
        </w:rPr>
        <w:t>残疾人或至少要照顾一位残疾人的家庭，其住房必须配备有个人康复计划所要求的特别设备和手段。残疾人住所在其管辖范围内的地方政府行政机关、企业、机构和组织，应当为他们提供这些设备和手段。私人住房安装的设备须符合地方自治机构和残疾人公共组织代表作出的规定。地方政府行政机关、企业和组织为残疾人提供住房时，要考虑到他们的住所不得远离其工作地点、亲戚和康复设施的需要。为残疾人提供底层住房。如果房屋不在底层，他们也有权调换住所。为残疾人提供的住所必须符合残疾人健康所要求达到的技术卫生标准。</w:t>
      </w:r>
    </w:p>
    <w:p w:rsidR="00000000" w:rsidRDefault="00000000">
      <w:pPr>
        <w:rPr>
          <w:rFonts w:hint="eastAsia"/>
          <w:snapToGrid/>
        </w:rPr>
      </w:pPr>
      <w:r>
        <w:rPr>
          <w:rFonts w:hint="eastAsia"/>
          <w:snapToGrid/>
        </w:rPr>
        <w:tab/>
        <w:t xml:space="preserve">311.  </w:t>
      </w:r>
      <w:r>
        <w:rPr>
          <w:rFonts w:hint="eastAsia"/>
          <w:snapToGrid/>
        </w:rPr>
        <w:t>一等和二等残疾人，以及家中有残疾儿童需要改善居住条件的家庭，可优先获得住房。国家专门为此拨款进行基本投资。残疾人在支付住房租金和服务费方面享有优惠条件。一等和二等盲人残疾人和有运动问题的人，有权在其住所附近修建汽车库。</w:t>
      </w:r>
    </w:p>
    <w:p w:rsidR="00000000" w:rsidRDefault="00000000">
      <w:pPr>
        <w:rPr>
          <w:rFonts w:hint="eastAsia"/>
          <w:snapToGrid/>
        </w:rPr>
      </w:pPr>
      <w:r>
        <w:rPr>
          <w:rFonts w:hint="eastAsia"/>
          <w:snapToGrid/>
        </w:rPr>
        <w:tab/>
        <w:t xml:space="preserve">312.  </w:t>
      </w:r>
      <w:r>
        <w:rPr>
          <w:rFonts w:hint="eastAsia"/>
          <w:snapToGrid/>
        </w:rPr>
        <w:t>地方政府行政机关必须为残疾人出入文化设施和运动场馆提供便利。按照法律规定，这些服务对残疾人免费提供，或给予优惠付款条件。</w:t>
      </w:r>
    </w:p>
    <w:p w:rsidR="00000000" w:rsidRDefault="00000000">
      <w:pPr>
        <w:rPr>
          <w:rFonts w:hint="eastAsia"/>
          <w:snapToGrid/>
        </w:rPr>
      </w:pPr>
      <w:r>
        <w:rPr>
          <w:rFonts w:hint="eastAsia"/>
          <w:snapToGrid/>
        </w:rPr>
        <w:tab/>
        <w:t xml:space="preserve">313.  </w:t>
      </w:r>
      <w:r>
        <w:rPr>
          <w:rFonts w:hint="eastAsia"/>
          <w:snapToGrid/>
        </w:rPr>
        <w:t>企业、机构和组织有权为残疾人划拨专门款项，用于修建体育场馆以及场馆维修，购买社会文化方面的必要设备，提供货物和服务，并购买交通工具。国家向残疾人公共组织及残疾人企业、生产假肢和矫形设备、轮椅和残疾人使用的其他器具的国有企业和合作社提供一切技术物质资源。此外，现行法律还对残疾人的医疗、职业和社会康复作出规定。中央行政机关和地方公共行政机关确定医疗、职业和社会康复系统的组织结构，并对这些系统的稳定与发展作出贡献。所谓系统，实际就是一套旨在恢复残疾人能力的措施，使他们能够照料自己的生活，并进行不同形式的职业活动训练，从而过上正常生活，并确保发挥他们的潜力。</w:t>
      </w:r>
    </w:p>
    <w:p w:rsidR="00000000" w:rsidRDefault="00000000">
      <w:pPr>
        <w:rPr>
          <w:rFonts w:hint="eastAsia"/>
          <w:snapToGrid/>
        </w:rPr>
      </w:pPr>
      <w:r>
        <w:rPr>
          <w:rFonts w:hint="eastAsia"/>
          <w:snapToGrid/>
        </w:rPr>
        <w:tab/>
        <w:t xml:space="preserve">314.  </w:t>
      </w:r>
      <w:r>
        <w:rPr>
          <w:rFonts w:hint="eastAsia"/>
          <w:snapToGrid/>
        </w:rPr>
        <w:t>中央行政机关和地方公共行政机关资助并组织开展科研活动，培训医务人员和专业工作人员，帮助残疾人进行社会康复，并提出预防残疾的措施。</w:t>
      </w:r>
    </w:p>
    <w:p w:rsidR="00000000" w:rsidRDefault="00000000">
      <w:pPr>
        <w:rPr>
          <w:rFonts w:hint="eastAsia"/>
          <w:snapToGrid/>
        </w:rPr>
      </w:pPr>
      <w:r>
        <w:rPr>
          <w:rFonts w:hint="eastAsia"/>
          <w:snapToGrid/>
        </w:rPr>
        <w:tab/>
        <w:t xml:space="preserve">315.  </w:t>
      </w:r>
      <w:r>
        <w:rPr>
          <w:rFonts w:hint="eastAsia"/>
          <w:snapToGrid/>
        </w:rPr>
        <w:t>残疾人按照个人康复计划实现医疗、职业和社会康复，该计划通过由国家和地方政府行政部门以及残疾人公共组织代表实施的一项医疗</w:t>
      </w:r>
      <w:r>
        <w:rPr>
          <w:rFonts w:hint="eastAsia"/>
          <w:snapToGrid/>
        </w:rPr>
        <w:t>-</w:t>
      </w:r>
      <w:r>
        <w:rPr>
          <w:rFonts w:hint="eastAsia"/>
          <w:snapToGrid/>
        </w:rPr>
        <w:t>社会检查</w:t>
      </w:r>
      <w:r>
        <w:rPr>
          <w:rFonts w:hint="eastAsia"/>
          <w:snapToGrid/>
        </w:rPr>
        <w:t>(</w:t>
      </w:r>
      <w:r>
        <w:rPr>
          <w:rFonts w:hint="eastAsia"/>
          <w:snapToGrid/>
        </w:rPr>
        <w:t>检查工作能力的体检</w:t>
      </w:r>
      <w:r>
        <w:rPr>
          <w:rFonts w:hint="eastAsia"/>
          <w:snapToGrid/>
        </w:rPr>
        <w:t>)</w:t>
      </w:r>
      <w:r>
        <w:rPr>
          <w:rFonts w:hint="eastAsia"/>
          <w:snapToGrid/>
        </w:rPr>
        <w:t>予以落实。个人康复计划中就向残疾人建议的具体的康复时间、医疗方法和社会援助形式作出明确规定。个人康复计划是一份强制性文件，由国家机关、企业、机构和组织分别予以实施。残疾人可获得所有医疗机构免费提供的合格的医疗援助。残疾人在综合性医院、保健单位和药店就医购药均享有优先权。</w:t>
      </w:r>
    </w:p>
    <w:p w:rsidR="00000000" w:rsidRDefault="00000000">
      <w:pPr>
        <w:rPr>
          <w:rFonts w:hint="eastAsia"/>
          <w:snapToGrid/>
        </w:rPr>
      </w:pPr>
      <w:r>
        <w:rPr>
          <w:rFonts w:hint="eastAsia"/>
          <w:snapToGrid/>
        </w:rPr>
        <w:tab/>
        <w:t xml:space="preserve">316.  </w:t>
      </w:r>
      <w:r>
        <w:rPr>
          <w:rFonts w:hint="eastAsia"/>
          <w:snapToGrid/>
        </w:rPr>
        <w:t>中央行政机关和地方政府行政部门必须建立多方面与残疾程度相应的康复中心，或在治疗</w:t>
      </w:r>
      <w:r>
        <w:rPr>
          <w:rFonts w:hint="eastAsia"/>
          <w:snapToGrid/>
        </w:rPr>
        <w:t>/</w:t>
      </w:r>
      <w:r>
        <w:rPr>
          <w:rFonts w:hint="eastAsia"/>
          <w:snapToGrid/>
        </w:rPr>
        <w:t>预防机构中设置完整的康复、治疗和恢复科室。为需要长期医疗援助的残疾人建立特别住宅，设有康复服务和社会养恤金事务综合设施、社会服务中心和社会服务办事处。</w:t>
      </w:r>
    </w:p>
    <w:p w:rsidR="00000000" w:rsidRDefault="00000000">
      <w:pPr>
        <w:rPr>
          <w:rFonts w:hint="eastAsia"/>
          <w:snapToGrid/>
        </w:rPr>
      </w:pPr>
      <w:r>
        <w:rPr>
          <w:rFonts w:hint="eastAsia"/>
          <w:snapToGrid/>
        </w:rPr>
        <w:tab/>
        <w:t xml:space="preserve">317.  </w:t>
      </w:r>
      <w:r>
        <w:rPr>
          <w:rFonts w:hint="eastAsia"/>
          <w:snapToGrid/>
        </w:rPr>
        <w:t>在摩尔多瓦共和国境内生活的残疾人，可获得假肢和矫形器具、特别运动工具、助听器和信号器具、个人设备和器具。这些器具免费提供，或给以优惠付款条件。</w:t>
      </w:r>
    </w:p>
    <w:p w:rsidR="00000000" w:rsidRDefault="00000000">
      <w:pPr>
        <w:rPr>
          <w:rFonts w:hint="eastAsia"/>
          <w:snapToGrid/>
        </w:rPr>
      </w:pPr>
      <w:r>
        <w:rPr>
          <w:rFonts w:hint="eastAsia"/>
          <w:snapToGrid/>
        </w:rPr>
        <w:tab/>
        <w:t xml:space="preserve">318.  </w:t>
      </w:r>
      <w:r>
        <w:rPr>
          <w:rFonts w:hint="eastAsia"/>
          <w:snapToGrid/>
        </w:rPr>
        <w:t>残疾人享有在具有一般劳动条件的企业、机构和组织和使用残疾人劳动的机构和部门工作的权利，以及从事个体工作或不为法律所禁止的其他任何工作的权利。不准以残疾为由拒绝雇用或不予提升某人，未经本人同意也不得将其辞退或调换其工作。但以下情况例外，即，根据医疗</w:t>
      </w:r>
      <w:r>
        <w:rPr>
          <w:rFonts w:hint="eastAsia"/>
          <w:snapToGrid/>
        </w:rPr>
        <w:t>-</w:t>
      </w:r>
      <w:r>
        <w:rPr>
          <w:rFonts w:hint="eastAsia"/>
          <w:snapToGrid/>
        </w:rPr>
        <w:t>社会检查所作决定，残疾人的健康状况使其无法履行所承担的义务或对其他人构成危险。不准因某人参加机构内部的医疗、职业或社会康复班而将其解雇，无论他</w:t>
      </w:r>
      <w:r>
        <w:rPr>
          <w:rFonts w:hint="eastAsia"/>
          <w:snapToGrid/>
        </w:rPr>
        <w:t>/</w:t>
      </w:r>
      <w:r>
        <w:rPr>
          <w:rFonts w:hint="eastAsia"/>
          <w:snapToGrid/>
        </w:rPr>
        <w:t>她在这些机构中的资历年限如何。如果雇员因部分失去工作能力而成为残疾人，其雇用条件须根据其所在企业、机构和组织的医疗检查委员会的决定而定。如果雇员不再具备在该企业、机构和组织继续工作的条件，他们可在国家主管服务机构工作。雇主必须向残疾人提出建议。</w:t>
      </w:r>
    </w:p>
    <w:p w:rsidR="00000000" w:rsidRDefault="00000000">
      <w:pPr>
        <w:rPr>
          <w:rFonts w:hint="eastAsia"/>
          <w:snapToGrid/>
        </w:rPr>
      </w:pPr>
      <w:r>
        <w:rPr>
          <w:rFonts w:hint="eastAsia"/>
          <w:snapToGrid/>
        </w:rPr>
        <w:tab/>
        <w:t xml:space="preserve">319.  </w:t>
      </w:r>
      <w:r>
        <w:rPr>
          <w:rFonts w:hint="eastAsia"/>
          <w:snapToGrid/>
        </w:rPr>
        <w:t>地方政府行政部门与残疾人公共组织一道审批职位和职业清单，通过企业、机构和组织保留职位的规则</w:t>
      </w:r>
      <w:r>
        <w:rPr>
          <w:rFonts w:hint="eastAsia"/>
          <w:snapToGrid/>
        </w:rPr>
        <w:t>(</w:t>
      </w:r>
      <w:r>
        <w:rPr>
          <w:rFonts w:hint="eastAsia"/>
          <w:snapToGrid/>
        </w:rPr>
        <w:t>占职工总人数的</w:t>
      </w:r>
      <w:r>
        <w:rPr>
          <w:rFonts w:hint="eastAsia"/>
          <w:snapToGrid/>
        </w:rPr>
        <w:t>5%)</w:t>
      </w:r>
      <w:r>
        <w:rPr>
          <w:rFonts w:hint="eastAsia"/>
          <w:snapToGrid/>
        </w:rPr>
        <w:t>，并建立残疾人企业、单位和专门劳动部门。购买设备的支出将从失业基金中拨付。职业介绍所与残疾人公共组织和工会代表共同拟订残疾人就业年度方案。地方政府行政部门应提供必要的援助，帮助安排残疾人从事家庭工作的企业和从事个体经营活动的残疾人购买原料和安装房屋设备。未给残疾人保留职位或不愿雇用残疾人的雇主，将向失业基金缴纳款项。缴款金额为，每一应产生但未设置的职位由该企业、机构和组织缴纳其雇员的年平均薪金。雇主必须为因工伤事故或该企业职业病而失去其工作能力的人提供职位或为其设置新的工作岗位。如果雇主不能遵守这些条件，他就必须终止与该工人的劳动协议，并向失业基金缴纳款项。这项缴款的金额相当于工人各自</w:t>
      </w:r>
      <w:r>
        <w:rPr>
          <w:rFonts w:hint="eastAsia"/>
          <w:snapToGrid/>
        </w:rPr>
        <w:t>10</w:t>
      </w:r>
      <w:r>
        <w:rPr>
          <w:rFonts w:hint="eastAsia"/>
          <w:snapToGrid/>
        </w:rPr>
        <w:t>倍的年薪。</w:t>
      </w:r>
    </w:p>
    <w:p w:rsidR="00000000" w:rsidRDefault="00000000">
      <w:pPr>
        <w:rPr>
          <w:rFonts w:hint="eastAsia"/>
          <w:snapToGrid/>
        </w:rPr>
      </w:pPr>
      <w:r>
        <w:rPr>
          <w:rFonts w:hint="eastAsia"/>
          <w:snapToGrid/>
        </w:rPr>
        <w:tab/>
        <w:t>3</w:t>
      </w:r>
      <w:r>
        <w:rPr>
          <w:snapToGrid/>
        </w:rPr>
        <w:t>20.</w:t>
      </w:r>
      <w:r>
        <w:rPr>
          <w:rFonts w:hint="eastAsia"/>
          <w:snapToGrid/>
        </w:rPr>
        <w:t xml:space="preserve">  </w:t>
      </w:r>
      <w:r>
        <w:rPr>
          <w:rFonts w:hint="eastAsia"/>
          <w:snapToGrid/>
        </w:rPr>
        <w:t>一等和二等残疾人每周工作时间为</w:t>
      </w:r>
      <w:r>
        <w:rPr>
          <w:rFonts w:hint="eastAsia"/>
          <w:snapToGrid/>
        </w:rPr>
        <w:t>30</w:t>
      </w:r>
      <w:r>
        <w:rPr>
          <w:rFonts w:hint="eastAsia"/>
          <w:snapToGrid/>
        </w:rPr>
        <w:t>小时。节假日和夜间如需超时工作，必须经医生认可后征得残疾人本人的同意。雇主经与工会协商后，有权减少残疾人的工作定额。一等残疾人的年假为</w:t>
      </w:r>
      <w:r>
        <w:rPr>
          <w:rFonts w:hint="eastAsia"/>
          <w:snapToGrid/>
        </w:rPr>
        <w:t>36</w:t>
      </w:r>
      <w:r>
        <w:rPr>
          <w:rFonts w:hint="eastAsia"/>
          <w:snapToGrid/>
        </w:rPr>
        <w:t>天，二等残疾人为</w:t>
      </w:r>
      <w:r>
        <w:rPr>
          <w:rFonts w:hint="eastAsia"/>
          <w:snapToGrid/>
        </w:rPr>
        <w:t>28</w:t>
      </w:r>
      <w:r>
        <w:rPr>
          <w:rFonts w:hint="eastAsia"/>
          <w:snapToGrid/>
        </w:rPr>
        <w:t>天。应残疾人的请求，行政部门可给其追加最多两个月的不带薪假期。</w:t>
      </w:r>
    </w:p>
    <w:p w:rsidR="00000000" w:rsidRDefault="00000000">
      <w:pPr>
        <w:rPr>
          <w:rFonts w:hint="eastAsia"/>
          <w:snapToGrid/>
        </w:rPr>
      </w:pPr>
      <w:r>
        <w:rPr>
          <w:rFonts w:hint="eastAsia"/>
          <w:snapToGrid/>
        </w:rPr>
        <w:tab/>
        <w:t>321.  1991</w:t>
      </w:r>
      <w:r>
        <w:rPr>
          <w:rFonts w:hint="eastAsia"/>
          <w:snapToGrid/>
        </w:rPr>
        <w:t>年</w:t>
      </w:r>
      <w:r>
        <w:rPr>
          <w:rFonts w:hint="eastAsia"/>
          <w:snapToGrid/>
        </w:rPr>
        <w:t>12</w:t>
      </w:r>
      <w:r>
        <w:rPr>
          <w:rFonts w:hint="eastAsia"/>
          <w:snapToGrid/>
        </w:rPr>
        <w:t>月</w:t>
      </w:r>
      <w:r>
        <w:rPr>
          <w:rFonts w:hint="eastAsia"/>
          <w:snapToGrid/>
        </w:rPr>
        <w:t>24</w:t>
      </w:r>
      <w:r>
        <w:rPr>
          <w:rFonts w:hint="eastAsia"/>
          <w:snapToGrid/>
        </w:rPr>
        <w:t>日《第</w:t>
      </w:r>
      <w:r>
        <w:rPr>
          <w:rFonts w:hint="eastAsia"/>
          <w:snapToGrid/>
        </w:rPr>
        <w:t>821-XII</w:t>
      </w:r>
      <w:r>
        <w:rPr>
          <w:rFonts w:hint="eastAsia"/>
          <w:snapToGrid/>
        </w:rPr>
        <w:t>号残疾人社会保护法》第六章载述了为残疾人提供的社会援助。残疾人可享有不同形式的社会援助，如货币支付</w:t>
      </w:r>
      <w:r>
        <w:rPr>
          <w:rFonts w:hint="eastAsia"/>
          <w:snapToGrid/>
        </w:rPr>
        <w:t>(</w:t>
      </w:r>
      <w:r>
        <w:rPr>
          <w:rFonts w:hint="eastAsia"/>
          <w:snapToGrid/>
        </w:rPr>
        <w:t>养恤金、拨款</w:t>
      </w:r>
      <w:r>
        <w:rPr>
          <w:rFonts w:hint="eastAsia"/>
          <w:snapToGrid/>
        </w:rPr>
        <w:t>)</w:t>
      </w:r>
      <w:r>
        <w:rPr>
          <w:rFonts w:hint="eastAsia"/>
          <w:snapToGrid/>
        </w:rPr>
        <w:t>、技术或其他手段、轮椅、假肢、矫形器具、带有特别助听器和信号装置的产品，以及医疗援助和家务料理。残疾人可免费获取帮助。在个人康复计划中载有对社会援助的具体形式和总量的明确说明。地方政府行政部门、劳动和社会保护机构、卫生、教育、文化、体育和其他国家机关根据医疗</w:t>
      </w:r>
      <w:r>
        <w:rPr>
          <w:rFonts w:hint="eastAsia"/>
          <w:snapToGrid/>
        </w:rPr>
        <w:t>-</w:t>
      </w:r>
      <w:r>
        <w:rPr>
          <w:rFonts w:hint="eastAsia"/>
          <w:snapToGrid/>
        </w:rPr>
        <w:t>社会检查结果提供社会援助。中央行政机关和地方政府行政部门规定了以下补充优惠条件：生活必需品、护理、交通、电信和其他社会服务费用打折扣。社会援助款项从共和国和地方预算，以及企业、机构、组织和公民的自愿缴款中拨付。企业、机构和组织如对残疾人的社会援助作出贡献，在纳税方面可享有优惠条件。</w:t>
      </w:r>
    </w:p>
    <w:p w:rsidR="00000000" w:rsidRDefault="00000000">
      <w:pPr>
        <w:rPr>
          <w:rFonts w:hint="eastAsia"/>
          <w:snapToGrid/>
        </w:rPr>
      </w:pPr>
      <w:r>
        <w:rPr>
          <w:snapToGrid/>
        </w:rPr>
        <w:tab/>
      </w:r>
      <w:r>
        <w:rPr>
          <w:rFonts w:hint="eastAsia"/>
          <w:snapToGrid/>
        </w:rPr>
        <w:t>32</w:t>
      </w:r>
      <w:r>
        <w:rPr>
          <w:snapToGrid/>
        </w:rPr>
        <w:t>2.</w:t>
      </w:r>
      <w:r>
        <w:rPr>
          <w:rFonts w:hint="eastAsia"/>
          <w:snapToGrid/>
        </w:rPr>
        <w:t xml:space="preserve">  </w:t>
      </w:r>
      <w:r>
        <w:rPr>
          <w:rFonts w:hint="eastAsia"/>
          <w:snapToGrid/>
        </w:rPr>
        <w:t>企业、机构和组织有权以下列方式提高残疾人的生活水平：</w:t>
      </w:r>
    </w:p>
    <w:p w:rsidR="00000000" w:rsidRDefault="00000000">
      <w:pPr>
        <w:numPr>
          <w:ilvl w:val="0"/>
          <w:numId w:val="507"/>
        </w:numPr>
        <w:ind w:left="1531"/>
        <w:rPr>
          <w:rFonts w:hint="eastAsia"/>
          <w:snapToGrid/>
        </w:rPr>
      </w:pPr>
      <w:r>
        <w:rPr>
          <w:rFonts w:hint="eastAsia"/>
          <w:snapToGrid/>
        </w:rPr>
        <w:t>考虑到职工的缴款情况及其总的连续服务年限，确定国家养恤金补助费；</w:t>
      </w:r>
    </w:p>
    <w:p w:rsidR="00000000" w:rsidRDefault="00000000">
      <w:pPr>
        <w:numPr>
          <w:ilvl w:val="0"/>
          <w:numId w:val="507"/>
        </w:numPr>
        <w:ind w:left="1531"/>
        <w:rPr>
          <w:rFonts w:hint="eastAsia"/>
          <w:snapToGrid/>
        </w:rPr>
      </w:pPr>
      <w:r>
        <w:rPr>
          <w:rFonts w:hint="eastAsia"/>
          <w:snapToGrid/>
        </w:rPr>
        <w:t>增加独自生活和需要他人照顾和帮助的残疾人的养恤金数额；</w:t>
      </w:r>
    </w:p>
    <w:p w:rsidR="00000000" w:rsidRDefault="00000000">
      <w:pPr>
        <w:numPr>
          <w:ilvl w:val="0"/>
          <w:numId w:val="507"/>
        </w:numPr>
        <w:ind w:left="1531"/>
        <w:rPr>
          <w:rFonts w:hint="eastAsia"/>
          <w:snapToGrid/>
        </w:rPr>
      </w:pPr>
      <w:r>
        <w:rPr>
          <w:rFonts w:hint="eastAsia"/>
          <w:snapToGrid/>
        </w:rPr>
        <w:t>确定支付租金和子女进入学前教育机构费用的优惠条件；</w:t>
      </w:r>
    </w:p>
    <w:p w:rsidR="00000000" w:rsidRDefault="00000000">
      <w:pPr>
        <w:numPr>
          <w:ilvl w:val="0"/>
          <w:numId w:val="507"/>
        </w:numPr>
        <w:ind w:left="1531"/>
        <w:rPr>
          <w:rFonts w:hint="eastAsia"/>
          <w:snapToGrid/>
        </w:rPr>
      </w:pPr>
      <w:r>
        <w:rPr>
          <w:rFonts w:hint="eastAsia"/>
          <w:snapToGrid/>
        </w:rPr>
        <w:t>部分或足额支付租金、服务费和个人运动工具费用；</w:t>
      </w:r>
    </w:p>
    <w:p w:rsidR="00000000" w:rsidRDefault="00000000">
      <w:pPr>
        <w:numPr>
          <w:ilvl w:val="0"/>
          <w:numId w:val="507"/>
        </w:numPr>
        <w:ind w:left="1531"/>
        <w:rPr>
          <w:rFonts w:hint="eastAsia"/>
          <w:snapToGrid/>
        </w:rPr>
      </w:pPr>
      <w:r>
        <w:rPr>
          <w:rFonts w:hint="eastAsia"/>
          <w:snapToGrid/>
        </w:rPr>
        <w:t>参股合作修建附近有花园和汽车库的房屋；</w:t>
      </w:r>
    </w:p>
    <w:p w:rsidR="00000000" w:rsidRDefault="00000000">
      <w:pPr>
        <w:numPr>
          <w:ilvl w:val="0"/>
          <w:numId w:val="507"/>
        </w:numPr>
        <w:ind w:left="1531"/>
        <w:rPr>
          <w:rFonts w:hint="eastAsia"/>
          <w:snapToGrid/>
        </w:rPr>
      </w:pPr>
      <w:r>
        <w:rPr>
          <w:rFonts w:hint="eastAsia"/>
          <w:snapToGrid/>
        </w:rPr>
        <w:t>支付各种公共交通旅行票据和文化设施的参观门票；</w:t>
      </w:r>
    </w:p>
    <w:p w:rsidR="00000000" w:rsidRDefault="00000000">
      <w:pPr>
        <w:numPr>
          <w:ilvl w:val="0"/>
          <w:numId w:val="507"/>
        </w:numPr>
        <w:ind w:left="1531"/>
        <w:rPr>
          <w:rFonts w:hint="eastAsia"/>
          <w:snapToGrid/>
        </w:rPr>
      </w:pPr>
      <w:r>
        <w:rPr>
          <w:rFonts w:hint="eastAsia"/>
          <w:snapToGrid/>
        </w:rPr>
        <w:t>组织慈善晚宴；</w:t>
      </w:r>
    </w:p>
    <w:p w:rsidR="00000000" w:rsidRDefault="00000000">
      <w:pPr>
        <w:numPr>
          <w:ilvl w:val="0"/>
          <w:numId w:val="507"/>
        </w:numPr>
        <w:ind w:left="1531"/>
        <w:rPr>
          <w:rFonts w:hint="eastAsia"/>
          <w:snapToGrid/>
        </w:rPr>
      </w:pPr>
      <w:r>
        <w:rPr>
          <w:rFonts w:hint="eastAsia"/>
          <w:snapToGrid/>
        </w:rPr>
        <w:t>提供其他种类的援助。</w:t>
      </w:r>
    </w:p>
    <w:p w:rsidR="00000000" w:rsidRDefault="00000000">
      <w:pPr>
        <w:rPr>
          <w:rFonts w:hint="eastAsia"/>
          <w:snapToGrid/>
        </w:rPr>
      </w:pPr>
      <w:r>
        <w:rPr>
          <w:rFonts w:hint="eastAsia"/>
          <w:snapToGrid/>
        </w:rPr>
        <w:tab/>
        <w:t xml:space="preserve">323.  </w:t>
      </w:r>
      <w:r>
        <w:rPr>
          <w:rFonts w:hint="eastAsia"/>
          <w:snapToGrid/>
        </w:rPr>
        <w:t>企业、机构和组织必须为残疾人提供优惠条件，方便他们为康复目的使用其管辖范围内的体育场馆、文化设施、假日中心和矿泉疗养院。患有一等和二等残疾的人、残疾儿童和需要照顾一等或二等残疾人的人，享有城市、郊区和城市之间旅行补助</w:t>
      </w:r>
      <w:r>
        <w:rPr>
          <w:rFonts w:hint="eastAsia"/>
          <w:snapToGrid/>
        </w:rPr>
        <w:t>(</w:t>
      </w:r>
      <w:r>
        <w:rPr>
          <w:rFonts w:hint="eastAsia"/>
          <w:snapToGrid/>
        </w:rPr>
        <w:t>出租车除外</w:t>
      </w:r>
      <w:r>
        <w:rPr>
          <w:rFonts w:hint="eastAsia"/>
          <w:snapToGrid/>
        </w:rPr>
        <w:t>)</w:t>
      </w:r>
      <w:r>
        <w:rPr>
          <w:rFonts w:hint="eastAsia"/>
          <w:snapToGrid/>
        </w:rPr>
        <w:t>。</w:t>
      </w:r>
    </w:p>
    <w:p w:rsidR="00000000" w:rsidRDefault="00000000">
      <w:pPr>
        <w:spacing w:after="320"/>
        <w:rPr>
          <w:rFonts w:hint="eastAsia"/>
          <w:snapToGrid/>
        </w:rPr>
      </w:pPr>
      <w:r>
        <w:rPr>
          <w:rFonts w:hint="eastAsia"/>
          <w:snapToGrid/>
        </w:rPr>
        <w:tab/>
        <w:t>32</w:t>
      </w:r>
      <w:r>
        <w:rPr>
          <w:snapToGrid/>
        </w:rPr>
        <w:t>4.</w:t>
      </w:r>
      <w:r>
        <w:rPr>
          <w:rFonts w:hint="eastAsia"/>
          <w:snapToGrid/>
        </w:rPr>
        <w:t xml:space="preserve">  </w:t>
      </w:r>
      <w:r>
        <w:rPr>
          <w:rFonts w:hint="eastAsia"/>
          <w:snapToGrid/>
        </w:rPr>
        <w:t>运输通讯部制定了必要的条件，以提供特别电信手段、建立残疾人电话中心，并向有听力缺陷的人提供特别电话装置。患有一等和二等残疾的盲人，按照法律规定的条件，可优先给予电话线路，包括特别线路。需要他人帮助的残疾人，有权在家中或专门机构中接受医疗援助和家务料理服务。中央行政机关和地方政府行政部门为发展需要他人帮助的残疾人社会援助机构网作出贡献。根据</w:t>
      </w:r>
      <w:r>
        <w:rPr>
          <w:rFonts w:hint="eastAsia"/>
          <w:snapToGrid/>
        </w:rPr>
        <w:t>1992</w:t>
      </w:r>
      <w:r>
        <w:rPr>
          <w:rFonts w:hint="eastAsia"/>
          <w:snapToGrid/>
        </w:rPr>
        <w:t>年</w:t>
      </w:r>
      <w:r>
        <w:rPr>
          <w:rFonts w:hint="eastAsia"/>
          <w:snapToGrid/>
        </w:rPr>
        <w:t>12</w:t>
      </w:r>
      <w:r>
        <w:rPr>
          <w:rFonts w:hint="eastAsia"/>
          <w:snapToGrid/>
        </w:rPr>
        <w:t>月</w:t>
      </w:r>
      <w:r>
        <w:rPr>
          <w:rFonts w:hint="eastAsia"/>
          <w:snapToGrid/>
        </w:rPr>
        <w:t>23</w:t>
      </w:r>
      <w:r>
        <w:rPr>
          <w:rFonts w:hint="eastAsia"/>
          <w:snapToGrid/>
        </w:rPr>
        <w:t>日《关于需要他人帮助的残疾人社会保护措施的第</w:t>
      </w:r>
      <w:r>
        <w:rPr>
          <w:rFonts w:hint="eastAsia"/>
          <w:snapToGrid/>
        </w:rPr>
        <w:t>687</w:t>
      </w:r>
      <w:r>
        <w:rPr>
          <w:rFonts w:hint="eastAsia"/>
          <w:snapToGrid/>
        </w:rPr>
        <w:t>号政府决定》，现已采取了有关残疾人社会保护的种种措施。</w:t>
      </w:r>
    </w:p>
    <w:p w:rsidR="00000000" w:rsidRDefault="00000000">
      <w:pPr>
        <w:pStyle w:val="Heading3"/>
        <w:rPr>
          <w:rFonts w:hint="eastAsia"/>
        </w:rPr>
      </w:pPr>
      <w:r>
        <w:rPr>
          <w:rFonts w:hint="eastAsia"/>
          <w:u w:val="none"/>
        </w:rPr>
        <w:t>表</w:t>
      </w:r>
      <w:r>
        <w:rPr>
          <w:rFonts w:hint="eastAsia"/>
          <w:u w:val="none"/>
        </w:rPr>
        <w:t xml:space="preserve">27.  </w:t>
      </w:r>
      <w:r>
        <w:rPr>
          <w:rFonts w:hint="eastAsia"/>
        </w:rPr>
        <w:t>残疾人社会保护方案</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5173"/>
        <w:gridCol w:w="2415"/>
        <w:gridCol w:w="1822"/>
      </w:tblGrid>
      <w:tr w:rsidR="00000000">
        <w:tblPrEx>
          <w:tblCellMar>
            <w:top w:w="0" w:type="dxa"/>
            <w:bottom w:w="0" w:type="dxa"/>
          </w:tblCellMar>
        </w:tblPrEx>
        <w:trPr>
          <w:tblHeader/>
        </w:trPr>
        <w:tc>
          <w:tcPr>
            <w:tcW w:w="5173" w:type="dxa"/>
            <w:tcBorders>
              <w:top w:val="single" w:sz="4" w:space="0" w:color="auto"/>
              <w:bottom w:val="single" w:sz="4" w:space="0" w:color="auto"/>
            </w:tcBorders>
          </w:tcPr>
          <w:p w:rsidR="00000000" w:rsidRDefault="00000000">
            <w:pPr>
              <w:pStyle w:val="a2"/>
              <w:spacing w:after="120" w:line="280" w:lineRule="exact"/>
              <w:ind w:left="113" w:right="113"/>
              <w:jc w:val="center"/>
              <w:rPr>
                <w:rFonts w:hint="eastAsia"/>
                <w:snapToGrid/>
                <w:sz w:val="20"/>
                <w:u w:val="single"/>
              </w:rPr>
            </w:pPr>
            <w:r>
              <w:rPr>
                <w:rFonts w:hint="eastAsia"/>
                <w:snapToGrid/>
                <w:sz w:val="20"/>
                <w:u w:val="single"/>
              </w:rPr>
              <w:t>计</w:t>
            </w:r>
            <w:r>
              <w:rPr>
                <w:rFonts w:hint="eastAsia"/>
                <w:snapToGrid/>
                <w:sz w:val="20"/>
                <w:u w:val="single"/>
              </w:rPr>
              <w:t xml:space="preserve"> </w:t>
            </w:r>
            <w:r>
              <w:rPr>
                <w:rFonts w:hint="eastAsia"/>
                <w:snapToGrid/>
                <w:sz w:val="20"/>
                <w:u w:val="single"/>
              </w:rPr>
              <w:t>划</w:t>
            </w:r>
            <w:r>
              <w:rPr>
                <w:rFonts w:hint="eastAsia"/>
                <w:snapToGrid/>
                <w:sz w:val="20"/>
                <w:u w:val="single"/>
              </w:rPr>
              <w:t xml:space="preserve"> </w:t>
            </w:r>
            <w:r>
              <w:rPr>
                <w:rFonts w:hint="eastAsia"/>
                <w:snapToGrid/>
                <w:sz w:val="20"/>
                <w:u w:val="single"/>
              </w:rPr>
              <w:t>措</w:t>
            </w:r>
            <w:r>
              <w:rPr>
                <w:rFonts w:hint="eastAsia"/>
                <w:snapToGrid/>
                <w:sz w:val="20"/>
                <w:u w:val="single"/>
              </w:rPr>
              <w:t xml:space="preserve"> </w:t>
            </w:r>
            <w:r>
              <w:rPr>
                <w:rFonts w:hint="eastAsia"/>
                <w:snapToGrid/>
                <w:sz w:val="20"/>
                <w:u w:val="single"/>
              </w:rPr>
              <w:t>施</w:t>
            </w:r>
          </w:p>
        </w:tc>
        <w:tc>
          <w:tcPr>
            <w:tcW w:w="2415" w:type="dxa"/>
            <w:tcBorders>
              <w:top w:val="single" w:sz="4" w:space="0" w:color="auto"/>
              <w:bottom w:val="single" w:sz="4" w:space="0" w:color="auto"/>
            </w:tcBorders>
          </w:tcPr>
          <w:p w:rsidR="00000000" w:rsidRDefault="00000000">
            <w:pPr>
              <w:pStyle w:val="a2"/>
              <w:spacing w:after="120" w:line="280" w:lineRule="exact"/>
              <w:ind w:left="113" w:right="113"/>
              <w:jc w:val="center"/>
              <w:rPr>
                <w:rFonts w:hint="eastAsia"/>
                <w:snapToGrid/>
                <w:sz w:val="20"/>
                <w:u w:val="single"/>
              </w:rPr>
            </w:pPr>
            <w:r>
              <w:rPr>
                <w:rFonts w:hint="eastAsia"/>
                <w:snapToGrid/>
                <w:sz w:val="20"/>
                <w:u w:val="single"/>
              </w:rPr>
              <w:t>执</w:t>
            </w:r>
            <w:r>
              <w:rPr>
                <w:rFonts w:hint="eastAsia"/>
                <w:snapToGrid/>
                <w:sz w:val="20"/>
                <w:u w:val="single"/>
              </w:rPr>
              <w:t xml:space="preserve"> </w:t>
            </w:r>
            <w:r>
              <w:rPr>
                <w:rFonts w:hint="eastAsia"/>
                <w:snapToGrid/>
                <w:sz w:val="20"/>
                <w:u w:val="single"/>
              </w:rPr>
              <w:t>行</w:t>
            </w:r>
            <w:r>
              <w:rPr>
                <w:rFonts w:hint="eastAsia"/>
                <w:snapToGrid/>
                <w:sz w:val="20"/>
                <w:u w:val="single"/>
              </w:rPr>
              <w:t xml:space="preserve"> </w:t>
            </w:r>
            <w:r>
              <w:rPr>
                <w:rFonts w:hint="eastAsia"/>
                <w:snapToGrid/>
                <w:sz w:val="20"/>
                <w:u w:val="single"/>
              </w:rPr>
              <w:t>人</w:t>
            </w:r>
          </w:p>
        </w:tc>
        <w:tc>
          <w:tcPr>
            <w:tcW w:w="1822" w:type="dxa"/>
            <w:tcBorders>
              <w:top w:val="single" w:sz="4" w:space="0" w:color="auto"/>
              <w:bottom w:val="single" w:sz="4" w:space="0" w:color="auto"/>
            </w:tcBorders>
          </w:tcPr>
          <w:p w:rsidR="00000000" w:rsidRDefault="00000000">
            <w:pPr>
              <w:pStyle w:val="a2"/>
              <w:spacing w:after="120" w:line="280" w:lineRule="exact"/>
              <w:ind w:left="113" w:right="113"/>
              <w:jc w:val="center"/>
              <w:rPr>
                <w:rFonts w:hint="eastAsia"/>
                <w:snapToGrid/>
                <w:sz w:val="20"/>
                <w:u w:val="single"/>
              </w:rPr>
            </w:pPr>
            <w:r>
              <w:rPr>
                <w:rFonts w:hint="eastAsia"/>
                <w:snapToGrid/>
                <w:sz w:val="20"/>
                <w:u w:val="single"/>
              </w:rPr>
              <w:t>执</w:t>
            </w:r>
            <w:r>
              <w:rPr>
                <w:rFonts w:hint="eastAsia"/>
                <w:snapToGrid/>
                <w:sz w:val="20"/>
                <w:u w:val="single"/>
              </w:rPr>
              <w:t xml:space="preserve"> </w:t>
            </w:r>
            <w:r>
              <w:rPr>
                <w:rFonts w:hint="eastAsia"/>
                <w:snapToGrid/>
                <w:sz w:val="20"/>
                <w:u w:val="single"/>
              </w:rPr>
              <w:t>行</w:t>
            </w:r>
            <w:r>
              <w:rPr>
                <w:rFonts w:hint="eastAsia"/>
                <w:snapToGrid/>
                <w:sz w:val="20"/>
                <w:u w:val="single"/>
              </w:rPr>
              <w:t xml:space="preserve"> </w:t>
            </w:r>
            <w:r>
              <w:rPr>
                <w:rFonts w:hint="eastAsia"/>
                <w:snapToGrid/>
                <w:sz w:val="20"/>
                <w:u w:val="single"/>
              </w:rPr>
              <w:t>期</w:t>
            </w:r>
          </w:p>
        </w:tc>
      </w:tr>
      <w:tr w:rsidR="00000000">
        <w:tblPrEx>
          <w:tblCellMar>
            <w:top w:w="0" w:type="dxa"/>
            <w:bottom w:w="0" w:type="dxa"/>
          </w:tblCellMar>
        </w:tblPrEx>
        <w:tc>
          <w:tcPr>
            <w:tcW w:w="5173" w:type="dxa"/>
            <w:tcBorders>
              <w:top w:val="single" w:sz="4" w:space="0" w:color="auto"/>
            </w:tcBorders>
          </w:tcPr>
          <w:p w:rsidR="00000000" w:rsidRDefault="00000000">
            <w:pPr>
              <w:pStyle w:val="a2"/>
              <w:spacing w:after="120" w:line="280" w:lineRule="exact"/>
              <w:ind w:left="510" w:right="113" w:hanging="397"/>
              <w:rPr>
                <w:rFonts w:hint="eastAsia"/>
                <w:snapToGrid/>
                <w:sz w:val="20"/>
              </w:rPr>
            </w:pPr>
            <w:r>
              <w:rPr>
                <w:rFonts w:hint="eastAsia"/>
                <w:snapToGrid/>
                <w:sz w:val="20"/>
              </w:rPr>
              <w:t xml:space="preserve">1.  </w:t>
            </w:r>
            <w:r>
              <w:rPr>
                <w:rFonts w:hint="eastAsia"/>
                <w:snapToGrid/>
                <w:sz w:val="20"/>
              </w:rPr>
              <w:t>减少房租、自来水、污水处理、供暖、垃圾收集、电和煤气付款，具体办法如下：有一等残疾人或残疾儿童的家庭付款减少</w:t>
            </w:r>
            <w:r>
              <w:rPr>
                <w:rFonts w:hint="eastAsia"/>
                <w:snapToGrid/>
                <w:sz w:val="20"/>
              </w:rPr>
              <w:t>50%</w:t>
            </w:r>
            <w:r>
              <w:rPr>
                <w:rFonts w:hint="eastAsia"/>
                <w:snapToGrid/>
                <w:sz w:val="20"/>
              </w:rPr>
              <w:t>，有二等残疾人的家庭付款减少</w:t>
            </w:r>
            <w:r>
              <w:rPr>
                <w:rFonts w:hint="eastAsia"/>
                <w:snapToGrid/>
                <w:sz w:val="20"/>
              </w:rPr>
              <w:t>25%</w:t>
            </w:r>
            <w:r>
              <w:rPr>
                <w:rFonts w:hint="eastAsia"/>
                <w:snapToGrid/>
                <w:sz w:val="20"/>
              </w:rPr>
              <w:t>。家中只有残疾人和未成年人的家庭，应全部免交上述付款。有多名残疾人的家庭，政府根据每个成员的残疾程度相应减免其付款。</w:t>
            </w:r>
          </w:p>
        </w:tc>
        <w:tc>
          <w:tcPr>
            <w:tcW w:w="2415" w:type="dxa"/>
            <w:tcBorders>
              <w:top w:val="single" w:sz="4" w:space="0" w:color="auto"/>
            </w:tcBorders>
          </w:tcPr>
          <w:p w:rsidR="00000000" w:rsidRDefault="00000000">
            <w:pPr>
              <w:pStyle w:val="a2"/>
              <w:spacing w:after="120" w:line="280" w:lineRule="exact"/>
              <w:ind w:left="113" w:right="113"/>
              <w:rPr>
                <w:rFonts w:hint="eastAsia"/>
                <w:snapToGrid/>
                <w:sz w:val="20"/>
              </w:rPr>
            </w:pPr>
            <w:r>
              <w:rPr>
                <w:rFonts w:hint="eastAsia"/>
                <w:snapToGrid/>
                <w:sz w:val="20"/>
              </w:rPr>
              <w:t>财政部、公共服务部和住房基金</w:t>
            </w:r>
          </w:p>
        </w:tc>
        <w:tc>
          <w:tcPr>
            <w:tcW w:w="1822" w:type="dxa"/>
            <w:tcBorders>
              <w:top w:val="single" w:sz="4" w:space="0" w:color="auto"/>
            </w:tcBorders>
          </w:tcPr>
          <w:p w:rsidR="00000000" w:rsidRDefault="00000000">
            <w:pPr>
              <w:pStyle w:val="a2"/>
              <w:spacing w:after="120" w:line="280" w:lineRule="exact"/>
              <w:ind w:left="113" w:right="113"/>
              <w:rPr>
                <w:rFonts w:hint="eastAsia"/>
                <w:snapToGrid/>
                <w:sz w:val="20"/>
              </w:rPr>
            </w:pPr>
            <w:r>
              <w:rPr>
                <w:rFonts w:hint="eastAsia"/>
                <w:snapToGrid/>
                <w:sz w:val="20"/>
              </w:rPr>
              <w:t>自决定通过之日起</w:t>
            </w:r>
          </w:p>
        </w:tc>
      </w:tr>
      <w:tr w:rsidR="00000000">
        <w:tblPrEx>
          <w:tblCellMar>
            <w:top w:w="0" w:type="dxa"/>
            <w:bottom w:w="0" w:type="dxa"/>
          </w:tblCellMar>
        </w:tblPrEx>
        <w:tc>
          <w:tcPr>
            <w:tcW w:w="5173" w:type="dxa"/>
          </w:tcPr>
          <w:p w:rsidR="00000000" w:rsidRDefault="00000000">
            <w:pPr>
              <w:pStyle w:val="a2"/>
              <w:spacing w:after="120" w:line="280" w:lineRule="exact"/>
              <w:ind w:left="510" w:right="113" w:hanging="397"/>
              <w:rPr>
                <w:rFonts w:hint="eastAsia"/>
                <w:snapToGrid/>
                <w:sz w:val="20"/>
              </w:rPr>
            </w:pPr>
            <w:r>
              <w:rPr>
                <w:rFonts w:hint="eastAsia"/>
                <w:snapToGrid/>
                <w:sz w:val="20"/>
              </w:rPr>
              <w:t xml:space="preserve">2.  </w:t>
            </w:r>
            <w:r>
              <w:rPr>
                <w:rFonts w:hint="eastAsia"/>
                <w:snapToGrid/>
                <w:sz w:val="20"/>
              </w:rPr>
              <w:t>方便残疾人使用所有体育场馆和文化设施。</w:t>
            </w:r>
          </w:p>
        </w:tc>
        <w:tc>
          <w:tcPr>
            <w:tcW w:w="2415" w:type="dxa"/>
          </w:tcPr>
          <w:p w:rsidR="00000000" w:rsidRDefault="00000000">
            <w:pPr>
              <w:pStyle w:val="a2"/>
              <w:spacing w:after="120" w:line="280" w:lineRule="exact"/>
              <w:ind w:left="113" w:right="113"/>
              <w:rPr>
                <w:rFonts w:hint="eastAsia"/>
                <w:snapToGrid/>
                <w:sz w:val="20"/>
              </w:rPr>
            </w:pPr>
            <w:r>
              <w:rPr>
                <w:rFonts w:hint="eastAsia"/>
                <w:snapToGrid/>
                <w:sz w:val="20"/>
              </w:rPr>
              <w:t>青年、体育和旅游部，或残疾人组织</w:t>
            </w:r>
          </w:p>
        </w:tc>
        <w:tc>
          <w:tcPr>
            <w:tcW w:w="1822" w:type="dxa"/>
          </w:tcPr>
          <w:p w:rsidR="00000000" w:rsidRDefault="00000000">
            <w:pPr>
              <w:pStyle w:val="a2"/>
              <w:spacing w:after="120" w:line="280" w:lineRule="exact"/>
              <w:ind w:left="113" w:right="113"/>
              <w:rPr>
                <w:rFonts w:hint="eastAsia"/>
                <w:snapToGrid/>
                <w:sz w:val="20"/>
              </w:rPr>
            </w:pPr>
            <w:r>
              <w:rPr>
                <w:rFonts w:hint="eastAsia"/>
                <w:snapToGrid/>
                <w:sz w:val="20"/>
              </w:rPr>
              <w:t>至</w:t>
            </w:r>
            <w:r>
              <w:rPr>
                <w:rFonts w:hint="eastAsia"/>
                <w:snapToGrid/>
                <w:sz w:val="20"/>
              </w:rPr>
              <w:t>1992</w:t>
            </w:r>
            <w:r>
              <w:rPr>
                <w:rFonts w:hint="eastAsia"/>
                <w:snapToGrid/>
                <w:sz w:val="20"/>
              </w:rPr>
              <w:t>年</w:t>
            </w:r>
            <w:r>
              <w:rPr>
                <w:rFonts w:hint="eastAsia"/>
                <w:snapToGrid/>
                <w:sz w:val="20"/>
              </w:rPr>
              <w:t>12</w:t>
            </w:r>
            <w:r>
              <w:rPr>
                <w:rFonts w:hint="eastAsia"/>
                <w:snapToGrid/>
                <w:sz w:val="20"/>
              </w:rPr>
              <w:t>月</w:t>
            </w:r>
            <w:r>
              <w:rPr>
                <w:rFonts w:hint="eastAsia"/>
                <w:snapToGrid/>
                <w:sz w:val="20"/>
              </w:rPr>
              <w:t>1</w:t>
            </w:r>
            <w:r>
              <w:rPr>
                <w:rFonts w:hint="eastAsia"/>
                <w:snapToGrid/>
                <w:sz w:val="20"/>
              </w:rPr>
              <w:t>日</w:t>
            </w:r>
          </w:p>
        </w:tc>
      </w:tr>
      <w:tr w:rsidR="00000000">
        <w:tblPrEx>
          <w:tblCellMar>
            <w:top w:w="0" w:type="dxa"/>
            <w:bottom w:w="0" w:type="dxa"/>
          </w:tblCellMar>
        </w:tblPrEx>
        <w:tc>
          <w:tcPr>
            <w:tcW w:w="5173" w:type="dxa"/>
          </w:tcPr>
          <w:p w:rsidR="00000000" w:rsidRDefault="00000000">
            <w:pPr>
              <w:pStyle w:val="a2"/>
              <w:spacing w:after="120" w:line="280" w:lineRule="exact"/>
              <w:ind w:left="510" w:right="113" w:hanging="397"/>
              <w:rPr>
                <w:rFonts w:hint="eastAsia"/>
                <w:snapToGrid/>
                <w:sz w:val="20"/>
              </w:rPr>
            </w:pPr>
            <w:r>
              <w:rPr>
                <w:rFonts w:hint="eastAsia"/>
                <w:snapToGrid/>
                <w:sz w:val="20"/>
              </w:rPr>
              <w:t xml:space="preserve">3.  </w:t>
            </w:r>
            <w:r>
              <w:rPr>
                <w:rFonts w:hint="eastAsia"/>
                <w:snapToGrid/>
                <w:sz w:val="20"/>
              </w:rPr>
              <w:t>安排所有脊髓疾病患者在</w:t>
            </w:r>
            <w:r>
              <w:rPr>
                <w:snapToGrid/>
                <w:sz w:val="20"/>
              </w:rPr>
              <w:t>Sergheevca</w:t>
            </w:r>
            <w:r>
              <w:rPr>
                <w:rFonts w:hint="eastAsia"/>
                <w:snapToGrid/>
                <w:sz w:val="20"/>
              </w:rPr>
              <w:t>矿泉疗养院治疗。</w:t>
            </w:r>
          </w:p>
        </w:tc>
        <w:tc>
          <w:tcPr>
            <w:tcW w:w="2415" w:type="dxa"/>
          </w:tcPr>
          <w:p w:rsidR="00000000" w:rsidRDefault="00000000">
            <w:pPr>
              <w:pStyle w:val="a2"/>
              <w:spacing w:after="120" w:line="280" w:lineRule="exact"/>
              <w:ind w:left="113" w:right="113"/>
              <w:rPr>
                <w:rFonts w:hint="eastAsia"/>
                <w:snapToGrid/>
                <w:sz w:val="20"/>
              </w:rPr>
            </w:pPr>
            <w:r>
              <w:rPr>
                <w:rFonts w:hint="eastAsia"/>
                <w:snapToGrid/>
                <w:sz w:val="20"/>
              </w:rPr>
              <w:t>卫生部、劳动和社会保障部与摩尔多瓦独立工会联合会合作</w:t>
            </w:r>
          </w:p>
        </w:tc>
        <w:tc>
          <w:tcPr>
            <w:tcW w:w="1822" w:type="dxa"/>
          </w:tcPr>
          <w:p w:rsidR="00000000" w:rsidRDefault="00000000">
            <w:pPr>
              <w:pStyle w:val="a2"/>
              <w:spacing w:after="120" w:line="280" w:lineRule="exact"/>
              <w:ind w:left="113" w:right="113"/>
              <w:rPr>
                <w:rFonts w:hint="eastAsia"/>
                <w:snapToGrid/>
                <w:sz w:val="20"/>
              </w:rPr>
            </w:pPr>
            <w:r>
              <w:rPr>
                <w:rFonts w:hint="eastAsia"/>
                <w:snapToGrid/>
                <w:sz w:val="20"/>
              </w:rPr>
              <w:t>长期</w:t>
            </w:r>
          </w:p>
        </w:tc>
      </w:tr>
      <w:tr w:rsidR="00000000">
        <w:tblPrEx>
          <w:tblCellMar>
            <w:top w:w="0" w:type="dxa"/>
            <w:bottom w:w="0" w:type="dxa"/>
          </w:tblCellMar>
        </w:tblPrEx>
        <w:tc>
          <w:tcPr>
            <w:tcW w:w="5173" w:type="dxa"/>
          </w:tcPr>
          <w:p w:rsidR="00000000" w:rsidRDefault="00000000">
            <w:pPr>
              <w:pStyle w:val="a2"/>
              <w:spacing w:after="120" w:line="280" w:lineRule="exact"/>
              <w:ind w:left="510" w:right="113" w:hanging="397"/>
              <w:rPr>
                <w:rFonts w:hint="eastAsia"/>
                <w:snapToGrid/>
                <w:sz w:val="20"/>
              </w:rPr>
            </w:pPr>
            <w:r>
              <w:rPr>
                <w:rFonts w:hint="eastAsia"/>
                <w:snapToGrid/>
                <w:sz w:val="20"/>
              </w:rPr>
              <w:t xml:space="preserve">4.  </w:t>
            </w:r>
            <w:r>
              <w:rPr>
                <w:rFonts w:hint="eastAsia"/>
                <w:snapToGrid/>
                <w:sz w:val="20"/>
              </w:rPr>
              <w:t>按照摩尔多瓦共和国国家语言功能实施聋哑人和盲人培训方案、职业培训和进修课程。</w:t>
            </w:r>
          </w:p>
        </w:tc>
        <w:tc>
          <w:tcPr>
            <w:tcW w:w="2415" w:type="dxa"/>
          </w:tcPr>
          <w:p w:rsidR="00000000" w:rsidRDefault="00000000">
            <w:pPr>
              <w:pStyle w:val="a2"/>
              <w:spacing w:after="120" w:line="280" w:lineRule="exact"/>
              <w:ind w:left="113" w:right="113"/>
              <w:rPr>
                <w:rFonts w:hint="eastAsia"/>
                <w:snapToGrid/>
                <w:sz w:val="20"/>
              </w:rPr>
            </w:pPr>
            <w:r>
              <w:rPr>
                <w:rFonts w:hint="eastAsia"/>
                <w:snapToGrid/>
                <w:sz w:val="20"/>
              </w:rPr>
              <w:t>科学教育部、财政部、经济部，或残疾人组织</w:t>
            </w:r>
          </w:p>
        </w:tc>
        <w:tc>
          <w:tcPr>
            <w:tcW w:w="1822" w:type="dxa"/>
          </w:tcPr>
          <w:p w:rsidR="00000000" w:rsidRDefault="00000000">
            <w:pPr>
              <w:pStyle w:val="a2"/>
              <w:spacing w:after="120" w:line="280" w:lineRule="exact"/>
              <w:ind w:left="113" w:right="113"/>
              <w:rPr>
                <w:rFonts w:hint="eastAsia"/>
                <w:snapToGrid/>
                <w:sz w:val="20"/>
              </w:rPr>
            </w:pPr>
            <w:r>
              <w:rPr>
                <w:rFonts w:hint="eastAsia"/>
                <w:snapToGrid/>
                <w:sz w:val="20"/>
              </w:rPr>
              <w:t>1993</w:t>
            </w:r>
            <w:r>
              <w:rPr>
                <w:rFonts w:hint="eastAsia"/>
                <w:snapToGrid/>
                <w:sz w:val="20"/>
              </w:rPr>
              <w:t>年上半年</w:t>
            </w:r>
          </w:p>
        </w:tc>
      </w:tr>
      <w:tr w:rsidR="00000000">
        <w:tblPrEx>
          <w:tblCellMar>
            <w:top w:w="0" w:type="dxa"/>
            <w:bottom w:w="0" w:type="dxa"/>
          </w:tblCellMar>
        </w:tblPrEx>
        <w:tc>
          <w:tcPr>
            <w:tcW w:w="5173" w:type="dxa"/>
          </w:tcPr>
          <w:p w:rsidR="00000000" w:rsidRDefault="00000000">
            <w:pPr>
              <w:pStyle w:val="a2"/>
              <w:spacing w:after="120" w:line="280" w:lineRule="exact"/>
              <w:ind w:left="510" w:right="113" w:hanging="397"/>
              <w:rPr>
                <w:rFonts w:hint="eastAsia"/>
                <w:snapToGrid/>
                <w:sz w:val="20"/>
              </w:rPr>
            </w:pPr>
            <w:r>
              <w:rPr>
                <w:rFonts w:hint="eastAsia"/>
                <w:snapToGrid/>
                <w:sz w:val="20"/>
              </w:rPr>
              <w:t xml:space="preserve">5.  </w:t>
            </w:r>
            <w:r>
              <w:rPr>
                <w:rFonts w:hint="eastAsia"/>
                <w:snapToGrid/>
                <w:sz w:val="20"/>
              </w:rPr>
              <w:t>在立法中加入有关条款和术语，规定残疾人享有最大限度的就业和康复权利。</w:t>
            </w:r>
          </w:p>
        </w:tc>
        <w:tc>
          <w:tcPr>
            <w:tcW w:w="2415" w:type="dxa"/>
          </w:tcPr>
          <w:p w:rsidR="00000000" w:rsidRDefault="00000000">
            <w:pPr>
              <w:pStyle w:val="a2"/>
              <w:spacing w:after="120" w:line="280" w:lineRule="exact"/>
              <w:ind w:left="113" w:right="113"/>
              <w:rPr>
                <w:rFonts w:hint="eastAsia"/>
                <w:snapToGrid/>
                <w:sz w:val="20"/>
              </w:rPr>
            </w:pPr>
            <w:r>
              <w:rPr>
                <w:rFonts w:hint="eastAsia"/>
                <w:snapToGrid/>
                <w:sz w:val="20"/>
              </w:rPr>
              <w:t>工业部、劳动和社会保障部</w:t>
            </w:r>
          </w:p>
        </w:tc>
        <w:tc>
          <w:tcPr>
            <w:tcW w:w="1822" w:type="dxa"/>
          </w:tcPr>
          <w:p w:rsidR="00000000" w:rsidRDefault="00000000">
            <w:pPr>
              <w:pStyle w:val="a2"/>
              <w:spacing w:after="120" w:line="280" w:lineRule="exact"/>
              <w:ind w:left="113" w:right="113"/>
              <w:rPr>
                <w:rFonts w:hint="eastAsia"/>
                <w:snapToGrid/>
                <w:sz w:val="20"/>
              </w:rPr>
            </w:pPr>
            <w:r>
              <w:rPr>
                <w:rFonts w:hint="eastAsia"/>
                <w:snapToGrid/>
                <w:sz w:val="20"/>
              </w:rPr>
              <w:t>1993</w:t>
            </w:r>
            <w:r>
              <w:rPr>
                <w:rFonts w:hint="eastAsia"/>
                <w:snapToGrid/>
                <w:sz w:val="20"/>
              </w:rPr>
              <w:t>年上半年</w:t>
            </w:r>
          </w:p>
        </w:tc>
      </w:tr>
      <w:tr w:rsidR="00000000">
        <w:tblPrEx>
          <w:tblCellMar>
            <w:top w:w="0" w:type="dxa"/>
            <w:bottom w:w="0" w:type="dxa"/>
          </w:tblCellMar>
        </w:tblPrEx>
        <w:tc>
          <w:tcPr>
            <w:tcW w:w="5173" w:type="dxa"/>
          </w:tcPr>
          <w:p w:rsidR="00000000" w:rsidRDefault="00000000">
            <w:pPr>
              <w:pStyle w:val="a2"/>
              <w:spacing w:after="120" w:line="280" w:lineRule="exact"/>
              <w:ind w:left="510" w:right="113" w:hanging="397"/>
              <w:rPr>
                <w:rFonts w:hint="eastAsia"/>
                <w:snapToGrid/>
                <w:sz w:val="20"/>
              </w:rPr>
            </w:pPr>
            <w:r>
              <w:rPr>
                <w:rFonts w:hint="eastAsia"/>
                <w:snapToGrid/>
                <w:sz w:val="20"/>
              </w:rPr>
              <w:t xml:space="preserve">6.  </w:t>
            </w:r>
            <w:r>
              <w:rPr>
                <w:rFonts w:hint="eastAsia"/>
                <w:snapToGrid/>
                <w:sz w:val="20"/>
              </w:rPr>
              <w:t>地方自治组织、企业和残疾人组织将帮助需要照顾残疾子女的父母谋取残疾人职位清单所列出的工作。</w:t>
            </w:r>
          </w:p>
        </w:tc>
        <w:tc>
          <w:tcPr>
            <w:tcW w:w="2415" w:type="dxa"/>
          </w:tcPr>
          <w:p w:rsidR="00000000" w:rsidRDefault="00000000">
            <w:pPr>
              <w:pStyle w:val="a2"/>
              <w:spacing w:after="120" w:line="280" w:lineRule="exact"/>
              <w:ind w:left="113" w:right="113"/>
              <w:rPr>
                <w:rFonts w:hint="eastAsia"/>
                <w:snapToGrid/>
                <w:sz w:val="20"/>
              </w:rPr>
            </w:pPr>
            <w:r>
              <w:rPr>
                <w:rFonts w:hint="eastAsia"/>
                <w:snapToGrid/>
                <w:sz w:val="20"/>
              </w:rPr>
              <w:t>地方自治机构、残疾人组织</w:t>
            </w:r>
          </w:p>
        </w:tc>
        <w:tc>
          <w:tcPr>
            <w:tcW w:w="1822" w:type="dxa"/>
          </w:tcPr>
          <w:p w:rsidR="00000000" w:rsidRDefault="00000000">
            <w:pPr>
              <w:pStyle w:val="a2"/>
              <w:spacing w:after="120" w:line="280" w:lineRule="exact"/>
              <w:ind w:left="113" w:right="113"/>
              <w:rPr>
                <w:rFonts w:hint="eastAsia"/>
                <w:snapToGrid/>
                <w:sz w:val="20"/>
              </w:rPr>
            </w:pPr>
            <w:r>
              <w:rPr>
                <w:rFonts w:hint="eastAsia"/>
                <w:snapToGrid/>
                <w:sz w:val="20"/>
              </w:rPr>
              <w:t>长期</w:t>
            </w:r>
          </w:p>
        </w:tc>
      </w:tr>
      <w:tr w:rsidR="00000000">
        <w:tblPrEx>
          <w:tblCellMar>
            <w:top w:w="0" w:type="dxa"/>
            <w:bottom w:w="0" w:type="dxa"/>
          </w:tblCellMar>
        </w:tblPrEx>
        <w:tc>
          <w:tcPr>
            <w:tcW w:w="5173" w:type="dxa"/>
          </w:tcPr>
          <w:p w:rsidR="00000000" w:rsidRDefault="00000000">
            <w:pPr>
              <w:pStyle w:val="a2"/>
              <w:spacing w:after="120" w:line="280" w:lineRule="exact"/>
              <w:ind w:left="510" w:right="113" w:hanging="397"/>
              <w:rPr>
                <w:rFonts w:hint="eastAsia"/>
                <w:snapToGrid/>
                <w:sz w:val="20"/>
              </w:rPr>
            </w:pPr>
            <w:r>
              <w:rPr>
                <w:rFonts w:hint="eastAsia"/>
                <w:snapToGrid/>
                <w:sz w:val="20"/>
              </w:rPr>
              <w:t xml:space="preserve">7.  </w:t>
            </w:r>
            <w:r>
              <w:rPr>
                <w:rFonts w:hint="eastAsia"/>
                <w:snapToGrid/>
                <w:sz w:val="20"/>
              </w:rPr>
              <w:t>按照上述法律规定拟订措施方案，为残疾人自由出入社会基础设施提供方便。修正预测和估计文件</w:t>
            </w:r>
            <w:r>
              <w:rPr>
                <w:rFonts w:hint="eastAsia"/>
                <w:snapToGrid/>
                <w:sz w:val="20"/>
              </w:rPr>
              <w:t>(1992</w:t>
            </w:r>
            <w:r>
              <w:rPr>
                <w:rFonts w:hint="eastAsia"/>
                <w:snapToGrid/>
                <w:sz w:val="20"/>
              </w:rPr>
              <w:t>年</w:t>
            </w:r>
            <w:r>
              <w:rPr>
                <w:rFonts w:hint="eastAsia"/>
                <w:snapToGrid/>
                <w:sz w:val="20"/>
              </w:rPr>
              <w:t>)</w:t>
            </w:r>
            <w:r>
              <w:rPr>
                <w:rFonts w:hint="eastAsia"/>
                <w:snapToGrid/>
                <w:sz w:val="20"/>
              </w:rPr>
              <w:t>，以便按照残疾人保护法修建住房。建筑计划应当按照法律规定加以修改。</w:t>
            </w:r>
          </w:p>
        </w:tc>
        <w:tc>
          <w:tcPr>
            <w:tcW w:w="2415" w:type="dxa"/>
          </w:tcPr>
          <w:p w:rsidR="00000000" w:rsidRDefault="00000000">
            <w:pPr>
              <w:pStyle w:val="a2"/>
              <w:spacing w:after="120" w:line="280" w:lineRule="exact"/>
              <w:ind w:left="113" w:right="113"/>
              <w:rPr>
                <w:snapToGrid/>
                <w:sz w:val="20"/>
              </w:rPr>
            </w:pPr>
            <w:r>
              <w:rPr>
                <w:rFonts w:hint="eastAsia"/>
                <w:snapToGrid/>
                <w:sz w:val="20"/>
              </w:rPr>
              <w:t>建筑和建设部</w:t>
            </w:r>
          </w:p>
          <w:p w:rsidR="00000000" w:rsidRDefault="00000000">
            <w:pPr>
              <w:pStyle w:val="a2"/>
              <w:spacing w:after="120" w:line="280" w:lineRule="exact"/>
              <w:ind w:left="113" w:right="113"/>
              <w:rPr>
                <w:rFonts w:hint="eastAsia"/>
                <w:snapToGrid/>
                <w:sz w:val="20"/>
              </w:rPr>
            </w:pPr>
            <w:r>
              <w:rPr>
                <w:rFonts w:hint="eastAsia"/>
                <w:snapToGrid/>
                <w:sz w:val="20"/>
              </w:rPr>
              <w:t>各部委：受益人、设计组织、项目行为人、建筑和建设部</w:t>
            </w:r>
          </w:p>
        </w:tc>
        <w:tc>
          <w:tcPr>
            <w:tcW w:w="1822" w:type="dxa"/>
          </w:tcPr>
          <w:p w:rsidR="00000000" w:rsidRDefault="00000000">
            <w:pPr>
              <w:pStyle w:val="a2"/>
              <w:spacing w:after="120" w:line="280" w:lineRule="exact"/>
              <w:ind w:left="113" w:right="113"/>
              <w:rPr>
                <w:rFonts w:hint="eastAsia"/>
                <w:snapToGrid/>
                <w:sz w:val="20"/>
              </w:rPr>
            </w:pPr>
            <w:r>
              <w:rPr>
                <w:rFonts w:hint="eastAsia"/>
                <w:snapToGrid/>
                <w:sz w:val="20"/>
              </w:rPr>
              <w:t>1993</w:t>
            </w:r>
            <w:r>
              <w:rPr>
                <w:rFonts w:hint="eastAsia"/>
                <w:snapToGrid/>
                <w:sz w:val="20"/>
              </w:rPr>
              <w:t>年上半年</w:t>
            </w:r>
          </w:p>
          <w:p w:rsidR="00000000" w:rsidRDefault="00000000">
            <w:pPr>
              <w:pStyle w:val="a2"/>
              <w:spacing w:after="120" w:line="280" w:lineRule="exact"/>
              <w:ind w:left="113" w:right="113"/>
              <w:rPr>
                <w:rFonts w:hint="eastAsia"/>
                <w:snapToGrid/>
                <w:sz w:val="20"/>
              </w:rPr>
            </w:pPr>
            <w:r>
              <w:rPr>
                <w:rFonts w:hint="eastAsia"/>
                <w:snapToGrid/>
                <w:sz w:val="20"/>
              </w:rPr>
              <w:t>至</w:t>
            </w:r>
            <w:r>
              <w:rPr>
                <w:rFonts w:hint="eastAsia"/>
                <w:snapToGrid/>
                <w:sz w:val="20"/>
              </w:rPr>
              <w:t>1992</w:t>
            </w:r>
            <w:r>
              <w:rPr>
                <w:rFonts w:hint="eastAsia"/>
                <w:snapToGrid/>
                <w:sz w:val="20"/>
              </w:rPr>
              <w:t>年年底和长期</w:t>
            </w:r>
          </w:p>
        </w:tc>
      </w:tr>
      <w:tr w:rsidR="00000000">
        <w:tblPrEx>
          <w:tblCellMar>
            <w:top w:w="0" w:type="dxa"/>
            <w:bottom w:w="0" w:type="dxa"/>
          </w:tblCellMar>
        </w:tblPrEx>
        <w:tc>
          <w:tcPr>
            <w:tcW w:w="5173" w:type="dxa"/>
          </w:tcPr>
          <w:p w:rsidR="00000000" w:rsidRDefault="00000000">
            <w:pPr>
              <w:pStyle w:val="a2"/>
              <w:spacing w:after="120" w:line="280" w:lineRule="exact"/>
              <w:ind w:left="510" w:right="113" w:hanging="397"/>
              <w:rPr>
                <w:rFonts w:hint="eastAsia"/>
                <w:snapToGrid/>
                <w:sz w:val="20"/>
              </w:rPr>
            </w:pPr>
            <w:r>
              <w:rPr>
                <w:rFonts w:hint="eastAsia"/>
                <w:snapToGrid/>
                <w:sz w:val="20"/>
              </w:rPr>
              <w:t xml:space="preserve">8.  </w:t>
            </w:r>
            <w:r>
              <w:rPr>
                <w:rFonts w:hint="eastAsia"/>
                <w:snapToGrid/>
                <w:sz w:val="20"/>
              </w:rPr>
              <w:t>按照有关法律对“法定福利规则”、“城市和乡村电话网规则”以及“电信服务费率”作出必要的修正。</w:t>
            </w:r>
          </w:p>
        </w:tc>
        <w:tc>
          <w:tcPr>
            <w:tcW w:w="2415" w:type="dxa"/>
          </w:tcPr>
          <w:p w:rsidR="00000000" w:rsidRDefault="00000000">
            <w:pPr>
              <w:pStyle w:val="a2"/>
              <w:spacing w:after="120" w:line="280" w:lineRule="exact"/>
              <w:ind w:left="113" w:right="113"/>
              <w:rPr>
                <w:rFonts w:hint="eastAsia"/>
                <w:snapToGrid/>
                <w:sz w:val="20"/>
              </w:rPr>
            </w:pPr>
            <w:r>
              <w:rPr>
                <w:rFonts w:hint="eastAsia"/>
                <w:snapToGrid/>
                <w:sz w:val="20"/>
              </w:rPr>
              <w:t>信息科学、信息和电信部</w:t>
            </w:r>
          </w:p>
        </w:tc>
        <w:tc>
          <w:tcPr>
            <w:tcW w:w="1822" w:type="dxa"/>
          </w:tcPr>
          <w:p w:rsidR="00000000" w:rsidRDefault="00000000">
            <w:pPr>
              <w:pStyle w:val="a2"/>
              <w:spacing w:after="120" w:line="280" w:lineRule="exact"/>
              <w:ind w:left="113" w:right="113"/>
              <w:rPr>
                <w:rFonts w:hint="eastAsia"/>
                <w:snapToGrid/>
                <w:sz w:val="20"/>
              </w:rPr>
            </w:pPr>
            <w:r>
              <w:rPr>
                <w:rFonts w:hint="eastAsia"/>
                <w:snapToGrid/>
                <w:sz w:val="20"/>
              </w:rPr>
              <w:t>1992</w:t>
            </w:r>
            <w:r>
              <w:rPr>
                <w:rFonts w:hint="eastAsia"/>
                <w:snapToGrid/>
                <w:sz w:val="20"/>
              </w:rPr>
              <w:t>年</w:t>
            </w:r>
            <w:r>
              <w:rPr>
                <w:rFonts w:hint="eastAsia"/>
                <w:snapToGrid/>
                <w:sz w:val="20"/>
              </w:rPr>
              <w:t>10</w:t>
            </w:r>
            <w:r>
              <w:rPr>
                <w:rFonts w:hint="eastAsia"/>
                <w:snapToGrid/>
                <w:sz w:val="20"/>
              </w:rPr>
              <w:t>月</w:t>
            </w:r>
            <w:r>
              <w:rPr>
                <w:rFonts w:hint="eastAsia"/>
                <w:snapToGrid/>
                <w:sz w:val="20"/>
              </w:rPr>
              <w:t>15</w:t>
            </w:r>
            <w:r>
              <w:rPr>
                <w:rFonts w:hint="eastAsia"/>
                <w:snapToGrid/>
                <w:sz w:val="20"/>
              </w:rPr>
              <w:t>日</w:t>
            </w:r>
          </w:p>
        </w:tc>
      </w:tr>
    </w:tbl>
    <w:p w:rsidR="00000000" w:rsidRDefault="00000000">
      <w:pPr>
        <w:rPr>
          <w:rFonts w:hint="eastAsia"/>
          <w:snapToGrid/>
        </w:rPr>
      </w:pPr>
    </w:p>
    <w:p w:rsidR="00000000" w:rsidRDefault="00000000">
      <w:pPr>
        <w:rPr>
          <w:rFonts w:hint="eastAsia"/>
          <w:snapToGrid/>
        </w:rPr>
      </w:pPr>
      <w:r>
        <w:rPr>
          <w:rFonts w:hint="eastAsia"/>
          <w:snapToGrid/>
        </w:rPr>
        <w:tab/>
        <w:t xml:space="preserve">325.  </w:t>
      </w:r>
      <w:r>
        <w:rPr>
          <w:rFonts w:hint="eastAsia"/>
          <w:snapToGrid/>
        </w:rPr>
        <w:t>政府通过一项决定设立了部门间委员会</w:t>
      </w:r>
      <w:r>
        <w:rPr>
          <w:rFonts w:hint="eastAsia"/>
          <w:snapToGrid/>
        </w:rPr>
        <w:t>(</w:t>
      </w:r>
      <w:r>
        <w:rPr>
          <w:rFonts w:hint="eastAsia"/>
          <w:snapToGrid/>
        </w:rPr>
        <w:t>以下简称“委员会”</w:t>
      </w:r>
      <w:r>
        <w:rPr>
          <w:rFonts w:hint="eastAsia"/>
          <w:snapToGrid/>
        </w:rPr>
        <w:t>)</w:t>
      </w:r>
      <w:r>
        <w:rPr>
          <w:rFonts w:hint="eastAsia"/>
          <w:snapToGrid/>
        </w:rPr>
        <w:t>，在政府指导下解决残疾人的问题。委员会是一个协商机构，负责拟订和宣传有关预防残疾和残疾人康复的国家政策、方案、计划和行动，以及为摩尔多瓦共和国的残疾人和其他公民提供《宪法》所规定的平等权利和自由。委员会有义务促进通过经济有效的措施，以解决残疾人的问题，实施残疾人保护方案，并协调主要的国家机关、协会、公共基金、其他组织和公民在这一领域所做的努力。</w:t>
      </w:r>
    </w:p>
    <w:p w:rsidR="00000000" w:rsidRDefault="00000000">
      <w:pPr>
        <w:rPr>
          <w:rFonts w:hint="eastAsia"/>
          <w:snapToGrid/>
        </w:rPr>
      </w:pPr>
      <w:r>
        <w:rPr>
          <w:rFonts w:hint="eastAsia"/>
          <w:snapToGrid/>
        </w:rPr>
        <w:tab/>
        <w:t xml:space="preserve">326.  </w:t>
      </w:r>
      <w:r>
        <w:rPr>
          <w:rFonts w:hint="eastAsia"/>
          <w:snapToGrid/>
        </w:rPr>
        <w:t>委员会就以下事项开展调查并通过有关决定：</w:t>
      </w:r>
    </w:p>
    <w:p w:rsidR="00000000" w:rsidRDefault="00000000">
      <w:pPr>
        <w:numPr>
          <w:ilvl w:val="0"/>
          <w:numId w:val="508"/>
        </w:numPr>
        <w:tabs>
          <w:tab w:val="clear" w:pos="737"/>
        </w:tabs>
        <w:ind w:left="1531"/>
        <w:rPr>
          <w:rFonts w:hint="eastAsia"/>
          <w:snapToGrid/>
        </w:rPr>
      </w:pPr>
      <w:r>
        <w:rPr>
          <w:rFonts w:hint="eastAsia"/>
          <w:snapToGrid/>
        </w:rPr>
        <w:t>确定致残原因和预防残疾的措施；</w:t>
      </w:r>
    </w:p>
    <w:p w:rsidR="00000000" w:rsidRDefault="00000000">
      <w:pPr>
        <w:numPr>
          <w:ilvl w:val="0"/>
          <w:numId w:val="508"/>
        </w:numPr>
        <w:tabs>
          <w:tab w:val="clear" w:pos="737"/>
        </w:tabs>
        <w:ind w:left="1531"/>
        <w:rPr>
          <w:rFonts w:hint="eastAsia"/>
          <w:snapToGrid/>
        </w:rPr>
      </w:pPr>
      <w:r>
        <w:rPr>
          <w:rFonts w:hint="eastAsia"/>
          <w:snapToGrid/>
        </w:rPr>
        <w:t>提高残疾人医疗、职业和社会康复的效率；</w:t>
      </w:r>
    </w:p>
    <w:p w:rsidR="00000000" w:rsidRDefault="00000000">
      <w:pPr>
        <w:numPr>
          <w:ilvl w:val="0"/>
          <w:numId w:val="508"/>
        </w:numPr>
        <w:tabs>
          <w:tab w:val="clear" w:pos="737"/>
        </w:tabs>
        <w:ind w:left="1531"/>
        <w:rPr>
          <w:rFonts w:hint="eastAsia"/>
          <w:snapToGrid/>
        </w:rPr>
      </w:pPr>
      <w:r>
        <w:rPr>
          <w:rFonts w:hint="eastAsia"/>
          <w:snapToGrid/>
        </w:rPr>
        <w:t>残疾人自由出入社会基础设施物体；</w:t>
      </w:r>
    </w:p>
    <w:p w:rsidR="00000000" w:rsidRDefault="00000000">
      <w:pPr>
        <w:numPr>
          <w:ilvl w:val="0"/>
          <w:numId w:val="508"/>
        </w:numPr>
        <w:tabs>
          <w:tab w:val="clear" w:pos="737"/>
        </w:tabs>
        <w:ind w:left="1531"/>
        <w:rPr>
          <w:rFonts w:hint="eastAsia"/>
          <w:snapToGrid/>
        </w:rPr>
      </w:pPr>
      <w:r>
        <w:rPr>
          <w:rFonts w:hint="eastAsia"/>
          <w:snapToGrid/>
        </w:rPr>
        <w:t>改进对残疾人的学前和基础教育；</w:t>
      </w:r>
    </w:p>
    <w:p w:rsidR="00000000" w:rsidRDefault="00000000">
      <w:pPr>
        <w:numPr>
          <w:ilvl w:val="0"/>
          <w:numId w:val="508"/>
        </w:numPr>
        <w:tabs>
          <w:tab w:val="clear" w:pos="737"/>
        </w:tabs>
        <w:ind w:left="1531"/>
        <w:rPr>
          <w:rFonts w:hint="eastAsia"/>
          <w:snapToGrid/>
        </w:rPr>
      </w:pPr>
      <w:r>
        <w:rPr>
          <w:rFonts w:hint="eastAsia"/>
          <w:snapToGrid/>
        </w:rPr>
        <w:t>实现残疾人重要保险和社会服务多样化；</w:t>
      </w:r>
    </w:p>
    <w:p w:rsidR="00000000" w:rsidRDefault="00000000">
      <w:pPr>
        <w:numPr>
          <w:ilvl w:val="0"/>
          <w:numId w:val="508"/>
        </w:numPr>
        <w:tabs>
          <w:tab w:val="clear" w:pos="737"/>
        </w:tabs>
        <w:ind w:left="1531"/>
        <w:rPr>
          <w:rFonts w:hint="eastAsia"/>
          <w:snapToGrid/>
        </w:rPr>
      </w:pPr>
      <w:r>
        <w:rPr>
          <w:rFonts w:hint="eastAsia"/>
          <w:snapToGrid/>
        </w:rPr>
        <w:t>为残疾人实现其工作权利创造条件，为他们提供工作场所；</w:t>
      </w:r>
    </w:p>
    <w:p w:rsidR="00000000" w:rsidRDefault="00000000">
      <w:pPr>
        <w:numPr>
          <w:ilvl w:val="0"/>
          <w:numId w:val="508"/>
        </w:numPr>
        <w:tabs>
          <w:tab w:val="clear" w:pos="737"/>
        </w:tabs>
        <w:ind w:left="1531"/>
        <w:rPr>
          <w:rFonts w:hint="eastAsia"/>
          <w:snapToGrid/>
        </w:rPr>
      </w:pPr>
      <w:r>
        <w:rPr>
          <w:rFonts w:hint="eastAsia"/>
          <w:snapToGrid/>
        </w:rPr>
        <w:t>为残疾人提供适当的工作和休息条件，创造便于他们开展体育锻炼的条件，受益于国家和国际文化表现形式；</w:t>
      </w:r>
    </w:p>
    <w:p w:rsidR="00000000" w:rsidRDefault="00000000">
      <w:pPr>
        <w:numPr>
          <w:ilvl w:val="0"/>
          <w:numId w:val="508"/>
        </w:numPr>
        <w:tabs>
          <w:tab w:val="clear" w:pos="737"/>
        </w:tabs>
        <w:ind w:left="1531"/>
        <w:rPr>
          <w:rFonts w:hint="eastAsia"/>
          <w:snapToGrid/>
        </w:rPr>
      </w:pPr>
      <w:r>
        <w:rPr>
          <w:rFonts w:hint="eastAsia"/>
          <w:snapToGrid/>
        </w:rPr>
        <w:t>康复和预防；</w:t>
      </w:r>
    </w:p>
    <w:p w:rsidR="00000000" w:rsidRDefault="00000000">
      <w:pPr>
        <w:numPr>
          <w:ilvl w:val="0"/>
          <w:numId w:val="508"/>
        </w:numPr>
        <w:tabs>
          <w:tab w:val="clear" w:pos="737"/>
        </w:tabs>
        <w:ind w:left="1531"/>
        <w:rPr>
          <w:rFonts w:hint="eastAsia"/>
          <w:snapToGrid/>
        </w:rPr>
      </w:pPr>
      <w:r>
        <w:rPr>
          <w:rFonts w:hint="eastAsia"/>
          <w:snapToGrid/>
        </w:rPr>
        <w:t>国家间就残疾和残疾人问题开展的合作；</w:t>
      </w:r>
    </w:p>
    <w:p w:rsidR="00000000" w:rsidRDefault="00000000">
      <w:pPr>
        <w:numPr>
          <w:ilvl w:val="0"/>
          <w:numId w:val="508"/>
        </w:numPr>
        <w:tabs>
          <w:tab w:val="clear" w:pos="737"/>
        </w:tabs>
        <w:ind w:left="1531"/>
        <w:rPr>
          <w:snapToGrid/>
        </w:rPr>
      </w:pPr>
      <w:r>
        <w:rPr>
          <w:rFonts w:hint="eastAsia"/>
          <w:snapToGrid/>
        </w:rPr>
        <w:t>与残疾人有关的社会政策方面的其他问题。</w:t>
      </w:r>
    </w:p>
    <w:p w:rsidR="00000000" w:rsidRDefault="00000000">
      <w:pPr>
        <w:rPr>
          <w:rFonts w:hint="eastAsia"/>
          <w:snapToGrid/>
        </w:rPr>
      </w:pPr>
      <w:r>
        <w:rPr>
          <w:rFonts w:hint="eastAsia"/>
          <w:snapToGrid/>
        </w:rPr>
        <w:tab/>
        <w:t xml:space="preserve">327.  </w:t>
      </w:r>
      <w:r>
        <w:rPr>
          <w:rFonts w:hint="eastAsia"/>
          <w:snapToGrid/>
        </w:rPr>
        <w:t>委员会受权：</w:t>
      </w:r>
    </w:p>
    <w:p w:rsidR="00000000" w:rsidRDefault="00000000">
      <w:pPr>
        <w:numPr>
          <w:ilvl w:val="0"/>
          <w:numId w:val="509"/>
        </w:numPr>
        <w:ind w:left="1531"/>
        <w:rPr>
          <w:rFonts w:hint="eastAsia"/>
          <w:snapToGrid/>
        </w:rPr>
      </w:pPr>
      <w:r>
        <w:rPr>
          <w:rFonts w:hint="eastAsia"/>
          <w:snapToGrid/>
        </w:rPr>
        <w:t>审查有关《残疾人社会保护法》所涉问题的法律文书；</w:t>
      </w:r>
    </w:p>
    <w:p w:rsidR="00000000" w:rsidRDefault="00000000">
      <w:pPr>
        <w:numPr>
          <w:ilvl w:val="0"/>
          <w:numId w:val="509"/>
        </w:numPr>
        <w:ind w:left="1531"/>
        <w:rPr>
          <w:rFonts w:hint="eastAsia"/>
          <w:snapToGrid/>
        </w:rPr>
      </w:pPr>
      <w:r>
        <w:rPr>
          <w:rFonts w:hint="eastAsia"/>
          <w:snapToGrid/>
        </w:rPr>
        <w:t>协调残疾人公共组织代表残疾人拟订和通过决定的行动。</w:t>
      </w:r>
    </w:p>
    <w:p w:rsidR="00000000" w:rsidRDefault="00000000">
      <w:pPr>
        <w:rPr>
          <w:rFonts w:hint="eastAsia"/>
          <w:snapToGrid/>
        </w:rPr>
      </w:pPr>
      <w:r>
        <w:rPr>
          <w:rFonts w:hint="eastAsia"/>
          <w:snapToGrid/>
        </w:rPr>
        <w:tab/>
        <w:t xml:space="preserve">328.  </w:t>
      </w:r>
      <w:r>
        <w:rPr>
          <w:rFonts w:hint="eastAsia"/>
          <w:snapToGrid/>
        </w:rPr>
        <w:t>委员会有权：</w:t>
      </w:r>
    </w:p>
    <w:p w:rsidR="00000000" w:rsidRDefault="00000000">
      <w:pPr>
        <w:numPr>
          <w:ilvl w:val="0"/>
          <w:numId w:val="510"/>
        </w:numPr>
        <w:ind w:left="1531"/>
        <w:rPr>
          <w:rFonts w:hint="eastAsia"/>
          <w:snapToGrid/>
        </w:rPr>
      </w:pPr>
      <w:r>
        <w:rPr>
          <w:rFonts w:hint="eastAsia"/>
          <w:snapToGrid/>
        </w:rPr>
        <w:t>提交关于暂时取消各部委违反现行法律规定的规范性文书，必要时，可将有关这些问题的解决办法提交政府；</w:t>
      </w:r>
    </w:p>
    <w:p w:rsidR="00000000" w:rsidRDefault="00000000">
      <w:pPr>
        <w:numPr>
          <w:ilvl w:val="0"/>
          <w:numId w:val="510"/>
        </w:numPr>
        <w:ind w:left="1531"/>
        <w:rPr>
          <w:rFonts w:hint="eastAsia"/>
          <w:snapToGrid/>
        </w:rPr>
      </w:pPr>
      <w:r>
        <w:rPr>
          <w:rFonts w:hint="eastAsia"/>
          <w:snapToGrid/>
        </w:rPr>
        <w:t>审查各部委和地方自治组织负责人提交的有关残疾人问题的资料；</w:t>
      </w:r>
    </w:p>
    <w:p w:rsidR="00000000" w:rsidRDefault="00000000">
      <w:pPr>
        <w:numPr>
          <w:ilvl w:val="0"/>
          <w:numId w:val="510"/>
        </w:numPr>
        <w:ind w:left="1531"/>
        <w:rPr>
          <w:rFonts w:hint="eastAsia"/>
          <w:snapToGrid/>
        </w:rPr>
      </w:pPr>
      <w:r>
        <w:rPr>
          <w:rFonts w:hint="eastAsia"/>
          <w:snapToGrid/>
        </w:rPr>
        <w:t>使各部委、协会、企业和机构参与就涉及其管辖权的问题作出决定。</w:t>
      </w:r>
    </w:p>
    <w:p w:rsidR="00000000" w:rsidRDefault="00000000">
      <w:pPr>
        <w:rPr>
          <w:rFonts w:hint="eastAsia"/>
          <w:snapToGrid/>
        </w:rPr>
      </w:pPr>
      <w:r>
        <w:rPr>
          <w:rFonts w:hint="eastAsia"/>
          <w:snapToGrid/>
        </w:rPr>
        <w:tab/>
        <w:t xml:space="preserve">329.  </w:t>
      </w:r>
      <w:r>
        <w:rPr>
          <w:rFonts w:hint="eastAsia"/>
          <w:snapToGrid/>
        </w:rPr>
        <w:t>政府于</w:t>
      </w:r>
      <w:r>
        <w:rPr>
          <w:rFonts w:hint="eastAsia"/>
          <w:snapToGrid/>
        </w:rPr>
        <w:t>1998</w:t>
      </w:r>
      <w:r>
        <w:rPr>
          <w:rFonts w:hint="eastAsia"/>
          <w:snapToGrid/>
        </w:rPr>
        <w:t>年</w:t>
      </w:r>
      <w:r>
        <w:rPr>
          <w:rFonts w:hint="eastAsia"/>
          <w:snapToGrid/>
        </w:rPr>
        <w:t>9</w:t>
      </w:r>
      <w:r>
        <w:rPr>
          <w:rFonts w:hint="eastAsia"/>
          <w:snapToGrid/>
        </w:rPr>
        <w:t>月</w:t>
      </w:r>
      <w:r>
        <w:rPr>
          <w:rFonts w:hint="eastAsia"/>
          <w:snapToGrid/>
        </w:rPr>
        <w:t>25</w:t>
      </w:r>
      <w:r>
        <w:rPr>
          <w:rFonts w:hint="eastAsia"/>
          <w:snapToGrid/>
        </w:rPr>
        <w:t>日颁布了《关于失业者社会保护和重返社会的第</w:t>
      </w:r>
      <w:r>
        <w:rPr>
          <w:rFonts w:hint="eastAsia"/>
          <w:snapToGrid/>
        </w:rPr>
        <w:t>995</w:t>
      </w:r>
      <w:r>
        <w:rPr>
          <w:rFonts w:hint="eastAsia"/>
          <w:snapToGrid/>
        </w:rPr>
        <w:t>号决定》，核可了关于失业登记、与失业人员合作和为其提供失业补偿的具体方式的《条例》。《条例》规定，按照</w:t>
      </w:r>
      <w:r>
        <w:rPr>
          <w:rFonts w:hint="eastAsia"/>
          <w:snapToGrid/>
        </w:rPr>
        <w:t>1992</w:t>
      </w:r>
      <w:r>
        <w:rPr>
          <w:rFonts w:hint="eastAsia"/>
          <w:snapToGrid/>
        </w:rPr>
        <w:t>年</w:t>
      </w:r>
      <w:r>
        <w:rPr>
          <w:rFonts w:hint="eastAsia"/>
          <w:snapToGrid/>
        </w:rPr>
        <w:t>1</w:t>
      </w:r>
      <w:r>
        <w:rPr>
          <w:rFonts w:hint="eastAsia"/>
          <w:snapToGrid/>
        </w:rPr>
        <w:t>月</w:t>
      </w:r>
      <w:r>
        <w:rPr>
          <w:rFonts w:hint="eastAsia"/>
          <w:snapToGrid/>
        </w:rPr>
        <w:t>21</w:t>
      </w:r>
      <w:r>
        <w:rPr>
          <w:rFonts w:hint="eastAsia"/>
          <w:snapToGrid/>
        </w:rPr>
        <w:t>日《第</w:t>
      </w:r>
      <w:r>
        <w:rPr>
          <w:rFonts w:hint="eastAsia"/>
          <w:snapToGrid/>
        </w:rPr>
        <w:t>868-XII</w:t>
      </w:r>
      <w:r>
        <w:rPr>
          <w:rFonts w:hint="eastAsia"/>
          <w:snapToGrid/>
        </w:rPr>
        <w:t>号就业法》，在失业登记、与失业人员合作和为其提供失业补偿方面，摩尔多瓦共和国全国实行统一的做法。</w:t>
      </w:r>
    </w:p>
    <w:p w:rsidR="00000000" w:rsidRDefault="00000000">
      <w:pPr>
        <w:rPr>
          <w:rFonts w:hint="eastAsia"/>
          <w:snapToGrid/>
        </w:rPr>
      </w:pPr>
      <w:r>
        <w:rPr>
          <w:rFonts w:hint="eastAsia"/>
          <w:snapToGrid/>
        </w:rPr>
        <w:tab/>
        <w:t xml:space="preserve">330.  </w:t>
      </w:r>
      <w:r>
        <w:rPr>
          <w:rFonts w:hint="eastAsia"/>
          <w:snapToGrid/>
        </w:rPr>
        <w:t>按照该《条例》，从业人口</w:t>
      </w:r>
      <w:r>
        <w:rPr>
          <w:rFonts w:hint="eastAsia"/>
          <w:snapToGrid/>
        </w:rPr>
        <w:t>(</w:t>
      </w:r>
      <w:r>
        <w:rPr>
          <w:rFonts w:hint="eastAsia"/>
          <w:snapToGrid/>
        </w:rPr>
        <w:t>包括三等残疾人</w:t>
      </w:r>
      <w:r>
        <w:rPr>
          <w:rFonts w:hint="eastAsia"/>
          <w:snapToGrid/>
        </w:rPr>
        <w:t>)</w:t>
      </w:r>
      <w:r>
        <w:rPr>
          <w:rFonts w:hint="eastAsia"/>
          <w:snapToGrid/>
        </w:rPr>
        <w:t>如所从事的工作与其能力资格或法定收入不相称，并且在职业介绍所作了登记，即可视为失业者。国家保障这类人员享有获得社会保护的权利。视某人为失业者的法定条件是，向职业介绍所提出就业申请。失业补偿由失业基金支付，失业基金则由国家社会保险预算拨款。</w:t>
      </w:r>
    </w:p>
    <w:p w:rsidR="00000000" w:rsidRDefault="00000000">
      <w:pPr>
        <w:rPr>
          <w:rFonts w:hint="eastAsia"/>
          <w:snapToGrid/>
        </w:rPr>
      </w:pPr>
      <w:r>
        <w:rPr>
          <w:rFonts w:hint="eastAsia"/>
          <w:snapToGrid/>
        </w:rPr>
        <w:tab/>
        <w:t xml:space="preserve">331.  </w:t>
      </w:r>
      <w:r>
        <w:rPr>
          <w:rFonts w:hint="eastAsia"/>
          <w:snapToGrid/>
        </w:rPr>
        <w:t>关于失业人员登记和与失业人员合作的方式，在所述《条例》第二章中作了如下规定：“所有公民，不分其民族、国籍、民族血统、语言、宗教、性别、政治或其他见解、财产、社会出身、教育、职业如何，凡希望就业者，均有权向职业介绍所提出申请。”</w:t>
      </w:r>
    </w:p>
    <w:p w:rsidR="00000000" w:rsidRDefault="00000000">
      <w:pPr>
        <w:rPr>
          <w:rFonts w:hint="eastAsia"/>
          <w:snapToGrid/>
        </w:rPr>
      </w:pPr>
      <w:r>
        <w:rPr>
          <w:rFonts w:hint="eastAsia"/>
          <w:snapToGrid/>
        </w:rPr>
        <w:tab/>
        <w:t xml:space="preserve">332.  </w:t>
      </w:r>
      <w:r>
        <w:rPr>
          <w:rFonts w:hint="eastAsia"/>
          <w:snapToGrid/>
        </w:rPr>
        <w:t>失业人员在主要登记中心进行登记，在标准表格内填写个人详细资料。每个失业人员在证据登记中心登记时，使用与其个人记录一致的号码。职业介绍所将不具备失业人员身份的人</w:t>
      </w:r>
      <w:r>
        <w:rPr>
          <w:rFonts w:hint="eastAsia"/>
          <w:snapToGrid/>
        </w:rPr>
        <w:t>(16</w:t>
      </w:r>
      <w:r>
        <w:rPr>
          <w:rFonts w:hint="eastAsia"/>
          <w:snapToGrid/>
        </w:rPr>
        <w:t>岁以下、一等和二等残疾人、养恤金领取者，等等</w:t>
      </w:r>
      <w:r>
        <w:rPr>
          <w:rFonts w:hint="eastAsia"/>
          <w:snapToGrid/>
        </w:rPr>
        <w:t>)</w:t>
      </w:r>
      <w:r>
        <w:rPr>
          <w:rFonts w:hint="eastAsia"/>
          <w:snapToGrid/>
        </w:rPr>
        <w:t>的申请分类归档，并将在谋职方面向他们提供必要支助。符合《第</w:t>
      </w:r>
      <w:r>
        <w:rPr>
          <w:rFonts w:hint="eastAsia"/>
          <w:snapToGrid/>
        </w:rPr>
        <w:t>878-XII</w:t>
      </w:r>
      <w:r>
        <w:rPr>
          <w:rFonts w:hint="eastAsia"/>
          <w:snapToGrid/>
        </w:rPr>
        <w:t>号法》第</w:t>
      </w:r>
      <w:r>
        <w:rPr>
          <w:rFonts w:hint="eastAsia"/>
          <w:snapToGrid/>
        </w:rPr>
        <w:t>4</w:t>
      </w:r>
      <w:r>
        <w:rPr>
          <w:rFonts w:hint="eastAsia"/>
          <w:snapToGrid/>
        </w:rPr>
        <w:t>条规定者，一旦进行求职登记，其失业者身份即得到认可。</w:t>
      </w:r>
    </w:p>
    <w:p w:rsidR="00000000" w:rsidRDefault="00000000">
      <w:pPr>
        <w:rPr>
          <w:rFonts w:hint="eastAsia"/>
          <w:snapToGrid/>
        </w:rPr>
      </w:pPr>
      <w:r>
        <w:rPr>
          <w:rFonts w:hint="eastAsia"/>
          <w:snapToGrid/>
        </w:rPr>
        <w:tab/>
        <w:t xml:space="preserve">333.  </w:t>
      </w:r>
      <w:r>
        <w:rPr>
          <w:rFonts w:hint="eastAsia"/>
          <w:snapToGrid/>
        </w:rPr>
        <w:t>《条例》第</w:t>
      </w:r>
      <w:r>
        <w:rPr>
          <w:rFonts w:hint="eastAsia"/>
          <w:snapToGrid/>
        </w:rPr>
        <w:t>3</w:t>
      </w:r>
      <w:r>
        <w:rPr>
          <w:rFonts w:hint="eastAsia"/>
          <w:snapToGrid/>
        </w:rPr>
        <w:t>条就给予失业补偿的方式作出规定。失业人员如果是因无空缺职位而无法工作的，有权领取《第</w:t>
      </w:r>
      <w:r>
        <w:rPr>
          <w:rFonts w:hint="eastAsia"/>
          <w:snapToGrid/>
        </w:rPr>
        <w:t>878-XII</w:t>
      </w:r>
      <w:r>
        <w:rPr>
          <w:rFonts w:hint="eastAsia"/>
          <w:snapToGrid/>
        </w:rPr>
        <w:t>号法》规定的失业补偿。他们必须出具证明他们享有这一权利所必要的文件。上述法律第</w:t>
      </w:r>
      <w:r>
        <w:rPr>
          <w:rFonts w:hint="eastAsia"/>
          <w:snapToGrid/>
        </w:rPr>
        <w:t>15</w:t>
      </w:r>
      <w:r>
        <w:rPr>
          <w:rFonts w:hint="eastAsia"/>
          <w:snapToGrid/>
        </w:rPr>
        <w:t>和</w:t>
      </w:r>
      <w:r>
        <w:rPr>
          <w:rFonts w:hint="eastAsia"/>
          <w:snapToGrid/>
        </w:rPr>
        <w:t>18</w:t>
      </w:r>
      <w:r>
        <w:rPr>
          <w:rFonts w:hint="eastAsia"/>
          <w:snapToGrid/>
        </w:rPr>
        <w:t>条就领取失业补偿的权利和条件作出规定。</w:t>
      </w:r>
    </w:p>
    <w:p w:rsidR="00000000" w:rsidRDefault="00000000">
      <w:pPr>
        <w:rPr>
          <w:rFonts w:hint="eastAsia"/>
          <w:snapToGrid/>
        </w:rPr>
      </w:pPr>
      <w:r>
        <w:rPr>
          <w:rFonts w:hint="eastAsia"/>
          <w:snapToGrid/>
        </w:rPr>
        <w:tab/>
        <w:t xml:space="preserve">334.  </w:t>
      </w:r>
      <w:r>
        <w:rPr>
          <w:rFonts w:hint="eastAsia"/>
          <w:snapToGrid/>
        </w:rPr>
        <w:t>符合</w:t>
      </w:r>
      <w:r>
        <w:rPr>
          <w:rFonts w:hint="eastAsia"/>
          <w:snapToGrid/>
        </w:rPr>
        <w:t>1991</w:t>
      </w:r>
      <w:r>
        <w:rPr>
          <w:rFonts w:hint="eastAsia"/>
          <w:snapToGrid/>
        </w:rPr>
        <w:t>年</w:t>
      </w:r>
      <w:r>
        <w:rPr>
          <w:rFonts w:hint="eastAsia"/>
          <w:snapToGrid/>
        </w:rPr>
        <w:t>1</w:t>
      </w:r>
      <w:r>
        <w:rPr>
          <w:rFonts w:hint="eastAsia"/>
          <w:snapToGrid/>
        </w:rPr>
        <w:t>月</w:t>
      </w:r>
      <w:r>
        <w:rPr>
          <w:rFonts w:hint="eastAsia"/>
          <w:snapToGrid/>
        </w:rPr>
        <w:t>21</w:t>
      </w:r>
      <w:r>
        <w:rPr>
          <w:rFonts w:hint="eastAsia"/>
          <w:snapToGrid/>
        </w:rPr>
        <w:t>日《第</w:t>
      </w:r>
      <w:r>
        <w:rPr>
          <w:rFonts w:hint="eastAsia"/>
          <w:snapToGrid/>
        </w:rPr>
        <w:t>878-XII</w:t>
      </w:r>
      <w:r>
        <w:rPr>
          <w:rFonts w:hint="eastAsia"/>
          <w:snapToGrid/>
        </w:rPr>
        <w:t>号就业法》规定的公民，均可领取失业补偿。在职业介绍所登记八天后，如登记业经必要文件核证，即可享有失业补偿权利。其他类别的失业人员如符合以下时间要求者，也可享有同样的权利：</w:t>
      </w:r>
    </w:p>
    <w:p w:rsidR="00000000" w:rsidRDefault="00000000">
      <w:pPr>
        <w:numPr>
          <w:ilvl w:val="0"/>
          <w:numId w:val="511"/>
        </w:numPr>
        <w:ind w:left="1531"/>
        <w:rPr>
          <w:rFonts w:hint="eastAsia"/>
          <w:snapToGrid/>
        </w:rPr>
      </w:pPr>
      <w:r>
        <w:rPr>
          <w:rFonts w:hint="eastAsia"/>
          <w:snapToGrid/>
        </w:rPr>
        <w:t>被解雇有三个月：被经济单位解雇的人员；</w:t>
      </w:r>
    </w:p>
    <w:p w:rsidR="00000000" w:rsidRDefault="00000000">
      <w:pPr>
        <w:numPr>
          <w:ilvl w:val="0"/>
          <w:numId w:val="511"/>
        </w:numPr>
        <w:ind w:left="1531"/>
        <w:rPr>
          <w:rFonts w:hint="eastAsia"/>
          <w:snapToGrid/>
        </w:rPr>
      </w:pPr>
      <w:r>
        <w:rPr>
          <w:rFonts w:hint="eastAsia"/>
          <w:snapToGrid/>
        </w:rPr>
        <w:t>毕业六十天：教育机构的毕业生；</w:t>
      </w:r>
    </w:p>
    <w:p w:rsidR="00000000" w:rsidRDefault="00000000">
      <w:pPr>
        <w:numPr>
          <w:ilvl w:val="0"/>
          <w:numId w:val="511"/>
        </w:numPr>
        <w:ind w:left="1531"/>
        <w:rPr>
          <w:rFonts w:hint="eastAsia"/>
          <w:snapToGrid/>
        </w:rPr>
      </w:pPr>
      <w:r>
        <w:rPr>
          <w:rFonts w:hint="eastAsia"/>
          <w:snapToGrid/>
        </w:rPr>
        <w:t>退休三十天：从军事或其他部门退休的人员。</w:t>
      </w:r>
    </w:p>
    <w:p w:rsidR="00000000" w:rsidRDefault="00000000">
      <w:pPr>
        <w:rPr>
          <w:rFonts w:hint="eastAsia"/>
          <w:snapToGrid/>
        </w:rPr>
      </w:pPr>
      <w:r>
        <w:rPr>
          <w:rFonts w:hint="eastAsia"/>
          <w:snapToGrid/>
        </w:rPr>
        <w:tab/>
        <w:t xml:space="preserve">335.  </w:t>
      </w:r>
      <w:r>
        <w:rPr>
          <w:rFonts w:hint="eastAsia"/>
          <w:snapToGrid/>
        </w:rPr>
        <w:t>政府规定了失业补偿的支付方式。下列人员有权领取失业补偿：</w:t>
      </w:r>
    </w:p>
    <w:p w:rsidR="00000000" w:rsidRDefault="00000000">
      <w:pPr>
        <w:numPr>
          <w:ilvl w:val="0"/>
          <w:numId w:val="512"/>
        </w:numPr>
        <w:ind w:left="1531"/>
        <w:rPr>
          <w:rFonts w:hint="eastAsia"/>
          <w:snapToGrid/>
        </w:rPr>
      </w:pPr>
      <w:r>
        <w:rPr>
          <w:rFonts w:hint="eastAsia"/>
          <w:snapToGrid/>
        </w:rPr>
        <w:t>年满</w:t>
      </w:r>
      <w:r>
        <w:rPr>
          <w:rFonts w:hint="eastAsia"/>
          <w:snapToGrid/>
        </w:rPr>
        <w:t>18</w:t>
      </w:r>
      <w:r>
        <w:rPr>
          <w:rFonts w:hint="eastAsia"/>
          <w:snapToGrid/>
        </w:rPr>
        <w:t>岁的毕业生，没有达到国家最低薪金水平的收入来源，在毕业后六十天内无法找到与其所受专业培训相关的工作；</w:t>
      </w:r>
    </w:p>
    <w:p w:rsidR="00000000" w:rsidRDefault="00000000">
      <w:pPr>
        <w:numPr>
          <w:ilvl w:val="0"/>
          <w:numId w:val="512"/>
        </w:numPr>
        <w:ind w:left="1531"/>
        <w:rPr>
          <w:rFonts w:hint="eastAsia"/>
          <w:snapToGrid/>
        </w:rPr>
      </w:pPr>
      <w:r>
        <w:rPr>
          <w:rFonts w:hint="eastAsia"/>
          <w:snapToGrid/>
        </w:rPr>
        <w:t>从军事或其他部门退休的人员，在退休后三十天内找不到工作；</w:t>
      </w:r>
    </w:p>
    <w:p w:rsidR="00000000" w:rsidRDefault="00000000">
      <w:pPr>
        <w:numPr>
          <w:ilvl w:val="0"/>
          <w:numId w:val="512"/>
        </w:numPr>
        <w:ind w:left="1531"/>
        <w:rPr>
          <w:rFonts w:hint="eastAsia"/>
          <w:snapToGrid/>
        </w:rPr>
      </w:pPr>
      <w:r>
        <w:rPr>
          <w:rFonts w:hint="eastAsia"/>
          <w:snapToGrid/>
        </w:rPr>
        <w:t>劳动合同终止的人员，终止原因是生产和工作条件发生了变化，包括企业、机构和组织的撤消、重组或重新调整，或是机构裁员；</w:t>
      </w:r>
    </w:p>
    <w:p w:rsidR="00000000" w:rsidRDefault="00000000">
      <w:pPr>
        <w:numPr>
          <w:ilvl w:val="0"/>
          <w:numId w:val="512"/>
        </w:numPr>
        <w:ind w:left="1531"/>
        <w:rPr>
          <w:rFonts w:hint="eastAsia"/>
          <w:snapToGrid/>
        </w:rPr>
      </w:pPr>
      <w:r>
        <w:rPr>
          <w:rFonts w:hint="eastAsia"/>
          <w:snapToGrid/>
        </w:rPr>
        <w:t>被非法解雇，但也无法重返原岗位的人员；</w:t>
      </w:r>
    </w:p>
    <w:p w:rsidR="00000000" w:rsidRDefault="00000000">
      <w:pPr>
        <w:numPr>
          <w:ilvl w:val="0"/>
          <w:numId w:val="512"/>
        </w:numPr>
        <w:ind w:left="1531"/>
        <w:rPr>
          <w:rFonts w:hint="eastAsia"/>
          <w:snapToGrid/>
        </w:rPr>
      </w:pPr>
      <w:r>
        <w:rPr>
          <w:rFonts w:hint="eastAsia"/>
          <w:snapToGrid/>
        </w:rPr>
        <w:t>劳动合同因资格不够或健康原因而终止的人员；</w:t>
      </w:r>
    </w:p>
    <w:p w:rsidR="00000000" w:rsidRDefault="00000000">
      <w:pPr>
        <w:numPr>
          <w:ilvl w:val="0"/>
          <w:numId w:val="512"/>
        </w:numPr>
        <w:ind w:left="1531"/>
        <w:rPr>
          <w:rFonts w:hint="eastAsia"/>
          <w:snapToGrid/>
        </w:rPr>
      </w:pPr>
      <w:r>
        <w:rPr>
          <w:rFonts w:hint="eastAsia"/>
          <w:snapToGrid/>
        </w:rPr>
        <w:t>根据个人要求而终止劳动合同的人员，具体情况为：</w:t>
      </w:r>
    </w:p>
    <w:p w:rsidR="00000000" w:rsidRDefault="00000000">
      <w:pPr>
        <w:numPr>
          <w:ilvl w:val="1"/>
          <w:numId w:val="512"/>
        </w:numPr>
        <w:ind w:left="2051"/>
        <w:rPr>
          <w:rFonts w:hint="eastAsia"/>
          <w:snapToGrid/>
        </w:rPr>
      </w:pPr>
      <w:r>
        <w:rPr>
          <w:rFonts w:hint="eastAsia"/>
          <w:snapToGrid/>
        </w:rPr>
        <w:t>配偶一方调到另一地点工作；</w:t>
      </w:r>
    </w:p>
    <w:p w:rsidR="00000000" w:rsidRDefault="00000000">
      <w:pPr>
        <w:numPr>
          <w:ilvl w:val="1"/>
          <w:numId w:val="512"/>
        </w:numPr>
        <w:ind w:left="2051"/>
        <w:rPr>
          <w:rFonts w:hint="eastAsia"/>
          <w:snapToGrid/>
        </w:rPr>
      </w:pPr>
      <w:r>
        <w:rPr>
          <w:rFonts w:hint="eastAsia"/>
          <w:snapToGrid/>
        </w:rPr>
        <w:t>健康状况不允许工作；</w:t>
      </w:r>
    </w:p>
    <w:p w:rsidR="00000000" w:rsidRDefault="00000000">
      <w:pPr>
        <w:numPr>
          <w:ilvl w:val="1"/>
          <w:numId w:val="512"/>
        </w:numPr>
        <w:ind w:left="2051"/>
        <w:rPr>
          <w:rFonts w:hint="eastAsia"/>
          <w:snapToGrid/>
        </w:rPr>
      </w:pPr>
      <w:r>
        <w:rPr>
          <w:rFonts w:hint="eastAsia"/>
          <w:snapToGrid/>
        </w:rPr>
        <w:t>需要照顾家中的一等残疾人或残疾儿童</w:t>
      </w:r>
      <w:r>
        <w:rPr>
          <w:rFonts w:hint="eastAsia"/>
          <w:snapToGrid/>
        </w:rPr>
        <w:t>(16</w:t>
      </w:r>
      <w:r>
        <w:rPr>
          <w:rFonts w:hint="eastAsia"/>
          <w:snapToGrid/>
        </w:rPr>
        <w:t>岁以下</w:t>
      </w:r>
      <w:r>
        <w:rPr>
          <w:rFonts w:hint="eastAsia"/>
          <w:snapToGrid/>
        </w:rPr>
        <w:t>)</w:t>
      </w:r>
      <w:r>
        <w:rPr>
          <w:rFonts w:hint="eastAsia"/>
          <w:snapToGrid/>
        </w:rPr>
        <w:t>或老人</w:t>
      </w:r>
      <w:r>
        <w:rPr>
          <w:rFonts w:hint="eastAsia"/>
          <w:snapToGrid/>
        </w:rPr>
        <w:t>(75</w:t>
      </w:r>
      <w:r>
        <w:rPr>
          <w:rFonts w:hint="eastAsia"/>
          <w:snapToGrid/>
        </w:rPr>
        <w:t>岁以上</w:t>
      </w:r>
      <w:r>
        <w:rPr>
          <w:rFonts w:hint="eastAsia"/>
          <w:snapToGrid/>
        </w:rPr>
        <w:t>)</w:t>
      </w:r>
      <w:r>
        <w:rPr>
          <w:rFonts w:hint="eastAsia"/>
          <w:snapToGrid/>
        </w:rPr>
        <w:t>；</w:t>
      </w:r>
    </w:p>
    <w:p w:rsidR="00000000" w:rsidRDefault="00000000">
      <w:pPr>
        <w:numPr>
          <w:ilvl w:val="1"/>
          <w:numId w:val="512"/>
        </w:numPr>
        <w:ind w:left="2051"/>
        <w:rPr>
          <w:rFonts w:hint="eastAsia"/>
          <w:snapToGrid/>
        </w:rPr>
      </w:pPr>
      <w:r>
        <w:rPr>
          <w:rFonts w:hint="eastAsia"/>
          <w:snapToGrid/>
        </w:rPr>
        <w:t>企业搬迁到另一地点；</w:t>
      </w:r>
    </w:p>
    <w:p w:rsidR="00000000" w:rsidRDefault="00000000">
      <w:pPr>
        <w:numPr>
          <w:ilvl w:val="0"/>
          <w:numId w:val="512"/>
        </w:numPr>
        <w:ind w:left="1531"/>
        <w:rPr>
          <w:rFonts w:hint="eastAsia"/>
          <w:snapToGrid/>
        </w:rPr>
      </w:pPr>
      <w:r>
        <w:rPr>
          <w:rFonts w:hint="eastAsia"/>
          <w:snapToGrid/>
        </w:rPr>
        <w:t>按劳动合同时间工作并在合同规定时间内结束工作的人员；</w:t>
      </w:r>
    </w:p>
    <w:p w:rsidR="00000000" w:rsidRDefault="00000000">
      <w:pPr>
        <w:numPr>
          <w:ilvl w:val="0"/>
          <w:numId w:val="512"/>
        </w:numPr>
        <w:ind w:left="1531"/>
        <w:rPr>
          <w:rFonts w:hint="eastAsia"/>
          <w:snapToGrid/>
        </w:rPr>
      </w:pPr>
      <w:r>
        <w:rPr>
          <w:rFonts w:hint="eastAsia"/>
          <w:snapToGrid/>
        </w:rPr>
        <w:t>拘留所和社会康复机构释放人员；</w:t>
      </w:r>
    </w:p>
    <w:p w:rsidR="00000000" w:rsidRDefault="00000000">
      <w:pPr>
        <w:numPr>
          <w:ilvl w:val="0"/>
          <w:numId w:val="512"/>
        </w:numPr>
        <w:ind w:left="1531"/>
        <w:rPr>
          <w:rFonts w:hint="eastAsia"/>
          <w:snapToGrid/>
        </w:rPr>
      </w:pPr>
      <w:r>
        <w:rPr>
          <w:rFonts w:hint="eastAsia"/>
          <w:snapToGrid/>
        </w:rPr>
        <w:t>因照料</w:t>
      </w:r>
      <w:r>
        <w:rPr>
          <w:rFonts w:hint="eastAsia"/>
          <w:snapToGrid/>
        </w:rPr>
        <w:t>14</w:t>
      </w:r>
      <w:r>
        <w:rPr>
          <w:rFonts w:hint="eastAsia"/>
          <w:snapToGrid/>
        </w:rPr>
        <w:t>岁以下子女而中断职业活动的妇女。</w:t>
      </w:r>
    </w:p>
    <w:p w:rsidR="00000000" w:rsidRDefault="00000000">
      <w:pPr>
        <w:rPr>
          <w:rFonts w:hint="eastAsia"/>
          <w:snapToGrid/>
        </w:rPr>
      </w:pPr>
      <w:r>
        <w:rPr>
          <w:rFonts w:hint="eastAsia"/>
          <w:snapToGrid/>
        </w:rPr>
        <w:tab/>
        <w:t xml:space="preserve">336.  </w:t>
      </w:r>
      <w:r>
        <w:rPr>
          <w:rFonts w:hint="eastAsia"/>
          <w:snapToGrid/>
        </w:rPr>
        <w:t>第</w:t>
      </w:r>
      <w:r>
        <w:rPr>
          <w:rFonts w:hint="eastAsia"/>
          <w:snapToGrid/>
        </w:rPr>
        <w:t>(</w:t>
      </w:r>
      <w:r>
        <w:rPr>
          <w:snapToGrid/>
        </w:rPr>
        <w:t>a</w:t>
      </w:r>
      <w:r>
        <w:rPr>
          <w:rFonts w:hint="eastAsia"/>
          <w:snapToGrid/>
        </w:rPr>
        <w:t>)</w:t>
      </w:r>
      <w:r>
        <w:rPr>
          <w:rFonts w:hint="eastAsia"/>
          <w:snapToGrid/>
        </w:rPr>
        <w:t>、</w:t>
      </w:r>
      <w:r>
        <w:rPr>
          <w:rFonts w:hint="eastAsia"/>
          <w:snapToGrid/>
        </w:rPr>
        <w:t>(</w:t>
      </w:r>
      <w:r>
        <w:rPr>
          <w:snapToGrid/>
        </w:rPr>
        <w:t>b</w:t>
      </w:r>
      <w:r>
        <w:rPr>
          <w:rFonts w:hint="eastAsia"/>
          <w:snapToGrid/>
        </w:rPr>
        <w:t>)</w:t>
      </w:r>
      <w:r>
        <w:rPr>
          <w:rFonts w:hint="eastAsia"/>
          <w:snapToGrid/>
        </w:rPr>
        <w:t>和</w:t>
      </w:r>
      <w:r>
        <w:rPr>
          <w:rFonts w:hint="eastAsia"/>
          <w:snapToGrid/>
        </w:rPr>
        <w:t>(</w:t>
      </w:r>
      <w:r>
        <w:rPr>
          <w:snapToGrid/>
        </w:rPr>
        <w:t>h</w:t>
      </w:r>
      <w:r>
        <w:rPr>
          <w:rFonts w:hint="eastAsia"/>
          <w:snapToGrid/>
        </w:rPr>
        <w:t>)</w:t>
      </w:r>
      <w:r>
        <w:rPr>
          <w:rFonts w:hint="eastAsia"/>
          <w:snapToGrid/>
        </w:rPr>
        <w:t>款所述人员，如果在毕业、退休或释放后</w:t>
      </w:r>
      <w:r>
        <w:rPr>
          <w:rFonts w:hint="eastAsia"/>
          <w:snapToGrid/>
        </w:rPr>
        <w:t>90</w:t>
      </w:r>
      <w:r>
        <w:rPr>
          <w:rFonts w:hint="eastAsia"/>
          <w:snapToGrid/>
        </w:rPr>
        <w:t>天内在职业介绍所做过登记，即有权领取失业补偿；第</w:t>
      </w:r>
      <w:r>
        <w:rPr>
          <w:rFonts w:hint="eastAsia"/>
          <w:snapToGrid/>
        </w:rPr>
        <w:t>(</w:t>
      </w:r>
      <w:r>
        <w:rPr>
          <w:snapToGrid/>
        </w:rPr>
        <w:t>c</w:t>
      </w:r>
      <w:r>
        <w:rPr>
          <w:rFonts w:hint="eastAsia"/>
          <w:snapToGrid/>
        </w:rPr>
        <w:t>)</w:t>
      </w:r>
      <w:r>
        <w:rPr>
          <w:rFonts w:hint="eastAsia"/>
          <w:snapToGrid/>
        </w:rPr>
        <w:t>、</w:t>
      </w:r>
      <w:r>
        <w:rPr>
          <w:rFonts w:hint="eastAsia"/>
          <w:snapToGrid/>
        </w:rPr>
        <w:t>(</w:t>
      </w:r>
      <w:r>
        <w:rPr>
          <w:snapToGrid/>
        </w:rPr>
        <w:t>e</w:t>
      </w:r>
      <w:r>
        <w:rPr>
          <w:rFonts w:hint="eastAsia"/>
          <w:snapToGrid/>
        </w:rPr>
        <w:t>)</w:t>
      </w:r>
      <w:r>
        <w:rPr>
          <w:rFonts w:hint="eastAsia"/>
          <w:snapToGrid/>
        </w:rPr>
        <w:t>和</w:t>
      </w:r>
      <w:r>
        <w:rPr>
          <w:rFonts w:hint="eastAsia"/>
          <w:snapToGrid/>
        </w:rPr>
        <w:t>(</w:t>
      </w:r>
      <w:r>
        <w:rPr>
          <w:snapToGrid/>
        </w:rPr>
        <w:t>g</w:t>
      </w:r>
      <w:r>
        <w:rPr>
          <w:rFonts w:hint="eastAsia"/>
          <w:snapToGrid/>
        </w:rPr>
        <w:t>)</w:t>
      </w:r>
      <w:r>
        <w:rPr>
          <w:rFonts w:hint="eastAsia"/>
          <w:snapToGrid/>
        </w:rPr>
        <w:t>款所述人员，在职业介绍所登记之前</w:t>
      </w:r>
      <w:r>
        <w:rPr>
          <w:rFonts w:hint="eastAsia"/>
          <w:snapToGrid/>
        </w:rPr>
        <w:t>12</w:t>
      </w:r>
      <w:r>
        <w:rPr>
          <w:rFonts w:hint="eastAsia"/>
          <w:snapToGrid/>
        </w:rPr>
        <w:t>个月内，必须至少有</w:t>
      </w:r>
      <w:r>
        <w:rPr>
          <w:rFonts w:hint="eastAsia"/>
          <w:snapToGrid/>
        </w:rPr>
        <w:t>6</w:t>
      </w:r>
      <w:r>
        <w:rPr>
          <w:rFonts w:hint="eastAsia"/>
          <w:snapToGrid/>
        </w:rPr>
        <w:t>个月的带薪资历</w:t>
      </w:r>
      <w:r>
        <w:rPr>
          <w:rFonts w:hint="eastAsia"/>
          <w:snapToGrid/>
        </w:rPr>
        <w:t>(</w:t>
      </w:r>
      <w:r>
        <w:rPr>
          <w:rFonts w:hint="eastAsia"/>
          <w:snapToGrid/>
        </w:rPr>
        <w:t>第</w:t>
      </w:r>
      <w:r>
        <w:rPr>
          <w:rFonts w:hint="eastAsia"/>
          <w:snapToGrid/>
        </w:rPr>
        <w:t>15</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337.  </w:t>
      </w:r>
      <w:r>
        <w:rPr>
          <w:rFonts w:hint="eastAsia"/>
          <w:snapToGrid/>
        </w:rPr>
        <w:t>本法第</w:t>
      </w:r>
      <w:r>
        <w:rPr>
          <w:rFonts w:hint="eastAsia"/>
          <w:snapToGrid/>
        </w:rPr>
        <w:t>15</w:t>
      </w:r>
      <w:r>
        <w:rPr>
          <w:rFonts w:hint="eastAsia"/>
          <w:snapToGrid/>
        </w:rPr>
        <w:t>条规定，属以下情况者，不享有失业补偿之福利：</w:t>
      </w:r>
    </w:p>
    <w:p w:rsidR="00000000" w:rsidRDefault="00000000">
      <w:pPr>
        <w:numPr>
          <w:ilvl w:val="0"/>
          <w:numId w:val="513"/>
        </w:numPr>
        <w:ind w:left="1531"/>
        <w:rPr>
          <w:rFonts w:hint="eastAsia"/>
          <w:snapToGrid/>
        </w:rPr>
      </w:pPr>
      <w:r>
        <w:rPr>
          <w:rFonts w:hint="eastAsia"/>
          <w:snapToGrid/>
        </w:rPr>
        <w:t>达到退休年龄，并且根据现行法律不享有养恤金权利；</w:t>
      </w:r>
    </w:p>
    <w:p w:rsidR="00000000" w:rsidRDefault="00000000">
      <w:pPr>
        <w:numPr>
          <w:ilvl w:val="0"/>
          <w:numId w:val="513"/>
        </w:numPr>
        <w:ind w:left="1531"/>
        <w:rPr>
          <w:rFonts w:hint="eastAsia"/>
          <w:snapToGrid/>
        </w:rPr>
      </w:pPr>
      <w:r>
        <w:rPr>
          <w:rFonts w:hint="eastAsia"/>
          <w:snapToGrid/>
        </w:rPr>
        <w:t>无故拒绝接受两项适当的工作或职业介绍所提出的两项参加培训或进修课程的建议</w:t>
      </w:r>
      <w:r>
        <w:rPr>
          <w:rFonts w:hint="eastAsia"/>
          <w:snapToGrid/>
        </w:rPr>
        <w:t>(</w:t>
      </w:r>
      <w:r>
        <w:rPr>
          <w:rFonts w:hint="eastAsia"/>
          <w:snapToGrid/>
        </w:rPr>
        <w:t>第</w:t>
      </w:r>
      <w:r>
        <w:rPr>
          <w:rFonts w:hint="eastAsia"/>
          <w:snapToGrid/>
        </w:rPr>
        <w:t>16</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rFonts w:hint="eastAsia"/>
          <w:snapToGrid/>
        </w:rPr>
        <w:tab/>
        <w:t>33</w:t>
      </w:r>
      <w:r>
        <w:rPr>
          <w:snapToGrid/>
        </w:rPr>
        <w:t>8.</w:t>
      </w:r>
      <w:r>
        <w:rPr>
          <w:rFonts w:hint="eastAsia"/>
          <w:snapToGrid/>
        </w:rPr>
        <w:t xml:space="preserve">  </w:t>
      </w:r>
      <w:r>
        <w:rPr>
          <w:rFonts w:hint="eastAsia"/>
          <w:snapToGrid/>
        </w:rPr>
        <w:t>确定享有补偿权利后即可领取失业补偿。失业补偿的发放期为九个月，初次求职者为六个月。失业补偿由职业介绍所根据身份证和工作证按月发放。失业补偿在寻求适当工作和参加培训班期间发放。失业补偿是一笔固定数额的补偿金，它应根据本法享有此项权利的失业人员的请求而发放。</w:t>
      </w:r>
    </w:p>
    <w:p w:rsidR="00000000" w:rsidRDefault="00000000">
      <w:pPr>
        <w:rPr>
          <w:rFonts w:hint="eastAsia"/>
          <w:snapToGrid/>
        </w:rPr>
      </w:pPr>
      <w:r>
        <w:rPr>
          <w:rFonts w:hint="eastAsia"/>
          <w:snapToGrid/>
        </w:rPr>
        <w:tab/>
        <w:t xml:space="preserve">339.  </w:t>
      </w:r>
      <w:r>
        <w:rPr>
          <w:rFonts w:hint="eastAsia"/>
          <w:snapToGrid/>
        </w:rPr>
        <w:t>失业人员若患病可凭医疗证明领取失业补偿。暂时残疾补偿金数额相当于失业补偿数额。各项补偿金发放期不得超过整个失业补偿偿付期</w:t>
      </w:r>
      <w:r>
        <w:rPr>
          <w:rFonts w:hint="eastAsia"/>
          <w:snapToGrid/>
        </w:rPr>
        <w:t>30</w:t>
      </w:r>
      <w:r>
        <w:rPr>
          <w:rFonts w:hint="eastAsia"/>
          <w:snapToGrid/>
        </w:rPr>
        <w:t>天。产假和分娩补偿金发放期为</w:t>
      </w:r>
      <w:r>
        <w:rPr>
          <w:rFonts w:hint="eastAsia"/>
          <w:snapToGrid/>
        </w:rPr>
        <w:t>126</w:t>
      </w:r>
      <w:r>
        <w:rPr>
          <w:rFonts w:hint="eastAsia"/>
          <w:snapToGrid/>
        </w:rPr>
        <w:t>天</w:t>
      </w:r>
      <w:r>
        <w:rPr>
          <w:rFonts w:hint="eastAsia"/>
          <w:snapToGrid/>
        </w:rPr>
        <w:t>(</w:t>
      </w:r>
      <w:r>
        <w:rPr>
          <w:rFonts w:hint="eastAsia"/>
          <w:snapToGrid/>
        </w:rPr>
        <w:t>难产或生育双胞胎或多胞胎者为</w:t>
      </w:r>
      <w:r>
        <w:rPr>
          <w:rFonts w:hint="eastAsia"/>
          <w:snapToGrid/>
        </w:rPr>
        <w:t>140</w:t>
      </w:r>
      <w:r>
        <w:rPr>
          <w:rFonts w:hint="eastAsia"/>
          <w:snapToGrid/>
        </w:rPr>
        <w:t>天</w:t>
      </w:r>
      <w:r>
        <w:rPr>
          <w:rFonts w:hint="eastAsia"/>
          <w:snapToGrid/>
        </w:rPr>
        <w:t>)</w:t>
      </w:r>
      <w:r>
        <w:rPr>
          <w:rFonts w:hint="eastAsia"/>
          <w:snapToGrid/>
        </w:rPr>
        <w:t>，根据医疗证明从怀孕第三十周开始计算。失业补偿期计入服务年限。</w:t>
      </w:r>
      <w:r>
        <w:rPr>
          <w:rFonts w:hint="eastAsia"/>
          <w:snapToGrid/>
        </w:rPr>
        <w:t>20</w:t>
      </w:r>
      <w:r>
        <w:rPr>
          <w:rFonts w:hint="eastAsia"/>
          <w:snapToGrid/>
        </w:rPr>
        <w:t>个月中有</w:t>
      </w:r>
      <w:r>
        <w:rPr>
          <w:rFonts w:hint="eastAsia"/>
          <w:snapToGrid/>
        </w:rPr>
        <w:t>9</w:t>
      </w:r>
      <w:r>
        <w:rPr>
          <w:rFonts w:hint="eastAsia"/>
          <w:snapToGrid/>
        </w:rPr>
        <w:t>个月可享有失业补偿</w:t>
      </w:r>
      <w:r>
        <w:rPr>
          <w:rFonts w:hint="eastAsia"/>
          <w:snapToGrid/>
        </w:rPr>
        <w:t>(</w:t>
      </w:r>
      <w:r>
        <w:rPr>
          <w:rFonts w:hint="eastAsia"/>
          <w:snapToGrid/>
        </w:rPr>
        <w:t>第</w:t>
      </w:r>
      <w:r>
        <w:rPr>
          <w:rFonts w:hint="eastAsia"/>
          <w:snapToGrid/>
        </w:rPr>
        <w:t>17</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340.  </w:t>
      </w:r>
      <w:r>
        <w:rPr>
          <w:rFonts w:hint="eastAsia"/>
          <w:snapToGrid/>
        </w:rPr>
        <w:t>本法第</w:t>
      </w:r>
      <w:r>
        <w:rPr>
          <w:rFonts w:hint="eastAsia"/>
          <w:snapToGrid/>
        </w:rPr>
        <w:t>18</w:t>
      </w:r>
      <w:r>
        <w:rPr>
          <w:rFonts w:hint="eastAsia"/>
          <w:snapToGrid/>
        </w:rPr>
        <w:t>条就失业补偿数额和享有失业补偿的条件作出规定。失业补偿数额可分为以下几类：</w:t>
      </w:r>
    </w:p>
    <w:p w:rsidR="00000000" w:rsidRDefault="00000000">
      <w:pPr>
        <w:numPr>
          <w:ilvl w:val="0"/>
          <w:numId w:val="514"/>
        </w:numPr>
        <w:ind w:left="1531"/>
        <w:rPr>
          <w:rFonts w:hint="eastAsia"/>
          <w:snapToGrid/>
        </w:rPr>
      </w:pPr>
      <w:r>
        <w:rPr>
          <w:rFonts w:hint="eastAsia"/>
          <w:snapToGrid/>
        </w:rPr>
        <w:t>中学和高中毕业生，包括孤儿寄宿学校毕业生，和职业学校毕业生以及拘留所和社会康复机构释放人员，补偿数额为最低工资的</w:t>
      </w:r>
      <w:r>
        <w:rPr>
          <w:rFonts w:hint="eastAsia"/>
          <w:snapToGrid/>
        </w:rPr>
        <w:t>1.5</w:t>
      </w:r>
      <w:r>
        <w:rPr>
          <w:rFonts w:hint="eastAsia"/>
          <w:snapToGrid/>
        </w:rPr>
        <w:t>倍；</w:t>
      </w:r>
    </w:p>
    <w:p w:rsidR="00000000" w:rsidRDefault="00000000">
      <w:pPr>
        <w:numPr>
          <w:ilvl w:val="0"/>
          <w:numId w:val="514"/>
        </w:numPr>
        <w:ind w:left="1531"/>
        <w:rPr>
          <w:rFonts w:hint="eastAsia"/>
          <w:snapToGrid/>
        </w:rPr>
      </w:pPr>
      <w:r>
        <w:rPr>
          <w:rFonts w:hint="eastAsia"/>
          <w:snapToGrid/>
        </w:rPr>
        <w:t>高等教育机构毕业生、军事或其他部门退休人员、因照料</w:t>
      </w:r>
      <w:r>
        <w:rPr>
          <w:rFonts w:hint="eastAsia"/>
          <w:snapToGrid/>
        </w:rPr>
        <w:t>14</w:t>
      </w:r>
      <w:r>
        <w:rPr>
          <w:rFonts w:hint="eastAsia"/>
          <w:snapToGrid/>
        </w:rPr>
        <w:t>岁以下子女而中断职业活动的妇女和以前患有二等残疾、现为三等残疾的人员，补偿数额为最低工资的</w:t>
      </w:r>
      <w:r>
        <w:rPr>
          <w:rFonts w:hint="eastAsia"/>
          <w:snapToGrid/>
        </w:rPr>
        <w:t>2</w:t>
      </w:r>
      <w:r>
        <w:rPr>
          <w:rFonts w:hint="eastAsia"/>
          <w:snapToGrid/>
        </w:rPr>
        <w:t>倍；</w:t>
      </w:r>
    </w:p>
    <w:p w:rsidR="00000000" w:rsidRDefault="00000000">
      <w:pPr>
        <w:numPr>
          <w:ilvl w:val="0"/>
          <w:numId w:val="514"/>
        </w:numPr>
        <w:ind w:left="1531"/>
        <w:rPr>
          <w:rFonts w:hint="eastAsia"/>
          <w:snapToGrid/>
        </w:rPr>
      </w:pPr>
      <w:r>
        <w:rPr>
          <w:rFonts w:hint="eastAsia"/>
          <w:snapToGrid/>
        </w:rPr>
        <w:t>服务年限长达</w:t>
      </w:r>
      <w:r>
        <w:rPr>
          <w:rFonts w:hint="eastAsia"/>
          <w:snapToGrid/>
        </w:rPr>
        <w:t>10</w:t>
      </w:r>
      <w:r>
        <w:rPr>
          <w:rFonts w:hint="eastAsia"/>
          <w:snapToGrid/>
        </w:rPr>
        <w:t>年者，失业补偿数额为前一年的国民平均薪金的</w:t>
      </w:r>
      <w:r>
        <w:rPr>
          <w:rFonts w:hint="eastAsia"/>
          <w:snapToGrid/>
        </w:rPr>
        <w:t>50%</w:t>
      </w:r>
      <w:r>
        <w:rPr>
          <w:rFonts w:hint="eastAsia"/>
          <w:snapToGrid/>
        </w:rPr>
        <w:t>；</w:t>
      </w:r>
    </w:p>
    <w:p w:rsidR="00000000" w:rsidRDefault="00000000">
      <w:pPr>
        <w:numPr>
          <w:ilvl w:val="0"/>
          <w:numId w:val="514"/>
        </w:numPr>
        <w:ind w:left="1531"/>
        <w:rPr>
          <w:rFonts w:hint="eastAsia"/>
          <w:snapToGrid/>
        </w:rPr>
      </w:pPr>
      <w:r>
        <w:rPr>
          <w:rFonts w:hint="eastAsia"/>
          <w:snapToGrid/>
        </w:rPr>
        <w:t>服务年限为</w:t>
      </w:r>
      <w:r>
        <w:rPr>
          <w:rFonts w:hint="eastAsia"/>
          <w:snapToGrid/>
        </w:rPr>
        <w:t>10</w:t>
      </w:r>
      <w:r>
        <w:rPr>
          <w:rFonts w:hint="eastAsia"/>
          <w:snapToGrid/>
        </w:rPr>
        <w:t>至</w:t>
      </w:r>
      <w:r>
        <w:rPr>
          <w:rFonts w:hint="eastAsia"/>
          <w:snapToGrid/>
        </w:rPr>
        <w:t>15</w:t>
      </w:r>
      <w:r>
        <w:rPr>
          <w:rFonts w:hint="eastAsia"/>
          <w:snapToGrid/>
        </w:rPr>
        <w:t>年的其他失业类别的人，补偿数额为前一年国民平均薪金的</w:t>
      </w:r>
      <w:r>
        <w:rPr>
          <w:rFonts w:hint="eastAsia"/>
          <w:snapToGrid/>
        </w:rPr>
        <w:t>55%</w:t>
      </w:r>
      <w:r>
        <w:rPr>
          <w:rFonts w:hint="eastAsia"/>
          <w:snapToGrid/>
        </w:rPr>
        <w:t>；</w:t>
      </w:r>
    </w:p>
    <w:p w:rsidR="00000000" w:rsidRDefault="00000000">
      <w:pPr>
        <w:numPr>
          <w:ilvl w:val="0"/>
          <w:numId w:val="514"/>
        </w:numPr>
        <w:ind w:left="1531"/>
        <w:rPr>
          <w:rFonts w:hint="eastAsia"/>
          <w:snapToGrid/>
        </w:rPr>
      </w:pPr>
      <w:r>
        <w:rPr>
          <w:rFonts w:hint="eastAsia"/>
          <w:snapToGrid/>
        </w:rPr>
        <w:t>服务年限至少</w:t>
      </w:r>
      <w:r>
        <w:rPr>
          <w:rFonts w:hint="eastAsia"/>
          <w:snapToGrid/>
        </w:rPr>
        <w:t>15</w:t>
      </w:r>
      <w:r>
        <w:rPr>
          <w:rFonts w:hint="eastAsia"/>
          <w:snapToGrid/>
        </w:rPr>
        <w:t>年者，补偿数额为前一年国民平均薪金的</w:t>
      </w:r>
      <w:r>
        <w:rPr>
          <w:rFonts w:hint="eastAsia"/>
          <w:snapToGrid/>
        </w:rPr>
        <w:t>60%</w:t>
      </w:r>
      <w:r>
        <w:rPr>
          <w:rFonts w:hint="eastAsia"/>
          <w:snapToGrid/>
        </w:rPr>
        <w:t>。</w:t>
      </w:r>
    </w:p>
    <w:p w:rsidR="00000000" w:rsidRDefault="00000000">
      <w:pPr>
        <w:rPr>
          <w:rFonts w:hint="eastAsia"/>
          <w:snapToGrid/>
        </w:rPr>
      </w:pPr>
      <w:r>
        <w:rPr>
          <w:rFonts w:hint="eastAsia"/>
          <w:snapToGrid/>
        </w:rPr>
        <w:t>失业补偿数额在发放期内每三个月增长</w:t>
      </w:r>
      <w:r>
        <w:rPr>
          <w:rFonts w:hint="eastAsia"/>
          <w:snapToGrid/>
        </w:rPr>
        <w:t>15%</w:t>
      </w:r>
      <w:r>
        <w:rPr>
          <w:rFonts w:hint="eastAsia"/>
          <w:snapToGrid/>
        </w:rPr>
        <w:t>。</w:t>
      </w:r>
    </w:p>
    <w:p w:rsidR="00000000" w:rsidRDefault="00000000">
      <w:pPr>
        <w:rPr>
          <w:rFonts w:hint="eastAsia"/>
          <w:snapToGrid/>
        </w:rPr>
      </w:pPr>
      <w:r>
        <w:rPr>
          <w:rFonts w:hint="eastAsia"/>
          <w:snapToGrid/>
        </w:rPr>
        <w:tab/>
        <w:t xml:space="preserve">341.  </w:t>
      </w:r>
      <w:r>
        <w:rPr>
          <w:rFonts w:hint="eastAsia"/>
          <w:snapToGrid/>
        </w:rPr>
        <w:t>教育机构毕业生和军事或其他部门退休人员，如果在毕业或退休后</w:t>
      </w:r>
      <w:r>
        <w:rPr>
          <w:rFonts w:hint="eastAsia"/>
          <w:snapToGrid/>
        </w:rPr>
        <w:t>6</w:t>
      </w:r>
      <w:r>
        <w:rPr>
          <w:rFonts w:hint="eastAsia"/>
          <w:snapToGrid/>
        </w:rPr>
        <w:t>个月内在职业介绍所进行过求职登记，则有权领取失业补偿。教育机构毕业生年满</w:t>
      </w:r>
      <w:r>
        <w:rPr>
          <w:rFonts w:hint="eastAsia"/>
          <w:snapToGrid/>
        </w:rPr>
        <w:t>18</w:t>
      </w:r>
      <w:r>
        <w:rPr>
          <w:rFonts w:hint="eastAsia"/>
          <w:snapToGrid/>
        </w:rPr>
        <w:t>岁即有权领取失业补偿。如果父母一方或双方亡故，学校毕业生有权从</w:t>
      </w:r>
      <w:r>
        <w:rPr>
          <w:rFonts w:hint="eastAsia"/>
          <w:snapToGrid/>
        </w:rPr>
        <w:t>17</w:t>
      </w:r>
      <w:r>
        <w:rPr>
          <w:rFonts w:hint="eastAsia"/>
          <w:snapToGrid/>
        </w:rPr>
        <w:t>岁开始领取失业补偿。需照顾一名或二名不足</w:t>
      </w:r>
      <w:r>
        <w:rPr>
          <w:rFonts w:hint="eastAsia"/>
          <w:snapToGrid/>
        </w:rPr>
        <w:t>16</w:t>
      </w:r>
      <w:r>
        <w:rPr>
          <w:rFonts w:hint="eastAsia"/>
          <w:snapToGrid/>
        </w:rPr>
        <w:t>岁的子女的失业人员，其失业补偿数额增加</w:t>
      </w:r>
      <w:r>
        <w:rPr>
          <w:rFonts w:hint="eastAsia"/>
          <w:snapToGrid/>
        </w:rPr>
        <w:t>10%</w:t>
      </w:r>
      <w:r>
        <w:rPr>
          <w:rFonts w:hint="eastAsia"/>
          <w:snapToGrid/>
        </w:rPr>
        <w:t>。照顾三名或三名以上同样年龄的子女的失业人员，补偿数额增加</w:t>
      </w:r>
      <w:r>
        <w:rPr>
          <w:rFonts w:hint="eastAsia"/>
          <w:snapToGrid/>
        </w:rPr>
        <w:t>20%</w:t>
      </w:r>
      <w:r>
        <w:rPr>
          <w:rFonts w:hint="eastAsia"/>
          <w:snapToGrid/>
        </w:rPr>
        <w:t>。</w:t>
      </w:r>
    </w:p>
    <w:p w:rsidR="00000000" w:rsidRDefault="00000000">
      <w:pPr>
        <w:rPr>
          <w:rFonts w:hint="eastAsia"/>
          <w:snapToGrid/>
        </w:rPr>
      </w:pPr>
      <w:r>
        <w:rPr>
          <w:rFonts w:hint="eastAsia"/>
          <w:snapToGrid/>
        </w:rPr>
        <w:tab/>
        <w:t xml:space="preserve">342.  </w:t>
      </w:r>
      <w:r>
        <w:rPr>
          <w:rFonts w:hint="eastAsia"/>
          <w:snapToGrid/>
        </w:rPr>
        <w:t>所述法律第</w:t>
      </w:r>
      <w:r>
        <w:rPr>
          <w:rFonts w:hint="eastAsia"/>
          <w:snapToGrid/>
        </w:rPr>
        <w:t>19</w:t>
      </w:r>
      <w:r>
        <w:rPr>
          <w:rFonts w:hint="eastAsia"/>
          <w:snapToGrid/>
        </w:rPr>
        <w:t>条就停止、暂停和减少失业补偿数额作出规定。当失业人员因以下情况而从登记册中除名时，即停止支付失业补偿：</w:t>
      </w:r>
    </w:p>
    <w:p w:rsidR="00000000" w:rsidRDefault="00000000">
      <w:pPr>
        <w:numPr>
          <w:ilvl w:val="0"/>
          <w:numId w:val="515"/>
        </w:numPr>
        <w:ind w:left="1531"/>
        <w:rPr>
          <w:rFonts w:hint="eastAsia"/>
          <w:snapToGrid/>
        </w:rPr>
      </w:pPr>
      <w:r>
        <w:rPr>
          <w:rFonts w:hint="eastAsia"/>
          <w:snapToGrid/>
        </w:rPr>
        <w:t>就业；</w:t>
      </w:r>
    </w:p>
    <w:p w:rsidR="00000000" w:rsidRDefault="00000000">
      <w:pPr>
        <w:numPr>
          <w:ilvl w:val="0"/>
          <w:numId w:val="515"/>
        </w:numPr>
        <w:ind w:left="1531"/>
        <w:rPr>
          <w:rFonts w:hint="eastAsia"/>
          <w:snapToGrid/>
        </w:rPr>
      </w:pPr>
      <w:r>
        <w:rPr>
          <w:rFonts w:hint="eastAsia"/>
          <w:snapToGrid/>
        </w:rPr>
        <w:t>根据现行法律确定了养恤金数额；</w:t>
      </w:r>
    </w:p>
    <w:p w:rsidR="00000000" w:rsidRDefault="00000000">
      <w:pPr>
        <w:numPr>
          <w:ilvl w:val="0"/>
          <w:numId w:val="515"/>
        </w:numPr>
        <w:ind w:left="1531"/>
        <w:rPr>
          <w:rFonts w:hint="eastAsia"/>
          <w:snapToGrid/>
        </w:rPr>
      </w:pPr>
      <w:r>
        <w:rPr>
          <w:rFonts w:hint="eastAsia"/>
          <w:snapToGrid/>
        </w:rPr>
        <w:t>搬迁到其他地方；</w:t>
      </w:r>
    </w:p>
    <w:p w:rsidR="00000000" w:rsidRDefault="00000000">
      <w:pPr>
        <w:numPr>
          <w:ilvl w:val="0"/>
          <w:numId w:val="515"/>
        </w:numPr>
        <w:ind w:left="1531"/>
        <w:rPr>
          <w:rFonts w:hint="eastAsia"/>
          <w:snapToGrid/>
        </w:rPr>
      </w:pPr>
      <w:r>
        <w:rPr>
          <w:rFonts w:hint="eastAsia"/>
          <w:snapToGrid/>
        </w:rPr>
        <w:t>根据法院决定被剥夺自由或强迫治疗；</w:t>
      </w:r>
    </w:p>
    <w:p w:rsidR="00000000" w:rsidRDefault="00000000">
      <w:pPr>
        <w:numPr>
          <w:ilvl w:val="0"/>
          <w:numId w:val="515"/>
        </w:numPr>
        <w:ind w:left="1531"/>
        <w:rPr>
          <w:rFonts w:hint="eastAsia"/>
          <w:snapToGrid/>
        </w:rPr>
      </w:pPr>
      <w:r>
        <w:rPr>
          <w:rFonts w:hint="eastAsia"/>
          <w:snapToGrid/>
        </w:rPr>
        <w:t>以虚假理由获取或试图获取失业补偿；</w:t>
      </w:r>
    </w:p>
    <w:p w:rsidR="00000000" w:rsidRDefault="00000000">
      <w:pPr>
        <w:numPr>
          <w:ilvl w:val="0"/>
          <w:numId w:val="515"/>
        </w:numPr>
        <w:ind w:left="1531"/>
        <w:rPr>
          <w:rFonts w:hint="eastAsia"/>
          <w:snapToGrid/>
        </w:rPr>
      </w:pPr>
      <w:r>
        <w:rPr>
          <w:rFonts w:hint="eastAsia"/>
          <w:snapToGrid/>
        </w:rPr>
        <w:t>无故脱离职业介绍所</w:t>
      </w:r>
      <w:r>
        <w:rPr>
          <w:rFonts w:hint="eastAsia"/>
          <w:snapToGrid/>
        </w:rPr>
        <w:t>(</w:t>
      </w:r>
      <w:r>
        <w:rPr>
          <w:rFonts w:hint="eastAsia"/>
          <w:snapToGrid/>
        </w:rPr>
        <w:t>超过</w:t>
      </w:r>
      <w:r>
        <w:rPr>
          <w:rFonts w:hint="eastAsia"/>
          <w:snapToGrid/>
        </w:rPr>
        <w:t>2</w:t>
      </w:r>
      <w:r>
        <w:rPr>
          <w:rFonts w:hint="eastAsia"/>
          <w:snapToGrid/>
        </w:rPr>
        <w:t>个月</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343.  </w:t>
      </w:r>
      <w:r>
        <w:rPr>
          <w:rFonts w:hint="eastAsia"/>
          <w:snapToGrid/>
        </w:rPr>
        <w:t>发生以下情况时停止支付失业补偿：</w:t>
      </w:r>
    </w:p>
    <w:p w:rsidR="00000000" w:rsidRDefault="00000000">
      <w:pPr>
        <w:numPr>
          <w:ilvl w:val="0"/>
          <w:numId w:val="564"/>
        </w:numPr>
        <w:tabs>
          <w:tab w:val="clear" w:pos="737"/>
        </w:tabs>
        <w:ind w:left="1531"/>
        <w:rPr>
          <w:rFonts w:hint="eastAsia"/>
          <w:snapToGrid/>
        </w:rPr>
      </w:pPr>
      <w:r>
        <w:rPr>
          <w:rFonts w:hint="eastAsia"/>
          <w:snapToGrid/>
        </w:rPr>
        <w:t>自愿中断职业培训；</w:t>
      </w:r>
    </w:p>
    <w:p w:rsidR="00000000" w:rsidRDefault="00000000">
      <w:pPr>
        <w:numPr>
          <w:ilvl w:val="0"/>
          <w:numId w:val="564"/>
        </w:numPr>
        <w:tabs>
          <w:tab w:val="clear" w:pos="737"/>
        </w:tabs>
        <w:ind w:left="1531"/>
        <w:rPr>
          <w:rFonts w:hint="eastAsia"/>
          <w:snapToGrid/>
        </w:rPr>
      </w:pPr>
      <w:r>
        <w:rPr>
          <w:rFonts w:hint="eastAsia"/>
          <w:snapToGrid/>
        </w:rPr>
        <w:t>因应受惩罚的行动而被教育机构开除；</w:t>
      </w:r>
    </w:p>
    <w:p w:rsidR="00000000" w:rsidRDefault="00000000">
      <w:pPr>
        <w:numPr>
          <w:ilvl w:val="0"/>
          <w:numId w:val="564"/>
        </w:numPr>
        <w:tabs>
          <w:tab w:val="clear" w:pos="737"/>
        </w:tabs>
        <w:ind w:left="1531"/>
        <w:rPr>
          <w:rFonts w:hint="eastAsia"/>
          <w:snapToGrid/>
        </w:rPr>
      </w:pPr>
      <w:r>
        <w:rPr>
          <w:rFonts w:hint="eastAsia"/>
          <w:snapToGrid/>
        </w:rPr>
        <w:t>无任何正当理由考试不及格。</w:t>
      </w:r>
    </w:p>
    <w:p w:rsidR="00000000" w:rsidRDefault="00000000">
      <w:pPr>
        <w:rPr>
          <w:rFonts w:hint="eastAsia"/>
          <w:snapToGrid/>
        </w:rPr>
      </w:pPr>
      <w:r>
        <w:rPr>
          <w:rFonts w:hint="eastAsia"/>
          <w:snapToGrid/>
        </w:rPr>
        <w:tab/>
        <w:t xml:space="preserve">344.  </w:t>
      </w:r>
      <w:r>
        <w:rPr>
          <w:rFonts w:hint="eastAsia"/>
          <w:snapToGrid/>
        </w:rPr>
        <w:t>如果无故不接受个人劳动合同或拒不参加职业培训，或失业人员违反职业介绍所的出勤条件和期限，失业补偿可暂停支付三个月。失业补偿暂停期计入整个支付期。</w:t>
      </w:r>
    </w:p>
    <w:p w:rsidR="00000000" w:rsidRDefault="00000000">
      <w:pPr>
        <w:rPr>
          <w:rFonts w:hint="eastAsia"/>
          <w:snapToGrid/>
        </w:rPr>
      </w:pPr>
      <w:r>
        <w:rPr>
          <w:rFonts w:hint="eastAsia"/>
          <w:snapToGrid/>
        </w:rPr>
        <w:tab/>
        <w:t xml:space="preserve">345.  </w:t>
      </w:r>
      <w:r>
        <w:rPr>
          <w:rFonts w:hint="eastAsia"/>
          <w:snapToGrid/>
        </w:rPr>
        <w:t>以下期间不支付失业补偿：</w:t>
      </w:r>
    </w:p>
    <w:p w:rsidR="00000000" w:rsidRDefault="00000000">
      <w:pPr>
        <w:numPr>
          <w:ilvl w:val="0"/>
          <w:numId w:val="517"/>
        </w:numPr>
        <w:ind w:left="1531"/>
        <w:rPr>
          <w:rFonts w:hint="eastAsia"/>
          <w:snapToGrid/>
        </w:rPr>
      </w:pPr>
      <w:r>
        <w:rPr>
          <w:rFonts w:hint="eastAsia"/>
          <w:snapToGrid/>
        </w:rPr>
        <w:t>支付失业补偿期间暂时残疾状况超过</w:t>
      </w:r>
      <w:r>
        <w:rPr>
          <w:rFonts w:hint="eastAsia"/>
          <w:snapToGrid/>
        </w:rPr>
        <w:t>30</w:t>
      </w:r>
      <w:r>
        <w:rPr>
          <w:rFonts w:hint="eastAsia"/>
          <w:snapToGrid/>
        </w:rPr>
        <w:t>天；</w:t>
      </w:r>
    </w:p>
    <w:p w:rsidR="00000000" w:rsidRDefault="00000000">
      <w:pPr>
        <w:numPr>
          <w:ilvl w:val="0"/>
          <w:numId w:val="517"/>
        </w:numPr>
        <w:ind w:left="1531"/>
        <w:rPr>
          <w:rFonts w:hint="eastAsia"/>
          <w:snapToGrid/>
        </w:rPr>
      </w:pPr>
      <w:r>
        <w:rPr>
          <w:rFonts w:hint="eastAsia"/>
          <w:snapToGrid/>
        </w:rPr>
        <w:t>失业人员参加军事训练，包括与服役情况介绍和履行国家义务有关的行动；</w:t>
      </w:r>
    </w:p>
    <w:p w:rsidR="00000000" w:rsidRDefault="00000000">
      <w:pPr>
        <w:numPr>
          <w:ilvl w:val="0"/>
          <w:numId w:val="517"/>
        </w:numPr>
        <w:ind w:left="1531"/>
        <w:rPr>
          <w:rFonts w:hint="eastAsia"/>
          <w:snapToGrid/>
        </w:rPr>
      </w:pPr>
      <w:r>
        <w:rPr>
          <w:rFonts w:hint="eastAsia"/>
          <w:snapToGrid/>
        </w:rPr>
        <w:t>根据现行法律受到预防性拘押。</w:t>
      </w:r>
    </w:p>
    <w:p w:rsidR="00000000" w:rsidRDefault="00000000">
      <w:pPr>
        <w:rPr>
          <w:rFonts w:hint="eastAsia"/>
          <w:snapToGrid/>
        </w:rPr>
      </w:pPr>
      <w:r>
        <w:rPr>
          <w:rFonts w:hint="eastAsia"/>
          <w:snapToGrid/>
        </w:rPr>
        <w:t>这些时期不计入整个失业补偿支付期，但使支付期时间延长。</w:t>
      </w:r>
    </w:p>
    <w:p w:rsidR="00000000" w:rsidRDefault="00000000">
      <w:pPr>
        <w:rPr>
          <w:rFonts w:hint="eastAsia"/>
          <w:snapToGrid/>
        </w:rPr>
      </w:pPr>
      <w:r>
        <w:rPr>
          <w:rFonts w:hint="eastAsia"/>
          <w:snapToGrid/>
        </w:rPr>
        <w:tab/>
        <w:t xml:space="preserve">346.  </w:t>
      </w:r>
      <w:r>
        <w:rPr>
          <w:rFonts w:hint="eastAsia"/>
          <w:snapToGrid/>
        </w:rPr>
        <w:t>发生以下情况时，失业补偿数额可减少</w:t>
      </w:r>
      <w:r>
        <w:rPr>
          <w:rFonts w:hint="eastAsia"/>
          <w:snapToGrid/>
        </w:rPr>
        <w:t>25%</w:t>
      </w:r>
      <w:r>
        <w:rPr>
          <w:rFonts w:hint="eastAsia"/>
          <w:snapToGrid/>
        </w:rPr>
        <w:t>，减少期最多为一个月：</w:t>
      </w:r>
    </w:p>
    <w:p w:rsidR="00000000" w:rsidRDefault="00000000">
      <w:pPr>
        <w:numPr>
          <w:ilvl w:val="0"/>
          <w:numId w:val="518"/>
        </w:numPr>
        <w:ind w:left="1531"/>
        <w:rPr>
          <w:rFonts w:hint="eastAsia"/>
          <w:snapToGrid/>
        </w:rPr>
      </w:pPr>
      <w:r>
        <w:rPr>
          <w:rFonts w:hint="eastAsia"/>
          <w:snapToGrid/>
        </w:rPr>
        <w:t>自职业介绍所请失业人员去面谈之日起，无故三天不到；</w:t>
      </w:r>
    </w:p>
    <w:p w:rsidR="00000000" w:rsidRDefault="00000000">
      <w:pPr>
        <w:numPr>
          <w:ilvl w:val="0"/>
          <w:numId w:val="518"/>
        </w:numPr>
        <w:ind w:left="1531"/>
        <w:rPr>
          <w:rFonts w:hint="eastAsia"/>
          <w:snapToGrid/>
        </w:rPr>
      </w:pPr>
      <w:r>
        <w:rPr>
          <w:rFonts w:hint="eastAsia"/>
          <w:snapToGrid/>
        </w:rPr>
        <w:t>无故拒绝去职业介绍所请求免除分配工作</w:t>
      </w:r>
      <w:r>
        <w:rPr>
          <w:rFonts w:hint="eastAsia"/>
          <w:snapToGrid/>
        </w:rPr>
        <w:t>(</w:t>
      </w:r>
      <w:r>
        <w:rPr>
          <w:rFonts w:hint="eastAsia"/>
          <w:snapToGrid/>
        </w:rPr>
        <w:t>培训</w:t>
      </w:r>
      <w:r>
        <w:rPr>
          <w:rFonts w:hint="eastAsia"/>
          <w:snapToGrid/>
        </w:rPr>
        <w:t>)</w:t>
      </w:r>
      <w:r>
        <w:rPr>
          <w:rFonts w:hint="eastAsia"/>
          <w:snapToGrid/>
        </w:rPr>
        <w:t>；</w:t>
      </w:r>
    </w:p>
    <w:p w:rsidR="00000000" w:rsidRDefault="00000000">
      <w:pPr>
        <w:numPr>
          <w:ilvl w:val="0"/>
          <w:numId w:val="518"/>
        </w:numPr>
        <w:ind w:left="1531"/>
        <w:rPr>
          <w:rFonts w:hint="eastAsia"/>
          <w:snapToGrid/>
        </w:rPr>
      </w:pPr>
      <w:r>
        <w:rPr>
          <w:rFonts w:hint="eastAsia"/>
          <w:snapToGrid/>
        </w:rPr>
        <w:t>不按时参加职业培训课并且不遵守学习纪律。</w:t>
      </w:r>
    </w:p>
    <w:p w:rsidR="00000000" w:rsidRDefault="00000000">
      <w:pPr>
        <w:rPr>
          <w:rFonts w:hint="eastAsia"/>
          <w:snapToGrid/>
        </w:rPr>
      </w:pPr>
      <w:r>
        <w:rPr>
          <w:rFonts w:hint="eastAsia"/>
          <w:snapToGrid/>
        </w:rPr>
        <w:tab/>
        <w:t xml:space="preserve">347.  </w:t>
      </w:r>
      <w:r>
        <w:rPr>
          <w:rFonts w:hint="eastAsia"/>
          <w:snapToGrid/>
        </w:rPr>
        <w:t>是否停止、暂停支付或减少失业补偿数额，由职业介绍所来决定，职业介绍所必须向失业人员宣布所作的决定。</w:t>
      </w:r>
    </w:p>
    <w:p w:rsidR="00000000" w:rsidRDefault="00000000">
      <w:pPr>
        <w:rPr>
          <w:rFonts w:hint="eastAsia"/>
          <w:snapToGrid/>
        </w:rPr>
      </w:pPr>
      <w:r>
        <w:rPr>
          <w:rFonts w:hint="eastAsia"/>
          <w:snapToGrid/>
        </w:rPr>
        <w:tab/>
        <w:t xml:space="preserve">348.  </w:t>
      </w:r>
      <w:r>
        <w:rPr>
          <w:rFonts w:hint="eastAsia"/>
          <w:snapToGrid/>
        </w:rPr>
        <w:t>在儿童保育期结束后向职业介绍所提交申请，以及暂时还不可能工作的妇女，如其子女年龄在</w:t>
      </w:r>
      <w:r>
        <w:rPr>
          <w:rFonts w:hint="eastAsia"/>
          <w:snapToGrid/>
        </w:rPr>
        <w:t>1</w:t>
      </w:r>
      <w:r>
        <w:rPr>
          <w:rFonts w:hint="eastAsia"/>
          <w:snapToGrid/>
        </w:rPr>
        <w:t>岁半至</w:t>
      </w:r>
      <w:r>
        <w:rPr>
          <w:rFonts w:hint="eastAsia"/>
          <w:snapToGrid/>
        </w:rPr>
        <w:t>14</w:t>
      </w:r>
      <w:r>
        <w:rPr>
          <w:rFonts w:hint="eastAsia"/>
          <w:snapToGrid/>
        </w:rPr>
        <w:t>岁之间，可享有失业补偿权利。这一类妇女包括：</w:t>
      </w:r>
    </w:p>
    <w:p w:rsidR="00000000" w:rsidRDefault="00000000">
      <w:pPr>
        <w:numPr>
          <w:ilvl w:val="0"/>
          <w:numId w:val="519"/>
        </w:numPr>
        <w:ind w:left="1531"/>
        <w:rPr>
          <w:rFonts w:hint="eastAsia"/>
          <w:snapToGrid/>
        </w:rPr>
      </w:pPr>
      <w:r>
        <w:rPr>
          <w:rFonts w:hint="eastAsia"/>
          <w:snapToGrid/>
        </w:rPr>
        <w:t>自分娩至向职业介绍所进行求职登记以来一直没有工作的妇女；</w:t>
      </w:r>
    </w:p>
    <w:p w:rsidR="00000000" w:rsidRDefault="00000000">
      <w:pPr>
        <w:numPr>
          <w:ilvl w:val="0"/>
          <w:numId w:val="519"/>
        </w:numPr>
        <w:ind w:left="1531"/>
        <w:rPr>
          <w:rFonts w:hint="eastAsia"/>
          <w:snapToGrid/>
        </w:rPr>
      </w:pPr>
      <w:r>
        <w:rPr>
          <w:rFonts w:hint="eastAsia"/>
          <w:snapToGrid/>
        </w:rPr>
        <w:t>中断其职业活动以照顾</w:t>
      </w:r>
      <w:r>
        <w:rPr>
          <w:rFonts w:hint="eastAsia"/>
          <w:snapToGrid/>
        </w:rPr>
        <w:t>14</w:t>
      </w:r>
      <w:r>
        <w:rPr>
          <w:rFonts w:hint="eastAsia"/>
          <w:snapToGrid/>
        </w:rPr>
        <w:t>岁以下的子女的妇女，并且这一情况得到核证。</w:t>
      </w:r>
    </w:p>
    <w:p w:rsidR="00000000" w:rsidRDefault="00000000">
      <w:pPr>
        <w:rPr>
          <w:rFonts w:hint="eastAsia"/>
          <w:snapToGrid/>
        </w:rPr>
      </w:pPr>
      <w:r>
        <w:rPr>
          <w:rFonts w:hint="eastAsia"/>
          <w:snapToGrid/>
        </w:rPr>
        <w:tab/>
        <w:t xml:space="preserve">349.  </w:t>
      </w:r>
      <w:r>
        <w:rPr>
          <w:rFonts w:hint="eastAsia"/>
          <w:snapToGrid/>
        </w:rPr>
        <w:t>如果失业人员多次在职业介绍所进行登记，他们可在前一次失业补偿支付开始后</w:t>
      </w:r>
      <w:r>
        <w:rPr>
          <w:rFonts w:hint="eastAsia"/>
          <w:snapToGrid/>
        </w:rPr>
        <w:t>20</w:t>
      </w:r>
      <w:r>
        <w:rPr>
          <w:rFonts w:hint="eastAsia"/>
          <w:snapToGrid/>
        </w:rPr>
        <w:t>个月结束时领取失业补偿。《第</w:t>
      </w:r>
      <w:r>
        <w:rPr>
          <w:rFonts w:hint="eastAsia"/>
          <w:snapToGrid/>
        </w:rPr>
        <w:t>878-XII</w:t>
      </w:r>
      <w:r>
        <w:rPr>
          <w:rFonts w:hint="eastAsia"/>
          <w:snapToGrid/>
        </w:rPr>
        <w:t>号法》第</w:t>
      </w:r>
      <w:r>
        <w:rPr>
          <w:rFonts w:hint="eastAsia"/>
          <w:snapToGrid/>
        </w:rPr>
        <w:t>18</w:t>
      </w:r>
      <w:r>
        <w:rPr>
          <w:rFonts w:hint="eastAsia"/>
          <w:snapToGrid/>
        </w:rPr>
        <w:t>条保障失业补偿权利。失业补偿数额依最低薪金而定，只有在最低薪金增长时才会增长。失业补偿数额不得低于最低薪金。</w:t>
      </w:r>
    </w:p>
    <w:p w:rsidR="00000000" w:rsidRDefault="00000000">
      <w:pPr>
        <w:rPr>
          <w:rFonts w:hint="eastAsia"/>
          <w:snapToGrid/>
        </w:rPr>
      </w:pPr>
      <w:r>
        <w:rPr>
          <w:rFonts w:hint="eastAsia"/>
          <w:snapToGrid/>
        </w:rPr>
        <w:tab/>
        <w:t xml:space="preserve">350.  </w:t>
      </w:r>
      <w:r>
        <w:rPr>
          <w:rFonts w:hint="eastAsia"/>
          <w:snapToGrid/>
        </w:rPr>
        <w:t>失业人员如需照顾一或两名</w:t>
      </w:r>
      <w:r>
        <w:rPr>
          <w:rFonts w:hint="eastAsia"/>
          <w:snapToGrid/>
        </w:rPr>
        <w:t>16</w:t>
      </w:r>
      <w:r>
        <w:rPr>
          <w:rFonts w:hint="eastAsia"/>
          <w:snapToGrid/>
        </w:rPr>
        <w:t>岁以下的子女，其失业补偿可增加</w:t>
      </w:r>
      <w:r>
        <w:rPr>
          <w:rFonts w:hint="eastAsia"/>
          <w:snapToGrid/>
        </w:rPr>
        <w:t>10%</w:t>
      </w:r>
      <w:r>
        <w:rPr>
          <w:rFonts w:hint="eastAsia"/>
          <w:snapToGrid/>
        </w:rPr>
        <w:t>，如需照顾三或三名以上同样年龄子女者，失业补偿可增加</w:t>
      </w:r>
      <w:r>
        <w:rPr>
          <w:rFonts w:hint="eastAsia"/>
          <w:snapToGrid/>
        </w:rPr>
        <w:t>20%</w:t>
      </w:r>
      <w:r>
        <w:rPr>
          <w:rFonts w:hint="eastAsia"/>
          <w:snapToGrid/>
        </w:rPr>
        <w:t>。如果父母双方均为失业者，两人均可领取子女补贴薪金。</w:t>
      </w:r>
    </w:p>
    <w:p w:rsidR="00000000" w:rsidRDefault="00000000">
      <w:pPr>
        <w:rPr>
          <w:rFonts w:hint="eastAsia"/>
          <w:snapToGrid/>
        </w:rPr>
      </w:pPr>
      <w:r>
        <w:rPr>
          <w:rFonts w:hint="eastAsia"/>
          <w:snapToGrid/>
        </w:rPr>
        <w:tab/>
        <w:t xml:space="preserve">351.  </w:t>
      </w:r>
      <w:r>
        <w:rPr>
          <w:rFonts w:hint="eastAsia"/>
          <w:snapToGrid/>
        </w:rPr>
        <w:t>所述法律第四章就享有物质支助的方式作出规定。如果领取失业补偿的法定时期结束，而该失业人员仍然没有就业的机会，他有权领取地方预算拨付的物质补偿。物质补偿可作如下说明：</w:t>
      </w:r>
    </w:p>
    <w:p w:rsidR="00000000" w:rsidRDefault="00000000">
      <w:pPr>
        <w:numPr>
          <w:ilvl w:val="0"/>
          <w:numId w:val="520"/>
        </w:numPr>
        <w:ind w:left="1531"/>
        <w:rPr>
          <w:rFonts w:hint="eastAsia"/>
          <w:snapToGrid/>
        </w:rPr>
      </w:pPr>
      <w:r>
        <w:rPr>
          <w:rFonts w:hint="eastAsia"/>
          <w:snapToGrid/>
        </w:rPr>
        <w:t>货币：支付租金、公共服务、公共交通、购买药品等方面享受补偿金和优惠条件；</w:t>
      </w:r>
    </w:p>
    <w:p w:rsidR="00000000" w:rsidRDefault="00000000">
      <w:pPr>
        <w:numPr>
          <w:ilvl w:val="0"/>
          <w:numId w:val="520"/>
        </w:numPr>
        <w:ind w:left="1531"/>
        <w:rPr>
          <w:rFonts w:hint="eastAsia"/>
          <w:snapToGrid/>
        </w:rPr>
      </w:pPr>
      <w:r>
        <w:rPr>
          <w:rFonts w:hint="eastAsia"/>
          <w:snapToGrid/>
        </w:rPr>
        <w:t>实物：提供燃料</w:t>
      </w:r>
      <w:r>
        <w:rPr>
          <w:rFonts w:hint="eastAsia"/>
          <w:snapToGrid/>
        </w:rPr>
        <w:t>(</w:t>
      </w:r>
      <w:r>
        <w:rPr>
          <w:rFonts w:hint="eastAsia"/>
          <w:snapToGrid/>
        </w:rPr>
        <w:t>木材和煤炭</w:t>
      </w:r>
      <w:r>
        <w:rPr>
          <w:rFonts w:hint="eastAsia"/>
          <w:snapToGrid/>
        </w:rPr>
        <w:t>)</w:t>
      </w:r>
      <w:r>
        <w:rPr>
          <w:rFonts w:hint="eastAsia"/>
          <w:snapToGrid/>
        </w:rPr>
        <w:t>、衣物、特别救济站发放的免费食物，或提供在公共食堂用餐的餐券。</w:t>
      </w:r>
    </w:p>
    <w:p w:rsidR="00000000" w:rsidRDefault="00000000">
      <w:pPr>
        <w:rPr>
          <w:rFonts w:hint="eastAsia"/>
          <w:snapToGrid/>
        </w:rPr>
      </w:pPr>
      <w:r>
        <w:rPr>
          <w:rFonts w:hint="eastAsia"/>
          <w:snapToGrid/>
        </w:rPr>
        <w:t>地方政府当局就有关物质供应方式和数量作出规定。</w:t>
      </w:r>
    </w:p>
    <w:p w:rsidR="00000000" w:rsidRDefault="00000000">
      <w:pPr>
        <w:rPr>
          <w:rFonts w:hint="eastAsia"/>
          <w:snapToGrid/>
        </w:rPr>
      </w:pPr>
      <w:r>
        <w:rPr>
          <w:rFonts w:hint="eastAsia"/>
          <w:snapToGrid/>
        </w:rPr>
        <w:tab/>
        <w:t xml:space="preserve">352.  </w:t>
      </w:r>
      <w:r>
        <w:rPr>
          <w:rFonts w:hint="eastAsia"/>
          <w:snapToGrid/>
        </w:rPr>
        <w:t>如果失业人员亡故，其家庭成员可按《丧葬法》规定领取一定的物质补偿。该项补偿由失业基金拨付。补偿发放的依据是出具死亡证明书。亲属凭有关支出的证明文件即可领取补偿，特殊情况下没有此种文件时，其他人亦可凭身份证领取。</w:t>
      </w:r>
    </w:p>
    <w:p w:rsidR="00000000" w:rsidRDefault="00000000">
      <w:pPr>
        <w:rPr>
          <w:rFonts w:hint="eastAsia"/>
          <w:snapToGrid/>
        </w:rPr>
      </w:pPr>
      <w:r>
        <w:rPr>
          <w:rFonts w:hint="eastAsia"/>
          <w:snapToGrid/>
        </w:rPr>
        <w:tab/>
        <w:t xml:space="preserve">353.  </w:t>
      </w:r>
      <w:r>
        <w:rPr>
          <w:rFonts w:hint="eastAsia"/>
          <w:snapToGrid/>
        </w:rPr>
        <w:t>经济改革的反复无常和缺乏连贯性，以及一再地向后拖延，导致失业现象旷日持久，贫困状况进一步加剧。没有人民充分而有效的参与，国家就不会有发展。没有人民的参与，就等于丧失了人力资源，它对社会和经济发展、社会凝聚力和人民的繁荣昌盛具有重要的影响作用。目前的失业状况之严重，已不能不让人感到忧虑。</w:t>
      </w:r>
      <w:r>
        <w:rPr>
          <w:rFonts w:hint="eastAsia"/>
          <w:snapToGrid/>
        </w:rPr>
        <w:t>1991</w:t>
      </w:r>
      <w:r>
        <w:rPr>
          <w:rFonts w:hint="eastAsia"/>
          <w:snapToGrid/>
        </w:rPr>
        <w:t>年年底登记的失业人员只有</w:t>
      </w:r>
      <w:r>
        <w:rPr>
          <w:rFonts w:hint="eastAsia"/>
          <w:snapToGrid/>
        </w:rPr>
        <w:t>78</w:t>
      </w:r>
      <w:r>
        <w:rPr>
          <w:rFonts w:hint="eastAsia"/>
          <w:snapToGrid/>
        </w:rPr>
        <w:t>人，到了</w:t>
      </w:r>
      <w:r>
        <w:rPr>
          <w:rFonts w:hint="eastAsia"/>
          <w:snapToGrid/>
        </w:rPr>
        <w:t>1994</w:t>
      </w:r>
      <w:r>
        <w:rPr>
          <w:rFonts w:hint="eastAsia"/>
          <w:snapToGrid/>
        </w:rPr>
        <w:t>年这一数字已增至</w:t>
      </w:r>
      <w:r>
        <w:rPr>
          <w:rFonts w:hint="eastAsia"/>
          <w:snapToGrid/>
        </w:rPr>
        <w:t>15,000</w:t>
      </w:r>
      <w:r>
        <w:rPr>
          <w:rFonts w:hint="eastAsia"/>
          <w:snapToGrid/>
        </w:rPr>
        <w:t>人，而在</w:t>
      </w:r>
      <w:r>
        <w:rPr>
          <w:rFonts w:hint="eastAsia"/>
          <w:snapToGrid/>
        </w:rPr>
        <w:t>2001</w:t>
      </w:r>
      <w:r>
        <w:rPr>
          <w:rFonts w:hint="eastAsia"/>
          <w:snapToGrid/>
        </w:rPr>
        <w:t>年年底在职业介绍所登记的人数有</w:t>
      </w:r>
      <w:r>
        <w:rPr>
          <w:rFonts w:hint="eastAsia"/>
          <w:snapToGrid/>
        </w:rPr>
        <w:t>28,900</w:t>
      </w:r>
      <w:r>
        <w:rPr>
          <w:rFonts w:hint="eastAsia"/>
          <w:snapToGrid/>
        </w:rPr>
        <w:t>人，空缺职位仅为</w:t>
      </w:r>
      <w:r>
        <w:rPr>
          <w:rFonts w:hint="eastAsia"/>
          <w:snapToGrid/>
        </w:rPr>
        <w:t>1,884</w:t>
      </w:r>
      <w:r>
        <w:rPr>
          <w:rFonts w:hint="eastAsia"/>
          <w:snapToGrid/>
        </w:rPr>
        <w:t>个</w:t>
      </w:r>
      <w:r>
        <w:rPr>
          <w:rFonts w:hint="eastAsia"/>
          <w:snapToGrid/>
        </w:rPr>
        <w:t>(6.5%)</w:t>
      </w:r>
      <w:r>
        <w:rPr>
          <w:rFonts w:hint="eastAsia"/>
          <w:snapToGrid/>
        </w:rPr>
        <w:t>。</w:t>
      </w:r>
    </w:p>
    <w:p w:rsidR="00000000" w:rsidRDefault="00000000">
      <w:pPr>
        <w:rPr>
          <w:rFonts w:hint="eastAsia"/>
          <w:snapToGrid/>
        </w:rPr>
      </w:pPr>
      <w:r>
        <w:rPr>
          <w:rFonts w:hint="eastAsia"/>
          <w:snapToGrid/>
        </w:rPr>
        <w:tab/>
        <w:t>35</w:t>
      </w:r>
      <w:r>
        <w:rPr>
          <w:snapToGrid/>
        </w:rPr>
        <w:t>4.</w:t>
      </w:r>
      <w:r>
        <w:rPr>
          <w:rFonts w:hint="eastAsia"/>
          <w:snapToGrid/>
        </w:rPr>
        <w:t xml:space="preserve">  </w:t>
      </w:r>
      <w:r>
        <w:rPr>
          <w:rFonts w:hint="eastAsia"/>
          <w:snapToGrid/>
        </w:rPr>
        <w:t>摩尔多瓦共和国现在面临不发达国家中典型的结构性失业问题，即生产部门无法产生足够的工作职位。国家每两三年就要制定新的就业方案，但这些方案都难以实现，因为缺少足够的有利于经济增长的刺激行动和机制。解雇人所依据的原则是不完善的。受影响的多数人是年青人，他们获得了工作，却又无法胜任，而许多雇员不到退休年龄就被解雇。隐性形式的失业，譬如被迫下岗、非全日工等等，都是不可忽视的问题。就业政策中的一个基本要素是减少非法就业</w:t>
      </w:r>
      <w:r>
        <w:rPr>
          <w:rFonts w:hint="eastAsia"/>
          <w:snapToGrid/>
        </w:rPr>
        <w:t>(</w:t>
      </w:r>
      <w:r>
        <w:rPr>
          <w:rFonts w:hint="eastAsia"/>
          <w:snapToGrid/>
        </w:rPr>
        <w:t>约有</w:t>
      </w:r>
      <w:r>
        <w:rPr>
          <w:rFonts w:hint="eastAsia"/>
          <w:snapToGrid/>
        </w:rPr>
        <w:t>600,000</w:t>
      </w:r>
      <w:r>
        <w:rPr>
          <w:rFonts w:hint="eastAsia"/>
          <w:snapToGrid/>
        </w:rPr>
        <w:t>人在非法打工</w:t>
      </w:r>
      <w:r>
        <w:rPr>
          <w:rFonts w:hint="eastAsia"/>
          <w:snapToGrid/>
        </w:rPr>
        <w:t>)</w:t>
      </w:r>
      <w:r>
        <w:rPr>
          <w:rFonts w:hint="eastAsia"/>
          <w:snapToGrid/>
        </w:rPr>
        <w:t>。要做到这一点，就需要通过一项《劳动检查法》以及减少收入所得税。</w:t>
      </w:r>
    </w:p>
    <w:p w:rsidR="00000000" w:rsidRDefault="00000000">
      <w:pPr>
        <w:rPr>
          <w:rFonts w:hint="eastAsia"/>
          <w:snapToGrid/>
        </w:rPr>
      </w:pPr>
      <w:r>
        <w:rPr>
          <w:rFonts w:hint="eastAsia"/>
          <w:snapToGrid/>
        </w:rPr>
        <w:tab/>
        <w:t xml:space="preserve">355.  </w:t>
      </w:r>
      <w:r>
        <w:rPr>
          <w:rFonts w:hint="eastAsia"/>
          <w:snapToGrid/>
        </w:rPr>
        <w:t>摩尔多瓦共和国大多数人口都为贫穷所困。《国家消除贫穷战略》</w:t>
      </w:r>
      <w:r>
        <w:rPr>
          <w:rFonts w:hint="eastAsia"/>
          <w:snapToGrid/>
        </w:rPr>
        <w:t>(1998</w:t>
      </w:r>
      <w:r>
        <w:rPr>
          <w:rFonts w:hint="eastAsia"/>
          <w:snapToGrid/>
        </w:rPr>
        <w:t>年</w:t>
      </w:r>
      <w:r>
        <w:rPr>
          <w:rFonts w:hint="eastAsia"/>
          <w:snapToGrid/>
        </w:rPr>
        <w:t>)</w:t>
      </w:r>
      <w:r>
        <w:rPr>
          <w:rFonts w:hint="eastAsia"/>
          <w:snapToGrid/>
        </w:rPr>
        <w:t>规定，保持人的尊严的有效而体面的惟一办法，就是使人们逐渐进入劳动力市场。这应当是国家的主要优先事项。《国家消除贫穷战略》的初步预测设想实现以下变化：短期变化将消除赤贫；中期变化将抑制日趋贫穷的过程；长期变化则将减轻贫穷，达到可以接受的经济、社会和政治条件。</w:t>
      </w:r>
    </w:p>
    <w:p w:rsidR="00000000" w:rsidRDefault="00000000">
      <w:pPr>
        <w:rPr>
          <w:rFonts w:hint="eastAsia"/>
          <w:snapToGrid/>
        </w:rPr>
      </w:pPr>
      <w:r>
        <w:rPr>
          <w:rFonts w:hint="eastAsia"/>
          <w:snapToGrid/>
        </w:rPr>
        <w:tab/>
        <w:t xml:space="preserve">356.  </w:t>
      </w:r>
      <w:r>
        <w:rPr>
          <w:rFonts w:hint="eastAsia"/>
          <w:snapToGrid/>
        </w:rPr>
        <w:t>摩尔多瓦共和国政府提到根据经</w:t>
      </w:r>
      <w:r>
        <w:rPr>
          <w:rFonts w:hint="eastAsia"/>
          <w:snapToGrid/>
        </w:rPr>
        <w:t>1993</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日第</w:t>
      </w:r>
      <w:r>
        <w:rPr>
          <w:rFonts w:hint="eastAsia"/>
          <w:snapToGrid/>
        </w:rPr>
        <w:t>322</w:t>
      </w:r>
      <w:r>
        <w:rPr>
          <w:rFonts w:hint="eastAsia"/>
          <w:snapToGrid/>
        </w:rPr>
        <w:t>号政府决定核可的《</w:t>
      </w:r>
      <w:r>
        <w:rPr>
          <w:rFonts w:hint="eastAsia"/>
          <w:snapToGrid/>
        </w:rPr>
        <w:t>1993-1995</w:t>
      </w:r>
      <w:r>
        <w:rPr>
          <w:rFonts w:hint="eastAsia"/>
          <w:snapToGrid/>
        </w:rPr>
        <w:t>年改进国民经济劳动保护国家方案》，在</w:t>
      </w:r>
      <w:r>
        <w:rPr>
          <w:rFonts w:hint="eastAsia"/>
          <w:snapToGrid/>
        </w:rPr>
        <w:t>1993</w:t>
      </w:r>
      <w:r>
        <w:rPr>
          <w:rFonts w:hint="eastAsia"/>
          <w:snapToGrid/>
        </w:rPr>
        <w:t>至</w:t>
      </w:r>
      <w:r>
        <w:rPr>
          <w:rFonts w:hint="eastAsia"/>
          <w:snapToGrid/>
        </w:rPr>
        <w:t>1995</w:t>
      </w:r>
      <w:r>
        <w:rPr>
          <w:rFonts w:hint="eastAsia"/>
          <w:snapToGrid/>
        </w:rPr>
        <w:t>年期间组织和开展了劳动保护活动。根据该《方案》，劳动、社会保护和家庭部与有关部委、雇主协会和工会共同建立了适用《劳动保护法》规定的机制，拟订有关的系列规范性文书。</w:t>
      </w:r>
    </w:p>
    <w:p w:rsidR="00000000" w:rsidRDefault="00000000">
      <w:pPr>
        <w:rPr>
          <w:rFonts w:hint="eastAsia"/>
          <w:snapToGrid/>
        </w:rPr>
      </w:pPr>
      <w:r>
        <w:rPr>
          <w:rFonts w:hint="eastAsia"/>
          <w:snapToGrid/>
        </w:rPr>
        <w:tab/>
        <w:t xml:space="preserve">357.  </w:t>
      </w:r>
      <w:r>
        <w:rPr>
          <w:rFonts w:hint="eastAsia"/>
          <w:snapToGrid/>
        </w:rPr>
        <w:t>为了对劳动保护法律的执行情况实施监督，国家设立了监察团。在</w:t>
      </w:r>
      <w:r>
        <w:rPr>
          <w:rFonts w:hint="eastAsia"/>
          <w:snapToGrid/>
        </w:rPr>
        <w:t>1993</w:t>
      </w:r>
      <w:r>
        <w:rPr>
          <w:rFonts w:hint="eastAsia"/>
          <w:snapToGrid/>
        </w:rPr>
        <w:t>至</w:t>
      </w:r>
      <w:r>
        <w:rPr>
          <w:rFonts w:hint="eastAsia"/>
          <w:snapToGrid/>
        </w:rPr>
        <w:t>1995</w:t>
      </w:r>
      <w:r>
        <w:rPr>
          <w:rFonts w:hint="eastAsia"/>
          <w:snapToGrid/>
        </w:rPr>
        <w:t>年期间，国家监察团对不同经济单位进行了</w:t>
      </w:r>
      <w:r>
        <w:rPr>
          <w:rFonts w:hint="eastAsia"/>
          <w:snapToGrid/>
        </w:rPr>
        <w:t>4,691</w:t>
      </w:r>
      <w:r>
        <w:rPr>
          <w:rFonts w:hint="eastAsia"/>
          <w:snapToGrid/>
        </w:rPr>
        <w:t>次监察，检查了各单位对劳动保护规范性文书的执行情况。通过这些检查，中止或制止了</w:t>
      </w:r>
      <w:r>
        <w:rPr>
          <w:rFonts w:hint="eastAsia"/>
          <w:snapToGrid/>
        </w:rPr>
        <w:t>257</w:t>
      </w:r>
      <w:r>
        <w:rPr>
          <w:rFonts w:hint="eastAsia"/>
          <w:snapToGrid/>
        </w:rPr>
        <w:t>个车间的技术违规做法，停止了</w:t>
      </w:r>
      <w:r>
        <w:rPr>
          <w:rFonts w:hint="eastAsia"/>
          <w:snapToGrid/>
        </w:rPr>
        <w:t>11,771</w:t>
      </w:r>
      <w:r>
        <w:rPr>
          <w:rFonts w:hint="eastAsia"/>
          <w:snapToGrid/>
        </w:rPr>
        <w:t>件存在危险状况的设备、机器和设施的活动，对</w:t>
      </w:r>
      <w:r>
        <w:rPr>
          <w:rFonts w:hint="eastAsia"/>
          <w:snapToGrid/>
        </w:rPr>
        <w:t>444</w:t>
      </w:r>
      <w:r>
        <w:rPr>
          <w:rFonts w:hint="eastAsia"/>
          <w:snapToGrid/>
        </w:rPr>
        <w:t>起死亡事故进行了调查，以及对提交检察官办公室的与工作有关的残疾事件进行了调查，从而防止了</w:t>
      </w:r>
      <w:r>
        <w:rPr>
          <w:rFonts w:hint="eastAsia"/>
          <w:snapToGrid/>
        </w:rPr>
        <w:t>106,233</w:t>
      </w:r>
      <w:r>
        <w:rPr>
          <w:rFonts w:hint="eastAsia"/>
          <w:snapToGrid/>
        </w:rPr>
        <w:t>起工作事故的发生。</w:t>
      </w:r>
    </w:p>
    <w:p w:rsidR="00000000" w:rsidRDefault="00000000">
      <w:pPr>
        <w:rPr>
          <w:rFonts w:hint="eastAsia"/>
          <w:snapToGrid/>
        </w:rPr>
      </w:pPr>
      <w:r>
        <w:rPr>
          <w:rFonts w:hint="eastAsia"/>
          <w:snapToGrid/>
        </w:rPr>
        <w:tab/>
        <w:t xml:space="preserve">358.  </w:t>
      </w:r>
      <w:r>
        <w:rPr>
          <w:rFonts w:hint="eastAsia"/>
          <w:snapToGrid/>
        </w:rPr>
        <w:t>设立了一个行政管理人员培训中心。经济单位努力改进雇员的条件和安全。</w:t>
      </w:r>
      <w:r>
        <w:rPr>
          <w:rFonts w:hint="eastAsia"/>
          <w:snapToGrid/>
        </w:rPr>
        <w:t>1995</w:t>
      </w:r>
      <w:r>
        <w:rPr>
          <w:rFonts w:hint="eastAsia"/>
          <w:snapToGrid/>
        </w:rPr>
        <w:t>年，国家为改进劳动保护方法拨款</w:t>
      </w:r>
      <w:r>
        <w:rPr>
          <w:rFonts w:hint="eastAsia"/>
          <w:snapToGrid/>
        </w:rPr>
        <w:t>23,875,500</w:t>
      </w:r>
      <w:r>
        <w:rPr>
          <w:rFonts w:hint="eastAsia"/>
          <w:snapToGrid/>
        </w:rPr>
        <w:t>列伊。但是，尽管政府采取了种种措施，摩尔多瓦共和国的劳动保护状况依然问题严重。事实是，各部委和地方政府行政部门并未对劳动保护事项予以优先考虑。各部委对拟订有关劳动保护的规范性文书，发展和引导劳动保护组织，设立解决劳动保护案件的特别基金，以及培训不同类型组织的行政部门人员等事项，没有给予充分重视。此外，部分部委、地区执行委员会和市政厅还违反现行法律规定，为某些劳动保护没有获得国家监察团核准的活动颁发许可证。因此，有不少从事各种活动的经济行为主体，使用的是有缺陷的技术程序、生产车间、设备、机器和陈旧设施，不符合卫生和安全劳动要求。</w:t>
      </w:r>
    </w:p>
    <w:p w:rsidR="00000000" w:rsidRDefault="00000000">
      <w:pPr>
        <w:rPr>
          <w:rFonts w:hint="eastAsia"/>
          <w:snapToGrid/>
        </w:rPr>
      </w:pPr>
      <w:r>
        <w:rPr>
          <w:rFonts w:hint="eastAsia"/>
          <w:snapToGrid/>
        </w:rPr>
        <w:tab/>
        <w:t>359.  1995</w:t>
      </w:r>
      <w:r>
        <w:rPr>
          <w:rFonts w:hint="eastAsia"/>
          <w:snapToGrid/>
        </w:rPr>
        <w:t>年，登记备案的工伤事故有</w:t>
      </w:r>
      <w:r>
        <w:rPr>
          <w:rFonts w:hint="eastAsia"/>
          <w:snapToGrid/>
        </w:rPr>
        <w:t>1,946</w:t>
      </w:r>
      <w:r>
        <w:rPr>
          <w:rFonts w:hint="eastAsia"/>
          <w:snapToGrid/>
        </w:rPr>
        <w:t>起，其中</w:t>
      </w:r>
      <w:r>
        <w:rPr>
          <w:rFonts w:hint="eastAsia"/>
          <w:snapToGrid/>
        </w:rPr>
        <w:t>74</w:t>
      </w:r>
      <w:r>
        <w:rPr>
          <w:rFonts w:hint="eastAsia"/>
          <w:snapToGrid/>
        </w:rPr>
        <w:t>起为死亡事故，造成暂时残疾的受伤工人总人数为</w:t>
      </w:r>
      <w:r>
        <w:rPr>
          <w:rFonts w:hint="eastAsia"/>
          <w:snapToGrid/>
        </w:rPr>
        <w:t>68,953</w:t>
      </w:r>
      <w:r>
        <w:rPr>
          <w:rFonts w:hint="eastAsia"/>
          <w:snapToGrid/>
        </w:rPr>
        <w:t>人</w:t>
      </w:r>
      <w:r>
        <w:rPr>
          <w:rFonts w:hint="eastAsia"/>
          <w:snapToGrid/>
        </w:rPr>
        <w:t>(</w:t>
      </w:r>
      <w:r>
        <w:rPr>
          <w:rFonts w:hint="eastAsia"/>
          <w:snapToGrid/>
        </w:rPr>
        <w:t>雇员平均人数为</w:t>
      </w:r>
      <w:r>
        <w:rPr>
          <w:rFonts w:hint="eastAsia"/>
          <w:snapToGrid/>
        </w:rPr>
        <w:t>1,264,575</w:t>
      </w:r>
      <w:r>
        <w:rPr>
          <w:rFonts w:hint="eastAsia"/>
          <w:snapToGrid/>
        </w:rPr>
        <w:t>人</w:t>
      </w:r>
      <w:r>
        <w:rPr>
          <w:rFonts w:hint="eastAsia"/>
          <w:snapToGrid/>
        </w:rPr>
        <w:t>)</w:t>
      </w:r>
      <w:r>
        <w:rPr>
          <w:rFonts w:hint="eastAsia"/>
          <w:snapToGrid/>
        </w:rPr>
        <w:t>大多数与工伤事故是组织方面的问题：防止这类事故并不需要太多的拨款。</w:t>
      </w:r>
    </w:p>
    <w:p w:rsidR="00000000" w:rsidRDefault="00000000">
      <w:pPr>
        <w:rPr>
          <w:rFonts w:hint="eastAsia"/>
          <w:snapToGrid/>
        </w:rPr>
      </w:pPr>
      <w:r>
        <w:rPr>
          <w:rFonts w:hint="eastAsia"/>
          <w:snapToGrid/>
        </w:rPr>
        <w:tab/>
        <w:t xml:space="preserve">360.  </w:t>
      </w:r>
      <w:r>
        <w:rPr>
          <w:rFonts w:hint="eastAsia"/>
          <w:snapToGrid/>
        </w:rPr>
        <w:t>去年一年中，工作条件不符合卫生规范的雇员人数在商业和食品业中占</w:t>
      </w:r>
      <w:r>
        <w:rPr>
          <w:rFonts w:hint="eastAsia"/>
          <w:snapToGrid/>
        </w:rPr>
        <w:t>15.3%</w:t>
      </w:r>
      <w:r>
        <w:rPr>
          <w:rFonts w:hint="eastAsia"/>
          <w:snapToGrid/>
        </w:rPr>
        <w:t>，工业中占</w:t>
      </w:r>
      <w:r>
        <w:rPr>
          <w:rFonts w:hint="eastAsia"/>
          <w:snapToGrid/>
        </w:rPr>
        <w:t>15%</w:t>
      </w:r>
      <w:r>
        <w:rPr>
          <w:rFonts w:hint="eastAsia"/>
          <w:snapToGrid/>
        </w:rPr>
        <w:t>，运输业中占</w:t>
      </w:r>
      <w:r>
        <w:rPr>
          <w:rFonts w:hint="eastAsia"/>
          <w:snapToGrid/>
        </w:rPr>
        <w:t>12.3%</w:t>
      </w:r>
      <w:r>
        <w:rPr>
          <w:rFonts w:hint="eastAsia"/>
          <w:snapToGrid/>
        </w:rPr>
        <w:t>，建筑业中占</w:t>
      </w:r>
      <w:r>
        <w:rPr>
          <w:rFonts w:hint="eastAsia"/>
          <w:snapToGrid/>
        </w:rPr>
        <w:t>6.7%</w:t>
      </w:r>
      <w:r>
        <w:rPr>
          <w:rFonts w:hint="eastAsia"/>
          <w:snapToGrid/>
        </w:rPr>
        <w:t>，电信业中占</w:t>
      </w:r>
      <w:r>
        <w:rPr>
          <w:rFonts w:hint="eastAsia"/>
          <w:snapToGrid/>
        </w:rPr>
        <w:t>5.1%</w:t>
      </w:r>
      <w:r>
        <w:rPr>
          <w:rFonts w:hint="eastAsia"/>
          <w:snapToGrid/>
        </w:rPr>
        <w:t>。不利的劳动条件导致</w:t>
      </w:r>
      <w:r>
        <w:rPr>
          <w:rFonts w:hint="eastAsia"/>
          <w:snapToGrid/>
        </w:rPr>
        <w:t>56</w:t>
      </w:r>
      <w:r>
        <w:rPr>
          <w:rFonts w:hint="eastAsia"/>
          <w:snapToGrid/>
        </w:rPr>
        <w:t>人患上职业病。</w:t>
      </w:r>
      <w:r>
        <w:rPr>
          <w:rFonts w:hint="eastAsia"/>
          <w:snapToGrid/>
        </w:rPr>
        <w:t>140</w:t>
      </w:r>
      <w:r>
        <w:rPr>
          <w:rFonts w:hint="eastAsia"/>
          <w:snapToGrid/>
        </w:rPr>
        <w:t>人因工伤事故和职业病而成为残疾人。</w:t>
      </w:r>
    </w:p>
    <w:p w:rsidR="00000000" w:rsidRDefault="00000000">
      <w:pPr>
        <w:rPr>
          <w:rFonts w:hint="eastAsia"/>
          <w:snapToGrid/>
        </w:rPr>
      </w:pPr>
      <w:r>
        <w:rPr>
          <w:rFonts w:hint="eastAsia"/>
          <w:snapToGrid/>
        </w:rPr>
        <w:tab/>
        <w:t>36</w:t>
      </w:r>
      <w:r>
        <w:rPr>
          <w:snapToGrid/>
        </w:rPr>
        <w:t>1.</w:t>
      </w:r>
      <w:r>
        <w:rPr>
          <w:rFonts w:hint="eastAsia"/>
          <w:snapToGrid/>
        </w:rPr>
        <w:t xml:space="preserve">  </w:t>
      </w:r>
      <w:r>
        <w:rPr>
          <w:rFonts w:hint="eastAsia"/>
          <w:snapToGrid/>
        </w:rPr>
        <w:t>考虑到上述情况和继续改进劳动保护状况的必要性，摩尔多瓦共和国政府于</w:t>
      </w:r>
      <w:r>
        <w:rPr>
          <w:rFonts w:hint="eastAsia"/>
          <w:snapToGrid/>
        </w:rPr>
        <w:t>1996</w:t>
      </w:r>
      <w:r>
        <w:rPr>
          <w:rFonts w:hint="eastAsia"/>
          <w:snapToGrid/>
        </w:rPr>
        <w:t>年</w:t>
      </w:r>
      <w:r>
        <w:rPr>
          <w:rFonts w:hint="eastAsia"/>
          <w:snapToGrid/>
        </w:rPr>
        <w:t>8</w:t>
      </w:r>
      <w:r>
        <w:rPr>
          <w:rFonts w:hint="eastAsia"/>
          <w:snapToGrid/>
        </w:rPr>
        <w:t>月</w:t>
      </w:r>
      <w:r>
        <w:rPr>
          <w:rFonts w:hint="eastAsia"/>
          <w:snapToGrid/>
        </w:rPr>
        <w:t>13</w:t>
      </w:r>
      <w:r>
        <w:rPr>
          <w:rFonts w:hint="eastAsia"/>
          <w:snapToGrid/>
        </w:rPr>
        <w:t>日核可了第</w:t>
      </w:r>
      <w:r>
        <w:rPr>
          <w:rFonts w:hint="eastAsia"/>
          <w:snapToGrid/>
        </w:rPr>
        <w:t>451</w:t>
      </w:r>
      <w:r>
        <w:rPr>
          <w:rFonts w:hint="eastAsia"/>
          <w:snapToGrid/>
        </w:rPr>
        <w:t>号决定，即《</w:t>
      </w:r>
      <w:r>
        <w:rPr>
          <w:rFonts w:hint="eastAsia"/>
          <w:snapToGrid/>
        </w:rPr>
        <w:t>1996</w:t>
      </w:r>
      <w:r>
        <w:rPr>
          <w:rFonts w:hint="eastAsia"/>
          <w:snapToGrid/>
        </w:rPr>
        <w:t>和</w:t>
      </w:r>
      <w:r>
        <w:rPr>
          <w:rFonts w:hint="eastAsia"/>
          <w:snapToGrid/>
        </w:rPr>
        <w:t>1997</w:t>
      </w:r>
      <w:r>
        <w:rPr>
          <w:rFonts w:hint="eastAsia"/>
          <w:snapToGrid/>
        </w:rPr>
        <w:t>年国家国民经济劳动保护方案》。根据该《方案》，各有关方面应当完成以下任务：</w:t>
      </w:r>
    </w:p>
    <w:p w:rsidR="00000000" w:rsidRDefault="00000000">
      <w:pPr>
        <w:numPr>
          <w:ilvl w:val="0"/>
          <w:numId w:val="522"/>
        </w:numPr>
        <w:ind w:left="1531"/>
        <w:rPr>
          <w:snapToGrid/>
        </w:rPr>
      </w:pPr>
      <w:r>
        <w:rPr>
          <w:rFonts w:hint="eastAsia"/>
          <w:snapToGrid/>
        </w:rPr>
        <w:t>各部委：</w:t>
      </w:r>
    </w:p>
    <w:p w:rsidR="00000000" w:rsidRDefault="00000000">
      <w:pPr>
        <w:numPr>
          <w:ilvl w:val="1"/>
          <w:numId w:val="522"/>
        </w:numPr>
        <w:ind w:left="2051"/>
        <w:rPr>
          <w:rFonts w:hint="eastAsia"/>
          <w:snapToGrid/>
        </w:rPr>
      </w:pPr>
      <w:r>
        <w:rPr>
          <w:rFonts w:hint="eastAsia"/>
          <w:snapToGrid/>
        </w:rPr>
        <w:t>制定有关下属企业、机构和组织的劳动保护活动的主要指示；</w:t>
      </w:r>
    </w:p>
    <w:p w:rsidR="00000000" w:rsidRDefault="00000000">
      <w:pPr>
        <w:numPr>
          <w:ilvl w:val="1"/>
          <w:numId w:val="522"/>
        </w:numPr>
        <w:ind w:left="2051"/>
        <w:rPr>
          <w:rFonts w:hint="eastAsia"/>
          <w:snapToGrid/>
        </w:rPr>
      </w:pPr>
      <w:r>
        <w:rPr>
          <w:rFonts w:hint="eastAsia"/>
          <w:snapToGrid/>
        </w:rPr>
        <w:t>发布劳动保护年度方案和计划，并采取行动为特别劳动保护基金募集款项；</w:t>
      </w:r>
    </w:p>
    <w:p w:rsidR="00000000" w:rsidRDefault="00000000">
      <w:pPr>
        <w:numPr>
          <w:ilvl w:val="1"/>
          <w:numId w:val="522"/>
        </w:numPr>
        <w:ind w:left="2051"/>
        <w:rPr>
          <w:rFonts w:hint="eastAsia"/>
          <w:snapToGrid/>
        </w:rPr>
      </w:pPr>
      <w:r>
        <w:rPr>
          <w:rFonts w:hint="eastAsia"/>
          <w:snapToGrid/>
        </w:rPr>
        <w:t>发布关于发展各项活动所必要的劳动保护的规范性文书；</w:t>
      </w:r>
    </w:p>
    <w:p w:rsidR="00000000" w:rsidRDefault="00000000">
      <w:pPr>
        <w:numPr>
          <w:ilvl w:val="1"/>
          <w:numId w:val="522"/>
        </w:numPr>
        <w:ind w:left="2051"/>
        <w:rPr>
          <w:rFonts w:hint="eastAsia"/>
          <w:snapToGrid/>
        </w:rPr>
      </w:pPr>
      <w:r>
        <w:rPr>
          <w:rFonts w:hint="eastAsia"/>
          <w:snapToGrid/>
        </w:rPr>
        <w:t>举办培训班，并对所属企业、机构和组织担负领导职务的人员进行考查；</w:t>
      </w:r>
    </w:p>
    <w:p w:rsidR="00000000" w:rsidRDefault="00000000">
      <w:pPr>
        <w:numPr>
          <w:ilvl w:val="1"/>
          <w:numId w:val="522"/>
        </w:numPr>
        <w:ind w:left="2051"/>
        <w:rPr>
          <w:rFonts w:hint="eastAsia"/>
          <w:snapToGrid/>
        </w:rPr>
      </w:pPr>
      <w:r>
        <w:rPr>
          <w:rFonts w:hint="eastAsia"/>
          <w:snapToGrid/>
        </w:rPr>
        <w:t>加强劳动保护部门的服务工作；</w:t>
      </w:r>
    </w:p>
    <w:p w:rsidR="00000000" w:rsidRDefault="00000000">
      <w:pPr>
        <w:numPr>
          <w:ilvl w:val="1"/>
          <w:numId w:val="522"/>
        </w:numPr>
        <w:ind w:left="2051"/>
        <w:rPr>
          <w:rFonts w:hint="eastAsia"/>
          <w:snapToGrid/>
        </w:rPr>
      </w:pPr>
      <w:r>
        <w:rPr>
          <w:rFonts w:hint="eastAsia"/>
          <w:snapToGrid/>
        </w:rPr>
        <w:t>开展方法活动并监督下属企业、机构和组织的劳动保护活动，同时采取必要措施以保证遵守关于劳动保护的现行法律；</w:t>
      </w:r>
    </w:p>
    <w:p w:rsidR="00000000" w:rsidRDefault="00000000">
      <w:pPr>
        <w:numPr>
          <w:ilvl w:val="1"/>
          <w:numId w:val="522"/>
        </w:numPr>
        <w:ind w:left="2051"/>
        <w:rPr>
          <w:rFonts w:hint="eastAsia"/>
          <w:snapToGrid/>
        </w:rPr>
      </w:pPr>
      <w:r>
        <w:rPr>
          <w:rFonts w:hint="eastAsia"/>
          <w:snapToGrid/>
        </w:rPr>
        <w:t>检查下属企业、机构和组织在创造卫生和良好的劳动条件方面所开展的活动；</w:t>
      </w:r>
    </w:p>
    <w:p w:rsidR="00000000" w:rsidRDefault="00000000">
      <w:pPr>
        <w:numPr>
          <w:ilvl w:val="0"/>
          <w:numId w:val="522"/>
        </w:numPr>
        <w:ind w:left="1531"/>
        <w:rPr>
          <w:snapToGrid/>
        </w:rPr>
      </w:pPr>
      <w:r>
        <w:rPr>
          <w:rFonts w:hint="eastAsia"/>
          <w:snapToGrid/>
        </w:rPr>
        <w:t>地方政府行政部门：</w:t>
      </w:r>
    </w:p>
    <w:p w:rsidR="00000000" w:rsidRDefault="00000000">
      <w:pPr>
        <w:pStyle w:val="ac"/>
        <w:ind w:left="2051"/>
        <w:rPr>
          <w:snapToGrid/>
        </w:rPr>
      </w:pPr>
      <w:r>
        <w:rPr>
          <w:rFonts w:hint="eastAsia"/>
          <w:snapToGrid/>
        </w:rPr>
        <w:t>(</w:t>
      </w:r>
      <w:r>
        <w:rPr>
          <w:rFonts w:hint="eastAsia"/>
          <w:snapToGrid/>
        </w:rPr>
        <w:t>一</w:t>
      </w:r>
      <w:r>
        <w:rPr>
          <w:rFonts w:hint="eastAsia"/>
          <w:snapToGrid/>
        </w:rPr>
        <w:t>)</w:t>
      </w:r>
      <w:r>
        <w:rPr>
          <w:rFonts w:hint="eastAsia"/>
          <w:snapToGrid/>
        </w:rPr>
        <w:tab/>
      </w:r>
      <w:r>
        <w:rPr>
          <w:rFonts w:hint="eastAsia"/>
          <w:snapToGrid/>
        </w:rPr>
        <w:t>采取措施保障其区域内劳动者享有劳动保护；</w:t>
      </w:r>
    </w:p>
    <w:p w:rsidR="00000000" w:rsidRDefault="00000000">
      <w:pPr>
        <w:pStyle w:val="ac"/>
        <w:ind w:left="2051"/>
        <w:rPr>
          <w:rFonts w:hint="eastAsia"/>
          <w:snapToGrid/>
        </w:rPr>
      </w:pPr>
      <w:r>
        <w:rPr>
          <w:rFonts w:hint="eastAsia"/>
          <w:snapToGrid/>
        </w:rPr>
        <w:t>(</w:t>
      </w:r>
      <w:r>
        <w:rPr>
          <w:rFonts w:hint="eastAsia"/>
          <w:snapToGrid/>
        </w:rPr>
        <w:t>二</w:t>
      </w:r>
      <w:r>
        <w:rPr>
          <w:rFonts w:hint="eastAsia"/>
          <w:snapToGrid/>
        </w:rPr>
        <w:t>)</w:t>
      </w:r>
      <w:r>
        <w:rPr>
          <w:rFonts w:hint="eastAsia"/>
          <w:snapToGrid/>
        </w:rPr>
        <w:tab/>
      </w:r>
      <w:r>
        <w:rPr>
          <w:rFonts w:hint="eastAsia"/>
          <w:snapToGrid/>
        </w:rPr>
        <w:t>系统地审查与劳动保护立法有关的问题；</w:t>
      </w:r>
    </w:p>
    <w:p w:rsidR="00000000" w:rsidRDefault="00000000">
      <w:pPr>
        <w:pStyle w:val="ac"/>
        <w:ind w:left="2051"/>
        <w:rPr>
          <w:rFonts w:hint="eastAsia"/>
          <w:snapToGrid/>
        </w:rPr>
      </w:pPr>
      <w:r>
        <w:rPr>
          <w:rFonts w:hint="eastAsia"/>
          <w:snapToGrid/>
        </w:rPr>
        <w:t>(</w:t>
      </w:r>
      <w:r>
        <w:rPr>
          <w:rFonts w:hint="eastAsia"/>
          <w:snapToGrid/>
        </w:rPr>
        <w:t>三</w:t>
      </w:r>
      <w:r>
        <w:rPr>
          <w:rFonts w:hint="eastAsia"/>
          <w:snapToGrid/>
        </w:rPr>
        <w:t>)</w:t>
      </w:r>
      <w:r>
        <w:rPr>
          <w:rFonts w:hint="eastAsia"/>
          <w:snapToGrid/>
        </w:rPr>
        <w:tab/>
      </w:r>
      <w:r>
        <w:rPr>
          <w:rFonts w:hint="eastAsia"/>
          <w:snapToGrid/>
        </w:rPr>
        <w:t>每年发布劳动保护措施计划，并采取行动为特别基金募集款项以及实施劳动保护措施；</w:t>
      </w:r>
    </w:p>
    <w:p w:rsidR="00000000" w:rsidRDefault="00000000">
      <w:pPr>
        <w:numPr>
          <w:ilvl w:val="0"/>
          <w:numId w:val="522"/>
        </w:numPr>
        <w:ind w:left="1531"/>
        <w:rPr>
          <w:rFonts w:hint="eastAsia"/>
          <w:snapToGrid/>
        </w:rPr>
      </w:pPr>
      <w:r>
        <w:rPr>
          <w:rFonts w:hint="eastAsia"/>
          <w:snapToGrid/>
        </w:rPr>
        <w:t>企业、机构和组织负责人：</w:t>
      </w:r>
    </w:p>
    <w:p w:rsidR="00000000" w:rsidRDefault="00000000">
      <w:pPr>
        <w:pStyle w:val="ac"/>
        <w:ind w:left="2051"/>
        <w:rPr>
          <w:rFonts w:hint="eastAsia"/>
          <w:snapToGrid/>
        </w:rPr>
      </w:pPr>
      <w:r>
        <w:rPr>
          <w:rFonts w:hint="eastAsia"/>
          <w:snapToGrid/>
        </w:rPr>
        <w:t>(</w:t>
      </w:r>
      <w:r>
        <w:rPr>
          <w:rFonts w:hint="eastAsia"/>
          <w:snapToGrid/>
        </w:rPr>
        <w:t>一</w:t>
      </w:r>
      <w:r>
        <w:rPr>
          <w:rFonts w:hint="eastAsia"/>
          <w:snapToGrid/>
        </w:rPr>
        <w:t>)</w:t>
      </w:r>
      <w:r>
        <w:rPr>
          <w:rFonts w:hint="eastAsia"/>
          <w:snapToGrid/>
        </w:rPr>
        <w:tab/>
      </w:r>
      <w:r>
        <w:rPr>
          <w:rFonts w:hint="eastAsia"/>
          <w:snapToGrid/>
        </w:rPr>
        <w:t>要求经济单位开展活动必须有地方国家监察团颁发的许可证；</w:t>
      </w:r>
    </w:p>
    <w:p w:rsidR="00000000" w:rsidRDefault="00000000">
      <w:pPr>
        <w:pStyle w:val="ac"/>
        <w:ind w:left="2051"/>
        <w:rPr>
          <w:rFonts w:hint="eastAsia"/>
          <w:snapToGrid/>
        </w:rPr>
      </w:pPr>
      <w:r>
        <w:rPr>
          <w:rFonts w:hint="eastAsia"/>
          <w:snapToGrid/>
        </w:rPr>
        <w:t>(</w:t>
      </w:r>
      <w:r>
        <w:rPr>
          <w:rFonts w:hint="eastAsia"/>
          <w:snapToGrid/>
        </w:rPr>
        <w:t>二</w:t>
      </w:r>
      <w:r>
        <w:rPr>
          <w:rFonts w:hint="eastAsia"/>
          <w:snapToGrid/>
        </w:rPr>
        <w:t>)</w:t>
      </w:r>
      <w:r>
        <w:rPr>
          <w:rFonts w:hint="eastAsia"/>
          <w:snapToGrid/>
        </w:rPr>
        <w:tab/>
      </w:r>
      <w:r>
        <w:rPr>
          <w:rFonts w:hint="eastAsia"/>
          <w:snapToGrid/>
        </w:rPr>
        <w:t>确立劳动保护的组织结构和这些结构的所有具体单位的职责和义务；</w:t>
      </w:r>
    </w:p>
    <w:p w:rsidR="00000000" w:rsidRDefault="00000000">
      <w:pPr>
        <w:pStyle w:val="ac"/>
        <w:ind w:left="2051"/>
        <w:rPr>
          <w:rFonts w:hint="eastAsia"/>
          <w:snapToGrid/>
        </w:rPr>
      </w:pPr>
      <w:r>
        <w:rPr>
          <w:rFonts w:hint="eastAsia"/>
          <w:snapToGrid/>
        </w:rPr>
        <w:t>(</w:t>
      </w:r>
      <w:r>
        <w:rPr>
          <w:rFonts w:hint="eastAsia"/>
          <w:snapToGrid/>
        </w:rPr>
        <w:t>三</w:t>
      </w:r>
      <w:r>
        <w:rPr>
          <w:rFonts w:hint="eastAsia"/>
          <w:snapToGrid/>
        </w:rPr>
        <w:t>)</w:t>
      </w:r>
      <w:r>
        <w:rPr>
          <w:rFonts w:hint="eastAsia"/>
          <w:snapToGrid/>
        </w:rPr>
        <w:tab/>
      </w:r>
      <w:r>
        <w:rPr>
          <w:rFonts w:hint="eastAsia"/>
          <w:snapToGrid/>
        </w:rPr>
        <w:t>宣传防止发生工伤事故和职业病的政策；</w:t>
      </w:r>
    </w:p>
    <w:p w:rsidR="00000000" w:rsidRDefault="00000000">
      <w:pPr>
        <w:pStyle w:val="ac"/>
        <w:ind w:left="2051"/>
        <w:rPr>
          <w:rFonts w:hint="eastAsia"/>
          <w:snapToGrid/>
        </w:rPr>
      </w:pPr>
      <w:r>
        <w:rPr>
          <w:rFonts w:hint="eastAsia"/>
          <w:snapToGrid/>
        </w:rPr>
        <w:t>(</w:t>
      </w:r>
      <w:r>
        <w:rPr>
          <w:rFonts w:hint="eastAsia"/>
          <w:snapToGrid/>
        </w:rPr>
        <w:t>四</w:t>
      </w:r>
      <w:r>
        <w:rPr>
          <w:rFonts w:hint="eastAsia"/>
          <w:snapToGrid/>
        </w:rPr>
        <w:t>)</w:t>
      </w:r>
      <w:r>
        <w:rPr>
          <w:rFonts w:hint="eastAsia"/>
          <w:snapToGrid/>
        </w:rPr>
        <w:tab/>
      </w:r>
      <w:r>
        <w:rPr>
          <w:rFonts w:hint="eastAsia"/>
          <w:snapToGrid/>
        </w:rPr>
        <w:t>拟订和实施劳动保护年度计划，设立劳动保护特别基金并为其募集款项；</w:t>
      </w:r>
    </w:p>
    <w:p w:rsidR="00000000" w:rsidRDefault="00000000">
      <w:pPr>
        <w:pStyle w:val="ac"/>
        <w:ind w:left="2051"/>
        <w:rPr>
          <w:rFonts w:hint="eastAsia"/>
          <w:snapToGrid/>
        </w:rPr>
      </w:pPr>
      <w:r>
        <w:rPr>
          <w:rFonts w:hint="eastAsia"/>
          <w:snapToGrid/>
        </w:rPr>
        <w:t>(</w:t>
      </w:r>
      <w:r>
        <w:rPr>
          <w:rFonts w:hint="eastAsia"/>
          <w:snapToGrid/>
        </w:rPr>
        <w:t>五</w:t>
      </w:r>
      <w:r>
        <w:rPr>
          <w:rFonts w:hint="eastAsia"/>
          <w:snapToGrid/>
        </w:rPr>
        <w:t>)</w:t>
      </w:r>
      <w:r>
        <w:rPr>
          <w:rFonts w:hint="eastAsia"/>
          <w:snapToGrid/>
        </w:rPr>
        <w:tab/>
      </w:r>
      <w:r>
        <w:rPr>
          <w:rFonts w:hint="eastAsia"/>
          <w:snapToGrid/>
        </w:rPr>
        <w:t>根据一般和特别准则拟订劳动保护指示；</w:t>
      </w:r>
    </w:p>
    <w:p w:rsidR="00000000" w:rsidRDefault="00000000">
      <w:pPr>
        <w:pStyle w:val="ac"/>
        <w:ind w:left="2051"/>
        <w:rPr>
          <w:rFonts w:hint="eastAsia"/>
          <w:snapToGrid/>
        </w:rPr>
      </w:pPr>
      <w:r>
        <w:rPr>
          <w:rFonts w:hint="eastAsia"/>
          <w:snapToGrid/>
        </w:rPr>
        <w:t>(</w:t>
      </w:r>
      <w:r>
        <w:rPr>
          <w:rFonts w:hint="eastAsia"/>
          <w:snapToGrid/>
        </w:rPr>
        <w:t>六</w:t>
      </w:r>
      <w:r>
        <w:rPr>
          <w:rFonts w:hint="eastAsia"/>
          <w:snapToGrid/>
        </w:rPr>
        <w:t>)</w:t>
      </w:r>
      <w:r>
        <w:rPr>
          <w:rFonts w:hint="eastAsia"/>
          <w:snapToGrid/>
        </w:rPr>
        <w:tab/>
      </w:r>
      <w:r>
        <w:rPr>
          <w:rFonts w:hint="eastAsia"/>
          <w:snapToGrid/>
        </w:rPr>
        <w:t>向每个雇员讲明他</w:t>
      </w:r>
      <w:r>
        <w:rPr>
          <w:rFonts w:hint="eastAsia"/>
          <w:snapToGrid/>
        </w:rPr>
        <w:t>(</w:t>
      </w:r>
      <w:r>
        <w:rPr>
          <w:rFonts w:hint="eastAsia"/>
          <w:snapToGrid/>
        </w:rPr>
        <w:t>她</w:t>
      </w:r>
      <w:r>
        <w:rPr>
          <w:rFonts w:hint="eastAsia"/>
          <w:snapToGrid/>
        </w:rPr>
        <w:t>)</w:t>
      </w:r>
      <w:r>
        <w:rPr>
          <w:rFonts w:hint="eastAsia"/>
          <w:snapToGrid/>
        </w:rPr>
        <w:t>在工作场所可能面临的危险以及防止危险发生所必须采取的措施；</w:t>
      </w:r>
    </w:p>
    <w:p w:rsidR="00000000" w:rsidRDefault="00000000">
      <w:pPr>
        <w:pStyle w:val="ac"/>
        <w:ind w:left="2051"/>
        <w:rPr>
          <w:rFonts w:hint="eastAsia"/>
          <w:snapToGrid/>
        </w:rPr>
      </w:pPr>
      <w:r>
        <w:rPr>
          <w:rFonts w:hint="eastAsia"/>
          <w:snapToGrid/>
        </w:rPr>
        <w:t>(</w:t>
      </w:r>
      <w:r>
        <w:rPr>
          <w:rFonts w:hint="eastAsia"/>
          <w:snapToGrid/>
        </w:rPr>
        <w:t>七</w:t>
      </w:r>
      <w:r>
        <w:rPr>
          <w:rFonts w:hint="eastAsia"/>
          <w:snapToGrid/>
        </w:rPr>
        <w:t>)</w:t>
      </w:r>
      <w:r>
        <w:rPr>
          <w:rFonts w:hint="eastAsia"/>
          <w:snapToGrid/>
        </w:rPr>
        <w:tab/>
      </w:r>
      <w:r>
        <w:rPr>
          <w:rFonts w:hint="eastAsia"/>
          <w:snapToGrid/>
        </w:rPr>
        <w:t>为雇主和企业行政部门人员提供劳动保护方面的培训、考查和进修课程；</w:t>
      </w:r>
    </w:p>
    <w:p w:rsidR="00000000" w:rsidRDefault="00000000">
      <w:pPr>
        <w:pStyle w:val="ac"/>
        <w:ind w:left="2051"/>
        <w:rPr>
          <w:rFonts w:hint="eastAsia"/>
          <w:snapToGrid/>
        </w:rPr>
      </w:pPr>
      <w:r>
        <w:rPr>
          <w:rFonts w:hint="eastAsia"/>
          <w:snapToGrid/>
        </w:rPr>
        <w:t>(</w:t>
      </w:r>
      <w:r>
        <w:rPr>
          <w:rFonts w:hint="eastAsia"/>
          <w:snapToGrid/>
        </w:rPr>
        <w:t>八</w:t>
      </w:r>
      <w:r>
        <w:rPr>
          <w:rFonts w:hint="eastAsia"/>
          <w:snapToGrid/>
        </w:rPr>
        <w:t>)</w:t>
      </w:r>
      <w:r>
        <w:rPr>
          <w:rFonts w:hint="eastAsia"/>
          <w:snapToGrid/>
        </w:rPr>
        <w:tab/>
      </w:r>
      <w:r>
        <w:rPr>
          <w:rFonts w:hint="eastAsia"/>
          <w:snapToGrid/>
        </w:rPr>
        <w:t>采取有关措施，保证全体雇员了解并遵守规范性文书的各项规定；</w:t>
      </w:r>
    </w:p>
    <w:p w:rsidR="00000000" w:rsidRDefault="00000000">
      <w:pPr>
        <w:pStyle w:val="ac"/>
        <w:ind w:left="2051"/>
        <w:rPr>
          <w:rFonts w:hint="eastAsia"/>
          <w:snapToGrid/>
        </w:rPr>
      </w:pPr>
      <w:r>
        <w:rPr>
          <w:rFonts w:hint="eastAsia"/>
          <w:snapToGrid/>
        </w:rPr>
        <w:t>(</w:t>
      </w:r>
      <w:r>
        <w:rPr>
          <w:rFonts w:hint="eastAsia"/>
          <w:snapToGrid/>
        </w:rPr>
        <w:t>九</w:t>
      </w:r>
      <w:r>
        <w:rPr>
          <w:rFonts w:hint="eastAsia"/>
          <w:snapToGrid/>
        </w:rPr>
        <w:t>)</w:t>
      </w:r>
      <w:r>
        <w:rPr>
          <w:rFonts w:hint="eastAsia"/>
          <w:snapToGrid/>
        </w:rPr>
        <w:tab/>
      </w:r>
      <w:r>
        <w:rPr>
          <w:rFonts w:hint="eastAsia"/>
          <w:snapToGrid/>
        </w:rPr>
        <w:t>为雇员提供医疗检查，只雇用具有符合其工作要求的合格人员；</w:t>
      </w:r>
    </w:p>
    <w:p w:rsidR="00000000" w:rsidRDefault="00000000">
      <w:pPr>
        <w:pStyle w:val="ac"/>
        <w:ind w:left="2051"/>
        <w:rPr>
          <w:rFonts w:hint="eastAsia"/>
          <w:snapToGrid/>
        </w:rPr>
      </w:pPr>
      <w:r>
        <w:rPr>
          <w:rFonts w:hint="eastAsia"/>
          <w:snapToGrid/>
        </w:rPr>
        <w:t>(</w:t>
      </w:r>
      <w:r>
        <w:rPr>
          <w:rFonts w:hint="eastAsia"/>
          <w:snapToGrid/>
        </w:rPr>
        <w:t>十</w:t>
      </w:r>
      <w:r>
        <w:rPr>
          <w:rFonts w:hint="eastAsia"/>
          <w:snapToGrid/>
        </w:rPr>
        <w:t>)</w:t>
      </w:r>
      <w:r>
        <w:rPr>
          <w:rFonts w:hint="eastAsia"/>
          <w:snapToGrid/>
        </w:rPr>
        <w:tab/>
      </w:r>
      <w:r>
        <w:rPr>
          <w:rFonts w:hint="eastAsia"/>
          <w:snapToGrid/>
        </w:rPr>
        <w:t>保存有关工作条件不利并具有危险性的工作场所的证据，以及工伤事故和职业病的证据；</w:t>
      </w:r>
    </w:p>
    <w:p w:rsidR="00000000" w:rsidRDefault="00000000">
      <w:pPr>
        <w:pStyle w:val="ac"/>
        <w:ind w:left="1791"/>
        <w:rPr>
          <w:rFonts w:hint="eastAsia"/>
          <w:snapToGrid/>
        </w:rPr>
      </w:pPr>
      <w:r>
        <w:rPr>
          <w:rFonts w:hint="eastAsia"/>
          <w:snapToGrid/>
        </w:rPr>
        <w:t>(</w:t>
      </w:r>
      <w:r>
        <w:rPr>
          <w:rFonts w:hint="eastAsia"/>
          <w:snapToGrid/>
        </w:rPr>
        <w:t>十一</w:t>
      </w:r>
      <w:r>
        <w:rPr>
          <w:rFonts w:hint="eastAsia"/>
          <w:snapToGrid/>
        </w:rPr>
        <w:t>)</w:t>
      </w:r>
      <w:r>
        <w:rPr>
          <w:rFonts w:hint="eastAsia"/>
          <w:snapToGrid/>
        </w:rPr>
        <w:tab/>
      </w:r>
      <w:r>
        <w:rPr>
          <w:rFonts w:hint="eastAsia"/>
          <w:snapToGrid/>
        </w:rPr>
        <w:t>按照现行标准提供个人装备；</w:t>
      </w:r>
    </w:p>
    <w:p w:rsidR="00000000" w:rsidRDefault="00000000">
      <w:pPr>
        <w:pStyle w:val="ac"/>
        <w:ind w:left="2040" w:hanging="759"/>
        <w:rPr>
          <w:rFonts w:hint="eastAsia"/>
          <w:snapToGrid/>
        </w:rPr>
      </w:pPr>
      <w:r>
        <w:rPr>
          <w:rFonts w:hint="eastAsia"/>
          <w:snapToGrid/>
        </w:rPr>
        <w:t>(</w:t>
      </w:r>
      <w:r>
        <w:rPr>
          <w:rFonts w:hint="eastAsia"/>
          <w:snapToGrid/>
        </w:rPr>
        <w:t>十二</w:t>
      </w:r>
      <w:r>
        <w:rPr>
          <w:rFonts w:hint="eastAsia"/>
          <w:snapToGrid/>
        </w:rPr>
        <w:t>)</w:t>
      </w:r>
      <w:r>
        <w:rPr>
          <w:rFonts w:hint="eastAsia"/>
          <w:snapToGrid/>
        </w:rPr>
        <w:tab/>
      </w:r>
      <w:r>
        <w:rPr>
          <w:rFonts w:hint="eastAsia"/>
          <w:snapToGrid/>
        </w:rPr>
        <w:t>提供常设的、运转正常的保护系统和装置，并调节和控制器具，以及用于收集、预防和中和在技术程序过程中散发的有害物质的设施。</w:t>
      </w:r>
    </w:p>
    <w:p w:rsidR="00000000" w:rsidRDefault="00000000">
      <w:pPr>
        <w:pStyle w:val="Heading3"/>
        <w:spacing w:before="300"/>
      </w:pPr>
      <w:r>
        <w:rPr>
          <w:u w:val="none"/>
        </w:rPr>
        <w:br w:type="page"/>
      </w:r>
      <w:r>
        <w:rPr>
          <w:rFonts w:hint="eastAsia"/>
          <w:u w:val="none"/>
        </w:rPr>
        <w:t>表</w:t>
      </w:r>
      <w:r>
        <w:rPr>
          <w:rFonts w:hint="eastAsia"/>
          <w:u w:val="none"/>
        </w:rPr>
        <w:t xml:space="preserve">28.  </w:t>
      </w:r>
      <w:r>
        <w:rPr>
          <w:rFonts w:hint="eastAsia"/>
        </w:rPr>
        <w:t>1996-1997</w:t>
      </w:r>
      <w:r>
        <w:rPr>
          <w:rFonts w:hint="eastAsia"/>
        </w:rPr>
        <w:t>年国家劳动保护方案</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4648"/>
        <w:gridCol w:w="2835"/>
        <w:gridCol w:w="1927"/>
      </w:tblGrid>
      <w:tr w:rsidR="00000000">
        <w:tblPrEx>
          <w:tblCellMar>
            <w:top w:w="0" w:type="dxa"/>
            <w:bottom w:w="0" w:type="dxa"/>
          </w:tblCellMar>
        </w:tblPrEx>
        <w:trPr>
          <w:tblHeader/>
        </w:trPr>
        <w:tc>
          <w:tcPr>
            <w:tcW w:w="4648" w:type="dxa"/>
            <w:tcBorders>
              <w:top w:val="single" w:sz="4" w:space="0" w:color="auto"/>
              <w:bottom w:val="single" w:sz="4" w:space="0" w:color="auto"/>
            </w:tcBorders>
          </w:tcPr>
          <w:p w:rsidR="00000000" w:rsidRDefault="00000000">
            <w:pPr>
              <w:pStyle w:val="cdL1"/>
              <w:widowControl/>
              <w:tabs>
                <w:tab w:val="clear" w:pos="510"/>
              </w:tabs>
              <w:spacing w:before="120" w:after="120" w:line="280" w:lineRule="exact"/>
              <w:ind w:left="113" w:right="113"/>
              <w:jc w:val="center"/>
              <w:rPr>
                <w:rFonts w:hint="eastAsia"/>
                <w:spacing w:val="4"/>
                <w:sz w:val="20"/>
                <w:u w:val="single"/>
              </w:rPr>
            </w:pPr>
            <w:r>
              <w:rPr>
                <w:rFonts w:hint="eastAsia"/>
                <w:spacing w:val="4"/>
                <w:sz w:val="20"/>
                <w:u w:val="single"/>
              </w:rPr>
              <w:t>宣传国家政策和对劳动保护领域</w:t>
            </w:r>
            <w:r>
              <w:rPr>
                <w:spacing w:val="4"/>
                <w:sz w:val="20"/>
                <w:u w:val="single"/>
              </w:rPr>
              <w:br/>
            </w:r>
            <w:r>
              <w:rPr>
                <w:rFonts w:hint="eastAsia"/>
                <w:spacing w:val="4"/>
                <w:sz w:val="20"/>
                <w:u w:val="single"/>
              </w:rPr>
              <w:t>实施监控的措施</w:t>
            </w:r>
          </w:p>
        </w:tc>
        <w:tc>
          <w:tcPr>
            <w:tcW w:w="2835" w:type="dxa"/>
            <w:tcBorders>
              <w:top w:val="single" w:sz="4" w:space="0" w:color="auto"/>
              <w:bottom w:val="single" w:sz="4" w:space="0" w:color="auto"/>
            </w:tcBorders>
          </w:tcPr>
          <w:p w:rsidR="00000000" w:rsidRDefault="00000000">
            <w:pPr>
              <w:pStyle w:val="cdL1"/>
              <w:widowControl/>
              <w:tabs>
                <w:tab w:val="clear" w:pos="510"/>
              </w:tabs>
              <w:spacing w:before="120" w:after="120" w:line="280" w:lineRule="exact"/>
              <w:ind w:left="113" w:right="113"/>
              <w:jc w:val="center"/>
              <w:rPr>
                <w:rFonts w:hint="eastAsia"/>
                <w:spacing w:val="4"/>
                <w:sz w:val="20"/>
                <w:u w:val="single"/>
              </w:rPr>
            </w:pPr>
            <w:r>
              <w:rPr>
                <w:rFonts w:hint="eastAsia"/>
                <w:spacing w:val="4"/>
                <w:sz w:val="20"/>
                <w:u w:val="single"/>
              </w:rPr>
              <w:t>负责具体执行的实体</w:t>
            </w:r>
          </w:p>
        </w:tc>
        <w:tc>
          <w:tcPr>
            <w:tcW w:w="1927" w:type="dxa"/>
            <w:tcBorders>
              <w:top w:val="single" w:sz="4" w:space="0" w:color="auto"/>
              <w:bottom w:val="single" w:sz="4" w:space="0" w:color="auto"/>
            </w:tcBorders>
          </w:tcPr>
          <w:p w:rsidR="00000000" w:rsidRDefault="00000000">
            <w:pPr>
              <w:spacing w:before="120" w:after="120" w:line="280" w:lineRule="exact"/>
              <w:ind w:left="113" w:right="113"/>
              <w:jc w:val="center"/>
              <w:rPr>
                <w:rFonts w:hint="eastAsia"/>
                <w:snapToGrid/>
                <w:spacing w:val="4"/>
                <w:sz w:val="20"/>
                <w:u w:val="single"/>
              </w:rPr>
            </w:pPr>
            <w:r>
              <w:rPr>
                <w:rFonts w:hint="eastAsia"/>
                <w:snapToGrid/>
                <w:spacing w:val="4"/>
                <w:sz w:val="20"/>
                <w:u w:val="single"/>
              </w:rPr>
              <w:t>执行期</w:t>
            </w:r>
          </w:p>
        </w:tc>
      </w:tr>
      <w:tr w:rsidR="00000000">
        <w:tblPrEx>
          <w:tblCellMar>
            <w:top w:w="0" w:type="dxa"/>
            <w:bottom w:w="0" w:type="dxa"/>
          </w:tblCellMar>
        </w:tblPrEx>
        <w:tc>
          <w:tcPr>
            <w:tcW w:w="4648" w:type="dxa"/>
            <w:tcBorders>
              <w:top w:val="single" w:sz="4" w:space="0" w:color="auto"/>
            </w:tcBorders>
          </w:tcPr>
          <w:p w:rsidR="00000000" w:rsidRDefault="00000000">
            <w:pPr>
              <w:pStyle w:val="a2"/>
              <w:spacing w:after="120" w:line="280" w:lineRule="exact"/>
              <w:ind w:left="510" w:right="113" w:hanging="397"/>
              <w:rPr>
                <w:rFonts w:hint="eastAsia"/>
                <w:snapToGrid/>
                <w:spacing w:val="4"/>
                <w:sz w:val="20"/>
              </w:rPr>
            </w:pPr>
            <w:r>
              <w:rPr>
                <w:rFonts w:hint="eastAsia"/>
                <w:snapToGrid/>
                <w:spacing w:val="4"/>
                <w:sz w:val="20"/>
              </w:rPr>
              <w:t>1.</w:t>
            </w:r>
            <w:r>
              <w:rPr>
                <w:snapToGrid/>
                <w:spacing w:val="4"/>
                <w:sz w:val="20"/>
              </w:rPr>
              <w:tab/>
            </w:r>
            <w:r>
              <w:rPr>
                <w:rFonts w:hint="eastAsia"/>
                <w:snapToGrid/>
                <w:spacing w:val="4"/>
                <w:sz w:val="20"/>
              </w:rPr>
              <w:t>准备和批准国际劳工组织的公约：</w:t>
            </w:r>
          </w:p>
          <w:p w:rsidR="00000000" w:rsidRDefault="00000000">
            <w:pPr>
              <w:spacing w:after="120" w:line="280" w:lineRule="exact"/>
              <w:ind w:left="454" w:right="113"/>
              <w:rPr>
                <w:rFonts w:hint="eastAsia"/>
                <w:snapToGrid/>
                <w:spacing w:val="4"/>
                <w:sz w:val="20"/>
              </w:rPr>
            </w:pPr>
            <w:r>
              <w:rPr>
                <w:rFonts w:hint="eastAsia"/>
                <w:snapToGrid/>
                <w:spacing w:val="4"/>
                <w:sz w:val="20"/>
              </w:rPr>
              <w:t>1969</w:t>
            </w:r>
            <w:r>
              <w:rPr>
                <w:rFonts w:hint="eastAsia"/>
                <w:snapToGrid/>
                <w:spacing w:val="4"/>
                <w:sz w:val="20"/>
              </w:rPr>
              <w:t>年</w:t>
            </w:r>
            <w:r>
              <w:rPr>
                <w:rFonts w:hint="eastAsia"/>
                <w:snapToGrid/>
                <w:spacing w:val="4"/>
                <w:sz w:val="20"/>
              </w:rPr>
              <w:t>(</w:t>
            </w:r>
            <w:r>
              <w:rPr>
                <w:rFonts w:hint="eastAsia"/>
                <w:snapToGrid/>
                <w:spacing w:val="4"/>
                <w:sz w:val="20"/>
              </w:rPr>
              <w:t>农业</w:t>
            </w:r>
            <w:r>
              <w:rPr>
                <w:rFonts w:hint="eastAsia"/>
                <w:snapToGrid/>
                <w:spacing w:val="4"/>
                <w:sz w:val="20"/>
              </w:rPr>
              <w:t>)</w:t>
            </w:r>
            <w:r>
              <w:rPr>
                <w:rFonts w:hint="eastAsia"/>
                <w:snapToGrid/>
                <w:spacing w:val="4"/>
                <w:sz w:val="20"/>
              </w:rPr>
              <w:t>劳动监察公约</w:t>
            </w:r>
            <w:r>
              <w:rPr>
                <w:rFonts w:hint="eastAsia"/>
                <w:snapToGrid/>
                <w:spacing w:val="4"/>
                <w:sz w:val="20"/>
              </w:rPr>
              <w:t>(</w:t>
            </w:r>
            <w:r>
              <w:rPr>
                <w:rFonts w:hint="eastAsia"/>
                <w:snapToGrid/>
                <w:spacing w:val="4"/>
                <w:sz w:val="20"/>
              </w:rPr>
              <w:t>第</w:t>
            </w:r>
            <w:r>
              <w:rPr>
                <w:rFonts w:hint="eastAsia"/>
                <w:snapToGrid/>
                <w:spacing w:val="4"/>
                <w:sz w:val="20"/>
              </w:rPr>
              <w:t>129</w:t>
            </w:r>
            <w:r>
              <w:rPr>
                <w:rFonts w:hint="eastAsia"/>
                <w:snapToGrid/>
                <w:spacing w:val="4"/>
                <w:sz w:val="20"/>
              </w:rPr>
              <w:t>号公约</w:t>
            </w:r>
            <w:r>
              <w:rPr>
                <w:rFonts w:hint="eastAsia"/>
                <w:snapToGrid/>
                <w:spacing w:val="4"/>
                <w:sz w:val="20"/>
              </w:rPr>
              <w:t>)</w:t>
            </w:r>
          </w:p>
          <w:p w:rsidR="00000000" w:rsidRDefault="00000000">
            <w:pPr>
              <w:spacing w:after="120" w:line="280" w:lineRule="exact"/>
              <w:ind w:left="454" w:right="113"/>
              <w:rPr>
                <w:rFonts w:hint="eastAsia"/>
                <w:snapToGrid/>
                <w:spacing w:val="4"/>
                <w:sz w:val="20"/>
              </w:rPr>
            </w:pPr>
            <w:r>
              <w:rPr>
                <w:rFonts w:hint="eastAsia"/>
                <w:snapToGrid/>
                <w:spacing w:val="4"/>
                <w:sz w:val="20"/>
              </w:rPr>
              <w:t>1981</w:t>
            </w:r>
            <w:r>
              <w:rPr>
                <w:rFonts w:hint="eastAsia"/>
                <w:snapToGrid/>
                <w:spacing w:val="4"/>
                <w:sz w:val="20"/>
              </w:rPr>
              <w:t>年职业安全和卫生公约</w:t>
            </w:r>
            <w:r>
              <w:rPr>
                <w:rFonts w:hint="eastAsia"/>
                <w:snapToGrid/>
                <w:spacing w:val="4"/>
                <w:sz w:val="20"/>
              </w:rPr>
              <w:t>(</w:t>
            </w:r>
            <w:r>
              <w:rPr>
                <w:rFonts w:hint="eastAsia"/>
                <w:snapToGrid/>
                <w:spacing w:val="4"/>
                <w:sz w:val="20"/>
              </w:rPr>
              <w:t>第</w:t>
            </w:r>
            <w:r>
              <w:rPr>
                <w:rFonts w:hint="eastAsia"/>
                <w:snapToGrid/>
                <w:spacing w:val="4"/>
                <w:sz w:val="20"/>
              </w:rPr>
              <w:t>155</w:t>
            </w:r>
            <w:r>
              <w:rPr>
                <w:rFonts w:hint="eastAsia"/>
                <w:snapToGrid/>
                <w:spacing w:val="4"/>
                <w:sz w:val="20"/>
              </w:rPr>
              <w:t>号公约</w:t>
            </w:r>
            <w:r>
              <w:rPr>
                <w:rFonts w:hint="eastAsia"/>
                <w:snapToGrid/>
                <w:spacing w:val="4"/>
                <w:sz w:val="20"/>
              </w:rPr>
              <w:t>)</w:t>
            </w:r>
          </w:p>
        </w:tc>
        <w:tc>
          <w:tcPr>
            <w:tcW w:w="2835" w:type="dxa"/>
            <w:tcBorders>
              <w:top w:val="single" w:sz="4" w:space="0" w:color="auto"/>
            </w:tcBorders>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劳动、社会保障和家庭部；卫生部</w:t>
            </w:r>
          </w:p>
        </w:tc>
        <w:tc>
          <w:tcPr>
            <w:tcW w:w="1927" w:type="dxa"/>
            <w:tcBorders>
              <w:top w:val="single" w:sz="4" w:space="0" w:color="auto"/>
            </w:tcBorders>
          </w:tcPr>
          <w:p w:rsidR="00000000" w:rsidRDefault="00000000">
            <w:pPr>
              <w:spacing w:after="120" w:line="280" w:lineRule="exact"/>
              <w:ind w:left="113" w:right="113"/>
              <w:jc w:val="left"/>
              <w:rPr>
                <w:rFonts w:hint="eastAsia"/>
                <w:snapToGrid/>
                <w:spacing w:val="4"/>
                <w:sz w:val="20"/>
              </w:rPr>
            </w:pPr>
          </w:p>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w:t>
            </w:r>
            <w:r>
              <w:rPr>
                <w:rFonts w:hint="eastAsia"/>
                <w:snapToGrid/>
                <w:spacing w:val="4"/>
                <w:sz w:val="20"/>
              </w:rPr>
              <w:t>年第三季度</w:t>
            </w:r>
          </w:p>
          <w:p w:rsidR="00000000" w:rsidRDefault="00000000">
            <w:pPr>
              <w:spacing w:after="120" w:line="280" w:lineRule="exact"/>
              <w:ind w:left="113" w:right="113"/>
              <w:jc w:val="left"/>
              <w:rPr>
                <w:rFonts w:hint="eastAsia"/>
                <w:snapToGrid/>
                <w:spacing w:val="4"/>
                <w:sz w:val="20"/>
              </w:rPr>
            </w:pPr>
            <w:r>
              <w:rPr>
                <w:rFonts w:hint="eastAsia"/>
                <w:snapToGrid/>
                <w:spacing w:val="4"/>
                <w:sz w:val="20"/>
              </w:rPr>
              <w:t>1997</w:t>
            </w:r>
            <w:r>
              <w:rPr>
                <w:rFonts w:hint="eastAsia"/>
                <w:snapToGrid/>
                <w:spacing w:val="4"/>
                <w:sz w:val="20"/>
              </w:rPr>
              <w:t>年第二季度</w:t>
            </w:r>
          </w:p>
        </w:tc>
      </w:tr>
      <w:tr w:rsidR="00000000">
        <w:tblPrEx>
          <w:tblCellMar>
            <w:top w:w="0" w:type="dxa"/>
            <w:bottom w:w="0" w:type="dxa"/>
          </w:tblCellMar>
        </w:tblPrEx>
        <w:tc>
          <w:tcPr>
            <w:tcW w:w="4648" w:type="dxa"/>
          </w:tcPr>
          <w:p w:rsidR="00000000" w:rsidRDefault="00000000">
            <w:pPr>
              <w:pStyle w:val="a2"/>
              <w:spacing w:after="120" w:line="280" w:lineRule="exact"/>
              <w:ind w:left="510" w:right="113" w:hanging="397"/>
              <w:rPr>
                <w:rFonts w:hint="eastAsia"/>
                <w:snapToGrid/>
                <w:spacing w:val="4"/>
                <w:sz w:val="20"/>
              </w:rPr>
            </w:pPr>
            <w:r>
              <w:rPr>
                <w:rFonts w:hint="eastAsia"/>
                <w:snapToGrid/>
                <w:spacing w:val="4"/>
                <w:sz w:val="20"/>
              </w:rPr>
              <w:t>2.</w:t>
            </w:r>
            <w:r>
              <w:rPr>
                <w:snapToGrid/>
                <w:spacing w:val="4"/>
                <w:sz w:val="20"/>
              </w:rPr>
              <w:tab/>
            </w:r>
            <w:r>
              <w:rPr>
                <w:rFonts w:hint="eastAsia"/>
                <w:snapToGrid/>
                <w:spacing w:val="4"/>
                <w:sz w:val="20"/>
              </w:rPr>
              <w:t>制定和改进有关劳动保护的规范性文书和关于传播、研究、报告和工伤事故的证据的条例</w:t>
            </w:r>
          </w:p>
          <w:p w:rsidR="00000000" w:rsidRDefault="00000000">
            <w:pPr>
              <w:spacing w:after="120" w:line="280" w:lineRule="exact"/>
              <w:ind w:left="533" w:right="113"/>
              <w:rPr>
                <w:rFonts w:hint="eastAsia"/>
                <w:snapToGrid/>
                <w:spacing w:val="4"/>
                <w:sz w:val="20"/>
              </w:rPr>
            </w:pPr>
            <w:r>
              <w:rPr>
                <w:rFonts w:hint="eastAsia"/>
                <w:snapToGrid/>
                <w:spacing w:val="4"/>
                <w:sz w:val="20"/>
              </w:rPr>
              <w:t>拟订有关经济单位劳动安全和卫生委员会的组织与职能的示范条例</w:t>
            </w:r>
          </w:p>
        </w:tc>
        <w:tc>
          <w:tcPr>
            <w:tcW w:w="2835" w:type="dxa"/>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劳动、社会保障和家庭部与全国雇主联合会和工会总联合会理事会共同实施</w:t>
            </w:r>
          </w:p>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劳动、社会保障和家庭部；卫生部与全国雇主联合会和工会总联合会理事会共同实施</w:t>
            </w:r>
          </w:p>
        </w:tc>
        <w:tc>
          <w:tcPr>
            <w:tcW w:w="1927" w:type="dxa"/>
          </w:tcPr>
          <w:p w:rsidR="00000000" w:rsidRDefault="00000000">
            <w:pPr>
              <w:spacing w:after="120" w:line="280" w:lineRule="exact"/>
              <w:ind w:left="113" w:right="113"/>
              <w:jc w:val="left"/>
              <w:rPr>
                <w:snapToGrid/>
                <w:spacing w:val="4"/>
                <w:sz w:val="20"/>
              </w:rPr>
            </w:pPr>
            <w:r>
              <w:rPr>
                <w:rFonts w:hint="eastAsia"/>
                <w:snapToGrid/>
                <w:spacing w:val="4"/>
                <w:sz w:val="20"/>
              </w:rPr>
              <w:t>1996</w:t>
            </w:r>
            <w:r>
              <w:rPr>
                <w:rFonts w:hint="eastAsia"/>
                <w:snapToGrid/>
                <w:spacing w:val="4"/>
                <w:sz w:val="20"/>
              </w:rPr>
              <w:t>年第三季度</w:t>
            </w:r>
            <w:r>
              <w:rPr>
                <w:snapToGrid/>
                <w:spacing w:val="4"/>
                <w:sz w:val="20"/>
              </w:rPr>
              <w:br/>
            </w:r>
            <w:r>
              <w:rPr>
                <w:snapToGrid/>
                <w:spacing w:val="4"/>
                <w:sz w:val="20"/>
              </w:rPr>
              <w:br/>
            </w:r>
          </w:p>
          <w:p w:rsidR="00000000" w:rsidRDefault="00000000">
            <w:pPr>
              <w:spacing w:after="120" w:line="280" w:lineRule="exact"/>
              <w:ind w:left="113" w:right="113"/>
              <w:jc w:val="left"/>
              <w:rPr>
                <w:rFonts w:hint="eastAsia"/>
                <w:snapToGrid/>
                <w:spacing w:val="4"/>
                <w:sz w:val="20"/>
              </w:rPr>
            </w:pPr>
            <w:r>
              <w:rPr>
                <w:rFonts w:hint="eastAsia"/>
                <w:snapToGrid/>
                <w:spacing w:val="4"/>
                <w:sz w:val="20"/>
              </w:rPr>
              <w:t>1997</w:t>
            </w:r>
            <w:r>
              <w:rPr>
                <w:rFonts w:hint="eastAsia"/>
                <w:snapToGrid/>
                <w:spacing w:val="4"/>
                <w:sz w:val="20"/>
              </w:rPr>
              <w:t>年第三季度</w:t>
            </w:r>
          </w:p>
        </w:tc>
      </w:tr>
      <w:tr w:rsidR="00000000">
        <w:tblPrEx>
          <w:tblCellMar>
            <w:top w:w="0" w:type="dxa"/>
            <w:bottom w:w="0" w:type="dxa"/>
          </w:tblCellMar>
        </w:tblPrEx>
        <w:tc>
          <w:tcPr>
            <w:tcW w:w="4648" w:type="dxa"/>
          </w:tcPr>
          <w:p w:rsidR="00000000" w:rsidRDefault="00000000">
            <w:pPr>
              <w:pStyle w:val="a2"/>
              <w:spacing w:after="120" w:line="280" w:lineRule="exact"/>
              <w:ind w:left="510" w:right="113" w:hanging="397"/>
              <w:rPr>
                <w:rFonts w:hint="eastAsia"/>
                <w:snapToGrid/>
                <w:spacing w:val="4"/>
                <w:sz w:val="20"/>
              </w:rPr>
            </w:pPr>
            <w:r>
              <w:rPr>
                <w:rFonts w:hint="eastAsia"/>
                <w:snapToGrid/>
                <w:spacing w:val="4"/>
                <w:sz w:val="20"/>
              </w:rPr>
              <w:t>3.</w:t>
            </w:r>
            <w:r>
              <w:rPr>
                <w:snapToGrid/>
                <w:spacing w:val="4"/>
                <w:sz w:val="20"/>
              </w:rPr>
              <w:tab/>
            </w:r>
            <w:r>
              <w:rPr>
                <w:rFonts w:hint="eastAsia"/>
                <w:snapToGrid/>
                <w:spacing w:val="4"/>
                <w:sz w:val="20"/>
              </w:rPr>
              <w:t>尽可能完善劳动保护：</w:t>
            </w:r>
          </w:p>
        </w:tc>
        <w:tc>
          <w:tcPr>
            <w:tcW w:w="2835" w:type="dxa"/>
          </w:tcPr>
          <w:p w:rsidR="00000000" w:rsidRDefault="00000000">
            <w:pPr>
              <w:pStyle w:val="cdL1"/>
              <w:widowControl/>
              <w:tabs>
                <w:tab w:val="clear" w:pos="510"/>
              </w:tabs>
              <w:spacing w:after="120" w:line="280" w:lineRule="exact"/>
              <w:ind w:left="113" w:right="113"/>
              <w:rPr>
                <w:rFonts w:hint="eastAsia"/>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rFonts w:hint="eastAsia"/>
                <w:snapToGrid/>
                <w:spacing w:val="4"/>
                <w:sz w:val="20"/>
              </w:rPr>
            </w:pPr>
            <w:r>
              <w:rPr>
                <w:snapToGrid/>
                <w:sz w:val="20"/>
              </w:rPr>
              <w:t>(a)</w:t>
            </w:r>
            <w:r>
              <w:rPr>
                <w:snapToGrid/>
                <w:sz w:val="20"/>
              </w:rPr>
              <w:tab/>
            </w:r>
            <w:r>
              <w:rPr>
                <w:rFonts w:hint="eastAsia"/>
                <w:snapToGrid/>
                <w:sz w:val="20"/>
              </w:rPr>
              <w:t>拟订和通过劳动保护年度计划和措施，应由劳动保护特别基金划拨款项；</w:t>
            </w:r>
          </w:p>
        </w:tc>
        <w:tc>
          <w:tcPr>
            <w:tcW w:w="2835" w:type="dxa"/>
          </w:tcPr>
          <w:p w:rsidR="00000000" w:rsidRDefault="00000000">
            <w:pPr>
              <w:pStyle w:val="cdL1"/>
              <w:widowControl/>
              <w:tabs>
                <w:tab w:val="clear" w:pos="510"/>
              </w:tabs>
              <w:spacing w:after="120" w:line="280" w:lineRule="exact"/>
              <w:ind w:left="113" w:right="113"/>
              <w:rPr>
                <w:spacing w:val="4"/>
                <w:sz w:val="20"/>
              </w:rPr>
            </w:pPr>
            <w:r>
              <w:rPr>
                <w:rFonts w:hint="eastAsia"/>
                <w:spacing w:val="4"/>
                <w:sz w:val="20"/>
              </w:rPr>
              <w:t>各部委、地方政府行政机关、</w:t>
            </w:r>
            <w:r>
              <w:rPr>
                <w:rFonts w:hint="eastAsia"/>
                <w:spacing w:val="4"/>
                <w:sz w:val="20"/>
              </w:rPr>
              <w:t>1996-1997</w:t>
            </w:r>
            <w:r>
              <w:rPr>
                <w:rFonts w:hint="eastAsia"/>
                <w:spacing w:val="4"/>
                <w:sz w:val="20"/>
              </w:rPr>
              <w:t>年各类企业</w:t>
            </w:r>
          </w:p>
          <w:p w:rsidR="00000000" w:rsidRDefault="00000000">
            <w:pPr>
              <w:pStyle w:val="cdL1"/>
              <w:widowControl/>
              <w:tabs>
                <w:tab w:val="clear" w:pos="510"/>
              </w:tabs>
              <w:spacing w:after="120" w:line="280" w:lineRule="exact"/>
              <w:ind w:left="113" w:right="113"/>
              <w:rPr>
                <w:rFonts w:hint="eastAsia"/>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z w:val="20"/>
              </w:rPr>
            </w:pPr>
            <w:r>
              <w:rPr>
                <w:snapToGrid/>
                <w:spacing w:val="4"/>
                <w:sz w:val="20"/>
              </w:rPr>
              <w:t>(b)</w:t>
            </w:r>
            <w:r>
              <w:rPr>
                <w:snapToGrid/>
                <w:spacing w:val="4"/>
                <w:sz w:val="20"/>
              </w:rPr>
              <w:tab/>
            </w:r>
            <w:r>
              <w:rPr>
                <w:rFonts w:hint="eastAsia"/>
                <w:snapToGrid/>
                <w:spacing w:val="4"/>
                <w:sz w:val="20"/>
              </w:rPr>
              <w:t>审核所有类别的经济单位的工作场所，以便按照</w:t>
            </w:r>
            <w:r>
              <w:rPr>
                <w:rFonts w:hint="eastAsia"/>
                <w:snapToGrid/>
                <w:sz w:val="20"/>
              </w:rPr>
              <w:t>1993</w:t>
            </w:r>
            <w:r>
              <w:rPr>
                <w:rFonts w:hint="eastAsia"/>
                <w:snapToGrid/>
                <w:spacing w:val="4"/>
                <w:sz w:val="20"/>
              </w:rPr>
              <w:t>年</w:t>
            </w:r>
            <w:r>
              <w:rPr>
                <w:rFonts w:hint="eastAsia"/>
                <w:snapToGrid/>
                <w:spacing w:val="4"/>
                <w:sz w:val="20"/>
              </w:rPr>
              <w:t>4</w:t>
            </w:r>
            <w:r>
              <w:rPr>
                <w:rFonts w:hint="eastAsia"/>
                <w:snapToGrid/>
                <w:spacing w:val="4"/>
                <w:sz w:val="20"/>
              </w:rPr>
              <w:t>月</w:t>
            </w:r>
            <w:r>
              <w:rPr>
                <w:rFonts w:hint="eastAsia"/>
                <w:snapToGrid/>
                <w:spacing w:val="4"/>
                <w:sz w:val="20"/>
              </w:rPr>
              <w:t>5</w:t>
            </w:r>
            <w:r>
              <w:rPr>
                <w:rFonts w:hint="eastAsia"/>
                <w:snapToGrid/>
                <w:spacing w:val="4"/>
                <w:sz w:val="20"/>
              </w:rPr>
              <w:t>日第</w:t>
            </w:r>
            <w:r>
              <w:rPr>
                <w:rFonts w:hint="eastAsia"/>
                <w:snapToGrid/>
                <w:spacing w:val="4"/>
                <w:sz w:val="20"/>
              </w:rPr>
              <w:t>168</w:t>
            </w:r>
            <w:r>
              <w:rPr>
                <w:rFonts w:hint="eastAsia"/>
                <w:snapToGrid/>
                <w:spacing w:val="4"/>
                <w:sz w:val="20"/>
              </w:rPr>
              <w:t>号政府决定消除有害的和艰苦的劳动条件；</w:t>
            </w:r>
          </w:p>
        </w:tc>
        <w:tc>
          <w:tcPr>
            <w:tcW w:w="2835" w:type="dxa"/>
          </w:tcPr>
          <w:p w:rsidR="00000000" w:rsidRDefault="00000000">
            <w:pPr>
              <w:pStyle w:val="cdL1"/>
              <w:widowControl/>
              <w:tabs>
                <w:tab w:val="clear" w:pos="510"/>
              </w:tabs>
              <w:spacing w:after="120" w:line="280" w:lineRule="exact"/>
              <w:ind w:left="113" w:right="113"/>
              <w:rPr>
                <w:spacing w:val="4"/>
                <w:sz w:val="20"/>
              </w:rPr>
            </w:pPr>
            <w:r>
              <w:rPr>
                <w:rFonts w:hint="eastAsia"/>
                <w:spacing w:val="4"/>
                <w:sz w:val="20"/>
              </w:rPr>
              <w:t>各部委、地方政府行政机关、各类企业</w:t>
            </w:r>
          </w:p>
          <w:p w:rsidR="00000000" w:rsidRDefault="00000000">
            <w:pPr>
              <w:pStyle w:val="cdL1"/>
              <w:widowControl/>
              <w:tabs>
                <w:tab w:val="clear" w:pos="510"/>
              </w:tabs>
              <w:spacing w:after="120" w:line="280" w:lineRule="exact"/>
              <w:ind w:left="113" w:right="113"/>
              <w:rPr>
                <w:rFonts w:hint="eastAsia"/>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pacing w:val="4"/>
                <w:sz w:val="20"/>
              </w:rPr>
              <w:t>(c)</w:t>
            </w:r>
            <w:r>
              <w:rPr>
                <w:snapToGrid/>
                <w:spacing w:val="4"/>
                <w:sz w:val="20"/>
              </w:rPr>
              <w:tab/>
            </w:r>
            <w:r>
              <w:rPr>
                <w:rFonts w:hint="eastAsia"/>
                <w:snapToGrid/>
                <w:spacing w:val="4"/>
                <w:sz w:val="20"/>
              </w:rPr>
              <w:t>制定监控</w:t>
            </w:r>
            <w:r>
              <w:rPr>
                <w:rFonts w:hint="eastAsia"/>
                <w:snapToGrid/>
                <w:sz w:val="20"/>
              </w:rPr>
              <w:t>劳动条件</w:t>
            </w:r>
            <w:r>
              <w:rPr>
                <w:rFonts w:hint="eastAsia"/>
                <w:snapToGrid/>
                <w:spacing w:val="4"/>
                <w:sz w:val="20"/>
              </w:rPr>
              <w:t>的实质性技术依据；</w:t>
            </w:r>
          </w:p>
        </w:tc>
        <w:tc>
          <w:tcPr>
            <w:tcW w:w="2835" w:type="dxa"/>
          </w:tcPr>
          <w:p w:rsidR="00000000" w:rsidRDefault="00000000">
            <w:pPr>
              <w:pStyle w:val="cdL1"/>
              <w:widowControl/>
              <w:tabs>
                <w:tab w:val="clear" w:pos="510"/>
              </w:tabs>
              <w:spacing w:after="120" w:line="280" w:lineRule="exact"/>
              <w:ind w:left="113" w:right="113"/>
              <w:rPr>
                <w:spacing w:val="4"/>
                <w:sz w:val="20"/>
              </w:rPr>
            </w:pPr>
            <w:r>
              <w:rPr>
                <w:rFonts w:hint="eastAsia"/>
                <w:spacing w:val="4"/>
                <w:sz w:val="20"/>
              </w:rPr>
              <w:t>各部委、经济单位和劳动保护单位</w:t>
            </w:r>
          </w:p>
          <w:p w:rsidR="00000000" w:rsidRDefault="00000000">
            <w:pPr>
              <w:pStyle w:val="cdL1"/>
              <w:widowControl/>
              <w:tabs>
                <w:tab w:val="clear" w:pos="510"/>
              </w:tabs>
              <w:spacing w:after="120" w:line="280" w:lineRule="exact"/>
              <w:ind w:left="113" w:right="113"/>
              <w:rPr>
                <w:rFonts w:hint="eastAsia"/>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pacing w:val="4"/>
                <w:sz w:val="20"/>
              </w:rPr>
              <w:t>(d)</w:t>
            </w:r>
            <w:r>
              <w:rPr>
                <w:snapToGrid/>
                <w:spacing w:val="4"/>
                <w:sz w:val="20"/>
              </w:rPr>
              <w:tab/>
            </w:r>
            <w:r>
              <w:rPr>
                <w:rFonts w:hint="eastAsia"/>
                <w:snapToGrid/>
                <w:spacing w:val="4"/>
                <w:sz w:val="20"/>
              </w:rPr>
              <w:t>制定国家劳动保护</w:t>
            </w:r>
            <w:r>
              <w:rPr>
                <w:rFonts w:hint="eastAsia"/>
                <w:snapToGrid/>
                <w:sz w:val="20"/>
              </w:rPr>
              <w:t>监察</w:t>
            </w:r>
            <w:r>
              <w:rPr>
                <w:rFonts w:hint="eastAsia"/>
                <w:snapToGrid/>
                <w:spacing w:val="4"/>
                <w:sz w:val="20"/>
              </w:rPr>
              <w:t>团的实质性技术依据；</w:t>
            </w:r>
          </w:p>
        </w:tc>
        <w:tc>
          <w:tcPr>
            <w:tcW w:w="2835" w:type="dxa"/>
          </w:tcPr>
          <w:p w:rsidR="00000000" w:rsidRDefault="00000000">
            <w:pPr>
              <w:pStyle w:val="cdL1"/>
              <w:widowControl/>
              <w:tabs>
                <w:tab w:val="clear" w:pos="510"/>
              </w:tabs>
              <w:spacing w:after="120" w:line="280" w:lineRule="exact"/>
              <w:ind w:left="113" w:right="113"/>
              <w:rPr>
                <w:spacing w:val="4"/>
                <w:sz w:val="20"/>
              </w:rPr>
            </w:pPr>
            <w:r>
              <w:rPr>
                <w:rFonts w:hint="eastAsia"/>
                <w:spacing w:val="4"/>
                <w:sz w:val="20"/>
              </w:rPr>
              <w:t>劳动、社会保障和家庭部；财政部</w:t>
            </w:r>
          </w:p>
          <w:p w:rsidR="00000000" w:rsidRDefault="00000000">
            <w:pPr>
              <w:pStyle w:val="cdL1"/>
              <w:widowControl/>
              <w:tabs>
                <w:tab w:val="clear" w:pos="510"/>
              </w:tabs>
              <w:spacing w:after="120" w:line="280" w:lineRule="exact"/>
              <w:ind w:left="113" w:right="113"/>
              <w:rPr>
                <w:rFonts w:hint="eastAsia"/>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pacing w:val="4"/>
                <w:sz w:val="20"/>
              </w:rPr>
              <w:t>(e)</w:t>
            </w:r>
            <w:r>
              <w:rPr>
                <w:snapToGrid/>
                <w:spacing w:val="4"/>
                <w:sz w:val="20"/>
              </w:rPr>
              <w:tab/>
            </w:r>
            <w:r>
              <w:rPr>
                <w:rFonts w:hint="eastAsia"/>
                <w:snapToGrid/>
                <w:spacing w:val="4"/>
                <w:sz w:val="20"/>
              </w:rPr>
              <w:t>改进</w:t>
            </w:r>
            <w:r>
              <w:rPr>
                <w:rFonts w:hint="eastAsia"/>
                <w:snapToGrid/>
                <w:sz w:val="20"/>
              </w:rPr>
              <w:t>劳动保护</w:t>
            </w:r>
            <w:r>
              <w:rPr>
                <w:rFonts w:hint="eastAsia"/>
                <w:snapToGrid/>
                <w:spacing w:val="4"/>
                <w:sz w:val="20"/>
              </w:rPr>
              <w:t>领域的统计报告格式；</w:t>
            </w:r>
          </w:p>
        </w:tc>
        <w:tc>
          <w:tcPr>
            <w:tcW w:w="2835" w:type="dxa"/>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统计司；劳动、社会保障和家庭部与工会总联合会共同实施</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1997</w:t>
            </w:r>
            <w:r>
              <w:rPr>
                <w:rFonts w:hint="eastAsia"/>
                <w:snapToGrid/>
                <w:spacing w:val="4"/>
                <w:sz w:val="20"/>
              </w:rPr>
              <w:t>年第二季度</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z w:val="20"/>
              </w:rPr>
            </w:pPr>
            <w:r>
              <w:rPr>
                <w:snapToGrid/>
                <w:sz w:val="20"/>
              </w:rPr>
              <w:t>(f)</w:t>
            </w:r>
            <w:r>
              <w:rPr>
                <w:snapToGrid/>
                <w:spacing w:val="4"/>
                <w:sz w:val="20"/>
              </w:rPr>
              <w:tab/>
            </w:r>
            <w:r>
              <w:rPr>
                <w:rFonts w:hint="eastAsia"/>
                <w:snapToGrid/>
                <w:sz w:val="20"/>
              </w:rPr>
              <w:t>研究基于风险因素适用劳动保护规定的国际惯例，并在摩尔多瓦共和国国民经济中实施这些惯例；</w:t>
            </w:r>
          </w:p>
        </w:tc>
        <w:tc>
          <w:tcPr>
            <w:tcW w:w="2835" w:type="dxa"/>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劳动、社会保障和家庭部；卫生部</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1997</w:t>
            </w:r>
            <w:r>
              <w:rPr>
                <w:rFonts w:hint="eastAsia"/>
                <w:snapToGrid/>
                <w:spacing w:val="4"/>
                <w:sz w:val="20"/>
              </w:rPr>
              <w:t>年第二季度</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z w:val="20"/>
              </w:rPr>
            </w:pPr>
            <w:r>
              <w:rPr>
                <w:snapToGrid/>
                <w:sz w:val="20"/>
              </w:rPr>
              <w:t>(g)</w:t>
            </w:r>
            <w:r>
              <w:rPr>
                <w:snapToGrid/>
                <w:spacing w:val="4"/>
                <w:sz w:val="20"/>
              </w:rPr>
              <w:tab/>
            </w:r>
            <w:r>
              <w:rPr>
                <w:rFonts w:hint="eastAsia"/>
                <w:snapToGrid/>
                <w:sz w:val="20"/>
              </w:rPr>
              <w:t>分析发生工伤事故和职业病的组织和技术上的原因，并采取措施加以预防；</w:t>
            </w:r>
          </w:p>
        </w:tc>
        <w:tc>
          <w:tcPr>
            <w:tcW w:w="2835" w:type="dxa"/>
          </w:tcPr>
          <w:p w:rsidR="00000000" w:rsidRDefault="00000000">
            <w:pPr>
              <w:pStyle w:val="cdL1"/>
              <w:widowControl/>
              <w:tabs>
                <w:tab w:val="clear" w:pos="510"/>
              </w:tabs>
              <w:spacing w:after="120" w:line="280" w:lineRule="exact"/>
              <w:ind w:left="113" w:right="113"/>
              <w:rPr>
                <w:spacing w:val="4"/>
                <w:sz w:val="20"/>
              </w:rPr>
            </w:pPr>
            <w:r>
              <w:rPr>
                <w:rFonts w:hint="eastAsia"/>
                <w:spacing w:val="4"/>
                <w:sz w:val="20"/>
              </w:rPr>
              <w:t>劳动、社会保障和家庭部；卫生部</w:t>
            </w:r>
          </w:p>
          <w:p w:rsidR="00000000" w:rsidRDefault="00000000">
            <w:pPr>
              <w:pStyle w:val="cdL1"/>
              <w:widowControl/>
              <w:tabs>
                <w:tab w:val="clear" w:pos="510"/>
              </w:tabs>
              <w:spacing w:after="120" w:line="280" w:lineRule="exact"/>
              <w:ind w:left="113" w:right="113"/>
              <w:rPr>
                <w:rFonts w:hint="eastAsia"/>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z w:val="20"/>
              </w:rPr>
            </w:pPr>
            <w:r>
              <w:rPr>
                <w:snapToGrid/>
                <w:sz w:val="20"/>
              </w:rPr>
              <w:t>(h)</w:t>
            </w:r>
            <w:r>
              <w:rPr>
                <w:snapToGrid/>
                <w:spacing w:val="4"/>
                <w:sz w:val="20"/>
              </w:rPr>
              <w:tab/>
            </w:r>
            <w:r>
              <w:rPr>
                <w:rFonts w:hint="eastAsia"/>
                <w:snapToGrid/>
                <w:sz w:val="20"/>
              </w:rPr>
              <w:t>研究与农业劳动保护有关的问题，防止农民发生工伤事故和职业病；</w:t>
            </w:r>
          </w:p>
        </w:tc>
        <w:tc>
          <w:tcPr>
            <w:tcW w:w="2835" w:type="dxa"/>
          </w:tcPr>
          <w:p w:rsidR="00000000" w:rsidRDefault="00000000">
            <w:pPr>
              <w:pStyle w:val="cdL1"/>
              <w:widowControl/>
              <w:tabs>
                <w:tab w:val="clear" w:pos="510"/>
              </w:tabs>
              <w:spacing w:after="120" w:line="280" w:lineRule="exact"/>
              <w:ind w:left="113" w:right="113"/>
              <w:rPr>
                <w:spacing w:val="4"/>
                <w:sz w:val="20"/>
              </w:rPr>
            </w:pPr>
            <w:r>
              <w:rPr>
                <w:rFonts w:hint="eastAsia"/>
                <w:spacing w:val="4"/>
                <w:sz w:val="20"/>
              </w:rPr>
              <w:t>劳动、社会保障和家庭部；卫生部；摩尔多瓦共和国农民联盟</w:t>
            </w:r>
          </w:p>
          <w:p w:rsidR="00000000" w:rsidRDefault="00000000">
            <w:pPr>
              <w:pStyle w:val="cdL1"/>
              <w:widowControl/>
              <w:tabs>
                <w:tab w:val="clear" w:pos="510"/>
              </w:tabs>
              <w:spacing w:after="120" w:line="280" w:lineRule="exact"/>
              <w:ind w:left="113" w:right="113"/>
              <w:rPr>
                <w:rFonts w:hint="eastAsia"/>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z w:val="20"/>
              </w:rPr>
            </w:pPr>
            <w:r>
              <w:rPr>
                <w:snapToGrid/>
                <w:sz w:val="20"/>
              </w:rPr>
              <w:t>(i)</w:t>
            </w:r>
            <w:r>
              <w:rPr>
                <w:snapToGrid/>
                <w:spacing w:val="4"/>
                <w:sz w:val="20"/>
              </w:rPr>
              <w:tab/>
            </w:r>
            <w:r>
              <w:rPr>
                <w:rFonts w:hint="eastAsia"/>
                <w:snapToGrid/>
                <w:sz w:val="20"/>
              </w:rPr>
              <w:t>研究关于迫切需要设立一个国家咨询机构方面的国际经验，以便解决劳动保护问题并将这些机构的建议提交各有关部委；</w:t>
            </w:r>
          </w:p>
        </w:tc>
        <w:tc>
          <w:tcPr>
            <w:tcW w:w="2835" w:type="dxa"/>
          </w:tcPr>
          <w:p w:rsidR="00000000" w:rsidRDefault="00000000">
            <w:pPr>
              <w:pStyle w:val="cdL1"/>
              <w:widowControl/>
              <w:tabs>
                <w:tab w:val="clear" w:pos="510"/>
              </w:tabs>
              <w:spacing w:after="120" w:line="280" w:lineRule="exact"/>
              <w:ind w:left="113" w:right="113"/>
              <w:rPr>
                <w:spacing w:val="4"/>
                <w:sz w:val="20"/>
              </w:rPr>
            </w:pPr>
            <w:r>
              <w:rPr>
                <w:rFonts w:hint="eastAsia"/>
                <w:spacing w:val="4"/>
                <w:sz w:val="20"/>
              </w:rPr>
              <w:t>劳动、社会保障和家庭部与全国雇主联合会和工会总联合会理事会共同实施</w:t>
            </w:r>
          </w:p>
          <w:p w:rsidR="00000000" w:rsidRDefault="00000000">
            <w:pPr>
              <w:pStyle w:val="cdL1"/>
              <w:widowControl/>
              <w:tabs>
                <w:tab w:val="clear" w:pos="510"/>
              </w:tabs>
              <w:spacing w:after="120" w:line="280" w:lineRule="exact"/>
              <w:ind w:left="113" w:right="113"/>
              <w:rPr>
                <w:rFonts w:hint="eastAsia"/>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z w:val="20"/>
              </w:rPr>
            </w:pPr>
            <w:r>
              <w:rPr>
                <w:snapToGrid/>
                <w:sz w:val="20"/>
              </w:rPr>
              <w:t>(j)</w:t>
            </w:r>
            <w:r>
              <w:rPr>
                <w:snapToGrid/>
                <w:spacing w:val="4"/>
                <w:sz w:val="20"/>
              </w:rPr>
              <w:tab/>
            </w:r>
            <w:r>
              <w:rPr>
                <w:rFonts w:hint="eastAsia"/>
                <w:snapToGrid/>
                <w:sz w:val="20"/>
              </w:rPr>
              <w:t>拟订评价劳动条件和保护、工伤事故和职业病状况的示范准则，并拟订有关指示以衡量经济单位在改进劳动保护方面所开展的活动；</w:t>
            </w:r>
          </w:p>
        </w:tc>
        <w:tc>
          <w:tcPr>
            <w:tcW w:w="2835" w:type="dxa"/>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劳动、社会保障和家庭部；卫生部与全国雇主联合会和工会总联合会理事会共同实施</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pacing w:val="4"/>
                <w:sz w:val="20"/>
              </w:rPr>
              <w:t>(k)</w:t>
            </w:r>
            <w:r>
              <w:rPr>
                <w:snapToGrid/>
                <w:spacing w:val="4"/>
                <w:sz w:val="20"/>
              </w:rPr>
              <w:tab/>
            </w:r>
            <w:r>
              <w:rPr>
                <w:rFonts w:hint="eastAsia"/>
                <w:snapToGrid/>
                <w:spacing w:val="4"/>
                <w:sz w:val="20"/>
              </w:rPr>
              <w:t>改进工伤事故数据收集和电子分析工作。</w:t>
            </w:r>
          </w:p>
        </w:tc>
        <w:tc>
          <w:tcPr>
            <w:tcW w:w="2835" w:type="dxa"/>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pStyle w:val="a2"/>
              <w:spacing w:after="120" w:line="280" w:lineRule="exact"/>
              <w:ind w:left="510" w:right="113" w:hanging="397"/>
              <w:rPr>
                <w:snapToGrid/>
                <w:spacing w:val="4"/>
                <w:sz w:val="20"/>
              </w:rPr>
            </w:pPr>
            <w:r>
              <w:rPr>
                <w:rFonts w:hint="eastAsia"/>
                <w:snapToGrid/>
                <w:spacing w:val="4"/>
                <w:sz w:val="20"/>
              </w:rPr>
              <w:t>4.</w:t>
            </w:r>
            <w:r>
              <w:rPr>
                <w:snapToGrid/>
                <w:spacing w:val="4"/>
                <w:sz w:val="20"/>
              </w:rPr>
              <w:tab/>
            </w:r>
            <w:r>
              <w:rPr>
                <w:rFonts w:hint="eastAsia"/>
                <w:snapToGrid/>
                <w:spacing w:val="4"/>
                <w:sz w:val="20"/>
              </w:rPr>
              <w:t>为工作人员开办培训班和进修课程：</w:t>
            </w:r>
          </w:p>
        </w:tc>
        <w:tc>
          <w:tcPr>
            <w:tcW w:w="2835" w:type="dxa"/>
          </w:tcPr>
          <w:p w:rsidR="00000000" w:rsidRDefault="00000000">
            <w:pPr>
              <w:spacing w:after="120" w:line="280" w:lineRule="exact"/>
              <w:ind w:left="113" w:right="113"/>
              <w:rPr>
                <w:snapToGrid/>
                <w:spacing w:val="4"/>
                <w:sz w:val="20"/>
              </w:rPr>
            </w:pPr>
            <w:r>
              <w:rPr>
                <w:rFonts w:hint="eastAsia"/>
                <w:snapToGrid/>
                <w:spacing w:val="4"/>
                <w:sz w:val="20"/>
              </w:rPr>
              <w:t>行政管理学院</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pacing w:val="4"/>
                <w:sz w:val="20"/>
              </w:rPr>
              <w:t>(a)</w:t>
            </w:r>
            <w:r>
              <w:rPr>
                <w:snapToGrid/>
                <w:spacing w:val="4"/>
                <w:sz w:val="20"/>
              </w:rPr>
              <w:tab/>
            </w:r>
            <w:r>
              <w:rPr>
                <w:rFonts w:hint="eastAsia"/>
                <w:snapToGrid/>
                <w:spacing w:val="4"/>
                <w:sz w:val="20"/>
              </w:rPr>
              <w:t>在政府指导下对劳动保护领域的国家行政机构负责人实施培训；</w:t>
            </w:r>
          </w:p>
        </w:tc>
        <w:tc>
          <w:tcPr>
            <w:tcW w:w="2835" w:type="dxa"/>
          </w:tcPr>
          <w:p w:rsidR="00000000" w:rsidRDefault="00000000">
            <w:pPr>
              <w:spacing w:after="120" w:line="280" w:lineRule="exact"/>
              <w:ind w:left="113" w:right="113"/>
              <w:rPr>
                <w:snapToGrid/>
                <w:spacing w:val="4"/>
                <w:sz w:val="20"/>
              </w:rPr>
            </w:pPr>
            <w:r>
              <w:rPr>
                <w:rFonts w:hint="eastAsia"/>
                <w:snapToGrid/>
                <w:spacing w:val="4"/>
                <w:sz w:val="20"/>
              </w:rPr>
              <w:t>各部委</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rFonts w:hint="eastAsia"/>
                <w:snapToGrid/>
                <w:spacing w:val="4"/>
                <w:sz w:val="20"/>
              </w:rPr>
              <w:t>(</w:t>
            </w:r>
            <w:r>
              <w:rPr>
                <w:snapToGrid/>
                <w:spacing w:val="4"/>
                <w:sz w:val="20"/>
              </w:rPr>
              <w:t>b</w:t>
            </w:r>
            <w:r>
              <w:rPr>
                <w:rFonts w:hint="eastAsia"/>
                <w:snapToGrid/>
                <w:spacing w:val="4"/>
                <w:sz w:val="20"/>
              </w:rPr>
              <w:t>)</w:t>
            </w:r>
            <w:r>
              <w:rPr>
                <w:snapToGrid/>
                <w:spacing w:val="4"/>
                <w:sz w:val="20"/>
              </w:rPr>
              <w:tab/>
            </w:r>
            <w:r>
              <w:rPr>
                <w:rFonts w:hint="eastAsia"/>
                <w:snapToGrid/>
                <w:spacing w:val="4"/>
                <w:sz w:val="20"/>
              </w:rPr>
              <w:t>建立以下方面的培训制度：</w:t>
            </w:r>
          </w:p>
        </w:tc>
        <w:tc>
          <w:tcPr>
            <w:tcW w:w="2835" w:type="dxa"/>
          </w:tcPr>
          <w:p w:rsidR="00000000" w:rsidRDefault="00000000">
            <w:pPr>
              <w:spacing w:after="120" w:line="280" w:lineRule="exact"/>
              <w:ind w:left="113" w:right="113"/>
              <w:rPr>
                <w:rFonts w:hint="eastAsia"/>
                <w:snapToGrid/>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4648" w:type="dxa"/>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劳动保护领域</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培训方案的拟订</w:t>
            </w:r>
          </w:p>
        </w:tc>
        <w:tc>
          <w:tcPr>
            <w:tcW w:w="2835" w:type="dxa"/>
          </w:tcPr>
          <w:p w:rsidR="00000000" w:rsidRDefault="00000000">
            <w:pPr>
              <w:spacing w:after="120" w:line="280" w:lineRule="exact"/>
              <w:ind w:left="113" w:right="113"/>
              <w:rPr>
                <w:rFonts w:hint="eastAsia"/>
                <w:snapToGrid/>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4648" w:type="dxa"/>
          </w:tcPr>
          <w:p w:rsidR="00000000" w:rsidRDefault="00000000">
            <w:pPr>
              <w:spacing w:after="120" w:line="280" w:lineRule="exact"/>
              <w:ind w:left="1134" w:right="113" w:hanging="397"/>
              <w:rPr>
                <w:rFonts w:ascii="SimSun" w:hAnsi="SimSun"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使用技术手段进行培训和考查</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各部委、经济单位</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1134" w:right="113" w:hanging="397"/>
              <w:rPr>
                <w:rFonts w:ascii="SimSun" w:hAnsi="SimSun"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设置和装备地区、城市和农村劳动保护办公室以及宣传劳动保护政策的地区和城市流动办事处</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地区执行委员会、市政厅和村委会</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pStyle w:val="a2"/>
              <w:spacing w:after="120" w:line="280" w:lineRule="exact"/>
              <w:ind w:left="510" w:right="113" w:hanging="397"/>
              <w:rPr>
                <w:rFonts w:ascii="SimSun" w:hAnsi="SimSun" w:hint="eastAsia"/>
                <w:snapToGrid/>
                <w:spacing w:val="4"/>
                <w:sz w:val="20"/>
              </w:rPr>
            </w:pPr>
            <w:r>
              <w:rPr>
                <w:rFonts w:hint="eastAsia"/>
                <w:snapToGrid/>
                <w:spacing w:val="4"/>
                <w:sz w:val="20"/>
              </w:rPr>
              <w:t>5.</w:t>
            </w:r>
            <w:r>
              <w:rPr>
                <w:snapToGrid/>
                <w:spacing w:val="4"/>
                <w:sz w:val="20"/>
              </w:rPr>
              <w:tab/>
            </w:r>
            <w:r>
              <w:rPr>
                <w:rFonts w:hint="eastAsia"/>
                <w:snapToGrid/>
                <w:spacing w:val="4"/>
                <w:sz w:val="20"/>
              </w:rPr>
              <w:t>劳动保护信息宣传：</w:t>
            </w:r>
          </w:p>
        </w:tc>
        <w:tc>
          <w:tcPr>
            <w:tcW w:w="2835" w:type="dxa"/>
          </w:tcPr>
          <w:p w:rsidR="00000000" w:rsidRDefault="00000000">
            <w:pPr>
              <w:spacing w:after="120" w:line="280" w:lineRule="exact"/>
              <w:ind w:left="113" w:right="113"/>
              <w:rPr>
                <w:rFonts w:hint="eastAsia"/>
                <w:snapToGrid/>
                <w:spacing w:val="4"/>
                <w:sz w:val="20"/>
              </w:rPr>
            </w:pPr>
          </w:p>
        </w:tc>
        <w:tc>
          <w:tcPr>
            <w:tcW w:w="1927" w:type="dxa"/>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rFonts w:hint="eastAsia"/>
                <w:snapToGrid/>
                <w:spacing w:val="4"/>
                <w:sz w:val="20"/>
              </w:rPr>
            </w:pPr>
            <w:r>
              <w:rPr>
                <w:snapToGrid/>
                <w:spacing w:val="4"/>
                <w:sz w:val="20"/>
              </w:rPr>
              <w:t>(a)</w:t>
            </w:r>
            <w:r>
              <w:rPr>
                <w:snapToGrid/>
                <w:spacing w:val="4"/>
                <w:sz w:val="20"/>
              </w:rPr>
              <w:tab/>
            </w:r>
            <w:r>
              <w:rPr>
                <w:rFonts w:hint="eastAsia"/>
                <w:snapToGrid/>
                <w:spacing w:val="4"/>
                <w:sz w:val="20"/>
              </w:rPr>
              <w:t>传播关于国民经济劳动保护情况的信息；</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各部委、地方政府行政机关</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z w:val="20"/>
              </w:rPr>
              <w:t>(b)</w:t>
            </w:r>
            <w:r>
              <w:rPr>
                <w:snapToGrid/>
                <w:spacing w:val="4"/>
                <w:sz w:val="20"/>
              </w:rPr>
              <w:tab/>
            </w:r>
            <w:r>
              <w:rPr>
                <w:rFonts w:hint="eastAsia"/>
                <w:snapToGrid/>
                <w:sz w:val="20"/>
              </w:rPr>
              <w:t>研究并发表有关劳动保护问题的文章；</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各部委、地方政府行政机关</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z w:val="20"/>
              </w:rPr>
            </w:pPr>
            <w:r>
              <w:rPr>
                <w:snapToGrid/>
                <w:sz w:val="20"/>
              </w:rPr>
              <w:t>(c)</w:t>
            </w:r>
            <w:r>
              <w:rPr>
                <w:snapToGrid/>
                <w:sz w:val="20"/>
              </w:rPr>
              <w:tab/>
            </w:r>
            <w:r>
              <w:rPr>
                <w:rFonts w:hint="eastAsia"/>
                <w:snapToGrid/>
                <w:spacing w:val="4"/>
                <w:sz w:val="20"/>
              </w:rPr>
              <w:t>在国际劳工组织指导下与国际劳动安全和卫生信息中心进行合作。</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劳动、社会保障和家庭部</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pStyle w:val="a2"/>
              <w:spacing w:after="120" w:line="280" w:lineRule="exact"/>
              <w:ind w:left="510" w:right="113" w:hanging="397"/>
              <w:rPr>
                <w:snapToGrid/>
                <w:sz w:val="20"/>
              </w:rPr>
            </w:pPr>
            <w:r>
              <w:rPr>
                <w:rFonts w:hint="eastAsia"/>
                <w:snapToGrid/>
                <w:spacing w:val="4"/>
                <w:sz w:val="20"/>
              </w:rPr>
              <w:t>6.</w:t>
            </w:r>
            <w:r>
              <w:rPr>
                <w:snapToGrid/>
                <w:spacing w:val="4"/>
                <w:sz w:val="20"/>
              </w:rPr>
              <w:tab/>
            </w:r>
            <w:r>
              <w:rPr>
                <w:rFonts w:hint="eastAsia"/>
                <w:snapToGrid/>
                <w:spacing w:val="4"/>
                <w:sz w:val="20"/>
              </w:rPr>
              <w:t>伙伴关系：</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各部委、雇主协会和工会</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z w:val="20"/>
              </w:rPr>
              <w:t>(a)</w:t>
            </w:r>
            <w:r>
              <w:rPr>
                <w:snapToGrid/>
                <w:sz w:val="20"/>
              </w:rPr>
              <w:tab/>
            </w:r>
            <w:r>
              <w:rPr>
                <w:rFonts w:hint="eastAsia"/>
                <w:snapToGrid/>
                <w:sz w:val="20"/>
              </w:rPr>
              <w:t>相互磋商共同拟订劳动保护规范性文书；</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各部委、雇主协会和工会</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z w:val="20"/>
              </w:rPr>
            </w:pPr>
            <w:r>
              <w:rPr>
                <w:snapToGrid/>
                <w:spacing w:val="4"/>
                <w:sz w:val="20"/>
              </w:rPr>
              <w:t>(b)</w:t>
            </w:r>
            <w:r>
              <w:rPr>
                <w:snapToGrid/>
                <w:spacing w:val="4"/>
                <w:sz w:val="20"/>
              </w:rPr>
              <w:tab/>
            </w:r>
            <w:r>
              <w:rPr>
                <w:rFonts w:hint="eastAsia"/>
                <w:snapToGrid/>
                <w:spacing w:val="4"/>
                <w:sz w:val="20"/>
              </w:rPr>
              <w:t>组织和实施对经济单位的劳动保护活动的联合监查行动；</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各部委、雇主协会和工会</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pacing w:val="4"/>
                <w:sz w:val="20"/>
              </w:rPr>
              <w:t>(c)</w:t>
            </w:r>
            <w:r>
              <w:rPr>
                <w:snapToGrid/>
                <w:spacing w:val="4"/>
                <w:sz w:val="20"/>
              </w:rPr>
              <w:tab/>
            </w:r>
            <w:r>
              <w:rPr>
                <w:rFonts w:hint="eastAsia"/>
                <w:snapToGrid/>
                <w:spacing w:val="4"/>
                <w:sz w:val="20"/>
              </w:rPr>
              <w:t>对工会和企业内负责劳动保护事宜的人员进行培训；</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各部委、雇主协会和工会</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pacing w:val="4"/>
                <w:sz w:val="20"/>
              </w:rPr>
              <w:t>(d)</w:t>
            </w:r>
            <w:r>
              <w:rPr>
                <w:snapToGrid/>
                <w:spacing w:val="4"/>
                <w:sz w:val="20"/>
              </w:rPr>
              <w:tab/>
            </w:r>
            <w:r>
              <w:rPr>
                <w:rFonts w:hint="eastAsia"/>
                <w:snapToGrid/>
                <w:spacing w:val="4"/>
                <w:sz w:val="20"/>
              </w:rPr>
              <w:t>组织有关劳动保护问题的研讨会、会议等活动；</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各部委、雇主协会和工会</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r w:rsidR="00000000">
        <w:tblPrEx>
          <w:tblCellMar>
            <w:top w:w="0" w:type="dxa"/>
            <w:bottom w:w="0" w:type="dxa"/>
          </w:tblCellMar>
        </w:tblPrEx>
        <w:tc>
          <w:tcPr>
            <w:tcW w:w="4648" w:type="dxa"/>
          </w:tcPr>
          <w:p w:rsidR="00000000" w:rsidRDefault="00000000">
            <w:pPr>
              <w:spacing w:after="120" w:line="280" w:lineRule="exact"/>
              <w:ind w:left="817" w:right="113" w:hanging="397"/>
              <w:rPr>
                <w:snapToGrid/>
                <w:spacing w:val="4"/>
                <w:sz w:val="20"/>
              </w:rPr>
            </w:pPr>
            <w:r>
              <w:rPr>
                <w:snapToGrid/>
                <w:spacing w:val="4"/>
                <w:sz w:val="20"/>
              </w:rPr>
              <w:t>(e)</w:t>
            </w:r>
            <w:r>
              <w:rPr>
                <w:snapToGrid/>
                <w:spacing w:val="4"/>
                <w:sz w:val="20"/>
              </w:rPr>
              <w:tab/>
            </w:r>
            <w:r>
              <w:rPr>
                <w:rFonts w:hint="eastAsia"/>
                <w:snapToGrid/>
                <w:spacing w:val="4"/>
                <w:sz w:val="20"/>
              </w:rPr>
              <w:t>以各种方式支持劳工组织、国家和技术监察团以及工会开展劳动保护活动。</w:t>
            </w:r>
          </w:p>
        </w:tc>
        <w:tc>
          <w:tcPr>
            <w:tcW w:w="2835" w:type="dxa"/>
          </w:tcPr>
          <w:p w:rsidR="00000000" w:rsidRDefault="00000000">
            <w:pPr>
              <w:spacing w:after="120" w:line="280" w:lineRule="exact"/>
              <w:ind w:left="113" w:right="113"/>
              <w:rPr>
                <w:rFonts w:hint="eastAsia"/>
                <w:snapToGrid/>
                <w:spacing w:val="4"/>
                <w:sz w:val="20"/>
              </w:rPr>
            </w:pPr>
            <w:r>
              <w:rPr>
                <w:rFonts w:hint="eastAsia"/>
                <w:snapToGrid/>
                <w:spacing w:val="4"/>
                <w:sz w:val="20"/>
              </w:rPr>
              <w:t>各部委、雇主协会和工会</w:t>
            </w:r>
          </w:p>
        </w:tc>
        <w:tc>
          <w:tcPr>
            <w:tcW w:w="1927" w:type="dxa"/>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1996-1997</w:t>
            </w:r>
            <w:r>
              <w:rPr>
                <w:rFonts w:hint="eastAsia"/>
                <w:snapToGrid/>
                <w:spacing w:val="4"/>
                <w:sz w:val="20"/>
              </w:rPr>
              <w:t>年</w:t>
            </w:r>
          </w:p>
        </w:tc>
      </w:tr>
    </w:tbl>
    <w:p w:rsidR="00000000" w:rsidRDefault="00000000">
      <w:pPr>
        <w:jc w:val="center"/>
        <w:rPr>
          <w:rFonts w:hint="eastAsia"/>
          <w:snapToGrid/>
        </w:rPr>
      </w:pPr>
    </w:p>
    <w:p w:rsidR="00000000" w:rsidRDefault="00000000">
      <w:pPr>
        <w:spacing w:after="320"/>
        <w:rPr>
          <w:rFonts w:hint="eastAsia"/>
          <w:snapToGrid/>
        </w:rPr>
      </w:pPr>
      <w:r>
        <w:rPr>
          <w:rFonts w:hint="eastAsia"/>
          <w:snapToGrid/>
        </w:rPr>
        <w:tab/>
        <w:t xml:space="preserve">362.  </w:t>
      </w:r>
      <w:r>
        <w:rPr>
          <w:rFonts w:hint="eastAsia"/>
          <w:snapToGrid/>
        </w:rPr>
        <w:t>在为雇员提供正规工作条件和防止工伤事故方面为了实行有力的一整套政策，政府核可了国家加强劳动保护方案</w:t>
      </w:r>
      <w:r>
        <w:rPr>
          <w:rFonts w:hint="eastAsia"/>
          <w:snapToGrid/>
        </w:rPr>
        <w:t>(1998-2001</w:t>
      </w:r>
      <w:r>
        <w:rPr>
          <w:rFonts w:hint="eastAsia"/>
          <w:snapToGrid/>
        </w:rPr>
        <w:t>年</w:t>
      </w:r>
      <w:r>
        <w:rPr>
          <w:rFonts w:hint="eastAsia"/>
          <w:snapToGrid/>
        </w:rPr>
        <w:t>)(1998</w:t>
      </w:r>
      <w:r>
        <w:rPr>
          <w:rFonts w:hint="eastAsia"/>
          <w:snapToGrid/>
        </w:rPr>
        <w:t>年</w:t>
      </w:r>
      <w:r>
        <w:rPr>
          <w:rFonts w:hint="eastAsia"/>
          <w:snapToGrid/>
        </w:rPr>
        <w:t>7</w:t>
      </w:r>
      <w:r>
        <w:rPr>
          <w:rFonts w:hint="eastAsia"/>
          <w:snapToGrid/>
        </w:rPr>
        <w:t>月</w:t>
      </w:r>
      <w:r>
        <w:rPr>
          <w:rFonts w:hint="eastAsia"/>
          <w:snapToGrid/>
        </w:rPr>
        <w:t>15</w:t>
      </w:r>
      <w:r>
        <w:rPr>
          <w:rFonts w:hint="eastAsia"/>
          <w:snapToGrid/>
        </w:rPr>
        <w:t>日第</w:t>
      </w:r>
      <w:r>
        <w:rPr>
          <w:rFonts w:hint="eastAsia"/>
          <w:snapToGrid/>
        </w:rPr>
        <w:t>793</w:t>
      </w:r>
      <w:r>
        <w:rPr>
          <w:rFonts w:hint="eastAsia"/>
          <w:snapToGrid/>
        </w:rPr>
        <w:t>号决定</w:t>
      </w:r>
      <w:r>
        <w:rPr>
          <w:rFonts w:hint="eastAsia"/>
          <w:snapToGrid/>
        </w:rPr>
        <w:t>)</w:t>
      </w:r>
      <w:r>
        <w:rPr>
          <w:rFonts w:hint="eastAsia"/>
          <w:snapToGrid/>
        </w:rPr>
        <w:t>。</w:t>
      </w:r>
    </w:p>
    <w:p w:rsidR="00000000" w:rsidRDefault="00000000">
      <w:pPr>
        <w:pStyle w:val="Heading3"/>
        <w:spacing w:after="240"/>
        <w:rPr>
          <w:rFonts w:hint="eastAsia"/>
        </w:rPr>
      </w:pPr>
      <w:r>
        <w:rPr>
          <w:rFonts w:hint="eastAsia"/>
          <w:u w:val="none"/>
        </w:rPr>
        <w:t>表</w:t>
      </w:r>
      <w:r>
        <w:rPr>
          <w:rFonts w:hint="eastAsia"/>
          <w:u w:val="none"/>
        </w:rPr>
        <w:t xml:space="preserve">29.  </w:t>
      </w:r>
      <w:r>
        <w:rPr>
          <w:rFonts w:hint="eastAsia"/>
        </w:rPr>
        <w:t>1998-2001</w:t>
      </w:r>
      <w:r>
        <w:rPr>
          <w:rFonts w:hint="eastAsia"/>
        </w:rPr>
        <w:t>年国家加强劳动保护方案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49"/>
        <w:gridCol w:w="2834"/>
        <w:gridCol w:w="1927"/>
      </w:tblGrid>
      <w:tr w:rsidR="00000000">
        <w:tblPrEx>
          <w:tblCellMar>
            <w:top w:w="0" w:type="dxa"/>
            <w:bottom w:w="0" w:type="dxa"/>
          </w:tblCellMar>
        </w:tblPrEx>
        <w:trPr>
          <w:tblHeader/>
        </w:trPr>
        <w:tc>
          <w:tcPr>
            <w:tcW w:w="2470" w:type="pct"/>
          </w:tcPr>
          <w:p w:rsidR="00000000" w:rsidRDefault="00000000">
            <w:pPr>
              <w:spacing w:after="120" w:line="280" w:lineRule="exact"/>
              <w:ind w:left="113" w:right="113"/>
              <w:jc w:val="center"/>
              <w:rPr>
                <w:rFonts w:hint="eastAsia"/>
                <w:snapToGrid/>
                <w:spacing w:val="4"/>
                <w:sz w:val="20"/>
                <w:u w:val="single"/>
              </w:rPr>
            </w:pPr>
            <w:r>
              <w:rPr>
                <w:rFonts w:hint="eastAsia"/>
                <w:snapToGrid/>
                <w:spacing w:val="4"/>
                <w:sz w:val="20"/>
                <w:u w:val="single"/>
              </w:rPr>
              <w:t>建议采取的行动</w:t>
            </w:r>
          </w:p>
        </w:tc>
        <w:tc>
          <w:tcPr>
            <w:tcW w:w="1506" w:type="pct"/>
          </w:tcPr>
          <w:p w:rsidR="00000000" w:rsidRDefault="00000000">
            <w:pPr>
              <w:spacing w:after="120" w:line="280" w:lineRule="exact"/>
              <w:ind w:left="113" w:right="113"/>
              <w:jc w:val="center"/>
              <w:rPr>
                <w:rFonts w:hint="eastAsia"/>
                <w:snapToGrid/>
                <w:spacing w:val="4"/>
                <w:sz w:val="20"/>
                <w:u w:val="single"/>
              </w:rPr>
            </w:pPr>
            <w:r>
              <w:rPr>
                <w:rFonts w:hint="eastAsia"/>
                <w:snapToGrid/>
                <w:spacing w:val="4"/>
                <w:sz w:val="20"/>
                <w:u w:val="single"/>
              </w:rPr>
              <w:t>负责具体执行的实体</w:t>
            </w:r>
          </w:p>
        </w:tc>
        <w:tc>
          <w:tcPr>
            <w:tcW w:w="1024" w:type="pct"/>
          </w:tcPr>
          <w:p w:rsidR="00000000" w:rsidRDefault="00000000">
            <w:pPr>
              <w:spacing w:after="120" w:line="280" w:lineRule="exact"/>
              <w:ind w:left="113" w:right="113"/>
              <w:jc w:val="center"/>
              <w:rPr>
                <w:rFonts w:hint="eastAsia"/>
                <w:snapToGrid/>
                <w:spacing w:val="4"/>
                <w:sz w:val="20"/>
                <w:u w:val="single"/>
              </w:rPr>
            </w:pPr>
            <w:r>
              <w:rPr>
                <w:rFonts w:hint="eastAsia"/>
                <w:snapToGrid/>
                <w:spacing w:val="4"/>
                <w:sz w:val="20"/>
                <w:u w:val="single"/>
              </w:rPr>
              <w:t>执</w:t>
            </w:r>
            <w:r>
              <w:rPr>
                <w:snapToGrid/>
                <w:spacing w:val="4"/>
                <w:sz w:val="20"/>
                <w:u w:val="single"/>
              </w:rPr>
              <w:t xml:space="preserve"> </w:t>
            </w:r>
            <w:r>
              <w:rPr>
                <w:rFonts w:hint="eastAsia"/>
                <w:snapToGrid/>
                <w:spacing w:val="4"/>
                <w:sz w:val="20"/>
                <w:u w:val="single"/>
              </w:rPr>
              <w:t>行</w:t>
            </w:r>
            <w:r>
              <w:rPr>
                <w:snapToGrid/>
                <w:spacing w:val="4"/>
                <w:sz w:val="20"/>
                <w:u w:val="single"/>
              </w:rPr>
              <w:t xml:space="preserve"> </w:t>
            </w:r>
            <w:r>
              <w:rPr>
                <w:rFonts w:hint="eastAsia"/>
                <w:snapToGrid/>
                <w:spacing w:val="4"/>
                <w:sz w:val="20"/>
                <w:u w:val="single"/>
              </w:rPr>
              <w:t>期</w:t>
            </w:r>
          </w:p>
        </w:tc>
      </w:tr>
      <w:tr w:rsidR="00000000">
        <w:tblPrEx>
          <w:tblCellMar>
            <w:top w:w="0" w:type="dxa"/>
            <w:bottom w:w="0" w:type="dxa"/>
          </w:tblCellMar>
        </w:tblPrEx>
        <w:tc>
          <w:tcPr>
            <w:tcW w:w="2470" w:type="pct"/>
          </w:tcPr>
          <w:p w:rsidR="00000000" w:rsidRDefault="00000000">
            <w:pPr>
              <w:pStyle w:val="a2"/>
              <w:spacing w:after="120" w:line="280" w:lineRule="exact"/>
              <w:ind w:left="510" w:right="113" w:hanging="397"/>
              <w:rPr>
                <w:rFonts w:hint="eastAsia"/>
                <w:snapToGrid/>
                <w:spacing w:val="4"/>
                <w:sz w:val="20"/>
              </w:rPr>
            </w:pPr>
            <w:r>
              <w:rPr>
                <w:rFonts w:hint="eastAsia"/>
                <w:snapToGrid/>
                <w:spacing w:val="4"/>
                <w:sz w:val="20"/>
              </w:rPr>
              <w:t>1.</w:t>
            </w:r>
            <w:r>
              <w:rPr>
                <w:snapToGrid/>
                <w:spacing w:val="4"/>
                <w:sz w:val="20"/>
              </w:rPr>
              <w:tab/>
            </w:r>
            <w:r>
              <w:rPr>
                <w:rFonts w:hint="eastAsia"/>
                <w:snapToGrid/>
                <w:spacing w:val="4"/>
                <w:sz w:val="20"/>
              </w:rPr>
              <w:t>准备和批准劳工组织</w:t>
            </w:r>
            <w:r>
              <w:rPr>
                <w:rFonts w:hint="eastAsia"/>
                <w:snapToGrid/>
                <w:spacing w:val="4"/>
                <w:sz w:val="20"/>
              </w:rPr>
              <w:t>1947</w:t>
            </w:r>
            <w:r>
              <w:rPr>
                <w:rFonts w:hint="eastAsia"/>
                <w:snapToGrid/>
                <w:spacing w:val="4"/>
                <w:sz w:val="20"/>
              </w:rPr>
              <w:t>年劳工监察公约</w:t>
            </w:r>
            <w:r>
              <w:rPr>
                <w:rFonts w:hint="eastAsia"/>
                <w:snapToGrid/>
                <w:spacing w:val="4"/>
                <w:sz w:val="20"/>
              </w:rPr>
              <w:t>1995</w:t>
            </w:r>
            <w:r>
              <w:rPr>
                <w:rFonts w:hint="eastAsia"/>
                <w:snapToGrid/>
                <w:spacing w:val="4"/>
                <w:sz w:val="20"/>
              </w:rPr>
              <w:t>年议定书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2000</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pStyle w:val="a2"/>
              <w:spacing w:after="120" w:line="280" w:lineRule="exact"/>
              <w:ind w:left="510" w:right="113" w:hanging="397"/>
              <w:rPr>
                <w:rFonts w:hint="eastAsia"/>
                <w:snapToGrid/>
                <w:spacing w:val="4"/>
                <w:sz w:val="20"/>
              </w:rPr>
            </w:pPr>
            <w:r>
              <w:rPr>
                <w:rFonts w:hint="eastAsia"/>
                <w:snapToGrid/>
                <w:spacing w:val="4"/>
                <w:sz w:val="20"/>
              </w:rPr>
              <w:t>2.</w:t>
            </w:r>
            <w:r>
              <w:rPr>
                <w:snapToGrid/>
                <w:spacing w:val="4"/>
                <w:sz w:val="20"/>
              </w:rPr>
              <w:tab/>
            </w:r>
            <w:r>
              <w:rPr>
                <w:rFonts w:hint="eastAsia"/>
                <w:snapToGrid/>
                <w:spacing w:val="4"/>
                <w:sz w:val="20"/>
              </w:rPr>
              <w:t>制定和改进关于劳动保护的规范性文书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spacing w:val="4"/>
                <w:sz w:val="20"/>
              </w:rPr>
              <w:t>(a)</w:t>
            </w:r>
            <w:r>
              <w:rPr>
                <w:spacing w:val="4"/>
                <w:sz w:val="20"/>
              </w:rPr>
              <w:tab/>
            </w:r>
            <w:r>
              <w:rPr>
                <w:rFonts w:hint="eastAsia"/>
                <w:snapToGrid/>
                <w:spacing w:val="4"/>
                <w:sz w:val="20"/>
              </w:rPr>
              <w:t>拟订</w:t>
            </w:r>
            <w:r>
              <w:rPr>
                <w:rFonts w:hint="eastAsia"/>
                <w:spacing w:val="4"/>
                <w:sz w:val="20"/>
              </w:rPr>
              <w:t>以下方面的规范性文书</w:t>
            </w:r>
            <w:r>
              <w:rPr>
                <w:rFonts w:hint="eastAsia"/>
                <w:snapToGrid/>
                <w:spacing w:val="4"/>
                <w:sz w:val="20"/>
              </w:rPr>
              <w:t>：</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关于对所有企业劳动保护活动实施内部监查；</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1999</w:t>
            </w:r>
            <w:r>
              <w:rPr>
                <w:rFonts w:hint="eastAsia"/>
                <w:snapToGrid/>
                <w:spacing w:val="4"/>
                <w:sz w:val="20"/>
              </w:rPr>
              <w:t>年第一季度</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关于对新招聘人员的强制性身体检查和对在有害和危险的条件下工作的雇员的定期查体的组织和实施工作</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卫生部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1999</w:t>
            </w:r>
            <w:r>
              <w:rPr>
                <w:rFonts w:hint="eastAsia"/>
                <w:snapToGrid/>
                <w:spacing w:val="4"/>
                <w:sz w:val="20"/>
              </w:rPr>
              <w:t>年第四季度</w:t>
            </w:r>
          </w:p>
        </w:tc>
      </w:tr>
      <w:tr w:rsidR="00000000">
        <w:tblPrEx>
          <w:tblCellMar>
            <w:top w:w="0" w:type="dxa"/>
            <w:bottom w:w="0" w:type="dxa"/>
          </w:tblCellMar>
        </w:tblPrEx>
        <w:tc>
          <w:tcPr>
            <w:tcW w:w="2470" w:type="pct"/>
            <w:tcBorders>
              <w:bottom w:val="single" w:sz="4" w:space="0" w:color="auto"/>
            </w:tcBorders>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关于治疗性</w:t>
            </w:r>
            <w:r>
              <w:rPr>
                <w:rFonts w:hint="eastAsia"/>
                <w:snapToGrid/>
                <w:spacing w:val="4"/>
                <w:sz w:val="20"/>
              </w:rPr>
              <w:t>/</w:t>
            </w:r>
            <w:r>
              <w:rPr>
                <w:rFonts w:hint="eastAsia"/>
                <w:snapToGrid/>
                <w:spacing w:val="4"/>
                <w:sz w:val="20"/>
              </w:rPr>
              <w:t>预防性营养问题</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1999</w:t>
            </w:r>
            <w:r>
              <w:rPr>
                <w:rFonts w:hint="eastAsia"/>
                <w:snapToGrid/>
                <w:spacing w:val="4"/>
                <w:sz w:val="20"/>
              </w:rPr>
              <w:t>年下半年</w:t>
            </w:r>
          </w:p>
        </w:tc>
      </w:tr>
      <w:tr w:rsidR="00000000">
        <w:tblPrEx>
          <w:tblCellMar>
            <w:top w:w="0" w:type="dxa"/>
            <w:bottom w:w="0" w:type="dxa"/>
          </w:tblCellMar>
        </w:tblPrEx>
        <w:tc>
          <w:tcPr>
            <w:tcW w:w="2470" w:type="pct"/>
            <w:tcBorders>
              <w:bottom w:val="nil"/>
            </w:tcBorders>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关于建议作为治疗性</w:t>
            </w:r>
            <w:r>
              <w:rPr>
                <w:rFonts w:hint="eastAsia"/>
                <w:snapToGrid/>
                <w:spacing w:val="4"/>
                <w:sz w:val="20"/>
              </w:rPr>
              <w:t>/</w:t>
            </w:r>
            <w:r>
              <w:rPr>
                <w:rFonts w:hint="eastAsia"/>
                <w:snapToGrid/>
                <w:spacing w:val="4"/>
                <w:sz w:val="20"/>
              </w:rPr>
              <w:t>预防性营养的化学药剂清单</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卫生部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1999</w:t>
            </w:r>
            <w:r>
              <w:rPr>
                <w:rFonts w:hint="eastAsia"/>
                <w:snapToGrid/>
                <w:spacing w:val="4"/>
                <w:sz w:val="20"/>
              </w:rPr>
              <w:t>年下半年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ascii="SimSun" w:hAnsi="SimSun" w:hint="eastAsia"/>
                <w:snapToGrid/>
                <w:spacing w:val="4"/>
                <w:sz w:val="20"/>
              </w:rPr>
            </w:pPr>
            <w:r>
              <w:rPr>
                <w:rFonts w:hint="eastAsia"/>
                <w:snapToGrid/>
                <w:spacing w:val="4"/>
                <w:sz w:val="20"/>
              </w:rPr>
              <w:t>(</w:t>
            </w:r>
            <w:r>
              <w:rPr>
                <w:snapToGrid/>
                <w:spacing w:val="4"/>
                <w:sz w:val="20"/>
              </w:rPr>
              <w:t>b</w:t>
            </w:r>
            <w:r>
              <w:rPr>
                <w:rFonts w:hint="eastAsia"/>
                <w:snapToGrid/>
                <w:spacing w:val="4"/>
                <w:sz w:val="20"/>
              </w:rPr>
              <w:t>)</w:t>
            </w:r>
            <w:r>
              <w:rPr>
                <w:snapToGrid/>
                <w:spacing w:val="4"/>
                <w:sz w:val="20"/>
              </w:rPr>
              <w:tab/>
            </w:r>
            <w:r>
              <w:rPr>
                <w:rFonts w:hint="eastAsia"/>
                <w:snapToGrid/>
                <w:spacing w:val="4"/>
                <w:sz w:val="20"/>
              </w:rPr>
              <w:t>拟订部门规范性文书：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关于公路养护和维修方面的劳动卫生和安全</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运输通讯部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关于运输企业的劳动卫生和安全</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运输通讯部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关于电信和邮政部门的劳动卫生和安</w:t>
            </w:r>
            <w:r>
              <w:rPr>
                <w:rFonts w:hint="eastAsia"/>
                <w:snapToGrid/>
                <w:spacing w:val="4"/>
                <w:sz w:val="20"/>
              </w:rPr>
              <w:t>全</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运输通讯部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ascii="SimSun" w:hAnsi="SimSun"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关于林业开采、畜牧和植物技术部门的劳动卫生和安全</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“摩尔多瓦”国家林业协会、农业和加工业部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ascii="SimSun" w:hAnsi="SimSun"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关于建筑业、提炼业和建筑材料生产劳动卫生和安全</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领土安排、建设和公共服务部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ascii="SimSun" w:hAnsi="SimSun"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关于海关活动劳动保护问题</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财政部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pStyle w:val="a2"/>
              <w:spacing w:after="120" w:line="280" w:lineRule="exact"/>
              <w:ind w:left="510" w:right="113" w:hanging="397"/>
              <w:rPr>
                <w:rFonts w:ascii="SimSun" w:hAnsi="SimSun" w:hint="eastAsia"/>
                <w:snapToGrid/>
                <w:spacing w:val="4"/>
                <w:sz w:val="20"/>
              </w:rPr>
            </w:pPr>
            <w:r>
              <w:rPr>
                <w:rFonts w:hint="eastAsia"/>
                <w:snapToGrid/>
                <w:spacing w:val="4"/>
                <w:sz w:val="20"/>
              </w:rPr>
              <w:t xml:space="preserve">3.  </w:t>
            </w:r>
            <w:r>
              <w:rPr>
                <w:rFonts w:hint="eastAsia"/>
                <w:snapToGrid/>
                <w:spacing w:val="4"/>
                <w:sz w:val="20"/>
              </w:rPr>
              <w:t>尽可能完善劳动保护：</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ascii="SimSun" w:hAnsi="SimSun" w:hint="eastAsia"/>
                <w:snapToGrid/>
                <w:spacing w:val="4"/>
                <w:sz w:val="20"/>
              </w:rPr>
            </w:pPr>
            <w:r>
              <w:rPr>
                <w:rFonts w:hint="eastAsia"/>
                <w:snapToGrid/>
                <w:spacing w:val="4"/>
                <w:sz w:val="20"/>
              </w:rPr>
              <w:t>(</w:t>
            </w:r>
            <w:r>
              <w:rPr>
                <w:snapToGrid/>
                <w:spacing w:val="4"/>
                <w:sz w:val="20"/>
              </w:rPr>
              <w:t>a</w:t>
            </w:r>
            <w:r>
              <w:rPr>
                <w:rFonts w:hint="eastAsia"/>
                <w:snapToGrid/>
                <w:spacing w:val="4"/>
                <w:sz w:val="20"/>
              </w:rPr>
              <w:t>)</w:t>
            </w:r>
            <w:r>
              <w:rPr>
                <w:snapToGrid/>
                <w:spacing w:val="4"/>
                <w:sz w:val="20"/>
              </w:rPr>
              <w:tab/>
            </w:r>
            <w:r>
              <w:rPr>
                <w:rFonts w:hint="eastAsia"/>
                <w:snapToGrid/>
                <w:spacing w:val="4"/>
                <w:sz w:val="20"/>
              </w:rPr>
              <w:t>按照劳工组织各项公约规定改进劳动保护活动制度；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ascii="SimSun" w:hAnsi="SimSun" w:hint="eastAsia"/>
                <w:snapToGrid/>
                <w:spacing w:val="4"/>
                <w:sz w:val="20"/>
              </w:rPr>
            </w:pPr>
            <w:r>
              <w:rPr>
                <w:rFonts w:hint="eastAsia"/>
                <w:snapToGrid/>
                <w:spacing w:val="4"/>
                <w:sz w:val="20"/>
              </w:rPr>
              <w:t>关于工商业劳动监察的第</w:t>
            </w:r>
            <w:r>
              <w:rPr>
                <w:rFonts w:hint="eastAsia"/>
                <w:snapToGrid/>
                <w:spacing w:val="4"/>
                <w:sz w:val="20"/>
              </w:rPr>
              <w:t>81</w:t>
            </w:r>
            <w:r>
              <w:rPr>
                <w:rFonts w:hint="eastAsia"/>
                <w:snapToGrid/>
                <w:spacing w:val="4"/>
                <w:sz w:val="20"/>
              </w:rPr>
              <w:t>号公约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ascii="SimSun" w:hAnsi="SimSun" w:hint="eastAsia"/>
                <w:snapToGrid/>
                <w:spacing w:val="4"/>
                <w:sz w:val="20"/>
              </w:rPr>
            </w:pPr>
            <w:r>
              <w:rPr>
                <w:rFonts w:hint="eastAsia"/>
                <w:snapToGrid/>
                <w:spacing w:val="4"/>
                <w:sz w:val="20"/>
              </w:rPr>
              <w:t>关于农业劳动监察的第</w:t>
            </w:r>
            <w:r>
              <w:rPr>
                <w:rFonts w:hint="eastAsia"/>
                <w:snapToGrid/>
                <w:spacing w:val="4"/>
                <w:sz w:val="20"/>
              </w:rPr>
              <w:t>129</w:t>
            </w:r>
            <w:r>
              <w:rPr>
                <w:rFonts w:hint="eastAsia"/>
                <w:snapToGrid/>
                <w:spacing w:val="4"/>
                <w:sz w:val="20"/>
              </w:rPr>
              <w:t>号公约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rFonts w:hint="eastAsia"/>
                <w:snapToGrid/>
                <w:spacing w:val="4"/>
                <w:sz w:val="20"/>
              </w:rPr>
              <w:t>(</w:t>
            </w:r>
            <w:r>
              <w:rPr>
                <w:snapToGrid/>
                <w:spacing w:val="4"/>
                <w:sz w:val="20"/>
              </w:rPr>
              <w:t>b</w:t>
            </w:r>
            <w:r>
              <w:rPr>
                <w:rFonts w:hint="eastAsia"/>
                <w:snapToGrid/>
                <w:spacing w:val="4"/>
                <w:sz w:val="20"/>
              </w:rPr>
              <w:t>)</w:t>
            </w:r>
            <w:r>
              <w:rPr>
                <w:snapToGrid/>
                <w:spacing w:val="4"/>
                <w:sz w:val="20"/>
              </w:rPr>
              <w:tab/>
            </w:r>
            <w:r>
              <w:rPr>
                <w:rFonts w:hint="eastAsia"/>
                <w:snapToGrid/>
                <w:spacing w:val="4"/>
                <w:sz w:val="20"/>
              </w:rPr>
              <w:t>在市政厅机构内设置劳动保护专家职位；</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村地方政府行政管理局</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rFonts w:hint="eastAsia"/>
                <w:snapToGrid/>
                <w:spacing w:val="4"/>
                <w:sz w:val="20"/>
              </w:rPr>
              <w:t>(</w:t>
            </w:r>
            <w:r>
              <w:rPr>
                <w:snapToGrid/>
                <w:spacing w:val="4"/>
                <w:sz w:val="20"/>
              </w:rPr>
              <w:t>c</w:t>
            </w:r>
            <w:r>
              <w:rPr>
                <w:rFonts w:hint="eastAsia"/>
                <w:snapToGrid/>
                <w:spacing w:val="4"/>
                <w:sz w:val="20"/>
              </w:rPr>
              <w:t>)</w:t>
            </w:r>
            <w:r>
              <w:rPr>
                <w:snapToGrid/>
                <w:spacing w:val="4"/>
                <w:sz w:val="20"/>
              </w:rPr>
              <w:tab/>
            </w:r>
            <w:r>
              <w:rPr>
                <w:rFonts w:hint="eastAsia"/>
                <w:snapToGrid/>
                <w:spacing w:val="4"/>
                <w:sz w:val="20"/>
              </w:rPr>
              <w:t>拟订关于劳动保护措施的法案</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地方和中央行政管理局；经济行为主体</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rFonts w:hint="eastAsia"/>
                <w:snapToGrid/>
                <w:spacing w:val="4"/>
                <w:sz w:val="20"/>
              </w:rPr>
              <w:t>(</w:t>
            </w:r>
            <w:r>
              <w:rPr>
                <w:snapToGrid/>
                <w:spacing w:val="4"/>
                <w:sz w:val="20"/>
              </w:rPr>
              <w:t>d</w:t>
            </w:r>
            <w:r>
              <w:rPr>
                <w:rFonts w:hint="eastAsia"/>
                <w:snapToGrid/>
                <w:spacing w:val="4"/>
                <w:sz w:val="20"/>
              </w:rPr>
              <w:t>)</w:t>
            </w:r>
            <w:r>
              <w:rPr>
                <w:snapToGrid/>
                <w:spacing w:val="4"/>
                <w:sz w:val="20"/>
              </w:rPr>
              <w:tab/>
            </w:r>
            <w:r>
              <w:rPr>
                <w:rFonts w:hint="eastAsia"/>
                <w:snapToGrid/>
                <w:spacing w:val="4"/>
                <w:sz w:val="20"/>
              </w:rPr>
              <w:t>制定国家地方监察团关于劳动保护的实质性技术依据；</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劳动、社会保障和家庭部；财政部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rFonts w:hint="eastAsia"/>
                <w:snapToGrid/>
                <w:spacing w:val="4"/>
                <w:sz w:val="20"/>
              </w:rPr>
              <w:t>(</w:t>
            </w:r>
            <w:r>
              <w:rPr>
                <w:snapToGrid/>
                <w:spacing w:val="4"/>
                <w:sz w:val="20"/>
              </w:rPr>
              <w:t>e</w:t>
            </w:r>
            <w:r>
              <w:rPr>
                <w:rFonts w:hint="eastAsia"/>
                <w:snapToGrid/>
                <w:spacing w:val="4"/>
                <w:sz w:val="20"/>
              </w:rPr>
              <w:t>)</w:t>
            </w:r>
            <w:r>
              <w:rPr>
                <w:snapToGrid/>
                <w:spacing w:val="4"/>
                <w:sz w:val="20"/>
              </w:rPr>
              <w:tab/>
            </w:r>
            <w:r>
              <w:rPr>
                <w:rFonts w:hint="eastAsia"/>
                <w:snapToGrid/>
                <w:spacing w:val="4"/>
                <w:sz w:val="20"/>
              </w:rPr>
              <w:t>查阅世界专业出版物，以通过有关以下方面的规范性文书：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利用视频终端机的计算技术实现劳动卫生和安全</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ascii="SimSun" w:hAnsi="SimSun"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职业病预测和预防措施</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卫生部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ascii="SimSun" w:hAnsi="SimSun" w:hint="eastAsia"/>
                <w:snapToGrid/>
                <w:spacing w:val="4"/>
                <w:sz w:val="20"/>
              </w:rPr>
            </w:pPr>
            <w:r>
              <w:rPr>
                <w:rFonts w:hint="eastAsia"/>
                <w:snapToGrid/>
                <w:spacing w:val="4"/>
                <w:sz w:val="20"/>
              </w:rPr>
              <w:t>(</w:t>
            </w:r>
            <w:r>
              <w:rPr>
                <w:snapToGrid/>
                <w:spacing w:val="4"/>
                <w:sz w:val="20"/>
              </w:rPr>
              <w:t>f</w:t>
            </w:r>
            <w:r>
              <w:rPr>
                <w:rFonts w:hint="eastAsia"/>
                <w:snapToGrid/>
                <w:spacing w:val="4"/>
                <w:sz w:val="20"/>
              </w:rPr>
              <w:t>)</w:t>
            </w:r>
            <w:r>
              <w:rPr>
                <w:snapToGrid/>
                <w:spacing w:val="4"/>
                <w:sz w:val="20"/>
              </w:rPr>
              <w:tab/>
            </w:r>
            <w:r>
              <w:rPr>
                <w:rFonts w:hint="eastAsia"/>
                <w:snapToGrid/>
                <w:spacing w:val="4"/>
                <w:sz w:val="20"/>
              </w:rPr>
              <w:t>分析现行法律并就法律与劳工组织第</w:t>
            </w:r>
            <w:r>
              <w:rPr>
                <w:rFonts w:hint="eastAsia"/>
                <w:snapToGrid/>
                <w:spacing w:val="4"/>
                <w:sz w:val="20"/>
              </w:rPr>
              <w:t>103</w:t>
            </w:r>
            <w:r>
              <w:rPr>
                <w:rFonts w:hint="eastAsia"/>
                <w:snapToGrid/>
                <w:spacing w:val="4"/>
                <w:sz w:val="20"/>
              </w:rPr>
              <w:t>号公约的一致性问题提出建议。</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劳动、社会保障和家庭部；卫生部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pStyle w:val="a2"/>
              <w:spacing w:after="120" w:line="280" w:lineRule="exact"/>
              <w:ind w:left="510" w:right="113" w:hanging="397"/>
              <w:rPr>
                <w:rFonts w:hint="eastAsia"/>
                <w:snapToGrid/>
                <w:spacing w:val="4"/>
                <w:sz w:val="20"/>
              </w:rPr>
            </w:pPr>
            <w:r>
              <w:rPr>
                <w:rFonts w:hint="eastAsia"/>
                <w:snapToGrid/>
                <w:spacing w:val="4"/>
                <w:sz w:val="20"/>
              </w:rPr>
              <w:t xml:space="preserve">4.  </w:t>
            </w:r>
            <w:r>
              <w:rPr>
                <w:rFonts w:hint="eastAsia"/>
                <w:snapToGrid/>
                <w:spacing w:val="4"/>
                <w:sz w:val="20"/>
              </w:rPr>
              <w:t>培训和改进工作人员工作的行动：</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rFonts w:hint="eastAsia"/>
                <w:snapToGrid/>
                <w:spacing w:val="4"/>
                <w:sz w:val="20"/>
              </w:rPr>
              <w:t>(</w:t>
            </w:r>
            <w:r>
              <w:rPr>
                <w:snapToGrid/>
                <w:spacing w:val="4"/>
                <w:sz w:val="20"/>
              </w:rPr>
              <w:t>a</w:t>
            </w:r>
            <w:r>
              <w:rPr>
                <w:rFonts w:hint="eastAsia"/>
                <w:snapToGrid/>
                <w:spacing w:val="4"/>
                <w:sz w:val="20"/>
              </w:rPr>
              <w:t>)</w:t>
            </w:r>
            <w:r>
              <w:rPr>
                <w:snapToGrid/>
                <w:spacing w:val="4"/>
                <w:sz w:val="20"/>
              </w:rPr>
              <w:tab/>
            </w:r>
            <w:r>
              <w:rPr>
                <w:rFonts w:hint="eastAsia"/>
                <w:snapToGrid/>
                <w:spacing w:val="4"/>
                <w:sz w:val="20"/>
              </w:rPr>
              <w:t>制定劳动保护方面的培训制度：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草拟和改进劳动卫生和安全培训方案；</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劳动、社会保障和家庭部；卫生部；经济行为主体</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ascii="SimSun" w:hAnsi="SimSun"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为劳动保护办公室提供必要设备和各种解说性材料，以确保建立必要的框架开展培训和考查活动；</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中央和地方行政部门；经济行为主体</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rFonts w:hint="eastAsia"/>
                <w:snapToGrid/>
                <w:spacing w:val="4"/>
                <w:sz w:val="20"/>
              </w:rPr>
              <w:t>(</w:t>
            </w:r>
            <w:r>
              <w:rPr>
                <w:snapToGrid/>
                <w:spacing w:val="4"/>
                <w:sz w:val="20"/>
              </w:rPr>
              <w:t>b</w:t>
            </w:r>
            <w:r>
              <w:rPr>
                <w:rFonts w:hint="eastAsia"/>
                <w:snapToGrid/>
                <w:spacing w:val="4"/>
                <w:sz w:val="20"/>
              </w:rPr>
              <w:t>)</w:t>
            </w:r>
            <w:r>
              <w:rPr>
                <w:snapToGrid/>
                <w:spacing w:val="4"/>
                <w:sz w:val="20"/>
              </w:rPr>
              <w:tab/>
            </w:r>
            <w:r>
              <w:rPr>
                <w:rFonts w:hint="eastAsia"/>
                <w:snapToGrid/>
                <w:spacing w:val="4"/>
                <w:sz w:val="20"/>
              </w:rPr>
              <w:t>为以下人员开办培训班：</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来自中央和地方政府行政部门和经济行为主体的劳动保护检察员和专家；</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劳动、社会保障和家庭部；卫生部；中央和地方行政部门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来自工会的劳动保护技术检察员；</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工会</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工会内受权的劳动保护专家；</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工会</w:t>
            </w: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1134" w:right="113" w:hanging="397"/>
              <w:rPr>
                <w:rFonts w:ascii="SimSun" w:hAnsi="SimSun" w:hint="eastAsia"/>
                <w:snapToGrid/>
                <w:spacing w:val="4"/>
                <w:sz w:val="20"/>
              </w:rPr>
            </w:pPr>
            <w:r>
              <w:rPr>
                <w:rFonts w:ascii="SimSun" w:hAnsi="SimSun" w:hint="eastAsia"/>
                <w:snapToGrid/>
                <w:spacing w:val="4"/>
                <w:sz w:val="20"/>
              </w:rPr>
              <w:t>–</w:t>
            </w:r>
            <w:r>
              <w:rPr>
                <w:snapToGrid/>
                <w:spacing w:val="4"/>
                <w:sz w:val="20"/>
              </w:rPr>
              <w:tab/>
            </w:r>
            <w:r>
              <w:rPr>
                <w:rFonts w:hint="eastAsia"/>
                <w:snapToGrid/>
                <w:spacing w:val="4"/>
                <w:sz w:val="20"/>
              </w:rPr>
              <w:t>举办劳动保护领域的研讨会和辩论会。</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中央和地方行政部门、共、经济行为主体</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pStyle w:val="a2"/>
              <w:spacing w:after="120" w:line="280" w:lineRule="exact"/>
              <w:ind w:left="510" w:right="113" w:hanging="397"/>
              <w:rPr>
                <w:rFonts w:ascii="SimSun" w:hAnsi="SimSun" w:hint="eastAsia"/>
                <w:snapToGrid/>
                <w:spacing w:val="4"/>
                <w:sz w:val="20"/>
              </w:rPr>
            </w:pPr>
            <w:r>
              <w:rPr>
                <w:rFonts w:hint="eastAsia"/>
                <w:snapToGrid/>
                <w:spacing w:val="4"/>
                <w:sz w:val="20"/>
              </w:rPr>
              <w:t xml:space="preserve">5.  </w:t>
            </w:r>
            <w:r>
              <w:rPr>
                <w:rFonts w:hint="eastAsia"/>
                <w:snapToGrid/>
                <w:spacing w:val="4"/>
                <w:sz w:val="20"/>
              </w:rPr>
              <w:t>劳动保护信息与宣传：</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ascii="SimSun" w:hAnsi="SimSun" w:hint="eastAsia"/>
                <w:snapToGrid/>
                <w:spacing w:val="4"/>
                <w:sz w:val="20"/>
              </w:rPr>
            </w:pPr>
            <w:r>
              <w:rPr>
                <w:rFonts w:hint="eastAsia"/>
                <w:snapToGrid/>
                <w:spacing w:val="4"/>
                <w:sz w:val="20"/>
              </w:rPr>
              <w:t>(</w:t>
            </w:r>
            <w:r>
              <w:rPr>
                <w:snapToGrid/>
                <w:spacing w:val="4"/>
                <w:sz w:val="20"/>
              </w:rPr>
              <w:t>a</w:t>
            </w:r>
            <w:r>
              <w:rPr>
                <w:rFonts w:hint="eastAsia"/>
                <w:snapToGrid/>
                <w:spacing w:val="4"/>
                <w:sz w:val="20"/>
              </w:rPr>
              <w:t>)</w:t>
            </w:r>
            <w:r>
              <w:rPr>
                <w:snapToGrid/>
                <w:spacing w:val="4"/>
                <w:sz w:val="20"/>
              </w:rPr>
              <w:tab/>
            </w:r>
            <w:r>
              <w:rPr>
                <w:rFonts w:hint="eastAsia"/>
                <w:snapToGrid/>
                <w:spacing w:val="4"/>
                <w:sz w:val="20"/>
              </w:rPr>
              <w:t>系统整理和传播有关国民经济劳动保护的信息；</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中央和地方行政部门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rFonts w:hint="eastAsia"/>
                <w:snapToGrid/>
                <w:spacing w:val="4"/>
                <w:sz w:val="20"/>
              </w:rPr>
              <w:t>(</w:t>
            </w:r>
            <w:r>
              <w:rPr>
                <w:snapToGrid/>
                <w:spacing w:val="4"/>
                <w:sz w:val="20"/>
              </w:rPr>
              <w:t>b</w:t>
            </w:r>
            <w:r>
              <w:rPr>
                <w:rFonts w:hint="eastAsia"/>
                <w:snapToGrid/>
                <w:spacing w:val="4"/>
                <w:sz w:val="20"/>
              </w:rPr>
              <w:t>)</w:t>
            </w:r>
            <w:r>
              <w:rPr>
                <w:snapToGrid/>
                <w:spacing w:val="4"/>
                <w:sz w:val="20"/>
              </w:rPr>
              <w:tab/>
            </w:r>
            <w:r>
              <w:rPr>
                <w:rFonts w:hint="eastAsia"/>
                <w:snapToGrid/>
                <w:spacing w:val="4"/>
                <w:sz w:val="20"/>
              </w:rPr>
              <w:t>研究和发表关于劳动保护的资料。</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中央和地方行政部门</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pStyle w:val="a2"/>
              <w:spacing w:after="120" w:line="280" w:lineRule="exact"/>
              <w:ind w:left="510" w:right="113" w:hanging="397"/>
              <w:rPr>
                <w:rFonts w:ascii="SimSun" w:hAnsi="SimSun" w:hint="eastAsia"/>
                <w:snapToGrid/>
                <w:spacing w:val="4"/>
                <w:sz w:val="20"/>
              </w:rPr>
            </w:pPr>
            <w:r>
              <w:rPr>
                <w:rFonts w:hint="eastAsia"/>
                <w:snapToGrid/>
                <w:spacing w:val="4"/>
                <w:sz w:val="20"/>
              </w:rPr>
              <w:t>6.</w:t>
            </w:r>
            <w:r>
              <w:rPr>
                <w:snapToGrid/>
                <w:spacing w:val="4"/>
                <w:sz w:val="20"/>
              </w:rPr>
              <w:tab/>
            </w:r>
            <w:r>
              <w:rPr>
                <w:rFonts w:hint="eastAsia"/>
                <w:snapToGrid/>
                <w:spacing w:val="4"/>
                <w:sz w:val="20"/>
              </w:rPr>
              <w:t>社会伙伴关系：</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p>
        </w:tc>
        <w:tc>
          <w:tcPr>
            <w:tcW w:w="1024" w:type="pct"/>
          </w:tcPr>
          <w:p w:rsidR="00000000" w:rsidRDefault="00000000">
            <w:pPr>
              <w:spacing w:after="120" w:line="280" w:lineRule="exact"/>
              <w:ind w:left="113" w:right="113"/>
              <w:jc w:val="left"/>
              <w:rPr>
                <w:rFonts w:hint="eastAsia"/>
                <w:snapToGrid/>
                <w:spacing w:val="4"/>
                <w:sz w:val="20"/>
              </w:rPr>
            </w:pP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ascii="SimSun" w:hAnsi="SimSun" w:hint="eastAsia"/>
                <w:snapToGrid/>
                <w:spacing w:val="4"/>
                <w:sz w:val="20"/>
              </w:rPr>
            </w:pPr>
            <w:r>
              <w:rPr>
                <w:rFonts w:hint="eastAsia"/>
                <w:snapToGrid/>
                <w:spacing w:val="4"/>
                <w:sz w:val="20"/>
              </w:rPr>
              <w:t>(</w:t>
            </w:r>
            <w:r>
              <w:rPr>
                <w:snapToGrid/>
                <w:spacing w:val="4"/>
                <w:sz w:val="20"/>
              </w:rPr>
              <w:t>a</w:t>
            </w:r>
            <w:r>
              <w:rPr>
                <w:rFonts w:hint="eastAsia"/>
                <w:snapToGrid/>
                <w:spacing w:val="4"/>
                <w:sz w:val="20"/>
              </w:rPr>
              <w:t>)</w:t>
            </w:r>
            <w:r>
              <w:rPr>
                <w:snapToGrid/>
                <w:spacing w:val="4"/>
                <w:sz w:val="20"/>
              </w:rPr>
              <w:tab/>
            </w:r>
            <w:r>
              <w:rPr>
                <w:rFonts w:hint="eastAsia"/>
                <w:snapToGrid/>
                <w:spacing w:val="4"/>
                <w:sz w:val="20"/>
              </w:rPr>
              <w:t>相互磋商共同拟订有关劳动保护的规范性文书；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中央和地方行政部门、工会、经济行为实体</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ascii="SimSun" w:hAnsi="SimSun" w:hint="eastAsia"/>
                <w:snapToGrid/>
                <w:spacing w:val="4"/>
                <w:sz w:val="20"/>
              </w:rPr>
            </w:pPr>
            <w:r>
              <w:rPr>
                <w:rFonts w:hint="eastAsia"/>
                <w:snapToGrid/>
                <w:spacing w:val="4"/>
                <w:sz w:val="20"/>
              </w:rPr>
              <w:t>(</w:t>
            </w:r>
            <w:r>
              <w:rPr>
                <w:snapToGrid/>
                <w:spacing w:val="4"/>
                <w:sz w:val="20"/>
              </w:rPr>
              <w:t>b</w:t>
            </w:r>
            <w:r>
              <w:rPr>
                <w:rFonts w:hint="eastAsia"/>
                <w:snapToGrid/>
                <w:spacing w:val="4"/>
                <w:sz w:val="20"/>
              </w:rPr>
              <w:t>)</w:t>
            </w:r>
            <w:r>
              <w:rPr>
                <w:snapToGrid/>
                <w:spacing w:val="4"/>
                <w:sz w:val="20"/>
              </w:rPr>
              <w:tab/>
            </w:r>
            <w:r>
              <w:rPr>
                <w:rFonts w:hint="eastAsia"/>
                <w:snapToGrid/>
                <w:spacing w:val="4"/>
                <w:sz w:val="20"/>
              </w:rPr>
              <w:t>制定和统一实施关于经济单位劳动保护和规定措施实施情况的相互监查办法</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中央和地方行政部门、工会、经济行为实体</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hint="eastAsia"/>
                <w:snapToGrid/>
                <w:spacing w:val="4"/>
                <w:sz w:val="20"/>
              </w:rPr>
            </w:pPr>
            <w:r>
              <w:rPr>
                <w:rFonts w:hint="eastAsia"/>
                <w:snapToGrid/>
                <w:spacing w:val="4"/>
                <w:sz w:val="20"/>
              </w:rPr>
              <w:t>(</w:t>
            </w:r>
            <w:r>
              <w:rPr>
                <w:snapToGrid/>
                <w:spacing w:val="4"/>
                <w:sz w:val="20"/>
              </w:rPr>
              <w:t>c</w:t>
            </w:r>
            <w:r>
              <w:rPr>
                <w:rFonts w:hint="eastAsia"/>
                <w:snapToGrid/>
                <w:spacing w:val="4"/>
                <w:sz w:val="20"/>
              </w:rPr>
              <w:t>)</w:t>
            </w:r>
            <w:r>
              <w:rPr>
                <w:snapToGrid/>
                <w:spacing w:val="4"/>
                <w:sz w:val="20"/>
              </w:rPr>
              <w:tab/>
            </w:r>
            <w:r>
              <w:rPr>
                <w:rFonts w:hint="eastAsia"/>
                <w:snapToGrid/>
                <w:spacing w:val="4"/>
                <w:sz w:val="20"/>
              </w:rPr>
              <w:t>组织劳动保护措施联合会议；</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中央和地方行政部门、工会、经济行为实体</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r w:rsidR="00000000">
        <w:tblPrEx>
          <w:tblCellMar>
            <w:top w:w="0" w:type="dxa"/>
            <w:bottom w:w="0" w:type="dxa"/>
          </w:tblCellMar>
        </w:tblPrEx>
        <w:tc>
          <w:tcPr>
            <w:tcW w:w="2470" w:type="pct"/>
          </w:tcPr>
          <w:p w:rsidR="00000000" w:rsidRDefault="00000000">
            <w:pPr>
              <w:spacing w:after="120" w:line="280" w:lineRule="exact"/>
              <w:ind w:left="817" w:right="113" w:hanging="397"/>
              <w:rPr>
                <w:rFonts w:ascii="SimSun" w:hAnsi="SimSun" w:hint="eastAsia"/>
                <w:snapToGrid/>
                <w:spacing w:val="4"/>
                <w:sz w:val="20"/>
              </w:rPr>
            </w:pPr>
            <w:r>
              <w:rPr>
                <w:rFonts w:hint="eastAsia"/>
                <w:snapToGrid/>
                <w:spacing w:val="4"/>
                <w:sz w:val="20"/>
              </w:rPr>
              <w:t>(</w:t>
            </w:r>
            <w:r>
              <w:rPr>
                <w:snapToGrid/>
                <w:spacing w:val="4"/>
                <w:sz w:val="20"/>
              </w:rPr>
              <w:t>d</w:t>
            </w:r>
            <w:r>
              <w:rPr>
                <w:rFonts w:hint="eastAsia"/>
                <w:snapToGrid/>
                <w:spacing w:val="4"/>
                <w:sz w:val="20"/>
              </w:rPr>
              <w:t>)</w:t>
            </w:r>
            <w:r>
              <w:rPr>
                <w:snapToGrid/>
                <w:spacing w:val="4"/>
                <w:sz w:val="20"/>
              </w:rPr>
              <w:tab/>
            </w:r>
            <w:r>
              <w:rPr>
                <w:rFonts w:hint="eastAsia"/>
                <w:snapToGrid/>
                <w:spacing w:val="4"/>
                <w:sz w:val="20"/>
              </w:rPr>
              <w:t>向有代表性的劳工组织、政府和技术监察团以及工会提供支助，并加强劳动保护力度。</w:t>
            </w:r>
          </w:p>
        </w:tc>
        <w:tc>
          <w:tcPr>
            <w:tcW w:w="1506" w:type="pct"/>
          </w:tcPr>
          <w:p w:rsidR="00000000" w:rsidRDefault="00000000">
            <w:pPr>
              <w:pStyle w:val="cdL1"/>
              <w:widowControl/>
              <w:tabs>
                <w:tab w:val="clear" w:pos="510"/>
              </w:tabs>
              <w:spacing w:after="120" w:line="280" w:lineRule="exact"/>
              <w:ind w:left="113" w:right="113"/>
              <w:rPr>
                <w:rFonts w:hint="eastAsia"/>
                <w:spacing w:val="4"/>
                <w:sz w:val="20"/>
              </w:rPr>
            </w:pPr>
            <w:r>
              <w:rPr>
                <w:rFonts w:hint="eastAsia"/>
                <w:spacing w:val="4"/>
                <w:sz w:val="20"/>
              </w:rPr>
              <w:t>中央和地方行政部门、工会、经济行为实体</w:t>
            </w:r>
          </w:p>
        </w:tc>
        <w:tc>
          <w:tcPr>
            <w:tcW w:w="1024" w:type="pct"/>
          </w:tcPr>
          <w:p w:rsidR="00000000" w:rsidRDefault="00000000">
            <w:pPr>
              <w:spacing w:after="120" w:line="280" w:lineRule="exact"/>
              <w:ind w:left="113" w:right="113"/>
              <w:jc w:val="left"/>
              <w:rPr>
                <w:rFonts w:hint="eastAsia"/>
                <w:snapToGrid/>
                <w:spacing w:val="4"/>
                <w:sz w:val="20"/>
              </w:rPr>
            </w:pPr>
            <w:r>
              <w:rPr>
                <w:rFonts w:hint="eastAsia"/>
                <w:snapToGrid/>
                <w:spacing w:val="4"/>
                <w:sz w:val="20"/>
              </w:rPr>
              <w:t>1998-2001</w:t>
            </w:r>
            <w:r>
              <w:rPr>
                <w:rFonts w:hint="eastAsia"/>
                <w:snapToGrid/>
                <w:spacing w:val="4"/>
                <w:sz w:val="20"/>
              </w:rPr>
              <w:t>年</w:t>
            </w:r>
          </w:p>
        </w:tc>
      </w:tr>
    </w:tbl>
    <w:p w:rsidR="00000000" w:rsidRDefault="00000000">
      <w:pPr>
        <w:jc w:val="left"/>
      </w:pPr>
    </w:p>
    <w:p w:rsidR="00000000" w:rsidRDefault="00000000">
      <w:pPr>
        <w:rPr>
          <w:rFonts w:hint="eastAsia"/>
          <w:snapToGrid/>
        </w:rPr>
      </w:pPr>
      <w:r>
        <w:rPr>
          <w:rFonts w:hint="eastAsia"/>
          <w:snapToGrid/>
        </w:rPr>
        <w:tab/>
        <w:t xml:space="preserve">363.  </w:t>
      </w:r>
      <w:r>
        <w:rPr>
          <w:rFonts w:hint="eastAsia"/>
          <w:snapToGrid/>
        </w:rPr>
        <w:t>为了使多子女家庭享有额外社会保障，摩尔多瓦共和国政府于</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22</w:t>
      </w:r>
      <w:r>
        <w:rPr>
          <w:rFonts w:hint="eastAsia"/>
          <w:snapToGrid/>
        </w:rPr>
        <w:t>日通过了《关于多子女家庭社会保障问题第</w:t>
      </w:r>
      <w:r>
        <w:rPr>
          <w:rFonts w:hint="eastAsia"/>
          <w:snapToGrid/>
        </w:rPr>
        <w:t>118</w:t>
      </w:r>
      <w:r>
        <w:rPr>
          <w:rFonts w:hint="eastAsia"/>
          <w:snapToGrid/>
        </w:rPr>
        <w:t>号决定》。根据该决定，</w:t>
      </w:r>
    </w:p>
    <w:p w:rsidR="00000000" w:rsidRDefault="00000000">
      <w:pPr>
        <w:numPr>
          <w:ilvl w:val="0"/>
          <w:numId w:val="531"/>
        </w:numPr>
        <w:ind w:left="1531"/>
        <w:rPr>
          <w:rFonts w:hint="eastAsia"/>
          <w:snapToGrid/>
        </w:rPr>
      </w:pPr>
      <w:r>
        <w:rPr>
          <w:rFonts w:hint="eastAsia"/>
          <w:snapToGrid/>
        </w:rPr>
        <w:t>自</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1</w:t>
      </w:r>
      <w:r>
        <w:rPr>
          <w:rFonts w:hint="eastAsia"/>
          <w:snapToGrid/>
        </w:rPr>
        <w:t>日起，对需要照顾一或两名</w:t>
      </w:r>
      <w:r>
        <w:rPr>
          <w:rFonts w:hint="eastAsia"/>
          <w:snapToGrid/>
        </w:rPr>
        <w:t>14</w:t>
      </w:r>
      <w:r>
        <w:rPr>
          <w:rFonts w:hint="eastAsia"/>
          <w:snapToGrid/>
        </w:rPr>
        <w:t>岁以下子女的人的个人失业拨款额增加了</w:t>
      </w:r>
      <w:r>
        <w:rPr>
          <w:rFonts w:hint="eastAsia"/>
          <w:snapToGrid/>
        </w:rPr>
        <w:t>10%</w:t>
      </w:r>
      <w:r>
        <w:rPr>
          <w:rFonts w:hint="eastAsia"/>
          <w:snapToGrid/>
        </w:rPr>
        <w:t>，有三或三名以上</w:t>
      </w:r>
      <w:r>
        <w:rPr>
          <w:rFonts w:hint="eastAsia"/>
          <w:snapToGrid/>
        </w:rPr>
        <w:t>14</w:t>
      </w:r>
      <w:r>
        <w:rPr>
          <w:rFonts w:hint="eastAsia"/>
          <w:snapToGrid/>
        </w:rPr>
        <w:t>岁以下子女的家庭增加</w:t>
      </w:r>
      <w:r>
        <w:rPr>
          <w:rFonts w:hint="eastAsia"/>
          <w:snapToGrid/>
        </w:rPr>
        <w:t>20%</w:t>
      </w:r>
      <w:r>
        <w:rPr>
          <w:rFonts w:hint="eastAsia"/>
          <w:snapToGrid/>
        </w:rPr>
        <w:t>；</w:t>
      </w:r>
    </w:p>
    <w:p w:rsidR="00000000" w:rsidRDefault="00000000">
      <w:pPr>
        <w:numPr>
          <w:ilvl w:val="0"/>
          <w:numId w:val="531"/>
        </w:numPr>
        <w:ind w:left="1531"/>
        <w:rPr>
          <w:rFonts w:hint="eastAsia"/>
          <w:snapToGrid/>
        </w:rPr>
      </w:pPr>
      <w:r>
        <w:rPr>
          <w:rFonts w:hint="eastAsia"/>
          <w:snapToGrid/>
        </w:rPr>
        <w:t>自</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1</w:t>
      </w:r>
      <w:r>
        <w:rPr>
          <w:rFonts w:hint="eastAsia"/>
          <w:snapToGrid/>
        </w:rPr>
        <w:t>日起发放以下补偿；</w:t>
      </w:r>
    </w:p>
    <w:p w:rsidR="00000000" w:rsidRDefault="00000000">
      <w:pPr>
        <w:numPr>
          <w:ilvl w:val="1"/>
          <w:numId w:val="531"/>
        </w:numPr>
        <w:ind w:left="2051"/>
        <w:rPr>
          <w:rFonts w:hint="eastAsia"/>
          <w:snapToGrid/>
        </w:rPr>
      </w:pPr>
      <w:r>
        <w:rPr>
          <w:rFonts w:hint="eastAsia"/>
          <w:snapToGrid/>
        </w:rPr>
        <w:t>其最长为</w:t>
      </w:r>
      <w:r>
        <w:rPr>
          <w:rFonts w:hint="eastAsia"/>
          <w:snapToGrid/>
        </w:rPr>
        <w:t>3</w:t>
      </w:r>
      <w:r>
        <w:rPr>
          <w:rFonts w:hint="eastAsia"/>
          <w:snapToGrid/>
        </w:rPr>
        <w:t>年期限的产假或育儿假期满的妇女可享有领取失业补偿的权利。法律保障凡在其休假期满后</w:t>
      </w:r>
      <w:r>
        <w:rPr>
          <w:rFonts w:hint="eastAsia"/>
          <w:snapToGrid/>
        </w:rPr>
        <w:t>30</w:t>
      </w:r>
      <w:r>
        <w:rPr>
          <w:rFonts w:hint="eastAsia"/>
          <w:snapToGrid/>
        </w:rPr>
        <w:t>天内在职业介绍所作过登记的失业妇女，均可享有此项权利；</w:t>
      </w:r>
    </w:p>
    <w:p w:rsidR="00000000" w:rsidRDefault="00000000">
      <w:pPr>
        <w:numPr>
          <w:ilvl w:val="1"/>
          <w:numId w:val="531"/>
        </w:numPr>
        <w:ind w:left="2051"/>
        <w:rPr>
          <w:rFonts w:hint="eastAsia"/>
          <w:snapToGrid/>
        </w:rPr>
      </w:pPr>
      <w:r>
        <w:rPr>
          <w:rFonts w:hint="eastAsia"/>
          <w:snapToGrid/>
        </w:rPr>
        <w:t>多子女家庭可享有月补偿，以便支付燃料费用。只有有四或四名以上子女的家庭方可领取这项补偿，补偿金额为每名子女</w:t>
      </w:r>
      <w:r>
        <w:rPr>
          <w:rFonts w:hint="eastAsia"/>
          <w:snapToGrid/>
        </w:rPr>
        <w:t>2.5</w:t>
      </w:r>
      <w:r>
        <w:rPr>
          <w:rFonts w:hint="eastAsia"/>
          <w:snapToGrid/>
        </w:rPr>
        <w:t>列伊。</w:t>
      </w:r>
    </w:p>
    <w:p w:rsidR="00000000" w:rsidRDefault="00000000">
      <w:pPr>
        <w:rPr>
          <w:rFonts w:hint="eastAsia"/>
          <w:snapToGrid/>
        </w:rPr>
      </w:pPr>
      <w:r>
        <w:rPr>
          <w:rFonts w:hint="eastAsia"/>
          <w:snapToGrid/>
        </w:rPr>
        <w:t>为了加强对多子女家庭的社会保障，政府于</w:t>
      </w:r>
      <w:r>
        <w:rPr>
          <w:rFonts w:hint="eastAsia"/>
          <w:snapToGrid/>
        </w:rPr>
        <w:t>1997</w:t>
      </w:r>
      <w:r>
        <w:rPr>
          <w:rFonts w:hint="eastAsia"/>
          <w:snapToGrid/>
        </w:rPr>
        <w:t>年</w:t>
      </w:r>
      <w:r>
        <w:rPr>
          <w:rFonts w:hint="eastAsia"/>
          <w:snapToGrid/>
        </w:rPr>
        <w:t>5</w:t>
      </w:r>
      <w:r>
        <w:rPr>
          <w:rFonts w:hint="eastAsia"/>
          <w:snapToGrid/>
        </w:rPr>
        <w:t>月</w:t>
      </w:r>
      <w:r>
        <w:rPr>
          <w:rFonts w:hint="eastAsia"/>
          <w:snapToGrid/>
        </w:rPr>
        <w:t>15</w:t>
      </w:r>
      <w:r>
        <w:rPr>
          <w:rFonts w:hint="eastAsia"/>
          <w:snapToGrid/>
        </w:rPr>
        <w:t>日通过了《关于对多子女家庭的补充社会保障的第</w:t>
      </w:r>
      <w:r>
        <w:rPr>
          <w:rFonts w:hint="eastAsia"/>
          <w:snapToGrid/>
        </w:rPr>
        <w:t>456</w:t>
      </w:r>
      <w:r>
        <w:rPr>
          <w:rFonts w:hint="eastAsia"/>
          <w:snapToGrid/>
        </w:rPr>
        <w:t>号决定》。</w:t>
      </w:r>
    </w:p>
    <w:p w:rsidR="00000000" w:rsidRDefault="00000000">
      <w:pPr>
        <w:rPr>
          <w:rFonts w:hint="eastAsia"/>
          <w:snapToGrid/>
        </w:rPr>
      </w:pPr>
      <w:r>
        <w:rPr>
          <w:rFonts w:hint="eastAsia"/>
          <w:snapToGrid/>
        </w:rPr>
        <w:tab/>
        <w:t xml:space="preserve">364.  </w:t>
      </w:r>
      <w:r>
        <w:rPr>
          <w:rFonts w:hint="eastAsia"/>
          <w:snapToGrid/>
        </w:rPr>
        <w:t>自</w:t>
      </w:r>
      <w:r>
        <w:rPr>
          <w:rFonts w:hint="eastAsia"/>
          <w:snapToGrid/>
        </w:rPr>
        <w:t>1997</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日起，多子女家庭可领取以下补偿金：</w:t>
      </w:r>
    </w:p>
    <w:p w:rsidR="00000000" w:rsidRDefault="00000000">
      <w:pPr>
        <w:numPr>
          <w:ilvl w:val="0"/>
          <w:numId w:val="532"/>
        </w:numPr>
        <w:rPr>
          <w:rFonts w:hint="eastAsia"/>
          <w:snapToGrid/>
        </w:rPr>
      </w:pPr>
      <w:r>
        <w:rPr>
          <w:rFonts w:hint="eastAsia"/>
          <w:snapToGrid/>
        </w:rPr>
        <w:t>第一个孩子出生时可一次性领取相当于最低工资</w:t>
      </w:r>
      <w:r>
        <w:rPr>
          <w:rFonts w:hint="eastAsia"/>
          <w:snapToGrid/>
        </w:rPr>
        <w:t>8</w:t>
      </w:r>
      <w:r>
        <w:rPr>
          <w:rFonts w:hint="eastAsia"/>
          <w:snapToGrid/>
        </w:rPr>
        <w:t>倍的补偿金；</w:t>
      </w:r>
    </w:p>
    <w:p w:rsidR="00000000" w:rsidRDefault="00000000">
      <w:pPr>
        <w:numPr>
          <w:ilvl w:val="0"/>
          <w:numId w:val="532"/>
        </w:numPr>
        <w:rPr>
          <w:rFonts w:hint="eastAsia"/>
          <w:snapToGrid/>
        </w:rPr>
      </w:pPr>
      <w:r>
        <w:rPr>
          <w:rFonts w:hint="eastAsia"/>
          <w:snapToGrid/>
        </w:rPr>
        <w:t>以后每个孩子出生时可一次性领取相当于最低工资</w:t>
      </w:r>
      <w:r>
        <w:rPr>
          <w:rFonts w:hint="eastAsia"/>
          <w:snapToGrid/>
        </w:rPr>
        <w:t>6</w:t>
      </w:r>
      <w:r>
        <w:rPr>
          <w:rFonts w:hint="eastAsia"/>
          <w:snapToGrid/>
        </w:rPr>
        <w:t>倍的补偿金；</w:t>
      </w:r>
    </w:p>
    <w:p w:rsidR="00000000" w:rsidRDefault="00000000">
      <w:pPr>
        <w:numPr>
          <w:ilvl w:val="0"/>
          <w:numId w:val="532"/>
        </w:numPr>
        <w:rPr>
          <w:rFonts w:hint="eastAsia"/>
          <w:snapToGrid/>
        </w:rPr>
      </w:pPr>
      <w:r>
        <w:rPr>
          <w:rFonts w:hint="eastAsia"/>
          <w:snapToGrid/>
        </w:rPr>
        <w:t>子女养育到</w:t>
      </w:r>
      <w:r>
        <w:rPr>
          <w:rFonts w:hint="eastAsia"/>
          <w:snapToGrid/>
        </w:rPr>
        <w:t>1</w:t>
      </w:r>
      <w:r>
        <w:rPr>
          <w:rFonts w:hint="eastAsia"/>
          <w:snapToGrid/>
        </w:rPr>
        <w:t>岁半之前每月领取相当于最底工资</w:t>
      </w:r>
      <w:r>
        <w:rPr>
          <w:rFonts w:hint="eastAsia"/>
          <w:snapToGrid/>
        </w:rPr>
        <w:t>1.8</w:t>
      </w:r>
      <w:r>
        <w:rPr>
          <w:rFonts w:hint="eastAsia"/>
          <w:snapToGrid/>
        </w:rPr>
        <w:t>倍的补偿金；</w:t>
      </w:r>
    </w:p>
    <w:p w:rsidR="00000000" w:rsidRDefault="00000000">
      <w:pPr>
        <w:numPr>
          <w:ilvl w:val="0"/>
          <w:numId w:val="532"/>
        </w:numPr>
        <w:rPr>
          <w:rFonts w:hint="eastAsia"/>
          <w:snapToGrid/>
        </w:rPr>
      </w:pPr>
      <w:r>
        <w:rPr>
          <w:rFonts w:hint="eastAsia"/>
          <w:snapToGrid/>
        </w:rPr>
        <w:t>子女在</w:t>
      </w:r>
      <w:r>
        <w:rPr>
          <w:rFonts w:hint="eastAsia"/>
          <w:snapToGrid/>
        </w:rPr>
        <w:t>1</w:t>
      </w:r>
      <w:r>
        <w:rPr>
          <w:rFonts w:hint="eastAsia"/>
          <w:snapToGrid/>
        </w:rPr>
        <w:t>岁半至</w:t>
      </w:r>
      <w:r>
        <w:rPr>
          <w:rFonts w:hint="eastAsia"/>
          <w:snapToGrid/>
        </w:rPr>
        <w:t>16</w:t>
      </w:r>
      <w:r>
        <w:rPr>
          <w:rFonts w:hint="eastAsia"/>
          <w:snapToGrid/>
        </w:rPr>
        <w:t>岁，包括所监护的子女</w:t>
      </w:r>
      <w:r>
        <w:rPr>
          <w:rFonts w:hint="eastAsia"/>
          <w:snapToGrid/>
        </w:rPr>
        <w:t>(</w:t>
      </w:r>
      <w:r>
        <w:rPr>
          <w:rFonts w:hint="eastAsia"/>
          <w:snapToGrid/>
        </w:rPr>
        <w:t>正在上小学、中学或高中</w:t>
      </w:r>
      <w:r>
        <w:rPr>
          <w:rFonts w:hint="eastAsia"/>
          <w:snapToGrid/>
        </w:rPr>
        <w:t>)</w:t>
      </w:r>
      <w:r>
        <w:rPr>
          <w:rFonts w:hint="eastAsia"/>
          <w:snapToGrid/>
        </w:rPr>
        <w:t>的家庭，如果人均月收入总额低于最低收入，每月可领取相当于最低工资</w:t>
      </w:r>
      <w:r>
        <w:rPr>
          <w:rFonts w:hint="eastAsia"/>
          <w:snapToGrid/>
        </w:rPr>
        <w:t>90%</w:t>
      </w:r>
      <w:r>
        <w:rPr>
          <w:rFonts w:hint="eastAsia"/>
          <w:snapToGrid/>
        </w:rPr>
        <w:t>的补偿金；有三或三名以上子女的家庭可领取相当于最低工资</w:t>
      </w:r>
      <w:r>
        <w:rPr>
          <w:rFonts w:hint="eastAsia"/>
          <w:snapToGrid/>
        </w:rPr>
        <w:t>1.5</w:t>
      </w:r>
      <w:r>
        <w:rPr>
          <w:rFonts w:hint="eastAsia"/>
          <w:snapToGrid/>
        </w:rPr>
        <w:t>倍的补偿金；</w:t>
      </w:r>
    </w:p>
    <w:p w:rsidR="00000000" w:rsidRDefault="00000000">
      <w:pPr>
        <w:numPr>
          <w:ilvl w:val="0"/>
          <w:numId w:val="532"/>
        </w:numPr>
        <w:rPr>
          <w:rFonts w:hint="eastAsia"/>
          <w:snapToGrid/>
        </w:rPr>
      </w:pPr>
      <w:r>
        <w:rPr>
          <w:rFonts w:hint="eastAsia"/>
          <w:snapToGrid/>
        </w:rPr>
        <w:t>抚养一名</w:t>
      </w:r>
      <w:r>
        <w:rPr>
          <w:rFonts w:hint="eastAsia"/>
          <w:snapToGrid/>
        </w:rPr>
        <w:t>1</w:t>
      </w:r>
      <w:r>
        <w:rPr>
          <w:rFonts w:hint="eastAsia"/>
          <w:snapToGrid/>
        </w:rPr>
        <w:t>岁半至</w:t>
      </w:r>
      <w:r>
        <w:rPr>
          <w:rFonts w:hint="eastAsia"/>
          <w:snapToGrid/>
        </w:rPr>
        <w:t>16</w:t>
      </w:r>
      <w:r>
        <w:rPr>
          <w:rFonts w:hint="eastAsia"/>
          <w:snapToGrid/>
        </w:rPr>
        <w:t>岁的子女，包括所监护的子女</w:t>
      </w:r>
      <w:r>
        <w:rPr>
          <w:rFonts w:hint="eastAsia"/>
          <w:snapToGrid/>
        </w:rPr>
        <w:t>(</w:t>
      </w:r>
      <w:r>
        <w:rPr>
          <w:rFonts w:hint="eastAsia"/>
          <w:snapToGrid/>
        </w:rPr>
        <w:t>正在上小学、中学或高中</w:t>
      </w:r>
      <w:r>
        <w:rPr>
          <w:rFonts w:hint="eastAsia"/>
          <w:snapToGrid/>
        </w:rPr>
        <w:t>)</w:t>
      </w:r>
      <w:r>
        <w:rPr>
          <w:rFonts w:hint="eastAsia"/>
          <w:snapToGrid/>
        </w:rPr>
        <w:t>的单身母亲，如果其子女不享有现行社会保障制度所规定的其他补偿金和付款，每月可领取相当于最低工资</w:t>
      </w:r>
      <w:r>
        <w:rPr>
          <w:rFonts w:hint="eastAsia"/>
          <w:snapToGrid/>
        </w:rPr>
        <w:t>90%</w:t>
      </w:r>
      <w:r>
        <w:rPr>
          <w:rFonts w:hint="eastAsia"/>
          <w:snapToGrid/>
        </w:rPr>
        <w:t>的补偿金。此项补偿金发放给人均月收入总额低于最低工资</w:t>
      </w:r>
      <w:r>
        <w:rPr>
          <w:rFonts w:hint="eastAsia"/>
          <w:snapToGrid/>
        </w:rPr>
        <w:t>3</w:t>
      </w:r>
      <w:r>
        <w:rPr>
          <w:rFonts w:hint="eastAsia"/>
          <w:snapToGrid/>
        </w:rPr>
        <w:t>倍的家庭。</w:t>
      </w:r>
    </w:p>
    <w:p w:rsidR="00000000" w:rsidRDefault="00000000">
      <w:pPr>
        <w:rPr>
          <w:rFonts w:hint="eastAsia"/>
          <w:snapToGrid/>
        </w:rPr>
      </w:pPr>
      <w:r>
        <w:rPr>
          <w:rFonts w:hint="eastAsia"/>
          <w:snapToGrid/>
        </w:rPr>
        <w:tab/>
        <w:t xml:space="preserve">365.  </w:t>
      </w:r>
      <w:r>
        <w:rPr>
          <w:rFonts w:hint="eastAsia"/>
          <w:snapToGrid/>
        </w:rPr>
        <w:t>补偿金数额确定的依据是政府于</w:t>
      </w:r>
      <w:r>
        <w:rPr>
          <w:rFonts w:hint="eastAsia"/>
          <w:snapToGrid/>
        </w:rPr>
        <w:t>1996</w:t>
      </w:r>
      <w:r>
        <w:rPr>
          <w:rFonts w:hint="eastAsia"/>
          <w:snapToGrid/>
        </w:rPr>
        <w:t>年</w:t>
      </w:r>
      <w:r>
        <w:rPr>
          <w:rFonts w:hint="eastAsia"/>
          <w:snapToGrid/>
        </w:rPr>
        <w:t>3</w:t>
      </w:r>
      <w:r>
        <w:rPr>
          <w:rFonts w:hint="eastAsia"/>
          <w:snapToGrid/>
        </w:rPr>
        <w:t>月</w:t>
      </w:r>
      <w:r>
        <w:rPr>
          <w:rFonts w:hint="eastAsia"/>
          <w:snapToGrid/>
        </w:rPr>
        <w:t>1</w:t>
      </w:r>
      <w:r>
        <w:rPr>
          <w:rFonts w:hint="eastAsia"/>
          <w:snapToGrid/>
        </w:rPr>
        <w:t>日通过的《关于收入指数化的第</w:t>
      </w:r>
      <w:r>
        <w:rPr>
          <w:rFonts w:hint="eastAsia"/>
          <w:snapToGrid/>
        </w:rPr>
        <w:t>122</w:t>
      </w:r>
      <w:r>
        <w:rPr>
          <w:rFonts w:hint="eastAsia"/>
          <w:snapToGrid/>
        </w:rPr>
        <w:t>号决定》第</w:t>
      </w:r>
      <w:r>
        <w:rPr>
          <w:rFonts w:hint="eastAsia"/>
          <w:snapToGrid/>
        </w:rPr>
        <w:t>5</w:t>
      </w:r>
      <w:r>
        <w:rPr>
          <w:rFonts w:hint="eastAsia"/>
          <w:snapToGrid/>
        </w:rPr>
        <w:t>款。提供该决定所规定的补偿金的资金由社会基金拨付。该决定核可了关于确定和支付对多子女家庭的补偿金的《条例》。该《条例》就领取补偿金的方式、数额和条件作出规定。</w:t>
      </w:r>
    </w:p>
    <w:p w:rsidR="00000000" w:rsidRDefault="00000000">
      <w:pPr>
        <w:rPr>
          <w:rFonts w:hint="eastAsia"/>
          <w:snapToGrid/>
        </w:rPr>
      </w:pPr>
      <w:r>
        <w:rPr>
          <w:rFonts w:hint="eastAsia"/>
          <w:snapToGrid/>
        </w:rPr>
        <w:tab/>
        <w:t xml:space="preserve">366.  </w:t>
      </w:r>
      <w:r>
        <w:rPr>
          <w:rFonts w:hint="eastAsia"/>
          <w:snapToGrid/>
        </w:rPr>
        <w:t>上述补偿金根据以下情况发放：</w:t>
      </w:r>
    </w:p>
    <w:p w:rsidR="00000000" w:rsidRDefault="00000000">
      <w:pPr>
        <w:numPr>
          <w:ilvl w:val="0"/>
          <w:numId w:val="533"/>
        </w:numPr>
        <w:rPr>
          <w:rFonts w:hint="eastAsia"/>
          <w:snapToGrid/>
        </w:rPr>
      </w:pPr>
      <w:r>
        <w:rPr>
          <w:rFonts w:hint="eastAsia"/>
          <w:snapToGrid/>
        </w:rPr>
        <w:t>第一个孩子和以后出生的每个子女出生后即在国家出生、婚姻和死亡登记处作过登记者，即可领取补偿金。生育双胞胎或多胞胎者，每个子女均可享有补偿金。死胎婴儿不享有补偿金。在子女出生六个月内提出要求者，方可一次性领取生育补偿金。如果以后有充分的理由，也可一次性领取补偿金；</w:t>
      </w:r>
    </w:p>
    <w:p w:rsidR="00000000" w:rsidRDefault="00000000">
      <w:pPr>
        <w:numPr>
          <w:ilvl w:val="0"/>
          <w:numId w:val="533"/>
        </w:numPr>
        <w:rPr>
          <w:rFonts w:hint="eastAsia"/>
          <w:snapToGrid/>
        </w:rPr>
      </w:pPr>
      <w:r>
        <w:rPr>
          <w:rFonts w:hint="eastAsia"/>
          <w:snapToGrid/>
        </w:rPr>
        <w:t>如果是多胎产，每个子女每月享有儿童保育补偿金。补偿金在最长为</w:t>
      </w:r>
      <w:r>
        <w:rPr>
          <w:rFonts w:hint="eastAsia"/>
          <w:snapToGrid/>
        </w:rPr>
        <w:t>1</w:t>
      </w:r>
      <w:r>
        <w:rPr>
          <w:rFonts w:hint="eastAsia"/>
          <w:snapToGrid/>
        </w:rPr>
        <w:t>年半的产假结束后发放。如果儿童保育假享受人是父亲、祖父、祖母或其他就业亲属，则补偿金的发放问题由其工作单位根据现行法律来确定。如果母亲在儿童保育假结束之前就业，则终止发放补偿金。这些规定对做兼职工作或从事家庭工作的母亲没有影响。如果母亲不工作，社会保障机构亦发放儿童保育补偿金；</w:t>
      </w:r>
    </w:p>
    <w:p w:rsidR="00000000" w:rsidRDefault="00000000">
      <w:pPr>
        <w:numPr>
          <w:ilvl w:val="0"/>
          <w:numId w:val="533"/>
        </w:numPr>
        <w:rPr>
          <w:rFonts w:hint="eastAsia"/>
          <w:snapToGrid/>
        </w:rPr>
      </w:pPr>
      <w:r>
        <w:rPr>
          <w:rFonts w:hint="eastAsia"/>
          <w:snapToGrid/>
        </w:rPr>
        <w:t>自提出要求当月起，按月发放补偿金直到子女年满</w:t>
      </w:r>
      <w:r>
        <w:rPr>
          <w:rFonts w:hint="eastAsia"/>
          <w:snapToGrid/>
        </w:rPr>
        <w:t>16</w:t>
      </w:r>
      <w:r>
        <w:rPr>
          <w:rFonts w:hint="eastAsia"/>
          <w:snapToGrid/>
        </w:rPr>
        <w:t>岁；</w:t>
      </w:r>
    </w:p>
    <w:p w:rsidR="00000000" w:rsidRDefault="00000000">
      <w:pPr>
        <w:numPr>
          <w:ilvl w:val="0"/>
          <w:numId w:val="533"/>
        </w:numPr>
        <w:rPr>
          <w:rFonts w:hint="eastAsia"/>
          <w:snapToGrid/>
        </w:rPr>
      </w:pPr>
      <w:r>
        <w:rPr>
          <w:rFonts w:hint="eastAsia"/>
          <w:snapToGrid/>
        </w:rPr>
        <w:t>单身母亲如子女不享受现行社会保障制度规定的其他补偿金和付款，以及家庭月收入总额不超过最低工资的</w:t>
      </w:r>
      <w:r>
        <w:rPr>
          <w:rFonts w:hint="eastAsia"/>
          <w:snapToGrid/>
        </w:rPr>
        <w:t>3</w:t>
      </w:r>
      <w:r>
        <w:rPr>
          <w:rFonts w:hint="eastAsia"/>
          <w:snapToGrid/>
        </w:rPr>
        <w:t>倍，即可按月领取补偿金。补偿金自提出要求当月起发放。未婚妇女如收养了孩子</w:t>
      </w:r>
      <w:r>
        <w:rPr>
          <w:rFonts w:hint="eastAsia"/>
          <w:snapToGrid/>
        </w:rPr>
        <w:t>(</w:t>
      </w:r>
      <w:r>
        <w:rPr>
          <w:rFonts w:hint="eastAsia"/>
          <w:snapToGrid/>
        </w:rPr>
        <w:t>但需在收养文件签署之后</w:t>
      </w:r>
      <w:r>
        <w:rPr>
          <w:rFonts w:hint="eastAsia"/>
          <w:snapToGrid/>
        </w:rPr>
        <w:t>)</w:t>
      </w:r>
      <w:r>
        <w:rPr>
          <w:rFonts w:hint="eastAsia"/>
          <w:snapToGrid/>
        </w:rPr>
        <w:t>，也可享有单身母亲补偿金。如果单身母亲结婚，但其丈夫没有收养该孩子，该母亲则依然享有补偿金权利；反之，则取消此项权利。</w:t>
      </w:r>
    </w:p>
    <w:p w:rsidR="00000000" w:rsidRDefault="00000000">
      <w:pPr>
        <w:rPr>
          <w:rFonts w:hint="eastAsia"/>
          <w:snapToGrid/>
        </w:rPr>
      </w:pPr>
      <w:r>
        <w:rPr>
          <w:rFonts w:hint="eastAsia"/>
          <w:snapToGrid/>
        </w:rPr>
        <w:tab/>
        <w:t xml:space="preserve">367.  </w:t>
      </w:r>
      <w:r>
        <w:rPr>
          <w:rFonts w:hint="eastAsia"/>
          <w:snapToGrid/>
        </w:rPr>
        <w:t>议会于</w:t>
      </w:r>
      <w:r>
        <w:rPr>
          <w:rFonts w:hint="eastAsia"/>
          <w:snapToGrid/>
        </w:rPr>
        <w:t>1999</w:t>
      </w:r>
      <w:r>
        <w:rPr>
          <w:rFonts w:hint="eastAsia"/>
          <w:snapToGrid/>
        </w:rPr>
        <w:t>年</w:t>
      </w:r>
      <w:r>
        <w:rPr>
          <w:rFonts w:hint="eastAsia"/>
          <w:snapToGrid/>
        </w:rPr>
        <w:t>7</w:t>
      </w:r>
      <w:r>
        <w:rPr>
          <w:rFonts w:hint="eastAsia"/>
          <w:snapToGrid/>
        </w:rPr>
        <w:t>月</w:t>
      </w:r>
      <w:r>
        <w:rPr>
          <w:snapToGrid/>
        </w:rPr>
        <w:t>1</w:t>
      </w:r>
      <w:r>
        <w:rPr>
          <w:rFonts w:hint="eastAsia"/>
          <w:snapToGrid/>
        </w:rPr>
        <w:t>4</w:t>
      </w:r>
      <w:r>
        <w:rPr>
          <w:rFonts w:hint="eastAsia"/>
          <w:snapToGrid/>
        </w:rPr>
        <w:t>日通过《关于对某类公民的国家社会拨款的第</w:t>
      </w:r>
      <w:r>
        <w:rPr>
          <w:rFonts w:hint="eastAsia"/>
          <w:snapToGrid/>
        </w:rPr>
        <w:t>499</w:t>
      </w:r>
      <w:r>
        <w:rPr>
          <w:rFonts w:hint="eastAsia"/>
          <w:snapToGrid/>
        </w:rPr>
        <w:t>号法》。根据该法第</w:t>
      </w:r>
      <w:r>
        <w:rPr>
          <w:rFonts w:hint="eastAsia"/>
          <w:snapToGrid/>
        </w:rPr>
        <w:t>2</w:t>
      </w:r>
      <w:r>
        <w:rPr>
          <w:rFonts w:hint="eastAsia"/>
          <w:snapToGrid/>
        </w:rPr>
        <w:t>条，不符合领取养恤金的条件并且没有收入保证者，但若居住在摩尔多瓦共和国，即有权利享有拨款。以下类别人员也可享有拨款：</w:t>
      </w:r>
    </w:p>
    <w:p w:rsidR="00000000" w:rsidRDefault="00000000">
      <w:pPr>
        <w:numPr>
          <w:ilvl w:val="0"/>
          <w:numId w:val="534"/>
        </w:numPr>
        <w:rPr>
          <w:rFonts w:hint="eastAsia"/>
          <w:snapToGrid/>
        </w:rPr>
      </w:pPr>
      <w:r>
        <w:rPr>
          <w:rFonts w:hint="eastAsia"/>
          <w:snapToGrid/>
        </w:rPr>
        <w:t>一等、二等和三等残疾人；</w:t>
      </w:r>
    </w:p>
    <w:p w:rsidR="00000000" w:rsidRDefault="00000000">
      <w:pPr>
        <w:numPr>
          <w:ilvl w:val="0"/>
          <w:numId w:val="534"/>
        </w:numPr>
        <w:rPr>
          <w:rFonts w:hint="eastAsia"/>
          <w:snapToGrid/>
        </w:rPr>
      </w:pPr>
      <w:r>
        <w:rPr>
          <w:rFonts w:hint="eastAsia"/>
          <w:snapToGrid/>
        </w:rPr>
        <w:t>从小患有残疾的一等、二等和三等残疾人；</w:t>
      </w:r>
    </w:p>
    <w:p w:rsidR="00000000" w:rsidRDefault="00000000">
      <w:pPr>
        <w:numPr>
          <w:ilvl w:val="0"/>
          <w:numId w:val="534"/>
        </w:numPr>
        <w:rPr>
          <w:rFonts w:hint="eastAsia"/>
          <w:snapToGrid/>
        </w:rPr>
      </w:pPr>
      <w:r>
        <w:rPr>
          <w:rFonts w:hint="eastAsia"/>
          <w:snapToGrid/>
        </w:rPr>
        <w:t>16</w:t>
      </w:r>
      <w:r>
        <w:rPr>
          <w:rFonts w:hint="eastAsia"/>
          <w:snapToGrid/>
        </w:rPr>
        <w:t>岁以下的一等、二等和三等残疾儿童；</w:t>
      </w:r>
    </w:p>
    <w:p w:rsidR="00000000" w:rsidRDefault="00000000">
      <w:pPr>
        <w:numPr>
          <w:ilvl w:val="0"/>
          <w:numId w:val="534"/>
        </w:numPr>
        <w:rPr>
          <w:rFonts w:hint="eastAsia"/>
          <w:snapToGrid/>
        </w:rPr>
      </w:pPr>
      <w:r>
        <w:rPr>
          <w:rFonts w:hint="eastAsia"/>
          <w:snapToGrid/>
        </w:rPr>
        <w:t>孤儿；</w:t>
      </w:r>
    </w:p>
    <w:p w:rsidR="00000000" w:rsidRDefault="00000000">
      <w:pPr>
        <w:numPr>
          <w:ilvl w:val="0"/>
          <w:numId w:val="534"/>
        </w:numPr>
        <w:rPr>
          <w:rFonts w:hint="eastAsia"/>
          <w:snapToGrid/>
        </w:rPr>
      </w:pPr>
      <w:r>
        <w:rPr>
          <w:rFonts w:hint="eastAsia"/>
          <w:snapToGrid/>
        </w:rPr>
        <w:t>已到退休年龄的人</w:t>
      </w:r>
      <w:r>
        <w:rPr>
          <w:rFonts w:hint="eastAsia"/>
          <w:snapToGrid/>
        </w:rPr>
        <w:t>(</w:t>
      </w:r>
      <w:r>
        <w:rPr>
          <w:rFonts w:hint="eastAsia"/>
          <w:snapToGrid/>
        </w:rPr>
        <w:t>第</w:t>
      </w:r>
      <w:r>
        <w:rPr>
          <w:rFonts w:hint="eastAsia"/>
          <w:snapToGrid/>
        </w:rPr>
        <w:t>3</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rFonts w:hint="eastAsia"/>
          <w:snapToGrid/>
        </w:rPr>
        <w:t>拨款金额由地方社会保障机构确定并支付。因此，依法确定的拨款从国家社会保险预算中拨付</w:t>
      </w:r>
      <w:r>
        <w:rPr>
          <w:rFonts w:hint="eastAsia"/>
          <w:snapToGrid/>
        </w:rPr>
        <w:t>(</w:t>
      </w:r>
      <w:r>
        <w:rPr>
          <w:rFonts w:hint="eastAsia"/>
          <w:snapToGrid/>
        </w:rPr>
        <w:t>第</w:t>
      </w:r>
      <w:r>
        <w:rPr>
          <w:rFonts w:hint="eastAsia"/>
          <w:snapToGrid/>
        </w:rPr>
        <w:t>4</w:t>
      </w:r>
      <w:r>
        <w:rPr>
          <w:rFonts w:hint="eastAsia"/>
          <w:snapToGrid/>
        </w:rPr>
        <w:t>和第</w:t>
      </w:r>
      <w:r>
        <w:rPr>
          <w:rFonts w:hint="eastAsia"/>
          <w:snapToGrid/>
        </w:rPr>
        <w:t>5</w:t>
      </w:r>
      <w:r>
        <w:rPr>
          <w:rFonts w:hint="eastAsia"/>
          <w:snapToGrid/>
        </w:rPr>
        <w:t>条</w:t>
      </w:r>
      <w:r>
        <w:rPr>
          <w:rFonts w:hint="eastAsia"/>
          <w:snapToGrid/>
        </w:rPr>
        <w:t>)</w:t>
      </w:r>
      <w:r>
        <w:rPr>
          <w:rFonts w:hint="eastAsia"/>
          <w:snapToGrid/>
        </w:rPr>
        <w:t>。</w:t>
      </w:r>
    </w:p>
    <w:p w:rsidR="00000000" w:rsidRDefault="00000000">
      <w:pPr>
        <w:rPr>
          <w:snapToGrid/>
        </w:rPr>
      </w:pPr>
      <w:r>
        <w:rPr>
          <w:rFonts w:hint="eastAsia"/>
          <w:snapToGrid/>
        </w:rPr>
        <w:tab/>
        <w:t xml:space="preserve">368.  </w:t>
      </w:r>
      <w:r>
        <w:rPr>
          <w:rFonts w:hint="eastAsia"/>
          <w:snapToGrid/>
        </w:rPr>
        <w:t>上述法律第二章规定了拨款金额和拨款的条件。一等、二等和三等残疾人、从小患有残疾者以及残疾儿童，凡不享有国家社会养恤金权利，没有收入保证以及完全靠国家支助者，均可享有此项拨款。医疗检查委员会决定残疾程度和残疾开始的时间。</w:t>
      </w:r>
      <w:r>
        <w:rPr>
          <w:rFonts w:hint="eastAsia"/>
          <w:snapToGrid/>
        </w:rPr>
        <w:t>16</w:t>
      </w:r>
      <w:r>
        <w:rPr>
          <w:rFonts w:hint="eastAsia"/>
          <w:snapToGrid/>
        </w:rPr>
        <w:t>岁以下的儿童，其残疾程度和残疾开始的时间由咨询卫生委员会来确定。拨款金额按与最低退休养恤金相应的以下百分比来确定：</w:t>
      </w:r>
    </w:p>
    <w:p w:rsidR="00000000" w:rsidRDefault="00000000">
      <w:pPr>
        <w:numPr>
          <w:ilvl w:val="0"/>
          <w:numId w:val="535"/>
        </w:numPr>
        <w:rPr>
          <w:rFonts w:hint="eastAsia"/>
          <w:snapToGrid/>
        </w:rPr>
      </w:pPr>
      <w:r>
        <w:rPr>
          <w:rFonts w:hint="eastAsia"/>
          <w:snapToGrid/>
        </w:rPr>
        <w:t>一等残疾人、从小患有残疾者和</w:t>
      </w:r>
      <w:r>
        <w:rPr>
          <w:rFonts w:hint="eastAsia"/>
          <w:snapToGrid/>
        </w:rPr>
        <w:t>16</w:t>
      </w:r>
      <w:r>
        <w:rPr>
          <w:rFonts w:hint="eastAsia"/>
          <w:snapToGrid/>
        </w:rPr>
        <w:t>岁以下的残疾儿童，享有</w:t>
      </w:r>
      <w:r>
        <w:rPr>
          <w:rFonts w:hint="eastAsia"/>
          <w:snapToGrid/>
        </w:rPr>
        <w:t>100%</w:t>
      </w:r>
      <w:r>
        <w:rPr>
          <w:rFonts w:hint="eastAsia"/>
          <w:snapToGrid/>
        </w:rPr>
        <w:t>的最低退休养恤金；</w:t>
      </w:r>
    </w:p>
    <w:p w:rsidR="00000000" w:rsidRDefault="00000000">
      <w:pPr>
        <w:numPr>
          <w:ilvl w:val="0"/>
          <w:numId w:val="535"/>
        </w:numPr>
        <w:rPr>
          <w:rFonts w:hint="eastAsia"/>
          <w:snapToGrid/>
        </w:rPr>
      </w:pPr>
      <w:r>
        <w:rPr>
          <w:rFonts w:hint="eastAsia"/>
          <w:snapToGrid/>
        </w:rPr>
        <w:t>二等残疾人、从小患有残疾者和患有二等和三等残疾的</w:t>
      </w:r>
      <w:r>
        <w:rPr>
          <w:rFonts w:hint="eastAsia"/>
          <w:snapToGrid/>
        </w:rPr>
        <w:t>16</w:t>
      </w:r>
      <w:r>
        <w:rPr>
          <w:rFonts w:hint="eastAsia"/>
          <w:snapToGrid/>
        </w:rPr>
        <w:t>岁以下的残疾儿童，享有</w:t>
      </w:r>
      <w:r>
        <w:rPr>
          <w:rFonts w:hint="eastAsia"/>
          <w:snapToGrid/>
        </w:rPr>
        <w:t>85%</w:t>
      </w:r>
      <w:r>
        <w:rPr>
          <w:rFonts w:hint="eastAsia"/>
          <w:snapToGrid/>
        </w:rPr>
        <w:t>的最低退休养恤金；</w:t>
      </w:r>
    </w:p>
    <w:p w:rsidR="00000000" w:rsidRDefault="00000000">
      <w:pPr>
        <w:numPr>
          <w:ilvl w:val="0"/>
          <w:numId w:val="535"/>
        </w:numPr>
        <w:rPr>
          <w:rFonts w:hint="eastAsia"/>
          <w:snapToGrid/>
        </w:rPr>
      </w:pPr>
      <w:r>
        <w:rPr>
          <w:rFonts w:hint="eastAsia"/>
          <w:snapToGrid/>
        </w:rPr>
        <w:t>三等残疾人和从小患有残疾者，享有</w:t>
      </w:r>
      <w:r>
        <w:rPr>
          <w:snapToGrid/>
        </w:rPr>
        <w:t>5</w:t>
      </w:r>
      <w:r>
        <w:rPr>
          <w:rFonts w:hint="eastAsia"/>
          <w:snapToGrid/>
        </w:rPr>
        <w:t>0%</w:t>
      </w:r>
      <w:r>
        <w:rPr>
          <w:rFonts w:hint="eastAsia"/>
          <w:snapToGrid/>
        </w:rPr>
        <w:t>的最低退休养恤金。</w:t>
      </w:r>
    </w:p>
    <w:p w:rsidR="00000000" w:rsidRDefault="00000000">
      <w:pPr>
        <w:rPr>
          <w:rFonts w:hint="eastAsia"/>
          <w:snapToGrid/>
        </w:rPr>
      </w:pPr>
      <w:r>
        <w:rPr>
          <w:rFonts w:hint="eastAsia"/>
          <w:snapToGrid/>
        </w:rPr>
        <w:tab/>
        <w:t xml:space="preserve">369.  </w:t>
      </w:r>
      <w:r>
        <w:rPr>
          <w:rFonts w:hint="eastAsia"/>
          <w:snapToGrid/>
        </w:rPr>
        <w:t>该法第三章规定了对失去家庭供养人的儿童的拨款形式。只有当亡故者不享有社会养恤金的权利时，才可向这些儿童发放拨款。如果领取者完全依靠国家支助并且没有收入保证，即可领取这项拨款，直到年满</w:t>
      </w:r>
      <w:r>
        <w:rPr>
          <w:rFonts w:hint="eastAsia"/>
          <w:snapToGrid/>
        </w:rPr>
        <w:t>18</w:t>
      </w:r>
      <w:r>
        <w:rPr>
          <w:rFonts w:hint="eastAsia"/>
          <w:snapToGrid/>
        </w:rPr>
        <w:t>岁为止</w:t>
      </w:r>
      <w:r>
        <w:rPr>
          <w:rFonts w:hint="eastAsia"/>
          <w:snapToGrid/>
        </w:rPr>
        <w:t>(</w:t>
      </w:r>
      <w:r>
        <w:rPr>
          <w:rFonts w:hint="eastAsia"/>
          <w:snapToGrid/>
        </w:rPr>
        <w:t>小学、中学和高等教育机构的学生，但不得超过</w:t>
      </w:r>
      <w:r>
        <w:rPr>
          <w:rFonts w:hint="eastAsia"/>
          <w:snapToGrid/>
        </w:rPr>
        <w:t>23</w:t>
      </w:r>
      <w:r>
        <w:rPr>
          <w:rFonts w:hint="eastAsia"/>
          <w:snapToGrid/>
        </w:rPr>
        <w:t>岁</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370.  </w:t>
      </w:r>
      <w:r>
        <w:rPr>
          <w:rFonts w:hint="eastAsia"/>
          <w:snapToGrid/>
        </w:rPr>
        <w:t>对失去家庭供养人的儿童的拨款为最低退休养恤金的</w:t>
      </w:r>
      <w:r>
        <w:rPr>
          <w:rFonts w:hint="eastAsia"/>
          <w:snapToGrid/>
        </w:rPr>
        <w:t>15%</w:t>
      </w:r>
      <w:r>
        <w:rPr>
          <w:rFonts w:hint="eastAsia"/>
          <w:snapToGrid/>
        </w:rPr>
        <w:t>，最高不得为最低退休养恤金的</w:t>
      </w:r>
      <w:r>
        <w:rPr>
          <w:rFonts w:hint="eastAsia"/>
          <w:snapToGrid/>
        </w:rPr>
        <w:t>1.5</w:t>
      </w:r>
      <w:r>
        <w:rPr>
          <w:rFonts w:hint="eastAsia"/>
          <w:snapToGrid/>
        </w:rPr>
        <w:t>倍。如果儿童父母双亡，拨款数额增为两倍。如果受益人人数有变化，需要重新计算拨款数额。拨款数额从修改或重新计算后的月份起，根据新情况开始重新计算。每个受益人均有权要求得到他所应有的一份拨款，其数额由受益人人数除以拨款数额而定。监护人有权领取所监护儿童的拨款，如果该儿童已失去家庭供养人的话。</w:t>
      </w:r>
    </w:p>
    <w:p w:rsidR="00000000" w:rsidRDefault="00000000">
      <w:pPr>
        <w:rPr>
          <w:rFonts w:hint="eastAsia"/>
          <w:snapToGrid/>
        </w:rPr>
      </w:pPr>
      <w:r>
        <w:rPr>
          <w:rFonts w:hint="eastAsia"/>
          <w:snapToGrid/>
        </w:rPr>
        <w:tab/>
        <w:t>3</w:t>
      </w:r>
      <w:r>
        <w:rPr>
          <w:snapToGrid/>
        </w:rPr>
        <w:t>71.</w:t>
      </w:r>
      <w:r>
        <w:rPr>
          <w:rFonts w:hint="eastAsia"/>
          <w:snapToGrid/>
        </w:rPr>
        <w:t xml:space="preserve">  </w:t>
      </w:r>
      <w:r>
        <w:rPr>
          <w:rFonts w:hint="eastAsia"/>
          <w:snapToGrid/>
        </w:rPr>
        <w:t>第四章就老年人拨款作出规定。凡到退休年龄的公民，如果未领取社会养恤金，没有收入保证，并且不享有国家的完全支助，均可领取拨款。老年人拨款为最低退休养恤金的</w:t>
      </w:r>
      <w:r>
        <w:rPr>
          <w:rFonts w:hint="eastAsia"/>
          <w:snapToGrid/>
        </w:rPr>
        <w:t>55%</w:t>
      </w:r>
      <w:r>
        <w:rPr>
          <w:rFonts w:hint="eastAsia"/>
          <w:snapToGrid/>
        </w:rPr>
        <w:t>。</w:t>
      </w:r>
    </w:p>
    <w:p w:rsidR="00000000" w:rsidRDefault="00000000">
      <w:pPr>
        <w:rPr>
          <w:rFonts w:hint="eastAsia"/>
          <w:snapToGrid/>
        </w:rPr>
      </w:pPr>
      <w:r>
        <w:rPr>
          <w:rFonts w:hint="eastAsia"/>
          <w:snapToGrid/>
        </w:rPr>
        <w:tab/>
        <w:t xml:space="preserve">372.  </w:t>
      </w:r>
      <w:r>
        <w:rPr>
          <w:rFonts w:hint="eastAsia"/>
          <w:snapToGrid/>
        </w:rPr>
        <w:t>为了改进个别类别的人的福利制度和人口中脆弱群体的社会保障制度，政府于</w:t>
      </w:r>
      <w:r>
        <w:rPr>
          <w:rFonts w:hint="eastAsia"/>
          <w:snapToGrid/>
        </w:rPr>
        <w:t>2000</w:t>
      </w:r>
      <w:r>
        <w:rPr>
          <w:rFonts w:hint="eastAsia"/>
          <w:snapToGrid/>
        </w:rPr>
        <w:t>年</w:t>
      </w:r>
      <w:r>
        <w:rPr>
          <w:rFonts w:hint="eastAsia"/>
          <w:snapToGrid/>
        </w:rPr>
        <w:t>4</w:t>
      </w:r>
      <w:r>
        <w:rPr>
          <w:rFonts w:hint="eastAsia"/>
          <w:snapToGrid/>
        </w:rPr>
        <w:t>月</w:t>
      </w:r>
      <w:r>
        <w:rPr>
          <w:rFonts w:hint="eastAsia"/>
          <w:snapToGrid/>
        </w:rPr>
        <w:t>14</w:t>
      </w:r>
      <w:r>
        <w:rPr>
          <w:rFonts w:hint="eastAsia"/>
          <w:snapToGrid/>
        </w:rPr>
        <w:t>日通过了《关于某些群体的社会保护的第</w:t>
      </w:r>
      <w:r>
        <w:rPr>
          <w:rFonts w:hint="eastAsia"/>
          <w:snapToGrid/>
        </w:rPr>
        <w:t>933-XIV</w:t>
      </w:r>
      <w:r>
        <w:rPr>
          <w:rFonts w:hint="eastAsia"/>
          <w:snapToGrid/>
        </w:rPr>
        <w:t>号法》。根据该法，以下类别的人，如果是摩尔多瓦共和国公民，均可领取补偿：</w:t>
      </w:r>
    </w:p>
    <w:p w:rsidR="00000000" w:rsidRDefault="00000000">
      <w:pPr>
        <w:numPr>
          <w:ilvl w:val="0"/>
          <w:numId w:val="536"/>
        </w:numPr>
        <w:rPr>
          <w:rFonts w:hint="eastAsia"/>
          <w:snapToGrid/>
        </w:rPr>
      </w:pPr>
      <w:r>
        <w:rPr>
          <w:rFonts w:hint="eastAsia"/>
          <w:snapToGrid/>
        </w:rPr>
        <w:t>一等和二等残疾人；</w:t>
      </w:r>
    </w:p>
    <w:p w:rsidR="00000000" w:rsidRDefault="00000000">
      <w:pPr>
        <w:numPr>
          <w:ilvl w:val="0"/>
          <w:numId w:val="536"/>
        </w:numPr>
        <w:rPr>
          <w:rFonts w:hint="eastAsia"/>
          <w:snapToGrid/>
        </w:rPr>
      </w:pPr>
      <w:r>
        <w:rPr>
          <w:rFonts w:hint="eastAsia"/>
          <w:snapToGrid/>
        </w:rPr>
        <w:t>无期限的三等残疾人：</w:t>
      </w:r>
    </w:p>
    <w:p w:rsidR="00000000" w:rsidRDefault="00000000">
      <w:pPr>
        <w:numPr>
          <w:ilvl w:val="1"/>
          <w:numId w:val="536"/>
        </w:numPr>
        <w:ind w:left="2041"/>
        <w:rPr>
          <w:rFonts w:hint="eastAsia"/>
          <w:snapToGrid/>
        </w:rPr>
      </w:pPr>
      <w:r>
        <w:rPr>
          <w:rFonts w:hint="eastAsia"/>
          <w:snapToGrid/>
        </w:rPr>
        <w:t>工伤事故致残者；</w:t>
      </w:r>
    </w:p>
    <w:p w:rsidR="00000000" w:rsidRDefault="00000000">
      <w:pPr>
        <w:numPr>
          <w:ilvl w:val="1"/>
          <w:numId w:val="536"/>
        </w:numPr>
        <w:ind w:left="2041"/>
        <w:rPr>
          <w:rFonts w:hint="eastAsia"/>
          <w:snapToGrid/>
        </w:rPr>
      </w:pPr>
      <w:r>
        <w:rPr>
          <w:rFonts w:hint="eastAsia"/>
          <w:snapToGrid/>
        </w:rPr>
        <w:t>因断肢、外伤或服役期间受伤而致残的人；</w:t>
      </w:r>
    </w:p>
    <w:p w:rsidR="00000000" w:rsidRDefault="00000000">
      <w:pPr>
        <w:numPr>
          <w:ilvl w:val="1"/>
          <w:numId w:val="536"/>
        </w:numPr>
        <w:ind w:left="2041"/>
        <w:rPr>
          <w:rFonts w:hint="eastAsia"/>
          <w:snapToGrid/>
        </w:rPr>
      </w:pPr>
      <w:r>
        <w:rPr>
          <w:rFonts w:hint="eastAsia"/>
          <w:snapToGrid/>
        </w:rPr>
        <w:t>为保卫摩尔多瓦共和国领土完整和独立而参战的人；</w:t>
      </w:r>
    </w:p>
    <w:p w:rsidR="00000000" w:rsidRDefault="00000000">
      <w:pPr>
        <w:numPr>
          <w:ilvl w:val="1"/>
          <w:numId w:val="536"/>
        </w:numPr>
        <w:ind w:left="2041"/>
        <w:rPr>
          <w:rFonts w:hint="eastAsia"/>
          <w:snapToGrid/>
        </w:rPr>
      </w:pPr>
      <w:r>
        <w:rPr>
          <w:rFonts w:hint="eastAsia"/>
          <w:snapToGrid/>
        </w:rPr>
        <w:t>1917</w:t>
      </w:r>
      <w:r>
        <w:rPr>
          <w:rFonts w:hint="eastAsia"/>
          <w:snapToGrid/>
        </w:rPr>
        <w:t>年至</w:t>
      </w:r>
      <w:r>
        <w:rPr>
          <w:rFonts w:hint="eastAsia"/>
          <w:snapToGrid/>
        </w:rPr>
        <w:t>1990</w:t>
      </w:r>
      <w:r>
        <w:rPr>
          <w:rFonts w:hint="eastAsia"/>
          <w:snapToGrid/>
        </w:rPr>
        <w:t>年期间政治迫害的受害者；</w:t>
      </w:r>
    </w:p>
    <w:p w:rsidR="00000000" w:rsidRDefault="00000000">
      <w:pPr>
        <w:numPr>
          <w:ilvl w:val="1"/>
          <w:numId w:val="536"/>
        </w:numPr>
        <w:ind w:left="2041"/>
        <w:rPr>
          <w:rFonts w:hint="eastAsia"/>
          <w:snapToGrid/>
        </w:rPr>
      </w:pPr>
      <w:r>
        <w:rPr>
          <w:rFonts w:hint="eastAsia"/>
          <w:snapToGrid/>
        </w:rPr>
        <w:t>集中营和犹太人区的前囚犯；</w:t>
      </w:r>
    </w:p>
    <w:p w:rsidR="00000000" w:rsidRDefault="00000000">
      <w:pPr>
        <w:numPr>
          <w:ilvl w:val="0"/>
          <w:numId w:val="536"/>
        </w:numPr>
        <w:rPr>
          <w:rFonts w:hint="eastAsia"/>
          <w:snapToGrid/>
        </w:rPr>
      </w:pPr>
      <w:r>
        <w:rPr>
          <w:rFonts w:hint="eastAsia"/>
          <w:snapToGrid/>
        </w:rPr>
        <w:t>16</w:t>
      </w:r>
      <w:r>
        <w:rPr>
          <w:rFonts w:hint="eastAsia"/>
          <w:snapToGrid/>
        </w:rPr>
        <w:t>岁以下的残疾儿童；</w:t>
      </w:r>
    </w:p>
    <w:p w:rsidR="00000000" w:rsidRDefault="00000000">
      <w:pPr>
        <w:numPr>
          <w:ilvl w:val="0"/>
          <w:numId w:val="536"/>
        </w:numPr>
        <w:rPr>
          <w:rFonts w:hint="eastAsia"/>
          <w:snapToGrid/>
        </w:rPr>
      </w:pPr>
      <w:r>
        <w:rPr>
          <w:rFonts w:hint="eastAsia"/>
          <w:snapToGrid/>
        </w:rPr>
        <w:t>从小患有残疾者；</w:t>
      </w:r>
    </w:p>
    <w:p w:rsidR="00000000" w:rsidRDefault="00000000">
      <w:pPr>
        <w:numPr>
          <w:ilvl w:val="0"/>
          <w:numId w:val="536"/>
        </w:numPr>
        <w:rPr>
          <w:rFonts w:hint="eastAsia"/>
          <w:snapToGrid/>
        </w:rPr>
      </w:pPr>
      <w:r>
        <w:rPr>
          <w:rFonts w:hint="eastAsia"/>
          <w:snapToGrid/>
        </w:rPr>
        <w:t>参加第二次世界大战的人及其妻子；</w:t>
      </w:r>
    </w:p>
    <w:p w:rsidR="00000000" w:rsidRDefault="00000000">
      <w:pPr>
        <w:numPr>
          <w:ilvl w:val="0"/>
          <w:numId w:val="536"/>
        </w:numPr>
        <w:rPr>
          <w:rFonts w:hint="eastAsia"/>
          <w:snapToGrid/>
          <w:u w:val="single"/>
        </w:rPr>
      </w:pPr>
      <w:r>
        <w:rPr>
          <w:rFonts w:hint="eastAsia"/>
          <w:snapToGrid/>
        </w:rPr>
        <w:t>被吸收为第二次世界大战参与者的人；</w:t>
      </w:r>
    </w:p>
    <w:p w:rsidR="00000000" w:rsidRDefault="00000000">
      <w:pPr>
        <w:numPr>
          <w:ilvl w:val="0"/>
          <w:numId w:val="536"/>
        </w:numPr>
        <w:rPr>
          <w:rFonts w:hint="eastAsia"/>
          <w:snapToGrid/>
        </w:rPr>
      </w:pPr>
      <w:r>
        <w:rPr>
          <w:rFonts w:hint="eastAsia"/>
          <w:snapToGrid/>
        </w:rPr>
        <w:t>战场上捐躯者和因参加切尔诺贝利清除污染行动而死去的人的家人</w:t>
      </w:r>
      <w:r>
        <w:rPr>
          <w:rFonts w:hint="eastAsia"/>
          <w:snapToGrid/>
        </w:rPr>
        <w:t>(</w:t>
      </w:r>
      <w:r>
        <w:rPr>
          <w:rFonts w:hint="eastAsia"/>
          <w:snapToGrid/>
        </w:rPr>
        <w:t>父母、尚未再婚的遗孀或未成年儿童</w:t>
      </w:r>
      <w:r>
        <w:rPr>
          <w:rFonts w:hint="eastAsia"/>
          <w:snapToGrid/>
        </w:rPr>
        <w:t>)</w:t>
      </w:r>
      <w:r>
        <w:rPr>
          <w:rFonts w:hint="eastAsia"/>
          <w:snapToGrid/>
        </w:rPr>
        <w:t>；</w:t>
      </w:r>
    </w:p>
    <w:p w:rsidR="00000000" w:rsidRDefault="00000000">
      <w:pPr>
        <w:numPr>
          <w:ilvl w:val="0"/>
          <w:numId w:val="536"/>
        </w:numPr>
        <w:rPr>
          <w:rFonts w:hint="eastAsia"/>
          <w:snapToGrid/>
        </w:rPr>
      </w:pPr>
      <w:r>
        <w:rPr>
          <w:rFonts w:hint="eastAsia"/>
          <w:snapToGrid/>
        </w:rPr>
        <w:t>单身养恤金领取者；</w:t>
      </w:r>
    </w:p>
    <w:p w:rsidR="00000000" w:rsidRDefault="00000000">
      <w:pPr>
        <w:numPr>
          <w:ilvl w:val="0"/>
          <w:numId w:val="536"/>
        </w:numPr>
        <w:rPr>
          <w:rFonts w:hint="eastAsia"/>
          <w:snapToGrid/>
        </w:rPr>
      </w:pPr>
      <w:r>
        <w:rPr>
          <w:rFonts w:hint="eastAsia"/>
          <w:snapToGrid/>
        </w:rPr>
        <w:t>有四或四名以上子女的家庭。</w:t>
      </w:r>
    </w:p>
    <w:p w:rsidR="00000000" w:rsidRDefault="00000000">
      <w:pPr>
        <w:rPr>
          <w:rFonts w:hint="eastAsia"/>
          <w:snapToGrid/>
        </w:rPr>
      </w:pPr>
      <w:r>
        <w:rPr>
          <w:rFonts w:hint="eastAsia"/>
          <w:snapToGrid/>
        </w:rPr>
        <w:tab/>
        <w:t xml:space="preserve">373.  </w:t>
      </w:r>
      <w:r>
        <w:rPr>
          <w:rFonts w:hint="eastAsia"/>
          <w:snapToGrid/>
        </w:rPr>
        <w:t>社会保障和家庭保护机构决定并按摩尔多瓦共和国政府核可的方式支付这项补偿。以下补偿从国家的社会保障基金预算中直接拨付：</w:t>
      </w:r>
    </w:p>
    <w:p w:rsidR="00000000" w:rsidRDefault="00000000">
      <w:pPr>
        <w:numPr>
          <w:ilvl w:val="0"/>
          <w:numId w:val="537"/>
        </w:numPr>
        <w:rPr>
          <w:rFonts w:hint="eastAsia"/>
          <w:snapToGrid/>
        </w:rPr>
      </w:pPr>
      <w:r>
        <w:rPr>
          <w:rFonts w:hint="eastAsia"/>
          <w:snapToGrid/>
        </w:rPr>
        <w:t>公共服务：集中供暖、天然气炉灶、自来水、污水处理、卫生服务、电梯；</w:t>
      </w:r>
    </w:p>
    <w:p w:rsidR="00000000" w:rsidRDefault="00000000">
      <w:pPr>
        <w:numPr>
          <w:ilvl w:val="0"/>
          <w:numId w:val="537"/>
        </w:numPr>
        <w:rPr>
          <w:rFonts w:hint="eastAsia"/>
          <w:snapToGrid/>
        </w:rPr>
      </w:pPr>
      <w:r>
        <w:rPr>
          <w:rFonts w:hint="eastAsia"/>
          <w:snapToGrid/>
        </w:rPr>
        <w:t>电力；</w:t>
      </w:r>
    </w:p>
    <w:p w:rsidR="00000000" w:rsidRDefault="00000000">
      <w:pPr>
        <w:numPr>
          <w:ilvl w:val="0"/>
          <w:numId w:val="537"/>
        </w:numPr>
        <w:rPr>
          <w:rFonts w:hint="eastAsia"/>
          <w:snapToGrid/>
        </w:rPr>
      </w:pPr>
      <w:r>
        <w:rPr>
          <w:rFonts w:hint="eastAsia"/>
          <w:snapToGrid/>
        </w:rPr>
        <w:t>取暖用天然气；</w:t>
      </w:r>
    </w:p>
    <w:p w:rsidR="00000000" w:rsidRDefault="00000000">
      <w:pPr>
        <w:numPr>
          <w:ilvl w:val="0"/>
          <w:numId w:val="537"/>
        </w:numPr>
        <w:rPr>
          <w:rFonts w:hint="eastAsia"/>
          <w:snapToGrid/>
        </w:rPr>
      </w:pPr>
      <w:r>
        <w:rPr>
          <w:rFonts w:hint="eastAsia"/>
          <w:snapToGrid/>
        </w:rPr>
        <w:t>煤气罐煤气；</w:t>
      </w:r>
    </w:p>
    <w:p w:rsidR="00000000" w:rsidRDefault="00000000">
      <w:pPr>
        <w:numPr>
          <w:ilvl w:val="0"/>
          <w:numId w:val="537"/>
        </w:numPr>
        <w:rPr>
          <w:rFonts w:hint="eastAsia"/>
          <w:snapToGrid/>
        </w:rPr>
      </w:pPr>
      <w:r>
        <w:rPr>
          <w:rFonts w:hint="eastAsia"/>
          <w:snapToGrid/>
        </w:rPr>
        <w:t>取暖用煤炭和木柴。</w:t>
      </w:r>
    </w:p>
    <w:p w:rsidR="00000000" w:rsidRDefault="00000000">
      <w:pPr>
        <w:rPr>
          <w:rFonts w:hint="eastAsia"/>
          <w:snapToGrid/>
        </w:rPr>
      </w:pPr>
      <w:r>
        <w:rPr>
          <w:rFonts w:hint="eastAsia"/>
          <w:snapToGrid/>
        </w:rPr>
        <w:tab/>
        <w:t xml:space="preserve">374.  </w:t>
      </w:r>
      <w:r>
        <w:rPr>
          <w:rFonts w:hint="eastAsia"/>
          <w:snapToGrid/>
        </w:rPr>
        <w:t>公共服务和电力补偿数额依据人均服务成本确定如下：</w:t>
      </w:r>
    </w:p>
    <w:p w:rsidR="00000000" w:rsidRDefault="00000000">
      <w:pPr>
        <w:numPr>
          <w:ilvl w:val="0"/>
          <w:numId w:val="538"/>
        </w:numPr>
        <w:rPr>
          <w:rFonts w:hint="eastAsia"/>
          <w:snapToGrid/>
        </w:rPr>
      </w:pPr>
      <w:r>
        <w:rPr>
          <w:rFonts w:hint="eastAsia"/>
          <w:snapToGrid/>
        </w:rPr>
        <w:t>一等和二等残疾人领取补偿数额为</w:t>
      </w:r>
      <w:r>
        <w:rPr>
          <w:rFonts w:hint="eastAsia"/>
          <w:snapToGrid/>
        </w:rPr>
        <w:t>50%</w:t>
      </w:r>
      <w:r>
        <w:rPr>
          <w:rFonts w:hint="eastAsia"/>
          <w:snapToGrid/>
        </w:rPr>
        <w:t>，以下</w:t>
      </w:r>
      <w:r>
        <w:rPr>
          <w:rFonts w:hint="eastAsia"/>
          <w:snapToGrid/>
        </w:rPr>
        <w:t>(</w:t>
      </w:r>
      <w:r>
        <w:rPr>
          <w:snapToGrid/>
        </w:rPr>
        <w:t>b</w:t>
      </w:r>
      <w:r>
        <w:rPr>
          <w:rFonts w:hint="eastAsia"/>
          <w:snapToGrid/>
        </w:rPr>
        <w:t>)</w:t>
      </w:r>
      <w:r>
        <w:rPr>
          <w:rFonts w:hint="eastAsia"/>
          <w:snapToGrid/>
        </w:rPr>
        <w:t>项中提及的一类人除外；从小患有一等和二等残疾的人、</w:t>
      </w:r>
      <w:r>
        <w:rPr>
          <w:rFonts w:hint="eastAsia"/>
          <w:snapToGrid/>
        </w:rPr>
        <w:t>16</w:t>
      </w:r>
      <w:r>
        <w:rPr>
          <w:rFonts w:hint="eastAsia"/>
          <w:snapToGrid/>
        </w:rPr>
        <w:t>岁以下的残疾儿童；参加二次大战的老兵及其妻子；因参加切尔诺贝利清除污染行动而死去的人的家人</w:t>
      </w:r>
      <w:r>
        <w:rPr>
          <w:rFonts w:hint="eastAsia"/>
          <w:snapToGrid/>
        </w:rPr>
        <w:t>(</w:t>
      </w:r>
      <w:r>
        <w:rPr>
          <w:rFonts w:hint="eastAsia"/>
          <w:snapToGrid/>
        </w:rPr>
        <w:t>尚未再婚的遗孀或</w:t>
      </w:r>
      <w:r>
        <w:rPr>
          <w:rFonts w:hint="eastAsia"/>
          <w:snapToGrid/>
        </w:rPr>
        <w:t>16</w:t>
      </w:r>
      <w:r>
        <w:rPr>
          <w:rFonts w:hint="eastAsia"/>
          <w:snapToGrid/>
        </w:rPr>
        <w:t>岁以下的儿童</w:t>
      </w:r>
      <w:r>
        <w:rPr>
          <w:rFonts w:hint="eastAsia"/>
          <w:snapToGrid/>
        </w:rPr>
        <w:t>)</w:t>
      </w:r>
      <w:r>
        <w:rPr>
          <w:rFonts w:hint="eastAsia"/>
          <w:snapToGrid/>
        </w:rPr>
        <w:t>，以及有四或四名以上子女的家庭；</w:t>
      </w:r>
    </w:p>
    <w:p w:rsidR="00000000" w:rsidRDefault="00000000">
      <w:pPr>
        <w:numPr>
          <w:ilvl w:val="0"/>
          <w:numId w:val="538"/>
        </w:numPr>
        <w:rPr>
          <w:rFonts w:hint="eastAsia"/>
          <w:snapToGrid/>
        </w:rPr>
      </w:pPr>
      <w:r>
        <w:rPr>
          <w:rFonts w:hint="eastAsia"/>
          <w:snapToGrid/>
        </w:rPr>
        <w:t>由于疾病和工伤事故而致残的二等残疾人、从小患有三等残疾的人和单身养恤金领取者的补偿数额为</w:t>
      </w:r>
      <w:r>
        <w:rPr>
          <w:rFonts w:hint="eastAsia"/>
          <w:snapToGrid/>
        </w:rPr>
        <w:t>25%</w:t>
      </w:r>
      <w:r>
        <w:rPr>
          <w:rFonts w:hint="eastAsia"/>
          <w:snapToGrid/>
        </w:rPr>
        <w:t>。</w:t>
      </w:r>
    </w:p>
    <w:p w:rsidR="00000000" w:rsidRDefault="00000000">
      <w:pPr>
        <w:rPr>
          <w:rFonts w:hint="eastAsia"/>
          <w:snapToGrid/>
        </w:rPr>
      </w:pPr>
      <w:r>
        <w:rPr>
          <w:rFonts w:hint="eastAsia"/>
          <w:snapToGrid/>
        </w:rPr>
        <w:t>电力补偿是以正常消耗</w:t>
      </w:r>
      <w:r>
        <w:rPr>
          <w:rFonts w:hint="eastAsia"/>
          <w:snapToGrid/>
        </w:rPr>
        <w:t>60</w:t>
      </w:r>
      <w:r>
        <w:rPr>
          <w:rFonts w:hint="eastAsia"/>
          <w:snapToGrid/>
        </w:rPr>
        <w:t>千瓦小时的月平均花费为基础来确定的。对使用电器炊具的公寓和房屋，电力补偿的依据是消耗</w:t>
      </w:r>
      <w:r>
        <w:rPr>
          <w:rFonts w:hint="eastAsia"/>
          <w:snapToGrid/>
        </w:rPr>
        <w:t>100</w:t>
      </w:r>
      <w:r>
        <w:rPr>
          <w:rFonts w:hint="eastAsia"/>
          <w:snapToGrid/>
        </w:rPr>
        <w:t>千瓦小时。</w:t>
      </w:r>
    </w:p>
    <w:p w:rsidR="00000000" w:rsidRDefault="00000000">
      <w:pPr>
        <w:rPr>
          <w:rFonts w:hint="eastAsia"/>
          <w:snapToGrid/>
        </w:rPr>
      </w:pPr>
      <w:r>
        <w:rPr>
          <w:rFonts w:hint="eastAsia"/>
          <w:snapToGrid/>
        </w:rPr>
        <w:tab/>
        <w:t xml:space="preserve">375.  </w:t>
      </w:r>
      <w:r>
        <w:rPr>
          <w:rFonts w:hint="eastAsia"/>
          <w:snapToGrid/>
        </w:rPr>
        <w:t>集中供暖或天然气供暖补偿是以人均总面积为</w:t>
      </w:r>
      <w:r>
        <w:rPr>
          <w:rFonts w:hint="eastAsia"/>
          <w:snapToGrid/>
        </w:rPr>
        <w:t>30</w:t>
      </w:r>
      <w:r>
        <w:rPr>
          <w:rFonts w:hint="eastAsia"/>
          <w:snapToGrid/>
        </w:rPr>
        <w:t>平方米的花费为基础来确定的。</w:t>
      </w:r>
    </w:p>
    <w:p w:rsidR="00000000" w:rsidRDefault="00000000">
      <w:pPr>
        <w:rPr>
          <w:rFonts w:hint="eastAsia"/>
          <w:snapToGrid/>
        </w:rPr>
      </w:pPr>
      <w:r>
        <w:rPr>
          <w:rFonts w:hint="eastAsia"/>
          <w:snapToGrid/>
        </w:rPr>
        <w:tab/>
        <w:t xml:space="preserve">376.  </w:t>
      </w:r>
      <w:r>
        <w:rPr>
          <w:rFonts w:hint="eastAsia"/>
          <w:snapToGrid/>
        </w:rPr>
        <w:t>有多名残疾人的家庭，每个受益人均可领取公共服务补偿。</w:t>
      </w:r>
    </w:p>
    <w:p w:rsidR="00000000" w:rsidRDefault="00000000">
      <w:pPr>
        <w:rPr>
          <w:rFonts w:hint="eastAsia"/>
          <w:snapToGrid/>
        </w:rPr>
      </w:pPr>
      <w:r>
        <w:rPr>
          <w:rFonts w:hint="eastAsia"/>
          <w:snapToGrid/>
        </w:rPr>
        <w:tab/>
        <w:t xml:space="preserve">377.  </w:t>
      </w:r>
      <w:r>
        <w:rPr>
          <w:rFonts w:hint="eastAsia"/>
          <w:snapToGrid/>
        </w:rPr>
        <w:t>购买煤炭和木柴，可享有</w:t>
      </w:r>
      <w:r>
        <w:rPr>
          <w:rFonts w:hint="eastAsia"/>
          <w:snapToGrid/>
        </w:rPr>
        <w:t>50</w:t>
      </w:r>
      <w:r>
        <w:rPr>
          <w:snapToGrid/>
        </w:rPr>
        <w:t>%</w:t>
      </w:r>
      <w:r>
        <w:rPr>
          <w:rFonts w:hint="eastAsia"/>
          <w:snapToGrid/>
        </w:rPr>
        <w:t>的折扣。价格由政府批准。如果家庭中有不止一名受益人，则按照人数来确定补偿。</w:t>
      </w:r>
    </w:p>
    <w:p w:rsidR="00000000" w:rsidRDefault="00000000">
      <w:pPr>
        <w:rPr>
          <w:rFonts w:hint="eastAsia"/>
          <w:snapToGrid/>
        </w:rPr>
      </w:pPr>
      <w:r>
        <w:rPr>
          <w:rFonts w:hint="eastAsia"/>
          <w:snapToGrid/>
        </w:rPr>
        <w:tab/>
        <w:t>378.  1999</w:t>
      </w:r>
      <w:r>
        <w:rPr>
          <w:rFonts w:hint="eastAsia"/>
          <w:snapToGrid/>
        </w:rPr>
        <w:t>年</w:t>
      </w:r>
      <w:r>
        <w:rPr>
          <w:rFonts w:hint="eastAsia"/>
          <w:snapToGrid/>
        </w:rPr>
        <w:t>5</w:t>
      </w:r>
      <w:r>
        <w:rPr>
          <w:rFonts w:hint="eastAsia"/>
          <w:snapToGrid/>
        </w:rPr>
        <w:t>月</w:t>
      </w:r>
      <w:r>
        <w:rPr>
          <w:rFonts w:hint="eastAsia"/>
          <w:snapToGrid/>
        </w:rPr>
        <w:t>28</w:t>
      </w:r>
      <w:r>
        <w:rPr>
          <w:rFonts w:hint="eastAsia"/>
          <w:snapToGrid/>
        </w:rPr>
        <w:t>日，议会通过第</w:t>
      </w:r>
      <w:r>
        <w:rPr>
          <w:rFonts w:hint="eastAsia"/>
          <w:snapToGrid/>
        </w:rPr>
        <w:t>416</w:t>
      </w:r>
      <w:r>
        <w:rPr>
          <w:rFonts w:hint="eastAsia"/>
          <w:snapToGrid/>
        </w:rPr>
        <w:t>号决定核可了社会援助制度改革战略。目前的社会援助制度提供了关于物质和货币补助金或免除某类人税款的整套保障措施。它的目的也是要帮助未成年孤儿、残障成年人、残疾人和接受社会机构支助的老年人。有关社会援助制度的法律包括《摩尔多瓦共和国宪法》、总统令、政府决定和其他协调制度中法律关系的规范性文书。社会援助制度不可能保护那些因收入低或不享有各种权利而生活条件差的人和家庭。这涉及到新的政治定向问题。</w:t>
      </w:r>
    </w:p>
    <w:p w:rsidR="00000000" w:rsidRDefault="00000000">
      <w:pPr>
        <w:rPr>
          <w:rFonts w:hint="eastAsia"/>
          <w:snapToGrid/>
        </w:rPr>
      </w:pPr>
      <w:r>
        <w:rPr>
          <w:rFonts w:hint="eastAsia"/>
          <w:snapToGrid/>
        </w:rPr>
        <w:tab/>
        <w:t xml:space="preserve">379.  </w:t>
      </w:r>
      <w:r>
        <w:rPr>
          <w:rFonts w:hint="eastAsia"/>
          <w:snapToGrid/>
        </w:rPr>
        <w:t>社会援助制度改革应当考虑到国家目前的社会经济状况，设想法律、行政组织和财务制度之间的相关性。它也应考虑到因经济下滑而导致物价不断上涨，失业人员日趋增加，人们的收入和营养水平在不断下降，从而使社会某些群体陷入日渐贫困的境地。社会援助必须作为一项国家社会政策来予以宣传和推广，并由类似于部委，但是地方一级的中央专门机构、分权服务机构和地方政府行政部门与其他组织、慈善组织、宗教非政府组织、基金会和私人携手共同实施。为了实现社会援助制度改革的各项目标以及创造体面的生活条件，社会援助的受益人有义务与专家合作解决现存的种种问题。社会援助的方式、数量和性质应当与领取者或领取家庭的状况相符。</w:t>
      </w:r>
    </w:p>
    <w:p w:rsidR="00000000" w:rsidRDefault="00000000">
      <w:pPr>
        <w:rPr>
          <w:rFonts w:hint="eastAsia"/>
          <w:snapToGrid/>
        </w:rPr>
      </w:pPr>
      <w:r>
        <w:rPr>
          <w:rFonts w:hint="eastAsia"/>
          <w:snapToGrid/>
        </w:rPr>
        <w:tab/>
        <w:t xml:space="preserve">380.  </w:t>
      </w:r>
      <w:r>
        <w:rPr>
          <w:rFonts w:hint="eastAsia"/>
          <w:snapToGrid/>
        </w:rPr>
        <w:t>社会援助的发放对象应当是那些暂时或长期处于社会风险中的人。确定存在社会风险的因素有：家庭遗弃、父母亡故、失去住房、身体或智力残障、疾病、多子女家庭、单亲家庭、吸毒者和酗酒者，以及自然和生态灾害的后果。</w:t>
      </w:r>
    </w:p>
    <w:p w:rsidR="00000000" w:rsidRDefault="00000000">
      <w:pPr>
        <w:rPr>
          <w:rFonts w:hint="eastAsia"/>
          <w:snapToGrid/>
        </w:rPr>
      </w:pPr>
      <w:r>
        <w:rPr>
          <w:rFonts w:hint="eastAsia"/>
          <w:snapToGrid/>
        </w:rPr>
        <w:tab/>
        <w:t>3</w:t>
      </w:r>
      <w:r>
        <w:rPr>
          <w:snapToGrid/>
        </w:rPr>
        <w:t>81.</w:t>
      </w:r>
      <w:r>
        <w:rPr>
          <w:rFonts w:hint="eastAsia"/>
          <w:snapToGrid/>
        </w:rPr>
        <w:t xml:space="preserve">  </w:t>
      </w:r>
      <w:r>
        <w:rPr>
          <w:rFonts w:hint="eastAsia"/>
          <w:snapToGrid/>
        </w:rPr>
        <w:t>社会援助制度改革设想的目标如下：</w:t>
      </w:r>
    </w:p>
    <w:p w:rsidR="00000000" w:rsidRDefault="00000000">
      <w:pPr>
        <w:numPr>
          <w:ilvl w:val="0"/>
          <w:numId w:val="539"/>
        </w:numPr>
        <w:rPr>
          <w:rFonts w:hint="eastAsia"/>
          <w:snapToGrid/>
        </w:rPr>
      </w:pPr>
      <w:r>
        <w:rPr>
          <w:rFonts w:hint="eastAsia"/>
          <w:snapToGrid/>
        </w:rPr>
        <w:t>建立法律、行政组织和财务制度；</w:t>
      </w:r>
    </w:p>
    <w:p w:rsidR="00000000" w:rsidRDefault="00000000">
      <w:pPr>
        <w:numPr>
          <w:ilvl w:val="0"/>
          <w:numId w:val="539"/>
        </w:numPr>
        <w:rPr>
          <w:rFonts w:hint="eastAsia"/>
          <w:snapToGrid/>
        </w:rPr>
      </w:pPr>
      <w:r>
        <w:rPr>
          <w:rFonts w:hint="eastAsia"/>
          <w:snapToGrid/>
        </w:rPr>
        <w:t>分析和估计产生社会援助需求的社会经济现象；</w:t>
      </w:r>
    </w:p>
    <w:p w:rsidR="00000000" w:rsidRDefault="00000000">
      <w:pPr>
        <w:numPr>
          <w:ilvl w:val="0"/>
          <w:numId w:val="539"/>
        </w:numPr>
        <w:rPr>
          <w:rFonts w:hint="eastAsia"/>
          <w:snapToGrid/>
        </w:rPr>
      </w:pPr>
      <w:r>
        <w:rPr>
          <w:rFonts w:hint="eastAsia"/>
          <w:snapToGrid/>
        </w:rPr>
        <w:t>制定享有支助的条件，建立管理部门，并按照法律规定支付补偿；</w:t>
      </w:r>
    </w:p>
    <w:p w:rsidR="00000000" w:rsidRDefault="00000000">
      <w:pPr>
        <w:numPr>
          <w:ilvl w:val="0"/>
          <w:numId w:val="539"/>
        </w:numPr>
        <w:rPr>
          <w:rFonts w:hint="eastAsia"/>
          <w:snapToGrid/>
        </w:rPr>
      </w:pPr>
      <w:r>
        <w:rPr>
          <w:rFonts w:hint="eastAsia"/>
          <w:snapToGrid/>
        </w:rPr>
        <w:t>确定和鼓励开展社会专业活动，以便帮助易遭风险的人和家庭以及可能要求提供社会援助的那些人；</w:t>
      </w:r>
    </w:p>
    <w:p w:rsidR="00000000" w:rsidRDefault="00000000">
      <w:pPr>
        <w:numPr>
          <w:ilvl w:val="0"/>
          <w:numId w:val="539"/>
        </w:numPr>
        <w:rPr>
          <w:rFonts w:hint="eastAsia"/>
          <w:snapToGrid/>
        </w:rPr>
      </w:pPr>
      <w:r>
        <w:rPr>
          <w:rFonts w:hint="eastAsia"/>
          <w:snapToGrid/>
        </w:rPr>
        <w:t>对向有困难的人员和家庭提供援助的社会工作人员进行培训，提高他们在安排其他人的社会经济和职业生活方面的能力；</w:t>
      </w:r>
    </w:p>
    <w:p w:rsidR="00000000" w:rsidRDefault="00000000">
      <w:pPr>
        <w:numPr>
          <w:ilvl w:val="0"/>
          <w:numId w:val="539"/>
        </w:numPr>
        <w:rPr>
          <w:rFonts w:hint="eastAsia"/>
          <w:snapToGrid/>
        </w:rPr>
      </w:pPr>
      <w:r>
        <w:rPr>
          <w:rFonts w:hint="eastAsia"/>
          <w:snapToGrid/>
        </w:rPr>
        <w:t>确定对某些群体的未成年人、成年残疾人和接受社会援助的老年人的新的、非制度化形式的保护。</w:t>
      </w:r>
    </w:p>
    <w:p w:rsidR="00000000" w:rsidRDefault="00000000">
      <w:pPr>
        <w:rPr>
          <w:rFonts w:hint="eastAsia"/>
          <w:snapToGrid/>
        </w:rPr>
      </w:pPr>
      <w:r>
        <w:rPr>
          <w:rFonts w:hint="eastAsia"/>
          <w:snapToGrid/>
        </w:rPr>
        <w:tab/>
        <w:t xml:space="preserve">382.  </w:t>
      </w:r>
      <w:r>
        <w:rPr>
          <w:rFonts w:hint="eastAsia"/>
          <w:snapToGrid/>
        </w:rPr>
        <w:t>对社会援助的法律和行政组织制度也应当进行改革。法律制度的改革需要通过以下法律文书：</w:t>
      </w:r>
    </w:p>
    <w:p w:rsidR="00000000" w:rsidRDefault="00000000">
      <w:pPr>
        <w:pStyle w:val="ac"/>
        <w:rPr>
          <w:rFonts w:hint="eastAsia"/>
          <w:snapToGrid/>
        </w:rPr>
      </w:pPr>
      <w:r>
        <w:rPr>
          <w:rFonts w:hint="eastAsia"/>
          <w:snapToGrid/>
        </w:rPr>
        <w:t>《社会援助法》；</w:t>
      </w:r>
    </w:p>
    <w:p w:rsidR="00000000" w:rsidRDefault="00000000">
      <w:pPr>
        <w:pStyle w:val="ac"/>
        <w:rPr>
          <w:rFonts w:hint="eastAsia"/>
          <w:snapToGrid/>
        </w:rPr>
      </w:pPr>
      <w:r>
        <w:rPr>
          <w:rFonts w:hint="eastAsia"/>
          <w:snapToGrid/>
        </w:rPr>
        <w:t>《家庭拨款法》；</w:t>
      </w:r>
    </w:p>
    <w:p w:rsidR="00000000" w:rsidRDefault="00000000">
      <w:pPr>
        <w:pStyle w:val="ac"/>
        <w:rPr>
          <w:rFonts w:hint="eastAsia"/>
          <w:snapToGrid/>
        </w:rPr>
      </w:pPr>
      <w:r>
        <w:rPr>
          <w:rFonts w:hint="eastAsia"/>
          <w:snapToGrid/>
        </w:rPr>
        <w:t>《老年人社会援助法》；</w:t>
      </w:r>
    </w:p>
    <w:p w:rsidR="00000000" w:rsidRDefault="00000000">
      <w:pPr>
        <w:pStyle w:val="ac"/>
        <w:rPr>
          <w:rFonts w:hint="eastAsia"/>
          <w:snapToGrid/>
        </w:rPr>
      </w:pPr>
      <w:r>
        <w:rPr>
          <w:rFonts w:hint="eastAsia"/>
          <w:snapToGrid/>
        </w:rPr>
        <w:t>《残疾人社会保护法修订和修正法》；</w:t>
      </w:r>
    </w:p>
    <w:p w:rsidR="00000000" w:rsidRDefault="00000000">
      <w:pPr>
        <w:pStyle w:val="ac"/>
        <w:rPr>
          <w:rFonts w:hint="eastAsia"/>
          <w:snapToGrid/>
        </w:rPr>
      </w:pPr>
      <w:r>
        <w:rPr>
          <w:rFonts w:hint="eastAsia"/>
          <w:snapToGrid/>
        </w:rPr>
        <w:t>《最低生存条件法》；</w:t>
      </w:r>
    </w:p>
    <w:p w:rsidR="00000000" w:rsidRDefault="00000000">
      <w:pPr>
        <w:pStyle w:val="ac"/>
        <w:rPr>
          <w:rFonts w:hint="eastAsia"/>
          <w:snapToGrid/>
        </w:rPr>
      </w:pPr>
      <w:r>
        <w:rPr>
          <w:rFonts w:hint="eastAsia"/>
          <w:snapToGrid/>
        </w:rPr>
        <w:t>《社会援助救济站法》；</w:t>
      </w:r>
    </w:p>
    <w:p w:rsidR="00000000" w:rsidRDefault="00000000">
      <w:pPr>
        <w:pStyle w:val="ac"/>
        <w:rPr>
          <w:rFonts w:hint="eastAsia"/>
          <w:snapToGrid/>
        </w:rPr>
      </w:pPr>
      <w:r>
        <w:rPr>
          <w:rFonts w:hint="eastAsia"/>
          <w:snapToGrid/>
        </w:rPr>
        <w:t>《自愿工作法》；</w:t>
      </w:r>
    </w:p>
    <w:p w:rsidR="00000000" w:rsidRDefault="00000000">
      <w:pPr>
        <w:pStyle w:val="ac"/>
        <w:spacing w:after="320"/>
        <w:rPr>
          <w:rFonts w:hint="eastAsia"/>
          <w:snapToGrid/>
        </w:rPr>
      </w:pPr>
      <w:r>
        <w:rPr>
          <w:rFonts w:hint="eastAsia"/>
          <w:snapToGrid/>
        </w:rPr>
        <w:t>《社会援助基金法》。</w:t>
      </w:r>
    </w:p>
    <w:p w:rsidR="00000000" w:rsidRDefault="00000000">
      <w:pPr>
        <w:pStyle w:val="Heading4"/>
        <w:rPr>
          <w:rFonts w:hint="eastAsia"/>
        </w:rPr>
      </w:pPr>
      <w:r>
        <w:rPr>
          <w:rFonts w:hint="eastAsia"/>
        </w:rPr>
        <w:t>行政组织制度的改革</w:t>
      </w:r>
    </w:p>
    <w:p w:rsidR="00000000" w:rsidRDefault="00000000">
      <w:pPr>
        <w:rPr>
          <w:rFonts w:hint="eastAsia"/>
          <w:snapToGrid/>
        </w:rPr>
      </w:pPr>
      <w:r>
        <w:rPr>
          <w:rFonts w:hint="eastAsia"/>
          <w:snapToGrid/>
        </w:rPr>
        <w:tab/>
        <w:t xml:space="preserve">383.  </w:t>
      </w:r>
      <w:r>
        <w:rPr>
          <w:rFonts w:hint="eastAsia"/>
          <w:snapToGrid/>
        </w:rPr>
        <w:t>这项改革的一个优先事项是，建立一个中央专门机构</w:t>
      </w:r>
      <w:r>
        <w:rPr>
          <w:rFonts w:hint="eastAsia"/>
          <w:snapToGrid/>
        </w:rPr>
        <w:t>(</w:t>
      </w:r>
      <w:r>
        <w:rPr>
          <w:rFonts w:hint="eastAsia"/>
          <w:snapToGrid/>
        </w:rPr>
        <w:t>部或局</w:t>
      </w:r>
      <w:r>
        <w:rPr>
          <w:rFonts w:hint="eastAsia"/>
          <w:snapToGrid/>
        </w:rPr>
        <w:t>)</w:t>
      </w:r>
      <w:r>
        <w:rPr>
          <w:rFonts w:hint="eastAsia"/>
          <w:snapToGrid/>
        </w:rPr>
        <w:t>，负责促进实施新的社会保障管理政策。地方一级社会保障管理政策必须按照社会保障方针予以宣传和促进，并由社会保障办公室与地方政府行政部门、非政府慈善组织和宗教组织、基金会及私人共同贯彻执行。</w:t>
      </w:r>
    </w:p>
    <w:p w:rsidR="00000000" w:rsidRDefault="00000000">
      <w:pPr>
        <w:spacing w:after="320"/>
        <w:rPr>
          <w:rFonts w:hint="eastAsia"/>
          <w:snapToGrid/>
        </w:rPr>
      </w:pPr>
      <w:r>
        <w:rPr>
          <w:rFonts w:hint="eastAsia"/>
          <w:snapToGrid/>
        </w:rPr>
        <w:tab/>
        <w:t xml:space="preserve">384.  </w:t>
      </w:r>
      <w:r>
        <w:rPr>
          <w:rFonts w:hint="eastAsia"/>
          <w:snapToGrid/>
        </w:rPr>
        <w:t>为制定和实现促进摩尔多瓦共和国社会经济发展战略，应当在法律、经济和组织各个领域中开展相关的活动。国家的长期任务是，促进人的社会保护、教育、保健、消灭贫穷方案、环境保护等不同社会部门以及经济部门的发展，包括对能源部门的重组，并制定工业、农业政策和国民经济某些部门的发展方案。</w:t>
      </w:r>
    </w:p>
    <w:p w:rsidR="00000000" w:rsidRDefault="00000000">
      <w:pPr>
        <w:pStyle w:val="Heading4"/>
        <w:rPr>
          <w:rFonts w:hint="eastAsia"/>
        </w:rPr>
      </w:pPr>
      <w:r>
        <w:rPr>
          <w:rFonts w:hint="eastAsia"/>
        </w:rPr>
        <w:t>社会领域改革</w:t>
      </w:r>
    </w:p>
    <w:p w:rsidR="00000000" w:rsidRDefault="00000000">
      <w:pPr>
        <w:rPr>
          <w:rFonts w:hint="eastAsia"/>
          <w:snapToGrid/>
        </w:rPr>
      </w:pPr>
      <w:r>
        <w:rPr>
          <w:rFonts w:hint="eastAsia"/>
          <w:snapToGrid/>
        </w:rPr>
        <w:tab/>
        <w:t xml:space="preserve">385.  </w:t>
      </w:r>
      <w:r>
        <w:rPr>
          <w:rFonts w:hint="eastAsia"/>
          <w:snapToGrid/>
        </w:rPr>
        <w:t>社会状况的发展表明，社会领域的发展步伐缓慢，并且充满矛盾。社会出现了一些积极的趋向，譬如社会民主化和经济自由化趋势，公民现在有可能展示自己的能力、主动精神和专业技能，这是个性得到肯定和决定每个人在社会中的福利的主要因素。教育、文化、保健和社会其他领域的私营部门发展进程虽然缓慢，但保持着强劲的发展势头。人民现在享有在公共和私营服务部门之间做出选择的充分机会。因此，劳动力市场现在是以供求原则和机制为基础。社会伙伴关系和对话日益成为达成公民共识的重要手段。</w:t>
      </w:r>
    </w:p>
    <w:p w:rsidR="00000000" w:rsidRDefault="00000000">
      <w:pPr>
        <w:rPr>
          <w:rFonts w:hint="eastAsia"/>
          <w:snapToGrid/>
        </w:rPr>
      </w:pPr>
      <w:r>
        <w:rPr>
          <w:rFonts w:hint="eastAsia"/>
          <w:snapToGrid/>
        </w:rPr>
        <w:tab/>
        <w:t xml:space="preserve">386.  </w:t>
      </w:r>
      <w:r>
        <w:rPr>
          <w:rFonts w:hint="eastAsia"/>
          <w:snapToGrid/>
        </w:rPr>
        <w:t>另一方面，经济下滑和财政不稳定对社会领域产生了消极影响。由于国内生产总值下降和经济行为主体发展滞缓，与</w:t>
      </w:r>
      <w:r>
        <w:rPr>
          <w:rFonts w:hint="eastAsia"/>
          <w:snapToGrid/>
        </w:rPr>
        <w:t>1991</w:t>
      </w:r>
      <w:r>
        <w:rPr>
          <w:rFonts w:hint="eastAsia"/>
          <w:snapToGrid/>
        </w:rPr>
        <w:t>年相比，半数人的薪金价值已经缩减。失业现象的普遍和强迫性下岗，使就业人数减少。薪金、养恤金和其他社会付款难以维系体面的生活水准，而且此种款项还时常延迟支付。因而社会危机也就影响到新的社会群体。</w:t>
      </w:r>
    </w:p>
    <w:p w:rsidR="00000000" w:rsidRDefault="00000000">
      <w:pPr>
        <w:rPr>
          <w:rFonts w:hint="eastAsia"/>
          <w:snapToGrid/>
        </w:rPr>
      </w:pPr>
      <w:r>
        <w:rPr>
          <w:rFonts w:hint="eastAsia"/>
          <w:snapToGrid/>
        </w:rPr>
        <w:tab/>
        <w:t xml:space="preserve">387.  </w:t>
      </w:r>
      <w:r>
        <w:rPr>
          <w:rFonts w:hint="eastAsia"/>
          <w:snapToGrid/>
        </w:rPr>
        <w:t>社会财政援助资源不足，来源也不稳定。社会方案以公共财政资源为基础，费用浩大，现已成为预算难以承受的沉重负担。目前，社会开支占统一预算的</w:t>
      </w:r>
      <w:r>
        <w:rPr>
          <w:rFonts w:hint="eastAsia"/>
          <w:snapToGrid/>
        </w:rPr>
        <w:t>55%</w:t>
      </w:r>
      <w:r>
        <w:rPr>
          <w:rFonts w:hint="eastAsia"/>
          <w:snapToGrid/>
        </w:rPr>
        <w:t>，甚至超过了某些先进国家的水平。由于管理制度不完善，公共机构网存在缺陷，社会领域的工作很不充分，也缺乏一致性。</w:t>
      </w:r>
    </w:p>
    <w:p w:rsidR="00000000" w:rsidRDefault="00000000">
      <w:pPr>
        <w:rPr>
          <w:rFonts w:hint="eastAsia"/>
          <w:snapToGrid/>
        </w:rPr>
      </w:pPr>
      <w:r>
        <w:rPr>
          <w:rFonts w:hint="eastAsia"/>
          <w:snapToGrid/>
        </w:rPr>
        <w:tab/>
        <w:t xml:space="preserve">388.  </w:t>
      </w:r>
      <w:r>
        <w:rPr>
          <w:rFonts w:hint="eastAsia"/>
          <w:snapToGrid/>
        </w:rPr>
        <w:t>社会改革的目的是要使单一的社会制度逐渐向多元化社会制度过渡，从而保障建立不妨碍经济活动的适当的社会服务制度。社会改革的战略目标是：</w:t>
      </w:r>
    </w:p>
    <w:p w:rsidR="00000000" w:rsidRDefault="00000000">
      <w:pPr>
        <w:numPr>
          <w:ilvl w:val="0"/>
          <w:numId w:val="540"/>
        </w:numPr>
        <w:rPr>
          <w:rFonts w:hint="eastAsia"/>
          <w:snapToGrid/>
        </w:rPr>
      </w:pPr>
      <w:r>
        <w:rPr>
          <w:rFonts w:hint="eastAsia"/>
          <w:snapToGrid/>
        </w:rPr>
        <w:t>重新制定社会方案筹资方法；</w:t>
      </w:r>
    </w:p>
    <w:p w:rsidR="00000000" w:rsidRDefault="00000000">
      <w:pPr>
        <w:numPr>
          <w:ilvl w:val="0"/>
          <w:numId w:val="540"/>
        </w:numPr>
        <w:rPr>
          <w:rFonts w:hint="eastAsia"/>
          <w:snapToGrid/>
        </w:rPr>
      </w:pPr>
      <w:r>
        <w:rPr>
          <w:rFonts w:hint="eastAsia"/>
          <w:snapToGrid/>
        </w:rPr>
        <w:t>修订现行一揽子社会福利并修改福利发放条件；</w:t>
      </w:r>
    </w:p>
    <w:p w:rsidR="00000000" w:rsidRDefault="00000000">
      <w:pPr>
        <w:numPr>
          <w:ilvl w:val="0"/>
          <w:numId w:val="540"/>
        </w:numPr>
        <w:rPr>
          <w:rFonts w:hint="eastAsia"/>
          <w:snapToGrid/>
        </w:rPr>
      </w:pPr>
      <w:r>
        <w:rPr>
          <w:rFonts w:hint="eastAsia"/>
          <w:snapToGrid/>
        </w:rPr>
        <w:t>加强缴款和福利之间的关联，并采用适当方法考察社会服务的实施情况；</w:t>
      </w:r>
    </w:p>
    <w:p w:rsidR="00000000" w:rsidRDefault="00000000">
      <w:pPr>
        <w:numPr>
          <w:ilvl w:val="0"/>
          <w:numId w:val="540"/>
        </w:numPr>
        <w:rPr>
          <w:rFonts w:hint="eastAsia"/>
          <w:snapToGrid/>
        </w:rPr>
      </w:pPr>
      <w:r>
        <w:rPr>
          <w:rFonts w:hint="eastAsia"/>
          <w:snapToGrid/>
        </w:rPr>
        <w:t>修改社会领域机构网络，并在成本利得分析的基础上就其活动作出评估；</w:t>
      </w:r>
    </w:p>
    <w:p w:rsidR="00000000" w:rsidRDefault="00000000">
      <w:pPr>
        <w:numPr>
          <w:ilvl w:val="0"/>
          <w:numId w:val="540"/>
        </w:numPr>
        <w:rPr>
          <w:rFonts w:hint="eastAsia"/>
          <w:snapToGrid/>
        </w:rPr>
      </w:pPr>
      <w:r>
        <w:rPr>
          <w:rFonts w:hint="eastAsia"/>
          <w:snapToGrid/>
        </w:rPr>
        <w:t>建立社会管理体制，并促进提供社会服务方面的组织间行动；</w:t>
      </w:r>
    </w:p>
    <w:p w:rsidR="00000000" w:rsidRDefault="00000000">
      <w:pPr>
        <w:numPr>
          <w:ilvl w:val="0"/>
          <w:numId w:val="540"/>
        </w:numPr>
        <w:rPr>
          <w:rFonts w:hint="eastAsia"/>
          <w:snapToGrid/>
        </w:rPr>
      </w:pPr>
      <w:r>
        <w:rPr>
          <w:rFonts w:hint="eastAsia"/>
          <w:snapToGrid/>
        </w:rPr>
        <w:t>在中央和地方政府行政部门与非政府组织和民间组织之间建立合作关系，以便执行各项社会方案。</w:t>
      </w:r>
    </w:p>
    <w:p w:rsidR="00000000" w:rsidRDefault="00000000">
      <w:pPr>
        <w:rPr>
          <w:rFonts w:hint="eastAsia"/>
          <w:snapToGrid/>
        </w:rPr>
      </w:pPr>
      <w:r>
        <w:rPr>
          <w:rFonts w:hint="eastAsia"/>
          <w:snapToGrid/>
        </w:rPr>
        <w:tab/>
        <w:t xml:space="preserve">389.  </w:t>
      </w:r>
      <w:r>
        <w:rPr>
          <w:rFonts w:hint="eastAsia"/>
          <w:snapToGrid/>
        </w:rPr>
        <w:t>为了实现社会改革之目的，应当采取某些业已证明其对国民经济确有效率的行动。这些行动可以分阶段实施。</w:t>
      </w:r>
    </w:p>
    <w:p w:rsidR="00000000" w:rsidRDefault="00000000">
      <w:pPr>
        <w:rPr>
          <w:rFonts w:hint="eastAsia"/>
          <w:snapToGrid/>
        </w:rPr>
      </w:pPr>
      <w:r>
        <w:rPr>
          <w:rFonts w:hint="eastAsia"/>
          <w:snapToGrid/>
        </w:rPr>
        <w:tab/>
        <w:t xml:space="preserve">390.  </w:t>
      </w:r>
      <w:r>
        <w:rPr>
          <w:rFonts w:hint="eastAsia"/>
          <w:snapToGrid/>
        </w:rPr>
        <w:t>第一阶段</w:t>
      </w:r>
      <w:r>
        <w:rPr>
          <w:rFonts w:hint="eastAsia"/>
          <w:snapToGrid/>
        </w:rPr>
        <w:t>(1998-2000</w:t>
      </w:r>
      <w:r>
        <w:rPr>
          <w:rFonts w:hint="eastAsia"/>
          <w:snapToGrid/>
        </w:rPr>
        <w:t>年</w:t>
      </w:r>
      <w:r>
        <w:rPr>
          <w:rFonts w:hint="eastAsia"/>
          <w:snapToGrid/>
        </w:rPr>
        <w:t>)</w:t>
      </w:r>
      <w:r>
        <w:rPr>
          <w:rFonts w:hint="eastAsia"/>
          <w:snapToGrid/>
        </w:rPr>
        <w:t>。主要任务是停止扶贫支出，消除失业现象，和提供社会保护，特别是对社会弱势群体</w:t>
      </w:r>
      <w:r>
        <w:rPr>
          <w:rFonts w:hint="eastAsia"/>
          <w:snapToGrid/>
        </w:rPr>
        <w:t>(</w:t>
      </w:r>
      <w:r>
        <w:rPr>
          <w:rFonts w:hint="eastAsia"/>
          <w:snapToGrid/>
        </w:rPr>
        <w:t>老年人、残疾人、多子女家庭</w:t>
      </w:r>
      <w:r>
        <w:rPr>
          <w:rFonts w:hint="eastAsia"/>
          <w:snapToGrid/>
        </w:rPr>
        <w:t>)</w:t>
      </w:r>
      <w:r>
        <w:rPr>
          <w:rFonts w:hint="eastAsia"/>
          <w:snapToGrid/>
        </w:rPr>
        <w:t>的社会保护。这一阶段可集中采取以下措施：</w:t>
      </w:r>
    </w:p>
    <w:p w:rsidR="00000000" w:rsidRDefault="00000000">
      <w:pPr>
        <w:numPr>
          <w:ilvl w:val="0"/>
          <w:numId w:val="541"/>
        </w:numPr>
        <w:rPr>
          <w:rFonts w:hint="eastAsia"/>
          <w:snapToGrid/>
        </w:rPr>
      </w:pPr>
      <w:r>
        <w:rPr>
          <w:rFonts w:hint="eastAsia"/>
          <w:snapToGrid/>
        </w:rPr>
        <w:t>减少经常政府开支，为解决主要社会问题而筹措资金；</w:t>
      </w:r>
    </w:p>
    <w:p w:rsidR="00000000" w:rsidRDefault="00000000">
      <w:pPr>
        <w:numPr>
          <w:ilvl w:val="0"/>
          <w:numId w:val="541"/>
        </w:numPr>
        <w:rPr>
          <w:rFonts w:hint="eastAsia"/>
          <w:snapToGrid/>
        </w:rPr>
      </w:pPr>
      <w:r>
        <w:rPr>
          <w:rFonts w:hint="eastAsia"/>
          <w:snapToGrid/>
        </w:rPr>
        <w:t>改革现行社会福利制度，严格福利发放条件；</w:t>
      </w:r>
    </w:p>
    <w:p w:rsidR="00000000" w:rsidRDefault="00000000">
      <w:pPr>
        <w:numPr>
          <w:ilvl w:val="0"/>
          <w:numId w:val="541"/>
        </w:numPr>
        <w:rPr>
          <w:rFonts w:hint="eastAsia"/>
          <w:snapToGrid/>
        </w:rPr>
      </w:pPr>
      <w:r>
        <w:rPr>
          <w:rFonts w:hint="eastAsia"/>
          <w:snapToGrid/>
        </w:rPr>
        <w:t>减少并逐步取消福利</w:t>
      </w:r>
      <w:r>
        <w:rPr>
          <w:rFonts w:hint="eastAsia"/>
          <w:snapToGrid/>
        </w:rPr>
        <w:t>(</w:t>
      </w:r>
      <w:r>
        <w:rPr>
          <w:rFonts w:hint="eastAsia"/>
          <w:snapToGrid/>
        </w:rPr>
        <w:t>养恤金、补偿金、拨款，等等</w:t>
      </w:r>
      <w:r>
        <w:rPr>
          <w:rFonts w:hint="eastAsia"/>
          <w:snapToGrid/>
        </w:rPr>
        <w:t>)</w:t>
      </w:r>
      <w:r>
        <w:rPr>
          <w:rFonts w:hint="eastAsia"/>
          <w:snapToGrid/>
        </w:rPr>
        <w:t>；</w:t>
      </w:r>
    </w:p>
    <w:p w:rsidR="00000000" w:rsidRDefault="00000000">
      <w:pPr>
        <w:numPr>
          <w:ilvl w:val="0"/>
          <w:numId w:val="541"/>
        </w:numPr>
        <w:rPr>
          <w:rFonts w:hint="eastAsia"/>
          <w:snapToGrid/>
        </w:rPr>
      </w:pPr>
      <w:r>
        <w:rPr>
          <w:rFonts w:hint="eastAsia"/>
          <w:snapToGrid/>
        </w:rPr>
        <w:t>补发未偿付薪金和养恤金，并最终消除逾期付款问题；</w:t>
      </w:r>
    </w:p>
    <w:p w:rsidR="00000000" w:rsidRDefault="00000000">
      <w:pPr>
        <w:numPr>
          <w:ilvl w:val="0"/>
          <w:numId w:val="541"/>
        </w:numPr>
        <w:rPr>
          <w:rFonts w:hint="eastAsia"/>
          <w:snapToGrid/>
        </w:rPr>
      </w:pPr>
      <w:r>
        <w:rPr>
          <w:rFonts w:hint="eastAsia"/>
          <w:snapToGrid/>
        </w:rPr>
        <w:t>加强财务纪律；</w:t>
      </w:r>
    </w:p>
    <w:p w:rsidR="00000000" w:rsidRDefault="00000000">
      <w:pPr>
        <w:numPr>
          <w:ilvl w:val="0"/>
          <w:numId w:val="541"/>
        </w:numPr>
        <w:rPr>
          <w:rFonts w:hint="eastAsia"/>
          <w:snapToGrid/>
        </w:rPr>
      </w:pPr>
      <w:r>
        <w:rPr>
          <w:rFonts w:hint="eastAsia"/>
          <w:snapToGrid/>
        </w:rPr>
        <w:t>制定援助领取资格的考查办法；</w:t>
      </w:r>
    </w:p>
    <w:p w:rsidR="00000000" w:rsidRDefault="00000000">
      <w:pPr>
        <w:numPr>
          <w:ilvl w:val="0"/>
          <w:numId w:val="541"/>
        </w:numPr>
        <w:rPr>
          <w:rFonts w:hint="eastAsia"/>
          <w:snapToGrid/>
        </w:rPr>
      </w:pPr>
      <w:r>
        <w:rPr>
          <w:rFonts w:hint="eastAsia"/>
          <w:snapToGrid/>
        </w:rPr>
        <w:t>制定和适用国家保障的最低社会标准，并确保所有人均可获得社会服务；</w:t>
      </w:r>
    </w:p>
    <w:p w:rsidR="00000000" w:rsidRDefault="00000000">
      <w:pPr>
        <w:numPr>
          <w:ilvl w:val="0"/>
          <w:numId w:val="541"/>
        </w:numPr>
        <w:rPr>
          <w:rFonts w:hint="eastAsia"/>
          <w:snapToGrid/>
        </w:rPr>
      </w:pPr>
      <w:r>
        <w:rPr>
          <w:rFonts w:hint="eastAsia"/>
          <w:snapToGrid/>
        </w:rPr>
        <w:t>防止发生雇员失业和普遍辞退现象；</w:t>
      </w:r>
    </w:p>
    <w:p w:rsidR="00000000" w:rsidRDefault="00000000">
      <w:pPr>
        <w:numPr>
          <w:ilvl w:val="0"/>
          <w:numId w:val="541"/>
        </w:numPr>
        <w:rPr>
          <w:rFonts w:hint="eastAsia"/>
          <w:snapToGrid/>
        </w:rPr>
      </w:pPr>
      <w:r>
        <w:rPr>
          <w:rFonts w:hint="eastAsia"/>
          <w:snapToGrid/>
        </w:rPr>
        <w:t>对现行劳动薪酬制度进行改革，增强薪金作为财政收入主要来源的作用，并确保薪酬平等；</w:t>
      </w:r>
    </w:p>
    <w:p w:rsidR="00000000" w:rsidRDefault="00000000">
      <w:pPr>
        <w:numPr>
          <w:ilvl w:val="0"/>
          <w:numId w:val="541"/>
        </w:numPr>
        <w:rPr>
          <w:rFonts w:hint="eastAsia"/>
          <w:snapToGrid/>
        </w:rPr>
      </w:pPr>
      <w:r>
        <w:rPr>
          <w:rFonts w:hint="eastAsia"/>
          <w:snapToGrid/>
        </w:rPr>
        <w:t>由国家统筹安排具有社会重要意义的货物和产品，确保将它们列入中央和地方的预算以及年度长期方案；</w:t>
      </w:r>
    </w:p>
    <w:p w:rsidR="00000000" w:rsidRDefault="00000000">
      <w:pPr>
        <w:numPr>
          <w:ilvl w:val="0"/>
          <w:numId w:val="541"/>
        </w:numPr>
        <w:rPr>
          <w:rFonts w:hint="eastAsia"/>
          <w:snapToGrid/>
        </w:rPr>
      </w:pPr>
      <w:r>
        <w:rPr>
          <w:rFonts w:hint="eastAsia"/>
          <w:snapToGrid/>
        </w:rPr>
        <w:t>改进就业法，并设立全国就业和职业培训署，根据三方原则进行管理。</w:t>
      </w:r>
    </w:p>
    <w:p w:rsidR="00000000" w:rsidRDefault="00000000">
      <w:pPr>
        <w:rPr>
          <w:rFonts w:hint="eastAsia"/>
          <w:snapToGrid/>
        </w:rPr>
      </w:pPr>
      <w:r>
        <w:rPr>
          <w:rFonts w:hint="eastAsia"/>
          <w:snapToGrid/>
        </w:rPr>
        <w:tab/>
        <w:t>3</w:t>
      </w:r>
      <w:r>
        <w:rPr>
          <w:snapToGrid/>
        </w:rPr>
        <w:t>91.</w:t>
      </w:r>
      <w:r>
        <w:rPr>
          <w:rFonts w:hint="eastAsia"/>
          <w:snapToGrid/>
        </w:rPr>
        <w:t xml:space="preserve">  1998</w:t>
      </w:r>
      <w:r>
        <w:rPr>
          <w:rFonts w:hint="eastAsia"/>
          <w:snapToGrid/>
        </w:rPr>
        <w:t>年期间，开展了法律基础建设工作，设立了劳动报酬、保健和文化领域社会保障制度改革机制。按照《教育法》，教育制度改革将在各级深入开展。因此，本阶段将要完成两项任务：</w:t>
      </w:r>
      <w:r>
        <w:rPr>
          <w:rFonts w:hint="eastAsia"/>
          <w:snapToGrid/>
        </w:rPr>
        <w:t>(</w:t>
      </w:r>
      <w:r>
        <w:rPr>
          <w:rFonts w:hint="eastAsia"/>
          <w:snapToGrid/>
        </w:rPr>
        <w:t>一</w:t>
      </w:r>
      <w:r>
        <w:rPr>
          <w:rFonts w:hint="eastAsia"/>
          <w:snapToGrid/>
        </w:rPr>
        <w:t>)</w:t>
      </w:r>
      <w:r>
        <w:rPr>
          <w:rFonts w:hint="eastAsia"/>
          <w:snapToGrid/>
        </w:rPr>
        <w:t>社会部门将要适应市场经济状况；</w:t>
      </w:r>
      <w:r>
        <w:rPr>
          <w:rFonts w:hint="eastAsia"/>
          <w:snapToGrid/>
        </w:rPr>
        <w:t>(</w:t>
      </w:r>
      <w:r>
        <w:rPr>
          <w:rFonts w:hint="eastAsia"/>
          <w:snapToGrid/>
        </w:rPr>
        <w:t>二</w:t>
      </w:r>
      <w:r>
        <w:rPr>
          <w:rFonts w:hint="eastAsia"/>
          <w:snapToGrid/>
        </w:rPr>
        <w:t>)</w:t>
      </w:r>
      <w:r>
        <w:rPr>
          <w:rFonts w:hint="eastAsia"/>
          <w:snapToGrid/>
        </w:rPr>
        <w:t>在社会领域中将实现对财政和物质资源有效合理的使用。</w:t>
      </w:r>
    </w:p>
    <w:p w:rsidR="00000000" w:rsidRDefault="00000000">
      <w:pPr>
        <w:rPr>
          <w:rFonts w:hint="eastAsia"/>
          <w:snapToGrid/>
        </w:rPr>
      </w:pPr>
      <w:r>
        <w:rPr>
          <w:rFonts w:hint="eastAsia"/>
          <w:snapToGrid/>
        </w:rPr>
        <w:tab/>
        <w:t xml:space="preserve">392.  </w:t>
      </w:r>
      <w:r>
        <w:rPr>
          <w:rFonts w:hint="eastAsia"/>
          <w:snapToGrid/>
        </w:rPr>
        <w:t>第二阶段</w:t>
      </w:r>
      <w:r>
        <w:rPr>
          <w:rFonts w:hint="eastAsia"/>
          <w:snapToGrid/>
        </w:rPr>
        <w:t>(2000-2005</w:t>
      </w:r>
      <w:r>
        <w:rPr>
          <w:rFonts w:hint="eastAsia"/>
          <w:snapToGrid/>
        </w:rPr>
        <w:t>年</w:t>
      </w:r>
      <w:r>
        <w:rPr>
          <w:rFonts w:hint="eastAsia"/>
          <w:snapToGrid/>
        </w:rPr>
        <w:t>)</w:t>
      </w:r>
      <w:r>
        <w:rPr>
          <w:rFonts w:hint="eastAsia"/>
          <w:snapToGrid/>
        </w:rPr>
        <w:t>。任务是确保达到体面的生活标准。这一阶段的目标如下：</w:t>
      </w:r>
    </w:p>
    <w:p w:rsidR="00000000" w:rsidRDefault="00000000">
      <w:pPr>
        <w:numPr>
          <w:ilvl w:val="0"/>
          <w:numId w:val="542"/>
        </w:numPr>
        <w:rPr>
          <w:rFonts w:hint="eastAsia"/>
          <w:snapToGrid/>
        </w:rPr>
      </w:pPr>
      <w:r>
        <w:rPr>
          <w:rFonts w:hint="eastAsia"/>
          <w:snapToGrid/>
        </w:rPr>
        <w:t>为企业活动发展创造有利条件；</w:t>
      </w:r>
    </w:p>
    <w:p w:rsidR="00000000" w:rsidRDefault="00000000">
      <w:pPr>
        <w:numPr>
          <w:ilvl w:val="0"/>
          <w:numId w:val="542"/>
        </w:numPr>
        <w:rPr>
          <w:rFonts w:hint="eastAsia"/>
          <w:snapToGrid/>
        </w:rPr>
      </w:pPr>
      <w:r>
        <w:rPr>
          <w:rFonts w:hint="eastAsia"/>
          <w:snapToGrid/>
        </w:rPr>
        <w:t>加强调查程序，创造新的工作机会；</w:t>
      </w:r>
    </w:p>
    <w:p w:rsidR="00000000" w:rsidRDefault="00000000">
      <w:pPr>
        <w:numPr>
          <w:ilvl w:val="0"/>
          <w:numId w:val="542"/>
        </w:numPr>
        <w:rPr>
          <w:rFonts w:hint="eastAsia"/>
          <w:snapToGrid/>
        </w:rPr>
      </w:pPr>
      <w:r>
        <w:rPr>
          <w:rFonts w:hint="eastAsia"/>
          <w:snapToGrid/>
        </w:rPr>
        <w:t>逐渐加大最低薪金保障；</w:t>
      </w:r>
    </w:p>
    <w:p w:rsidR="00000000" w:rsidRDefault="00000000">
      <w:pPr>
        <w:numPr>
          <w:ilvl w:val="0"/>
          <w:numId w:val="542"/>
        </w:numPr>
        <w:rPr>
          <w:rFonts w:hint="eastAsia"/>
          <w:snapToGrid/>
        </w:rPr>
      </w:pPr>
      <w:r>
        <w:rPr>
          <w:rFonts w:hint="eastAsia"/>
          <w:snapToGrid/>
        </w:rPr>
        <w:t>将社会保护范围扩大到受失业影响的人；</w:t>
      </w:r>
    </w:p>
    <w:p w:rsidR="00000000" w:rsidRDefault="00000000">
      <w:pPr>
        <w:numPr>
          <w:ilvl w:val="0"/>
          <w:numId w:val="542"/>
        </w:numPr>
        <w:rPr>
          <w:rFonts w:hint="eastAsia"/>
          <w:snapToGrid/>
        </w:rPr>
      </w:pPr>
      <w:r>
        <w:rPr>
          <w:rFonts w:hint="eastAsia"/>
          <w:snapToGrid/>
        </w:rPr>
        <w:t>充分利用社会政府开支，实行最低限度的公共标准；</w:t>
      </w:r>
    </w:p>
    <w:p w:rsidR="00000000" w:rsidRDefault="00000000">
      <w:pPr>
        <w:numPr>
          <w:ilvl w:val="0"/>
          <w:numId w:val="542"/>
        </w:numPr>
        <w:rPr>
          <w:rFonts w:hint="eastAsia"/>
          <w:snapToGrid/>
        </w:rPr>
      </w:pPr>
      <w:r>
        <w:rPr>
          <w:rFonts w:hint="eastAsia"/>
          <w:snapToGrid/>
        </w:rPr>
        <w:t>确保长期而持久地为社会领域筹措资金。</w:t>
      </w:r>
    </w:p>
    <w:p w:rsidR="00000000" w:rsidRDefault="00000000">
      <w:pPr>
        <w:rPr>
          <w:rFonts w:hint="eastAsia"/>
          <w:snapToGrid/>
        </w:rPr>
      </w:pPr>
      <w:r>
        <w:rPr>
          <w:rFonts w:hint="eastAsia"/>
          <w:snapToGrid/>
        </w:rPr>
        <w:tab/>
        <w:t xml:space="preserve">393.  </w:t>
      </w:r>
      <w:r>
        <w:rPr>
          <w:rFonts w:hint="eastAsia"/>
          <w:snapToGrid/>
        </w:rPr>
        <w:t>考虑到任务的繁重和复杂性，在促进社会改革方面将要优先开展的工作如下：</w:t>
      </w:r>
    </w:p>
    <w:p w:rsidR="00000000" w:rsidRDefault="00000000">
      <w:pPr>
        <w:numPr>
          <w:ilvl w:val="0"/>
          <w:numId w:val="545"/>
        </w:numPr>
        <w:rPr>
          <w:rFonts w:hint="eastAsia"/>
          <w:snapToGrid/>
        </w:rPr>
      </w:pPr>
      <w:r>
        <w:rPr>
          <w:rFonts w:hint="eastAsia"/>
          <w:snapToGrid/>
        </w:rPr>
        <w:t>在劳资关系方面，将建立和实施适当的机制，以确保所有经济行为主体遵守国家规定的最低限度的保障。主要保障是按时支付劳动报酬，以及提供保护和良好工作条件。劳动报酬制度将按照以下措施予以改进：</w:t>
      </w:r>
    </w:p>
    <w:p w:rsidR="00000000" w:rsidRDefault="00000000">
      <w:pPr>
        <w:numPr>
          <w:ilvl w:val="1"/>
          <w:numId w:val="545"/>
        </w:numPr>
        <w:ind w:left="2051"/>
        <w:rPr>
          <w:rFonts w:hint="eastAsia"/>
          <w:snapToGrid/>
        </w:rPr>
      </w:pPr>
      <w:r>
        <w:rPr>
          <w:rFonts w:hint="eastAsia"/>
          <w:snapToGrid/>
        </w:rPr>
        <w:t>民间领域将建立一种保障体系，以确保在雇员和雇主签定的集体合同的基础上，雇员可享有与其资格相符的最低限度的报酬。政府将鼓励经济行为主体从其个人收入中拿出部分资金设立一项薪金基金。该基金将用于在财政紧张的个别情况下支付薪金；</w:t>
      </w:r>
    </w:p>
    <w:p w:rsidR="00000000" w:rsidRDefault="00000000">
      <w:pPr>
        <w:numPr>
          <w:ilvl w:val="1"/>
          <w:numId w:val="545"/>
        </w:numPr>
        <w:ind w:left="2051"/>
        <w:rPr>
          <w:rFonts w:hint="eastAsia"/>
          <w:snapToGrid/>
        </w:rPr>
      </w:pPr>
      <w:r>
        <w:rPr>
          <w:rFonts w:hint="eastAsia"/>
          <w:snapToGrid/>
        </w:rPr>
        <w:t>在公共领域，将制定单一的薪级表，以鼓励高产量的工作并奖励高资历和高质量的工作。还将确保公共和民间领域的平均薪金登记具有相关性。</w:t>
      </w:r>
    </w:p>
    <w:p w:rsidR="00000000" w:rsidRDefault="00000000">
      <w:pPr>
        <w:numPr>
          <w:ilvl w:val="0"/>
          <w:numId w:val="545"/>
        </w:numPr>
        <w:rPr>
          <w:rFonts w:hint="eastAsia"/>
          <w:snapToGrid/>
        </w:rPr>
      </w:pPr>
      <w:r>
        <w:rPr>
          <w:rFonts w:hint="eastAsia"/>
          <w:snapToGrid/>
        </w:rPr>
        <w:t>劳动保护：在经济行为主体实行灵活的奖惩制度的基础上，从对工人的被动保护</w:t>
      </w:r>
      <w:r>
        <w:rPr>
          <w:rFonts w:hint="eastAsia"/>
          <w:snapToGrid/>
        </w:rPr>
        <w:t>(</w:t>
      </w:r>
      <w:r>
        <w:rPr>
          <w:rFonts w:hint="eastAsia"/>
          <w:snapToGrid/>
        </w:rPr>
        <w:t>对不利的工作条件提供便利和补偿</w:t>
      </w:r>
      <w:r>
        <w:rPr>
          <w:rFonts w:hint="eastAsia"/>
          <w:snapToGrid/>
        </w:rPr>
        <w:t>)</w:t>
      </w:r>
      <w:r>
        <w:rPr>
          <w:rFonts w:hint="eastAsia"/>
          <w:snapToGrid/>
        </w:rPr>
        <w:t>转向主动保护</w:t>
      </w:r>
      <w:r>
        <w:rPr>
          <w:rFonts w:hint="eastAsia"/>
          <w:snapToGrid/>
        </w:rPr>
        <w:t>(</w:t>
      </w:r>
      <w:r>
        <w:rPr>
          <w:rFonts w:hint="eastAsia"/>
          <w:snapToGrid/>
        </w:rPr>
        <w:t>防止发生工伤事故和改善劳动条件</w:t>
      </w:r>
      <w:r>
        <w:rPr>
          <w:rFonts w:hint="eastAsia"/>
          <w:snapToGrid/>
        </w:rPr>
        <w:t>)</w:t>
      </w:r>
      <w:r>
        <w:rPr>
          <w:rFonts w:hint="eastAsia"/>
          <w:snapToGrid/>
        </w:rPr>
        <w:t>；</w:t>
      </w:r>
    </w:p>
    <w:p w:rsidR="00000000" w:rsidRDefault="00000000">
      <w:pPr>
        <w:numPr>
          <w:ilvl w:val="0"/>
          <w:numId w:val="545"/>
        </w:numPr>
        <w:rPr>
          <w:rFonts w:hint="eastAsia"/>
          <w:snapToGrid/>
        </w:rPr>
      </w:pPr>
      <w:r>
        <w:rPr>
          <w:rFonts w:hint="eastAsia"/>
          <w:snapToGrid/>
        </w:rPr>
        <w:t>使用劳动力：今后工作重点将特别侧重于，实施关于劳动力市场的积极措施；拟订和实施经济机制，以便确保实现最佳的供求关系平衡状态，防止解雇雇员，对失业人员开展专业培训，重新制定财务机制，并设立一项失业基金，以加强对失业人员的社会保护措施。</w:t>
      </w:r>
    </w:p>
    <w:p w:rsidR="00000000" w:rsidRDefault="00000000">
      <w:pPr>
        <w:rPr>
          <w:rFonts w:hint="eastAsia"/>
          <w:snapToGrid/>
        </w:rPr>
      </w:pPr>
      <w:r>
        <w:rPr>
          <w:rFonts w:hint="eastAsia"/>
          <w:snapToGrid/>
        </w:rPr>
        <w:tab/>
        <w:t xml:space="preserve">394.  </w:t>
      </w:r>
      <w:r>
        <w:rPr>
          <w:rFonts w:hint="eastAsia"/>
          <w:snapToGrid/>
        </w:rPr>
        <w:t>修改社会保障制度，将以多样化和独立的社会保障形式为目标。在这方面，重点将增加雇员和雇主对发放社会付款的责任。社会福利将与对社会预算的缴款比例直接挂钩。强制性和自愿形式的民间保险也将得到发展。</w:t>
      </w:r>
    </w:p>
    <w:p w:rsidR="00000000" w:rsidRDefault="00000000">
      <w:pPr>
        <w:rPr>
          <w:rFonts w:hint="eastAsia"/>
          <w:snapToGrid/>
        </w:rPr>
      </w:pPr>
      <w:r>
        <w:rPr>
          <w:rFonts w:hint="eastAsia"/>
          <w:snapToGrid/>
        </w:rPr>
        <w:tab/>
        <w:t xml:space="preserve">395.  </w:t>
      </w:r>
      <w:r>
        <w:rPr>
          <w:rFonts w:hint="eastAsia"/>
          <w:snapToGrid/>
        </w:rPr>
        <w:t>养恤金制度改革战略的目标是，将现行单一模式的养恤金制度转变成多元化的制度，由三种不同级别的保障措施组成：</w:t>
      </w:r>
    </w:p>
    <w:p w:rsidR="00000000" w:rsidRDefault="00000000">
      <w:pPr>
        <w:numPr>
          <w:ilvl w:val="0"/>
          <w:numId w:val="546"/>
        </w:numPr>
        <w:rPr>
          <w:rFonts w:hint="eastAsia"/>
          <w:snapToGrid/>
        </w:rPr>
      </w:pPr>
      <w:r>
        <w:rPr>
          <w:rFonts w:hint="eastAsia"/>
          <w:snapToGrid/>
        </w:rPr>
        <w:t>基于团结原则以强制性缴款支付的最低限度的公共养恤金，它将确保从事某种活动的人享有最低限度的保护；</w:t>
      </w:r>
    </w:p>
    <w:p w:rsidR="00000000" w:rsidRDefault="00000000">
      <w:pPr>
        <w:numPr>
          <w:ilvl w:val="0"/>
          <w:numId w:val="546"/>
        </w:numPr>
        <w:rPr>
          <w:rFonts w:hint="eastAsia"/>
          <w:snapToGrid/>
        </w:rPr>
      </w:pPr>
      <w:r>
        <w:rPr>
          <w:rFonts w:hint="eastAsia"/>
          <w:snapToGrid/>
        </w:rPr>
        <w:t>以雇员和雇主的强制性缴款支付的安全公共养恤金，其发放标准将按照保险缴款和资历来确定；</w:t>
      </w:r>
    </w:p>
    <w:p w:rsidR="00000000" w:rsidRDefault="00000000">
      <w:pPr>
        <w:numPr>
          <w:ilvl w:val="0"/>
          <w:numId w:val="546"/>
        </w:numPr>
        <w:rPr>
          <w:rFonts w:hint="eastAsia"/>
          <w:snapToGrid/>
        </w:rPr>
      </w:pPr>
      <w:r>
        <w:rPr>
          <w:rFonts w:hint="eastAsia"/>
          <w:snapToGrid/>
        </w:rPr>
        <w:t>以个人储蓄支付的附加民间养恤金，用以确保退休后仍保持较高的生活水平。将采用财政贴现方法，以鼓励自愿累积民间养恤金资金。</w:t>
      </w:r>
    </w:p>
    <w:p w:rsidR="00000000" w:rsidRDefault="00000000">
      <w:pPr>
        <w:rPr>
          <w:rFonts w:hint="eastAsia"/>
          <w:snapToGrid/>
        </w:rPr>
      </w:pPr>
      <w:r>
        <w:rPr>
          <w:rFonts w:hint="eastAsia"/>
          <w:snapToGrid/>
        </w:rPr>
        <w:tab/>
        <w:t xml:space="preserve">396.  </w:t>
      </w:r>
      <w:r>
        <w:rPr>
          <w:rFonts w:hint="eastAsia"/>
          <w:snapToGrid/>
        </w:rPr>
        <w:t>采取严格社会基金财政纪律和加大对不支付行为惩罚力度的措施。退休年龄将逐步提高。</w:t>
      </w:r>
    </w:p>
    <w:p w:rsidR="00000000" w:rsidRDefault="00000000">
      <w:pPr>
        <w:rPr>
          <w:rFonts w:hint="eastAsia"/>
          <w:snapToGrid/>
        </w:rPr>
      </w:pPr>
      <w:r>
        <w:rPr>
          <w:rFonts w:hint="eastAsia"/>
          <w:snapToGrid/>
        </w:rPr>
        <w:tab/>
        <w:t xml:space="preserve">397.  </w:t>
      </w:r>
      <w:r>
        <w:rPr>
          <w:rFonts w:hint="eastAsia"/>
          <w:snapToGrid/>
        </w:rPr>
        <w:t>社会援助的目的是，调整津贴、补偿和社会付款发放的现行结构，取消不合理的付款，并将社会弱势群体作为社会援助的对象。在开展社会保护活动时，将以国家保障的最低限度的生活、贫困线和最低标准的社会服务为准。</w:t>
      </w:r>
    </w:p>
    <w:p w:rsidR="00000000" w:rsidRDefault="00000000">
      <w:pPr>
        <w:rPr>
          <w:rFonts w:hint="eastAsia"/>
          <w:snapToGrid/>
        </w:rPr>
      </w:pPr>
      <w:r>
        <w:rPr>
          <w:rFonts w:hint="eastAsia"/>
          <w:snapToGrid/>
        </w:rPr>
        <w:tab/>
        <w:t xml:space="preserve">398.  </w:t>
      </w:r>
      <w:r>
        <w:rPr>
          <w:rFonts w:hint="eastAsia"/>
          <w:snapToGrid/>
        </w:rPr>
        <w:t>将采用新的社会援助方式：从国家预算中支付贫穷津贴。这些援助具有名义性质，将发放给收入低于贫困线以下的人。将改革社会机构网络以提高效率。</w:t>
      </w:r>
    </w:p>
    <w:p w:rsidR="00000000" w:rsidRDefault="00000000">
      <w:pPr>
        <w:rPr>
          <w:rFonts w:hint="eastAsia"/>
          <w:snapToGrid/>
        </w:rPr>
      </w:pPr>
      <w:r>
        <w:rPr>
          <w:rFonts w:hint="eastAsia"/>
          <w:snapToGrid/>
        </w:rPr>
        <w:tab/>
        <w:t xml:space="preserve">399.  </w:t>
      </w:r>
      <w:r>
        <w:rPr>
          <w:rFonts w:hint="eastAsia"/>
          <w:snapToGrid/>
        </w:rPr>
        <w:t>老年人、残疾人、孤儿和某类多子女家庭，将得到特别公共方案的保护。</w:t>
      </w:r>
    </w:p>
    <w:p w:rsidR="00000000" w:rsidRDefault="00000000">
      <w:pPr>
        <w:rPr>
          <w:rFonts w:hint="eastAsia"/>
          <w:snapToGrid/>
        </w:rPr>
      </w:pPr>
      <w:r>
        <w:rPr>
          <w:rFonts w:hint="eastAsia"/>
          <w:snapToGrid/>
        </w:rPr>
        <w:tab/>
      </w:r>
      <w:r>
        <w:rPr>
          <w:snapToGrid/>
        </w:rPr>
        <w:t>400.</w:t>
      </w:r>
      <w:r>
        <w:rPr>
          <w:rFonts w:hint="eastAsia"/>
          <w:snapToGrid/>
        </w:rPr>
        <w:t xml:space="preserve">  </w:t>
      </w:r>
      <w:r>
        <w:rPr>
          <w:rFonts w:hint="eastAsia"/>
          <w:snapToGrid/>
        </w:rPr>
        <w:t>必须采取以下措施为公民提供住房：</w:t>
      </w:r>
    </w:p>
    <w:p w:rsidR="00000000" w:rsidRDefault="00000000">
      <w:pPr>
        <w:numPr>
          <w:ilvl w:val="0"/>
          <w:numId w:val="547"/>
        </w:numPr>
        <w:rPr>
          <w:rFonts w:hint="eastAsia"/>
          <w:snapToGrid/>
        </w:rPr>
      </w:pPr>
      <w:r>
        <w:rPr>
          <w:rFonts w:hint="eastAsia"/>
          <w:snapToGrid/>
        </w:rPr>
        <w:t>增加个人和民间来源的缴款；</w:t>
      </w:r>
    </w:p>
    <w:p w:rsidR="00000000" w:rsidRDefault="00000000">
      <w:pPr>
        <w:numPr>
          <w:ilvl w:val="0"/>
          <w:numId w:val="547"/>
        </w:numPr>
        <w:rPr>
          <w:rFonts w:hint="eastAsia"/>
          <w:snapToGrid/>
        </w:rPr>
      </w:pPr>
      <w:r>
        <w:rPr>
          <w:rFonts w:hint="eastAsia"/>
          <w:snapToGrid/>
        </w:rPr>
        <w:t>提高受国家保护的社会群体的生活水平；</w:t>
      </w:r>
    </w:p>
    <w:p w:rsidR="00000000" w:rsidRDefault="00000000">
      <w:pPr>
        <w:numPr>
          <w:ilvl w:val="0"/>
          <w:numId w:val="547"/>
        </w:numPr>
        <w:rPr>
          <w:rFonts w:hint="eastAsia"/>
          <w:snapToGrid/>
        </w:rPr>
      </w:pPr>
      <w:r>
        <w:rPr>
          <w:rFonts w:hint="eastAsia"/>
          <w:snapToGrid/>
        </w:rPr>
        <w:t>将公共住房领域转变成一个职能系统，对弱势群体提供充分的社会保护，而不会应具有任何损害作用。</w:t>
      </w:r>
    </w:p>
    <w:p w:rsidR="00000000" w:rsidRDefault="00000000">
      <w:pPr>
        <w:rPr>
          <w:rFonts w:hint="eastAsia"/>
          <w:snapToGrid/>
        </w:rPr>
      </w:pPr>
      <w:r>
        <w:rPr>
          <w:rFonts w:hint="eastAsia"/>
          <w:snapToGrid/>
        </w:rPr>
        <w:tab/>
      </w:r>
      <w:r>
        <w:rPr>
          <w:snapToGrid/>
        </w:rPr>
        <w:t>401.</w:t>
      </w:r>
      <w:r>
        <w:rPr>
          <w:rFonts w:hint="eastAsia"/>
          <w:snapToGrid/>
        </w:rPr>
        <w:t xml:space="preserve">  </w:t>
      </w:r>
      <w:r>
        <w:rPr>
          <w:rFonts w:hint="eastAsia"/>
          <w:snapToGrid/>
        </w:rPr>
        <w:t>调整社会部门，是要创造为人民提供优质的社会文化服务的有利条件。在这方面，改革的目的是：</w:t>
      </w:r>
    </w:p>
    <w:p w:rsidR="00000000" w:rsidRDefault="00000000">
      <w:pPr>
        <w:numPr>
          <w:ilvl w:val="0"/>
          <w:numId w:val="548"/>
        </w:numPr>
        <w:rPr>
          <w:rFonts w:hint="eastAsia"/>
          <w:snapToGrid/>
        </w:rPr>
      </w:pPr>
      <w:r>
        <w:rPr>
          <w:rFonts w:hint="eastAsia"/>
          <w:snapToGrid/>
        </w:rPr>
        <w:t>修改规范基础，并在社会领域活动中实施先进规范；</w:t>
      </w:r>
    </w:p>
    <w:p w:rsidR="00000000" w:rsidRDefault="00000000">
      <w:pPr>
        <w:numPr>
          <w:ilvl w:val="0"/>
          <w:numId w:val="548"/>
        </w:numPr>
        <w:rPr>
          <w:rFonts w:hint="eastAsia"/>
          <w:snapToGrid/>
        </w:rPr>
      </w:pPr>
      <w:r>
        <w:rPr>
          <w:rFonts w:hint="eastAsia"/>
          <w:snapToGrid/>
        </w:rPr>
        <w:t>通过此项活动的新的原则和组织形式；</w:t>
      </w:r>
    </w:p>
    <w:p w:rsidR="00000000" w:rsidRDefault="00000000">
      <w:pPr>
        <w:numPr>
          <w:ilvl w:val="0"/>
          <w:numId w:val="548"/>
        </w:numPr>
        <w:rPr>
          <w:snapToGrid/>
        </w:rPr>
      </w:pPr>
      <w:r>
        <w:rPr>
          <w:rFonts w:hint="eastAsia"/>
          <w:snapToGrid/>
        </w:rPr>
        <w:t>建立可供选择的社会服务部门；</w:t>
      </w:r>
    </w:p>
    <w:p w:rsidR="00000000" w:rsidRDefault="00000000">
      <w:pPr>
        <w:numPr>
          <w:ilvl w:val="0"/>
          <w:numId w:val="548"/>
        </w:numPr>
        <w:rPr>
          <w:rFonts w:hint="eastAsia"/>
          <w:snapToGrid/>
        </w:rPr>
      </w:pPr>
      <w:r>
        <w:rPr>
          <w:rFonts w:hint="eastAsia"/>
          <w:snapToGrid/>
        </w:rPr>
        <w:t>减轻教育、保健和文化方面的支出，采用办法是：使包括公共机构在内的所有社会部门的服务实现多样化并扩大私人服务的规模，以及利用个人和经济行为主体的财政来源。</w:t>
      </w:r>
    </w:p>
    <w:p w:rsidR="00000000" w:rsidRDefault="00000000">
      <w:pPr>
        <w:rPr>
          <w:rFonts w:hint="eastAsia"/>
          <w:snapToGrid/>
        </w:rPr>
      </w:pPr>
      <w:r>
        <w:rPr>
          <w:rFonts w:hint="eastAsia"/>
          <w:snapToGrid/>
        </w:rPr>
        <w:tab/>
        <w:t xml:space="preserve">402.  </w:t>
      </w:r>
      <w:r>
        <w:rPr>
          <w:rFonts w:hint="eastAsia"/>
          <w:snapToGrid/>
        </w:rPr>
        <w:t>国家将有义务管理和协调战略领域：</w:t>
      </w:r>
    </w:p>
    <w:p w:rsidR="00000000" w:rsidRDefault="00000000">
      <w:pPr>
        <w:numPr>
          <w:ilvl w:val="0"/>
          <w:numId w:val="549"/>
        </w:numPr>
        <w:rPr>
          <w:rFonts w:hint="eastAsia"/>
          <w:snapToGrid/>
        </w:rPr>
      </w:pPr>
      <w:r>
        <w:rPr>
          <w:rFonts w:hint="eastAsia"/>
          <w:snapToGrid/>
        </w:rPr>
        <w:t>在教育和保健方面基本因循传统的做法，同时促进改革进程，使其与社会新情况相适应；</w:t>
      </w:r>
    </w:p>
    <w:p w:rsidR="00000000" w:rsidRDefault="00000000">
      <w:pPr>
        <w:numPr>
          <w:ilvl w:val="0"/>
          <w:numId w:val="549"/>
        </w:numPr>
        <w:rPr>
          <w:rFonts w:hint="eastAsia"/>
          <w:snapToGrid/>
        </w:rPr>
      </w:pPr>
      <w:r>
        <w:rPr>
          <w:rFonts w:hint="eastAsia"/>
          <w:snapToGrid/>
        </w:rPr>
        <w:t>保持和发展国家的知识和文化遗产；</w:t>
      </w:r>
    </w:p>
    <w:p w:rsidR="00000000" w:rsidRDefault="00000000">
      <w:pPr>
        <w:numPr>
          <w:ilvl w:val="0"/>
          <w:numId w:val="549"/>
        </w:numPr>
        <w:spacing w:after="320"/>
        <w:rPr>
          <w:rFonts w:hint="eastAsia"/>
          <w:snapToGrid/>
        </w:rPr>
      </w:pPr>
      <w:r>
        <w:rPr>
          <w:rFonts w:hint="eastAsia"/>
          <w:snapToGrid/>
        </w:rPr>
        <w:t>在为私营部门在社会领域的发展创造有利条件方面履行监督职责。</w:t>
      </w:r>
    </w:p>
    <w:p w:rsidR="00000000" w:rsidRDefault="00000000">
      <w:pPr>
        <w:pStyle w:val="Heading3"/>
        <w:rPr>
          <w:rFonts w:hint="eastAsia"/>
        </w:rPr>
      </w:pPr>
      <w:r>
        <w:rPr>
          <w:rFonts w:hint="eastAsia"/>
        </w:rPr>
        <w:t>第</w:t>
      </w:r>
      <w:r>
        <w:t xml:space="preserve"> </w:t>
      </w:r>
      <w:r>
        <w:rPr>
          <w:rFonts w:hint="eastAsia"/>
        </w:rPr>
        <w:t>十</w:t>
      </w:r>
      <w:r>
        <w:t xml:space="preserve"> </w:t>
      </w:r>
      <w:r>
        <w:rPr>
          <w:rFonts w:hint="eastAsia"/>
        </w:rPr>
        <w:t>条</w:t>
      </w:r>
    </w:p>
    <w:p w:rsidR="00000000" w:rsidRDefault="00000000">
      <w:pPr>
        <w:rPr>
          <w:rFonts w:hint="eastAsia"/>
          <w:snapToGrid/>
        </w:rPr>
      </w:pPr>
      <w:r>
        <w:rPr>
          <w:rFonts w:hint="eastAsia"/>
          <w:snapToGrid/>
        </w:rPr>
        <w:tab/>
        <w:t xml:space="preserve">403.  </w:t>
      </w:r>
      <w:r>
        <w:rPr>
          <w:rFonts w:hint="eastAsia"/>
          <w:snapToGrid/>
        </w:rPr>
        <w:t>按照《摩尔多瓦共和国宪法》第</w:t>
      </w:r>
      <w:r>
        <w:rPr>
          <w:rFonts w:hint="eastAsia"/>
          <w:snapToGrid/>
        </w:rPr>
        <w:t>48</w:t>
      </w:r>
      <w:r>
        <w:rPr>
          <w:rFonts w:hint="eastAsia"/>
          <w:snapToGrid/>
        </w:rPr>
        <w:t>条第</w:t>
      </w:r>
      <w:r>
        <w:rPr>
          <w:rFonts w:hint="eastAsia"/>
          <w:snapToGrid/>
        </w:rPr>
        <w:t>1</w:t>
      </w:r>
      <w:r>
        <w:rPr>
          <w:rFonts w:hint="eastAsia"/>
          <w:snapToGrid/>
        </w:rPr>
        <w:t>款，家庭是社会的自然基本构成部分，受到社会和国家的保护。摩尔多瓦共和国的家庭受到国家保护</w:t>
      </w:r>
      <w:r>
        <w:rPr>
          <w:rFonts w:hint="eastAsia"/>
          <w:snapToGrid/>
        </w:rPr>
        <w:t>(</w:t>
      </w:r>
      <w:r>
        <w:rPr>
          <w:rFonts w:hint="eastAsia"/>
          <w:snapToGrid/>
        </w:rPr>
        <w:t>第</w:t>
      </w:r>
      <w:r>
        <w:rPr>
          <w:rFonts w:hint="eastAsia"/>
          <w:snapToGrid/>
        </w:rPr>
        <w:t>5</w:t>
      </w:r>
      <w:r>
        <w:rPr>
          <w:rFonts w:hint="eastAsia"/>
          <w:snapToGrid/>
        </w:rPr>
        <w:t>条，《婚姻和家庭法》</w:t>
      </w:r>
      <w:r>
        <w:rPr>
          <w:rFonts w:hint="eastAsia"/>
          <w:snapToGrid/>
        </w:rPr>
        <w:t>)</w:t>
      </w:r>
      <w:r>
        <w:rPr>
          <w:rFonts w:hint="eastAsia"/>
          <w:snapToGrid/>
        </w:rPr>
        <w:t>。国家对家庭的关心表现在，建立和发展庞大的妇产医院、孤儿院和托儿所、寄宿学校和其他儿童福利机构网络；组织和改进公共营养和服务领域的工作；支付生育津贴、为单身母亲和多子女家庭发放援助和津贴，以及其他种类的社会付款和家庭支助。</w:t>
      </w:r>
    </w:p>
    <w:p w:rsidR="00000000" w:rsidRDefault="00000000">
      <w:pPr>
        <w:rPr>
          <w:rFonts w:hint="eastAsia"/>
          <w:snapToGrid/>
        </w:rPr>
      </w:pPr>
      <w:r>
        <w:rPr>
          <w:rFonts w:hint="eastAsia"/>
          <w:snapToGrid/>
        </w:rPr>
        <w:tab/>
        <w:t xml:space="preserve">404.  </w:t>
      </w:r>
      <w:r>
        <w:rPr>
          <w:rFonts w:hint="eastAsia"/>
          <w:snapToGrid/>
        </w:rPr>
        <w:t>在摩尔多瓦共和国，母性受到国家的保护和鼓励。国家在劳动保护和妇女保健领域中采取了特别措施，以保护母婴的利益。这些措施制定了种种条件，使妇女有可能兼顾工作和母性：为母婴提供法律保护、道义和物质方面的支助，包括规定带薪产假和妊娠假，并为孕妇和母亲发放其他补贴。</w:t>
      </w:r>
    </w:p>
    <w:p w:rsidR="00000000" w:rsidRDefault="00000000">
      <w:pPr>
        <w:rPr>
          <w:rFonts w:hint="eastAsia"/>
          <w:snapToGrid/>
        </w:rPr>
      </w:pPr>
      <w:r>
        <w:rPr>
          <w:rFonts w:hint="eastAsia"/>
          <w:snapToGrid/>
        </w:rPr>
        <w:tab/>
        <w:t xml:space="preserve">405.  </w:t>
      </w:r>
      <w:r>
        <w:rPr>
          <w:rFonts w:hint="eastAsia"/>
          <w:snapToGrid/>
        </w:rPr>
        <w:t>我国保障公民享有结婚和建立家庭的权利。按照《婚姻和家庭法》，确定了婚姻登记、婚姻解体和婚姻无效的条件。婚姻在国家出生、婚姻和死亡登记处进行登记。这一做法不仅符合国家和社会的利益，也有利于保护配偶和子女的个人和继承利益。只有在国家出生、婚姻和死亡登记处登记过的婚姻，才赋予配偶相互之间的义务和权利。</w:t>
      </w:r>
    </w:p>
    <w:p w:rsidR="00000000" w:rsidRDefault="00000000">
      <w:pPr>
        <w:rPr>
          <w:rFonts w:hint="eastAsia"/>
          <w:snapToGrid/>
        </w:rPr>
      </w:pPr>
      <w:r>
        <w:rPr>
          <w:rFonts w:hint="eastAsia"/>
          <w:snapToGrid/>
        </w:rPr>
        <w:tab/>
        <w:t xml:space="preserve">406.  </w:t>
      </w:r>
      <w:r>
        <w:rPr>
          <w:rFonts w:hint="eastAsia"/>
          <w:snapToGrid/>
        </w:rPr>
        <w:t>向国家出生、婚姻和死亡登记处提交结婚申请一个月之后，方可在该登记处登记结婚。登记须经意图结婚者双方同意，他们必须达到结婚的最低年龄，即按照《婚姻和家庭法》，男方应年满</w:t>
      </w:r>
      <w:r>
        <w:rPr>
          <w:rFonts w:hint="eastAsia"/>
          <w:snapToGrid/>
        </w:rPr>
        <w:t>18</w:t>
      </w:r>
      <w:r>
        <w:rPr>
          <w:rFonts w:hint="eastAsia"/>
          <w:snapToGrid/>
        </w:rPr>
        <w:t>岁，女方年满</w:t>
      </w:r>
      <w:r>
        <w:rPr>
          <w:rFonts w:hint="eastAsia"/>
          <w:snapToGrid/>
        </w:rPr>
        <w:t>16</w:t>
      </w:r>
      <w:r>
        <w:rPr>
          <w:rFonts w:hint="eastAsia"/>
          <w:snapToGrid/>
        </w:rPr>
        <w:t>岁。情况特殊者，结婚最低年龄可减少</w:t>
      </w:r>
      <w:r>
        <w:rPr>
          <w:rFonts w:hint="eastAsia"/>
          <w:snapToGrid/>
        </w:rPr>
        <w:t>2</w:t>
      </w:r>
      <w:r>
        <w:rPr>
          <w:rFonts w:hint="eastAsia"/>
          <w:snapToGrid/>
        </w:rPr>
        <w:t>岁。未满</w:t>
      </w:r>
      <w:r>
        <w:rPr>
          <w:rFonts w:hint="eastAsia"/>
          <w:snapToGrid/>
        </w:rPr>
        <w:t>18</w:t>
      </w:r>
      <w:r>
        <w:rPr>
          <w:rFonts w:hint="eastAsia"/>
          <w:snapToGrid/>
        </w:rPr>
        <w:t>岁结婚的公民，自结婚登记之日起，即承担完全的法律行为能力</w:t>
      </w:r>
      <w:r>
        <w:rPr>
          <w:rFonts w:hint="eastAsia"/>
          <w:snapToGrid/>
        </w:rPr>
        <w:t>(</w:t>
      </w:r>
      <w:r>
        <w:rPr>
          <w:rFonts w:hint="eastAsia"/>
          <w:snapToGrid/>
        </w:rPr>
        <w:t>《民法典》第</w:t>
      </w:r>
      <w:r>
        <w:rPr>
          <w:rFonts w:hint="eastAsia"/>
          <w:snapToGrid/>
        </w:rPr>
        <w:t>11</w:t>
      </w:r>
      <w:r>
        <w:rPr>
          <w:rFonts w:hint="eastAsia"/>
          <w:snapToGrid/>
        </w:rPr>
        <w:t>条第</w:t>
      </w:r>
      <w:r>
        <w:rPr>
          <w:rFonts w:hint="eastAsia"/>
          <w:snapToGrid/>
        </w:rPr>
        <w:t>2</w:t>
      </w:r>
      <w:r>
        <w:rPr>
          <w:rFonts w:hint="eastAsia"/>
          <w:snapToGrid/>
        </w:rPr>
        <w:t>款</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407.  </w:t>
      </w:r>
      <w:r>
        <w:rPr>
          <w:rFonts w:hint="eastAsia"/>
          <w:snapToGrid/>
        </w:rPr>
        <w:t>以下婚姻予以禁止：</w:t>
      </w:r>
    </w:p>
    <w:p w:rsidR="00000000" w:rsidRDefault="00000000">
      <w:pPr>
        <w:numPr>
          <w:ilvl w:val="0"/>
          <w:numId w:val="550"/>
        </w:numPr>
        <w:rPr>
          <w:rFonts w:hint="eastAsia"/>
          <w:snapToGrid/>
        </w:rPr>
      </w:pPr>
      <w:r>
        <w:rPr>
          <w:rFonts w:hint="eastAsia"/>
          <w:snapToGrid/>
        </w:rPr>
        <w:t>如果其中一人已经结婚；</w:t>
      </w:r>
    </w:p>
    <w:p w:rsidR="00000000" w:rsidRDefault="00000000">
      <w:pPr>
        <w:numPr>
          <w:ilvl w:val="0"/>
          <w:numId w:val="550"/>
        </w:numPr>
        <w:rPr>
          <w:rFonts w:hint="eastAsia"/>
          <w:snapToGrid/>
        </w:rPr>
      </w:pPr>
      <w:r>
        <w:rPr>
          <w:rFonts w:hint="eastAsia"/>
          <w:snapToGrid/>
        </w:rPr>
        <w:t>同一父亲和不同母亲或同一母亲和不同父亲的亲戚、兄弟和姊妹之间的婚姻，以及收养人与被收养人之间的婚姻；</w:t>
      </w:r>
    </w:p>
    <w:p w:rsidR="00000000" w:rsidRDefault="00000000">
      <w:pPr>
        <w:numPr>
          <w:ilvl w:val="0"/>
          <w:numId w:val="550"/>
        </w:numPr>
        <w:rPr>
          <w:rFonts w:hint="eastAsia"/>
          <w:snapToGrid/>
        </w:rPr>
      </w:pPr>
      <w:r>
        <w:rPr>
          <w:rFonts w:hint="eastAsia"/>
          <w:snapToGrid/>
        </w:rPr>
        <w:t>如果其中一人因智力能力减退而被宣布为残疾人；</w:t>
      </w:r>
    </w:p>
    <w:p w:rsidR="00000000" w:rsidRDefault="00000000">
      <w:pPr>
        <w:numPr>
          <w:ilvl w:val="0"/>
          <w:numId w:val="550"/>
        </w:numPr>
        <w:rPr>
          <w:rFonts w:hint="eastAsia"/>
          <w:snapToGrid/>
        </w:rPr>
      </w:pPr>
      <w:r>
        <w:rPr>
          <w:rFonts w:hint="eastAsia"/>
          <w:snapToGrid/>
        </w:rPr>
        <w:t>监护人与他</w:t>
      </w:r>
      <w:r>
        <w:rPr>
          <w:rFonts w:hint="eastAsia"/>
          <w:snapToGrid/>
        </w:rPr>
        <w:t>(</w:t>
      </w:r>
      <w:r>
        <w:rPr>
          <w:rFonts w:hint="eastAsia"/>
          <w:snapToGrid/>
        </w:rPr>
        <w:t>她</w:t>
      </w:r>
      <w:r>
        <w:rPr>
          <w:rFonts w:hint="eastAsia"/>
          <w:snapToGrid/>
        </w:rPr>
        <w:t>)</w:t>
      </w:r>
      <w:r>
        <w:rPr>
          <w:rFonts w:hint="eastAsia"/>
          <w:snapToGrid/>
        </w:rPr>
        <w:t>所监护的人之间的婚姻</w:t>
      </w:r>
      <w:r>
        <w:rPr>
          <w:rFonts w:hint="eastAsia"/>
          <w:snapToGrid/>
        </w:rPr>
        <w:t>(</w:t>
      </w:r>
      <w:r>
        <w:rPr>
          <w:rFonts w:hint="eastAsia"/>
          <w:snapToGrid/>
        </w:rPr>
        <w:t>《婚姻和家庭法》第</w:t>
      </w:r>
      <w:r>
        <w:rPr>
          <w:rFonts w:hint="eastAsia"/>
          <w:snapToGrid/>
        </w:rPr>
        <w:t>13</w:t>
      </w:r>
      <w:r>
        <w:rPr>
          <w:rFonts w:hint="eastAsia"/>
          <w:snapToGrid/>
        </w:rPr>
        <w:t>、</w:t>
      </w:r>
      <w:r>
        <w:rPr>
          <w:rFonts w:hint="eastAsia"/>
          <w:snapToGrid/>
        </w:rPr>
        <w:t>14</w:t>
      </w:r>
      <w:r>
        <w:rPr>
          <w:rFonts w:hint="eastAsia"/>
          <w:snapToGrid/>
        </w:rPr>
        <w:t>、</w:t>
      </w:r>
      <w:r>
        <w:rPr>
          <w:rFonts w:hint="eastAsia"/>
          <w:snapToGrid/>
        </w:rPr>
        <w:t>15</w:t>
      </w:r>
      <w:r>
        <w:rPr>
          <w:rFonts w:hint="eastAsia"/>
          <w:snapToGrid/>
        </w:rPr>
        <w:t>和</w:t>
      </w:r>
      <w:r>
        <w:rPr>
          <w:rFonts w:hint="eastAsia"/>
          <w:snapToGrid/>
        </w:rPr>
        <w:t>17</w:t>
      </w:r>
      <w:r>
        <w:rPr>
          <w:rFonts w:hint="eastAsia"/>
          <w:snapToGrid/>
        </w:rPr>
        <w:t>条</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408.  </w:t>
      </w:r>
      <w:r>
        <w:rPr>
          <w:rFonts w:hint="eastAsia"/>
          <w:snapToGrid/>
        </w:rPr>
        <w:t>如果配偶之一死亡或法院宣布他</w:t>
      </w:r>
      <w:r>
        <w:rPr>
          <w:rFonts w:hint="eastAsia"/>
          <w:snapToGrid/>
        </w:rPr>
        <w:t>(</w:t>
      </w:r>
      <w:r>
        <w:rPr>
          <w:rFonts w:hint="eastAsia"/>
          <w:snapToGrid/>
        </w:rPr>
        <w:t>她</w:t>
      </w:r>
      <w:r>
        <w:rPr>
          <w:rFonts w:hint="eastAsia"/>
          <w:snapToGrid/>
        </w:rPr>
        <w:t>)</w:t>
      </w:r>
      <w:r>
        <w:rPr>
          <w:rFonts w:hint="eastAsia"/>
          <w:snapToGrid/>
        </w:rPr>
        <w:t>已死亡，该婚姻关系即为解除。如果配偶之一要求离婚，婚姻关系可以解除。在妻子怀孕期间以及生育一年之内，未征得妻子同意，丈夫无权要求提婚</w:t>
      </w:r>
      <w:r>
        <w:rPr>
          <w:rFonts w:hint="eastAsia"/>
          <w:snapToGrid/>
        </w:rPr>
        <w:t>(</w:t>
      </w:r>
      <w:r>
        <w:rPr>
          <w:rFonts w:hint="eastAsia"/>
          <w:snapToGrid/>
        </w:rPr>
        <w:t>第</w:t>
      </w:r>
      <w:r>
        <w:rPr>
          <w:rFonts w:hint="eastAsia"/>
          <w:snapToGrid/>
        </w:rPr>
        <w:t>33</w:t>
      </w:r>
      <w:r>
        <w:rPr>
          <w:rFonts w:hint="eastAsia"/>
          <w:snapToGrid/>
        </w:rPr>
        <w:t>和</w:t>
      </w:r>
      <w:r>
        <w:rPr>
          <w:rFonts w:hint="eastAsia"/>
          <w:snapToGrid/>
        </w:rPr>
        <w:t>34</w:t>
      </w:r>
      <w:r>
        <w:rPr>
          <w:rFonts w:hint="eastAsia"/>
          <w:snapToGrid/>
        </w:rPr>
        <w:t>条</w:t>
      </w:r>
      <w:r>
        <w:rPr>
          <w:rFonts w:hint="eastAsia"/>
          <w:snapToGrid/>
        </w:rPr>
        <w:t>)</w:t>
      </w:r>
      <w:r>
        <w:rPr>
          <w:rFonts w:hint="eastAsia"/>
          <w:snapToGrid/>
        </w:rPr>
        <w:t>。婚姻关系也可由国家出生、婚姻和死亡登记处予以解除。</w:t>
      </w:r>
    </w:p>
    <w:p w:rsidR="00000000" w:rsidRDefault="00000000">
      <w:pPr>
        <w:rPr>
          <w:rFonts w:hint="eastAsia"/>
          <w:snapToGrid/>
        </w:rPr>
      </w:pPr>
      <w:r>
        <w:rPr>
          <w:rFonts w:hint="eastAsia"/>
          <w:snapToGrid/>
        </w:rPr>
        <w:tab/>
        <w:t xml:space="preserve">409.  </w:t>
      </w:r>
      <w:r>
        <w:rPr>
          <w:rFonts w:hint="eastAsia"/>
          <w:snapToGrid/>
        </w:rPr>
        <w:t>市法院或地方法院根据民法对解除婚姻的理由作出调查。确定离婚请求理由属实之后，法院有义务采取措施做配偶双方的调节工作，改善他们的关系。如果法院决定该夫妇的关系不可能得到改善，婚姻关系即可解除。</w:t>
      </w:r>
    </w:p>
    <w:p w:rsidR="00000000" w:rsidRDefault="00000000">
      <w:pPr>
        <w:pStyle w:val="cdL1"/>
        <w:widowControl/>
        <w:tabs>
          <w:tab w:val="clear" w:pos="510"/>
        </w:tabs>
        <w:rPr>
          <w:rFonts w:hint="eastAsia"/>
          <w:spacing w:val="10"/>
        </w:rPr>
      </w:pPr>
      <w:r>
        <w:rPr>
          <w:rFonts w:hint="eastAsia"/>
        </w:rPr>
        <w:tab/>
      </w:r>
      <w:r>
        <w:rPr>
          <w:rFonts w:hint="eastAsia"/>
          <w:spacing w:val="10"/>
        </w:rPr>
        <w:t>4</w:t>
      </w:r>
      <w:r>
        <w:rPr>
          <w:spacing w:val="10"/>
        </w:rPr>
        <w:t>10.</w:t>
      </w:r>
      <w:r>
        <w:rPr>
          <w:rFonts w:hint="eastAsia"/>
          <w:spacing w:val="10"/>
        </w:rPr>
        <w:t xml:space="preserve">  </w:t>
      </w:r>
      <w:r>
        <w:rPr>
          <w:rFonts w:hint="eastAsia"/>
          <w:spacing w:val="10"/>
        </w:rPr>
        <w:t>如配偶没有未成年子女，也没有财产争议，在自愿和双方同意的情况下，可由国家出生、婚姻和死亡登记处解除婚姻关系。如果配偶之间就赡养费和共同财产达成协议，则配偶或其中一方有权向法院提出离婚申请。</w:t>
      </w:r>
    </w:p>
    <w:p w:rsidR="00000000" w:rsidRDefault="00000000">
      <w:pPr>
        <w:pStyle w:val="cdL1"/>
        <w:widowControl/>
        <w:tabs>
          <w:tab w:val="clear" w:pos="510"/>
        </w:tabs>
        <w:rPr>
          <w:rFonts w:hint="eastAsia"/>
          <w:spacing w:val="10"/>
        </w:rPr>
      </w:pPr>
      <w:r>
        <w:rPr>
          <w:rFonts w:hint="eastAsia"/>
          <w:spacing w:val="10"/>
        </w:rPr>
        <w:tab/>
        <w:t xml:space="preserve">411.  </w:t>
      </w:r>
      <w:r>
        <w:rPr>
          <w:rFonts w:hint="eastAsia"/>
          <w:spacing w:val="10"/>
        </w:rPr>
        <w:t>国家出生、婚姻和死亡登记处根据配偶一方的要求即可解除婚姻关系，如果法院裁定配偶另一方：</w:t>
      </w:r>
    </w:p>
    <w:p w:rsidR="00000000" w:rsidRDefault="00000000">
      <w:pPr>
        <w:numPr>
          <w:ilvl w:val="0"/>
          <w:numId w:val="551"/>
        </w:numPr>
        <w:rPr>
          <w:rFonts w:hint="eastAsia"/>
        </w:rPr>
      </w:pPr>
      <w:r>
        <w:rPr>
          <w:rFonts w:hint="eastAsia"/>
        </w:rPr>
        <w:t>被宣布为失踪；</w:t>
      </w:r>
    </w:p>
    <w:p w:rsidR="00000000" w:rsidRDefault="00000000">
      <w:pPr>
        <w:numPr>
          <w:ilvl w:val="0"/>
          <w:numId w:val="551"/>
        </w:numPr>
        <w:rPr>
          <w:rFonts w:hint="eastAsia"/>
        </w:rPr>
      </w:pPr>
      <w:r>
        <w:rPr>
          <w:rFonts w:hint="eastAsia"/>
        </w:rPr>
        <w:t>因智力能力减退而被宣布为残疾人；</w:t>
      </w:r>
    </w:p>
    <w:p w:rsidR="00000000" w:rsidRDefault="00000000">
      <w:pPr>
        <w:numPr>
          <w:ilvl w:val="0"/>
          <w:numId w:val="551"/>
        </w:numPr>
        <w:rPr>
          <w:rFonts w:hint="eastAsia"/>
        </w:rPr>
      </w:pPr>
      <w:r>
        <w:rPr>
          <w:rFonts w:hint="eastAsia"/>
        </w:rPr>
        <w:t>被裁定有罪并被判处剥夺自由至少三年。</w:t>
      </w:r>
    </w:p>
    <w:p w:rsidR="00000000" w:rsidRDefault="00000000">
      <w:pPr>
        <w:pStyle w:val="cdL1"/>
        <w:widowControl/>
        <w:tabs>
          <w:tab w:val="clear" w:pos="510"/>
        </w:tabs>
        <w:rPr>
          <w:rFonts w:hint="eastAsia"/>
          <w:spacing w:val="10"/>
        </w:rPr>
      </w:pPr>
      <w:r>
        <w:rPr>
          <w:rFonts w:hint="eastAsia"/>
          <w:spacing w:val="10"/>
        </w:rPr>
        <w:tab/>
        <w:t xml:space="preserve">412.  </w:t>
      </w:r>
      <w:r>
        <w:rPr>
          <w:rFonts w:hint="eastAsia"/>
          <w:spacing w:val="10"/>
        </w:rPr>
        <w:t>如果配偶双方未就子女、共同财产或赡养费达成任何协议，则由法院宣判解除婚姻关系。</w:t>
      </w:r>
    </w:p>
    <w:p w:rsidR="00000000" w:rsidRDefault="00000000">
      <w:pPr>
        <w:pStyle w:val="cdL1"/>
        <w:widowControl/>
        <w:tabs>
          <w:tab w:val="clear" w:pos="510"/>
        </w:tabs>
        <w:rPr>
          <w:rFonts w:hint="eastAsia"/>
          <w:spacing w:val="10"/>
        </w:rPr>
      </w:pPr>
      <w:r>
        <w:rPr>
          <w:rFonts w:hint="eastAsia"/>
          <w:spacing w:val="10"/>
        </w:rPr>
        <w:tab/>
        <w:t xml:space="preserve">413.  </w:t>
      </w:r>
      <w:r>
        <w:rPr>
          <w:rFonts w:hint="eastAsia"/>
          <w:spacing w:val="10"/>
        </w:rPr>
        <w:t>如果被法院宣布已经死亡的配偶一方出现，法院即撤消所做决定，恢复该婚姻的合法有效关系。如果婚姻关系被解除，是因配偶一方曾被法院宣布为失踪，则应配偶双方的请求，可以在国家出生、婚姻和死亡登记处再次进行婚姻登记。如果被宣布为失踪的人的配偶已做过其他婚姻登记，则该婚姻关系不得再恢复</w:t>
      </w:r>
      <w:r>
        <w:rPr>
          <w:rFonts w:hint="eastAsia"/>
          <w:spacing w:val="10"/>
        </w:rPr>
        <w:t>(</w:t>
      </w:r>
      <w:r>
        <w:rPr>
          <w:rFonts w:hint="eastAsia"/>
          <w:spacing w:val="10"/>
        </w:rPr>
        <w:t>第</w:t>
      </w:r>
      <w:r>
        <w:rPr>
          <w:rFonts w:hint="eastAsia"/>
          <w:spacing w:val="10"/>
        </w:rPr>
        <w:t>35</w:t>
      </w:r>
      <w:r>
        <w:rPr>
          <w:rFonts w:hint="eastAsia"/>
          <w:spacing w:val="10"/>
        </w:rPr>
        <w:t>、</w:t>
      </w:r>
      <w:r>
        <w:rPr>
          <w:rFonts w:hint="eastAsia"/>
          <w:spacing w:val="10"/>
        </w:rPr>
        <w:t>36</w:t>
      </w:r>
      <w:r>
        <w:rPr>
          <w:rFonts w:hint="eastAsia"/>
          <w:spacing w:val="10"/>
        </w:rPr>
        <w:t>、</w:t>
      </w:r>
      <w:r>
        <w:rPr>
          <w:rFonts w:hint="eastAsia"/>
          <w:spacing w:val="10"/>
        </w:rPr>
        <w:t>38</w:t>
      </w:r>
      <w:r>
        <w:rPr>
          <w:rFonts w:hint="eastAsia"/>
          <w:spacing w:val="10"/>
        </w:rPr>
        <w:t>和</w:t>
      </w:r>
      <w:r>
        <w:rPr>
          <w:rFonts w:hint="eastAsia"/>
          <w:spacing w:val="10"/>
        </w:rPr>
        <w:t>42</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414.  </w:t>
      </w:r>
      <w:r>
        <w:rPr>
          <w:rFonts w:hint="eastAsia"/>
          <w:spacing w:val="10"/>
        </w:rPr>
        <w:t>如违反婚姻登记的条件</w:t>
      </w:r>
      <w:r>
        <w:rPr>
          <w:rFonts w:hint="eastAsia"/>
          <w:spacing w:val="10"/>
        </w:rPr>
        <w:t>(</w:t>
      </w:r>
      <w:r>
        <w:rPr>
          <w:rFonts w:hint="eastAsia"/>
          <w:spacing w:val="10"/>
        </w:rPr>
        <w:t>双方同意、结婚的最低年龄、结婚登记存在某种障碍</w:t>
      </w:r>
      <w:r>
        <w:rPr>
          <w:rFonts w:hint="eastAsia"/>
          <w:spacing w:val="10"/>
        </w:rPr>
        <w:t>)</w:t>
      </w:r>
      <w:r>
        <w:rPr>
          <w:rFonts w:hint="eastAsia"/>
          <w:spacing w:val="10"/>
        </w:rPr>
        <w:t>，以及如婚姻关系是非真实的</w:t>
      </w:r>
      <w:r>
        <w:rPr>
          <w:rFonts w:hint="eastAsia"/>
          <w:spacing w:val="10"/>
        </w:rPr>
        <w:t>(</w:t>
      </w:r>
      <w:r>
        <w:rPr>
          <w:rFonts w:hint="eastAsia"/>
          <w:spacing w:val="10"/>
        </w:rPr>
        <w:t>第</w:t>
      </w:r>
      <w:r>
        <w:rPr>
          <w:rFonts w:hint="eastAsia"/>
          <w:spacing w:val="10"/>
        </w:rPr>
        <w:t>43-46</w:t>
      </w:r>
      <w:r>
        <w:rPr>
          <w:rFonts w:hint="eastAsia"/>
          <w:spacing w:val="10"/>
        </w:rPr>
        <w:t>条</w:t>
      </w:r>
      <w:r>
        <w:rPr>
          <w:rFonts w:hint="eastAsia"/>
          <w:spacing w:val="10"/>
        </w:rPr>
        <w:t>)</w:t>
      </w:r>
      <w:r>
        <w:rPr>
          <w:rFonts w:hint="eastAsia"/>
          <w:spacing w:val="10"/>
        </w:rPr>
        <w:t>，该婚姻关系则为无效。</w:t>
      </w:r>
    </w:p>
    <w:p w:rsidR="00000000" w:rsidRDefault="00000000">
      <w:pPr>
        <w:pStyle w:val="cdL1"/>
        <w:widowControl/>
        <w:tabs>
          <w:tab w:val="clear" w:pos="510"/>
        </w:tabs>
        <w:rPr>
          <w:rFonts w:hint="eastAsia"/>
          <w:spacing w:val="10"/>
        </w:rPr>
      </w:pPr>
      <w:r>
        <w:rPr>
          <w:rFonts w:hint="eastAsia"/>
          <w:spacing w:val="10"/>
        </w:rPr>
        <w:tab/>
        <w:t xml:space="preserve">415.  </w:t>
      </w:r>
      <w:r>
        <w:rPr>
          <w:rFonts w:hint="eastAsia"/>
          <w:spacing w:val="10"/>
        </w:rPr>
        <w:t>只有国家才可处理婚姻和家庭关系所涉法律事务。只有在国家出生、婚姻和死亡登记处登记的婚姻，方可视为有效婚姻。宗教婚姻和其他宗教仪式不具有任何法律效力。法律保护由婚姻和家庭关系产生的权利，但这些权利不得侵犯他人的权利。由婚姻和家庭关系产生的权利受法院、监护机构、国家出生、婚姻和死亡登记处和依法建立的其他种种公共组织的保护</w:t>
      </w:r>
      <w:r>
        <w:rPr>
          <w:rFonts w:hint="eastAsia"/>
          <w:spacing w:val="10"/>
        </w:rPr>
        <w:t>(</w:t>
      </w:r>
      <w:r>
        <w:rPr>
          <w:rFonts w:hint="eastAsia"/>
          <w:spacing w:val="10"/>
        </w:rPr>
        <w:t>《婚姻和家庭法》第</w:t>
      </w:r>
      <w:r>
        <w:rPr>
          <w:rFonts w:hint="eastAsia"/>
          <w:spacing w:val="10"/>
        </w:rPr>
        <w:t>6</w:t>
      </w:r>
      <w:r>
        <w:rPr>
          <w:rFonts w:hint="eastAsia"/>
          <w:spacing w:val="10"/>
        </w:rPr>
        <w:t>条第</w:t>
      </w:r>
      <w:r>
        <w:rPr>
          <w:rFonts w:hint="eastAsia"/>
          <w:spacing w:val="10"/>
        </w:rPr>
        <w:t>(1)</w:t>
      </w:r>
      <w:r>
        <w:rPr>
          <w:rFonts w:hint="eastAsia"/>
          <w:spacing w:val="10"/>
        </w:rPr>
        <w:t>和第</w:t>
      </w:r>
      <w:r>
        <w:rPr>
          <w:rFonts w:hint="eastAsia"/>
          <w:spacing w:val="10"/>
        </w:rPr>
        <w:t>(2)</w:t>
      </w:r>
      <w:r>
        <w:rPr>
          <w:rFonts w:hint="eastAsia"/>
          <w:spacing w:val="10"/>
        </w:rPr>
        <w:t>款</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416.  </w:t>
      </w:r>
      <w:r>
        <w:rPr>
          <w:rFonts w:hint="eastAsia"/>
          <w:spacing w:val="10"/>
        </w:rPr>
        <w:t>《婚姻和家庭法》第</w:t>
      </w:r>
      <w:r>
        <w:rPr>
          <w:rFonts w:hint="eastAsia"/>
          <w:spacing w:val="10"/>
        </w:rPr>
        <w:t>4</w:t>
      </w:r>
      <w:r>
        <w:rPr>
          <w:rFonts w:hint="eastAsia"/>
          <w:spacing w:val="10"/>
        </w:rPr>
        <w:t>条规定，公民在家庭关系中享有平等权利。因此，“所有公民”在家庭关系中“均享有平等关系”。法律禁止基于出身、社会和实质性地位、种族、国籍、性别、教育、宗教、实际占有、居住和其他情况而直接或间接地从婚姻登记中捞取好处。一旦在国家出生、婚姻和死亡登记处登记婚姻，配偶之间的权利和义务即随之产生。配偶应当共同照顾他们的子女和解决家庭生活中的其他事项。他们有权选择自己的工作和居住地</w:t>
      </w:r>
      <w:r>
        <w:rPr>
          <w:rFonts w:hint="eastAsia"/>
          <w:spacing w:val="10"/>
        </w:rPr>
        <w:t>(</w:t>
      </w:r>
      <w:r>
        <w:rPr>
          <w:rFonts w:hint="eastAsia"/>
          <w:spacing w:val="10"/>
        </w:rPr>
        <w:t>第</w:t>
      </w:r>
      <w:r>
        <w:rPr>
          <w:rFonts w:hint="eastAsia"/>
          <w:spacing w:val="10"/>
        </w:rPr>
        <w:t>18</w:t>
      </w:r>
      <w:r>
        <w:rPr>
          <w:rFonts w:hint="eastAsia"/>
          <w:spacing w:val="10"/>
        </w:rPr>
        <w:t>和</w:t>
      </w:r>
      <w:r>
        <w:rPr>
          <w:rFonts w:hint="eastAsia"/>
          <w:spacing w:val="10"/>
        </w:rPr>
        <w:t>20</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417.  </w:t>
      </w:r>
      <w:r>
        <w:rPr>
          <w:rFonts w:hint="eastAsia"/>
          <w:spacing w:val="10"/>
        </w:rPr>
        <w:t>配偶有义务相互赡养。如果配偶一方不给予此种援助，不能工作的一方以及怀孕妻子有权要求得到赡养费，但须另一方有能力支付赡养费。不能工作并需要被赡养的配偶，即使婚姻关系已经解除，如果她</w:t>
      </w:r>
      <w:r>
        <w:rPr>
          <w:rFonts w:hint="eastAsia"/>
          <w:spacing w:val="10"/>
        </w:rPr>
        <w:t>(</w:t>
      </w:r>
      <w:r>
        <w:rPr>
          <w:rFonts w:hint="eastAsia"/>
          <w:spacing w:val="10"/>
        </w:rPr>
        <w:t>他</w:t>
      </w:r>
      <w:r>
        <w:rPr>
          <w:rFonts w:hint="eastAsia"/>
          <w:spacing w:val="10"/>
        </w:rPr>
        <w:t>)</w:t>
      </w:r>
      <w:r>
        <w:rPr>
          <w:rFonts w:hint="eastAsia"/>
          <w:spacing w:val="10"/>
        </w:rPr>
        <w:t>在婚姻关系解除之前或解除后一年内成为残疾人，仍有权得到配偶另一方的经济援助。如果婚姻关系存续时间较长，法院有权责成配偶一方向已离婚的另一方支付赡养费，条件是另一方在婚姻关系解除五年之内将年届退休年龄。妻子有权在妊娠期间和生育后三年内得到丈夫的经济援助，如果是在婚姻关系解除之前开始怀孕的话。</w:t>
      </w:r>
    </w:p>
    <w:p w:rsidR="00000000" w:rsidRDefault="00000000">
      <w:pPr>
        <w:pStyle w:val="cdL1"/>
        <w:widowControl/>
        <w:tabs>
          <w:tab w:val="clear" w:pos="510"/>
        </w:tabs>
        <w:rPr>
          <w:rFonts w:hint="eastAsia"/>
          <w:spacing w:val="10"/>
        </w:rPr>
      </w:pPr>
      <w:r>
        <w:rPr>
          <w:rFonts w:hint="eastAsia"/>
          <w:spacing w:val="10"/>
        </w:rPr>
        <w:tab/>
        <w:t xml:space="preserve">418.  </w:t>
      </w:r>
      <w:r>
        <w:rPr>
          <w:rFonts w:hint="eastAsia"/>
          <w:spacing w:val="10"/>
        </w:rPr>
        <w:t>赡养费数额是固定的，并且按月支付。法院须考虑到配偶双方的实质性地位和经济地位。法院自诉讼提起之时即确定了配偶分配数。法院可以裁定配偶一方在一段时间内免除这一义务，如果：</w:t>
      </w:r>
    </w:p>
    <w:p w:rsidR="00000000" w:rsidRDefault="00000000">
      <w:pPr>
        <w:numPr>
          <w:ilvl w:val="0"/>
          <w:numId w:val="552"/>
        </w:numPr>
        <w:rPr>
          <w:rFonts w:hint="eastAsia"/>
        </w:rPr>
      </w:pPr>
      <w:r>
        <w:rPr>
          <w:rFonts w:hint="eastAsia"/>
        </w:rPr>
        <w:t>婚姻关系存续时间不长；</w:t>
      </w:r>
    </w:p>
    <w:p w:rsidR="00000000" w:rsidRDefault="00000000">
      <w:pPr>
        <w:numPr>
          <w:ilvl w:val="0"/>
          <w:numId w:val="552"/>
        </w:numPr>
        <w:rPr>
          <w:rFonts w:hint="eastAsia"/>
        </w:rPr>
      </w:pPr>
      <w:r>
        <w:rPr>
          <w:rFonts w:hint="eastAsia"/>
        </w:rPr>
        <w:t>需要给予经济援助的配偶有不当行为；</w:t>
      </w:r>
    </w:p>
    <w:p w:rsidR="00000000" w:rsidRDefault="00000000">
      <w:pPr>
        <w:numPr>
          <w:ilvl w:val="0"/>
          <w:numId w:val="552"/>
        </w:numPr>
        <w:rPr>
          <w:rFonts w:hint="eastAsia"/>
        </w:rPr>
      </w:pPr>
      <w:r>
        <w:rPr>
          <w:rFonts w:hint="eastAsia"/>
        </w:rPr>
        <w:t>配偶身患残疾是因酗酒或吸毒上瘾或犯罪行为所致</w:t>
      </w:r>
      <w:r>
        <w:rPr>
          <w:rFonts w:hint="eastAsia"/>
        </w:rPr>
        <w:t>(</w:t>
      </w:r>
      <w:r>
        <w:rPr>
          <w:rFonts w:hint="eastAsia"/>
        </w:rPr>
        <w:t>第</w:t>
      </w:r>
      <w:r>
        <w:rPr>
          <w:rFonts w:hint="eastAsia"/>
        </w:rPr>
        <w:t>27</w:t>
      </w:r>
      <w:r>
        <w:rPr>
          <w:rFonts w:hint="eastAsia"/>
        </w:rPr>
        <w:t>、</w:t>
      </w:r>
      <w:r>
        <w:rPr>
          <w:rFonts w:hint="eastAsia"/>
        </w:rPr>
        <w:t>28</w:t>
      </w:r>
      <w:r>
        <w:rPr>
          <w:rFonts w:hint="eastAsia"/>
        </w:rPr>
        <w:t>、</w:t>
      </w:r>
      <w:r>
        <w:rPr>
          <w:rFonts w:hint="eastAsia"/>
        </w:rPr>
        <w:t>29</w:t>
      </w:r>
      <w:r>
        <w:rPr>
          <w:rFonts w:hint="eastAsia"/>
        </w:rPr>
        <w:t>和</w:t>
      </w:r>
      <w:r>
        <w:rPr>
          <w:rFonts w:hint="eastAsia"/>
        </w:rPr>
        <w:t>31</w:t>
      </w:r>
      <w:r>
        <w:rPr>
          <w:rFonts w:hint="eastAsia"/>
        </w:rPr>
        <w:t>条</w:t>
      </w:r>
      <w:r>
        <w:rPr>
          <w:rFonts w:hint="eastAsia"/>
        </w:rPr>
        <w:t>)</w:t>
      </w:r>
      <w:r>
        <w:rPr>
          <w:rFonts w:hint="eastAsia"/>
        </w:rPr>
        <w:t>。</w:t>
      </w:r>
    </w:p>
    <w:p w:rsidR="00000000" w:rsidRDefault="00000000">
      <w:pPr>
        <w:pStyle w:val="cdL1"/>
        <w:widowControl/>
        <w:tabs>
          <w:tab w:val="clear" w:pos="510"/>
        </w:tabs>
        <w:rPr>
          <w:rFonts w:hint="eastAsia"/>
          <w:spacing w:val="10"/>
        </w:rPr>
      </w:pPr>
      <w:r>
        <w:rPr>
          <w:rFonts w:hint="eastAsia"/>
          <w:spacing w:val="10"/>
        </w:rPr>
        <w:tab/>
        <w:t>41</w:t>
      </w:r>
      <w:r>
        <w:rPr>
          <w:spacing w:val="10"/>
        </w:rPr>
        <w:t>9.</w:t>
      </w:r>
      <w:r>
        <w:rPr>
          <w:rFonts w:hint="eastAsia"/>
          <w:spacing w:val="10"/>
        </w:rPr>
        <w:t xml:space="preserve">  </w:t>
      </w:r>
      <w:r>
        <w:rPr>
          <w:rFonts w:hint="eastAsia"/>
          <w:spacing w:val="10"/>
        </w:rPr>
        <w:t>父母与子女的相互权利和义务是以法律规定的方式所证明的血统为基础。父母有权利、有义务抚养子女，照顾子女的健康、身心和道德的健康成长及教育，为今后的社会生活作好准备。父母作为其子女的合法代表，必须保护子女的权利和权益，并无任何特别授权。父母的权利不能与其子女的利益相抵触。如果父母</w:t>
      </w:r>
      <w:r>
        <w:rPr>
          <w:rFonts w:hint="eastAsia"/>
          <w:spacing w:val="10"/>
        </w:rPr>
        <w:t>(</w:t>
      </w:r>
      <w:r>
        <w:rPr>
          <w:rFonts w:hint="eastAsia"/>
          <w:spacing w:val="10"/>
        </w:rPr>
        <w:t>或其中一方</w:t>
      </w:r>
      <w:r>
        <w:rPr>
          <w:rFonts w:hint="eastAsia"/>
          <w:spacing w:val="10"/>
        </w:rPr>
        <w:t>)</w:t>
      </w:r>
      <w:r>
        <w:rPr>
          <w:rFonts w:hint="eastAsia"/>
          <w:spacing w:val="10"/>
        </w:rPr>
        <w:t>未履行其抚养子女的义务或者滥用其父母权利，子女有权要求予以保护。即使婚姻关系已经解除，父母仍享有平等的权利和义务。配偶双方共同处理有关子女抚养的一切事宜。如果父母之间未就争议问题取得任何一致意见，则交由监管机构讨论，父母亦参与此种讨论。</w:t>
      </w:r>
    </w:p>
    <w:p w:rsidR="00000000" w:rsidRDefault="00000000">
      <w:pPr>
        <w:pStyle w:val="cdL1"/>
        <w:widowControl/>
        <w:tabs>
          <w:tab w:val="clear" w:pos="510"/>
        </w:tabs>
        <w:rPr>
          <w:rFonts w:hint="eastAsia"/>
          <w:spacing w:val="10"/>
        </w:rPr>
      </w:pPr>
      <w:r>
        <w:rPr>
          <w:rFonts w:hint="eastAsia"/>
          <w:spacing w:val="10"/>
        </w:rPr>
        <w:tab/>
        <w:t>4</w:t>
      </w:r>
      <w:r>
        <w:rPr>
          <w:spacing w:val="10"/>
        </w:rPr>
        <w:t>20.</w:t>
      </w:r>
      <w:r>
        <w:rPr>
          <w:rFonts w:hint="eastAsia"/>
          <w:spacing w:val="10"/>
        </w:rPr>
        <w:t xml:space="preserve">  </w:t>
      </w:r>
      <w:r>
        <w:rPr>
          <w:rFonts w:hint="eastAsia"/>
          <w:spacing w:val="10"/>
        </w:rPr>
        <w:t>父母一方如果未与未成年子女共同生活，亦有义务参与对其子女的抚养和与子女的交流。与子女共同生活的父母一方无权阻止另一方与子女的交流或为子女的教育提供资金。如果父母分居生活，没有为子女提供抚养费，并且对子女具有消极的影响，监管权力机构可以取消此种权利。</w:t>
      </w:r>
    </w:p>
    <w:p w:rsidR="00000000" w:rsidRDefault="00000000">
      <w:pPr>
        <w:pStyle w:val="cdL1"/>
        <w:widowControl/>
        <w:tabs>
          <w:tab w:val="clear" w:pos="510"/>
        </w:tabs>
        <w:rPr>
          <w:rFonts w:hint="eastAsia"/>
          <w:spacing w:val="10"/>
        </w:rPr>
      </w:pPr>
      <w:r>
        <w:rPr>
          <w:rFonts w:hint="eastAsia"/>
          <w:spacing w:val="10"/>
        </w:rPr>
        <w:tab/>
        <w:t xml:space="preserve">421.  </w:t>
      </w:r>
      <w:r>
        <w:rPr>
          <w:rFonts w:hint="eastAsia"/>
          <w:spacing w:val="10"/>
        </w:rPr>
        <w:t>继父和继母若经济状况良好，亦有义务供养其不能工作和需要此种供养的过继的子女，如果子女过去曾由他们抚养，现在没有生身父母或从生身父母那里得不到足够的赡养费的话</w:t>
      </w:r>
      <w:r>
        <w:rPr>
          <w:rFonts w:hint="eastAsia"/>
          <w:spacing w:val="10"/>
        </w:rPr>
        <w:t>(</w:t>
      </w:r>
      <w:r>
        <w:rPr>
          <w:rFonts w:hint="eastAsia"/>
          <w:spacing w:val="10"/>
        </w:rPr>
        <w:t>第</w:t>
      </w:r>
      <w:r>
        <w:rPr>
          <w:rFonts w:hint="eastAsia"/>
          <w:spacing w:val="10"/>
        </w:rPr>
        <w:t>48</w:t>
      </w:r>
      <w:r>
        <w:rPr>
          <w:rFonts w:hint="eastAsia"/>
          <w:spacing w:val="10"/>
        </w:rPr>
        <w:t>、</w:t>
      </w:r>
      <w:r>
        <w:rPr>
          <w:rFonts w:hint="eastAsia"/>
          <w:spacing w:val="10"/>
        </w:rPr>
        <w:t>56</w:t>
      </w:r>
      <w:r>
        <w:rPr>
          <w:rFonts w:hint="eastAsia"/>
          <w:spacing w:val="10"/>
        </w:rPr>
        <w:t>、</w:t>
      </w:r>
      <w:r>
        <w:rPr>
          <w:rFonts w:hint="eastAsia"/>
          <w:spacing w:val="10"/>
        </w:rPr>
        <w:t>57</w:t>
      </w:r>
      <w:r>
        <w:rPr>
          <w:rFonts w:hint="eastAsia"/>
          <w:spacing w:val="10"/>
        </w:rPr>
        <w:t>、</w:t>
      </w:r>
      <w:r>
        <w:rPr>
          <w:rFonts w:hint="eastAsia"/>
          <w:spacing w:val="10"/>
        </w:rPr>
        <w:t>58</w:t>
      </w:r>
      <w:r>
        <w:rPr>
          <w:rFonts w:hint="eastAsia"/>
          <w:spacing w:val="10"/>
        </w:rPr>
        <w:t>、</w:t>
      </w:r>
      <w:r>
        <w:rPr>
          <w:rFonts w:hint="eastAsia"/>
          <w:spacing w:val="10"/>
        </w:rPr>
        <w:t>60</w:t>
      </w:r>
      <w:r>
        <w:rPr>
          <w:rFonts w:hint="eastAsia"/>
          <w:spacing w:val="10"/>
        </w:rPr>
        <w:t>和</w:t>
      </w:r>
      <w:r>
        <w:rPr>
          <w:rFonts w:hint="eastAsia"/>
          <w:spacing w:val="10"/>
        </w:rPr>
        <w:t>85</w:t>
      </w:r>
      <w:r>
        <w:rPr>
          <w:rFonts w:hint="eastAsia"/>
          <w:spacing w:val="10"/>
        </w:rPr>
        <w:t>条</w:t>
      </w:r>
      <w:r>
        <w:rPr>
          <w:rFonts w:hint="eastAsia"/>
          <w:spacing w:val="10"/>
        </w:rPr>
        <w:t>)</w:t>
      </w:r>
      <w:r>
        <w:rPr>
          <w:rFonts w:hint="eastAsia"/>
          <w:spacing w:val="10"/>
        </w:rPr>
        <w:t>。按照《婚姻和家庭法》第</w:t>
      </w:r>
      <w:r>
        <w:rPr>
          <w:rFonts w:hint="eastAsia"/>
          <w:spacing w:val="10"/>
        </w:rPr>
        <w:t>71</w:t>
      </w:r>
      <w:r>
        <w:rPr>
          <w:rFonts w:hint="eastAsia"/>
          <w:spacing w:val="10"/>
        </w:rPr>
        <w:t>条，父母有义务抚养其未成年子女和不能工作的成年子女。</w:t>
      </w:r>
    </w:p>
    <w:p w:rsidR="00000000" w:rsidRDefault="00000000">
      <w:pPr>
        <w:pStyle w:val="cdL1"/>
        <w:widowControl/>
        <w:tabs>
          <w:tab w:val="clear" w:pos="510"/>
        </w:tabs>
        <w:rPr>
          <w:rFonts w:hint="eastAsia"/>
          <w:spacing w:val="10"/>
        </w:rPr>
      </w:pPr>
      <w:r>
        <w:rPr>
          <w:rFonts w:hint="eastAsia"/>
          <w:spacing w:val="10"/>
        </w:rPr>
        <w:tab/>
        <w:t xml:space="preserve">422.  </w:t>
      </w:r>
      <w:r>
        <w:rPr>
          <w:rFonts w:hint="eastAsia"/>
          <w:spacing w:val="10"/>
        </w:rPr>
        <w:t>父母按以下比例支付未成年子女抚养费：一个子女为父母收入的四分之一；二个子女为收入的三分之一；多名子女为收入的一半。父母为未成年子女支付抚养费，还必须提供应付意外情况</w:t>
      </w:r>
      <w:r>
        <w:rPr>
          <w:rFonts w:hint="eastAsia"/>
          <w:spacing w:val="10"/>
        </w:rPr>
        <w:t>(</w:t>
      </w:r>
      <w:r>
        <w:rPr>
          <w:rFonts w:hint="eastAsia"/>
          <w:spacing w:val="10"/>
        </w:rPr>
        <w:t>生病、肢残，等等</w:t>
      </w:r>
      <w:r>
        <w:rPr>
          <w:rFonts w:hint="eastAsia"/>
          <w:spacing w:val="10"/>
        </w:rPr>
        <w:t>)</w:t>
      </w:r>
      <w:r>
        <w:rPr>
          <w:rFonts w:hint="eastAsia"/>
          <w:spacing w:val="10"/>
        </w:rPr>
        <w:t>的额外资金。这些付款由法院根据父母的实际情况来确定。失去家庭供养人的未成年人，有权领取养恤金或援助。他们即使被人收养，也依然享有此项权利</w:t>
      </w:r>
      <w:r>
        <w:rPr>
          <w:rFonts w:hint="eastAsia"/>
          <w:spacing w:val="10"/>
        </w:rPr>
        <w:t>(</w:t>
      </w:r>
      <w:r>
        <w:rPr>
          <w:rFonts w:hint="eastAsia"/>
          <w:spacing w:val="10"/>
        </w:rPr>
        <w:t>第</w:t>
      </w:r>
      <w:r>
        <w:rPr>
          <w:rFonts w:hint="eastAsia"/>
          <w:spacing w:val="10"/>
        </w:rPr>
        <w:t>72</w:t>
      </w:r>
      <w:r>
        <w:rPr>
          <w:rFonts w:hint="eastAsia"/>
          <w:spacing w:val="10"/>
        </w:rPr>
        <w:t>、</w:t>
      </w:r>
      <w:r>
        <w:rPr>
          <w:rFonts w:hint="eastAsia"/>
          <w:spacing w:val="10"/>
        </w:rPr>
        <w:t>73</w:t>
      </w:r>
      <w:r>
        <w:rPr>
          <w:rFonts w:hint="eastAsia"/>
          <w:spacing w:val="10"/>
        </w:rPr>
        <w:t>、</w:t>
      </w:r>
      <w:r>
        <w:rPr>
          <w:rFonts w:hint="eastAsia"/>
          <w:spacing w:val="10"/>
        </w:rPr>
        <w:t>85</w:t>
      </w:r>
      <w:r>
        <w:rPr>
          <w:rFonts w:hint="eastAsia"/>
          <w:spacing w:val="10"/>
        </w:rPr>
        <w:t>和</w:t>
      </w:r>
      <w:r>
        <w:rPr>
          <w:rFonts w:hint="eastAsia"/>
          <w:spacing w:val="10"/>
        </w:rPr>
        <w:t>113</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423.  </w:t>
      </w:r>
      <w:r>
        <w:rPr>
          <w:rFonts w:hint="eastAsia"/>
          <w:spacing w:val="10"/>
        </w:rPr>
        <w:t>《婚姻和家庭法》第六章规定了摩尔多瓦共和国有关外籍人和无国籍人婚姻和家庭问题的法律。按照该法律，外国公民和无国籍人如为摩尔多瓦共和国永久居民，则享有同样的婚姻和家庭权利。</w:t>
      </w:r>
    </w:p>
    <w:p w:rsidR="00000000" w:rsidRDefault="00000000">
      <w:pPr>
        <w:pStyle w:val="cdL1"/>
        <w:widowControl/>
        <w:tabs>
          <w:tab w:val="clear" w:pos="510"/>
        </w:tabs>
        <w:rPr>
          <w:rFonts w:hint="eastAsia"/>
          <w:spacing w:val="10"/>
        </w:rPr>
      </w:pPr>
      <w:r>
        <w:rPr>
          <w:rFonts w:hint="eastAsia"/>
          <w:spacing w:val="10"/>
        </w:rPr>
        <w:tab/>
        <w:t xml:space="preserve">424.  </w:t>
      </w:r>
      <w:r>
        <w:rPr>
          <w:rFonts w:hint="eastAsia"/>
          <w:spacing w:val="10"/>
        </w:rPr>
        <w:t>在摩尔多瓦共和国，国家对儿童的保护是一项政治、社会和经济优先事项。保护儿童权利政策的目标是，实现《儿童权利法》所制定的主要原则，不得有任何歧视，并且不论儿童或其父母或法定监护人的种族、肤色、性别、语言、宗教、政治或其他见解、民族血统、种族或社会出身、财产、残疾、出生或其他状况如何。按照宪法规定</w:t>
      </w:r>
      <w:r>
        <w:rPr>
          <w:rFonts w:hint="eastAsia"/>
          <w:spacing w:val="10"/>
        </w:rPr>
        <w:t>(</w:t>
      </w:r>
      <w:r>
        <w:rPr>
          <w:rFonts w:hint="eastAsia"/>
          <w:spacing w:val="10"/>
        </w:rPr>
        <w:t>第</w:t>
      </w:r>
      <w:r>
        <w:rPr>
          <w:rFonts w:hint="eastAsia"/>
          <w:spacing w:val="10"/>
        </w:rPr>
        <w:t>16</w:t>
      </w:r>
      <w:r>
        <w:rPr>
          <w:rFonts w:hint="eastAsia"/>
          <w:spacing w:val="10"/>
        </w:rPr>
        <w:t>条第</w:t>
      </w:r>
      <w:r>
        <w:rPr>
          <w:rFonts w:hint="eastAsia"/>
          <w:spacing w:val="10"/>
        </w:rPr>
        <w:t>2</w:t>
      </w:r>
      <w:r>
        <w:rPr>
          <w:rFonts w:hint="eastAsia"/>
          <w:spacing w:val="10"/>
        </w:rPr>
        <w:t>款</w:t>
      </w:r>
      <w:r>
        <w:rPr>
          <w:rFonts w:hint="eastAsia"/>
          <w:spacing w:val="10"/>
        </w:rPr>
        <w:t>)</w:t>
      </w:r>
      <w:r>
        <w:rPr>
          <w:rFonts w:hint="eastAsia"/>
          <w:spacing w:val="10"/>
        </w:rPr>
        <w:t>，摩尔多瓦共和国所有公民，不分种族、国籍、民族血统、语言、宗教、性别、政治或其他见解和财产，在法律及在公共当局面前一律平等。儿童也惠益于《儿童权利法》所载列的这些规定，即，“所有儿童，不分种族、国籍、民族血统、性别、语言、宗教、财产或社会出身，一律享有平等权利”。</w:t>
      </w:r>
    </w:p>
    <w:p w:rsidR="00000000" w:rsidRDefault="00000000">
      <w:pPr>
        <w:pStyle w:val="cdL1"/>
        <w:widowControl/>
        <w:tabs>
          <w:tab w:val="clear" w:pos="510"/>
        </w:tabs>
        <w:rPr>
          <w:rFonts w:hint="eastAsia"/>
          <w:spacing w:val="10"/>
        </w:rPr>
      </w:pPr>
      <w:r>
        <w:rPr>
          <w:rFonts w:hint="eastAsia"/>
          <w:spacing w:val="10"/>
        </w:rPr>
        <w:tab/>
        <w:t>425.  1994</w:t>
      </w:r>
      <w:r>
        <w:rPr>
          <w:rFonts w:hint="eastAsia"/>
          <w:spacing w:val="10"/>
        </w:rPr>
        <w:t>年</w:t>
      </w:r>
      <w:r>
        <w:rPr>
          <w:rFonts w:hint="eastAsia"/>
          <w:spacing w:val="10"/>
        </w:rPr>
        <w:t>12</w:t>
      </w:r>
      <w:r>
        <w:rPr>
          <w:rFonts w:hint="eastAsia"/>
          <w:spacing w:val="10"/>
        </w:rPr>
        <w:t>月</w:t>
      </w:r>
      <w:r>
        <w:rPr>
          <w:rFonts w:hint="eastAsia"/>
          <w:spacing w:val="10"/>
        </w:rPr>
        <w:t>15</w:t>
      </w:r>
      <w:r>
        <w:rPr>
          <w:rFonts w:hint="eastAsia"/>
          <w:spacing w:val="10"/>
        </w:rPr>
        <w:t>日《第</w:t>
      </w:r>
      <w:r>
        <w:rPr>
          <w:rFonts w:hint="eastAsia"/>
          <w:spacing w:val="10"/>
        </w:rPr>
        <w:t>338-XIII</w:t>
      </w:r>
      <w:r>
        <w:rPr>
          <w:rFonts w:hint="eastAsia"/>
          <w:spacing w:val="10"/>
        </w:rPr>
        <w:t>号儿童权利法》规定，国家保障每个儿童有权享有体面的生活水准，并在身体、智力、精神和社会各个方面得到全面发展。同时，国家还采取相关措施，为父母和其他负责儿童教育的人发放援助。父母作为子女的法定代表，必须确保其子女在公共或私人机构中接受教育，以及为子女接受教育、开发能力、校外活动和自教自学提供适当条件。父母没有监管其年幼子女，必须承担法律责任。</w:t>
      </w:r>
    </w:p>
    <w:p w:rsidR="00000000" w:rsidRDefault="00000000">
      <w:pPr>
        <w:pStyle w:val="cdL1"/>
        <w:widowControl/>
        <w:tabs>
          <w:tab w:val="clear" w:pos="510"/>
        </w:tabs>
        <w:rPr>
          <w:rFonts w:hint="eastAsia"/>
          <w:spacing w:val="10"/>
        </w:rPr>
      </w:pPr>
      <w:r>
        <w:rPr>
          <w:rFonts w:hint="eastAsia"/>
          <w:spacing w:val="10"/>
        </w:rPr>
        <w:tab/>
        <w:t xml:space="preserve">426.  </w:t>
      </w:r>
      <w:r>
        <w:rPr>
          <w:rFonts w:hint="eastAsia"/>
          <w:spacing w:val="10"/>
        </w:rPr>
        <w:t>如果儿童在公共机构监管之下因未听从医生的医嘱而患病，父母双方均需承担儿童的治疗费用。父母有义务照顾其子女，即使他们的亲权已被撤消。</w:t>
      </w:r>
    </w:p>
    <w:p w:rsidR="00000000" w:rsidRDefault="00000000">
      <w:pPr>
        <w:pStyle w:val="cdL1"/>
        <w:widowControl/>
        <w:tabs>
          <w:tab w:val="clear" w:pos="510"/>
        </w:tabs>
        <w:rPr>
          <w:rFonts w:hint="eastAsia"/>
          <w:spacing w:val="10"/>
        </w:rPr>
      </w:pPr>
      <w:r>
        <w:rPr>
          <w:rFonts w:hint="eastAsia"/>
          <w:spacing w:val="10"/>
        </w:rPr>
        <w:tab/>
        <w:t xml:space="preserve">427.  </w:t>
      </w:r>
      <w:r>
        <w:rPr>
          <w:rFonts w:hint="eastAsia"/>
          <w:spacing w:val="10"/>
        </w:rPr>
        <w:t>除上述规定之外，以下规定也适用于子女抚养费</w:t>
      </w:r>
      <w:r>
        <w:rPr>
          <w:rFonts w:hint="eastAsia"/>
          <w:spacing w:val="10"/>
        </w:rPr>
        <w:t>/</w:t>
      </w:r>
      <w:r>
        <w:rPr>
          <w:rFonts w:hint="eastAsia"/>
          <w:spacing w:val="10"/>
        </w:rPr>
        <w:t>赡养费的支付：</w:t>
      </w:r>
    </w:p>
    <w:p w:rsidR="00000000" w:rsidRDefault="00000000">
      <w:pPr>
        <w:numPr>
          <w:ilvl w:val="0"/>
          <w:numId w:val="553"/>
        </w:numPr>
        <w:rPr>
          <w:rFonts w:hint="eastAsia"/>
        </w:rPr>
      </w:pPr>
      <w:r>
        <w:rPr>
          <w:rFonts w:hint="eastAsia"/>
        </w:rPr>
        <w:t>如果被迫支付赡养费的一方家长没有固定的收入，或者不是按月领取收入，或者无法或难以支付赡养费，他可要求支付固定数额的月赡养费；</w:t>
      </w:r>
    </w:p>
    <w:p w:rsidR="00000000" w:rsidRDefault="00000000">
      <w:pPr>
        <w:numPr>
          <w:ilvl w:val="0"/>
          <w:numId w:val="553"/>
        </w:numPr>
        <w:rPr>
          <w:rFonts w:hint="eastAsia"/>
        </w:rPr>
      </w:pPr>
      <w:r>
        <w:rPr>
          <w:rFonts w:hint="eastAsia"/>
        </w:rPr>
        <w:t>父母将子女抚养费打入在</w:t>
      </w:r>
      <w:r>
        <w:rPr>
          <w:rFonts w:hint="eastAsia"/>
          <w:u w:val="single"/>
        </w:rPr>
        <w:t>经济银行</w:t>
      </w:r>
      <w:r>
        <w:rPr>
          <w:rFonts w:hint="eastAsia"/>
        </w:rPr>
        <w:t>开立的个人帐户中；</w:t>
      </w:r>
    </w:p>
    <w:p w:rsidR="00000000" w:rsidRDefault="00000000">
      <w:pPr>
        <w:numPr>
          <w:ilvl w:val="0"/>
          <w:numId w:val="553"/>
        </w:numPr>
        <w:rPr>
          <w:rFonts w:hint="eastAsia"/>
        </w:rPr>
      </w:pPr>
      <w:r>
        <w:rPr>
          <w:rFonts w:hint="eastAsia"/>
        </w:rPr>
        <w:t>有权利领取赡养费者可向法院提出申请，要求支付赡养费；</w:t>
      </w:r>
    </w:p>
    <w:p w:rsidR="00000000" w:rsidRDefault="00000000">
      <w:pPr>
        <w:numPr>
          <w:ilvl w:val="0"/>
          <w:numId w:val="553"/>
        </w:numPr>
        <w:rPr>
          <w:rFonts w:hint="eastAsia"/>
        </w:rPr>
      </w:pPr>
      <w:r>
        <w:rPr>
          <w:rFonts w:hint="eastAsia"/>
        </w:rPr>
        <w:t>赡养费可以在三年之内支付，如果法院在申请提出时作出此种规定。如发生违约情况，则采取一定措施来保证获得赡养费；</w:t>
      </w:r>
    </w:p>
    <w:p w:rsidR="00000000" w:rsidRDefault="00000000">
      <w:pPr>
        <w:numPr>
          <w:ilvl w:val="0"/>
          <w:numId w:val="553"/>
        </w:numPr>
        <w:rPr>
          <w:rFonts w:hint="eastAsia"/>
        </w:rPr>
      </w:pPr>
      <w:r>
        <w:rPr>
          <w:rFonts w:hint="eastAsia"/>
        </w:rPr>
        <w:t>必须支付赡养费者，应当在住址和工作单位变化后三天之内将情况告诉法定执行人，加班收入亦应告之；</w:t>
      </w:r>
    </w:p>
    <w:p w:rsidR="00000000" w:rsidRDefault="00000000">
      <w:pPr>
        <w:numPr>
          <w:ilvl w:val="0"/>
          <w:numId w:val="553"/>
        </w:numPr>
        <w:rPr>
          <w:rFonts w:hint="eastAsia"/>
        </w:rPr>
      </w:pPr>
      <w:r>
        <w:rPr>
          <w:rFonts w:hint="eastAsia"/>
        </w:rPr>
        <w:t>如不支付赡养费，则依照现行法律予以惩处。</w:t>
      </w:r>
    </w:p>
    <w:p w:rsidR="00000000" w:rsidRDefault="00000000">
      <w:pPr>
        <w:pStyle w:val="cdL1"/>
        <w:widowControl/>
        <w:tabs>
          <w:tab w:val="clear" w:pos="510"/>
        </w:tabs>
        <w:rPr>
          <w:rFonts w:hint="eastAsia"/>
          <w:spacing w:val="10"/>
        </w:rPr>
      </w:pPr>
      <w:r>
        <w:rPr>
          <w:rFonts w:hint="eastAsia"/>
          <w:spacing w:val="10"/>
        </w:rPr>
        <w:tab/>
        <w:t xml:space="preserve">428.  </w:t>
      </w:r>
      <w:r>
        <w:rPr>
          <w:rFonts w:hint="eastAsia"/>
          <w:spacing w:val="10"/>
        </w:rPr>
        <w:t>《宪法》第</w:t>
      </w:r>
      <w:r>
        <w:rPr>
          <w:rFonts w:hint="eastAsia"/>
          <w:spacing w:val="10"/>
        </w:rPr>
        <w:t>47</w:t>
      </w:r>
      <w:r>
        <w:rPr>
          <w:rFonts w:hint="eastAsia"/>
          <w:spacing w:val="10"/>
        </w:rPr>
        <w:t>、</w:t>
      </w:r>
      <w:r>
        <w:rPr>
          <w:rFonts w:hint="eastAsia"/>
          <w:spacing w:val="10"/>
        </w:rPr>
        <w:t>48</w:t>
      </w:r>
      <w:r>
        <w:rPr>
          <w:rFonts w:hint="eastAsia"/>
          <w:spacing w:val="10"/>
        </w:rPr>
        <w:t>、</w:t>
      </w:r>
      <w:r>
        <w:rPr>
          <w:rFonts w:hint="eastAsia"/>
          <w:spacing w:val="10"/>
        </w:rPr>
        <w:t>49</w:t>
      </w:r>
      <w:r>
        <w:rPr>
          <w:rFonts w:hint="eastAsia"/>
          <w:spacing w:val="10"/>
        </w:rPr>
        <w:t>、</w:t>
      </w:r>
      <w:r>
        <w:rPr>
          <w:rFonts w:hint="eastAsia"/>
          <w:spacing w:val="10"/>
        </w:rPr>
        <w:t>50</w:t>
      </w:r>
      <w:r>
        <w:rPr>
          <w:rFonts w:hint="eastAsia"/>
          <w:spacing w:val="10"/>
        </w:rPr>
        <w:t>和</w:t>
      </w:r>
      <w:r>
        <w:rPr>
          <w:rFonts w:hint="eastAsia"/>
          <w:spacing w:val="10"/>
        </w:rPr>
        <w:t>51</w:t>
      </w:r>
      <w:r>
        <w:rPr>
          <w:rFonts w:hint="eastAsia"/>
          <w:spacing w:val="10"/>
        </w:rPr>
        <w:t>条规定了以下权利：建立家庭的权利、生育子女的权利、儿童权利、获得援助和特别保护的权利、儿童为实现其权利求助特别援助系统的权利，以及患病和残障儿童获得拨款和援助的权利。</w:t>
      </w:r>
    </w:p>
    <w:p w:rsidR="00000000" w:rsidRDefault="00000000">
      <w:pPr>
        <w:pStyle w:val="cdL1"/>
        <w:widowControl/>
        <w:tabs>
          <w:tab w:val="clear" w:pos="510"/>
        </w:tabs>
        <w:rPr>
          <w:rFonts w:hint="eastAsia"/>
          <w:spacing w:val="10"/>
        </w:rPr>
      </w:pPr>
      <w:r>
        <w:rPr>
          <w:rFonts w:hint="eastAsia"/>
          <w:spacing w:val="10"/>
        </w:rPr>
        <w:tab/>
        <w:t xml:space="preserve">429.  </w:t>
      </w:r>
      <w:r>
        <w:rPr>
          <w:rFonts w:hint="eastAsia"/>
          <w:spacing w:val="10"/>
        </w:rPr>
        <w:t>为了执行《儿童权利法》，</w:t>
      </w:r>
      <w:r>
        <w:rPr>
          <w:rFonts w:hint="eastAsia"/>
          <w:spacing w:val="10"/>
        </w:rPr>
        <w:t>1995</w:t>
      </w:r>
      <w:r>
        <w:rPr>
          <w:rFonts w:hint="eastAsia"/>
          <w:spacing w:val="10"/>
        </w:rPr>
        <w:t>年</w:t>
      </w:r>
      <w:r>
        <w:rPr>
          <w:rFonts w:hint="eastAsia"/>
          <w:spacing w:val="10"/>
        </w:rPr>
        <w:t>10</w:t>
      </w:r>
      <w:r>
        <w:rPr>
          <w:rFonts w:hint="eastAsia"/>
          <w:spacing w:val="10"/>
        </w:rPr>
        <w:t>月</w:t>
      </w:r>
      <w:r>
        <w:rPr>
          <w:rFonts w:hint="eastAsia"/>
          <w:spacing w:val="10"/>
        </w:rPr>
        <w:t>6</w:t>
      </w:r>
      <w:r>
        <w:rPr>
          <w:rFonts w:hint="eastAsia"/>
          <w:spacing w:val="10"/>
        </w:rPr>
        <w:t>日政府以第</w:t>
      </w:r>
      <w:r>
        <w:rPr>
          <w:rFonts w:hint="eastAsia"/>
          <w:spacing w:val="10"/>
        </w:rPr>
        <w:t>679</w:t>
      </w:r>
      <w:r>
        <w:rPr>
          <w:rFonts w:hint="eastAsia"/>
          <w:spacing w:val="10"/>
        </w:rPr>
        <w:t>号决定通过了保护儿童权利国家方案。该方案规定了相关措施，责令国家当局确保为儿童的成长和教育提供有利条件。</w:t>
      </w:r>
    </w:p>
    <w:p w:rsidR="00000000" w:rsidRDefault="00000000">
      <w:pPr>
        <w:pStyle w:val="cdL1"/>
        <w:widowControl/>
        <w:tabs>
          <w:tab w:val="clear" w:pos="510"/>
        </w:tabs>
        <w:spacing w:after="320"/>
        <w:rPr>
          <w:rFonts w:hint="eastAsia"/>
          <w:spacing w:val="10"/>
        </w:rPr>
      </w:pPr>
      <w:r>
        <w:rPr>
          <w:rFonts w:hint="eastAsia"/>
          <w:spacing w:val="10"/>
        </w:rPr>
        <w:tab/>
        <w:t>4</w:t>
      </w:r>
      <w:r>
        <w:rPr>
          <w:spacing w:val="10"/>
        </w:rPr>
        <w:t>30.</w:t>
      </w:r>
      <w:r>
        <w:rPr>
          <w:rFonts w:hint="eastAsia"/>
          <w:spacing w:val="10"/>
        </w:rPr>
        <w:t xml:space="preserve">  </w:t>
      </w:r>
      <w:r>
        <w:rPr>
          <w:rFonts w:hint="eastAsia"/>
          <w:spacing w:val="10"/>
        </w:rPr>
        <w:t>患有先天畸形和外伤的情况增多，残疾人人数也因此而增加。</w:t>
      </w:r>
      <w:r>
        <w:rPr>
          <w:rFonts w:hint="eastAsia"/>
          <w:spacing w:val="10"/>
        </w:rPr>
        <w:t>1992</w:t>
      </w:r>
      <w:r>
        <w:rPr>
          <w:rFonts w:hint="eastAsia"/>
          <w:spacing w:val="10"/>
        </w:rPr>
        <w:t>年和</w:t>
      </w:r>
      <w:r>
        <w:rPr>
          <w:rFonts w:hint="eastAsia"/>
          <w:spacing w:val="10"/>
        </w:rPr>
        <w:t>1999</w:t>
      </w:r>
      <w:r>
        <w:rPr>
          <w:rFonts w:hint="eastAsia"/>
          <w:spacing w:val="10"/>
        </w:rPr>
        <w:t>年</w:t>
      </w:r>
      <w:r>
        <w:rPr>
          <w:rFonts w:hint="eastAsia"/>
          <w:spacing w:val="10"/>
        </w:rPr>
        <w:t>16</w:t>
      </w:r>
      <w:r>
        <w:rPr>
          <w:rFonts w:hint="eastAsia"/>
          <w:spacing w:val="10"/>
        </w:rPr>
        <w:t>岁以下此类儿童的人数分别为</w:t>
      </w:r>
      <w:r>
        <w:rPr>
          <w:rFonts w:hint="eastAsia"/>
          <w:spacing w:val="10"/>
        </w:rPr>
        <w:t>8,900</w:t>
      </w:r>
      <w:r>
        <w:rPr>
          <w:rFonts w:hint="eastAsia"/>
          <w:spacing w:val="10"/>
        </w:rPr>
        <w:t>人和</w:t>
      </w:r>
      <w:r>
        <w:rPr>
          <w:rFonts w:hint="eastAsia"/>
          <w:spacing w:val="10"/>
        </w:rPr>
        <w:t>14,200</w:t>
      </w:r>
      <w:r>
        <w:rPr>
          <w:rFonts w:hint="eastAsia"/>
          <w:spacing w:val="10"/>
        </w:rPr>
        <w:t>人。残疾儿童人数的不断增加，也带来了关于儿童支助的社会经济问题。</w:t>
      </w:r>
    </w:p>
    <w:p w:rsidR="00000000" w:rsidRDefault="00000000">
      <w:pPr>
        <w:pStyle w:val="Heading3"/>
        <w:rPr>
          <w:rFonts w:hint="eastAsia"/>
        </w:rPr>
      </w:pPr>
      <w:r>
        <w:rPr>
          <w:rFonts w:hint="eastAsia"/>
          <w:u w:val="none"/>
        </w:rPr>
        <w:t>表</w:t>
      </w:r>
      <w:r>
        <w:rPr>
          <w:rFonts w:hint="eastAsia"/>
          <w:u w:val="none"/>
        </w:rPr>
        <w:t xml:space="preserve">30.  </w:t>
      </w:r>
      <w:r>
        <w:rPr>
          <w:rFonts w:hint="eastAsia"/>
        </w:rPr>
        <w:t>残疾儿童人数</w:t>
      </w:r>
    </w:p>
    <w:tbl>
      <w:tblPr>
        <w:tblW w:w="9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15"/>
        <w:gridCol w:w="1226"/>
        <w:gridCol w:w="1227"/>
        <w:gridCol w:w="1226"/>
        <w:gridCol w:w="1227"/>
        <w:gridCol w:w="1226"/>
        <w:gridCol w:w="1227"/>
      </w:tblGrid>
      <w:tr w:rsidR="00000000">
        <w:tblPrEx>
          <w:tblCellMar>
            <w:top w:w="0" w:type="dxa"/>
            <w:bottom w:w="0" w:type="dxa"/>
          </w:tblCellMar>
        </w:tblPrEx>
        <w:trPr>
          <w:cantSplit/>
          <w:jc w:val="center"/>
        </w:trPr>
        <w:tc>
          <w:tcPr>
            <w:tcW w:w="2415" w:type="dxa"/>
            <w:vAlign w:val="center"/>
          </w:tcPr>
          <w:p w:rsidR="00000000" w:rsidRDefault="00000000">
            <w:pPr>
              <w:pStyle w:val="a2"/>
              <w:spacing w:before="80" w:after="80" w:line="260" w:lineRule="exact"/>
              <w:ind w:left="113" w:right="113"/>
              <w:jc w:val="center"/>
              <w:rPr>
                <w:sz w:val="20"/>
                <w:u w:val="single"/>
              </w:rPr>
            </w:pPr>
          </w:p>
        </w:tc>
        <w:tc>
          <w:tcPr>
            <w:tcW w:w="1226" w:type="dxa"/>
            <w:vAlign w:val="center"/>
          </w:tcPr>
          <w:p w:rsidR="00000000" w:rsidRDefault="00000000">
            <w:pPr>
              <w:pStyle w:val="a2"/>
              <w:spacing w:before="80" w:after="80" w:line="260" w:lineRule="exact"/>
              <w:jc w:val="center"/>
              <w:rPr>
                <w:rFonts w:hint="eastAsia"/>
                <w:sz w:val="20"/>
                <w:u w:val="single"/>
              </w:rPr>
            </w:pPr>
            <w:r>
              <w:rPr>
                <w:rFonts w:hint="eastAsia"/>
                <w:sz w:val="20"/>
                <w:u w:val="single"/>
              </w:rPr>
              <w:t>1992</w:t>
            </w:r>
            <w:r>
              <w:rPr>
                <w:rFonts w:hint="eastAsia"/>
                <w:sz w:val="20"/>
                <w:u w:val="single"/>
              </w:rPr>
              <w:t>年</w:t>
            </w:r>
          </w:p>
        </w:tc>
        <w:tc>
          <w:tcPr>
            <w:tcW w:w="1227" w:type="dxa"/>
            <w:vAlign w:val="center"/>
          </w:tcPr>
          <w:p w:rsidR="00000000" w:rsidRDefault="00000000">
            <w:pPr>
              <w:pStyle w:val="a2"/>
              <w:spacing w:before="80" w:after="80" w:line="260" w:lineRule="exact"/>
              <w:jc w:val="center"/>
              <w:rPr>
                <w:rFonts w:hint="eastAsia"/>
                <w:sz w:val="20"/>
                <w:u w:val="single"/>
              </w:rPr>
            </w:pPr>
            <w:r>
              <w:rPr>
                <w:rFonts w:hint="eastAsia"/>
                <w:sz w:val="20"/>
                <w:u w:val="single"/>
              </w:rPr>
              <w:t>1993</w:t>
            </w:r>
            <w:r>
              <w:rPr>
                <w:rFonts w:hint="eastAsia"/>
                <w:sz w:val="20"/>
                <w:u w:val="single"/>
              </w:rPr>
              <w:t>年</w:t>
            </w:r>
          </w:p>
        </w:tc>
        <w:tc>
          <w:tcPr>
            <w:tcW w:w="1226" w:type="dxa"/>
            <w:vAlign w:val="center"/>
          </w:tcPr>
          <w:p w:rsidR="00000000" w:rsidRDefault="00000000">
            <w:pPr>
              <w:pStyle w:val="a2"/>
              <w:spacing w:before="80" w:after="80" w:line="260" w:lineRule="exact"/>
              <w:jc w:val="center"/>
              <w:rPr>
                <w:rFonts w:hint="eastAsia"/>
                <w:sz w:val="20"/>
                <w:u w:val="single"/>
              </w:rPr>
            </w:pPr>
            <w:r>
              <w:rPr>
                <w:rFonts w:hint="eastAsia"/>
                <w:sz w:val="20"/>
                <w:u w:val="single"/>
              </w:rPr>
              <w:t>1994</w:t>
            </w:r>
            <w:r>
              <w:rPr>
                <w:rFonts w:hint="eastAsia"/>
                <w:sz w:val="20"/>
                <w:u w:val="single"/>
              </w:rPr>
              <w:t>年</w:t>
            </w:r>
          </w:p>
        </w:tc>
        <w:tc>
          <w:tcPr>
            <w:tcW w:w="1227" w:type="dxa"/>
            <w:vAlign w:val="center"/>
          </w:tcPr>
          <w:p w:rsidR="00000000" w:rsidRDefault="00000000">
            <w:pPr>
              <w:pStyle w:val="a2"/>
              <w:spacing w:before="80" w:after="80" w:line="260" w:lineRule="exact"/>
              <w:jc w:val="center"/>
              <w:rPr>
                <w:rFonts w:hint="eastAsia"/>
                <w:sz w:val="20"/>
                <w:u w:val="single"/>
              </w:rPr>
            </w:pPr>
            <w:r>
              <w:rPr>
                <w:rFonts w:hint="eastAsia"/>
                <w:sz w:val="20"/>
                <w:u w:val="single"/>
              </w:rPr>
              <w:t>1995</w:t>
            </w:r>
            <w:r>
              <w:rPr>
                <w:rFonts w:hint="eastAsia"/>
                <w:sz w:val="20"/>
                <w:u w:val="single"/>
              </w:rPr>
              <w:t>年</w:t>
            </w:r>
          </w:p>
        </w:tc>
        <w:tc>
          <w:tcPr>
            <w:tcW w:w="1226" w:type="dxa"/>
            <w:vAlign w:val="center"/>
          </w:tcPr>
          <w:p w:rsidR="00000000" w:rsidRDefault="00000000">
            <w:pPr>
              <w:pStyle w:val="a2"/>
              <w:spacing w:before="80" w:after="80" w:line="260" w:lineRule="exact"/>
              <w:jc w:val="center"/>
              <w:rPr>
                <w:rFonts w:hint="eastAsia"/>
                <w:sz w:val="20"/>
                <w:u w:val="single"/>
              </w:rPr>
            </w:pPr>
            <w:r>
              <w:rPr>
                <w:rFonts w:hint="eastAsia"/>
                <w:sz w:val="20"/>
                <w:u w:val="single"/>
              </w:rPr>
              <w:t>1996</w:t>
            </w:r>
            <w:r>
              <w:rPr>
                <w:rFonts w:hint="eastAsia"/>
                <w:sz w:val="20"/>
                <w:u w:val="single"/>
              </w:rPr>
              <w:t>年</w:t>
            </w:r>
          </w:p>
        </w:tc>
        <w:tc>
          <w:tcPr>
            <w:tcW w:w="1227" w:type="dxa"/>
            <w:vAlign w:val="center"/>
          </w:tcPr>
          <w:p w:rsidR="00000000" w:rsidRDefault="00000000">
            <w:pPr>
              <w:pStyle w:val="a2"/>
              <w:spacing w:before="80" w:after="80" w:line="260" w:lineRule="exact"/>
              <w:jc w:val="center"/>
              <w:rPr>
                <w:rFonts w:hint="eastAsia"/>
                <w:sz w:val="20"/>
                <w:u w:val="single"/>
              </w:rPr>
            </w:pPr>
            <w:r>
              <w:rPr>
                <w:rFonts w:hint="eastAsia"/>
                <w:sz w:val="20"/>
                <w:u w:val="single"/>
              </w:rPr>
              <w:t>1997</w:t>
            </w:r>
            <w:r>
              <w:rPr>
                <w:rFonts w:hint="eastAsia"/>
                <w:sz w:val="20"/>
                <w:u w:val="single"/>
              </w:rPr>
              <w:t>年</w:t>
            </w:r>
          </w:p>
        </w:tc>
      </w:tr>
      <w:tr w:rsidR="00000000">
        <w:tblPrEx>
          <w:tblCellMar>
            <w:top w:w="0" w:type="dxa"/>
            <w:bottom w:w="0" w:type="dxa"/>
          </w:tblCellMar>
        </w:tblPrEx>
        <w:trPr>
          <w:cantSplit/>
          <w:jc w:val="center"/>
        </w:trPr>
        <w:tc>
          <w:tcPr>
            <w:tcW w:w="2415" w:type="dxa"/>
          </w:tcPr>
          <w:p w:rsidR="00000000" w:rsidRDefault="00000000">
            <w:pPr>
              <w:pStyle w:val="a2"/>
              <w:spacing w:before="40" w:after="40" w:line="260" w:lineRule="exact"/>
              <w:ind w:left="113" w:right="113"/>
              <w:rPr>
                <w:rFonts w:hint="eastAsia"/>
                <w:sz w:val="20"/>
              </w:rPr>
            </w:pPr>
            <w:r>
              <w:rPr>
                <w:rFonts w:hint="eastAsia"/>
                <w:sz w:val="20"/>
              </w:rPr>
              <w:t>在公安机关监管下的</w:t>
            </w:r>
            <w:r>
              <w:rPr>
                <w:rFonts w:hint="eastAsia"/>
                <w:sz w:val="20"/>
              </w:rPr>
              <w:t>16</w:t>
            </w:r>
            <w:r>
              <w:rPr>
                <w:rFonts w:hint="eastAsia"/>
                <w:sz w:val="20"/>
              </w:rPr>
              <w:t>岁以下从小患有残疾的残疾儿童人数</w:t>
            </w:r>
          </w:p>
        </w:tc>
        <w:tc>
          <w:tcPr>
            <w:tcW w:w="1226" w:type="dxa"/>
          </w:tcPr>
          <w:p w:rsidR="00000000" w:rsidRDefault="00000000">
            <w:pPr>
              <w:pStyle w:val="a2"/>
              <w:tabs>
                <w:tab w:val="decimal" w:pos="850"/>
              </w:tabs>
              <w:spacing w:before="40" w:after="40" w:line="260" w:lineRule="exact"/>
              <w:rPr>
                <w:rFonts w:hint="eastAsia"/>
                <w:sz w:val="20"/>
              </w:rPr>
            </w:pPr>
          </w:p>
          <w:p w:rsidR="00000000" w:rsidRDefault="00000000">
            <w:pPr>
              <w:pStyle w:val="a2"/>
              <w:tabs>
                <w:tab w:val="decimal" w:pos="850"/>
              </w:tabs>
              <w:spacing w:before="40" w:after="40" w:line="260" w:lineRule="exact"/>
              <w:rPr>
                <w:rFonts w:hint="eastAsia"/>
                <w:sz w:val="20"/>
              </w:rPr>
            </w:pPr>
            <w:r>
              <w:rPr>
                <w:rFonts w:hint="eastAsia"/>
                <w:sz w:val="20"/>
              </w:rPr>
              <w:t>8,858</w:t>
            </w:r>
          </w:p>
        </w:tc>
        <w:tc>
          <w:tcPr>
            <w:tcW w:w="1227" w:type="dxa"/>
          </w:tcPr>
          <w:p w:rsidR="00000000" w:rsidRDefault="00000000">
            <w:pPr>
              <w:pStyle w:val="a2"/>
              <w:tabs>
                <w:tab w:val="decimal" w:pos="850"/>
              </w:tabs>
              <w:spacing w:before="40" w:after="40" w:line="260" w:lineRule="exact"/>
              <w:rPr>
                <w:rFonts w:hint="eastAsia"/>
                <w:sz w:val="20"/>
              </w:rPr>
            </w:pPr>
          </w:p>
          <w:p w:rsidR="00000000" w:rsidRDefault="00000000">
            <w:pPr>
              <w:pStyle w:val="a2"/>
              <w:tabs>
                <w:tab w:val="decimal" w:pos="850"/>
              </w:tabs>
              <w:spacing w:before="40" w:after="40" w:line="260" w:lineRule="exact"/>
              <w:rPr>
                <w:rFonts w:hint="eastAsia"/>
                <w:sz w:val="20"/>
              </w:rPr>
            </w:pPr>
            <w:r>
              <w:rPr>
                <w:rFonts w:hint="eastAsia"/>
                <w:sz w:val="20"/>
              </w:rPr>
              <w:t>10,036</w:t>
            </w:r>
          </w:p>
        </w:tc>
        <w:tc>
          <w:tcPr>
            <w:tcW w:w="1226" w:type="dxa"/>
          </w:tcPr>
          <w:p w:rsidR="00000000" w:rsidRDefault="00000000">
            <w:pPr>
              <w:pStyle w:val="a2"/>
              <w:tabs>
                <w:tab w:val="decimal" w:pos="850"/>
              </w:tabs>
              <w:spacing w:before="40" w:after="40" w:line="260" w:lineRule="exact"/>
              <w:rPr>
                <w:rFonts w:hint="eastAsia"/>
                <w:sz w:val="20"/>
              </w:rPr>
            </w:pPr>
          </w:p>
          <w:p w:rsidR="00000000" w:rsidRDefault="00000000">
            <w:pPr>
              <w:pStyle w:val="a2"/>
              <w:tabs>
                <w:tab w:val="decimal" w:pos="850"/>
              </w:tabs>
              <w:spacing w:before="40" w:after="40" w:line="260" w:lineRule="exact"/>
              <w:rPr>
                <w:rFonts w:hint="eastAsia"/>
                <w:sz w:val="20"/>
              </w:rPr>
            </w:pPr>
            <w:r>
              <w:rPr>
                <w:rFonts w:hint="eastAsia"/>
                <w:sz w:val="20"/>
              </w:rPr>
              <w:t>10,475</w:t>
            </w:r>
          </w:p>
        </w:tc>
        <w:tc>
          <w:tcPr>
            <w:tcW w:w="1227" w:type="dxa"/>
          </w:tcPr>
          <w:p w:rsidR="00000000" w:rsidRDefault="00000000">
            <w:pPr>
              <w:pStyle w:val="a2"/>
              <w:tabs>
                <w:tab w:val="decimal" w:pos="850"/>
              </w:tabs>
              <w:spacing w:before="40" w:after="40" w:line="260" w:lineRule="exact"/>
              <w:rPr>
                <w:rFonts w:hint="eastAsia"/>
                <w:sz w:val="20"/>
              </w:rPr>
            </w:pPr>
          </w:p>
          <w:p w:rsidR="00000000" w:rsidRDefault="00000000">
            <w:pPr>
              <w:pStyle w:val="a2"/>
              <w:tabs>
                <w:tab w:val="decimal" w:pos="850"/>
              </w:tabs>
              <w:spacing w:before="40" w:after="40" w:line="260" w:lineRule="exact"/>
              <w:rPr>
                <w:rFonts w:hint="eastAsia"/>
                <w:sz w:val="20"/>
              </w:rPr>
            </w:pPr>
            <w:r>
              <w:rPr>
                <w:rFonts w:hint="eastAsia"/>
                <w:sz w:val="20"/>
              </w:rPr>
              <w:t>10,752</w:t>
            </w:r>
          </w:p>
        </w:tc>
        <w:tc>
          <w:tcPr>
            <w:tcW w:w="1226" w:type="dxa"/>
          </w:tcPr>
          <w:p w:rsidR="00000000" w:rsidRDefault="00000000">
            <w:pPr>
              <w:pStyle w:val="a2"/>
              <w:tabs>
                <w:tab w:val="decimal" w:pos="850"/>
              </w:tabs>
              <w:spacing w:before="40" w:after="40" w:line="260" w:lineRule="exact"/>
              <w:rPr>
                <w:rFonts w:hint="eastAsia"/>
                <w:sz w:val="20"/>
              </w:rPr>
            </w:pPr>
          </w:p>
          <w:p w:rsidR="00000000" w:rsidRDefault="00000000">
            <w:pPr>
              <w:pStyle w:val="a2"/>
              <w:tabs>
                <w:tab w:val="decimal" w:pos="850"/>
              </w:tabs>
              <w:spacing w:before="40" w:after="40" w:line="260" w:lineRule="exact"/>
              <w:rPr>
                <w:rFonts w:hint="eastAsia"/>
                <w:sz w:val="20"/>
              </w:rPr>
            </w:pPr>
            <w:r>
              <w:rPr>
                <w:rFonts w:hint="eastAsia"/>
                <w:sz w:val="20"/>
              </w:rPr>
              <w:t>11,009</w:t>
            </w:r>
          </w:p>
        </w:tc>
        <w:tc>
          <w:tcPr>
            <w:tcW w:w="1227" w:type="dxa"/>
          </w:tcPr>
          <w:p w:rsidR="00000000" w:rsidRDefault="00000000">
            <w:pPr>
              <w:pStyle w:val="a2"/>
              <w:tabs>
                <w:tab w:val="decimal" w:pos="850"/>
              </w:tabs>
              <w:spacing w:before="40" w:after="40" w:line="260" w:lineRule="exact"/>
              <w:rPr>
                <w:rFonts w:hint="eastAsia"/>
                <w:sz w:val="20"/>
              </w:rPr>
            </w:pPr>
          </w:p>
          <w:p w:rsidR="00000000" w:rsidRDefault="00000000">
            <w:pPr>
              <w:pStyle w:val="a2"/>
              <w:tabs>
                <w:tab w:val="decimal" w:pos="850"/>
              </w:tabs>
              <w:spacing w:before="40" w:after="40" w:line="260" w:lineRule="exact"/>
              <w:rPr>
                <w:rFonts w:hint="eastAsia"/>
                <w:sz w:val="20"/>
              </w:rPr>
            </w:pPr>
            <w:r>
              <w:rPr>
                <w:rFonts w:hint="eastAsia"/>
                <w:sz w:val="20"/>
              </w:rPr>
              <w:t>11,529</w:t>
            </w:r>
          </w:p>
        </w:tc>
      </w:tr>
      <w:tr w:rsidR="00000000">
        <w:tblPrEx>
          <w:tblCellMar>
            <w:top w:w="0" w:type="dxa"/>
            <w:bottom w:w="0" w:type="dxa"/>
          </w:tblCellMar>
        </w:tblPrEx>
        <w:trPr>
          <w:cantSplit/>
          <w:jc w:val="center"/>
        </w:trPr>
        <w:tc>
          <w:tcPr>
            <w:tcW w:w="2415" w:type="dxa"/>
          </w:tcPr>
          <w:p w:rsidR="00000000" w:rsidRDefault="00000000">
            <w:pPr>
              <w:pStyle w:val="a2"/>
              <w:spacing w:before="40" w:after="40" w:line="260" w:lineRule="exact"/>
              <w:ind w:left="113" w:right="113"/>
              <w:rPr>
                <w:rFonts w:hint="eastAsia"/>
                <w:sz w:val="20"/>
              </w:rPr>
            </w:pPr>
            <w:r>
              <w:rPr>
                <w:rFonts w:hint="eastAsia"/>
                <w:sz w:val="20"/>
              </w:rPr>
              <w:t>在寄宿学校读书的残疾儿童人数</w:t>
            </w:r>
          </w:p>
        </w:tc>
        <w:tc>
          <w:tcPr>
            <w:tcW w:w="1226" w:type="dxa"/>
          </w:tcPr>
          <w:p w:rsidR="00000000" w:rsidRDefault="00000000">
            <w:pPr>
              <w:pStyle w:val="a2"/>
              <w:tabs>
                <w:tab w:val="decimal" w:pos="850"/>
              </w:tabs>
              <w:spacing w:before="40" w:after="40" w:line="260" w:lineRule="exact"/>
              <w:rPr>
                <w:rFonts w:hint="eastAsia"/>
                <w:sz w:val="20"/>
              </w:rPr>
            </w:pPr>
            <w:r>
              <w:rPr>
                <w:rFonts w:hint="eastAsia"/>
                <w:sz w:val="20"/>
              </w:rPr>
              <w:t>526</w:t>
            </w:r>
          </w:p>
        </w:tc>
        <w:tc>
          <w:tcPr>
            <w:tcW w:w="1227" w:type="dxa"/>
          </w:tcPr>
          <w:p w:rsidR="00000000" w:rsidRDefault="00000000">
            <w:pPr>
              <w:pStyle w:val="a2"/>
              <w:tabs>
                <w:tab w:val="decimal" w:pos="850"/>
              </w:tabs>
              <w:spacing w:before="40" w:after="40" w:line="260" w:lineRule="exact"/>
              <w:rPr>
                <w:rFonts w:hint="eastAsia"/>
                <w:sz w:val="20"/>
              </w:rPr>
            </w:pPr>
            <w:r>
              <w:rPr>
                <w:rFonts w:hint="eastAsia"/>
                <w:sz w:val="20"/>
              </w:rPr>
              <w:t>551</w:t>
            </w:r>
          </w:p>
        </w:tc>
        <w:tc>
          <w:tcPr>
            <w:tcW w:w="1226" w:type="dxa"/>
          </w:tcPr>
          <w:p w:rsidR="00000000" w:rsidRDefault="00000000">
            <w:pPr>
              <w:pStyle w:val="a2"/>
              <w:tabs>
                <w:tab w:val="decimal" w:pos="850"/>
              </w:tabs>
              <w:spacing w:before="40" w:after="40" w:line="260" w:lineRule="exact"/>
              <w:rPr>
                <w:rFonts w:hint="eastAsia"/>
                <w:sz w:val="20"/>
              </w:rPr>
            </w:pPr>
            <w:r>
              <w:rPr>
                <w:rFonts w:hint="eastAsia"/>
                <w:sz w:val="20"/>
              </w:rPr>
              <w:t>552</w:t>
            </w:r>
          </w:p>
        </w:tc>
        <w:tc>
          <w:tcPr>
            <w:tcW w:w="1227" w:type="dxa"/>
          </w:tcPr>
          <w:p w:rsidR="00000000" w:rsidRDefault="00000000">
            <w:pPr>
              <w:pStyle w:val="a2"/>
              <w:tabs>
                <w:tab w:val="decimal" w:pos="850"/>
              </w:tabs>
              <w:spacing w:before="40" w:after="40" w:line="260" w:lineRule="exact"/>
              <w:rPr>
                <w:rFonts w:hint="eastAsia"/>
                <w:sz w:val="20"/>
              </w:rPr>
            </w:pPr>
            <w:r>
              <w:rPr>
                <w:rFonts w:hint="eastAsia"/>
                <w:sz w:val="20"/>
              </w:rPr>
              <w:t>493</w:t>
            </w:r>
          </w:p>
        </w:tc>
        <w:tc>
          <w:tcPr>
            <w:tcW w:w="1226" w:type="dxa"/>
          </w:tcPr>
          <w:p w:rsidR="00000000" w:rsidRDefault="00000000">
            <w:pPr>
              <w:pStyle w:val="a2"/>
              <w:tabs>
                <w:tab w:val="decimal" w:pos="850"/>
              </w:tabs>
              <w:spacing w:before="40" w:after="40" w:line="260" w:lineRule="exact"/>
              <w:rPr>
                <w:rFonts w:hint="eastAsia"/>
                <w:sz w:val="20"/>
              </w:rPr>
            </w:pPr>
            <w:r>
              <w:rPr>
                <w:rFonts w:hint="eastAsia"/>
                <w:sz w:val="20"/>
              </w:rPr>
              <w:t>515</w:t>
            </w:r>
          </w:p>
        </w:tc>
        <w:tc>
          <w:tcPr>
            <w:tcW w:w="1227" w:type="dxa"/>
          </w:tcPr>
          <w:p w:rsidR="00000000" w:rsidRDefault="00000000">
            <w:pPr>
              <w:pStyle w:val="a2"/>
              <w:tabs>
                <w:tab w:val="decimal" w:pos="850"/>
              </w:tabs>
              <w:spacing w:before="40" w:after="40" w:line="260" w:lineRule="exact"/>
              <w:rPr>
                <w:rFonts w:hint="eastAsia"/>
                <w:sz w:val="20"/>
              </w:rPr>
            </w:pPr>
            <w:r>
              <w:rPr>
                <w:rFonts w:hint="eastAsia"/>
                <w:sz w:val="20"/>
              </w:rPr>
              <w:t>529</w:t>
            </w:r>
          </w:p>
        </w:tc>
      </w:tr>
    </w:tbl>
    <w:p w:rsidR="00000000" w:rsidRDefault="00000000">
      <w:pPr>
        <w:pStyle w:val="cdL1"/>
        <w:widowControl/>
        <w:tabs>
          <w:tab w:val="clear" w:pos="510"/>
        </w:tabs>
        <w:spacing w:before="300" w:after="240"/>
        <w:rPr>
          <w:rFonts w:eastAsia="KaiTi_GB2312"/>
          <w:sz w:val="22"/>
        </w:rPr>
      </w:pPr>
      <w:r>
        <w:rPr>
          <w:rFonts w:hint="eastAsia"/>
          <w:spacing w:val="10"/>
        </w:rPr>
        <w:tab/>
      </w:r>
      <w:r>
        <w:rPr>
          <w:rFonts w:eastAsia="KaiTi_GB2312" w:hint="eastAsia"/>
          <w:sz w:val="22"/>
          <w:u w:val="single"/>
        </w:rPr>
        <w:t>资料来源</w:t>
      </w:r>
      <w:r>
        <w:rPr>
          <w:rFonts w:eastAsia="KaiTi_GB2312" w:hint="eastAsia"/>
          <w:sz w:val="22"/>
        </w:rPr>
        <w:t>：劳动、社会保障和家庭部</w:t>
      </w:r>
    </w:p>
    <w:p w:rsidR="00000000" w:rsidRDefault="00000000">
      <w:pPr>
        <w:pStyle w:val="cdL1"/>
        <w:widowControl/>
        <w:tabs>
          <w:tab w:val="clear" w:pos="510"/>
        </w:tabs>
        <w:rPr>
          <w:rFonts w:hint="eastAsia"/>
          <w:spacing w:val="10"/>
        </w:rPr>
      </w:pPr>
      <w:r>
        <w:rPr>
          <w:rFonts w:hint="eastAsia"/>
          <w:spacing w:val="10"/>
        </w:rPr>
        <w:tab/>
        <w:t xml:space="preserve">431.  </w:t>
      </w:r>
      <w:r>
        <w:rPr>
          <w:rFonts w:hint="eastAsia"/>
          <w:spacing w:val="10"/>
        </w:rPr>
        <w:t>主要权利是，充分保健和获得卫生和医疗援助的机会、基本和预防性保健、卫生教育和合理营养的权利。对母婴健康的保护，是法律规定的优先事项。根据《儿童权利法》，儿童保健从产前阶段开始。儿童享有采用国内最先进技术的医疗援助。父母保护儿童健康的义务第一次受到法律的重视。</w:t>
      </w:r>
    </w:p>
    <w:p w:rsidR="00000000" w:rsidRDefault="00000000">
      <w:pPr>
        <w:pStyle w:val="cdL1"/>
        <w:widowControl/>
        <w:tabs>
          <w:tab w:val="clear" w:pos="510"/>
        </w:tabs>
        <w:rPr>
          <w:rFonts w:hint="eastAsia"/>
          <w:spacing w:val="10"/>
        </w:rPr>
      </w:pPr>
      <w:r>
        <w:rPr>
          <w:rFonts w:hint="eastAsia"/>
          <w:spacing w:val="10"/>
        </w:rPr>
        <w:tab/>
        <w:t xml:space="preserve">432.  </w:t>
      </w:r>
      <w:r>
        <w:rPr>
          <w:rFonts w:hint="eastAsia"/>
          <w:spacing w:val="10"/>
        </w:rPr>
        <w:t>不过，过渡时期出现一些消极的趋势和过程，对我国儿童状况产生了不利影响。对整个保健系统的改革，就是要发展医疗援助制度。该制度的目标是，增进人们获得医疗援助及其优质服务的机会，并促进保健系统的支出得到最有效的使用。对包括儿童在内的公民的医疗援助，由基层的家庭医生提供</w:t>
      </w:r>
      <w:r>
        <w:rPr>
          <w:rFonts w:hint="eastAsia"/>
          <w:spacing w:val="10"/>
        </w:rPr>
        <w:t>(</w:t>
      </w:r>
      <w:r>
        <w:rPr>
          <w:rFonts w:hint="eastAsia"/>
          <w:spacing w:val="10"/>
        </w:rPr>
        <w:t>家庭医生中心、保健中心、家庭医生办事处</w:t>
      </w:r>
      <w:r>
        <w:rPr>
          <w:rFonts w:hint="eastAsia"/>
          <w:spacing w:val="10"/>
        </w:rPr>
        <w:t>)</w:t>
      </w:r>
      <w:r>
        <w:rPr>
          <w:rFonts w:hint="eastAsia"/>
          <w:spacing w:val="10"/>
        </w:rPr>
        <w:t>。医院护理则由地区和市级医院负责。共和国医疗机构提供特殊援助。地区间和国际保健和儿童保育事宜由卫生部母婴医疗援助司负责协调。</w:t>
      </w:r>
    </w:p>
    <w:p w:rsidR="00000000" w:rsidRDefault="00000000">
      <w:pPr>
        <w:pStyle w:val="cdL1"/>
        <w:widowControl/>
        <w:tabs>
          <w:tab w:val="clear" w:pos="510"/>
        </w:tabs>
        <w:rPr>
          <w:rFonts w:hint="eastAsia"/>
          <w:spacing w:val="10"/>
        </w:rPr>
      </w:pPr>
      <w:r>
        <w:rPr>
          <w:rFonts w:hint="eastAsia"/>
          <w:spacing w:val="10"/>
        </w:rPr>
        <w:tab/>
        <w:t xml:space="preserve">433.  </w:t>
      </w:r>
      <w:r>
        <w:rPr>
          <w:rFonts w:hint="eastAsia"/>
          <w:spacing w:val="10"/>
        </w:rPr>
        <w:t>营养状况和儿童保育条件不断恶化，已导致有</w:t>
      </w:r>
      <w:r>
        <w:rPr>
          <w:rFonts w:hint="eastAsia"/>
          <w:spacing w:val="10"/>
        </w:rPr>
        <w:t>28%</w:t>
      </w:r>
      <w:r>
        <w:rPr>
          <w:rFonts w:hint="eastAsia"/>
          <w:spacing w:val="10"/>
        </w:rPr>
        <w:t>的儿童患有贫血症，</w:t>
      </w:r>
      <w:r>
        <w:rPr>
          <w:rFonts w:hint="eastAsia"/>
          <w:spacing w:val="10"/>
        </w:rPr>
        <w:t>35.5%</w:t>
      </w:r>
      <w:r>
        <w:rPr>
          <w:rFonts w:hint="eastAsia"/>
          <w:spacing w:val="10"/>
        </w:rPr>
        <w:t>的儿童患有佝偻病，</w:t>
      </w:r>
      <w:r>
        <w:rPr>
          <w:rFonts w:hint="eastAsia"/>
          <w:spacing w:val="10"/>
        </w:rPr>
        <w:t>20%</w:t>
      </w:r>
      <w:r>
        <w:rPr>
          <w:rFonts w:hint="eastAsia"/>
          <w:spacing w:val="10"/>
        </w:rPr>
        <w:t>的儿童患有神经系统疾病。我国存在着另一个可悲的现象，就是遗弃新生儿，每年遗弃的新生儿约为</w:t>
      </w:r>
      <w:r>
        <w:rPr>
          <w:rFonts w:hint="eastAsia"/>
          <w:spacing w:val="10"/>
        </w:rPr>
        <w:t>350</w:t>
      </w:r>
      <w:r>
        <w:rPr>
          <w:rFonts w:hint="eastAsia"/>
          <w:spacing w:val="10"/>
        </w:rPr>
        <w:t>人。这些婴儿一出生就失去母亲的保护，长期面临随时可能生病或死亡的危险。在福利院中生活的儿童，极易患染身心方面的疾病。</w:t>
      </w:r>
    </w:p>
    <w:p w:rsidR="00000000" w:rsidRDefault="00000000">
      <w:pPr>
        <w:pStyle w:val="cdL1"/>
        <w:widowControl/>
        <w:tabs>
          <w:tab w:val="clear" w:pos="510"/>
        </w:tabs>
        <w:rPr>
          <w:rFonts w:hint="eastAsia"/>
          <w:spacing w:val="10"/>
        </w:rPr>
      </w:pPr>
      <w:r>
        <w:rPr>
          <w:rFonts w:hint="eastAsia"/>
          <w:spacing w:val="10"/>
        </w:rPr>
        <w:tab/>
        <w:t xml:space="preserve">434.  </w:t>
      </w:r>
      <w:r>
        <w:rPr>
          <w:rFonts w:hint="eastAsia"/>
          <w:spacing w:val="10"/>
        </w:rPr>
        <w:t>生下来就患有各种病征的儿童，由于不能及时得到适当的治疗，最后身体落下残疾。正因为如此，他们不容易融入社会。</w:t>
      </w:r>
      <w:r>
        <w:rPr>
          <w:rFonts w:hint="eastAsia"/>
          <w:spacing w:val="10"/>
        </w:rPr>
        <w:t>1999</w:t>
      </w:r>
      <w:r>
        <w:rPr>
          <w:rFonts w:hint="eastAsia"/>
          <w:spacing w:val="10"/>
        </w:rPr>
        <w:t>年，接受医疗监督的残疾儿童有</w:t>
      </w:r>
      <w:r>
        <w:rPr>
          <w:rFonts w:hint="eastAsia"/>
          <w:spacing w:val="10"/>
        </w:rPr>
        <w:t>14,469</w:t>
      </w:r>
      <w:r>
        <w:rPr>
          <w:rFonts w:hint="eastAsia"/>
          <w:spacing w:val="10"/>
        </w:rPr>
        <w:t>人。必须提及一点，在过去的</w:t>
      </w:r>
      <w:r>
        <w:rPr>
          <w:rFonts w:hint="eastAsia"/>
          <w:spacing w:val="10"/>
        </w:rPr>
        <w:t>10</w:t>
      </w:r>
      <w:r>
        <w:rPr>
          <w:rFonts w:hint="eastAsia"/>
          <w:spacing w:val="10"/>
        </w:rPr>
        <w:t>年中，残疾儿童人数翻了一番，其中</w:t>
      </w:r>
      <w:r>
        <w:rPr>
          <w:rFonts w:hint="eastAsia"/>
          <w:spacing w:val="10"/>
        </w:rPr>
        <w:t>75%</w:t>
      </w:r>
      <w:r>
        <w:rPr>
          <w:rFonts w:hint="eastAsia"/>
          <w:spacing w:val="10"/>
        </w:rPr>
        <w:t>的儿童患有精神神经症或畸形疾病。身体有损伤的儿童比例很高。所有这些儿童都需要进行长期的康复治疗。</w:t>
      </w:r>
    </w:p>
    <w:p w:rsidR="00000000" w:rsidRDefault="00000000">
      <w:pPr>
        <w:pStyle w:val="cdL1"/>
        <w:widowControl/>
        <w:tabs>
          <w:tab w:val="clear" w:pos="510"/>
        </w:tabs>
        <w:rPr>
          <w:rFonts w:hint="eastAsia"/>
          <w:spacing w:val="10"/>
        </w:rPr>
      </w:pPr>
      <w:r>
        <w:rPr>
          <w:rFonts w:hint="eastAsia"/>
          <w:spacing w:val="10"/>
        </w:rPr>
        <w:tab/>
        <w:t xml:space="preserve">435.  </w:t>
      </w:r>
      <w:r>
        <w:rPr>
          <w:rFonts w:hint="eastAsia"/>
          <w:spacing w:val="10"/>
        </w:rPr>
        <w:t>在过去五年中，共和国已讨论了建立重症儿童康复中心的问题，但不幸的是，由于财政手段不充足，这一问题至今依然未得到解决。国家预算削减了为保健系统提供的资金。摩尔多瓦共和国政府通过了若干涉及保健主要问题的国家方案，特别是母婴保健方案：</w:t>
      </w:r>
    </w:p>
    <w:p w:rsidR="00000000" w:rsidRDefault="00000000">
      <w:pPr>
        <w:pStyle w:val="a0"/>
        <w:ind w:left="1550"/>
        <w:rPr>
          <w:rFonts w:hint="eastAsia"/>
        </w:rPr>
      </w:pPr>
      <w:r>
        <w:rPr>
          <w:rFonts w:hint="eastAsia"/>
        </w:rPr>
        <w:t>改进产前护理国家方案；</w:t>
      </w:r>
    </w:p>
    <w:p w:rsidR="00000000" w:rsidRDefault="00000000">
      <w:pPr>
        <w:pStyle w:val="a0"/>
        <w:ind w:left="1550"/>
        <w:rPr>
          <w:rFonts w:hint="eastAsia"/>
        </w:rPr>
      </w:pPr>
      <w:r>
        <w:rPr>
          <w:rFonts w:hint="eastAsia"/>
        </w:rPr>
        <w:t>改进遗传医疗援助国家方案；</w:t>
      </w:r>
    </w:p>
    <w:p w:rsidR="00000000" w:rsidRDefault="00000000">
      <w:pPr>
        <w:pStyle w:val="a0"/>
        <w:ind w:left="1550"/>
        <w:rPr>
          <w:rFonts w:hint="eastAsia"/>
        </w:rPr>
      </w:pPr>
      <w:r>
        <w:rPr>
          <w:rFonts w:hint="eastAsia"/>
        </w:rPr>
        <w:t>儿童营养问题国家方案；</w:t>
      </w:r>
    </w:p>
    <w:p w:rsidR="00000000" w:rsidRDefault="00000000">
      <w:pPr>
        <w:pStyle w:val="a0"/>
        <w:ind w:left="1550"/>
        <w:rPr>
          <w:rFonts w:hint="eastAsia"/>
        </w:rPr>
      </w:pPr>
      <w:r>
        <w:rPr>
          <w:rFonts w:hint="eastAsia"/>
        </w:rPr>
        <w:t>儿童口腔卫生国家方案；</w:t>
      </w:r>
    </w:p>
    <w:p w:rsidR="00000000" w:rsidRDefault="00000000">
      <w:pPr>
        <w:pStyle w:val="a0"/>
        <w:ind w:left="1550"/>
        <w:rPr>
          <w:rFonts w:hint="eastAsia"/>
        </w:rPr>
      </w:pPr>
      <w:r>
        <w:rPr>
          <w:rFonts w:hint="eastAsia"/>
        </w:rPr>
        <w:t>预防问题国家方案；</w:t>
      </w:r>
    </w:p>
    <w:p w:rsidR="00000000" w:rsidRDefault="00000000">
      <w:pPr>
        <w:pStyle w:val="a0"/>
        <w:ind w:left="1550"/>
        <w:rPr>
          <w:rFonts w:hint="eastAsia"/>
        </w:rPr>
      </w:pPr>
      <w:r>
        <w:rPr>
          <w:rFonts w:hint="eastAsia"/>
        </w:rPr>
        <w:t>儿童年纪念活动方案；</w:t>
      </w:r>
    </w:p>
    <w:p w:rsidR="00000000" w:rsidRDefault="00000000">
      <w:pPr>
        <w:pStyle w:val="a0"/>
        <w:ind w:left="1550"/>
        <w:rPr>
          <w:rFonts w:hint="eastAsia"/>
        </w:rPr>
      </w:pPr>
      <w:r>
        <w:rPr>
          <w:rFonts w:hint="eastAsia"/>
        </w:rPr>
        <w:t>改进计划生育和生殖保健国家方案。</w:t>
      </w:r>
    </w:p>
    <w:p w:rsidR="00000000" w:rsidRDefault="00000000">
      <w:pPr>
        <w:pStyle w:val="cdL1"/>
        <w:widowControl/>
        <w:tabs>
          <w:tab w:val="clear" w:pos="510"/>
        </w:tabs>
        <w:rPr>
          <w:rFonts w:hint="eastAsia"/>
          <w:spacing w:val="10"/>
        </w:rPr>
      </w:pPr>
      <w:r>
        <w:rPr>
          <w:rFonts w:hint="eastAsia"/>
          <w:spacing w:val="10"/>
        </w:rPr>
        <w:tab/>
        <w:t xml:space="preserve">436.  </w:t>
      </w:r>
      <w:r>
        <w:rPr>
          <w:rFonts w:hint="eastAsia"/>
          <w:spacing w:val="10"/>
        </w:rPr>
        <w:t>鉴于存在上述种种问题，摩尔多瓦共和国现已开始对初级医疗服务系统进行改革。这项举措将会提高医疗服务，主要是对儿童和孕妇的医疗服务质量。目前正在进行有益的探索，力求使医疗机构的财政支出得到最有效的使用，以便增加获得初级和医院医疗服务的机会并改善医药供应状况。</w:t>
      </w:r>
    </w:p>
    <w:p w:rsidR="00000000" w:rsidRDefault="00000000">
      <w:pPr>
        <w:pStyle w:val="cdL1"/>
        <w:widowControl/>
        <w:tabs>
          <w:tab w:val="clear" w:pos="510"/>
        </w:tabs>
        <w:rPr>
          <w:rFonts w:hint="eastAsia"/>
          <w:spacing w:val="10"/>
        </w:rPr>
      </w:pPr>
      <w:r>
        <w:rPr>
          <w:rFonts w:hint="eastAsia"/>
          <w:spacing w:val="10"/>
        </w:rPr>
        <w:tab/>
        <w:t xml:space="preserve">437.  </w:t>
      </w:r>
      <w:r>
        <w:rPr>
          <w:rFonts w:hint="eastAsia"/>
          <w:spacing w:val="10"/>
        </w:rPr>
        <w:t>卫生部在卫生组织和儿童基金会的支持下，成功地执行了有关监控儿童腹泻和急性呼吸道疾病以及鼓励母乳喂养的方案。现已开始执行“儿童疾病综合管理”战略和有关项目，以鼓励实施在全国发展保健系统的国家战略。</w:t>
      </w:r>
    </w:p>
    <w:p w:rsidR="00000000" w:rsidRDefault="00000000">
      <w:pPr>
        <w:pStyle w:val="cdL1"/>
        <w:widowControl/>
        <w:tabs>
          <w:tab w:val="clear" w:pos="510"/>
        </w:tabs>
        <w:rPr>
          <w:rFonts w:hint="eastAsia"/>
          <w:spacing w:val="10"/>
        </w:rPr>
      </w:pPr>
      <w:r>
        <w:rPr>
          <w:rFonts w:hint="eastAsia"/>
          <w:spacing w:val="10"/>
        </w:rPr>
        <w:tab/>
        <w:t xml:space="preserve">438.  </w:t>
      </w:r>
      <w:r>
        <w:rPr>
          <w:rFonts w:hint="eastAsia"/>
          <w:spacing w:val="10"/>
        </w:rPr>
        <w:t>为了实现儿童社会保护的各项目标，摩尔多瓦共和国政府现已通过了一系列规范性文书，为有关家庭和母婴方面最紧迫的问题提出了解决办法，并加强了对多子女家庭的保护措施。这些文书包括：</w:t>
      </w:r>
    </w:p>
    <w:p w:rsidR="00000000" w:rsidRDefault="00000000">
      <w:pPr>
        <w:numPr>
          <w:ilvl w:val="0"/>
          <w:numId w:val="554"/>
        </w:numPr>
        <w:rPr>
          <w:rFonts w:hint="eastAsia"/>
        </w:rPr>
      </w:pPr>
      <w:r>
        <w:rPr>
          <w:rFonts w:hint="eastAsia"/>
        </w:rPr>
        <w:t>《劳动法》</w:t>
      </w:r>
      <w:r>
        <w:rPr>
          <w:rFonts w:hint="eastAsia"/>
        </w:rPr>
        <w:t>(</w:t>
      </w:r>
      <w:r>
        <w:rPr>
          <w:rFonts w:hint="eastAsia"/>
        </w:rPr>
        <w:t>第</w:t>
      </w:r>
      <w:r>
        <w:rPr>
          <w:rFonts w:hint="eastAsia"/>
        </w:rPr>
        <w:t>48</w:t>
      </w:r>
      <w:r>
        <w:rPr>
          <w:rFonts w:hint="eastAsia"/>
        </w:rPr>
        <w:t>条</w:t>
      </w:r>
      <w:r>
        <w:rPr>
          <w:rFonts w:hint="eastAsia"/>
        </w:rPr>
        <w:t>)</w:t>
      </w:r>
      <w:r>
        <w:rPr>
          <w:rFonts w:hint="eastAsia"/>
        </w:rPr>
        <w:t>规定，</w:t>
      </w:r>
      <w:r>
        <w:rPr>
          <w:rFonts w:hint="eastAsia"/>
        </w:rPr>
        <w:t>16</w:t>
      </w:r>
      <w:r>
        <w:rPr>
          <w:rFonts w:hint="eastAsia"/>
        </w:rPr>
        <w:t>至</w:t>
      </w:r>
      <w:r>
        <w:rPr>
          <w:rFonts w:hint="eastAsia"/>
        </w:rPr>
        <w:t>18</w:t>
      </w:r>
      <w:r>
        <w:rPr>
          <w:rFonts w:hint="eastAsia"/>
        </w:rPr>
        <w:t>岁的工薪者每周工作时间为</w:t>
      </w:r>
      <w:r>
        <w:rPr>
          <w:rFonts w:hint="eastAsia"/>
        </w:rPr>
        <w:t>36</w:t>
      </w:r>
      <w:r>
        <w:rPr>
          <w:rFonts w:hint="eastAsia"/>
        </w:rPr>
        <w:t>小时，</w:t>
      </w:r>
      <w:r>
        <w:rPr>
          <w:rFonts w:hint="eastAsia"/>
        </w:rPr>
        <w:t>15</w:t>
      </w:r>
      <w:r>
        <w:rPr>
          <w:rFonts w:hint="eastAsia"/>
        </w:rPr>
        <w:t>至</w:t>
      </w:r>
      <w:r>
        <w:rPr>
          <w:rFonts w:hint="eastAsia"/>
        </w:rPr>
        <w:t>16</w:t>
      </w:r>
      <w:r>
        <w:rPr>
          <w:rFonts w:hint="eastAsia"/>
        </w:rPr>
        <w:t>岁的学生每周工作时间为</w:t>
      </w:r>
      <w:r>
        <w:rPr>
          <w:rFonts w:hint="eastAsia"/>
        </w:rPr>
        <w:t>24</w:t>
      </w:r>
      <w:r>
        <w:rPr>
          <w:rFonts w:hint="eastAsia"/>
        </w:rPr>
        <w:t>小时。第</w:t>
      </w:r>
      <w:r>
        <w:rPr>
          <w:rFonts w:hint="eastAsia"/>
        </w:rPr>
        <w:t>53</w:t>
      </w:r>
      <w:r>
        <w:rPr>
          <w:rFonts w:hint="eastAsia"/>
        </w:rPr>
        <w:t>条规定，孕妇和需要照顾</w:t>
      </w:r>
      <w:r>
        <w:rPr>
          <w:rFonts w:hint="eastAsia"/>
        </w:rPr>
        <w:t>14</w:t>
      </w:r>
      <w:r>
        <w:rPr>
          <w:rFonts w:hint="eastAsia"/>
        </w:rPr>
        <w:t>岁以下子女和</w:t>
      </w:r>
      <w:r>
        <w:rPr>
          <w:rFonts w:hint="eastAsia"/>
        </w:rPr>
        <w:t>16</w:t>
      </w:r>
      <w:r>
        <w:rPr>
          <w:rFonts w:hint="eastAsia"/>
        </w:rPr>
        <w:t>岁以下残疾儿童的妇女可做兼职工作；</w:t>
      </w:r>
    </w:p>
    <w:p w:rsidR="00000000" w:rsidRDefault="00000000">
      <w:pPr>
        <w:numPr>
          <w:ilvl w:val="0"/>
          <w:numId w:val="554"/>
        </w:numPr>
        <w:rPr>
          <w:rFonts w:hint="eastAsia"/>
        </w:rPr>
      </w:pPr>
      <w:r>
        <w:rPr>
          <w:rFonts w:hint="eastAsia"/>
        </w:rPr>
        <w:t>自《国家社会保障养恤金法》颁布以来，残疾儿童失去了享有社会养恤金的权利。这样，他们就交由国家监管。</w:t>
      </w:r>
      <w:r>
        <w:rPr>
          <w:rFonts w:hint="eastAsia"/>
        </w:rPr>
        <w:t>1999</w:t>
      </w:r>
      <w:r>
        <w:rPr>
          <w:rFonts w:hint="eastAsia"/>
        </w:rPr>
        <w:t>年</w:t>
      </w:r>
      <w:r>
        <w:rPr>
          <w:rFonts w:hint="eastAsia"/>
        </w:rPr>
        <w:t>7</w:t>
      </w:r>
      <w:r>
        <w:rPr>
          <w:rFonts w:hint="eastAsia"/>
        </w:rPr>
        <w:t>月</w:t>
      </w:r>
      <w:r>
        <w:rPr>
          <w:rFonts w:hint="eastAsia"/>
        </w:rPr>
        <w:t>14</w:t>
      </w:r>
      <w:r>
        <w:rPr>
          <w:rFonts w:hint="eastAsia"/>
        </w:rPr>
        <w:t>日通过了《对某类公民的国家社会拨款法》，其中第</w:t>
      </w:r>
      <w:r>
        <w:rPr>
          <w:rFonts w:hint="eastAsia"/>
        </w:rPr>
        <w:t>3</w:t>
      </w:r>
      <w:r>
        <w:rPr>
          <w:rFonts w:hint="eastAsia"/>
        </w:rPr>
        <w:t>条</w:t>
      </w:r>
      <w:r>
        <w:rPr>
          <w:rFonts w:hint="eastAsia"/>
        </w:rPr>
        <w:t>(</w:t>
      </w:r>
      <w:r>
        <w:t>c</w:t>
      </w:r>
      <w:r>
        <w:rPr>
          <w:rFonts w:hint="eastAsia"/>
        </w:rPr>
        <w:t>)</w:t>
      </w:r>
      <w:r>
        <w:rPr>
          <w:rFonts w:hint="eastAsia"/>
        </w:rPr>
        <w:t>和</w:t>
      </w:r>
      <w:r>
        <w:rPr>
          <w:rFonts w:hint="eastAsia"/>
        </w:rPr>
        <w:t>(</w:t>
      </w:r>
      <w:r>
        <w:t>d</w:t>
      </w:r>
      <w:r>
        <w:rPr>
          <w:rFonts w:hint="eastAsia"/>
        </w:rPr>
        <w:t>)</w:t>
      </w:r>
      <w:r>
        <w:rPr>
          <w:rFonts w:hint="eastAsia"/>
        </w:rPr>
        <w:t>款规定，</w:t>
      </w:r>
      <w:r>
        <w:rPr>
          <w:rFonts w:hint="eastAsia"/>
        </w:rPr>
        <w:t>16</w:t>
      </w:r>
      <w:r>
        <w:rPr>
          <w:rFonts w:hint="eastAsia"/>
        </w:rPr>
        <w:t>岁以下患有一等、二等和三等残疾的儿童和失去家庭供养人的儿童享有拨款。拨款数额依照该法予以确定，并从国家社会预算中拨付。第</w:t>
      </w:r>
      <w:r>
        <w:rPr>
          <w:rFonts w:hint="eastAsia"/>
        </w:rPr>
        <w:t>8</w:t>
      </w:r>
      <w:r>
        <w:rPr>
          <w:rFonts w:hint="eastAsia"/>
        </w:rPr>
        <w:t>条规定了按最低退休养恤金百分比计算的拨款数额：</w:t>
      </w:r>
    </w:p>
    <w:p w:rsidR="00000000" w:rsidRDefault="00000000">
      <w:pPr>
        <w:numPr>
          <w:ilvl w:val="1"/>
          <w:numId w:val="554"/>
        </w:numPr>
        <w:ind w:left="2051"/>
        <w:rPr>
          <w:rFonts w:hint="eastAsia"/>
        </w:rPr>
      </w:pPr>
      <w:r>
        <w:rPr>
          <w:rFonts w:hint="eastAsia"/>
        </w:rPr>
        <w:t>一等残疾儿童领取</w:t>
      </w:r>
      <w:r>
        <w:rPr>
          <w:rFonts w:hint="eastAsia"/>
        </w:rPr>
        <w:t>100%</w:t>
      </w:r>
      <w:r>
        <w:rPr>
          <w:rFonts w:hint="eastAsia"/>
        </w:rPr>
        <w:t>；</w:t>
      </w:r>
    </w:p>
    <w:p w:rsidR="00000000" w:rsidRDefault="00000000">
      <w:pPr>
        <w:numPr>
          <w:ilvl w:val="1"/>
          <w:numId w:val="554"/>
        </w:numPr>
        <w:ind w:left="2051"/>
        <w:rPr>
          <w:rFonts w:hint="eastAsia"/>
        </w:rPr>
      </w:pPr>
      <w:r>
        <w:rPr>
          <w:rFonts w:hint="eastAsia"/>
        </w:rPr>
        <w:t>等和三等残疾领取</w:t>
      </w:r>
      <w:r>
        <w:rPr>
          <w:rFonts w:hint="eastAsia"/>
        </w:rPr>
        <w:t>85%</w:t>
      </w:r>
      <w:r>
        <w:rPr>
          <w:rFonts w:hint="eastAsia"/>
        </w:rPr>
        <w:t>。</w:t>
      </w:r>
    </w:p>
    <w:p w:rsidR="00000000" w:rsidRDefault="00000000">
      <w:pPr>
        <w:pStyle w:val="cdL1"/>
        <w:widowControl/>
        <w:tabs>
          <w:tab w:val="clear" w:pos="510"/>
        </w:tabs>
        <w:rPr>
          <w:rFonts w:hint="eastAsia"/>
          <w:spacing w:val="10"/>
        </w:rPr>
      </w:pPr>
      <w:r>
        <w:rPr>
          <w:rFonts w:hint="eastAsia"/>
          <w:spacing w:val="10"/>
        </w:rPr>
        <w:t>第</w:t>
      </w:r>
      <w:r>
        <w:rPr>
          <w:rFonts w:hint="eastAsia"/>
          <w:spacing w:val="10"/>
        </w:rPr>
        <w:t>9</w:t>
      </w:r>
      <w:r>
        <w:rPr>
          <w:rFonts w:hint="eastAsia"/>
          <w:spacing w:val="10"/>
        </w:rPr>
        <w:t>条规定，失去家庭供养人的儿童，只有当亡故者未获得享有国家社会养恤金权利时，才有权领取拨款。</w:t>
      </w:r>
      <w:r>
        <w:rPr>
          <w:rFonts w:hint="eastAsia"/>
          <w:spacing w:val="10"/>
        </w:rPr>
        <w:t>18</w:t>
      </w:r>
      <w:r>
        <w:rPr>
          <w:rFonts w:hint="eastAsia"/>
          <w:spacing w:val="10"/>
        </w:rPr>
        <w:t>岁以下的儿童</w:t>
      </w:r>
      <w:r>
        <w:rPr>
          <w:rFonts w:hint="eastAsia"/>
          <w:spacing w:val="10"/>
        </w:rPr>
        <w:t>(</w:t>
      </w:r>
      <w:r>
        <w:rPr>
          <w:rFonts w:hint="eastAsia"/>
          <w:spacing w:val="10"/>
        </w:rPr>
        <w:t>不满</w:t>
      </w:r>
      <w:r>
        <w:rPr>
          <w:rFonts w:hint="eastAsia"/>
          <w:spacing w:val="10"/>
        </w:rPr>
        <w:t>23</w:t>
      </w:r>
      <w:r>
        <w:rPr>
          <w:rFonts w:hint="eastAsia"/>
          <w:spacing w:val="10"/>
        </w:rPr>
        <w:t>岁的学生</w:t>
      </w:r>
      <w:r>
        <w:rPr>
          <w:rFonts w:hint="eastAsia"/>
          <w:spacing w:val="10"/>
        </w:rPr>
        <w:t>)</w:t>
      </w:r>
      <w:r>
        <w:rPr>
          <w:rFonts w:hint="eastAsia"/>
          <w:spacing w:val="10"/>
        </w:rPr>
        <w:t>，如果他们未得到国家的支助并且没有正当收入，可有权领取拨款。每个儿童的拨款数额为最低老年养恤金的</w:t>
      </w:r>
      <w:r>
        <w:rPr>
          <w:rFonts w:hint="eastAsia"/>
          <w:spacing w:val="10"/>
        </w:rPr>
        <w:t>75%</w:t>
      </w:r>
      <w:r>
        <w:rPr>
          <w:rFonts w:hint="eastAsia"/>
          <w:spacing w:val="10"/>
        </w:rPr>
        <w:t>，最高不得超过最低老年养恤金的</w:t>
      </w:r>
      <w:r>
        <w:rPr>
          <w:rFonts w:hint="eastAsia"/>
          <w:spacing w:val="10"/>
        </w:rPr>
        <w:t>11.5</w:t>
      </w:r>
      <w:r>
        <w:rPr>
          <w:rFonts w:hint="eastAsia"/>
          <w:spacing w:val="10"/>
        </w:rPr>
        <w:t>倍。如果父母均已亡故，拨款数额增加一倍。</w:t>
      </w:r>
    </w:p>
    <w:p w:rsidR="00000000" w:rsidRDefault="00000000">
      <w:pPr>
        <w:pStyle w:val="cdL1"/>
        <w:widowControl/>
        <w:tabs>
          <w:tab w:val="clear" w:pos="510"/>
        </w:tabs>
      </w:pPr>
      <w:r>
        <w:rPr>
          <w:rFonts w:hint="eastAsia"/>
        </w:rPr>
        <w:tab/>
        <w:t xml:space="preserve">439.  </w:t>
      </w:r>
      <w:r>
        <w:rPr>
          <w:rFonts w:hint="eastAsia"/>
        </w:rPr>
        <w:t>摩尔多瓦共和国从社会主义政权手中接管了很多机构，这些机构负责照顾孤儿、被遗弃的儿童、身心残障儿童和来自有社会问题的家庭的儿童。根据最新统计资料，约有</w:t>
      </w:r>
      <w:r>
        <w:rPr>
          <w:rFonts w:hint="eastAsia"/>
        </w:rPr>
        <w:t>15,000</w:t>
      </w:r>
      <w:r>
        <w:rPr>
          <w:rFonts w:hint="eastAsia"/>
        </w:rPr>
        <w:t>名儿童得不到父母的保护。有健康问题和社会问题的儿童受到以下机构的保护：</w:t>
      </w:r>
    </w:p>
    <w:p w:rsidR="00000000" w:rsidRDefault="00000000">
      <w:pPr>
        <w:pStyle w:val="ac"/>
        <w:rPr>
          <w:rFonts w:hint="eastAsia"/>
        </w:rPr>
      </w:pPr>
      <w:r>
        <w:rPr>
          <w:rFonts w:hint="eastAsia"/>
        </w:rPr>
        <w:t>收容</w:t>
      </w:r>
      <w:r>
        <w:rPr>
          <w:rFonts w:hint="eastAsia"/>
        </w:rPr>
        <w:t>0-7</w:t>
      </w:r>
      <w:r>
        <w:rPr>
          <w:rFonts w:hint="eastAsia"/>
        </w:rPr>
        <w:t>岁儿童的孤儿院；</w:t>
      </w:r>
    </w:p>
    <w:p w:rsidR="00000000" w:rsidRDefault="00000000">
      <w:pPr>
        <w:pStyle w:val="ac"/>
        <w:rPr>
          <w:rFonts w:hint="eastAsia"/>
        </w:rPr>
      </w:pPr>
      <w:r>
        <w:rPr>
          <w:rFonts w:hint="eastAsia"/>
        </w:rPr>
        <w:t>特别托儿所；</w:t>
      </w:r>
    </w:p>
    <w:p w:rsidR="00000000" w:rsidRDefault="00000000">
      <w:pPr>
        <w:pStyle w:val="ac"/>
        <w:rPr>
          <w:rFonts w:hint="eastAsia"/>
        </w:rPr>
      </w:pPr>
      <w:r>
        <w:rPr>
          <w:rFonts w:hint="eastAsia"/>
        </w:rPr>
        <w:t>收容</w:t>
      </w:r>
      <w:r>
        <w:rPr>
          <w:rFonts w:hint="eastAsia"/>
        </w:rPr>
        <w:t>7-18</w:t>
      </w:r>
      <w:r>
        <w:rPr>
          <w:rFonts w:hint="eastAsia"/>
        </w:rPr>
        <w:t>岁儿童的孤儿院；</w:t>
      </w:r>
    </w:p>
    <w:p w:rsidR="00000000" w:rsidRDefault="00000000">
      <w:pPr>
        <w:pStyle w:val="ac"/>
        <w:rPr>
          <w:rFonts w:hint="eastAsia"/>
        </w:rPr>
      </w:pPr>
      <w:r>
        <w:rPr>
          <w:rFonts w:hint="eastAsia"/>
        </w:rPr>
        <w:t>收容有智力缺陷儿童的孤儿院；</w:t>
      </w:r>
    </w:p>
    <w:p w:rsidR="00000000" w:rsidRDefault="00000000">
      <w:pPr>
        <w:pStyle w:val="ac"/>
        <w:rPr>
          <w:rFonts w:hint="eastAsia"/>
        </w:rPr>
      </w:pPr>
      <w:r>
        <w:rPr>
          <w:rFonts w:hint="eastAsia"/>
        </w:rPr>
        <w:t>接纳孤儿和失去父母保护的儿童的寄宿学校；</w:t>
      </w:r>
    </w:p>
    <w:p w:rsidR="00000000" w:rsidRDefault="00000000">
      <w:pPr>
        <w:pStyle w:val="ac"/>
        <w:rPr>
          <w:rFonts w:hint="eastAsia"/>
        </w:rPr>
      </w:pPr>
      <w:r>
        <w:rPr>
          <w:rFonts w:hint="eastAsia"/>
        </w:rPr>
        <w:t>普通寄宿学校；</w:t>
      </w:r>
    </w:p>
    <w:p w:rsidR="00000000" w:rsidRDefault="00000000">
      <w:pPr>
        <w:pStyle w:val="ac"/>
        <w:rPr>
          <w:rFonts w:hint="eastAsia"/>
        </w:rPr>
      </w:pPr>
      <w:r>
        <w:rPr>
          <w:rFonts w:hint="eastAsia"/>
        </w:rPr>
        <w:t>接纳有智力缺陷儿童的辅助寄宿学校；</w:t>
      </w:r>
    </w:p>
    <w:p w:rsidR="00000000" w:rsidRDefault="00000000">
      <w:pPr>
        <w:pStyle w:val="ac"/>
        <w:rPr>
          <w:rFonts w:hint="eastAsia"/>
        </w:rPr>
      </w:pPr>
      <w:r>
        <w:rPr>
          <w:rFonts w:hint="eastAsia"/>
        </w:rPr>
        <w:t>接纳患有慢性病和官能有问题的儿童的特殊学校；</w:t>
      </w:r>
    </w:p>
    <w:p w:rsidR="00000000" w:rsidRDefault="00000000">
      <w:pPr>
        <w:pStyle w:val="ac"/>
        <w:rPr>
          <w:rFonts w:hint="eastAsia"/>
        </w:rPr>
      </w:pPr>
      <w:r>
        <w:rPr>
          <w:rFonts w:hint="eastAsia"/>
        </w:rPr>
        <w:t>接纳有行为问题的儿童的学校；</w:t>
      </w:r>
    </w:p>
    <w:p w:rsidR="00000000" w:rsidRDefault="00000000">
      <w:pPr>
        <w:pStyle w:val="ac"/>
        <w:rPr>
          <w:rFonts w:hint="eastAsia"/>
        </w:rPr>
      </w:pPr>
      <w:r>
        <w:rPr>
          <w:rFonts w:hint="eastAsia"/>
        </w:rPr>
        <w:t>儿童疗养学校。</w:t>
      </w:r>
    </w:p>
    <w:p w:rsidR="00000000" w:rsidRDefault="00000000">
      <w:pPr>
        <w:pStyle w:val="cdL1"/>
        <w:widowControl/>
        <w:tabs>
          <w:tab w:val="clear" w:pos="510"/>
        </w:tabs>
        <w:rPr>
          <w:rFonts w:hint="eastAsia"/>
          <w:spacing w:val="10"/>
        </w:rPr>
      </w:pPr>
      <w:r>
        <w:rPr>
          <w:rFonts w:hint="eastAsia"/>
          <w:spacing w:val="10"/>
        </w:rPr>
        <w:tab/>
        <w:t>4</w:t>
      </w:r>
      <w:r>
        <w:rPr>
          <w:spacing w:val="10"/>
        </w:rPr>
        <w:t>40.</w:t>
      </w:r>
      <w:r>
        <w:rPr>
          <w:rFonts w:hint="eastAsia"/>
          <w:spacing w:val="10"/>
        </w:rPr>
        <w:t xml:space="preserve">  </w:t>
      </w:r>
      <w:r>
        <w:rPr>
          <w:rFonts w:hint="eastAsia"/>
          <w:spacing w:val="10"/>
        </w:rPr>
        <w:t>收容进院通常都有社会方面的原因。在那些因过渡期的消极后果而产生社会问题的贫穷家庭看来，收容进院还是一种最佳形式的社会保护。由于多子女家庭的经济状况不能令人满意，在防止子女与父母分离方面所做工作有所减弱。此外，过去在这方面也未采取过任何具体措施。国家从未制定为这些人提供教育、复原和社会融合支助的条件。现在必须建立一种防止收容进院的制度，可以鼓励各种其他形式的家庭支助，并加强收养程序等措施。政府儿童保护战略的主要目标是，调整各种机构并通过各种途径使之多样化，譬如将它们转变成家庭机构，并建立各种中心以满足残疾儿童的社会</w:t>
      </w:r>
      <w:r>
        <w:rPr>
          <w:rFonts w:hint="eastAsia"/>
          <w:spacing w:val="10"/>
        </w:rPr>
        <w:t>/</w:t>
      </w:r>
      <w:r>
        <w:rPr>
          <w:rFonts w:hint="eastAsia"/>
          <w:spacing w:val="10"/>
        </w:rPr>
        <w:t>医疗和教育需要。儿童保护领域改革需要有财政和人力资源。</w:t>
      </w:r>
    </w:p>
    <w:p w:rsidR="00000000" w:rsidRDefault="00000000">
      <w:pPr>
        <w:pStyle w:val="cdL1"/>
        <w:widowControl/>
        <w:tabs>
          <w:tab w:val="clear" w:pos="510"/>
        </w:tabs>
        <w:rPr>
          <w:rFonts w:hint="eastAsia"/>
          <w:spacing w:val="10"/>
        </w:rPr>
      </w:pPr>
      <w:r>
        <w:rPr>
          <w:rFonts w:hint="eastAsia"/>
          <w:spacing w:val="10"/>
        </w:rPr>
        <w:tab/>
        <w:t xml:space="preserve">441.  </w:t>
      </w:r>
      <w:r>
        <w:rPr>
          <w:rFonts w:hint="eastAsia"/>
          <w:spacing w:val="10"/>
        </w:rPr>
        <w:t>在世界银行和开发计划署的财政和技术支持下对家庭预算进行审查之后，减缓贫穷战略和消除贫穷国家方案结算了费用。家庭预算审查表明，在最易受伤害的群体中，受贫穷影响的大多数是儿童。上述方案包括一系列保护儿童免受贫穷伤害的措施。此后又制定了其他一些方案：“我们的孩子”、“孤儿”和“残疾儿童”。这些措施以不同方式</w:t>
      </w:r>
      <w:r>
        <w:rPr>
          <w:rFonts w:hint="eastAsia"/>
          <w:spacing w:val="10"/>
        </w:rPr>
        <w:t>(</w:t>
      </w:r>
      <w:r>
        <w:rPr>
          <w:rFonts w:hint="eastAsia"/>
          <w:spacing w:val="10"/>
        </w:rPr>
        <w:t>货币、实物和公共服务补偿金</w:t>
      </w:r>
      <w:r>
        <w:rPr>
          <w:rFonts w:hint="eastAsia"/>
          <w:spacing w:val="10"/>
        </w:rPr>
        <w:t>)</w:t>
      </w:r>
      <w:r>
        <w:rPr>
          <w:rFonts w:hint="eastAsia"/>
          <w:spacing w:val="10"/>
        </w:rPr>
        <w:t>为多子女家庭提供物质支助。</w:t>
      </w:r>
    </w:p>
    <w:p w:rsidR="00000000" w:rsidRDefault="00000000">
      <w:pPr>
        <w:pStyle w:val="cdL1"/>
        <w:widowControl/>
        <w:tabs>
          <w:tab w:val="clear" w:pos="510"/>
        </w:tabs>
        <w:rPr>
          <w:rFonts w:hint="eastAsia"/>
          <w:spacing w:val="10"/>
        </w:rPr>
      </w:pPr>
      <w:r>
        <w:rPr>
          <w:rFonts w:hint="eastAsia"/>
          <w:spacing w:val="10"/>
        </w:rPr>
        <w:tab/>
        <w:t xml:space="preserve">442.  </w:t>
      </w:r>
      <w:r>
        <w:rPr>
          <w:rFonts w:hint="eastAsia"/>
          <w:spacing w:val="10"/>
        </w:rPr>
        <w:t>母亲在生育前后享有特殊保护。摩尔多瓦共和国《劳工法典》就此禁止让孕妇和需要照顾</w:t>
      </w:r>
      <w:r>
        <w:rPr>
          <w:rFonts w:hint="eastAsia"/>
          <w:spacing w:val="10"/>
        </w:rPr>
        <w:t>3</w:t>
      </w:r>
      <w:r>
        <w:rPr>
          <w:rFonts w:hint="eastAsia"/>
          <w:spacing w:val="10"/>
        </w:rPr>
        <w:t>岁以下子女的妇女上夜班，加班或在假日期间工作。《劳工法典》还禁止让这一类妇女出差旅行。需要照顾</w:t>
      </w:r>
      <w:r>
        <w:rPr>
          <w:rFonts w:hint="eastAsia"/>
          <w:spacing w:val="10"/>
        </w:rPr>
        <w:t>3</w:t>
      </w:r>
      <w:r>
        <w:rPr>
          <w:rFonts w:hint="eastAsia"/>
          <w:spacing w:val="10"/>
        </w:rPr>
        <w:t>至</w:t>
      </w:r>
      <w:r>
        <w:rPr>
          <w:rFonts w:hint="eastAsia"/>
          <w:spacing w:val="10"/>
        </w:rPr>
        <w:t>14</w:t>
      </w:r>
      <w:r>
        <w:rPr>
          <w:rFonts w:hint="eastAsia"/>
          <w:spacing w:val="10"/>
        </w:rPr>
        <w:t>岁子女</w:t>
      </w:r>
      <w:r>
        <w:rPr>
          <w:rFonts w:hint="eastAsia"/>
          <w:spacing w:val="10"/>
        </w:rPr>
        <w:t>(</w:t>
      </w:r>
      <w:r>
        <w:rPr>
          <w:rFonts w:hint="eastAsia"/>
          <w:spacing w:val="10"/>
        </w:rPr>
        <w:t>或</w:t>
      </w:r>
      <w:r>
        <w:rPr>
          <w:rFonts w:hint="eastAsia"/>
          <w:spacing w:val="10"/>
        </w:rPr>
        <w:t>16</w:t>
      </w:r>
      <w:r>
        <w:rPr>
          <w:rFonts w:hint="eastAsia"/>
          <w:spacing w:val="10"/>
        </w:rPr>
        <w:t>岁以下残疾儿童</w:t>
      </w:r>
      <w:r>
        <w:rPr>
          <w:rFonts w:hint="eastAsia"/>
          <w:spacing w:val="10"/>
        </w:rPr>
        <w:t>)</w:t>
      </w:r>
      <w:r>
        <w:rPr>
          <w:rFonts w:hint="eastAsia"/>
          <w:spacing w:val="10"/>
        </w:rPr>
        <w:t>的妇女，未经其本人同意，不得超时工作或出差旅行</w:t>
      </w:r>
      <w:r>
        <w:rPr>
          <w:rFonts w:hint="eastAsia"/>
          <w:spacing w:val="10"/>
        </w:rPr>
        <w:t>(</w:t>
      </w:r>
      <w:r>
        <w:rPr>
          <w:rFonts w:hint="eastAsia"/>
          <w:spacing w:val="10"/>
        </w:rPr>
        <w:t>第</w:t>
      </w:r>
      <w:r>
        <w:rPr>
          <w:rFonts w:hint="eastAsia"/>
          <w:spacing w:val="10"/>
        </w:rPr>
        <w:t>171</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443.  </w:t>
      </w:r>
      <w:r>
        <w:rPr>
          <w:rFonts w:hint="eastAsia"/>
          <w:spacing w:val="10"/>
        </w:rPr>
        <w:t>降低孕妇的生产定额，或给她们调换工作，但不得影响其平均收入水平。孕妇可以离开原有岗位，直到她可以调换其他工作，但在她并未工作的所有工作日内，企业、机构或组织的薪金基金照旧支付其薪金。需要照顾</w:t>
      </w:r>
      <w:r>
        <w:rPr>
          <w:rFonts w:hint="eastAsia"/>
          <w:spacing w:val="10"/>
        </w:rPr>
        <w:t>3</w:t>
      </w:r>
      <w:r>
        <w:rPr>
          <w:rFonts w:hint="eastAsia"/>
          <w:spacing w:val="10"/>
        </w:rPr>
        <w:t>岁以下子女的妇女，如果不能完成其原先的工作，可以调换其他工作，并且仍然领取原先的月平均收入，直至其子女年满</w:t>
      </w:r>
      <w:r>
        <w:rPr>
          <w:rFonts w:hint="eastAsia"/>
          <w:spacing w:val="10"/>
        </w:rPr>
        <w:t>3</w:t>
      </w:r>
      <w:r>
        <w:rPr>
          <w:rFonts w:hint="eastAsia"/>
          <w:spacing w:val="10"/>
        </w:rPr>
        <w:t>周岁</w:t>
      </w:r>
      <w:r>
        <w:rPr>
          <w:rFonts w:hint="eastAsia"/>
          <w:spacing w:val="10"/>
        </w:rPr>
        <w:t>(</w:t>
      </w:r>
      <w:r>
        <w:rPr>
          <w:rFonts w:hint="eastAsia"/>
          <w:spacing w:val="10"/>
        </w:rPr>
        <w:t>第</w:t>
      </w:r>
      <w:r>
        <w:rPr>
          <w:rFonts w:hint="eastAsia"/>
          <w:spacing w:val="10"/>
        </w:rPr>
        <w:t>172</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444.  </w:t>
      </w:r>
      <w:r>
        <w:rPr>
          <w:rFonts w:hint="eastAsia"/>
          <w:spacing w:val="10"/>
        </w:rPr>
        <w:t>产假为生育前</w:t>
      </w:r>
      <w:r>
        <w:rPr>
          <w:rFonts w:hint="eastAsia"/>
          <w:spacing w:val="10"/>
        </w:rPr>
        <w:t>70</w:t>
      </w:r>
      <w:r>
        <w:rPr>
          <w:rFonts w:hint="eastAsia"/>
          <w:spacing w:val="10"/>
        </w:rPr>
        <w:t>天，生育后</w:t>
      </w:r>
      <w:r>
        <w:rPr>
          <w:rFonts w:hint="eastAsia"/>
          <w:spacing w:val="10"/>
        </w:rPr>
        <w:t>56</w:t>
      </w:r>
      <w:r>
        <w:rPr>
          <w:rFonts w:hint="eastAsia"/>
          <w:spacing w:val="10"/>
        </w:rPr>
        <w:t>天</w:t>
      </w:r>
      <w:r>
        <w:rPr>
          <w:rFonts w:hint="eastAsia"/>
          <w:spacing w:val="10"/>
        </w:rPr>
        <w:t>(</w:t>
      </w:r>
      <w:r>
        <w:rPr>
          <w:rFonts w:hint="eastAsia"/>
          <w:spacing w:val="10"/>
        </w:rPr>
        <w:t>如果生育时难产或生育双胞胎或多胞胎，产假则为</w:t>
      </w:r>
      <w:r>
        <w:rPr>
          <w:rFonts w:hint="eastAsia"/>
          <w:spacing w:val="10"/>
        </w:rPr>
        <w:t>70</w:t>
      </w:r>
      <w:r>
        <w:rPr>
          <w:rFonts w:hint="eastAsia"/>
          <w:spacing w:val="10"/>
        </w:rPr>
        <w:t>天</w:t>
      </w:r>
      <w:r>
        <w:rPr>
          <w:rFonts w:hint="eastAsia"/>
          <w:spacing w:val="10"/>
        </w:rPr>
        <w:t>)</w:t>
      </w:r>
      <w:r>
        <w:rPr>
          <w:rFonts w:hint="eastAsia"/>
          <w:spacing w:val="10"/>
        </w:rPr>
        <w:t>。工作时间至少一年的妇女，有权享有</w:t>
      </w:r>
      <w:r>
        <w:rPr>
          <w:rFonts w:hint="eastAsia"/>
          <w:spacing w:val="10"/>
        </w:rPr>
        <w:t>100%</w:t>
      </w:r>
      <w:r>
        <w:rPr>
          <w:rFonts w:hint="eastAsia"/>
          <w:spacing w:val="10"/>
        </w:rPr>
        <w:t>的出生后带薪产假一年半。由国家社会保险支付此项支出。工作时间不到一年的妇女，可领取</w:t>
      </w:r>
      <w:r>
        <w:rPr>
          <w:rFonts w:hint="eastAsia"/>
          <w:spacing w:val="10"/>
        </w:rPr>
        <w:t>50%</w:t>
      </w:r>
      <w:r>
        <w:rPr>
          <w:rFonts w:hint="eastAsia"/>
          <w:spacing w:val="10"/>
        </w:rPr>
        <w:t>的薪金。部分支薪儿童保育假可由孩子的父亲、祖母、祖父或照顾孩子的其他亲属享受。部分支薪儿童保育假可以随时全日或半日使用，直至孩子年满一岁半。儿童保育假计入长期工作年限总数中。妇女或上述一类人可做非全时工，也可在家工作，并依然享有领取儿童保育拨款的权利</w:t>
      </w:r>
      <w:r>
        <w:rPr>
          <w:rFonts w:hint="eastAsia"/>
          <w:spacing w:val="10"/>
        </w:rPr>
        <w:t>(</w:t>
      </w:r>
      <w:r>
        <w:rPr>
          <w:rFonts w:hint="eastAsia"/>
          <w:spacing w:val="10"/>
        </w:rPr>
        <w:t>第</w:t>
      </w:r>
      <w:r>
        <w:rPr>
          <w:rFonts w:hint="eastAsia"/>
          <w:spacing w:val="10"/>
        </w:rPr>
        <w:t>173</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445.  </w:t>
      </w:r>
      <w:r>
        <w:rPr>
          <w:rFonts w:hint="eastAsia"/>
          <w:spacing w:val="10"/>
        </w:rPr>
        <w:t>在休产假前后或休儿童保育假之后，妇女仍可要求休年假，无论其在各企业、机构或组织中资历年限如何</w:t>
      </w:r>
      <w:r>
        <w:rPr>
          <w:rFonts w:hint="eastAsia"/>
          <w:spacing w:val="10"/>
        </w:rPr>
        <w:t>(</w:t>
      </w:r>
      <w:r>
        <w:rPr>
          <w:rFonts w:hint="eastAsia"/>
          <w:spacing w:val="10"/>
        </w:rPr>
        <w:t>第</w:t>
      </w:r>
      <w:r>
        <w:rPr>
          <w:rFonts w:hint="eastAsia"/>
          <w:spacing w:val="10"/>
        </w:rPr>
        <w:t>174</w:t>
      </w:r>
      <w:r>
        <w:rPr>
          <w:rFonts w:hint="eastAsia"/>
          <w:spacing w:val="10"/>
        </w:rPr>
        <w:t>条</w:t>
      </w:r>
      <w:r>
        <w:rPr>
          <w:rFonts w:hint="eastAsia"/>
          <w:spacing w:val="10"/>
        </w:rPr>
        <w:t>)</w:t>
      </w:r>
      <w:r>
        <w:rPr>
          <w:rFonts w:hint="eastAsia"/>
          <w:spacing w:val="10"/>
        </w:rPr>
        <w:t>。除产假和儿童保育假之外，妇女和第</w:t>
      </w:r>
      <w:r>
        <w:rPr>
          <w:rFonts w:hint="eastAsia"/>
          <w:spacing w:val="10"/>
        </w:rPr>
        <w:t>173</w:t>
      </w:r>
      <w:r>
        <w:rPr>
          <w:rFonts w:hint="eastAsia"/>
          <w:spacing w:val="10"/>
        </w:rPr>
        <w:t>条中所提及的人均有权享有附加不带薪儿童保育假，直至孩子年满</w:t>
      </w:r>
      <w:r>
        <w:rPr>
          <w:rFonts w:hint="eastAsia"/>
          <w:spacing w:val="10"/>
        </w:rPr>
        <w:t>3</w:t>
      </w:r>
      <w:r>
        <w:rPr>
          <w:rFonts w:hint="eastAsia"/>
          <w:spacing w:val="10"/>
        </w:rPr>
        <w:t>周岁。在休儿童保育假期间，他们的职位依然保留。儿童保育假可以随时全日或半日使用，直至孩子年满</w:t>
      </w:r>
      <w:r>
        <w:rPr>
          <w:rFonts w:hint="eastAsia"/>
          <w:spacing w:val="10"/>
        </w:rPr>
        <w:t>3</w:t>
      </w:r>
      <w:r>
        <w:rPr>
          <w:rFonts w:hint="eastAsia"/>
          <w:spacing w:val="10"/>
        </w:rPr>
        <w:t>周岁。附加不带薪儿童保育假不计入可有权要求随后休年假的工作年限中</w:t>
      </w:r>
      <w:r>
        <w:rPr>
          <w:rFonts w:hint="eastAsia"/>
          <w:spacing w:val="10"/>
        </w:rPr>
        <w:t>(</w:t>
      </w:r>
      <w:r>
        <w:rPr>
          <w:rFonts w:hint="eastAsia"/>
          <w:spacing w:val="10"/>
        </w:rPr>
        <w:t>第</w:t>
      </w:r>
      <w:r>
        <w:rPr>
          <w:rFonts w:hint="eastAsia"/>
          <w:spacing w:val="10"/>
        </w:rPr>
        <w:t>175</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446.  </w:t>
      </w:r>
      <w:r>
        <w:rPr>
          <w:rFonts w:hint="eastAsia"/>
          <w:spacing w:val="10"/>
        </w:rPr>
        <w:t>收养新生儿的妇女可享有休假权利，假期自收养第一天开始计算，至婴儿出生第</w:t>
      </w:r>
      <w:r>
        <w:rPr>
          <w:rFonts w:hint="eastAsia"/>
          <w:spacing w:val="10"/>
        </w:rPr>
        <w:t>56</w:t>
      </w:r>
      <w:r>
        <w:rPr>
          <w:rFonts w:hint="eastAsia"/>
          <w:spacing w:val="10"/>
        </w:rPr>
        <w:t>天终止</w:t>
      </w:r>
      <w:r>
        <w:rPr>
          <w:rFonts w:hint="eastAsia"/>
          <w:spacing w:val="10"/>
        </w:rPr>
        <w:t>(</w:t>
      </w:r>
      <w:r>
        <w:rPr>
          <w:rFonts w:hint="eastAsia"/>
          <w:spacing w:val="10"/>
        </w:rPr>
        <w:t>如果收养了两名或多名儿童，假期为</w:t>
      </w:r>
      <w:r>
        <w:rPr>
          <w:rFonts w:hint="eastAsia"/>
          <w:spacing w:val="10"/>
        </w:rPr>
        <w:t>70</w:t>
      </w:r>
      <w:r>
        <w:rPr>
          <w:rFonts w:hint="eastAsia"/>
          <w:spacing w:val="10"/>
        </w:rPr>
        <w:t>天</w:t>
      </w:r>
      <w:r>
        <w:rPr>
          <w:rFonts w:hint="eastAsia"/>
          <w:spacing w:val="10"/>
        </w:rPr>
        <w:t>)</w:t>
      </w:r>
      <w:r>
        <w:rPr>
          <w:rFonts w:hint="eastAsia"/>
          <w:spacing w:val="10"/>
        </w:rPr>
        <w:t>。如果这类妇女工作年限至少有一年，在此期间她们可领取国家社会保险提供的拨款。</w:t>
      </w:r>
    </w:p>
    <w:p w:rsidR="00000000" w:rsidRDefault="00000000">
      <w:pPr>
        <w:pStyle w:val="cdL1"/>
        <w:widowControl/>
        <w:tabs>
          <w:tab w:val="clear" w:pos="510"/>
        </w:tabs>
        <w:rPr>
          <w:rFonts w:hint="eastAsia"/>
          <w:spacing w:val="10"/>
        </w:rPr>
      </w:pPr>
      <w:r>
        <w:rPr>
          <w:rFonts w:hint="eastAsia"/>
          <w:spacing w:val="10"/>
        </w:rPr>
        <w:tab/>
        <w:t>447.  1993</w:t>
      </w:r>
      <w:r>
        <w:rPr>
          <w:rFonts w:hint="eastAsia"/>
          <w:spacing w:val="10"/>
        </w:rPr>
        <w:t>年</w:t>
      </w:r>
      <w:r>
        <w:rPr>
          <w:rFonts w:hint="eastAsia"/>
          <w:spacing w:val="10"/>
        </w:rPr>
        <w:t>2</w:t>
      </w:r>
      <w:r>
        <w:rPr>
          <w:rFonts w:hint="eastAsia"/>
          <w:spacing w:val="10"/>
        </w:rPr>
        <w:t>月</w:t>
      </w:r>
      <w:r>
        <w:rPr>
          <w:rFonts w:hint="eastAsia"/>
          <w:spacing w:val="10"/>
        </w:rPr>
        <w:t>11</w:t>
      </w:r>
      <w:r>
        <w:rPr>
          <w:rFonts w:hint="eastAsia"/>
          <w:spacing w:val="10"/>
        </w:rPr>
        <w:t>日，摩尔多瓦共和国政府以第</w:t>
      </w:r>
      <w:r>
        <w:rPr>
          <w:rFonts w:hint="eastAsia"/>
          <w:spacing w:val="10"/>
        </w:rPr>
        <w:t>57</w:t>
      </w:r>
      <w:r>
        <w:rPr>
          <w:rFonts w:hint="eastAsia"/>
          <w:spacing w:val="10"/>
        </w:rPr>
        <w:t>号决定通过了关于享有病假方式的指示。根据该决定，产假由产科医生批准，没有产科医生时由普通医师批准。产假只享受一次，产假期为</w:t>
      </w:r>
      <w:r>
        <w:rPr>
          <w:rFonts w:hint="eastAsia"/>
          <w:spacing w:val="10"/>
        </w:rPr>
        <w:t>126</w:t>
      </w:r>
      <w:r>
        <w:rPr>
          <w:rFonts w:hint="eastAsia"/>
          <w:spacing w:val="10"/>
        </w:rPr>
        <w:t>天，自妊娠第三十周开始计算。如果生育时有并发症或为多胎生育，产假增加</w:t>
      </w:r>
      <w:r>
        <w:rPr>
          <w:rFonts w:hint="eastAsia"/>
          <w:spacing w:val="10"/>
        </w:rPr>
        <w:t>14</w:t>
      </w:r>
      <w:r>
        <w:rPr>
          <w:rFonts w:hint="eastAsia"/>
          <w:spacing w:val="10"/>
        </w:rPr>
        <w:t>天。附加假由医生批准。如果婴儿是死胎或出生</w:t>
      </w:r>
      <w:r>
        <w:rPr>
          <w:rFonts w:hint="eastAsia"/>
          <w:spacing w:val="10"/>
        </w:rPr>
        <w:t>6</w:t>
      </w:r>
      <w:r>
        <w:rPr>
          <w:rFonts w:hint="eastAsia"/>
          <w:spacing w:val="10"/>
        </w:rPr>
        <w:t>天后死亡，产假为</w:t>
      </w:r>
      <w:r>
        <w:rPr>
          <w:rFonts w:hint="eastAsia"/>
          <w:spacing w:val="10"/>
        </w:rPr>
        <w:t>30</w:t>
      </w:r>
      <w:r>
        <w:rPr>
          <w:rFonts w:hint="eastAsia"/>
          <w:spacing w:val="10"/>
        </w:rPr>
        <w:t>天。</w:t>
      </w:r>
    </w:p>
    <w:p w:rsidR="00000000" w:rsidRDefault="00000000">
      <w:pPr>
        <w:pStyle w:val="cdL1"/>
        <w:widowControl/>
        <w:tabs>
          <w:tab w:val="clear" w:pos="510"/>
        </w:tabs>
        <w:rPr>
          <w:rFonts w:hint="eastAsia"/>
          <w:spacing w:val="10"/>
        </w:rPr>
      </w:pPr>
      <w:r>
        <w:rPr>
          <w:rFonts w:hint="eastAsia"/>
          <w:spacing w:val="10"/>
        </w:rPr>
        <w:tab/>
        <w:t xml:space="preserve">448.  </w:t>
      </w:r>
      <w:r>
        <w:rPr>
          <w:rFonts w:hint="eastAsia"/>
          <w:spacing w:val="10"/>
        </w:rPr>
        <w:t>妇女如在产假期间搬迁到另一地区，以及生育时有并发症或为多胎生育，可享有附加产假</w:t>
      </w:r>
      <w:r>
        <w:rPr>
          <w:rFonts w:hint="eastAsia"/>
          <w:spacing w:val="10"/>
        </w:rPr>
        <w:t>14</w:t>
      </w:r>
      <w:r>
        <w:rPr>
          <w:rFonts w:hint="eastAsia"/>
          <w:spacing w:val="10"/>
        </w:rPr>
        <w:t>天。如果在休半薪假或附加不带薪儿童保育假期间开始另一次妊娠，该名妇女有权享受完整的产假。</w:t>
      </w:r>
    </w:p>
    <w:p w:rsidR="00000000" w:rsidRDefault="00000000">
      <w:pPr>
        <w:pStyle w:val="cdL1"/>
        <w:widowControl/>
        <w:tabs>
          <w:tab w:val="clear" w:pos="510"/>
        </w:tabs>
        <w:rPr>
          <w:rFonts w:hint="eastAsia"/>
          <w:spacing w:val="10"/>
        </w:rPr>
      </w:pPr>
      <w:r>
        <w:rPr>
          <w:rFonts w:hint="eastAsia"/>
          <w:spacing w:val="10"/>
        </w:rPr>
        <w:tab/>
        <w:t xml:space="preserve">449.  </w:t>
      </w:r>
      <w:r>
        <w:rPr>
          <w:rFonts w:hint="eastAsia"/>
          <w:spacing w:val="10"/>
        </w:rPr>
        <w:t>采用手术干预做“治疗性流产”的病假证明由施行手术的医生开具，假期为七天。按照法律确定的方式还可以延长假期。如果妊娠是按照医生指示而合法中止或以流产而终止，则按通常规定给予病假，直至该妇女重新恢复健康。</w:t>
      </w:r>
    </w:p>
    <w:p w:rsidR="00000000" w:rsidRDefault="00000000">
      <w:pPr>
        <w:pStyle w:val="cdL1"/>
        <w:widowControl/>
        <w:tabs>
          <w:tab w:val="clear" w:pos="510"/>
        </w:tabs>
        <w:rPr>
          <w:rFonts w:hint="eastAsia"/>
          <w:spacing w:val="10"/>
        </w:rPr>
      </w:pPr>
      <w:r>
        <w:rPr>
          <w:rFonts w:hint="eastAsia"/>
          <w:spacing w:val="10"/>
        </w:rPr>
        <w:tab/>
        <w:t>4</w:t>
      </w:r>
      <w:r>
        <w:rPr>
          <w:spacing w:val="10"/>
        </w:rPr>
        <w:t>50.</w:t>
      </w:r>
      <w:r>
        <w:rPr>
          <w:rFonts w:hint="eastAsia"/>
          <w:spacing w:val="10"/>
        </w:rPr>
        <w:t xml:space="preserve">  1993</w:t>
      </w:r>
      <w:r>
        <w:rPr>
          <w:rFonts w:hint="eastAsia"/>
          <w:spacing w:val="10"/>
        </w:rPr>
        <w:t>年</w:t>
      </w:r>
      <w:r>
        <w:rPr>
          <w:rFonts w:hint="eastAsia"/>
          <w:spacing w:val="10"/>
        </w:rPr>
        <w:t>2</w:t>
      </w:r>
      <w:r>
        <w:rPr>
          <w:rFonts w:hint="eastAsia"/>
          <w:spacing w:val="10"/>
        </w:rPr>
        <w:t>月</w:t>
      </w:r>
      <w:r>
        <w:rPr>
          <w:rFonts w:hint="eastAsia"/>
          <w:spacing w:val="10"/>
        </w:rPr>
        <w:t>28</w:t>
      </w:r>
      <w:r>
        <w:rPr>
          <w:rFonts w:hint="eastAsia"/>
          <w:spacing w:val="10"/>
        </w:rPr>
        <w:t>日，摩尔多瓦共和国政府以第</w:t>
      </w:r>
      <w:r>
        <w:rPr>
          <w:rFonts w:hint="eastAsia"/>
          <w:spacing w:val="10"/>
        </w:rPr>
        <w:t>58</w:t>
      </w:r>
      <w:r>
        <w:rPr>
          <w:rFonts w:hint="eastAsia"/>
          <w:spacing w:val="10"/>
        </w:rPr>
        <w:t>号决定通过了关于病假补偿金的制定、计算和支付方式的指示。病假补偿金的具体数额由雇员所在企业、机构或工厂的社会保障委员会来确定。如机构中没有此类委员会，则直接由社会保障事务负责人来确定。如果小机构中没有此种单位，则由该机构行政部门确定。医疗补偿金追加款由各个机构根据实际情况来决定。</w:t>
      </w:r>
    </w:p>
    <w:p w:rsidR="00000000" w:rsidRDefault="00000000">
      <w:pPr>
        <w:pStyle w:val="cdL1"/>
        <w:widowControl/>
        <w:tabs>
          <w:tab w:val="clear" w:pos="510"/>
        </w:tabs>
        <w:rPr>
          <w:rFonts w:hint="eastAsia"/>
          <w:spacing w:val="10"/>
        </w:rPr>
      </w:pPr>
      <w:r>
        <w:rPr>
          <w:rFonts w:hint="eastAsia"/>
          <w:spacing w:val="10"/>
        </w:rPr>
        <w:tab/>
        <w:t xml:space="preserve">451.  </w:t>
      </w:r>
      <w:r>
        <w:rPr>
          <w:rFonts w:hint="eastAsia"/>
          <w:spacing w:val="10"/>
        </w:rPr>
        <w:t>失业人员的病假津贴由职业介绍所负责人根据医生证明来决定，费用从社会基金失业基金中拨付。所有补偿金由各机构行政部门从社会保障缴款中拨付。</w:t>
      </w:r>
    </w:p>
    <w:p w:rsidR="00000000" w:rsidRDefault="00000000">
      <w:pPr>
        <w:pStyle w:val="cdL1"/>
        <w:widowControl/>
        <w:tabs>
          <w:tab w:val="clear" w:pos="510"/>
        </w:tabs>
        <w:rPr>
          <w:rFonts w:hint="eastAsia"/>
          <w:spacing w:val="10"/>
        </w:rPr>
      </w:pPr>
      <w:r>
        <w:rPr>
          <w:rFonts w:hint="eastAsia"/>
          <w:spacing w:val="10"/>
        </w:rPr>
        <w:tab/>
        <w:t xml:space="preserve">452.  </w:t>
      </w:r>
      <w:r>
        <w:rPr>
          <w:rFonts w:hint="eastAsia"/>
          <w:spacing w:val="10"/>
        </w:rPr>
        <w:t>补偿金的计算依据为实际收入，包括各种收入在内。社会保障税款以及各种奖金的额外付款，缴纳比例依照现行法律而定。以下款项不计入补偿金范围：</w:t>
      </w:r>
    </w:p>
    <w:p w:rsidR="00000000" w:rsidRDefault="00000000">
      <w:pPr>
        <w:numPr>
          <w:ilvl w:val="0"/>
          <w:numId w:val="555"/>
        </w:numPr>
        <w:rPr>
          <w:rFonts w:hint="eastAsia"/>
        </w:rPr>
      </w:pPr>
      <w:r>
        <w:rPr>
          <w:rFonts w:hint="eastAsia"/>
        </w:rPr>
        <w:t>加班薪金；</w:t>
      </w:r>
    </w:p>
    <w:p w:rsidR="00000000" w:rsidRDefault="00000000">
      <w:pPr>
        <w:numPr>
          <w:ilvl w:val="0"/>
          <w:numId w:val="555"/>
        </w:numPr>
        <w:rPr>
          <w:rFonts w:hint="eastAsia"/>
        </w:rPr>
      </w:pPr>
      <w:r>
        <w:rPr>
          <w:rFonts w:hint="eastAsia"/>
        </w:rPr>
        <w:t>第二职业的薪金；</w:t>
      </w:r>
    </w:p>
    <w:p w:rsidR="00000000" w:rsidRDefault="00000000">
      <w:pPr>
        <w:numPr>
          <w:ilvl w:val="0"/>
          <w:numId w:val="555"/>
        </w:numPr>
        <w:rPr>
          <w:rFonts w:hint="eastAsia"/>
        </w:rPr>
      </w:pPr>
      <w:r>
        <w:rPr>
          <w:rFonts w:hint="eastAsia"/>
        </w:rPr>
        <w:t>对职工承担本职工作以外工作的奖励；</w:t>
      </w:r>
    </w:p>
    <w:p w:rsidR="00000000" w:rsidRDefault="00000000">
      <w:pPr>
        <w:numPr>
          <w:ilvl w:val="0"/>
          <w:numId w:val="555"/>
        </w:numPr>
        <w:rPr>
          <w:rFonts w:hint="eastAsia"/>
        </w:rPr>
      </w:pPr>
      <w:r>
        <w:rPr>
          <w:rFonts w:hint="eastAsia"/>
        </w:rPr>
        <w:t>年假和附加假、军事训练或履行国家或公共义务的薪金；</w:t>
      </w:r>
    </w:p>
    <w:p w:rsidR="00000000" w:rsidRDefault="00000000">
      <w:pPr>
        <w:numPr>
          <w:ilvl w:val="0"/>
          <w:numId w:val="555"/>
        </w:numPr>
        <w:rPr>
          <w:rFonts w:hint="eastAsia"/>
        </w:rPr>
      </w:pPr>
      <w:r>
        <w:rPr>
          <w:rFonts w:hint="eastAsia"/>
        </w:rPr>
        <w:t>个别奖金和支付的三个月奖金，财政奖励基金支付的奖金和付款除外；</w:t>
      </w:r>
    </w:p>
    <w:p w:rsidR="00000000" w:rsidRDefault="00000000">
      <w:pPr>
        <w:numPr>
          <w:ilvl w:val="0"/>
          <w:numId w:val="555"/>
        </w:numPr>
        <w:rPr>
          <w:rFonts w:hint="eastAsia"/>
        </w:rPr>
      </w:pPr>
      <w:r>
        <w:rPr>
          <w:rFonts w:hint="eastAsia"/>
        </w:rPr>
        <w:t>不在现行薪酬制度规定范围内的个别付款</w:t>
      </w:r>
      <w:r>
        <w:rPr>
          <w:rFonts w:hint="eastAsia"/>
        </w:rPr>
        <w:t>(</w:t>
      </w:r>
      <w:r>
        <w:rPr>
          <w:rFonts w:hint="eastAsia"/>
        </w:rPr>
        <w:t>个别奖金、未休假期补偿金、假期补偿金，等等</w:t>
      </w:r>
      <w:r>
        <w:rPr>
          <w:rFonts w:hint="eastAsia"/>
        </w:rPr>
        <w:t>)</w:t>
      </w:r>
      <w:r>
        <w:rPr>
          <w:rFonts w:hint="eastAsia"/>
        </w:rPr>
        <w:t>。</w:t>
      </w:r>
    </w:p>
    <w:p w:rsidR="00000000" w:rsidRDefault="00000000">
      <w:pPr>
        <w:pStyle w:val="cdL1"/>
        <w:widowControl/>
        <w:tabs>
          <w:tab w:val="clear" w:pos="510"/>
        </w:tabs>
        <w:rPr>
          <w:rFonts w:hint="eastAsia"/>
          <w:spacing w:val="10"/>
        </w:rPr>
      </w:pPr>
      <w:r>
        <w:rPr>
          <w:rFonts w:hint="eastAsia"/>
          <w:spacing w:val="10"/>
        </w:rPr>
        <w:tab/>
        <w:t xml:space="preserve">453.  </w:t>
      </w:r>
      <w:r>
        <w:rPr>
          <w:rFonts w:hint="eastAsia"/>
          <w:spacing w:val="10"/>
        </w:rPr>
        <w:t>工薪人员，如果是按月、天和小时计酬，其补偿金的计算依据为月薪或小时工资，包括奖金等额外付款。如果薪金加上各种额外付款，数额等于该职位薪金的两倍，则各种情况的补偿金，除因工作而带来的疾病、职业病、妊娠或分娩以外，均应以该职位两份薪金为基础来计算。涉及因工作而带来的疾病、职业病、妊娠或分娩情况时，病假补偿金以实际收入为基础进行计算，即使其数额高于该职位薪金的两倍以上。如果职工收入低于全额薪金，则以该薪金为基础来计算补偿金。</w:t>
      </w:r>
    </w:p>
    <w:p w:rsidR="00000000" w:rsidRDefault="00000000">
      <w:pPr>
        <w:pStyle w:val="cdL1"/>
        <w:widowControl/>
        <w:tabs>
          <w:tab w:val="clear" w:pos="510"/>
        </w:tabs>
        <w:rPr>
          <w:rFonts w:hint="eastAsia"/>
          <w:spacing w:val="10"/>
        </w:rPr>
      </w:pPr>
      <w:r>
        <w:rPr>
          <w:rFonts w:hint="eastAsia"/>
          <w:spacing w:val="10"/>
        </w:rPr>
        <w:tab/>
        <w:t xml:space="preserve">454.  </w:t>
      </w:r>
      <w:r>
        <w:rPr>
          <w:rFonts w:hint="eastAsia"/>
          <w:spacing w:val="10"/>
        </w:rPr>
        <w:t>抚养</w:t>
      </w:r>
      <w:r>
        <w:rPr>
          <w:rFonts w:hint="eastAsia"/>
          <w:spacing w:val="10"/>
        </w:rPr>
        <w:t>3</w:t>
      </w:r>
      <w:r>
        <w:rPr>
          <w:rFonts w:hint="eastAsia"/>
          <w:spacing w:val="10"/>
        </w:rPr>
        <w:t>岁以下子女的妇女，有权享有附加哺乳休息时间。每三个小时一次，每次</w:t>
      </w:r>
      <w:r>
        <w:rPr>
          <w:rFonts w:hint="eastAsia"/>
          <w:spacing w:val="10"/>
        </w:rPr>
        <w:t>30</w:t>
      </w:r>
      <w:r>
        <w:rPr>
          <w:rFonts w:hint="eastAsia"/>
          <w:spacing w:val="10"/>
        </w:rPr>
        <w:t>分钟。哺乳时间计入工作时间，按平均工资付酬。如果该名妇女有两或三名</w:t>
      </w:r>
      <w:r>
        <w:rPr>
          <w:rFonts w:hint="eastAsia"/>
          <w:spacing w:val="10"/>
        </w:rPr>
        <w:t>3</w:t>
      </w:r>
      <w:r>
        <w:rPr>
          <w:rFonts w:hint="eastAsia"/>
          <w:spacing w:val="10"/>
        </w:rPr>
        <w:t>岁以下子女，哺乳时间不得少于一小时。如果母亲要求享有这项权利，具体休息时间长短和方式由其所在企业和机构的行政部门和工会来决定</w:t>
      </w:r>
      <w:r>
        <w:rPr>
          <w:rFonts w:hint="eastAsia"/>
          <w:spacing w:val="10"/>
        </w:rPr>
        <w:t>(</w:t>
      </w:r>
      <w:r>
        <w:rPr>
          <w:rFonts w:hint="eastAsia"/>
          <w:spacing w:val="10"/>
        </w:rPr>
        <w:t>第</w:t>
      </w:r>
      <w:r>
        <w:rPr>
          <w:rFonts w:hint="eastAsia"/>
          <w:spacing w:val="10"/>
        </w:rPr>
        <w:t>177</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455.  </w:t>
      </w:r>
      <w:r>
        <w:rPr>
          <w:rFonts w:hint="eastAsia"/>
          <w:spacing w:val="10"/>
        </w:rPr>
        <w:t>严禁拒绝雇用孕妇或因其怀孕或需要照顾</w:t>
      </w:r>
      <w:r>
        <w:rPr>
          <w:rFonts w:hint="eastAsia"/>
          <w:spacing w:val="10"/>
        </w:rPr>
        <w:t>3</w:t>
      </w:r>
      <w:r>
        <w:rPr>
          <w:rFonts w:hint="eastAsia"/>
          <w:spacing w:val="10"/>
        </w:rPr>
        <w:t>岁以下子女而降低其薪金</w:t>
      </w:r>
      <w:r>
        <w:rPr>
          <w:rFonts w:hint="eastAsia"/>
          <w:spacing w:val="10"/>
        </w:rPr>
        <w:t>(</w:t>
      </w:r>
      <w:r>
        <w:rPr>
          <w:rFonts w:hint="eastAsia"/>
          <w:spacing w:val="10"/>
        </w:rPr>
        <w:t>涉及单身母亲或</w:t>
      </w:r>
      <w:r>
        <w:rPr>
          <w:rFonts w:hint="eastAsia"/>
          <w:spacing w:val="10"/>
        </w:rPr>
        <w:t>14</w:t>
      </w:r>
      <w:r>
        <w:rPr>
          <w:rFonts w:hint="eastAsia"/>
          <w:spacing w:val="10"/>
        </w:rPr>
        <w:t>岁以下残疾儿童的母亲时</w:t>
      </w:r>
      <w:r>
        <w:rPr>
          <w:rFonts w:hint="eastAsia"/>
          <w:spacing w:val="10"/>
        </w:rPr>
        <w:t>)</w:t>
      </w:r>
      <w:r>
        <w:rPr>
          <w:rFonts w:hint="eastAsia"/>
          <w:spacing w:val="10"/>
        </w:rPr>
        <w:t>。如果此类妇女未被雇用，行政部门有义务向其书面说明理由。如果违反有关规定，该妇女可以对该机构提起诉讼。禁止解雇这一类妇女，除非工厂、机构或企业倒闭，全体雇员均下岗。</w:t>
      </w:r>
    </w:p>
    <w:p w:rsidR="00000000" w:rsidRDefault="00000000">
      <w:pPr>
        <w:pStyle w:val="cdL1"/>
        <w:widowControl/>
        <w:tabs>
          <w:tab w:val="clear" w:pos="510"/>
        </w:tabs>
        <w:rPr>
          <w:rFonts w:hint="eastAsia"/>
          <w:spacing w:val="10"/>
        </w:rPr>
      </w:pPr>
      <w:r>
        <w:rPr>
          <w:rFonts w:hint="eastAsia"/>
          <w:spacing w:val="10"/>
        </w:rPr>
        <w:tab/>
        <w:t xml:space="preserve">456.  </w:t>
      </w:r>
      <w:r>
        <w:rPr>
          <w:rFonts w:hint="eastAsia"/>
          <w:spacing w:val="10"/>
        </w:rPr>
        <w:t>《儿童权利法》规定，儿童有权根据其年龄、可能性、健康状况和职业技能独立工作</w:t>
      </w:r>
      <w:r>
        <w:rPr>
          <w:rFonts w:hint="eastAsia"/>
          <w:spacing w:val="10"/>
        </w:rPr>
        <w:t>(</w:t>
      </w:r>
      <w:r>
        <w:rPr>
          <w:rFonts w:hint="eastAsia"/>
          <w:spacing w:val="10"/>
        </w:rPr>
        <w:t>第</w:t>
      </w:r>
      <w:r>
        <w:rPr>
          <w:rFonts w:hint="eastAsia"/>
          <w:spacing w:val="10"/>
        </w:rPr>
        <w:t>11</w:t>
      </w:r>
      <w:r>
        <w:rPr>
          <w:rFonts w:hint="eastAsia"/>
          <w:spacing w:val="10"/>
        </w:rPr>
        <w:t>条第</w:t>
      </w:r>
      <w:r>
        <w:rPr>
          <w:rFonts w:hint="eastAsia"/>
          <w:spacing w:val="10"/>
        </w:rPr>
        <w:t>1</w:t>
      </w:r>
      <w:r>
        <w:rPr>
          <w:rFonts w:hint="eastAsia"/>
          <w:spacing w:val="10"/>
        </w:rPr>
        <w:t>款</w:t>
      </w:r>
      <w:r>
        <w:rPr>
          <w:rFonts w:hint="eastAsia"/>
          <w:spacing w:val="10"/>
        </w:rPr>
        <w:t>)</w:t>
      </w:r>
      <w:r>
        <w:rPr>
          <w:rFonts w:hint="eastAsia"/>
          <w:spacing w:val="10"/>
        </w:rPr>
        <w:t>。该条第</w:t>
      </w:r>
      <w:r>
        <w:rPr>
          <w:rFonts w:hint="eastAsia"/>
          <w:spacing w:val="10"/>
        </w:rPr>
        <w:t>3</w:t>
      </w:r>
      <w:r>
        <w:rPr>
          <w:rFonts w:hint="eastAsia"/>
          <w:spacing w:val="10"/>
        </w:rPr>
        <w:t>款规定：“国家保护儿童不受经济剥削，避免其所从事的任何工作有害于身体健康或不利于身体、智力、精神或社会发展或有碍其训练过程。”第</w:t>
      </w:r>
      <w:r>
        <w:rPr>
          <w:rFonts w:hint="eastAsia"/>
          <w:spacing w:val="10"/>
        </w:rPr>
        <w:t>5</w:t>
      </w:r>
      <w:r>
        <w:rPr>
          <w:rFonts w:hint="eastAsia"/>
          <w:spacing w:val="10"/>
        </w:rPr>
        <w:t>款规定：“任何强迫儿童进入劳动力市场的行为，均应承担法律责任。”</w:t>
      </w:r>
    </w:p>
    <w:p w:rsidR="00000000" w:rsidRDefault="00000000">
      <w:pPr>
        <w:pStyle w:val="cdL1"/>
        <w:widowControl/>
        <w:tabs>
          <w:tab w:val="clear" w:pos="510"/>
        </w:tabs>
        <w:rPr>
          <w:rFonts w:hint="eastAsia"/>
          <w:spacing w:val="10"/>
        </w:rPr>
      </w:pPr>
      <w:r>
        <w:rPr>
          <w:rFonts w:hint="eastAsia"/>
          <w:spacing w:val="10"/>
        </w:rPr>
        <w:tab/>
        <w:t xml:space="preserve">457.  </w:t>
      </w:r>
      <w:r>
        <w:rPr>
          <w:rFonts w:hint="eastAsia"/>
          <w:spacing w:val="10"/>
        </w:rPr>
        <w:t>国家批准劳工组织第</w:t>
      </w:r>
      <w:r>
        <w:rPr>
          <w:rFonts w:hint="eastAsia"/>
          <w:spacing w:val="10"/>
        </w:rPr>
        <w:t>138</w:t>
      </w:r>
      <w:r>
        <w:rPr>
          <w:rFonts w:hint="eastAsia"/>
          <w:spacing w:val="10"/>
        </w:rPr>
        <w:t>号公约之后，立即开始实施一项国家政策，废止童工并制定青少年就业最低年龄和适当的工作条件，以使青少年身心得以发展。就青年人合法劳资关系作出规定的国家法律，符合这一国际文书的规定。</w:t>
      </w:r>
    </w:p>
    <w:p w:rsidR="00000000" w:rsidRDefault="00000000">
      <w:pPr>
        <w:pStyle w:val="cdL1"/>
        <w:widowControl/>
        <w:tabs>
          <w:tab w:val="clear" w:pos="510"/>
        </w:tabs>
        <w:rPr>
          <w:rFonts w:hint="eastAsia"/>
          <w:spacing w:val="10"/>
        </w:rPr>
      </w:pPr>
      <w:r>
        <w:rPr>
          <w:rFonts w:hint="eastAsia"/>
          <w:spacing w:val="10"/>
        </w:rPr>
        <w:tab/>
        <w:t xml:space="preserve">458.  </w:t>
      </w:r>
      <w:r>
        <w:rPr>
          <w:rFonts w:hint="eastAsia"/>
          <w:spacing w:val="10"/>
        </w:rPr>
        <w:t>摩尔多瓦共和国《劳工法典》禁止</w:t>
      </w:r>
      <w:r>
        <w:rPr>
          <w:rFonts w:hint="eastAsia"/>
          <w:spacing w:val="10"/>
        </w:rPr>
        <w:t>16</w:t>
      </w:r>
      <w:r>
        <w:rPr>
          <w:rFonts w:hint="eastAsia"/>
          <w:spacing w:val="10"/>
        </w:rPr>
        <w:t>岁以下青年人就业。在征得企业、机构或工厂工会委员会同意的情况下，可以雇用年满</w:t>
      </w:r>
      <w:r>
        <w:rPr>
          <w:rFonts w:hint="eastAsia"/>
          <w:spacing w:val="10"/>
        </w:rPr>
        <w:t>15</w:t>
      </w:r>
      <w:r>
        <w:rPr>
          <w:rFonts w:hint="eastAsia"/>
          <w:spacing w:val="10"/>
        </w:rPr>
        <w:t>岁的人。为了使青年人为今后就业作好准备，目前的法律允许与普通学校、中学和技校的学生签定个人劳动协议。这样，青年人就可以利用其业余时间从事一些在接受职业培训期间不会对其健康造成任何损害的简单工作。《劳动法》禁止使用未满</w:t>
      </w:r>
      <w:r>
        <w:rPr>
          <w:rFonts w:hint="eastAsia"/>
          <w:spacing w:val="10"/>
        </w:rPr>
        <w:t>14</w:t>
      </w:r>
      <w:r>
        <w:rPr>
          <w:rFonts w:hint="eastAsia"/>
          <w:spacing w:val="10"/>
        </w:rPr>
        <w:t>岁的学生做工，但若有其父母或监护人的同意也可雇用</w:t>
      </w:r>
      <w:r>
        <w:rPr>
          <w:rFonts w:hint="eastAsia"/>
          <w:spacing w:val="10"/>
        </w:rPr>
        <w:t>(</w:t>
      </w:r>
      <w:r>
        <w:rPr>
          <w:rFonts w:hint="eastAsia"/>
          <w:spacing w:val="10"/>
        </w:rPr>
        <w:t>第</w:t>
      </w:r>
      <w:r>
        <w:rPr>
          <w:rFonts w:hint="eastAsia"/>
          <w:spacing w:val="10"/>
        </w:rPr>
        <w:t>181</w:t>
      </w:r>
      <w:r>
        <w:rPr>
          <w:rFonts w:hint="eastAsia"/>
          <w:spacing w:val="10"/>
        </w:rPr>
        <w:t>条</w:t>
      </w:r>
      <w:r>
        <w:rPr>
          <w:rFonts w:hint="eastAsia"/>
          <w:spacing w:val="10"/>
        </w:rPr>
        <w:t>)</w:t>
      </w:r>
      <w:r>
        <w:rPr>
          <w:rFonts w:hint="eastAsia"/>
          <w:spacing w:val="10"/>
        </w:rPr>
        <w:t>。未成年人享有与成年人一样的权利，但在劳动保护、工作时间和休假领域，他们享有优惠政策</w:t>
      </w:r>
      <w:r>
        <w:rPr>
          <w:rFonts w:hint="eastAsia"/>
          <w:spacing w:val="10"/>
        </w:rPr>
        <w:t>(</w:t>
      </w:r>
      <w:r>
        <w:rPr>
          <w:rFonts w:hint="eastAsia"/>
          <w:spacing w:val="10"/>
        </w:rPr>
        <w:t>第</w:t>
      </w:r>
      <w:r>
        <w:rPr>
          <w:rFonts w:hint="eastAsia"/>
          <w:spacing w:val="10"/>
        </w:rPr>
        <w:t>182</w:t>
      </w:r>
      <w:r>
        <w:rPr>
          <w:rFonts w:hint="eastAsia"/>
          <w:spacing w:val="10"/>
        </w:rPr>
        <w:t>条</w:t>
      </w:r>
      <w:r>
        <w:rPr>
          <w:rFonts w:hint="eastAsia"/>
          <w:spacing w:val="10"/>
        </w:rPr>
        <w:t>)</w:t>
      </w:r>
      <w:r>
        <w:rPr>
          <w:rFonts w:hint="eastAsia"/>
          <w:spacing w:val="10"/>
        </w:rPr>
        <w:t>。该法律还禁止未满</w:t>
      </w:r>
      <w:r>
        <w:rPr>
          <w:rFonts w:hint="eastAsia"/>
          <w:spacing w:val="10"/>
        </w:rPr>
        <w:t>18</w:t>
      </w:r>
      <w:r>
        <w:rPr>
          <w:rFonts w:hint="eastAsia"/>
          <w:spacing w:val="10"/>
        </w:rPr>
        <w:t>岁的人在工作条件不利和危害健康的环境中工作，譬如，在地下和烟草业及酿酒业工作。法律也禁止青年人从事超过有关规定的最高标准的搬运工作</w:t>
      </w:r>
      <w:r>
        <w:rPr>
          <w:rFonts w:hint="eastAsia"/>
          <w:spacing w:val="10"/>
        </w:rPr>
        <w:t>(</w:t>
      </w:r>
      <w:r>
        <w:rPr>
          <w:rFonts w:hint="eastAsia"/>
          <w:spacing w:val="10"/>
        </w:rPr>
        <w:t>第</w:t>
      </w:r>
      <w:r>
        <w:rPr>
          <w:rFonts w:hint="eastAsia"/>
          <w:spacing w:val="10"/>
        </w:rPr>
        <w:t>183</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459.  </w:t>
      </w:r>
      <w:r>
        <w:rPr>
          <w:rFonts w:hint="eastAsia"/>
          <w:spacing w:val="10"/>
        </w:rPr>
        <w:t>任何人，如果让未成年人从事某些可能损害其健康或妨碍其职业训练或不利于其身体、智力、精神或社会发展的工作，最高可被处以最低工资</w:t>
      </w:r>
      <w:r>
        <w:rPr>
          <w:rFonts w:hint="eastAsia"/>
          <w:spacing w:val="10"/>
        </w:rPr>
        <w:t>20</w:t>
      </w:r>
      <w:r>
        <w:rPr>
          <w:rFonts w:hint="eastAsia"/>
          <w:spacing w:val="10"/>
        </w:rPr>
        <w:t>倍的罚金</w:t>
      </w:r>
      <w:r>
        <w:rPr>
          <w:rFonts w:hint="eastAsia"/>
          <w:spacing w:val="10"/>
        </w:rPr>
        <w:t>(</w:t>
      </w:r>
      <w:r>
        <w:rPr>
          <w:rFonts w:hint="eastAsia"/>
          <w:spacing w:val="10"/>
        </w:rPr>
        <w:t>《未成年人违反行政法规罪法》，第</w:t>
      </w:r>
      <w:r>
        <w:rPr>
          <w:rFonts w:hint="eastAsia"/>
          <w:spacing w:val="10"/>
        </w:rPr>
        <w:t>41/1</w:t>
      </w:r>
      <w:r>
        <w:rPr>
          <w:rFonts w:hint="eastAsia"/>
          <w:spacing w:val="10"/>
        </w:rPr>
        <w:t>条</w:t>
      </w:r>
      <w:r>
        <w:rPr>
          <w:rFonts w:hint="eastAsia"/>
          <w:spacing w:val="10"/>
        </w:rPr>
        <w:t>)</w:t>
      </w:r>
      <w:r>
        <w:rPr>
          <w:rFonts w:hint="eastAsia"/>
          <w:spacing w:val="10"/>
        </w:rPr>
        <w:t>。根据《劳工法典》，所有不满</w:t>
      </w:r>
      <w:r>
        <w:rPr>
          <w:rFonts w:hint="eastAsia"/>
          <w:spacing w:val="10"/>
        </w:rPr>
        <w:t>18</w:t>
      </w:r>
      <w:r>
        <w:rPr>
          <w:rFonts w:hint="eastAsia"/>
          <w:spacing w:val="10"/>
        </w:rPr>
        <w:t>岁的人，在受雇之前必须进行身体检查</w:t>
      </w:r>
      <w:r>
        <w:rPr>
          <w:rFonts w:hint="eastAsia"/>
          <w:spacing w:val="10"/>
        </w:rPr>
        <w:t>(</w:t>
      </w:r>
      <w:r>
        <w:rPr>
          <w:rFonts w:hint="eastAsia"/>
          <w:spacing w:val="10"/>
        </w:rPr>
        <w:t>第</w:t>
      </w:r>
      <w:r>
        <w:rPr>
          <w:rFonts w:hint="eastAsia"/>
          <w:spacing w:val="10"/>
        </w:rPr>
        <w:t>184</w:t>
      </w:r>
      <w:r>
        <w:rPr>
          <w:rFonts w:hint="eastAsia"/>
          <w:spacing w:val="10"/>
        </w:rPr>
        <w:t>条</w:t>
      </w:r>
      <w:r>
        <w:rPr>
          <w:rFonts w:hint="eastAsia"/>
          <w:spacing w:val="10"/>
        </w:rPr>
        <w:t>)</w:t>
      </w:r>
      <w:r>
        <w:rPr>
          <w:rFonts w:hint="eastAsia"/>
          <w:spacing w:val="10"/>
        </w:rPr>
        <w:t>，并且不得被试用</w:t>
      </w:r>
      <w:r>
        <w:rPr>
          <w:rFonts w:hint="eastAsia"/>
          <w:spacing w:val="10"/>
        </w:rPr>
        <w:t>(</w:t>
      </w:r>
      <w:r>
        <w:rPr>
          <w:rFonts w:hint="eastAsia"/>
          <w:spacing w:val="10"/>
        </w:rPr>
        <w:t>第</w:t>
      </w:r>
      <w:r>
        <w:rPr>
          <w:rFonts w:hint="eastAsia"/>
          <w:spacing w:val="10"/>
        </w:rPr>
        <w:t>23</w:t>
      </w:r>
      <w:r>
        <w:rPr>
          <w:rFonts w:hint="eastAsia"/>
          <w:spacing w:val="10"/>
        </w:rPr>
        <w:t>条第</w:t>
      </w:r>
      <w:r>
        <w:rPr>
          <w:rFonts w:hint="eastAsia"/>
          <w:spacing w:val="10"/>
        </w:rPr>
        <w:t>3</w:t>
      </w:r>
      <w:r>
        <w:rPr>
          <w:rFonts w:hint="eastAsia"/>
          <w:spacing w:val="10"/>
        </w:rPr>
        <w:t>款</w:t>
      </w:r>
      <w:r>
        <w:rPr>
          <w:rFonts w:hint="eastAsia"/>
          <w:spacing w:val="10"/>
        </w:rPr>
        <w:t>)</w:t>
      </w:r>
      <w:r>
        <w:rPr>
          <w:rFonts w:hint="eastAsia"/>
          <w:spacing w:val="10"/>
        </w:rPr>
        <w:t>。工作周时间长短因人而异，</w:t>
      </w:r>
      <w:r>
        <w:rPr>
          <w:rFonts w:hint="eastAsia"/>
          <w:spacing w:val="10"/>
        </w:rPr>
        <w:t>16</w:t>
      </w:r>
      <w:r>
        <w:rPr>
          <w:rFonts w:hint="eastAsia"/>
          <w:spacing w:val="10"/>
        </w:rPr>
        <w:t>至</w:t>
      </w:r>
      <w:r>
        <w:rPr>
          <w:rFonts w:hint="eastAsia"/>
          <w:spacing w:val="10"/>
        </w:rPr>
        <w:t>18</w:t>
      </w:r>
      <w:r>
        <w:rPr>
          <w:rFonts w:hint="eastAsia"/>
          <w:spacing w:val="10"/>
        </w:rPr>
        <w:t>岁工薪人员为</w:t>
      </w:r>
      <w:r>
        <w:rPr>
          <w:rFonts w:hint="eastAsia"/>
          <w:spacing w:val="10"/>
        </w:rPr>
        <w:t>36</w:t>
      </w:r>
      <w:r>
        <w:rPr>
          <w:rFonts w:hint="eastAsia"/>
          <w:spacing w:val="10"/>
        </w:rPr>
        <w:t>小时，</w:t>
      </w:r>
      <w:r>
        <w:rPr>
          <w:rFonts w:hint="eastAsia"/>
          <w:spacing w:val="10"/>
        </w:rPr>
        <w:t>15</w:t>
      </w:r>
      <w:r>
        <w:rPr>
          <w:rFonts w:hint="eastAsia"/>
          <w:spacing w:val="10"/>
        </w:rPr>
        <w:t>至</w:t>
      </w:r>
      <w:r>
        <w:rPr>
          <w:rFonts w:hint="eastAsia"/>
          <w:spacing w:val="10"/>
        </w:rPr>
        <w:t>16</w:t>
      </w:r>
      <w:r>
        <w:rPr>
          <w:rFonts w:hint="eastAsia"/>
          <w:spacing w:val="10"/>
        </w:rPr>
        <w:t>岁者或假期打工的</w:t>
      </w:r>
      <w:r>
        <w:rPr>
          <w:rFonts w:hint="eastAsia"/>
          <w:spacing w:val="10"/>
        </w:rPr>
        <w:t>14</w:t>
      </w:r>
      <w:r>
        <w:rPr>
          <w:rFonts w:hint="eastAsia"/>
          <w:spacing w:val="10"/>
        </w:rPr>
        <w:t>至</w:t>
      </w:r>
      <w:r>
        <w:rPr>
          <w:rFonts w:hint="eastAsia"/>
          <w:spacing w:val="10"/>
        </w:rPr>
        <w:t>15</w:t>
      </w:r>
      <w:r>
        <w:rPr>
          <w:rFonts w:hint="eastAsia"/>
          <w:spacing w:val="10"/>
        </w:rPr>
        <w:t>岁的学生为</w:t>
      </w:r>
      <w:r>
        <w:rPr>
          <w:rFonts w:hint="eastAsia"/>
          <w:spacing w:val="10"/>
        </w:rPr>
        <w:t>24</w:t>
      </w:r>
      <w:r>
        <w:rPr>
          <w:rFonts w:hint="eastAsia"/>
          <w:spacing w:val="10"/>
        </w:rPr>
        <w:t>小时</w:t>
      </w:r>
      <w:r>
        <w:rPr>
          <w:rFonts w:hint="eastAsia"/>
          <w:spacing w:val="10"/>
        </w:rPr>
        <w:t>(</w:t>
      </w:r>
      <w:r>
        <w:rPr>
          <w:rFonts w:hint="eastAsia"/>
          <w:spacing w:val="10"/>
        </w:rPr>
        <w:t>第</w:t>
      </w:r>
      <w:r>
        <w:rPr>
          <w:rFonts w:hint="eastAsia"/>
          <w:spacing w:val="10"/>
        </w:rPr>
        <w:t>48</w:t>
      </w:r>
      <w:r>
        <w:rPr>
          <w:rFonts w:hint="eastAsia"/>
          <w:spacing w:val="10"/>
        </w:rPr>
        <w:t>和</w:t>
      </w:r>
      <w:r>
        <w:rPr>
          <w:rFonts w:hint="eastAsia"/>
          <w:spacing w:val="10"/>
        </w:rPr>
        <w:t>187</w:t>
      </w:r>
      <w:r>
        <w:rPr>
          <w:rFonts w:hint="eastAsia"/>
          <w:spacing w:val="10"/>
        </w:rPr>
        <w:t>条</w:t>
      </w:r>
      <w:r>
        <w:rPr>
          <w:rFonts w:hint="eastAsia"/>
          <w:spacing w:val="10"/>
        </w:rPr>
        <w:t>)</w:t>
      </w:r>
      <w:r>
        <w:rPr>
          <w:rFonts w:hint="eastAsia"/>
          <w:spacing w:val="10"/>
        </w:rPr>
        <w:t>。法律禁止青年人加班或周末工作</w:t>
      </w:r>
      <w:r>
        <w:rPr>
          <w:rFonts w:hint="eastAsia"/>
          <w:spacing w:val="10"/>
        </w:rPr>
        <w:t>(</w:t>
      </w:r>
      <w:r>
        <w:rPr>
          <w:rFonts w:hint="eastAsia"/>
          <w:spacing w:val="10"/>
        </w:rPr>
        <w:t>第</w:t>
      </w:r>
      <w:r>
        <w:rPr>
          <w:rFonts w:hint="eastAsia"/>
          <w:spacing w:val="10"/>
        </w:rPr>
        <w:t>185</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4</w:t>
      </w:r>
      <w:r>
        <w:rPr>
          <w:spacing w:val="10"/>
        </w:rPr>
        <w:t>60.</w:t>
      </w:r>
      <w:r>
        <w:rPr>
          <w:rFonts w:hint="eastAsia"/>
          <w:spacing w:val="10"/>
        </w:rPr>
        <w:t xml:space="preserve">  </w:t>
      </w:r>
      <w:r>
        <w:rPr>
          <w:rFonts w:hint="eastAsia"/>
          <w:spacing w:val="10"/>
        </w:rPr>
        <w:t>未满</w:t>
      </w:r>
      <w:r>
        <w:rPr>
          <w:rFonts w:hint="eastAsia"/>
          <w:spacing w:val="10"/>
        </w:rPr>
        <w:t>18</w:t>
      </w:r>
      <w:r>
        <w:rPr>
          <w:rFonts w:hint="eastAsia"/>
          <w:spacing w:val="10"/>
        </w:rPr>
        <w:t>岁的工人，其生产定额已经下调。他们有权在暑期或所商定的其他时间休年休假一个月。做非全时工的青年人，可领取与全时工一样的小时工资。勤工俭学的学生，其报酬按实际工作时间计算</w:t>
      </w:r>
      <w:r>
        <w:rPr>
          <w:rFonts w:hint="eastAsia"/>
          <w:spacing w:val="10"/>
        </w:rPr>
        <w:t>(</w:t>
      </w:r>
      <w:r>
        <w:rPr>
          <w:rFonts w:hint="eastAsia"/>
          <w:spacing w:val="10"/>
        </w:rPr>
        <w:t>第</w:t>
      </w:r>
      <w:r>
        <w:rPr>
          <w:rFonts w:hint="eastAsia"/>
          <w:spacing w:val="10"/>
        </w:rPr>
        <w:t>188</w:t>
      </w:r>
      <w:r>
        <w:rPr>
          <w:rFonts w:hint="eastAsia"/>
          <w:spacing w:val="10"/>
        </w:rPr>
        <w:t>和</w:t>
      </w:r>
      <w:r>
        <w:rPr>
          <w:rFonts w:hint="eastAsia"/>
          <w:spacing w:val="10"/>
        </w:rPr>
        <w:t>195</w:t>
      </w:r>
      <w:r>
        <w:rPr>
          <w:rFonts w:hint="eastAsia"/>
          <w:spacing w:val="10"/>
        </w:rPr>
        <w:t>条</w:t>
      </w:r>
      <w:r>
        <w:rPr>
          <w:rFonts w:hint="eastAsia"/>
          <w:spacing w:val="10"/>
        </w:rPr>
        <w:t>)</w:t>
      </w:r>
      <w:r>
        <w:rPr>
          <w:rFonts w:hint="eastAsia"/>
          <w:spacing w:val="10"/>
        </w:rPr>
        <w:t>。</w:t>
      </w:r>
    </w:p>
    <w:p w:rsidR="00000000" w:rsidRDefault="00000000">
      <w:pPr>
        <w:pStyle w:val="cdL1"/>
        <w:widowControl/>
        <w:tabs>
          <w:tab w:val="clear" w:pos="510"/>
        </w:tabs>
        <w:rPr>
          <w:rFonts w:hint="eastAsia"/>
          <w:spacing w:val="10"/>
        </w:rPr>
      </w:pPr>
      <w:r>
        <w:rPr>
          <w:rFonts w:hint="eastAsia"/>
          <w:spacing w:val="10"/>
        </w:rPr>
        <w:tab/>
        <w:t xml:space="preserve">461.  </w:t>
      </w:r>
      <w:r>
        <w:rPr>
          <w:rFonts w:hint="eastAsia"/>
          <w:spacing w:val="10"/>
        </w:rPr>
        <w:t>《劳工法典》为勤工俭学的工薪人员，包括</w:t>
      </w:r>
      <w:r>
        <w:rPr>
          <w:rFonts w:hint="eastAsia"/>
          <w:spacing w:val="10"/>
        </w:rPr>
        <w:t>18</w:t>
      </w:r>
      <w:r>
        <w:rPr>
          <w:rFonts w:hint="eastAsia"/>
          <w:spacing w:val="10"/>
        </w:rPr>
        <w:t>岁以下的工薪人员规定了一系列优惠政策：</w:t>
      </w:r>
    </w:p>
    <w:p w:rsidR="00000000" w:rsidRDefault="00000000">
      <w:pPr>
        <w:numPr>
          <w:ilvl w:val="0"/>
          <w:numId w:val="559"/>
        </w:numPr>
        <w:rPr>
          <w:rFonts w:hint="eastAsia"/>
        </w:rPr>
      </w:pPr>
      <w:r>
        <w:rPr>
          <w:rFonts w:hint="eastAsia"/>
        </w:rPr>
        <w:t>第</w:t>
      </w:r>
      <w:r>
        <w:rPr>
          <w:rFonts w:hint="eastAsia"/>
        </w:rPr>
        <w:t>195</w:t>
      </w:r>
      <w:r>
        <w:rPr>
          <w:rFonts w:hint="eastAsia"/>
        </w:rPr>
        <w:t>条规定：“行政部门必须为接受职业训练和在教育机构上学的勤工俭学的工薪人员提供适当的条件”；</w:t>
      </w:r>
    </w:p>
    <w:p w:rsidR="00000000" w:rsidRDefault="00000000">
      <w:pPr>
        <w:numPr>
          <w:ilvl w:val="0"/>
          <w:numId w:val="559"/>
        </w:numPr>
        <w:rPr>
          <w:rFonts w:hint="eastAsia"/>
        </w:rPr>
      </w:pPr>
      <w:r>
        <w:rPr>
          <w:rFonts w:hint="eastAsia"/>
        </w:rPr>
        <w:t>第</w:t>
      </w:r>
      <w:r>
        <w:rPr>
          <w:rFonts w:hint="eastAsia"/>
        </w:rPr>
        <w:t>198</w:t>
      </w:r>
      <w:r>
        <w:rPr>
          <w:rFonts w:hint="eastAsia"/>
        </w:rPr>
        <w:t>条规定：“在中学或职业学校上学的工薪人员，可享有非全日制工作和非全时工作周的权利。薪金支付按规定办理。工薪人员也享有其他优惠政策”；</w:t>
      </w:r>
    </w:p>
    <w:p w:rsidR="00000000" w:rsidRDefault="00000000">
      <w:pPr>
        <w:numPr>
          <w:ilvl w:val="0"/>
          <w:numId w:val="559"/>
        </w:numPr>
        <w:rPr>
          <w:rFonts w:hint="eastAsia"/>
        </w:rPr>
      </w:pPr>
      <w:r>
        <w:rPr>
          <w:rFonts w:hint="eastAsia"/>
        </w:rPr>
        <w:t>第</w:t>
      </w:r>
      <w:r>
        <w:rPr>
          <w:rFonts w:hint="eastAsia"/>
        </w:rPr>
        <w:t>199</w:t>
      </w:r>
      <w:r>
        <w:rPr>
          <w:rFonts w:hint="eastAsia"/>
        </w:rPr>
        <w:t>条规定，中学学生的工作日按以下方式递减：</w:t>
      </w:r>
    </w:p>
    <w:p w:rsidR="00000000" w:rsidRDefault="00000000">
      <w:pPr>
        <w:ind w:left="1560" w:firstLine="500"/>
        <w:rPr>
          <w:rFonts w:hint="eastAsia"/>
        </w:rPr>
      </w:pPr>
      <w:r>
        <w:rPr>
          <w:rFonts w:hint="eastAsia"/>
        </w:rPr>
        <w:t>“表格九至表格十一所列工薪人员，凡在夜校或中等综合学校中成绩优良者，均有权将工作周减少一个工作日或相当数量的工作时数。在村庄中生活的工薪人员，有权将工作周减少两个工作日或相当数量的工作时数。每周工作日在逐渐减少。</w:t>
      </w:r>
    </w:p>
    <w:p w:rsidR="00000000" w:rsidRDefault="00000000">
      <w:pPr>
        <w:ind w:left="1560" w:firstLine="500"/>
        <w:rPr>
          <w:rFonts w:hint="eastAsia"/>
        </w:rPr>
      </w:pPr>
      <w:r>
        <w:rPr>
          <w:rFonts w:hint="eastAsia"/>
        </w:rPr>
        <w:t>“表格九至表格十一所列学生，如果工作周有</w:t>
      </w:r>
      <w:r>
        <w:rPr>
          <w:rFonts w:hint="eastAsia"/>
        </w:rPr>
        <w:t>6</w:t>
      </w:r>
      <w:r>
        <w:rPr>
          <w:rFonts w:hint="eastAsia"/>
        </w:rPr>
        <w:t>天或相当数量的工作时数，其无工作日不能多于</w:t>
      </w:r>
      <w:r>
        <w:rPr>
          <w:rFonts w:hint="eastAsia"/>
        </w:rPr>
        <w:t>36</w:t>
      </w:r>
      <w:r>
        <w:rPr>
          <w:rFonts w:hint="eastAsia"/>
        </w:rPr>
        <w:t>天。如果工作周为</w:t>
      </w:r>
      <w:r>
        <w:rPr>
          <w:rFonts w:hint="eastAsia"/>
        </w:rPr>
        <w:t>5</w:t>
      </w:r>
      <w:r>
        <w:rPr>
          <w:rFonts w:hint="eastAsia"/>
        </w:rPr>
        <w:t>天，无工作日的总天数保持不变，无工作日的天数依据每班工作时间长短而变化。如果每班工作时间为</w:t>
      </w:r>
      <w:r>
        <w:rPr>
          <w:rFonts w:hint="eastAsia"/>
        </w:rPr>
        <w:t>8</w:t>
      </w:r>
      <w:r>
        <w:rPr>
          <w:rFonts w:hint="eastAsia"/>
        </w:rPr>
        <w:t>小时，休息日为</w:t>
      </w:r>
      <w:r>
        <w:rPr>
          <w:rFonts w:hint="eastAsia"/>
        </w:rPr>
        <w:t>31.5</w:t>
      </w:r>
      <w:r>
        <w:rPr>
          <w:rFonts w:hint="eastAsia"/>
        </w:rPr>
        <w:t>天，如每班工作时间为</w:t>
      </w:r>
      <w:r>
        <w:rPr>
          <w:rFonts w:hint="eastAsia"/>
        </w:rPr>
        <w:t>8</w:t>
      </w:r>
      <w:r>
        <w:rPr>
          <w:rFonts w:hint="eastAsia"/>
        </w:rPr>
        <w:t>小时</w:t>
      </w:r>
      <w:r>
        <w:rPr>
          <w:rFonts w:hint="eastAsia"/>
        </w:rPr>
        <w:t>12</w:t>
      </w:r>
      <w:r>
        <w:rPr>
          <w:rFonts w:hint="eastAsia"/>
        </w:rPr>
        <w:t>分钟，休息日则为</w:t>
      </w:r>
      <w:r>
        <w:rPr>
          <w:rFonts w:hint="eastAsia"/>
        </w:rPr>
        <w:t>31</w:t>
      </w:r>
      <w:r>
        <w:rPr>
          <w:rFonts w:hint="eastAsia"/>
        </w:rPr>
        <w:t>天。</w:t>
      </w:r>
    </w:p>
    <w:p w:rsidR="00000000" w:rsidRDefault="00000000">
      <w:pPr>
        <w:ind w:left="1560" w:firstLine="500"/>
        <w:rPr>
          <w:rFonts w:hint="eastAsia"/>
        </w:rPr>
      </w:pPr>
      <w:r>
        <w:rPr>
          <w:rFonts w:hint="eastAsia"/>
        </w:rPr>
        <w:t>“在无工作日期间，学生可领取其主要工作平均薪金的</w:t>
      </w:r>
      <w:r>
        <w:rPr>
          <w:rFonts w:hint="eastAsia"/>
        </w:rPr>
        <w:t>50%</w:t>
      </w:r>
      <w:r>
        <w:rPr>
          <w:rFonts w:hint="eastAsia"/>
        </w:rPr>
        <w:t>，但不得低于最低薪金。</w:t>
      </w:r>
    </w:p>
    <w:p w:rsidR="00000000" w:rsidRDefault="00000000">
      <w:pPr>
        <w:ind w:left="1560" w:firstLine="500"/>
        <w:rPr>
          <w:rFonts w:hint="eastAsia"/>
        </w:rPr>
      </w:pPr>
      <w:r>
        <w:rPr>
          <w:rFonts w:hint="eastAsia"/>
        </w:rPr>
        <w:t>“表格五至表格八所列学生，其非全时工作法律上已有规定。</w:t>
      </w:r>
    </w:p>
    <w:p w:rsidR="00000000" w:rsidRDefault="00000000">
      <w:pPr>
        <w:ind w:left="1560" w:firstLine="500"/>
        <w:rPr>
          <w:rFonts w:hint="eastAsia"/>
        </w:rPr>
      </w:pPr>
      <w:r>
        <w:rPr>
          <w:rFonts w:hint="eastAsia"/>
        </w:rPr>
        <w:t>“行政部门有权将表格九至表格十一所列学生的工作周减少一或两天”；</w:t>
      </w:r>
    </w:p>
    <w:p w:rsidR="00000000" w:rsidRDefault="00000000">
      <w:pPr>
        <w:numPr>
          <w:ilvl w:val="0"/>
          <w:numId w:val="559"/>
        </w:numPr>
        <w:rPr>
          <w:rFonts w:hint="eastAsia"/>
        </w:rPr>
      </w:pPr>
      <w:r>
        <w:rPr>
          <w:rFonts w:hint="eastAsia"/>
        </w:rPr>
        <w:t>第</w:t>
      </w:r>
      <w:r>
        <w:rPr>
          <w:rFonts w:hint="eastAsia"/>
        </w:rPr>
        <w:t>200</w:t>
      </w:r>
      <w:r>
        <w:rPr>
          <w:rFonts w:hint="eastAsia"/>
        </w:rPr>
        <w:t>条规定，在中学读书的人有休年假的权利：</w:t>
      </w:r>
    </w:p>
    <w:p w:rsidR="00000000" w:rsidRDefault="00000000">
      <w:pPr>
        <w:ind w:left="1560" w:firstLine="500"/>
      </w:pPr>
      <w:r>
        <w:rPr>
          <w:rFonts w:hint="eastAsia"/>
        </w:rPr>
        <w:t>“在夜校和中等综合学校读书的工薪人员，在表格十一所述毕业考试期间有权休年假</w:t>
      </w:r>
      <w:r>
        <w:rPr>
          <w:rFonts w:hint="eastAsia"/>
        </w:rPr>
        <w:t>20</w:t>
      </w:r>
      <w:r>
        <w:rPr>
          <w:rFonts w:hint="eastAsia"/>
        </w:rPr>
        <w:t>个工作日，表格七所列在校者，可休假</w:t>
      </w:r>
      <w:r>
        <w:rPr>
          <w:rFonts w:hint="eastAsia"/>
        </w:rPr>
        <w:t>18</w:t>
      </w:r>
      <w:r>
        <w:rPr>
          <w:rFonts w:hint="eastAsia"/>
        </w:rPr>
        <w:t>个工作日。薪金按照该职位薪金标准计算和支付。</w:t>
      </w:r>
    </w:p>
    <w:p w:rsidR="00000000" w:rsidRDefault="00000000">
      <w:pPr>
        <w:ind w:left="1560" w:firstLine="500"/>
        <w:rPr>
          <w:rFonts w:hint="eastAsia"/>
        </w:rPr>
      </w:pPr>
      <w:r>
        <w:rPr>
          <w:rFonts w:hint="eastAsia"/>
        </w:rPr>
        <w:t>“上述学校的表格五、六、七、九和十所列在校学生，有权在期终考试期间休假</w:t>
      </w:r>
      <w:r>
        <w:rPr>
          <w:rFonts w:hint="eastAsia"/>
        </w:rPr>
        <w:t>4</w:t>
      </w:r>
      <w:r>
        <w:rPr>
          <w:rFonts w:hint="eastAsia"/>
        </w:rPr>
        <w:t>至</w:t>
      </w:r>
      <w:r>
        <w:rPr>
          <w:rFonts w:hint="eastAsia"/>
        </w:rPr>
        <w:t>6</w:t>
      </w:r>
      <w:r>
        <w:rPr>
          <w:rFonts w:hint="eastAsia"/>
        </w:rPr>
        <w:t>天，薪金不变”；</w:t>
      </w:r>
    </w:p>
    <w:p w:rsidR="00000000" w:rsidRDefault="00000000">
      <w:pPr>
        <w:numPr>
          <w:ilvl w:val="0"/>
          <w:numId w:val="559"/>
        </w:numPr>
        <w:rPr>
          <w:rFonts w:hint="eastAsia"/>
        </w:rPr>
      </w:pPr>
      <w:r>
        <w:rPr>
          <w:rFonts w:hint="eastAsia"/>
        </w:rPr>
        <w:t>第</w:t>
      </w:r>
      <w:r>
        <w:rPr>
          <w:rFonts w:hint="eastAsia"/>
        </w:rPr>
        <w:t>201</w:t>
      </w:r>
      <w:r>
        <w:rPr>
          <w:rFonts w:hint="eastAsia"/>
        </w:rPr>
        <w:t>条就在中学读书的工薪人员的年假期限作出规定：</w:t>
      </w:r>
    </w:p>
    <w:p w:rsidR="00000000" w:rsidRDefault="00000000">
      <w:pPr>
        <w:ind w:left="1560" w:firstLine="500"/>
        <w:rPr>
          <w:rFonts w:hint="eastAsia"/>
        </w:rPr>
      </w:pPr>
      <w:r>
        <w:rPr>
          <w:rFonts w:hint="eastAsia"/>
        </w:rPr>
        <w:t>“行政部门必须规定在中学读书的学生在考试期间享有年假”；</w:t>
      </w:r>
    </w:p>
    <w:p w:rsidR="00000000" w:rsidRDefault="00000000">
      <w:pPr>
        <w:numPr>
          <w:ilvl w:val="0"/>
          <w:numId w:val="559"/>
        </w:numPr>
        <w:rPr>
          <w:rFonts w:hint="eastAsia"/>
        </w:rPr>
      </w:pPr>
      <w:r>
        <w:rPr>
          <w:rFonts w:hint="eastAsia"/>
        </w:rPr>
        <w:t>第</w:t>
      </w:r>
      <w:r>
        <w:rPr>
          <w:rFonts w:hint="eastAsia"/>
        </w:rPr>
        <w:t>202</w:t>
      </w:r>
      <w:r>
        <w:rPr>
          <w:rFonts w:hint="eastAsia"/>
        </w:rPr>
        <w:t>条就职业技校中读书的工薪人员的年假作出规定：</w:t>
      </w:r>
    </w:p>
    <w:p w:rsidR="00000000" w:rsidRDefault="00000000">
      <w:pPr>
        <w:ind w:left="1560" w:firstLine="500"/>
        <w:rPr>
          <w:rFonts w:hint="eastAsia"/>
        </w:rPr>
      </w:pPr>
      <w:r>
        <w:rPr>
          <w:rFonts w:hint="eastAsia"/>
        </w:rPr>
        <w:t>“凡在夜校和职业技校学业优良的工薪人员，均有权休假</w:t>
      </w:r>
      <w:r>
        <w:rPr>
          <w:rFonts w:hint="eastAsia"/>
        </w:rPr>
        <w:t>30</w:t>
      </w:r>
      <w:r>
        <w:rPr>
          <w:rFonts w:hint="eastAsia"/>
        </w:rPr>
        <w:t>个工作日。他们可领取其主要工作平均薪金的</w:t>
      </w:r>
      <w:r>
        <w:rPr>
          <w:rFonts w:hint="eastAsia"/>
        </w:rPr>
        <w:t>30%</w:t>
      </w:r>
      <w:r>
        <w:rPr>
          <w:rFonts w:hint="eastAsia"/>
        </w:rPr>
        <w:t>”；</w:t>
      </w:r>
    </w:p>
    <w:p w:rsidR="00000000" w:rsidRDefault="00000000">
      <w:pPr>
        <w:numPr>
          <w:ilvl w:val="0"/>
          <w:numId w:val="559"/>
        </w:numPr>
        <w:rPr>
          <w:rFonts w:hint="eastAsia"/>
        </w:rPr>
      </w:pPr>
      <w:r>
        <w:rPr>
          <w:rFonts w:hint="eastAsia"/>
        </w:rPr>
        <w:t>第</w:t>
      </w:r>
      <w:r>
        <w:rPr>
          <w:rFonts w:hint="eastAsia"/>
        </w:rPr>
        <w:t>203</w:t>
      </w:r>
      <w:r>
        <w:rPr>
          <w:rFonts w:hint="eastAsia"/>
        </w:rPr>
        <w:t>条就在高等教育机构和职业学校入学考试期间的年假作出规定：</w:t>
      </w:r>
    </w:p>
    <w:p w:rsidR="00000000" w:rsidRDefault="00000000">
      <w:pPr>
        <w:ind w:left="1560" w:firstLine="500"/>
        <w:rPr>
          <w:rFonts w:hint="eastAsia"/>
        </w:rPr>
      </w:pPr>
      <w:r>
        <w:rPr>
          <w:rFonts w:hint="eastAsia"/>
        </w:rPr>
        <w:t>“打算进入高等学校或职业学校读书的工薪人员，可享有不带薪假。凡通过高等学校</w:t>
      </w:r>
      <w:r>
        <w:rPr>
          <w:rFonts w:hint="eastAsia"/>
        </w:rPr>
        <w:t>(</w:t>
      </w:r>
      <w:r>
        <w:rPr>
          <w:rFonts w:hint="eastAsia"/>
        </w:rPr>
        <w:t>包括技术高等学校</w:t>
      </w:r>
      <w:r>
        <w:rPr>
          <w:rFonts w:hint="eastAsia"/>
        </w:rPr>
        <w:t>)</w:t>
      </w:r>
      <w:r>
        <w:rPr>
          <w:rFonts w:hint="eastAsia"/>
        </w:rPr>
        <w:t>入学考试的学生，均享有假期</w:t>
      </w:r>
      <w:r>
        <w:rPr>
          <w:rFonts w:hint="eastAsia"/>
        </w:rPr>
        <w:t>15</w:t>
      </w:r>
      <w:r>
        <w:rPr>
          <w:rFonts w:hint="eastAsia"/>
        </w:rPr>
        <w:t>天，通过综合职业学校考试的学生可有</w:t>
      </w:r>
      <w:r>
        <w:rPr>
          <w:rFonts w:hint="eastAsia"/>
        </w:rPr>
        <w:t>10</w:t>
      </w:r>
      <w:r>
        <w:rPr>
          <w:rFonts w:hint="eastAsia"/>
        </w:rPr>
        <w:t>天的假期”；</w:t>
      </w:r>
    </w:p>
    <w:p w:rsidR="00000000" w:rsidRDefault="00000000">
      <w:pPr>
        <w:numPr>
          <w:ilvl w:val="0"/>
          <w:numId w:val="559"/>
        </w:numPr>
        <w:rPr>
          <w:rFonts w:hint="eastAsia"/>
        </w:rPr>
      </w:pPr>
      <w:r>
        <w:rPr>
          <w:rFonts w:hint="eastAsia"/>
        </w:rPr>
        <w:t>第</w:t>
      </w:r>
      <w:r>
        <w:rPr>
          <w:rFonts w:hint="eastAsia"/>
        </w:rPr>
        <w:t>204</w:t>
      </w:r>
      <w:r>
        <w:rPr>
          <w:rFonts w:hint="eastAsia"/>
        </w:rPr>
        <w:t>条就在高等学校或综合职业学校读书的工薪人员享有的优惠政策作出规定：</w:t>
      </w:r>
    </w:p>
    <w:p w:rsidR="00000000" w:rsidRDefault="00000000">
      <w:pPr>
        <w:ind w:left="1560" w:firstLine="500"/>
        <w:rPr>
          <w:rFonts w:hint="eastAsia"/>
        </w:rPr>
      </w:pPr>
      <w:r>
        <w:rPr>
          <w:rFonts w:hint="eastAsia"/>
        </w:rPr>
        <w:t>“凡在高等教育机构或综合职业学校读书的工薪人员，均有权享有与教育有关的带薪假和其他优惠政策”；</w:t>
      </w:r>
    </w:p>
    <w:p w:rsidR="00000000" w:rsidRDefault="00000000">
      <w:pPr>
        <w:numPr>
          <w:ilvl w:val="0"/>
          <w:numId w:val="559"/>
        </w:numPr>
        <w:rPr>
          <w:rFonts w:hint="eastAsia"/>
        </w:rPr>
      </w:pPr>
      <w:r>
        <w:rPr>
          <w:rFonts w:hint="eastAsia"/>
        </w:rPr>
        <w:t>第</w:t>
      </w:r>
      <w:r>
        <w:rPr>
          <w:rFonts w:hint="eastAsia"/>
        </w:rPr>
        <w:t>205</w:t>
      </w:r>
      <w:r>
        <w:rPr>
          <w:rFonts w:hint="eastAsia"/>
        </w:rPr>
        <w:t>条规定，凡在高等学校或综合职业学校读书的学生，如果工作周为</w:t>
      </w:r>
      <w:r>
        <w:rPr>
          <w:rFonts w:hint="eastAsia"/>
        </w:rPr>
        <w:t>6</w:t>
      </w:r>
      <w:r>
        <w:rPr>
          <w:rFonts w:hint="eastAsia"/>
        </w:rPr>
        <w:t>天，则有权每周休息一天准备功课。如果工作周为</w:t>
      </w:r>
      <w:r>
        <w:rPr>
          <w:rFonts w:hint="eastAsia"/>
        </w:rPr>
        <w:t>5</w:t>
      </w:r>
      <w:r>
        <w:rPr>
          <w:rFonts w:hint="eastAsia"/>
        </w:rPr>
        <w:t>天，无工作天数按照每班工作时间长短来定，无工作小时数量不变。学生可在开始准备其毕业论文之前</w:t>
      </w:r>
      <w:r>
        <w:rPr>
          <w:rFonts w:hint="eastAsia"/>
        </w:rPr>
        <w:t>10</w:t>
      </w:r>
      <w:r>
        <w:rPr>
          <w:rFonts w:hint="eastAsia"/>
        </w:rPr>
        <w:t>个月内使用这些假期。假期的薪金按其薪金的</w:t>
      </w:r>
      <w:r>
        <w:rPr>
          <w:rFonts w:hint="eastAsia"/>
        </w:rPr>
        <w:t>50%</w:t>
      </w:r>
      <w:r>
        <w:rPr>
          <w:rFonts w:hint="eastAsia"/>
        </w:rPr>
        <w:t>支付，但不得少于最低薪金。行政部门有权在这</w:t>
      </w:r>
      <w:r>
        <w:rPr>
          <w:rFonts w:hint="eastAsia"/>
        </w:rPr>
        <w:t>10</w:t>
      </w:r>
      <w:r>
        <w:rPr>
          <w:rFonts w:hint="eastAsia"/>
        </w:rPr>
        <w:t>个月期间给予额外假期；</w:t>
      </w:r>
    </w:p>
    <w:p w:rsidR="00000000" w:rsidRDefault="00000000">
      <w:pPr>
        <w:numPr>
          <w:ilvl w:val="0"/>
          <w:numId w:val="559"/>
        </w:numPr>
        <w:rPr>
          <w:rFonts w:hint="eastAsia"/>
        </w:rPr>
      </w:pPr>
      <w:r>
        <w:rPr>
          <w:rFonts w:hint="eastAsia"/>
        </w:rPr>
        <w:t>第</w:t>
      </w:r>
      <w:r>
        <w:rPr>
          <w:rFonts w:hint="eastAsia"/>
        </w:rPr>
        <w:t>206</w:t>
      </w:r>
      <w:r>
        <w:rPr>
          <w:rFonts w:hint="eastAsia"/>
        </w:rPr>
        <w:t>条就在高等学校和职业夜校听课休假问题作出规定：</w:t>
      </w:r>
    </w:p>
    <w:p w:rsidR="00000000" w:rsidRDefault="00000000">
      <w:pPr>
        <w:ind w:left="1560" w:firstLine="500"/>
        <w:rPr>
          <w:rFonts w:hint="eastAsia"/>
        </w:rPr>
      </w:pPr>
      <w:r>
        <w:rPr>
          <w:rFonts w:hint="eastAsia"/>
        </w:rPr>
        <w:t>“凡在高等夜校读书的学生，在第一和第二个学年学期期间，每年可休假</w:t>
      </w:r>
      <w:r>
        <w:rPr>
          <w:rFonts w:hint="eastAsia"/>
        </w:rPr>
        <w:t>20</w:t>
      </w:r>
      <w:r>
        <w:rPr>
          <w:rFonts w:hint="eastAsia"/>
        </w:rPr>
        <w:t>天，第三和第四学年可休假</w:t>
      </w:r>
      <w:r>
        <w:rPr>
          <w:rFonts w:hint="eastAsia"/>
        </w:rPr>
        <w:t>33</w:t>
      </w:r>
      <w:r>
        <w:rPr>
          <w:rFonts w:hint="eastAsia"/>
        </w:rPr>
        <w:t>天。在职业夜校学业优良的学生，在第一和第二个学年考试期间，每年可休假</w:t>
      </w:r>
      <w:r>
        <w:rPr>
          <w:rFonts w:hint="eastAsia"/>
        </w:rPr>
        <w:t>10</w:t>
      </w:r>
      <w:r>
        <w:rPr>
          <w:rFonts w:hint="eastAsia"/>
        </w:rPr>
        <w:t>天，第三和第四学年可休假</w:t>
      </w:r>
      <w:r>
        <w:rPr>
          <w:rFonts w:hint="eastAsia"/>
        </w:rPr>
        <w:t>20</w:t>
      </w:r>
      <w:r>
        <w:rPr>
          <w:rFonts w:hint="eastAsia"/>
        </w:rPr>
        <w:t>天。</w:t>
      </w:r>
    </w:p>
    <w:p w:rsidR="00000000" w:rsidRDefault="00000000">
      <w:pPr>
        <w:ind w:left="1560" w:firstLine="500"/>
        <w:rPr>
          <w:rFonts w:hint="eastAsia"/>
        </w:rPr>
      </w:pPr>
      <w:r>
        <w:rPr>
          <w:rFonts w:hint="eastAsia"/>
        </w:rPr>
        <w:t>“在高等学校和职业学校函授学习的学生，在期终考试期间，可休假</w:t>
      </w:r>
      <w:r>
        <w:rPr>
          <w:rFonts w:hint="eastAsia"/>
        </w:rPr>
        <w:t>30</w:t>
      </w:r>
      <w:r>
        <w:rPr>
          <w:rFonts w:hint="eastAsia"/>
        </w:rPr>
        <w:t>天。</w:t>
      </w:r>
    </w:p>
    <w:p w:rsidR="00000000" w:rsidRDefault="00000000">
      <w:pPr>
        <w:ind w:left="1560" w:firstLine="500"/>
        <w:rPr>
          <w:rFonts w:hint="eastAsia"/>
        </w:rPr>
      </w:pPr>
      <w:r>
        <w:rPr>
          <w:rFonts w:hint="eastAsia"/>
        </w:rPr>
        <w:t>“凡在夜校和函授学校学习的学生，在准备和提交毕业论文期间，可休假</w:t>
      </w:r>
      <w:r>
        <w:rPr>
          <w:rFonts w:hint="eastAsia"/>
        </w:rPr>
        <w:t>4</w:t>
      </w:r>
      <w:r>
        <w:rPr>
          <w:rFonts w:hint="eastAsia"/>
        </w:rPr>
        <w:t>个月，在职业夜校和函授职业学校学习的学生，可休假</w:t>
      </w:r>
      <w:r>
        <w:rPr>
          <w:rFonts w:hint="eastAsia"/>
        </w:rPr>
        <w:t>2</w:t>
      </w:r>
      <w:r>
        <w:rPr>
          <w:rFonts w:hint="eastAsia"/>
        </w:rPr>
        <w:t>个月。</w:t>
      </w:r>
    </w:p>
    <w:p w:rsidR="00000000" w:rsidRDefault="00000000">
      <w:pPr>
        <w:pStyle w:val="ac"/>
        <w:ind w:left="2051"/>
        <w:rPr>
          <w:rFonts w:hint="eastAsia"/>
        </w:rPr>
      </w:pPr>
      <w:r>
        <w:rPr>
          <w:rFonts w:hint="eastAsia"/>
        </w:rPr>
        <w:t>“学生按其假期薪金领取报酬”；</w:t>
      </w:r>
    </w:p>
    <w:p w:rsidR="00000000" w:rsidRDefault="00000000">
      <w:pPr>
        <w:numPr>
          <w:ilvl w:val="0"/>
          <w:numId w:val="559"/>
        </w:numPr>
        <w:rPr>
          <w:rFonts w:hint="eastAsia"/>
        </w:rPr>
      </w:pPr>
      <w:r>
        <w:rPr>
          <w:rFonts w:hint="eastAsia"/>
        </w:rPr>
        <w:t>第</w:t>
      </w:r>
      <w:r>
        <w:rPr>
          <w:rFonts w:hint="eastAsia"/>
        </w:rPr>
        <w:t>207</w:t>
      </w:r>
      <w:r>
        <w:rPr>
          <w:rFonts w:hint="eastAsia"/>
        </w:rPr>
        <w:t>条就准备毕业论文和熟悉选择工作的休假作出规定：</w:t>
      </w:r>
    </w:p>
    <w:p w:rsidR="00000000" w:rsidRDefault="00000000">
      <w:pPr>
        <w:ind w:left="1560" w:firstLine="500"/>
        <w:rPr>
          <w:rFonts w:hint="eastAsia"/>
        </w:rPr>
      </w:pPr>
      <w:r>
        <w:rPr>
          <w:rFonts w:hint="eastAsia"/>
        </w:rPr>
        <w:t>“行政部门有权准许在高等夜校或高等函授职业学校最后一学年学习的学生休附加不带薪假。他们在熟悉选择工作和准备毕业论文时可以使用该假。学生休假期间享有奖学金待遇”；</w:t>
      </w:r>
    </w:p>
    <w:p w:rsidR="00000000" w:rsidRDefault="00000000">
      <w:pPr>
        <w:numPr>
          <w:ilvl w:val="0"/>
          <w:numId w:val="559"/>
        </w:numPr>
        <w:rPr>
          <w:rFonts w:hint="eastAsia"/>
        </w:rPr>
      </w:pPr>
      <w:r>
        <w:rPr>
          <w:rFonts w:hint="eastAsia"/>
        </w:rPr>
        <w:t>第</w:t>
      </w:r>
      <w:r>
        <w:rPr>
          <w:rFonts w:hint="eastAsia"/>
        </w:rPr>
        <w:t>208</w:t>
      </w:r>
      <w:r>
        <w:rPr>
          <w:rFonts w:hint="eastAsia"/>
        </w:rPr>
        <w:t>条就交通费作出规定：</w:t>
      </w:r>
    </w:p>
    <w:p w:rsidR="00000000" w:rsidRDefault="00000000">
      <w:pPr>
        <w:ind w:left="1560" w:firstLine="500"/>
        <w:rPr>
          <w:rFonts w:hint="eastAsia"/>
        </w:rPr>
      </w:pPr>
      <w:r>
        <w:rPr>
          <w:rFonts w:hint="eastAsia"/>
        </w:rPr>
        <w:t>“行政部门可向在高等夜校或高等函授职业学校学习的学生支付一笔交通拨款。拨款额为整个交通费的</w:t>
      </w:r>
      <w:r>
        <w:rPr>
          <w:rFonts w:hint="eastAsia"/>
        </w:rPr>
        <w:t>50%</w:t>
      </w:r>
      <w:r>
        <w:rPr>
          <w:rFonts w:hint="eastAsia"/>
        </w:rPr>
        <w:t>，并且在学期期间支付。此外，行政部门还支付准备和提交毕业论文及考试期间的交通费”；</w:t>
      </w:r>
    </w:p>
    <w:p w:rsidR="00000000" w:rsidRDefault="00000000">
      <w:pPr>
        <w:numPr>
          <w:ilvl w:val="0"/>
          <w:numId w:val="559"/>
        </w:numPr>
        <w:rPr>
          <w:rFonts w:hint="eastAsia"/>
        </w:rPr>
      </w:pPr>
      <w:r>
        <w:rPr>
          <w:rFonts w:hint="eastAsia"/>
        </w:rPr>
        <w:t>第</w:t>
      </w:r>
      <w:r>
        <w:rPr>
          <w:rFonts w:hint="eastAsia"/>
        </w:rPr>
        <w:t>209</w:t>
      </w:r>
      <w:r>
        <w:rPr>
          <w:rFonts w:hint="eastAsia"/>
        </w:rPr>
        <w:t>条作出如下规定：</w:t>
      </w:r>
    </w:p>
    <w:p w:rsidR="00000000" w:rsidRDefault="00000000">
      <w:pPr>
        <w:ind w:left="1560" w:firstLine="500"/>
        <w:rPr>
          <w:rFonts w:hint="eastAsia"/>
        </w:rPr>
      </w:pPr>
      <w:r>
        <w:rPr>
          <w:rFonts w:hint="eastAsia"/>
        </w:rPr>
        <w:t>“禁止在工薪人员有课的日子里让其加班工作”。提高业务能力所用的时间计入工作日；</w:t>
      </w:r>
    </w:p>
    <w:p w:rsidR="00000000" w:rsidRDefault="00000000">
      <w:pPr>
        <w:numPr>
          <w:ilvl w:val="0"/>
          <w:numId w:val="559"/>
        </w:numPr>
        <w:rPr>
          <w:rFonts w:hint="eastAsia"/>
        </w:rPr>
      </w:pPr>
      <w:r>
        <w:rPr>
          <w:rFonts w:hint="eastAsia"/>
        </w:rPr>
        <w:t>第</w:t>
      </w:r>
      <w:r>
        <w:rPr>
          <w:rFonts w:hint="eastAsia"/>
        </w:rPr>
        <w:t>194</w:t>
      </w:r>
      <w:r>
        <w:rPr>
          <w:rFonts w:hint="eastAsia"/>
        </w:rPr>
        <w:t>条规定：“对职工的理论培训课，按照关于年龄、职业和生产的劳动法的规定，可在工作时间内进行”；</w:t>
      </w:r>
    </w:p>
    <w:p w:rsidR="00000000" w:rsidRDefault="00000000">
      <w:pPr>
        <w:numPr>
          <w:ilvl w:val="0"/>
          <w:numId w:val="559"/>
        </w:numPr>
        <w:rPr>
          <w:rFonts w:hint="eastAsia"/>
        </w:rPr>
      </w:pPr>
      <w:r>
        <w:rPr>
          <w:rFonts w:hint="eastAsia"/>
        </w:rPr>
        <w:t>第</w:t>
      </w:r>
      <w:r>
        <w:rPr>
          <w:rFonts w:hint="eastAsia"/>
        </w:rPr>
        <w:t>189</w:t>
      </w:r>
      <w:r>
        <w:rPr>
          <w:rFonts w:hint="eastAsia"/>
        </w:rPr>
        <w:t>条规定：</w:t>
      </w:r>
    </w:p>
    <w:p w:rsidR="00000000" w:rsidRDefault="00000000">
      <w:pPr>
        <w:ind w:left="1560" w:firstLine="500"/>
        <w:rPr>
          <w:rFonts w:hint="eastAsia"/>
        </w:rPr>
      </w:pPr>
      <w:r>
        <w:rPr>
          <w:rFonts w:hint="eastAsia"/>
        </w:rPr>
        <w:t>“所有机构和组织都必须保留一定数量的职位，以聘用和培训刚从中学、技校和职业学校毕业的不满</w:t>
      </w:r>
      <w:r>
        <w:rPr>
          <w:rFonts w:hint="eastAsia"/>
        </w:rPr>
        <w:t>18</w:t>
      </w:r>
      <w:r>
        <w:rPr>
          <w:rFonts w:hint="eastAsia"/>
        </w:rPr>
        <w:t>岁的青年人。</w:t>
      </w:r>
    </w:p>
    <w:p w:rsidR="00000000" w:rsidRDefault="00000000">
      <w:pPr>
        <w:ind w:left="1560" w:firstLine="500"/>
        <w:rPr>
          <w:rFonts w:hint="eastAsia"/>
        </w:rPr>
      </w:pPr>
      <w:r>
        <w:rPr>
          <w:rFonts w:hint="eastAsia"/>
        </w:rPr>
        <w:t>“拒绝雇用或培训上述人员者，将受到法律惩处。</w:t>
      </w:r>
    </w:p>
    <w:p w:rsidR="00000000" w:rsidRDefault="00000000">
      <w:pPr>
        <w:ind w:left="1560" w:firstLine="500"/>
        <w:rPr>
          <w:rFonts w:hint="eastAsia"/>
        </w:rPr>
      </w:pPr>
      <w:r>
        <w:rPr>
          <w:rFonts w:hint="eastAsia"/>
        </w:rPr>
        <w:t>“地方政府行政部门批准聘用刚从中学毕业的青年人的项目，保障所有机构、工厂和组织予以认真执行”。</w:t>
      </w:r>
    </w:p>
    <w:p w:rsidR="00000000" w:rsidRDefault="00000000">
      <w:pPr>
        <w:pStyle w:val="cdL1"/>
        <w:widowControl/>
        <w:tabs>
          <w:tab w:val="clear" w:pos="510"/>
        </w:tabs>
        <w:rPr>
          <w:rFonts w:hint="eastAsia"/>
          <w:spacing w:val="10"/>
        </w:rPr>
      </w:pPr>
      <w:r>
        <w:rPr>
          <w:rFonts w:hint="eastAsia"/>
          <w:spacing w:val="10"/>
        </w:rPr>
        <w:tab/>
        <w:t xml:space="preserve">462.  </w:t>
      </w:r>
      <w:r>
        <w:rPr>
          <w:rFonts w:hint="eastAsia"/>
          <w:spacing w:val="10"/>
        </w:rPr>
        <w:t>摩尔多瓦共和国法律保证提供特别保护，以防止发生易于使儿童身心受到伤害的危险，特别是因儿童工作而直接或间接产生的危险。这些原则载列于《宪法》下列条款中：</w:t>
      </w:r>
    </w:p>
    <w:p w:rsidR="00000000" w:rsidRDefault="00000000">
      <w:pPr>
        <w:numPr>
          <w:ilvl w:val="0"/>
          <w:numId w:val="560"/>
        </w:numPr>
        <w:rPr>
          <w:rFonts w:hint="eastAsia"/>
        </w:rPr>
      </w:pPr>
      <w:r>
        <w:rPr>
          <w:rFonts w:hint="eastAsia"/>
        </w:rPr>
        <w:t>第</w:t>
      </w:r>
      <w:r>
        <w:rPr>
          <w:rFonts w:hint="eastAsia"/>
        </w:rPr>
        <w:t>43</w:t>
      </w:r>
      <w:r>
        <w:rPr>
          <w:rFonts w:hint="eastAsia"/>
        </w:rPr>
        <w:t>条第</w:t>
      </w:r>
      <w:r>
        <w:rPr>
          <w:rFonts w:hint="eastAsia"/>
        </w:rPr>
        <w:t>(2)</w:t>
      </w:r>
      <w:r>
        <w:rPr>
          <w:rFonts w:hint="eastAsia"/>
        </w:rPr>
        <w:t>款</w:t>
      </w:r>
      <w:r>
        <w:t>–</w:t>
      </w:r>
      <w:r>
        <w:rPr>
          <w:rFonts w:hint="eastAsia"/>
        </w:rPr>
        <w:t>“工薪人员有权获得劳动保护。保护措施要考虑到劳动卫生和安全、青年人和妇女的劳动安排……以及其他具体情况”；</w:t>
      </w:r>
    </w:p>
    <w:p w:rsidR="00000000" w:rsidRDefault="00000000">
      <w:pPr>
        <w:numPr>
          <w:ilvl w:val="0"/>
          <w:numId w:val="560"/>
        </w:numPr>
        <w:rPr>
          <w:rFonts w:hint="eastAsia"/>
        </w:rPr>
      </w:pPr>
      <w:r>
        <w:rPr>
          <w:rFonts w:hint="eastAsia"/>
        </w:rPr>
        <w:t>第</w:t>
      </w:r>
      <w:r>
        <w:rPr>
          <w:rFonts w:hint="eastAsia"/>
        </w:rPr>
        <w:t>50</w:t>
      </w:r>
      <w:r>
        <w:rPr>
          <w:rFonts w:hint="eastAsia"/>
        </w:rPr>
        <w:t>条第</w:t>
      </w:r>
      <w:r>
        <w:rPr>
          <w:rFonts w:hint="eastAsia"/>
        </w:rPr>
        <w:t>(2)</w:t>
      </w:r>
      <w:r>
        <w:rPr>
          <w:rFonts w:hint="eastAsia"/>
        </w:rPr>
        <w:t>款</w:t>
      </w:r>
      <w:r>
        <w:t>–</w:t>
      </w:r>
      <w:r>
        <w:rPr>
          <w:rFonts w:hint="eastAsia"/>
        </w:rPr>
        <w:t>“对儿童和青年人实行特别援助制度”；</w:t>
      </w:r>
    </w:p>
    <w:p w:rsidR="00000000" w:rsidRDefault="00000000">
      <w:pPr>
        <w:numPr>
          <w:ilvl w:val="0"/>
          <w:numId w:val="560"/>
        </w:numPr>
        <w:rPr>
          <w:rFonts w:hint="eastAsia"/>
        </w:rPr>
      </w:pPr>
      <w:r>
        <w:rPr>
          <w:rFonts w:hint="eastAsia"/>
        </w:rPr>
        <w:t>第</w:t>
      </w:r>
      <w:r>
        <w:rPr>
          <w:rFonts w:hint="eastAsia"/>
        </w:rPr>
        <w:t>50</w:t>
      </w:r>
      <w:r>
        <w:rPr>
          <w:rFonts w:hint="eastAsia"/>
        </w:rPr>
        <w:t>条第</w:t>
      </w:r>
      <w:r>
        <w:rPr>
          <w:rFonts w:hint="eastAsia"/>
        </w:rPr>
        <w:t>(4)</w:t>
      </w:r>
      <w:r>
        <w:rPr>
          <w:rFonts w:hint="eastAsia"/>
        </w:rPr>
        <w:t>款</w:t>
      </w:r>
      <w:r>
        <w:t>–</w:t>
      </w:r>
      <w:r>
        <w:rPr>
          <w:rFonts w:hint="eastAsia"/>
        </w:rPr>
        <w:t>“严禁对未成年人进行剥削，让他们从事可能损害其健康和道德或可能造成其死亡的有害活动“；</w:t>
      </w:r>
    </w:p>
    <w:p w:rsidR="00000000" w:rsidRDefault="00000000">
      <w:pPr>
        <w:numPr>
          <w:ilvl w:val="0"/>
          <w:numId w:val="560"/>
        </w:numPr>
        <w:rPr>
          <w:rFonts w:hint="eastAsia"/>
        </w:rPr>
      </w:pPr>
      <w:r>
        <w:rPr>
          <w:rFonts w:hint="eastAsia"/>
        </w:rPr>
        <w:t>第</w:t>
      </w:r>
      <w:r>
        <w:rPr>
          <w:rFonts w:hint="eastAsia"/>
        </w:rPr>
        <w:t>50</w:t>
      </w:r>
      <w:r>
        <w:rPr>
          <w:rFonts w:hint="eastAsia"/>
        </w:rPr>
        <w:t>条第</w:t>
      </w:r>
      <w:r>
        <w:rPr>
          <w:rFonts w:hint="eastAsia"/>
        </w:rPr>
        <w:t>(4)</w:t>
      </w:r>
      <w:r>
        <w:rPr>
          <w:rFonts w:hint="eastAsia"/>
        </w:rPr>
        <w:t>款</w:t>
      </w:r>
      <w:r>
        <w:t>–</w:t>
      </w:r>
      <w:r>
        <w:rPr>
          <w:rFonts w:hint="eastAsia"/>
        </w:rPr>
        <w:t>“公共当局确保青年人可自由参与国家的社会、经济、文化和体育生活。”</w:t>
      </w:r>
    </w:p>
    <w:p w:rsidR="00000000" w:rsidRDefault="00000000">
      <w:pPr>
        <w:pStyle w:val="cdL1"/>
        <w:widowControl/>
        <w:tabs>
          <w:tab w:val="clear" w:pos="510"/>
        </w:tabs>
        <w:rPr>
          <w:rFonts w:hint="eastAsia"/>
          <w:spacing w:val="10"/>
        </w:rPr>
      </w:pPr>
      <w:r>
        <w:rPr>
          <w:rFonts w:hint="eastAsia"/>
          <w:spacing w:val="10"/>
        </w:rPr>
        <w:tab/>
        <w:t xml:space="preserve">463.  </w:t>
      </w:r>
      <w:r>
        <w:rPr>
          <w:rFonts w:hint="eastAsia"/>
          <w:spacing w:val="10"/>
        </w:rPr>
        <w:t>《劳动保护法》第</w:t>
      </w:r>
      <w:r>
        <w:rPr>
          <w:rFonts w:hint="eastAsia"/>
          <w:spacing w:val="10"/>
        </w:rPr>
        <w:t>3</w:t>
      </w:r>
      <w:r>
        <w:rPr>
          <w:rFonts w:hint="eastAsia"/>
          <w:spacing w:val="10"/>
        </w:rPr>
        <w:t>条规定，人人有权获得劳动保护。</w:t>
      </w:r>
    </w:p>
    <w:p w:rsidR="00000000" w:rsidRDefault="00000000">
      <w:pPr>
        <w:pStyle w:val="cdL1"/>
        <w:widowControl/>
        <w:tabs>
          <w:tab w:val="clear" w:pos="510"/>
        </w:tabs>
        <w:rPr>
          <w:rFonts w:hint="eastAsia"/>
          <w:spacing w:val="10"/>
        </w:rPr>
      </w:pPr>
      <w:r>
        <w:rPr>
          <w:rFonts w:hint="eastAsia"/>
          <w:spacing w:val="10"/>
        </w:rPr>
        <w:tab/>
        <w:t xml:space="preserve">464.  </w:t>
      </w:r>
      <w:r>
        <w:rPr>
          <w:rFonts w:hint="eastAsia"/>
          <w:spacing w:val="10"/>
        </w:rPr>
        <w:t>《劳工法典》作出以下规定：</w:t>
      </w:r>
    </w:p>
    <w:p w:rsidR="00000000" w:rsidRDefault="00000000">
      <w:pPr>
        <w:numPr>
          <w:ilvl w:val="0"/>
          <w:numId w:val="561"/>
        </w:numPr>
        <w:rPr>
          <w:rFonts w:hint="eastAsia"/>
        </w:rPr>
      </w:pPr>
      <w:r>
        <w:rPr>
          <w:rFonts w:hint="eastAsia"/>
        </w:rPr>
        <w:t>第</w:t>
      </w:r>
      <w:r>
        <w:rPr>
          <w:rFonts w:hint="eastAsia"/>
        </w:rPr>
        <w:t>191</w:t>
      </w:r>
      <w:r>
        <w:rPr>
          <w:rFonts w:hint="eastAsia"/>
        </w:rPr>
        <w:t>条：“行政部门只有在获得市政委员会的同意以及遵守免职规则的情况下，方可解雇不满</w:t>
      </w:r>
      <w:r>
        <w:rPr>
          <w:rFonts w:hint="eastAsia"/>
        </w:rPr>
        <w:t>18</w:t>
      </w:r>
      <w:r>
        <w:rPr>
          <w:rFonts w:hint="eastAsia"/>
        </w:rPr>
        <w:t>岁的青年工薪人员。不过，《劳工法典》第</w:t>
      </w:r>
      <w:r>
        <w:rPr>
          <w:rFonts w:hint="eastAsia"/>
        </w:rPr>
        <w:t>38</w:t>
      </w:r>
      <w:r>
        <w:rPr>
          <w:rFonts w:hint="eastAsia"/>
        </w:rPr>
        <w:t>条第</w:t>
      </w:r>
      <w:r>
        <w:rPr>
          <w:rFonts w:hint="eastAsia"/>
        </w:rPr>
        <w:t>(1)</w:t>
      </w:r>
      <w:r>
        <w:rPr>
          <w:rFonts w:hint="eastAsia"/>
        </w:rPr>
        <w:t>和第</w:t>
      </w:r>
      <w:r>
        <w:rPr>
          <w:rFonts w:hint="eastAsia"/>
        </w:rPr>
        <w:t>(2)</w:t>
      </w:r>
      <w:r>
        <w:rPr>
          <w:rFonts w:hint="eastAsia"/>
        </w:rPr>
        <w:t>款所规定的解雇理由，只有在例外情况和强制性</w:t>
      </w:r>
      <w:r>
        <w:rPr>
          <w:rFonts w:hint="eastAsia"/>
        </w:rPr>
        <w:t>[</w:t>
      </w:r>
      <w:r>
        <w:rPr>
          <w:rFonts w:hint="eastAsia"/>
        </w:rPr>
        <w:t>其他</w:t>
      </w:r>
      <w:r>
        <w:t>]</w:t>
      </w:r>
      <w:r>
        <w:rPr>
          <w:rFonts w:hint="eastAsia"/>
        </w:rPr>
        <w:t>就业情况下才会得到许可”；</w:t>
      </w:r>
    </w:p>
    <w:p w:rsidR="00000000" w:rsidRDefault="00000000">
      <w:pPr>
        <w:numPr>
          <w:ilvl w:val="0"/>
          <w:numId w:val="561"/>
        </w:numPr>
        <w:rPr>
          <w:rFonts w:hint="eastAsia"/>
        </w:rPr>
      </w:pPr>
      <w:r>
        <w:rPr>
          <w:rFonts w:hint="eastAsia"/>
        </w:rPr>
        <w:t>第</w:t>
      </w:r>
      <w:r>
        <w:rPr>
          <w:rFonts w:hint="eastAsia"/>
        </w:rPr>
        <w:t>192</w:t>
      </w:r>
      <w:r>
        <w:rPr>
          <w:rFonts w:hint="eastAsia"/>
        </w:rPr>
        <w:t>条：“如果工作条件对未成年人的健康有损害，或侵占未成年人的合法权益，父母、监护人、监护机构、公共组织和有义务对劳工法律实施情况予以监督和控制的官员，均有权要求终止与未成年人签定的个人劳动协议。”</w:t>
      </w:r>
    </w:p>
    <w:p w:rsidR="00000000" w:rsidRDefault="00000000">
      <w:pPr>
        <w:pStyle w:val="cdL1"/>
        <w:widowControl/>
        <w:tabs>
          <w:tab w:val="clear" w:pos="510"/>
        </w:tabs>
        <w:rPr>
          <w:rFonts w:hint="eastAsia"/>
          <w:spacing w:val="10"/>
        </w:rPr>
      </w:pPr>
      <w:r>
        <w:rPr>
          <w:rFonts w:hint="eastAsia"/>
          <w:spacing w:val="10"/>
        </w:rPr>
        <w:tab/>
        <w:t xml:space="preserve">465.  </w:t>
      </w:r>
      <w:r>
        <w:rPr>
          <w:rFonts w:hint="eastAsia"/>
          <w:spacing w:val="10"/>
        </w:rPr>
        <w:t>《劳工法典》第</w:t>
      </w:r>
      <w:r>
        <w:rPr>
          <w:rFonts w:hint="eastAsia"/>
          <w:spacing w:val="10"/>
        </w:rPr>
        <w:t>254</w:t>
      </w:r>
      <w:r>
        <w:rPr>
          <w:rFonts w:hint="eastAsia"/>
          <w:spacing w:val="10"/>
        </w:rPr>
        <w:t>条和《劳动保护法》第</w:t>
      </w:r>
      <w:r>
        <w:rPr>
          <w:rFonts w:hint="eastAsia"/>
          <w:spacing w:val="10"/>
        </w:rPr>
        <w:t>28</w:t>
      </w:r>
      <w:r>
        <w:rPr>
          <w:rFonts w:hint="eastAsia"/>
          <w:spacing w:val="10"/>
        </w:rPr>
        <w:t>条规定，劳工法律和劳动保护法律的监督和控制，由劳动、社会保护和家庭部、国家机构和监察团予以实施。这些机构不依靠工厂、企业和组织或其高级机构的管理。</w:t>
      </w:r>
      <w:r>
        <w:rPr>
          <w:rFonts w:hint="eastAsia"/>
          <w:spacing w:val="10"/>
        </w:rPr>
        <w:t>1998</w:t>
      </w:r>
      <w:r>
        <w:rPr>
          <w:rFonts w:hint="eastAsia"/>
          <w:spacing w:val="10"/>
        </w:rPr>
        <w:t>年</w:t>
      </w:r>
      <w:r>
        <w:rPr>
          <w:rFonts w:hint="eastAsia"/>
          <w:spacing w:val="10"/>
        </w:rPr>
        <w:t>7</w:t>
      </w:r>
      <w:r>
        <w:rPr>
          <w:rFonts w:hint="eastAsia"/>
          <w:spacing w:val="10"/>
        </w:rPr>
        <w:t>月</w:t>
      </w:r>
      <w:r>
        <w:rPr>
          <w:rFonts w:hint="eastAsia"/>
          <w:spacing w:val="10"/>
        </w:rPr>
        <w:t>13</w:t>
      </w:r>
      <w:r>
        <w:rPr>
          <w:rFonts w:hint="eastAsia"/>
          <w:spacing w:val="10"/>
        </w:rPr>
        <w:t>日《关于劳动、社会保护和家庭部的主要义务和结构的第</w:t>
      </w:r>
      <w:r>
        <w:rPr>
          <w:rFonts w:hint="eastAsia"/>
          <w:spacing w:val="10"/>
        </w:rPr>
        <w:t>780</w:t>
      </w:r>
      <w:r>
        <w:rPr>
          <w:rFonts w:hint="eastAsia"/>
          <w:spacing w:val="10"/>
        </w:rPr>
        <w:t>号政府决定》规定，国家劳动保护监察团应当在劳动、社会保护和家庭部的指导下开展工作。监察团制定了自己的《条例》，</w:t>
      </w:r>
      <w:r>
        <w:rPr>
          <w:rFonts w:hint="eastAsia"/>
          <w:spacing w:val="10"/>
        </w:rPr>
        <w:t>1998</w:t>
      </w:r>
      <w:r>
        <w:rPr>
          <w:rFonts w:hint="eastAsia"/>
          <w:spacing w:val="10"/>
        </w:rPr>
        <w:t>年</w:t>
      </w:r>
      <w:r>
        <w:rPr>
          <w:rFonts w:hint="eastAsia"/>
          <w:spacing w:val="10"/>
        </w:rPr>
        <w:t>12</w:t>
      </w:r>
      <w:r>
        <w:rPr>
          <w:rFonts w:hint="eastAsia"/>
          <w:spacing w:val="10"/>
        </w:rPr>
        <w:t>月</w:t>
      </w:r>
      <w:r>
        <w:rPr>
          <w:rFonts w:hint="eastAsia"/>
          <w:spacing w:val="10"/>
        </w:rPr>
        <w:t>9</w:t>
      </w:r>
      <w:r>
        <w:rPr>
          <w:rFonts w:hint="eastAsia"/>
          <w:spacing w:val="10"/>
        </w:rPr>
        <w:t>日由第</w:t>
      </w:r>
      <w:r>
        <w:rPr>
          <w:rFonts w:hint="eastAsia"/>
          <w:spacing w:val="10"/>
        </w:rPr>
        <w:t>1199</w:t>
      </w:r>
      <w:r>
        <w:rPr>
          <w:rFonts w:hint="eastAsia"/>
          <w:spacing w:val="10"/>
        </w:rPr>
        <w:t>号政府决定予以批准。在</w:t>
      </w:r>
      <w:r>
        <w:rPr>
          <w:rFonts w:hint="eastAsia"/>
          <w:spacing w:val="10"/>
        </w:rPr>
        <w:t>1996</w:t>
      </w:r>
      <w:r>
        <w:rPr>
          <w:rFonts w:hint="eastAsia"/>
          <w:spacing w:val="10"/>
        </w:rPr>
        <w:t>年至</w:t>
      </w:r>
      <w:r>
        <w:rPr>
          <w:rFonts w:hint="eastAsia"/>
          <w:spacing w:val="10"/>
        </w:rPr>
        <w:t>1998</w:t>
      </w:r>
      <w:r>
        <w:rPr>
          <w:rFonts w:hint="eastAsia"/>
          <w:spacing w:val="10"/>
        </w:rPr>
        <w:t>年和</w:t>
      </w:r>
      <w:r>
        <w:rPr>
          <w:rFonts w:hint="eastAsia"/>
          <w:spacing w:val="10"/>
        </w:rPr>
        <w:t>1999</w:t>
      </w:r>
      <w:r>
        <w:rPr>
          <w:rFonts w:hint="eastAsia"/>
          <w:spacing w:val="10"/>
        </w:rPr>
        <w:t>年头九个月期间，国家劳动保护监察团对不同经济单位进行了</w:t>
      </w:r>
      <w:r>
        <w:rPr>
          <w:rFonts w:hint="eastAsia"/>
          <w:spacing w:val="10"/>
        </w:rPr>
        <w:t>9,290</w:t>
      </w:r>
      <w:r>
        <w:rPr>
          <w:rFonts w:hint="eastAsia"/>
          <w:spacing w:val="10"/>
        </w:rPr>
        <w:t>次视察。这些视察的目的是监督这些单位对劳动保护规范性文书的遵守情况。对</w:t>
      </w:r>
      <w:r>
        <w:rPr>
          <w:rFonts w:hint="eastAsia"/>
          <w:spacing w:val="10"/>
        </w:rPr>
        <w:t>1993</w:t>
      </w:r>
      <w:r>
        <w:rPr>
          <w:rFonts w:hint="eastAsia"/>
          <w:spacing w:val="10"/>
        </w:rPr>
        <w:t>年</w:t>
      </w:r>
      <w:r>
        <w:rPr>
          <w:rFonts w:hint="eastAsia"/>
          <w:spacing w:val="10"/>
        </w:rPr>
        <w:t>9</w:t>
      </w:r>
      <w:r>
        <w:rPr>
          <w:rFonts w:hint="eastAsia"/>
          <w:spacing w:val="10"/>
        </w:rPr>
        <w:t>月</w:t>
      </w:r>
      <w:r>
        <w:rPr>
          <w:rFonts w:hint="eastAsia"/>
          <w:spacing w:val="10"/>
        </w:rPr>
        <w:t>7</w:t>
      </w:r>
      <w:r>
        <w:rPr>
          <w:rFonts w:hint="eastAsia"/>
          <w:spacing w:val="10"/>
        </w:rPr>
        <w:t>日《关于工作条件对</w:t>
      </w:r>
      <w:r>
        <w:rPr>
          <w:rFonts w:hint="eastAsia"/>
          <w:spacing w:val="10"/>
        </w:rPr>
        <w:t>18</w:t>
      </w:r>
      <w:r>
        <w:rPr>
          <w:rFonts w:hint="eastAsia"/>
          <w:spacing w:val="10"/>
        </w:rPr>
        <w:t>岁以下青年人不利和有害的产业、职业和劳动分类清单的第</w:t>
      </w:r>
      <w:r>
        <w:rPr>
          <w:rFonts w:hint="eastAsia"/>
          <w:spacing w:val="10"/>
        </w:rPr>
        <w:t>562</w:t>
      </w:r>
      <w:r>
        <w:rPr>
          <w:rFonts w:hint="eastAsia"/>
          <w:spacing w:val="10"/>
        </w:rPr>
        <w:t>号政府决定》的遵守情况予以特别关注。在</w:t>
      </w:r>
      <w:r>
        <w:rPr>
          <w:rFonts w:hint="eastAsia"/>
          <w:spacing w:val="10"/>
        </w:rPr>
        <w:t>1999</w:t>
      </w:r>
      <w:r>
        <w:rPr>
          <w:rFonts w:hint="eastAsia"/>
          <w:spacing w:val="10"/>
        </w:rPr>
        <w:t>年头九个月期间，监察团进行了</w:t>
      </w:r>
      <w:r>
        <w:rPr>
          <w:rFonts w:hint="eastAsia"/>
          <w:spacing w:val="10"/>
        </w:rPr>
        <w:t>1,976</w:t>
      </w:r>
      <w:r>
        <w:rPr>
          <w:rFonts w:hint="eastAsia"/>
          <w:spacing w:val="10"/>
        </w:rPr>
        <w:t>次视察，发现有</w:t>
      </w:r>
      <w:r>
        <w:rPr>
          <w:rFonts w:hint="eastAsia"/>
          <w:spacing w:val="10"/>
        </w:rPr>
        <w:t>315</w:t>
      </w:r>
      <w:r>
        <w:rPr>
          <w:rFonts w:hint="eastAsia"/>
          <w:spacing w:val="10"/>
        </w:rPr>
        <w:t>个工种是由</w:t>
      </w:r>
      <w:r>
        <w:rPr>
          <w:rFonts w:hint="eastAsia"/>
          <w:spacing w:val="10"/>
        </w:rPr>
        <w:t>18</w:t>
      </w:r>
      <w:r>
        <w:rPr>
          <w:rFonts w:hint="eastAsia"/>
          <w:spacing w:val="10"/>
        </w:rPr>
        <w:t>岁以下青年人来完成。</w:t>
      </w:r>
    </w:p>
    <w:p w:rsidR="00000000" w:rsidRDefault="00000000">
      <w:pPr>
        <w:pStyle w:val="cdL1"/>
        <w:widowControl/>
        <w:tabs>
          <w:tab w:val="clear" w:pos="510"/>
        </w:tabs>
        <w:spacing w:after="320"/>
        <w:rPr>
          <w:spacing w:val="10"/>
        </w:rPr>
      </w:pPr>
      <w:r>
        <w:rPr>
          <w:rFonts w:hint="eastAsia"/>
          <w:spacing w:val="10"/>
        </w:rPr>
        <w:tab/>
        <w:t>466.  1996</w:t>
      </w:r>
      <w:r>
        <w:rPr>
          <w:rFonts w:hint="eastAsia"/>
          <w:spacing w:val="10"/>
        </w:rPr>
        <w:t>至</w:t>
      </w:r>
      <w:r>
        <w:rPr>
          <w:rFonts w:hint="eastAsia"/>
          <w:spacing w:val="10"/>
        </w:rPr>
        <w:t>1998</w:t>
      </w:r>
      <w:r>
        <w:rPr>
          <w:rFonts w:hint="eastAsia"/>
          <w:spacing w:val="10"/>
        </w:rPr>
        <w:t>年和</w:t>
      </w:r>
      <w:r>
        <w:rPr>
          <w:rFonts w:hint="eastAsia"/>
          <w:spacing w:val="10"/>
        </w:rPr>
        <w:t>1999</w:t>
      </w:r>
      <w:r>
        <w:rPr>
          <w:rFonts w:hint="eastAsia"/>
          <w:spacing w:val="10"/>
        </w:rPr>
        <w:t>年头九个月期间，发生了五起涉及</w:t>
      </w:r>
      <w:r>
        <w:rPr>
          <w:rFonts w:hint="eastAsia"/>
          <w:spacing w:val="10"/>
        </w:rPr>
        <w:t>18</w:t>
      </w:r>
      <w:r>
        <w:rPr>
          <w:rFonts w:hint="eastAsia"/>
          <w:spacing w:val="10"/>
        </w:rPr>
        <w:t>岁以下青年人的工伤事故和四起与工作有关的死亡事故。这些事故之所以发生，原因就在于忽略了有关劳动保护的规范性文书的有关规定。法律部门正在对这些事故进行调查。如果发现有忽略关于</w:t>
      </w:r>
      <w:r>
        <w:rPr>
          <w:rFonts w:hint="eastAsia"/>
          <w:spacing w:val="10"/>
        </w:rPr>
        <w:t>18</w:t>
      </w:r>
      <w:r>
        <w:rPr>
          <w:rFonts w:hint="eastAsia"/>
          <w:spacing w:val="10"/>
        </w:rPr>
        <w:t>岁以下青年人劳动保护法律的情况，国家劳动保护监察团将依据现行法律采取行动。</w:t>
      </w:r>
    </w:p>
    <w:p w:rsidR="00000000" w:rsidRDefault="00000000">
      <w:pPr>
        <w:pStyle w:val="Heading3"/>
        <w:rPr>
          <w:rFonts w:hint="eastAsia"/>
        </w:rPr>
      </w:pPr>
      <w:r>
        <w:rPr>
          <w:rFonts w:hint="eastAsia"/>
        </w:rPr>
        <w:t>第</w:t>
      </w:r>
      <w:r>
        <w:rPr>
          <w:rFonts w:hint="eastAsia"/>
        </w:rPr>
        <w:t xml:space="preserve"> </w:t>
      </w:r>
      <w:r>
        <w:rPr>
          <w:rFonts w:hint="eastAsia"/>
        </w:rPr>
        <w:t>十一</w:t>
      </w:r>
      <w:r>
        <w:rPr>
          <w:rFonts w:hint="eastAsia"/>
        </w:rPr>
        <w:t xml:space="preserve"> </w:t>
      </w:r>
      <w:r>
        <w:rPr>
          <w:rFonts w:hint="eastAsia"/>
        </w:rPr>
        <w:t>条</w:t>
      </w:r>
    </w:p>
    <w:p w:rsidR="00000000" w:rsidRDefault="00000000">
      <w:pPr>
        <w:rPr>
          <w:rFonts w:hint="eastAsia"/>
        </w:rPr>
      </w:pPr>
      <w:r>
        <w:rPr>
          <w:rFonts w:hint="eastAsia"/>
        </w:rPr>
        <w:tab/>
        <w:t xml:space="preserve">467.  </w:t>
      </w:r>
      <w:r>
        <w:rPr>
          <w:rFonts w:hint="eastAsia"/>
        </w:rPr>
        <w:t>遭受贫困的社会弱势群体是：</w:t>
      </w:r>
    </w:p>
    <w:p w:rsidR="00000000" w:rsidRDefault="00000000">
      <w:pPr>
        <w:numPr>
          <w:ilvl w:val="0"/>
          <w:numId w:val="565"/>
        </w:numPr>
        <w:rPr>
          <w:rFonts w:hint="eastAsia"/>
        </w:rPr>
      </w:pPr>
      <w:r>
        <w:rPr>
          <w:rFonts w:hint="eastAsia"/>
        </w:rPr>
        <w:t>最容易陷入贫困的多子女家庭。在全部住户中，最贫困的依次是有四个子女的家庭</w:t>
      </w:r>
      <w:r>
        <w:rPr>
          <w:rFonts w:hint="eastAsia"/>
        </w:rPr>
        <w:t>(29.5%)</w:t>
      </w:r>
      <w:r>
        <w:rPr>
          <w:rFonts w:hint="eastAsia"/>
        </w:rPr>
        <w:t>，有三个子女的家庭</w:t>
      </w:r>
      <w:r>
        <w:rPr>
          <w:rFonts w:hint="eastAsia"/>
        </w:rPr>
        <w:t>(24.7%)</w:t>
      </w:r>
      <w:r>
        <w:rPr>
          <w:rFonts w:hint="eastAsia"/>
        </w:rPr>
        <w:t>，独生子女家庭</w:t>
      </w:r>
      <w:r>
        <w:rPr>
          <w:rFonts w:hint="eastAsia"/>
        </w:rPr>
        <w:t>(21.6%)</w:t>
      </w:r>
      <w:r>
        <w:rPr>
          <w:rFonts w:hint="eastAsia"/>
        </w:rPr>
        <w:t>和无子女家庭</w:t>
      </w:r>
      <w:r>
        <w:rPr>
          <w:rFonts w:hint="eastAsia"/>
        </w:rPr>
        <w:t>(16.9%)</w:t>
      </w:r>
      <w:r>
        <w:rPr>
          <w:rFonts w:hint="eastAsia"/>
        </w:rPr>
        <w:t>；</w:t>
      </w:r>
    </w:p>
    <w:p w:rsidR="00000000" w:rsidRDefault="00000000">
      <w:pPr>
        <w:numPr>
          <w:ilvl w:val="0"/>
          <w:numId w:val="565"/>
        </w:numPr>
        <w:rPr>
          <w:rFonts w:hint="eastAsia"/>
        </w:rPr>
      </w:pPr>
      <w:r>
        <w:rPr>
          <w:rFonts w:hint="eastAsia"/>
        </w:rPr>
        <w:t>由得不到父亲支助的单身母亲及其孩子组成的不完整家庭</w:t>
      </w:r>
      <w:r>
        <w:rPr>
          <w:rFonts w:hint="eastAsia"/>
        </w:rPr>
        <w:t>(17.3%)</w:t>
      </w:r>
      <w:r>
        <w:rPr>
          <w:rFonts w:hint="eastAsia"/>
        </w:rPr>
        <w:t>。每五个这样的家庭中就有一个在贫困线以下；</w:t>
      </w:r>
    </w:p>
    <w:p w:rsidR="00000000" w:rsidRDefault="00000000">
      <w:pPr>
        <w:numPr>
          <w:ilvl w:val="0"/>
          <w:numId w:val="565"/>
        </w:numPr>
        <w:rPr>
          <w:rFonts w:hint="eastAsia"/>
        </w:rPr>
      </w:pPr>
      <w:r>
        <w:rPr>
          <w:rFonts w:hint="eastAsia"/>
        </w:rPr>
        <w:t>家庭成员年龄低于</w:t>
      </w:r>
      <w:r>
        <w:rPr>
          <w:rFonts w:hint="eastAsia"/>
        </w:rPr>
        <w:t>30</w:t>
      </w:r>
      <w:r>
        <w:rPr>
          <w:rFonts w:hint="eastAsia"/>
        </w:rPr>
        <w:t>岁且没有子女的家庭</w:t>
      </w:r>
      <w:r>
        <w:rPr>
          <w:rFonts w:hint="eastAsia"/>
        </w:rPr>
        <w:t>(4.3%)</w:t>
      </w:r>
      <w:r>
        <w:rPr>
          <w:rFonts w:hint="eastAsia"/>
        </w:rPr>
        <w:t>，独生子女家庭</w:t>
      </w:r>
      <w:r>
        <w:rPr>
          <w:rFonts w:hint="eastAsia"/>
        </w:rPr>
        <w:t>(66.7%)</w:t>
      </w:r>
      <w:r>
        <w:rPr>
          <w:rFonts w:hint="eastAsia"/>
        </w:rPr>
        <w:t>和有两个子女的家庭</w:t>
      </w:r>
      <w:r>
        <w:rPr>
          <w:rFonts w:hint="eastAsia"/>
        </w:rPr>
        <w:t>(21.7%)</w:t>
      </w:r>
      <w:r>
        <w:rPr>
          <w:rFonts w:hint="eastAsia"/>
        </w:rPr>
        <w:t>；</w:t>
      </w:r>
    </w:p>
    <w:p w:rsidR="00000000" w:rsidRDefault="00000000">
      <w:pPr>
        <w:numPr>
          <w:ilvl w:val="0"/>
          <w:numId w:val="565"/>
        </w:numPr>
        <w:spacing w:line="360" w:lineRule="auto"/>
        <w:rPr>
          <w:rFonts w:hint="eastAsia"/>
        </w:rPr>
      </w:pPr>
      <w:r>
        <w:rPr>
          <w:rFonts w:hint="eastAsia"/>
        </w:rPr>
        <w:t>贫困线以下的失业人口，他们占全部失业人口的</w:t>
      </w:r>
      <w:r>
        <w:rPr>
          <w:rFonts w:hint="eastAsia"/>
        </w:rPr>
        <w:t>31.1%</w:t>
      </w:r>
      <w:r>
        <w:rPr>
          <w:rFonts w:hint="eastAsia"/>
        </w:rPr>
        <w:t>；</w:t>
      </w:r>
    </w:p>
    <w:p w:rsidR="00000000" w:rsidRDefault="00000000">
      <w:pPr>
        <w:numPr>
          <w:ilvl w:val="0"/>
          <w:numId w:val="565"/>
        </w:numPr>
        <w:spacing w:line="360" w:lineRule="auto"/>
        <w:rPr>
          <w:rFonts w:hint="eastAsia"/>
        </w:rPr>
      </w:pPr>
      <w:r>
        <w:rPr>
          <w:rFonts w:hint="eastAsia"/>
        </w:rPr>
        <w:t>生活水平极低的残疾人。他们的残疾程度影响到其生活水平。每四名残疾人中就有一人</w:t>
      </w:r>
      <w:r>
        <w:rPr>
          <w:rFonts w:hint="eastAsia"/>
        </w:rPr>
        <w:t>(23.6%)</w:t>
      </w:r>
      <w:r>
        <w:rPr>
          <w:rFonts w:hint="eastAsia"/>
        </w:rPr>
        <w:t>非常贫困；</w:t>
      </w:r>
    </w:p>
    <w:p w:rsidR="00000000" w:rsidRDefault="00000000">
      <w:pPr>
        <w:numPr>
          <w:ilvl w:val="0"/>
          <w:numId w:val="565"/>
        </w:numPr>
        <w:spacing w:line="360" w:lineRule="auto"/>
        <w:rPr>
          <w:rFonts w:hint="eastAsia"/>
        </w:rPr>
      </w:pPr>
      <w:r>
        <w:rPr>
          <w:rFonts w:hint="eastAsia"/>
        </w:rPr>
        <w:t>养老金领取者，其中每五人中就有一人</w:t>
      </w:r>
      <w:r>
        <w:rPr>
          <w:rFonts w:hint="eastAsia"/>
        </w:rPr>
        <w:t>(21.3%)</w:t>
      </w:r>
      <w:r>
        <w:rPr>
          <w:rFonts w:hint="eastAsia"/>
        </w:rPr>
        <w:t>非常贫困；</w:t>
      </w:r>
    </w:p>
    <w:p w:rsidR="00000000" w:rsidRDefault="00000000">
      <w:pPr>
        <w:numPr>
          <w:ilvl w:val="0"/>
          <w:numId w:val="565"/>
        </w:numPr>
        <w:spacing w:line="360" w:lineRule="auto"/>
        <w:rPr>
          <w:rFonts w:hint="eastAsia"/>
        </w:rPr>
      </w:pPr>
      <w:r>
        <w:rPr>
          <w:rFonts w:hint="eastAsia"/>
        </w:rPr>
        <w:t>农业劳动者的收入低于其他社会经济群体。每五个劳动者中就有一人生活贫困</w:t>
      </w:r>
      <w:r>
        <w:rPr>
          <w:rFonts w:hint="eastAsia"/>
        </w:rPr>
        <w:t>(20.2%)</w:t>
      </w:r>
      <w:r>
        <w:rPr>
          <w:rFonts w:hint="eastAsia"/>
        </w:rPr>
        <w:t>。</w:t>
      </w:r>
    </w:p>
    <w:p w:rsidR="00000000" w:rsidRDefault="00000000">
      <w:pPr>
        <w:rPr>
          <w:rFonts w:hint="eastAsia"/>
        </w:rPr>
      </w:pPr>
      <w:r>
        <w:rPr>
          <w:rFonts w:hint="eastAsia"/>
        </w:rPr>
        <w:tab/>
      </w:r>
      <w:r>
        <w:rPr>
          <w:rFonts w:hint="eastAsia"/>
        </w:rPr>
        <w:t>这些数据选自</w:t>
      </w:r>
      <w:r>
        <w:rPr>
          <w:rFonts w:hint="eastAsia"/>
        </w:rPr>
        <w:t>2000</w:t>
      </w:r>
      <w:r>
        <w:rPr>
          <w:rFonts w:hint="eastAsia"/>
        </w:rPr>
        <w:t>年</w:t>
      </w:r>
      <w:r>
        <w:rPr>
          <w:rFonts w:hint="eastAsia"/>
        </w:rPr>
        <w:t>7</w:t>
      </w:r>
      <w:r>
        <w:rPr>
          <w:rFonts w:hint="eastAsia"/>
        </w:rPr>
        <w:t>月</w:t>
      </w:r>
      <w:r>
        <w:rPr>
          <w:rFonts w:hint="eastAsia"/>
        </w:rPr>
        <w:t>14</w:t>
      </w:r>
      <w:r>
        <w:rPr>
          <w:rFonts w:hint="eastAsia"/>
        </w:rPr>
        <w:t>日第</w:t>
      </w:r>
      <w:r>
        <w:rPr>
          <w:rFonts w:hint="eastAsia"/>
        </w:rPr>
        <w:t>564</w:t>
      </w:r>
      <w:r>
        <w:rPr>
          <w:rFonts w:hint="eastAsia"/>
        </w:rPr>
        <w:t>号政府决定通过的“减轻贫困国家方案”。</w:t>
      </w:r>
    </w:p>
    <w:p w:rsidR="00000000" w:rsidRDefault="00000000">
      <w:pPr>
        <w:rPr>
          <w:rFonts w:hint="eastAsia"/>
        </w:rPr>
      </w:pPr>
      <w:r>
        <w:rPr>
          <w:rFonts w:hint="eastAsia"/>
        </w:rPr>
        <w:tab/>
        <w:t>468.  1998</w:t>
      </w:r>
      <w:r>
        <w:rPr>
          <w:rFonts w:hint="eastAsia"/>
        </w:rPr>
        <w:t>年摩尔多瓦共和国人的发展指数为</w:t>
      </w:r>
      <w:r>
        <w:rPr>
          <w:rFonts w:hint="eastAsia"/>
        </w:rPr>
        <w:t>1,702,</w:t>
      </w:r>
      <w:r>
        <w:rPr>
          <w:rFonts w:hint="eastAsia"/>
        </w:rPr>
        <w:t xml:space="preserve">　在具有中等人的发展水平的国家中居第一位。据开发署统计，摩尔多瓦共和国从</w:t>
      </w:r>
      <w:r>
        <w:rPr>
          <w:rFonts w:hint="eastAsia"/>
        </w:rPr>
        <w:t>1990</w:t>
      </w:r>
      <w:r>
        <w:rPr>
          <w:rFonts w:hint="eastAsia"/>
        </w:rPr>
        <w:t>年的第</w:t>
      </w:r>
      <w:r>
        <w:rPr>
          <w:rFonts w:hint="eastAsia"/>
        </w:rPr>
        <w:t>64</w:t>
      </w:r>
      <w:r>
        <w:rPr>
          <w:rFonts w:hint="eastAsia"/>
        </w:rPr>
        <w:t>位下降到</w:t>
      </w:r>
      <w:r>
        <w:rPr>
          <w:rFonts w:hint="eastAsia"/>
        </w:rPr>
        <w:t>1995</w:t>
      </w:r>
      <w:r>
        <w:rPr>
          <w:rFonts w:hint="eastAsia"/>
        </w:rPr>
        <w:t>年的第</w:t>
      </w:r>
      <w:r>
        <w:rPr>
          <w:rFonts w:hint="eastAsia"/>
        </w:rPr>
        <w:t>113</w:t>
      </w:r>
      <w:r>
        <w:rPr>
          <w:rFonts w:hint="eastAsia"/>
        </w:rPr>
        <w:t>位。又据开发署统计，</w:t>
      </w:r>
      <w:r>
        <w:rPr>
          <w:rFonts w:hint="eastAsia"/>
        </w:rPr>
        <w:t>1998</w:t>
      </w:r>
      <w:r>
        <w:rPr>
          <w:rFonts w:hint="eastAsia"/>
        </w:rPr>
        <w:t>年约</w:t>
      </w:r>
      <w:r>
        <w:rPr>
          <w:rFonts w:hint="eastAsia"/>
        </w:rPr>
        <w:t>90%</w:t>
      </w:r>
      <w:r>
        <w:rPr>
          <w:rFonts w:hint="eastAsia"/>
        </w:rPr>
        <w:t>的人口日收入低于</w:t>
      </w:r>
      <w:r>
        <w:rPr>
          <w:rFonts w:hint="eastAsia"/>
        </w:rPr>
        <w:t>2</w:t>
      </w:r>
      <w:r>
        <w:rPr>
          <w:rFonts w:hint="eastAsia"/>
        </w:rPr>
        <w:t>美元。富人的比例为</w:t>
      </w:r>
      <w:r>
        <w:rPr>
          <w:rFonts w:hint="eastAsia"/>
        </w:rPr>
        <w:t>12.6%(1996</w:t>
      </w:r>
      <w:r>
        <w:rPr>
          <w:rFonts w:hint="eastAsia"/>
        </w:rPr>
        <w:t>年为</w:t>
      </w:r>
      <w:r>
        <w:rPr>
          <w:rFonts w:hint="eastAsia"/>
        </w:rPr>
        <w:t>7.0%)</w:t>
      </w:r>
      <w:r>
        <w:rPr>
          <w:rFonts w:hint="eastAsia"/>
        </w:rPr>
        <w:t>。</w:t>
      </w:r>
    </w:p>
    <w:p w:rsidR="00000000" w:rsidRDefault="00000000">
      <w:pPr>
        <w:spacing w:after="160"/>
        <w:rPr>
          <w:rFonts w:hint="eastAsia"/>
        </w:rPr>
      </w:pPr>
      <w:r>
        <w:rPr>
          <w:rFonts w:hint="eastAsia"/>
        </w:rPr>
        <w:tab/>
        <w:t xml:space="preserve">469.  </w:t>
      </w:r>
      <w:r>
        <w:rPr>
          <w:rFonts w:hint="eastAsia"/>
        </w:rPr>
        <w:t>工资价格也对生活水平产生负面影响。</w:t>
      </w:r>
      <w:r>
        <w:rPr>
          <w:rFonts w:hint="eastAsia"/>
        </w:rPr>
        <w:t>1998</w:t>
      </w:r>
      <w:r>
        <w:rPr>
          <w:rFonts w:hint="eastAsia"/>
        </w:rPr>
        <w:t>年的平均工资与</w:t>
      </w:r>
      <w:r>
        <w:rPr>
          <w:rFonts w:hint="eastAsia"/>
        </w:rPr>
        <w:t>1940</w:t>
      </w:r>
      <w:r>
        <w:rPr>
          <w:rFonts w:hint="eastAsia"/>
        </w:rPr>
        <w:t>年相比下降了四分之三。实际收入的下降导致人们购买力的极大退化。如果换算成美元，摩尔多瓦共和国在</w:t>
      </w:r>
      <w:r>
        <w:rPr>
          <w:rFonts w:hint="eastAsia"/>
        </w:rPr>
        <w:t>12</w:t>
      </w:r>
      <w:r>
        <w:rPr>
          <w:rFonts w:hint="eastAsia"/>
        </w:rPr>
        <w:t>个独联体国家中排第</w:t>
      </w:r>
      <w:r>
        <w:rPr>
          <w:rFonts w:hint="eastAsia"/>
        </w:rPr>
        <w:t>7</w:t>
      </w:r>
      <w:r>
        <w:rPr>
          <w:rFonts w:hint="eastAsia"/>
        </w:rPr>
        <w:t>位。老人、残疾人、不完整家庭和其他不能工作的人群的生活水平已达临界水平。</w:t>
      </w:r>
      <w:r>
        <w:rPr>
          <w:rFonts w:hint="eastAsia"/>
        </w:rPr>
        <w:t>1999</w:t>
      </w:r>
      <w:r>
        <w:rPr>
          <w:rFonts w:hint="eastAsia"/>
        </w:rPr>
        <w:t>年初，养老金领取者的总数是</w:t>
      </w:r>
      <w:r>
        <w:rPr>
          <w:rFonts w:hint="eastAsia"/>
        </w:rPr>
        <w:t>787,900</w:t>
      </w:r>
      <w:r>
        <w:rPr>
          <w:rFonts w:hint="eastAsia"/>
        </w:rPr>
        <w:t>人，占人口的</w:t>
      </w:r>
      <w:r>
        <w:rPr>
          <w:rFonts w:hint="eastAsia"/>
        </w:rPr>
        <w:t>22%</w:t>
      </w:r>
      <w:r>
        <w:rPr>
          <w:rFonts w:hint="eastAsia"/>
        </w:rPr>
        <w:t>。养老金的购买力只占</w:t>
      </w:r>
      <w:r>
        <w:rPr>
          <w:rFonts w:hint="eastAsia"/>
        </w:rPr>
        <w:t>1990</w:t>
      </w:r>
      <w:r>
        <w:rPr>
          <w:rFonts w:hint="eastAsia"/>
        </w:rPr>
        <w:t>年购买力的</w:t>
      </w:r>
      <w:r>
        <w:rPr>
          <w:rFonts w:hint="eastAsia"/>
        </w:rPr>
        <w:t>40%(</w:t>
      </w:r>
      <w:r>
        <w:rPr>
          <w:rFonts w:hint="eastAsia"/>
        </w:rPr>
        <w:t>根据《摩尔多瓦共和国</w:t>
      </w:r>
      <w:r>
        <w:rPr>
          <w:rFonts w:hint="eastAsia"/>
        </w:rPr>
        <w:t>1990</w:t>
      </w:r>
      <w:r>
        <w:rPr>
          <w:rFonts w:hint="eastAsia"/>
        </w:rPr>
        <w:t>年人的发展国别报告》</w:t>
      </w:r>
      <w:r>
        <w:rPr>
          <w:rFonts w:hint="eastAsia"/>
        </w:rPr>
        <w:t>)</w:t>
      </w:r>
      <w:r>
        <w:rPr>
          <w:rFonts w:hint="eastAsia"/>
        </w:rPr>
        <w:t>。</w:t>
      </w:r>
    </w:p>
    <w:p w:rsidR="00000000" w:rsidRDefault="00000000">
      <w:pPr>
        <w:pStyle w:val="Heading3"/>
        <w:spacing w:after="160"/>
        <w:rPr>
          <w:rFonts w:hint="eastAsia"/>
        </w:rPr>
      </w:pPr>
      <w:r>
        <w:rPr>
          <w:rFonts w:hint="eastAsia"/>
          <w:u w:val="none"/>
        </w:rPr>
        <w:t>表</w:t>
      </w:r>
      <w:r>
        <w:rPr>
          <w:rFonts w:hint="eastAsia"/>
          <w:u w:val="none"/>
        </w:rPr>
        <w:t xml:space="preserve">31.  </w:t>
      </w:r>
      <w:r>
        <w:rPr>
          <w:rFonts w:hint="eastAsia"/>
        </w:rPr>
        <w:t>生活水平指标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58"/>
        <w:gridCol w:w="951"/>
        <w:gridCol w:w="951"/>
        <w:gridCol w:w="950"/>
        <w:gridCol w:w="950"/>
        <w:gridCol w:w="950"/>
        <w:gridCol w:w="950"/>
        <w:gridCol w:w="950"/>
      </w:tblGrid>
      <w:tr w:rsidR="00000000">
        <w:tblPrEx>
          <w:tblCellMar>
            <w:top w:w="0" w:type="dxa"/>
            <w:bottom w:w="0" w:type="dxa"/>
          </w:tblCellMar>
        </w:tblPrEx>
        <w:tc>
          <w:tcPr>
            <w:tcW w:w="1465" w:type="pct"/>
            <w:tcBorders>
              <w:bottom w:val="single" w:sz="4" w:space="0" w:color="auto"/>
            </w:tcBorders>
          </w:tcPr>
          <w:p w:rsidR="00000000" w:rsidRDefault="00000000">
            <w:pPr>
              <w:pStyle w:val="a2"/>
              <w:spacing w:before="120" w:after="120"/>
              <w:jc w:val="center"/>
              <w:rPr>
                <w:rFonts w:hint="eastAsia"/>
              </w:rPr>
            </w:pPr>
            <w:r>
              <w:rPr>
                <w:rFonts w:hint="eastAsia"/>
              </w:rPr>
              <w:t>指</w:t>
            </w:r>
            <w:r>
              <w:rPr>
                <w:rFonts w:hint="eastAsia"/>
              </w:rPr>
              <w:t xml:space="preserve">  </w:t>
            </w:r>
            <w:r>
              <w:rPr>
                <w:rFonts w:hint="eastAsia"/>
              </w:rPr>
              <w:t>标</w:t>
            </w:r>
          </w:p>
        </w:tc>
        <w:tc>
          <w:tcPr>
            <w:tcW w:w="505" w:type="pct"/>
            <w:tcBorders>
              <w:bottom w:val="single" w:sz="4" w:space="0" w:color="auto"/>
            </w:tcBorders>
          </w:tcPr>
          <w:p w:rsidR="00000000" w:rsidRDefault="00000000">
            <w:pPr>
              <w:pStyle w:val="a2"/>
              <w:spacing w:before="120" w:after="120"/>
              <w:jc w:val="center"/>
              <w:rPr>
                <w:rFonts w:hint="eastAsia"/>
              </w:rPr>
            </w:pPr>
            <w:r>
              <w:rPr>
                <w:rFonts w:hint="eastAsia"/>
              </w:rPr>
              <w:t>1994</w:t>
            </w:r>
          </w:p>
        </w:tc>
        <w:tc>
          <w:tcPr>
            <w:tcW w:w="505" w:type="pct"/>
            <w:tcBorders>
              <w:bottom w:val="single" w:sz="4" w:space="0" w:color="auto"/>
            </w:tcBorders>
          </w:tcPr>
          <w:p w:rsidR="00000000" w:rsidRDefault="00000000">
            <w:pPr>
              <w:pStyle w:val="a2"/>
              <w:spacing w:before="120" w:after="120"/>
              <w:jc w:val="center"/>
              <w:rPr>
                <w:rFonts w:hint="eastAsia"/>
              </w:rPr>
            </w:pPr>
            <w:r>
              <w:rPr>
                <w:rFonts w:hint="eastAsia"/>
              </w:rPr>
              <w:t>1995</w:t>
            </w:r>
          </w:p>
        </w:tc>
        <w:tc>
          <w:tcPr>
            <w:tcW w:w="505" w:type="pct"/>
            <w:tcBorders>
              <w:bottom w:val="single" w:sz="4" w:space="0" w:color="auto"/>
            </w:tcBorders>
          </w:tcPr>
          <w:p w:rsidR="00000000" w:rsidRDefault="00000000">
            <w:pPr>
              <w:pStyle w:val="a2"/>
              <w:spacing w:before="120" w:after="120"/>
              <w:jc w:val="center"/>
              <w:rPr>
                <w:rFonts w:hint="eastAsia"/>
              </w:rPr>
            </w:pPr>
            <w:r>
              <w:rPr>
                <w:rFonts w:hint="eastAsia"/>
              </w:rPr>
              <w:t>1996</w:t>
            </w:r>
          </w:p>
        </w:tc>
        <w:tc>
          <w:tcPr>
            <w:tcW w:w="505" w:type="pct"/>
            <w:tcBorders>
              <w:bottom w:val="single" w:sz="4" w:space="0" w:color="auto"/>
            </w:tcBorders>
          </w:tcPr>
          <w:p w:rsidR="00000000" w:rsidRDefault="00000000">
            <w:pPr>
              <w:pStyle w:val="a2"/>
              <w:spacing w:before="120" w:after="120"/>
              <w:jc w:val="center"/>
              <w:rPr>
                <w:rFonts w:hint="eastAsia"/>
              </w:rPr>
            </w:pPr>
            <w:r>
              <w:rPr>
                <w:rFonts w:hint="eastAsia"/>
              </w:rPr>
              <w:t>1997</w:t>
            </w:r>
          </w:p>
        </w:tc>
        <w:tc>
          <w:tcPr>
            <w:tcW w:w="505" w:type="pct"/>
            <w:tcBorders>
              <w:bottom w:val="single" w:sz="4" w:space="0" w:color="auto"/>
            </w:tcBorders>
          </w:tcPr>
          <w:p w:rsidR="00000000" w:rsidRDefault="00000000">
            <w:pPr>
              <w:pStyle w:val="a2"/>
              <w:spacing w:before="120" w:after="120"/>
              <w:jc w:val="center"/>
              <w:rPr>
                <w:rFonts w:hint="eastAsia"/>
              </w:rPr>
            </w:pPr>
            <w:r>
              <w:rPr>
                <w:rFonts w:hint="eastAsia"/>
              </w:rPr>
              <w:t>1998</w:t>
            </w:r>
          </w:p>
        </w:tc>
        <w:tc>
          <w:tcPr>
            <w:tcW w:w="505" w:type="pct"/>
            <w:tcBorders>
              <w:bottom w:val="single" w:sz="4" w:space="0" w:color="auto"/>
            </w:tcBorders>
          </w:tcPr>
          <w:p w:rsidR="00000000" w:rsidRDefault="00000000">
            <w:pPr>
              <w:pStyle w:val="a2"/>
              <w:spacing w:before="120" w:after="120"/>
              <w:jc w:val="center"/>
              <w:rPr>
                <w:rFonts w:hint="eastAsia"/>
              </w:rPr>
            </w:pPr>
            <w:r>
              <w:rPr>
                <w:rFonts w:hint="eastAsia"/>
              </w:rPr>
              <w:t>1999</w:t>
            </w:r>
          </w:p>
        </w:tc>
        <w:tc>
          <w:tcPr>
            <w:tcW w:w="505" w:type="pct"/>
            <w:tcBorders>
              <w:bottom w:val="single" w:sz="4" w:space="0" w:color="auto"/>
            </w:tcBorders>
          </w:tcPr>
          <w:p w:rsidR="00000000" w:rsidRDefault="00000000">
            <w:pPr>
              <w:pStyle w:val="a2"/>
              <w:spacing w:before="120" w:after="120"/>
              <w:jc w:val="center"/>
              <w:rPr>
                <w:rFonts w:hint="eastAsia"/>
              </w:rPr>
            </w:pPr>
            <w:r>
              <w:rPr>
                <w:rFonts w:hint="eastAsia"/>
              </w:rPr>
              <w:t>2000</w:t>
            </w:r>
          </w:p>
        </w:tc>
      </w:tr>
      <w:tr w:rsidR="00000000">
        <w:tblPrEx>
          <w:tblCellMar>
            <w:top w:w="0" w:type="dxa"/>
            <w:bottom w:w="0" w:type="dxa"/>
          </w:tblCellMar>
        </w:tblPrEx>
        <w:tc>
          <w:tcPr>
            <w:tcW w:w="1465" w:type="pct"/>
            <w:tcBorders>
              <w:bottom w:val="nil"/>
            </w:tcBorders>
            <w:vAlign w:val="bottom"/>
          </w:tcPr>
          <w:p w:rsidR="00000000" w:rsidRDefault="00000000">
            <w:pPr>
              <w:pStyle w:val="a2"/>
              <w:ind w:left="170"/>
              <w:rPr>
                <w:rFonts w:hint="eastAsia"/>
              </w:rPr>
            </w:pPr>
            <w:r>
              <w:rPr>
                <w:rFonts w:hint="eastAsia"/>
              </w:rPr>
              <w:t>平均工资</w:t>
            </w:r>
            <w:r>
              <w:rPr>
                <w:rFonts w:hint="eastAsia"/>
              </w:rPr>
              <w:t>(</w:t>
            </w:r>
            <w:r>
              <w:rPr>
                <w:rFonts w:hint="eastAsia"/>
              </w:rPr>
              <w:t>列依</w:t>
            </w:r>
            <w:r>
              <w:rPr>
                <w:rFonts w:hint="eastAsia"/>
              </w:rPr>
              <w:t>)</w:t>
            </w:r>
          </w:p>
        </w:tc>
        <w:tc>
          <w:tcPr>
            <w:tcW w:w="505" w:type="pct"/>
            <w:tcBorders>
              <w:bottom w:val="nil"/>
            </w:tcBorders>
            <w:vAlign w:val="bottom"/>
          </w:tcPr>
          <w:p w:rsidR="00000000" w:rsidRDefault="00000000">
            <w:pPr>
              <w:pStyle w:val="a2"/>
              <w:tabs>
                <w:tab w:val="decimal" w:pos="497"/>
              </w:tabs>
            </w:pPr>
            <w:r>
              <w:t>108.4</w:t>
            </w:r>
          </w:p>
        </w:tc>
        <w:tc>
          <w:tcPr>
            <w:tcW w:w="505" w:type="pct"/>
            <w:tcBorders>
              <w:bottom w:val="nil"/>
            </w:tcBorders>
            <w:vAlign w:val="bottom"/>
          </w:tcPr>
          <w:p w:rsidR="00000000" w:rsidRDefault="00000000">
            <w:pPr>
              <w:pStyle w:val="a2"/>
              <w:tabs>
                <w:tab w:val="decimal" w:pos="497"/>
              </w:tabs>
            </w:pPr>
            <w:r>
              <w:t>143.2</w:t>
            </w:r>
          </w:p>
        </w:tc>
        <w:tc>
          <w:tcPr>
            <w:tcW w:w="505" w:type="pct"/>
            <w:tcBorders>
              <w:bottom w:val="nil"/>
            </w:tcBorders>
            <w:vAlign w:val="bottom"/>
          </w:tcPr>
          <w:p w:rsidR="00000000" w:rsidRDefault="00000000">
            <w:pPr>
              <w:pStyle w:val="a2"/>
              <w:tabs>
                <w:tab w:val="decimal" w:pos="497"/>
              </w:tabs>
            </w:pPr>
            <w:r>
              <w:t>187.1</w:t>
            </w:r>
          </w:p>
        </w:tc>
        <w:tc>
          <w:tcPr>
            <w:tcW w:w="505" w:type="pct"/>
            <w:tcBorders>
              <w:bottom w:val="nil"/>
            </w:tcBorders>
            <w:vAlign w:val="bottom"/>
          </w:tcPr>
          <w:p w:rsidR="00000000" w:rsidRDefault="00000000">
            <w:pPr>
              <w:pStyle w:val="a2"/>
              <w:tabs>
                <w:tab w:val="decimal" w:pos="497"/>
              </w:tabs>
            </w:pPr>
            <w:r>
              <w:t>219.8</w:t>
            </w:r>
          </w:p>
        </w:tc>
        <w:tc>
          <w:tcPr>
            <w:tcW w:w="505" w:type="pct"/>
            <w:tcBorders>
              <w:bottom w:val="nil"/>
            </w:tcBorders>
            <w:vAlign w:val="bottom"/>
          </w:tcPr>
          <w:p w:rsidR="00000000" w:rsidRDefault="00000000">
            <w:pPr>
              <w:pStyle w:val="a2"/>
              <w:tabs>
                <w:tab w:val="decimal" w:pos="497"/>
              </w:tabs>
            </w:pPr>
            <w:r>
              <w:t>250.4</w:t>
            </w:r>
          </w:p>
        </w:tc>
        <w:tc>
          <w:tcPr>
            <w:tcW w:w="505" w:type="pct"/>
            <w:tcBorders>
              <w:bottom w:val="nil"/>
            </w:tcBorders>
            <w:vAlign w:val="bottom"/>
          </w:tcPr>
          <w:p w:rsidR="00000000" w:rsidRDefault="00000000">
            <w:pPr>
              <w:pStyle w:val="a2"/>
              <w:tabs>
                <w:tab w:val="decimal" w:pos="497"/>
              </w:tabs>
            </w:pPr>
            <w:r>
              <w:t>304.6</w:t>
            </w:r>
          </w:p>
        </w:tc>
        <w:tc>
          <w:tcPr>
            <w:tcW w:w="505" w:type="pct"/>
            <w:tcBorders>
              <w:bottom w:val="nil"/>
            </w:tcBorders>
            <w:vAlign w:val="bottom"/>
          </w:tcPr>
          <w:p w:rsidR="00000000" w:rsidRDefault="00000000">
            <w:pPr>
              <w:pStyle w:val="a2"/>
              <w:tabs>
                <w:tab w:val="decimal" w:pos="497"/>
              </w:tabs>
            </w:pPr>
            <w:r>
              <w:t>407</w:t>
            </w:r>
          </w:p>
        </w:tc>
      </w:tr>
      <w:tr w:rsidR="00000000">
        <w:tblPrEx>
          <w:tblCellMar>
            <w:top w:w="0" w:type="dxa"/>
            <w:bottom w:w="0" w:type="dxa"/>
          </w:tblCellMar>
        </w:tblPrEx>
        <w:tc>
          <w:tcPr>
            <w:tcW w:w="1465" w:type="pct"/>
            <w:tcBorders>
              <w:top w:val="nil"/>
              <w:bottom w:val="nil"/>
            </w:tcBorders>
            <w:vAlign w:val="bottom"/>
          </w:tcPr>
          <w:p w:rsidR="00000000" w:rsidRDefault="00000000">
            <w:pPr>
              <w:pStyle w:val="a2"/>
              <w:ind w:left="170"/>
            </w:pPr>
            <w:r>
              <w:rPr>
                <w:rFonts w:hint="eastAsia"/>
              </w:rPr>
              <w:t>最低家庭预算</w:t>
            </w:r>
            <w:r>
              <w:rPr>
                <w:rFonts w:hint="eastAsia"/>
              </w:rPr>
              <w:t>(</w:t>
            </w:r>
            <w:r>
              <w:rPr>
                <w:rFonts w:hint="eastAsia"/>
              </w:rPr>
              <w:t>列依</w:t>
            </w:r>
            <w:r>
              <w:rPr>
                <w:rFonts w:hint="eastAsia"/>
              </w:rPr>
              <w:t>)</w:t>
            </w:r>
          </w:p>
        </w:tc>
        <w:tc>
          <w:tcPr>
            <w:tcW w:w="505" w:type="pct"/>
            <w:tcBorders>
              <w:top w:val="nil"/>
              <w:bottom w:val="nil"/>
            </w:tcBorders>
            <w:vAlign w:val="bottom"/>
          </w:tcPr>
          <w:p w:rsidR="00000000" w:rsidRDefault="00000000">
            <w:pPr>
              <w:pStyle w:val="a2"/>
              <w:tabs>
                <w:tab w:val="decimal" w:pos="497"/>
              </w:tabs>
            </w:pPr>
            <w:r>
              <w:t>271</w:t>
            </w:r>
          </w:p>
        </w:tc>
        <w:tc>
          <w:tcPr>
            <w:tcW w:w="505" w:type="pct"/>
            <w:tcBorders>
              <w:top w:val="nil"/>
              <w:bottom w:val="nil"/>
            </w:tcBorders>
            <w:vAlign w:val="bottom"/>
          </w:tcPr>
          <w:p w:rsidR="00000000" w:rsidRDefault="00000000">
            <w:pPr>
              <w:pStyle w:val="a2"/>
              <w:tabs>
                <w:tab w:val="decimal" w:pos="497"/>
              </w:tabs>
            </w:pPr>
            <w:r>
              <w:t>311</w:t>
            </w:r>
          </w:p>
        </w:tc>
        <w:tc>
          <w:tcPr>
            <w:tcW w:w="505" w:type="pct"/>
            <w:tcBorders>
              <w:top w:val="nil"/>
              <w:bottom w:val="nil"/>
            </w:tcBorders>
            <w:vAlign w:val="bottom"/>
          </w:tcPr>
          <w:p w:rsidR="00000000" w:rsidRDefault="00000000">
            <w:pPr>
              <w:pStyle w:val="a2"/>
              <w:tabs>
                <w:tab w:val="decimal" w:pos="497"/>
              </w:tabs>
            </w:pPr>
            <w:r>
              <w:t>388</w:t>
            </w:r>
          </w:p>
        </w:tc>
        <w:tc>
          <w:tcPr>
            <w:tcW w:w="505" w:type="pct"/>
            <w:tcBorders>
              <w:top w:val="nil"/>
              <w:bottom w:val="nil"/>
            </w:tcBorders>
            <w:vAlign w:val="bottom"/>
          </w:tcPr>
          <w:p w:rsidR="00000000" w:rsidRDefault="00000000">
            <w:pPr>
              <w:pStyle w:val="a2"/>
              <w:tabs>
                <w:tab w:val="decimal" w:pos="497"/>
              </w:tabs>
            </w:pPr>
            <w:r>
              <w:t>440</w:t>
            </w:r>
          </w:p>
        </w:tc>
        <w:tc>
          <w:tcPr>
            <w:tcW w:w="505" w:type="pct"/>
            <w:tcBorders>
              <w:top w:val="nil"/>
              <w:bottom w:val="nil"/>
            </w:tcBorders>
            <w:vAlign w:val="bottom"/>
          </w:tcPr>
          <w:p w:rsidR="00000000" w:rsidRDefault="00000000">
            <w:pPr>
              <w:pStyle w:val="a2"/>
              <w:tabs>
                <w:tab w:val="decimal" w:pos="497"/>
              </w:tabs>
            </w:pPr>
            <w:r>
              <w:t>473</w:t>
            </w:r>
          </w:p>
        </w:tc>
        <w:tc>
          <w:tcPr>
            <w:tcW w:w="505" w:type="pct"/>
            <w:tcBorders>
              <w:top w:val="nil"/>
              <w:bottom w:val="nil"/>
            </w:tcBorders>
            <w:vAlign w:val="bottom"/>
          </w:tcPr>
          <w:p w:rsidR="00000000" w:rsidRDefault="00000000">
            <w:pPr>
              <w:pStyle w:val="a2"/>
              <w:tabs>
                <w:tab w:val="decimal" w:pos="497"/>
              </w:tabs>
            </w:pPr>
            <w:r>
              <w:t>662</w:t>
            </w:r>
          </w:p>
        </w:tc>
        <w:tc>
          <w:tcPr>
            <w:tcW w:w="505" w:type="pct"/>
            <w:tcBorders>
              <w:top w:val="nil"/>
              <w:bottom w:val="nil"/>
            </w:tcBorders>
            <w:vAlign w:val="bottom"/>
          </w:tcPr>
          <w:p w:rsidR="00000000" w:rsidRDefault="00000000">
            <w:pPr>
              <w:pStyle w:val="a2"/>
              <w:tabs>
                <w:tab w:val="decimal" w:pos="497"/>
              </w:tabs>
            </w:pPr>
            <w:r>
              <w:t>944</w:t>
            </w:r>
          </w:p>
        </w:tc>
      </w:tr>
      <w:tr w:rsidR="00000000">
        <w:tblPrEx>
          <w:tblCellMar>
            <w:top w:w="0" w:type="dxa"/>
            <w:bottom w:w="0" w:type="dxa"/>
          </w:tblCellMar>
        </w:tblPrEx>
        <w:tc>
          <w:tcPr>
            <w:tcW w:w="1465" w:type="pct"/>
            <w:tcBorders>
              <w:top w:val="nil"/>
              <w:bottom w:val="nil"/>
            </w:tcBorders>
            <w:vAlign w:val="bottom"/>
          </w:tcPr>
          <w:p w:rsidR="00000000" w:rsidRDefault="00000000">
            <w:pPr>
              <w:pStyle w:val="a2"/>
              <w:spacing w:before="180"/>
              <w:ind w:left="170"/>
              <w:rPr>
                <w:rFonts w:hint="eastAsia"/>
              </w:rPr>
            </w:pPr>
            <w:r>
              <w:rPr>
                <w:rFonts w:hint="eastAsia"/>
              </w:rPr>
              <w:t>含食物</w:t>
            </w:r>
          </w:p>
        </w:tc>
        <w:tc>
          <w:tcPr>
            <w:tcW w:w="505" w:type="pct"/>
            <w:tcBorders>
              <w:top w:val="nil"/>
              <w:bottom w:val="nil"/>
            </w:tcBorders>
            <w:vAlign w:val="bottom"/>
          </w:tcPr>
          <w:p w:rsidR="00000000" w:rsidRDefault="00000000">
            <w:pPr>
              <w:pStyle w:val="a2"/>
              <w:tabs>
                <w:tab w:val="decimal" w:pos="497"/>
              </w:tabs>
              <w:spacing w:before="180"/>
            </w:pPr>
            <w:r>
              <w:t>122</w:t>
            </w:r>
          </w:p>
        </w:tc>
        <w:tc>
          <w:tcPr>
            <w:tcW w:w="505" w:type="pct"/>
            <w:tcBorders>
              <w:top w:val="nil"/>
              <w:bottom w:val="nil"/>
            </w:tcBorders>
            <w:vAlign w:val="bottom"/>
          </w:tcPr>
          <w:p w:rsidR="00000000" w:rsidRDefault="00000000">
            <w:pPr>
              <w:pStyle w:val="a2"/>
              <w:tabs>
                <w:tab w:val="decimal" w:pos="497"/>
              </w:tabs>
              <w:spacing w:before="180"/>
            </w:pPr>
            <w:r>
              <w:t>151</w:t>
            </w:r>
          </w:p>
        </w:tc>
        <w:tc>
          <w:tcPr>
            <w:tcW w:w="505" w:type="pct"/>
            <w:tcBorders>
              <w:top w:val="nil"/>
              <w:bottom w:val="nil"/>
            </w:tcBorders>
            <w:vAlign w:val="bottom"/>
          </w:tcPr>
          <w:p w:rsidR="00000000" w:rsidRDefault="00000000">
            <w:pPr>
              <w:pStyle w:val="a2"/>
              <w:tabs>
                <w:tab w:val="decimal" w:pos="497"/>
              </w:tabs>
              <w:spacing w:before="180"/>
            </w:pPr>
            <w:r>
              <w:t>186</w:t>
            </w:r>
          </w:p>
        </w:tc>
        <w:tc>
          <w:tcPr>
            <w:tcW w:w="505" w:type="pct"/>
            <w:tcBorders>
              <w:top w:val="nil"/>
              <w:bottom w:val="nil"/>
            </w:tcBorders>
            <w:vAlign w:val="bottom"/>
          </w:tcPr>
          <w:p w:rsidR="00000000" w:rsidRDefault="00000000">
            <w:pPr>
              <w:pStyle w:val="a2"/>
              <w:tabs>
                <w:tab w:val="decimal" w:pos="497"/>
              </w:tabs>
              <w:spacing w:before="180"/>
            </w:pPr>
            <w:r>
              <w:t>204</w:t>
            </w:r>
          </w:p>
        </w:tc>
        <w:tc>
          <w:tcPr>
            <w:tcW w:w="505" w:type="pct"/>
            <w:tcBorders>
              <w:top w:val="nil"/>
              <w:bottom w:val="nil"/>
            </w:tcBorders>
            <w:vAlign w:val="bottom"/>
          </w:tcPr>
          <w:p w:rsidR="00000000" w:rsidRDefault="00000000">
            <w:pPr>
              <w:pStyle w:val="a2"/>
              <w:tabs>
                <w:tab w:val="decimal" w:pos="497"/>
              </w:tabs>
              <w:spacing w:before="180"/>
            </w:pPr>
            <w:r>
              <w:t>205</w:t>
            </w:r>
          </w:p>
        </w:tc>
        <w:tc>
          <w:tcPr>
            <w:tcW w:w="505" w:type="pct"/>
            <w:tcBorders>
              <w:top w:val="nil"/>
              <w:bottom w:val="nil"/>
            </w:tcBorders>
            <w:vAlign w:val="bottom"/>
          </w:tcPr>
          <w:p w:rsidR="00000000" w:rsidRDefault="00000000">
            <w:pPr>
              <w:pStyle w:val="a2"/>
              <w:tabs>
                <w:tab w:val="decimal" w:pos="497"/>
              </w:tabs>
              <w:spacing w:before="180"/>
            </w:pPr>
            <w:r>
              <w:t>263</w:t>
            </w:r>
          </w:p>
        </w:tc>
        <w:tc>
          <w:tcPr>
            <w:tcW w:w="505" w:type="pct"/>
            <w:tcBorders>
              <w:top w:val="nil"/>
              <w:bottom w:val="nil"/>
            </w:tcBorders>
            <w:vAlign w:val="bottom"/>
          </w:tcPr>
          <w:p w:rsidR="00000000" w:rsidRDefault="00000000">
            <w:pPr>
              <w:pStyle w:val="a2"/>
              <w:tabs>
                <w:tab w:val="decimal" w:pos="497"/>
              </w:tabs>
              <w:spacing w:before="180"/>
            </w:pPr>
            <w:r>
              <w:t>395</w:t>
            </w:r>
          </w:p>
        </w:tc>
      </w:tr>
      <w:tr w:rsidR="00000000">
        <w:tblPrEx>
          <w:tblCellMar>
            <w:top w:w="0" w:type="dxa"/>
            <w:bottom w:w="0" w:type="dxa"/>
          </w:tblCellMar>
        </w:tblPrEx>
        <w:tc>
          <w:tcPr>
            <w:tcW w:w="1465" w:type="pct"/>
            <w:tcBorders>
              <w:top w:val="nil"/>
              <w:bottom w:val="nil"/>
            </w:tcBorders>
            <w:vAlign w:val="bottom"/>
          </w:tcPr>
          <w:p w:rsidR="00000000" w:rsidRDefault="00000000">
            <w:pPr>
              <w:pStyle w:val="a2"/>
              <w:ind w:left="170"/>
              <w:rPr>
                <w:rFonts w:hint="eastAsia"/>
              </w:rPr>
            </w:pPr>
            <w:r>
              <w:rPr>
                <w:rFonts w:hint="eastAsia"/>
              </w:rPr>
              <w:t>制成品</w:t>
            </w:r>
          </w:p>
        </w:tc>
        <w:tc>
          <w:tcPr>
            <w:tcW w:w="505" w:type="pct"/>
            <w:tcBorders>
              <w:top w:val="nil"/>
              <w:bottom w:val="nil"/>
            </w:tcBorders>
            <w:vAlign w:val="bottom"/>
          </w:tcPr>
          <w:p w:rsidR="00000000" w:rsidRDefault="00000000">
            <w:pPr>
              <w:pStyle w:val="a2"/>
              <w:tabs>
                <w:tab w:val="decimal" w:pos="497"/>
              </w:tabs>
            </w:pPr>
            <w:r>
              <w:t>93</w:t>
            </w:r>
          </w:p>
        </w:tc>
        <w:tc>
          <w:tcPr>
            <w:tcW w:w="505" w:type="pct"/>
            <w:tcBorders>
              <w:top w:val="nil"/>
              <w:bottom w:val="nil"/>
            </w:tcBorders>
            <w:vAlign w:val="bottom"/>
          </w:tcPr>
          <w:p w:rsidR="00000000" w:rsidRDefault="00000000">
            <w:pPr>
              <w:pStyle w:val="a2"/>
              <w:tabs>
                <w:tab w:val="decimal" w:pos="497"/>
              </w:tabs>
            </w:pPr>
            <w:r>
              <w:t>85</w:t>
            </w:r>
          </w:p>
        </w:tc>
        <w:tc>
          <w:tcPr>
            <w:tcW w:w="505" w:type="pct"/>
            <w:tcBorders>
              <w:top w:val="nil"/>
              <w:bottom w:val="nil"/>
            </w:tcBorders>
            <w:vAlign w:val="bottom"/>
          </w:tcPr>
          <w:p w:rsidR="00000000" w:rsidRDefault="00000000">
            <w:pPr>
              <w:pStyle w:val="a2"/>
              <w:tabs>
                <w:tab w:val="decimal" w:pos="497"/>
              </w:tabs>
            </w:pPr>
            <w:r>
              <w:t>99</w:t>
            </w:r>
          </w:p>
        </w:tc>
        <w:tc>
          <w:tcPr>
            <w:tcW w:w="505" w:type="pct"/>
            <w:tcBorders>
              <w:top w:val="nil"/>
              <w:bottom w:val="nil"/>
            </w:tcBorders>
            <w:vAlign w:val="bottom"/>
          </w:tcPr>
          <w:p w:rsidR="00000000" w:rsidRDefault="00000000">
            <w:pPr>
              <w:pStyle w:val="a2"/>
              <w:tabs>
                <w:tab w:val="decimal" w:pos="497"/>
              </w:tabs>
            </w:pPr>
            <w:r>
              <w:t>108</w:t>
            </w:r>
          </w:p>
        </w:tc>
        <w:tc>
          <w:tcPr>
            <w:tcW w:w="505" w:type="pct"/>
            <w:tcBorders>
              <w:top w:val="nil"/>
              <w:bottom w:val="nil"/>
            </w:tcBorders>
            <w:vAlign w:val="bottom"/>
          </w:tcPr>
          <w:p w:rsidR="00000000" w:rsidRDefault="00000000">
            <w:pPr>
              <w:pStyle w:val="a2"/>
              <w:tabs>
                <w:tab w:val="decimal" w:pos="497"/>
              </w:tabs>
            </w:pPr>
            <w:r>
              <w:t>123</w:t>
            </w:r>
          </w:p>
        </w:tc>
        <w:tc>
          <w:tcPr>
            <w:tcW w:w="505" w:type="pct"/>
            <w:tcBorders>
              <w:top w:val="nil"/>
              <w:bottom w:val="nil"/>
            </w:tcBorders>
            <w:vAlign w:val="bottom"/>
          </w:tcPr>
          <w:p w:rsidR="00000000" w:rsidRDefault="00000000">
            <w:pPr>
              <w:pStyle w:val="a2"/>
              <w:tabs>
                <w:tab w:val="decimal" w:pos="497"/>
              </w:tabs>
            </w:pPr>
            <w:r>
              <w:t>177</w:t>
            </w:r>
          </w:p>
        </w:tc>
        <w:tc>
          <w:tcPr>
            <w:tcW w:w="505" w:type="pct"/>
            <w:tcBorders>
              <w:top w:val="nil"/>
              <w:bottom w:val="nil"/>
            </w:tcBorders>
            <w:vAlign w:val="bottom"/>
          </w:tcPr>
          <w:p w:rsidR="00000000" w:rsidRDefault="00000000">
            <w:pPr>
              <w:pStyle w:val="a2"/>
              <w:tabs>
                <w:tab w:val="decimal" w:pos="497"/>
              </w:tabs>
            </w:pPr>
            <w:r>
              <w:t>263</w:t>
            </w:r>
          </w:p>
        </w:tc>
      </w:tr>
      <w:tr w:rsidR="00000000">
        <w:tblPrEx>
          <w:tblCellMar>
            <w:top w:w="0" w:type="dxa"/>
            <w:bottom w:w="0" w:type="dxa"/>
          </w:tblCellMar>
        </w:tblPrEx>
        <w:tc>
          <w:tcPr>
            <w:tcW w:w="1465" w:type="pct"/>
            <w:tcBorders>
              <w:top w:val="nil"/>
              <w:bottom w:val="nil"/>
            </w:tcBorders>
            <w:vAlign w:val="bottom"/>
          </w:tcPr>
          <w:p w:rsidR="00000000" w:rsidRDefault="00000000">
            <w:pPr>
              <w:pStyle w:val="a2"/>
              <w:ind w:left="170"/>
              <w:rPr>
                <w:rFonts w:hint="eastAsia"/>
              </w:rPr>
            </w:pPr>
            <w:r>
              <w:rPr>
                <w:rFonts w:hint="eastAsia"/>
              </w:rPr>
              <w:t>服务和计划外开支</w:t>
            </w:r>
          </w:p>
        </w:tc>
        <w:tc>
          <w:tcPr>
            <w:tcW w:w="505" w:type="pct"/>
            <w:tcBorders>
              <w:top w:val="nil"/>
              <w:bottom w:val="nil"/>
            </w:tcBorders>
            <w:vAlign w:val="bottom"/>
          </w:tcPr>
          <w:p w:rsidR="00000000" w:rsidRDefault="00000000">
            <w:pPr>
              <w:pStyle w:val="a2"/>
              <w:tabs>
                <w:tab w:val="decimal" w:pos="497"/>
              </w:tabs>
            </w:pPr>
            <w:r>
              <w:t>56</w:t>
            </w:r>
          </w:p>
        </w:tc>
        <w:tc>
          <w:tcPr>
            <w:tcW w:w="505" w:type="pct"/>
            <w:tcBorders>
              <w:top w:val="nil"/>
              <w:bottom w:val="nil"/>
            </w:tcBorders>
            <w:vAlign w:val="bottom"/>
          </w:tcPr>
          <w:p w:rsidR="00000000" w:rsidRDefault="00000000">
            <w:pPr>
              <w:pStyle w:val="a2"/>
              <w:tabs>
                <w:tab w:val="decimal" w:pos="497"/>
              </w:tabs>
            </w:pPr>
            <w:r>
              <w:t>75</w:t>
            </w:r>
          </w:p>
        </w:tc>
        <w:tc>
          <w:tcPr>
            <w:tcW w:w="505" w:type="pct"/>
            <w:tcBorders>
              <w:top w:val="nil"/>
              <w:bottom w:val="nil"/>
            </w:tcBorders>
            <w:vAlign w:val="bottom"/>
          </w:tcPr>
          <w:p w:rsidR="00000000" w:rsidRDefault="00000000">
            <w:pPr>
              <w:pStyle w:val="a2"/>
              <w:tabs>
                <w:tab w:val="decimal" w:pos="497"/>
              </w:tabs>
            </w:pPr>
            <w:r>
              <w:t>103</w:t>
            </w:r>
          </w:p>
        </w:tc>
        <w:tc>
          <w:tcPr>
            <w:tcW w:w="505" w:type="pct"/>
            <w:tcBorders>
              <w:top w:val="nil"/>
              <w:bottom w:val="nil"/>
            </w:tcBorders>
            <w:vAlign w:val="bottom"/>
          </w:tcPr>
          <w:p w:rsidR="00000000" w:rsidRDefault="00000000">
            <w:pPr>
              <w:pStyle w:val="a2"/>
              <w:tabs>
                <w:tab w:val="decimal" w:pos="497"/>
              </w:tabs>
            </w:pPr>
            <w:r>
              <w:t>126</w:t>
            </w:r>
          </w:p>
        </w:tc>
        <w:tc>
          <w:tcPr>
            <w:tcW w:w="505" w:type="pct"/>
            <w:tcBorders>
              <w:top w:val="nil"/>
              <w:bottom w:val="nil"/>
            </w:tcBorders>
            <w:vAlign w:val="bottom"/>
          </w:tcPr>
          <w:p w:rsidR="00000000" w:rsidRDefault="00000000">
            <w:pPr>
              <w:pStyle w:val="a2"/>
              <w:tabs>
                <w:tab w:val="decimal" w:pos="497"/>
              </w:tabs>
            </w:pPr>
            <w:r>
              <w:t>145</w:t>
            </w:r>
          </w:p>
        </w:tc>
        <w:tc>
          <w:tcPr>
            <w:tcW w:w="505" w:type="pct"/>
            <w:tcBorders>
              <w:top w:val="nil"/>
              <w:bottom w:val="nil"/>
            </w:tcBorders>
            <w:vAlign w:val="bottom"/>
          </w:tcPr>
          <w:p w:rsidR="00000000" w:rsidRDefault="00000000">
            <w:pPr>
              <w:pStyle w:val="a2"/>
              <w:tabs>
                <w:tab w:val="decimal" w:pos="497"/>
              </w:tabs>
            </w:pPr>
            <w:r>
              <w:t>222</w:t>
            </w:r>
          </w:p>
        </w:tc>
        <w:tc>
          <w:tcPr>
            <w:tcW w:w="505" w:type="pct"/>
            <w:tcBorders>
              <w:top w:val="nil"/>
              <w:bottom w:val="nil"/>
            </w:tcBorders>
            <w:vAlign w:val="bottom"/>
          </w:tcPr>
          <w:p w:rsidR="00000000" w:rsidRDefault="00000000">
            <w:pPr>
              <w:pStyle w:val="a2"/>
              <w:tabs>
                <w:tab w:val="decimal" w:pos="497"/>
              </w:tabs>
            </w:pPr>
            <w:r>
              <w:t>286</w:t>
            </w:r>
          </w:p>
        </w:tc>
      </w:tr>
      <w:tr w:rsidR="00000000">
        <w:tblPrEx>
          <w:tblCellMar>
            <w:top w:w="0" w:type="dxa"/>
            <w:bottom w:w="0" w:type="dxa"/>
          </w:tblCellMar>
        </w:tblPrEx>
        <w:tc>
          <w:tcPr>
            <w:tcW w:w="1465" w:type="pct"/>
            <w:tcBorders>
              <w:top w:val="nil"/>
              <w:bottom w:val="nil"/>
            </w:tcBorders>
            <w:vAlign w:val="bottom"/>
          </w:tcPr>
          <w:p w:rsidR="00000000" w:rsidRDefault="00000000">
            <w:pPr>
              <w:pStyle w:val="a2"/>
              <w:spacing w:before="180"/>
              <w:ind w:left="170"/>
              <w:rPr>
                <w:rFonts w:hint="eastAsia"/>
              </w:rPr>
            </w:pPr>
            <w:r>
              <w:rPr>
                <w:rFonts w:hint="eastAsia"/>
              </w:rPr>
              <w:t>平均工资占最低家庭</w:t>
            </w:r>
            <w:r>
              <w:br/>
            </w:r>
            <w:r>
              <w:rPr>
                <w:rFonts w:hint="eastAsia"/>
              </w:rPr>
              <w:t xml:space="preserve">  </w:t>
            </w:r>
            <w:r>
              <w:rPr>
                <w:rFonts w:hint="eastAsia"/>
              </w:rPr>
              <w:t>预算的比例</w:t>
            </w:r>
            <w:r>
              <w:rPr>
                <w:rFonts w:hint="eastAsia"/>
              </w:rPr>
              <w:t>(%)</w:t>
            </w:r>
          </w:p>
        </w:tc>
        <w:tc>
          <w:tcPr>
            <w:tcW w:w="505" w:type="pct"/>
            <w:tcBorders>
              <w:top w:val="nil"/>
              <w:bottom w:val="nil"/>
            </w:tcBorders>
            <w:vAlign w:val="bottom"/>
          </w:tcPr>
          <w:p w:rsidR="00000000" w:rsidRDefault="00000000">
            <w:pPr>
              <w:pStyle w:val="a2"/>
              <w:tabs>
                <w:tab w:val="decimal" w:pos="497"/>
              </w:tabs>
              <w:spacing w:before="180"/>
            </w:pPr>
            <w:r>
              <w:t>40.0</w:t>
            </w:r>
          </w:p>
        </w:tc>
        <w:tc>
          <w:tcPr>
            <w:tcW w:w="505" w:type="pct"/>
            <w:tcBorders>
              <w:top w:val="nil"/>
              <w:bottom w:val="nil"/>
            </w:tcBorders>
            <w:vAlign w:val="bottom"/>
          </w:tcPr>
          <w:p w:rsidR="00000000" w:rsidRDefault="00000000">
            <w:pPr>
              <w:pStyle w:val="a2"/>
              <w:tabs>
                <w:tab w:val="decimal" w:pos="497"/>
              </w:tabs>
              <w:spacing w:before="180"/>
            </w:pPr>
            <w:r>
              <w:t>46.0</w:t>
            </w:r>
          </w:p>
        </w:tc>
        <w:tc>
          <w:tcPr>
            <w:tcW w:w="505" w:type="pct"/>
            <w:tcBorders>
              <w:top w:val="nil"/>
              <w:bottom w:val="nil"/>
            </w:tcBorders>
            <w:vAlign w:val="bottom"/>
          </w:tcPr>
          <w:p w:rsidR="00000000" w:rsidRDefault="00000000">
            <w:pPr>
              <w:pStyle w:val="a2"/>
              <w:tabs>
                <w:tab w:val="decimal" w:pos="497"/>
              </w:tabs>
              <w:spacing w:before="180"/>
            </w:pPr>
            <w:r>
              <w:t>48.2</w:t>
            </w:r>
          </w:p>
        </w:tc>
        <w:tc>
          <w:tcPr>
            <w:tcW w:w="505" w:type="pct"/>
            <w:tcBorders>
              <w:top w:val="nil"/>
              <w:bottom w:val="nil"/>
            </w:tcBorders>
            <w:vAlign w:val="bottom"/>
          </w:tcPr>
          <w:p w:rsidR="00000000" w:rsidRDefault="00000000">
            <w:pPr>
              <w:pStyle w:val="a2"/>
              <w:tabs>
                <w:tab w:val="decimal" w:pos="497"/>
              </w:tabs>
              <w:spacing w:before="180"/>
            </w:pPr>
            <w:r>
              <w:t>49.6</w:t>
            </w:r>
          </w:p>
        </w:tc>
        <w:tc>
          <w:tcPr>
            <w:tcW w:w="505" w:type="pct"/>
            <w:tcBorders>
              <w:top w:val="nil"/>
              <w:bottom w:val="nil"/>
            </w:tcBorders>
            <w:vAlign w:val="bottom"/>
          </w:tcPr>
          <w:p w:rsidR="00000000" w:rsidRDefault="00000000">
            <w:pPr>
              <w:pStyle w:val="a2"/>
              <w:tabs>
                <w:tab w:val="decimal" w:pos="497"/>
              </w:tabs>
              <w:spacing w:before="180"/>
            </w:pPr>
            <w:r>
              <w:t>53.3</w:t>
            </w:r>
          </w:p>
        </w:tc>
        <w:tc>
          <w:tcPr>
            <w:tcW w:w="505" w:type="pct"/>
            <w:tcBorders>
              <w:top w:val="nil"/>
              <w:bottom w:val="nil"/>
            </w:tcBorders>
            <w:vAlign w:val="bottom"/>
          </w:tcPr>
          <w:p w:rsidR="00000000" w:rsidRDefault="00000000">
            <w:pPr>
              <w:pStyle w:val="a2"/>
              <w:tabs>
                <w:tab w:val="decimal" w:pos="497"/>
              </w:tabs>
              <w:spacing w:before="180"/>
            </w:pPr>
            <w:r>
              <w:t>45.8</w:t>
            </w:r>
          </w:p>
        </w:tc>
        <w:tc>
          <w:tcPr>
            <w:tcW w:w="505" w:type="pct"/>
            <w:tcBorders>
              <w:top w:val="nil"/>
              <w:bottom w:val="nil"/>
            </w:tcBorders>
            <w:vAlign w:val="bottom"/>
          </w:tcPr>
          <w:p w:rsidR="00000000" w:rsidRDefault="00000000">
            <w:pPr>
              <w:pStyle w:val="a2"/>
              <w:tabs>
                <w:tab w:val="decimal" w:pos="497"/>
              </w:tabs>
              <w:spacing w:before="180"/>
            </w:pPr>
            <w:r>
              <w:t>39.5</w:t>
            </w:r>
          </w:p>
        </w:tc>
      </w:tr>
      <w:tr w:rsidR="00000000">
        <w:tblPrEx>
          <w:tblCellMar>
            <w:top w:w="0" w:type="dxa"/>
            <w:bottom w:w="0" w:type="dxa"/>
          </w:tblCellMar>
        </w:tblPrEx>
        <w:tc>
          <w:tcPr>
            <w:tcW w:w="1465" w:type="pct"/>
            <w:tcBorders>
              <w:top w:val="nil"/>
              <w:bottom w:val="nil"/>
            </w:tcBorders>
            <w:vAlign w:val="bottom"/>
          </w:tcPr>
          <w:p w:rsidR="00000000" w:rsidRDefault="00000000">
            <w:pPr>
              <w:pStyle w:val="a2"/>
              <w:spacing w:before="180"/>
              <w:ind w:left="170"/>
              <w:rPr>
                <w:rFonts w:hint="eastAsia"/>
              </w:rPr>
            </w:pPr>
            <w:r>
              <w:rPr>
                <w:rFonts w:hint="eastAsia"/>
              </w:rPr>
              <w:t>年初以来消费价格</w:t>
            </w:r>
            <w:r>
              <w:br/>
            </w:r>
            <w:r>
              <w:rPr>
                <w:rFonts w:hint="eastAsia"/>
              </w:rPr>
              <w:t xml:space="preserve">  </w:t>
            </w:r>
            <w:r>
              <w:rPr>
                <w:rFonts w:hint="eastAsia"/>
              </w:rPr>
              <w:t>的增长</w:t>
            </w:r>
            <w:r>
              <w:rPr>
                <w:rFonts w:hint="eastAsia"/>
              </w:rPr>
              <w:t>(%)</w:t>
            </w:r>
          </w:p>
        </w:tc>
        <w:tc>
          <w:tcPr>
            <w:tcW w:w="505" w:type="pct"/>
            <w:tcBorders>
              <w:top w:val="nil"/>
              <w:bottom w:val="nil"/>
            </w:tcBorders>
            <w:vAlign w:val="bottom"/>
          </w:tcPr>
          <w:p w:rsidR="00000000" w:rsidRDefault="00000000">
            <w:pPr>
              <w:pStyle w:val="a2"/>
              <w:tabs>
                <w:tab w:val="decimal" w:pos="497"/>
              </w:tabs>
              <w:spacing w:before="180"/>
            </w:pPr>
            <w:r>
              <w:t>204.5</w:t>
            </w:r>
          </w:p>
        </w:tc>
        <w:tc>
          <w:tcPr>
            <w:tcW w:w="505" w:type="pct"/>
            <w:tcBorders>
              <w:top w:val="nil"/>
              <w:bottom w:val="nil"/>
            </w:tcBorders>
            <w:vAlign w:val="bottom"/>
          </w:tcPr>
          <w:p w:rsidR="00000000" w:rsidRDefault="00000000">
            <w:pPr>
              <w:pStyle w:val="a2"/>
              <w:tabs>
                <w:tab w:val="decimal" w:pos="497"/>
              </w:tabs>
              <w:spacing w:before="180"/>
            </w:pPr>
            <w:r>
              <w:t>123.8</w:t>
            </w:r>
          </w:p>
        </w:tc>
        <w:tc>
          <w:tcPr>
            <w:tcW w:w="505" w:type="pct"/>
            <w:tcBorders>
              <w:top w:val="nil"/>
              <w:bottom w:val="nil"/>
            </w:tcBorders>
            <w:vAlign w:val="bottom"/>
          </w:tcPr>
          <w:p w:rsidR="00000000" w:rsidRDefault="00000000">
            <w:pPr>
              <w:pStyle w:val="a2"/>
              <w:tabs>
                <w:tab w:val="decimal" w:pos="497"/>
              </w:tabs>
              <w:spacing w:before="180"/>
            </w:pPr>
            <w:r>
              <w:t>115.1</w:t>
            </w:r>
          </w:p>
        </w:tc>
        <w:tc>
          <w:tcPr>
            <w:tcW w:w="505" w:type="pct"/>
            <w:tcBorders>
              <w:top w:val="nil"/>
              <w:bottom w:val="nil"/>
            </w:tcBorders>
            <w:vAlign w:val="bottom"/>
          </w:tcPr>
          <w:p w:rsidR="00000000" w:rsidRDefault="00000000">
            <w:pPr>
              <w:pStyle w:val="a2"/>
              <w:tabs>
                <w:tab w:val="decimal" w:pos="497"/>
              </w:tabs>
              <w:spacing w:before="180"/>
            </w:pPr>
            <w:r>
              <w:t>111.2</w:t>
            </w:r>
          </w:p>
        </w:tc>
        <w:tc>
          <w:tcPr>
            <w:tcW w:w="505" w:type="pct"/>
            <w:tcBorders>
              <w:top w:val="nil"/>
              <w:bottom w:val="nil"/>
            </w:tcBorders>
            <w:vAlign w:val="bottom"/>
          </w:tcPr>
          <w:p w:rsidR="00000000" w:rsidRDefault="00000000">
            <w:pPr>
              <w:pStyle w:val="a2"/>
              <w:tabs>
                <w:tab w:val="decimal" w:pos="497"/>
              </w:tabs>
              <w:spacing w:before="180"/>
            </w:pPr>
            <w:r>
              <w:t>118.3</w:t>
            </w:r>
          </w:p>
        </w:tc>
        <w:tc>
          <w:tcPr>
            <w:tcW w:w="505" w:type="pct"/>
            <w:tcBorders>
              <w:top w:val="nil"/>
              <w:bottom w:val="nil"/>
            </w:tcBorders>
            <w:vAlign w:val="bottom"/>
          </w:tcPr>
          <w:p w:rsidR="00000000" w:rsidRDefault="00000000">
            <w:pPr>
              <w:pStyle w:val="a2"/>
              <w:tabs>
                <w:tab w:val="decimal" w:pos="497"/>
              </w:tabs>
              <w:spacing w:before="180"/>
            </w:pPr>
            <w:r>
              <w:t>143.7</w:t>
            </w:r>
          </w:p>
        </w:tc>
        <w:tc>
          <w:tcPr>
            <w:tcW w:w="505" w:type="pct"/>
            <w:tcBorders>
              <w:top w:val="nil"/>
              <w:bottom w:val="nil"/>
            </w:tcBorders>
            <w:vAlign w:val="bottom"/>
          </w:tcPr>
          <w:p w:rsidR="00000000" w:rsidRDefault="00000000">
            <w:pPr>
              <w:pStyle w:val="a2"/>
              <w:tabs>
                <w:tab w:val="decimal" w:pos="497"/>
              </w:tabs>
              <w:spacing w:before="180"/>
            </w:pPr>
            <w:r>
              <w:t>118.4</w:t>
            </w:r>
          </w:p>
        </w:tc>
      </w:tr>
      <w:tr w:rsidR="00000000">
        <w:tblPrEx>
          <w:tblCellMar>
            <w:top w:w="0" w:type="dxa"/>
            <w:bottom w:w="0" w:type="dxa"/>
          </w:tblCellMar>
        </w:tblPrEx>
        <w:tc>
          <w:tcPr>
            <w:tcW w:w="1465" w:type="pct"/>
            <w:tcBorders>
              <w:top w:val="nil"/>
              <w:bottom w:val="nil"/>
            </w:tcBorders>
            <w:vAlign w:val="bottom"/>
          </w:tcPr>
          <w:p w:rsidR="00000000" w:rsidRDefault="00000000">
            <w:pPr>
              <w:pStyle w:val="a2"/>
              <w:ind w:left="170"/>
              <w:rPr>
                <w:rFonts w:hint="eastAsia"/>
              </w:rPr>
            </w:pPr>
            <w:r>
              <w:rPr>
                <w:rFonts w:hint="eastAsia"/>
              </w:rPr>
              <w:t>平均养老金</w:t>
            </w:r>
            <w:r>
              <w:rPr>
                <w:rFonts w:hint="eastAsia"/>
              </w:rPr>
              <w:t>(</w:t>
            </w:r>
            <w:r>
              <w:rPr>
                <w:rFonts w:hint="eastAsia"/>
              </w:rPr>
              <w:t>列依</w:t>
            </w:r>
            <w:r>
              <w:rPr>
                <w:rFonts w:hint="eastAsia"/>
              </w:rPr>
              <w:t>)</w:t>
            </w:r>
          </w:p>
        </w:tc>
        <w:tc>
          <w:tcPr>
            <w:tcW w:w="505" w:type="pct"/>
            <w:tcBorders>
              <w:top w:val="nil"/>
              <w:bottom w:val="nil"/>
            </w:tcBorders>
            <w:vAlign w:val="bottom"/>
          </w:tcPr>
          <w:p w:rsidR="00000000" w:rsidRDefault="00000000">
            <w:pPr>
              <w:pStyle w:val="a2"/>
              <w:tabs>
                <w:tab w:val="decimal" w:pos="497"/>
              </w:tabs>
            </w:pPr>
            <w:r>
              <w:t>55.2</w:t>
            </w:r>
          </w:p>
        </w:tc>
        <w:tc>
          <w:tcPr>
            <w:tcW w:w="505" w:type="pct"/>
            <w:tcBorders>
              <w:top w:val="nil"/>
              <w:bottom w:val="nil"/>
            </w:tcBorders>
            <w:vAlign w:val="bottom"/>
          </w:tcPr>
          <w:p w:rsidR="00000000" w:rsidRDefault="00000000">
            <w:pPr>
              <w:pStyle w:val="a2"/>
              <w:tabs>
                <w:tab w:val="decimal" w:pos="497"/>
              </w:tabs>
            </w:pPr>
            <w:r>
              <w:t>64.3</w:t>
            </w:r>
          </w:p>
        </w:tc>
        <w:tc>
          <w:tcPr>
            <w:tcW w:w="505" w:type="pct"/>
            <w:tcBorders>
              <w:top w:val="nil"/>
              <w:bottom w:val="nil"/>
            </w:tcBorders>
            <w:vAlign w:val="bottom"/>
          </w:tcPr>
          <w:p w:rsidR="00000000" w:rsidRDefault="00000000">
            <w:pPr>
              <w:pStyle w:val="a2"/>
              <w:tabs>
                <w:tab w:val="decimal" w:pos="497"/>
              </w:tabs>
            </w:pPr>
            <w:r>
              <w:t>78.7</w:t>
            </w:r>
          </w:p>
        </w:tc>
        <w:tc>
          <w:tcPr>
            <w:tcW w:w="505" w:type="pct"/>
            <w:tcBorders>
              <w:top w:val="nil"/>
              <w:bottom w:val="nil"/>
            </w:tcBorders>
            <w:vAlign w:val="bottom"/>
          </w:tcPr>
          <w:p w:rsidR="00000000" w:rsidRDefault="00000000">
            <w:pPr>
              <w:pStyle w:val="a2"/>
              <w:tabs>
                <w:tab w:val="decimal" w:pos="497"/>
              </w:tabs>
            </w:pPr>
            <w:r>
              <w:t>82.8</w:t>
            </w:r>
          </w:p>
        </w:tc>
        <w:tc>
          <w:tcPr>
            <w:tcW w:w="505" w:type="pct"/>
            <w:tcBorders>
              <w:top w:val="nil"/>
              <w:bottom w:val="nil"/>
            </w:tcBorders>
            <w:vAlign w:val="bottom"/>
          </w:tcPr>
          <w:p w:rsidR="00000000" w:rsidRDefault="00000000">
            <w:pPr>
              <w:pStyle w:val="a2"/>
              <w:tabs>
                <w:tab w:val="decimal" w:pos="497"/>
              </w:tabs>
            </w:pPr>
            <w:r>
              <w:t>83.9</w:t>
            </w:r>
          </w:p>
        </w:tc>
        <w:tc>
          <w:tcPr>
            <w:tcW w:w="505" w:type="pct"/>
            <w:tcBorders>
              <w:top w:val="nil"/>
              <w:bottom w:val="nil"/>
            </w:tcBorders>
            <w:vAlign w:val="bottom"/>
          </w:tcPr>
          <w:p w:rsidR="00000000" w:rsidRDefault="00000000">
            <w:pPr>
              <w:pStyle w:val="a2"/>
              <w:tabs>
                <w:tab w:val="decimal" w:pos="497"/>
              </w:tabs>
            </w:pPr>
            <w:r>
              <w:t>82.8</w:t>
            </w:r>
          </w:p>
        </w:tc>
        <w:tc>
          <w:tcPr>
            <w:tcW w:w="505" w:type="pct"/>
            <w:tcBorders>
              <w:top w:val="nil"/>
              <w:bottom w:val="nil"/>
            </w:tcBorders>
            <w:vAlign w:val="bottom"/>
          </w:tcPr>
          <w:p w:rsidR="00000000" w:rsidRDefault="00000000">
            <w:pPr>
              <w:pStyle w:val="a2"/>
              <w:tabs>
                <w:tab w:val="decimal" w:pos="497"/>
              </w:tabs>
            </w:pPr>
            <w:r>
              <w:t>84.6</w:t>
            </w:r>
          </w:p>
        </w:tc>
      </w:tr>
      <w:tr w:rsidR="00000000">
        <w:tblPrEx>
          <w:tblCellMar>
            <w:top w:w="0" w:type="dxa"/>
            <w:bottom w:w="0" w:type="dxa"/>
          </w:tblCellMar>
        </w:tblPrEx>
        <w:tc>
          <w:tcPr>
            <w:tcW w:w="1465" w:type="pct"/>
            <w:tcBorders>
              <w:top w:val="nil"/>
              <w:bottom w:val="nil"/>
            </w:tcBorders>
            <w:vAlign w:val="bottom"/>
          </w:tcPr>
          <w:p w:rsidR="00000000" w:rsidRDefault="00000000">
            <w:pPr>
              <w:pStyle w:val="a2"/>
              <w:spacing w:before="180"/>
              <w:ind w:left="170"/>
              <w:rPr>
                <w:rFonts w:hint="eastAsia"/>
              </w:rPr>
            </w:pPr>
            <w:r>
              <w:rPr>
                <w:rFonts w:hint="eastAsia"/>
              </w:rPr>
              <w:t>平均月通货膨胀率</w:t>
            </w:r>
            <w:r>
              <w:rPr>
                <w:rFonts w:hint="eastAsia"/>
              </w:rPr>
              <w:t>(%)</w:t>
            </w:r>
          </w:p>
        </w:tc>
        <w:tc>
          <w:tcPr>
            <w:tcW w:w="505" w:type="pct"/>
            <w:tcBorders>
              <w:top w:val="nil"/>
              <w:bottom w:val="nil"/>
            </w:tcBorders>
            <w:vAlign w:val="bottom"/>
          </w:tcPr>
          <w:p w:rsidR="00000000" w:rsidRDefault="00000000">
            <w:pPr>
              <w:pStyle w:val="a2"/>
              <w:tabs>
                <w:tab w:val="decimal" w:pos="497"/>
              </w:tabs>
              <w:spacing w:before="180"/>
            </w:pPr>
            <w:r>
              <w:t>6.2</w:t>
            </w:r>
          </w:p>
        </w:tc>
        <w:tc>
          <w:tcPr>
            <w:tcW w:w="505" w:type="pct"/>
            <w:tcBorders>
              <w:top w:val="nil"/>
              <w:bottom w:val="nil"/>
            </w:tcBorders>
            <w:vAlign w:val="bottom"/>
          </w:tcPr>
          <w:p w:rsidR="00000000" w:rsidRDefault="00000000">
            <w:pPr>
              <w:pStyle w:val="a2"/>
              <w:tabs>
                <w:tab w:val="decimal" w:pos="497"/>
              </w:tabs>
              <w:spacing w:before="180"/>
            </w:pPr>
            <w:r>
              <w:t>1.8</w:t>
            </w:r>
          </w:p>
        </w:tc>
        <w:tc>
          <w:tcPr>
            <w:tcW w:w="505" w:type="pct"/>
            <w:tcBorders>
              <w:top w:val="nil"/>
              <w:bottom w:val="nil"/>
            </w:tcBorders>
            <w:vAlign w:val="bottom"/>
          </w:tcPr>
          <w:p w:rsidR="00000000" w:rsidRDefault="00000000">
            <w:pPr>
              <w:pStyle w:val="a2"/>
              <w:tabs>
                <w:tab w:val="decimal" w:pos="497"/>
              </w:tabs>
              <w:spacing w:before="180"/>
            </w:pPr>
            <w:r>
              <w:t>1.2</w:t>
            </w:r>
          </w:p>
        </w:tc>
        <w:tc>
          <w:tcPr>
            <w:tcW w:w="505" w:type="pct"/>
            <w:tcBorders>
              <w:top w:val="nil"/>
              <w:bottom w:val="nil"/>
            </w:tcBorders>
            <w:vAlign w:val="bottom"/>
          </w:tcPr>
          <w:p w:rsidR="00000000" w:rsidRDefault="00000000">
            <w:pPr>
              <w:pStyle w:val="a2"/>
              <w:tabs>
                <w:tab w:val="decimal" w:pos="497"/>
              </w:tabs>
              <w:spacing w:before="180"/>
            </w:pPr>
            <w:r>
              <w:t>0.9</w:t>
            </w:r>
          </w:p>
        </w:tc>
        <w:tc>
          <w:tcPr>
            <w:tcW w:w="505" w:type="pct"/>
            <w:tcBorders>
              <w:top w:val="nil"/>
              <w:bottom w:val="nil"/>
            </w:tcBorders>
            <w:vAlign w:val="bottom"/>
          </w:tcPr>
          <w:p w:rsidR="00000000" w:rsidRDefault="00000000">
            <w:pPr>
              <w:pStyle w:val="a2"/>
              <w:tabs>
                <w:tab w:val="decimal" w:pos="497"/>
              </w:tabs>
              <w:spacing w:before="180"/>
            </w:pPr>
            <w:r>
              <w:t>1.41</w:t>
            </w:r>
          </w:p>
        </w:tc>
        <w:tc>
          <w:tcPr>
            <w:tcW w:w="505" w:type="pct"/>
            <w:tcBorders>
              <w:top w:val="nil"/>
              <w:bottom w:val="nil"/>
            </w:tcBorders>
            <w:vAlign w:val="bottom"/>
          </w:tcPr>
          <w:p w:rsidR="00000000" w:rsidRDefault="00000000">
            <w:pPr>
              <w:pStyle w:val="a2"/>
              <w:tabs>
                <w:tab w:val="decimal" w:pos="497"/>
              </w:tabs>
              <w:spacing w:before="180"/>
            </w:pPr>
            <w:r>
              <w:t>3.05</w:t>
            </w:r>
          </w:p>
        </w:tc>
        <w:tc>
          <w:tcPr>
            <w:tcW w:w="505" w:type="pct"/>
            <w:tcBorders>
              <w:top w:val="nil"/>
              <w:bottom w:val="nil"/>
            </w:tcBorders>
            <w:vAlign w:val="bottom"/>
          </w:tcPr>
          <w:p w:rsidR="00000000" w:rsidRDefault="00000000">
            <w:pPr>
              <w:pStyle w:val="a2"/>
              <w:tabs>
                <w:tab w:val="decimal" w:pos="497"/>
              </w:tabs>
              <w:spacing w:before="180"/>
            </w:pPr>
            <w:r>
              <w:t>1.60</w:t>
            </w:r>
          </w:p>
        </w:tc>
      </w:tr>
      <w:tr w:rsidR="00000000">
        <w:tblPrEx>
          <w:tblCellMar>
            <w:top w:w="0" w:type="dxa"/>
            <w:bottom w:w="0" w:type="dxa"/>
          </w:tblCellMar>
        </w:tblPrEx>
        <w:tc>
          <w:tcPr>
            <w:tcW w:w="1465" w:type="pct"/>
            <w:tcBorders>
              <w:top w:val="nil"/>
            </w:tcBorders>
            <w:vAlign w:val="bottom"/>
          </w:tcPr>
          <w:p w:rsidR="00000000" w:rsidRDefault="00000000">
            <w:pPr>
              <w:pStyle w:val="a2"/>
              <w:spacing w:after="120"/>
              <w:ind w:left="170"/>
              <w:rPr>
                <w:rFonts w:hint="eastAsia"/>
              </w:rPr>
            </w:pPr>
            <w:r>
              <w:rPr>
                <w:rFonts w:hint="eastAsia"/>
              </w:rPr>
              <w:t>失业人口总数</w:t>
            </w:r>
            <w:r>
              <w:rPr>
                <w:rFonts w:hint="eastAsia"/>
              </w:rPr>
              <w:t>(</w:t>
            </w:r>
            <w:r>
              <w:rPr>
                <w:rFonts w:hint="eastAsia"/>
              </w:rPr>
              <w:t>千人</w:t>
            </w:r>
            <w:r>
              <w:rPr>
                <w:rFonts w:hint="eastAsia"/>
              </w:rPr>
              <w:t>)</w:t>
            </w:r>
          </w:p>
        </w:tc>
        <w:tc>
          <w:tcPr>
            <w:tcW w:w="505" w:type="pct"/>
            <w:tcBorders>
              <w:top w:val="nil"/>
            </w:tcBorders>
            <w:vAlign w:val="bottom"/>
          </w:tcPr>
          <w:p w:rsidR="00000000" w:rsidRDefault="00000000">
            <w:pPr>
              <w:pStyle w:val="a2"/>
              <w:tabs>
                <w:tab w:val="decimal" w:pos="497"/>
              </w:tabs>
              <w:spacing w:after="120"/>
            </w:pPr>
            <w:r>
              <w:t>38.7</w:t>
            </w:r>
          </w:p>
        </w:tc>
        <w:tc>
          <w:tcPr>
            <w:tcW w:w="505" w:type="pct"/>
            <w:tcBorders>
              <w:top w:val="nil"/>
            </w:tcBorders>
            <w:vAlign w:val="bottom"/>
          </w:tcPr>
          <w:p w:rsidR="00000000" w:rsidRDefault="00000000">
            <w:pPr>
              <w:pStyle w:val="a2"/>
              <w:tabs>
                <w:tab w:val="decimal" w:pos="497"/>
              </w:tabs>
              <w:spacing w:after="120"/>
            </w:pPr>
            <w:r>
              <w:t>45.4</w:t>
            </w:r>
          </w:p>
        </w:tc>
        <w:tc>
          <w:tcPr>
            <w:tcW w:w="505" w:type="pct"/>
            <w:tcBorders>
              <w:top w:val="nil"/>
            </w:tcBorders>
            <w:vAlign w:val="bottom"/>
          </w:tcPr>
          <w:p w:rsidR="00000000" w:rsidRDefault="00000000">
            <w:pPr>
              <w:pStyle w:val="a2"/>
              <w:tabs>
                <w:tab w:val="decimal" w:pos="497"/>
              </w:tabs>
              <w:spacing w:after="120"/>
            </w:pPr>
            <w:r>
              <w:t>46.3</w:t>
            </w:r>
          </w:p>
        </w:tc>
        <w:tc>
          <w:tcPr>
            <w:tcW w:w="505" w:type="pct"/>
            <w:tcBorders>
              <w:top w:val="nil"/>
            </w:tcBorders>
            <w:vAlign w:val="bottom"/>
          </w:tcPr>
          <w:p w:rsidR="00000000" w:rsidRDefault="00000000">
            <w:pPr>
              <w:pStyle w:val="a2"/>
              <w:tabs>
                <w:tab w:val="decimal" w:pos="497"/>
              </w:tabs>
              <w:spacing w:after="120"/>
            </w:pPr>
            <w:r>
              <w:t>49.5</w:t>
            </w:r>
          </w:p>
        </w:tc>
        <w:tc>
          <w:tcPr>
            <w:tcW w:w="505" w:type="pct"/>
            <w:tcBorders>
              <w:top w:val="nil"/>
            </w:tcBorders>
            <w:vAlign w:val="bottom"/>
          </w:tcPr>
          <w:p w:rsidR="00000000" w:rsidRDefault="00000000">
            <w:pPr>
              <w:pStyle w:val="a2"/>
              <w:tabs>
                <w:tab w:val="decimal" w:pos="497"/>
              </w:tabs>
              <w:spacing w:after="120"/>
            </w:pPr>
            <w:r>
              <w:t>63.3</w:t>
            </w:r>
          </w:p>
        </w:tc>
        <w:tc>
          <w:tcPr>
            <w:tcW w:w="505" w:type="pct"/>
            <w:tcBorders>
              <w:top w:val="nil"/>
            </w:tcBorders>
            <w:vAlign w:val="bottom"/>
          </w:tcPr>
          <w:p w:rsidR="00000000" w:rsidRDefault="00000000">
            <w:pPr>
              <w:pStyle w:val="a2"/>
              <w:tabs>
                <w:tab w:val="decimal" w:pos="497"/>
              </w:tabs>
              <w:spacing w:after="120"/>
            </w:pPr>
            <w:r>
              <w:t>57.8</w:t>
            </w:r>
          </w:p>
        </w:tc>
        <w:tc>
          <w:tcPr>
            <w:tcW w:w="505" w:type="pct"/>
            <w:tcBorders>
              <w:top w:val="nil"/>
            </w:tcBorders>
            <w:vAlign w:val="bottom"/>
          </w:tcPr>
          <w:p w:rsidR="00000000" w:rsidRDefault="00000000">
            <w:pPr>
              <w:pStyle w:val="a2"/>
              <w:tabs>
                <w:tab w:val="decimal" w:pos="497"/>
              </w:tabs>
              <w:spacing w:after="120"/>
            </w:pPr>
            <w:r>
              <w:t>47.3</w:t>
            </w:r>
          </w:p>
        </w:tc>
      </w:tr>
    </w:tbl>
    <w:p w:rsidR="00000000" w:rsidRDefault="00000000">
      <w:pPr>
        <w:rPr>
          <w:rFonts w:hint="eastAsia"/>
        </w:rPr>
      </w:pPr>
    </w:p>
    <w:p w:rsidR="00000000" w:rsidRDefault="00000000">
      <w:pPr>
        <w:rPr>
          <w:rFonts w:hint="eastAsia"/>
        </w:rPr>
      </w:pPr>
      <w:r>
        <w:rPr>
          <w:rFonts w:hint="eastAsia"/>
        </w:rPr>
        <w:tab/>
        <w:t xml:space="preserve">470.  </w:t>
      </w:r>
      <w:r>
        <w:rPr>
          <w:rFonts w:hint="eastAsia"/>
        </w:rPr>
        <w:t>与</w:t>
      </w:r>
      <w:r>
        <w:rPr>
          <w:rFonts w:hint="eastAsia"/>
        </w:rPr>
        <w:t>1992</w:t>
      </w:r>
      <w:r>
        <w:rPr>
          <w:rFonts w:hint="eastAsia"/>
        </w:rPr>
        <w:t>年相比，</w:t>
      </w:r>
      <w:r>
        <w:rPr>
          <w:rFonts w:hint="eastAsia"/>
        </w:rPr>
        <w:t>1998</w:t>
      </w:r>
      <w:r>
        <w:rPr>
          <w:rFonts w:hint="eastAsia"/>
        </w:rPr>
        <w:t>年平均养老金占平均工资的比例从</w:t>
      </w:r>
      <w:r>
        <w:rPr>
          <w:rFonts w:hint="eastAsia"/>
        </w:rPr>
        <w:t>60.3%</w:t>
      </w:r>
      <w:r>
        <w:rPr>
          <w:rFonts w:hint="eastAsia"/>
        </w:rPr>
        <w:t>下降到</w:t>
      </w:r>
      <w:r>
        <w:rPr>
          <w:rFonts w:hint="eastAsia"/>
        </w:rPr>
        <w:t>33.8%(</w:t>
      </w:r>
      <w:r>
        <w:rPr>
          <w:rFonts w:hint="eastAsia"/>
        </w:rPr>
        <w:t>劳工组织认为，这一代换指数应当在</w:t>
      </w:r>
      <w:r>
        <w:rPr>
          <w:rFonts w:hint="eastAsia"/>
        </w:rPr>
        <w:t>75%</w:t>
      </w:r>
      <w:r>
        <w:rPr>
          <w:rFonts w:hint="eastAsia"/>
        </w:rPr>
        <w:t>左右</w:t>
      </w:r>
      <w:r>
        <w:rPr>
          <w:rFonts w:hint="eastAsia"/>
        </w:rPr>
        <w:t>)</w:t>
      </w:r>
      <w:r>
        <w:rPr>
          <w:rFonts w:hint="eastAsia"/>
        </w:rPr>
        <w:t>才能保证社会收入的公平再分配。显然，这样的养老金不能保证体面的生活水平。</w:t>
      </w:r>
    </w:p>
    <w:p w:rsidR="00000000" w:rsidRDefault="00000000">
      <w:pPr>
        <w:rPr>
          <w:rFonts w:hint="eastAsia"/>
        </w:rPr>
      </w:pPr>
      <w:r>
        <w:rPr>
          <w:rFonts w:hint="eastAsia"/>
        </w:rPr>
        <w:tab/>
        <w:t xml:space="preserve">471.  </w:t>
      </w:r>
      <w:r>
        <w:rPr>
          <w:rFonts w:hint="eastAsia"/>
        </w:rPr>
        <w:t>摩尔多瓦共和国统计和社会分析局的数据显示，</w:t>
      </w:r>
      <w:r>
        <w:rPr>
          <w:rFonts w:hint="eastAsia"/>
        </w:rPr>
        <w:t>16.2%</w:t>
      </w:r>
      <w:r>
        <w:rPr>
          <w:rFonts w:hint="eastAsia"/>
        </w:rPr>
        <w:t>的老人的养老金是</w:t>
      </w:r>
      <w:r>
        <w:rPr>
          <w:rFonts w:hint="eastAsia"/>
        </w:rPr>
        <w:t>70</w:t>
      </w:r>
      <w:r>
        <w:rPr>
          <w:rFonts w:hint="eastAsia"/>
        </w:rPr>
        <w:t>列依，低于贫困线。这些养老金领取者的消费支出结构表明，超过</w:t>
      </w:r>
      <w:r>
        <w:rPr>
          <w:rFonts w:hint="eastAsia"/>
        </w:rPr>
        <w:t>72.6%</w:t>
      </w:r>
      <w:r>
        <w:rPr>
          <w:rFonts w:hint="eastAsia"/>
        </w:rPr>
        <w:t>的养老金花在食物上。此外，到</w:t>
      </w:r>
      <w:r>
        <w:rPr>
          <w:rFonts w:hint="eastAsia"/>
        </w:rPr>
        <w:t>1998</w:t>
      </w:r>
      <w:r>
        <w:rPr>
          <w:rFonts w:hint="eastAsia"/>
        </w:rPr>
        <w:t>年底，拖欠的养老金总额达</w:t>
      </w:r>
      <w:r>
        <w:rPr>
          <w:rFonts w:hint="eastAsia"/>
        </w:rPr>
        <w:t>300,000</w:t>
      </w:r>
      <w:r>
        <w:rPr>
          <w:rFonts w:hint="eastAsia"/>
        </w:rPr>
        <w:t>列依，占国内生产总值的</w:t>
      </w:r>
      <w:r>
        <w:rPr>
          <w:rFonts w:hint="eastAsia"/>
        </w:rPr>
        <w:t>3.4%</w:t>
      </w:r>
      <w:r>
        <w:rPr>
          <w:rFonts w:hint="eastAsia"/>
        </w:rPr>
        <w:t>。养老金的支付被拖延</w:t>
      </w:r>
      <w:r>
        <w:rPr>
          <w:rFonts w:hint="eastAsia"/>
        </w:rPr>
        <w:t>5</w:t>
      </w:r>
      <w:r>
        <w:rPr>
          <w:rFonts w:hint="eastAsia"/>
        </w:rPr>
        <w:t>至</w:t>
      </w:r>
      <w:r>
        <w:rPr>
          <w:rFonts w:hint="eastAsia"/>
        </w:rPr>
        <w:t>5</w:t>
      </w:r>
      <w:r>
        <w:rPr>
          <w:rFonts w:hint="eastAsia"/>
        </w:rPr>
        <w:t>个半月。农村地区养老金的支付被拖延</w:t>
      </w:r>
      <w:r>
        <w:rPr>
          <w:rFonts w:hint="eastAsia"/>
        </w:rPr>
        <w:t>8</w:t>
      </w:r>
      <w:r>
        <w:rPr>
          <w:rFonts w:hint="eastAsia"/>
        </w:rPr>
        <w:t>至</w:t>
      </w:r>
      <w:r>
        <w:rPr>
          <w:rFonts w:hint="eastAsia"/>
        </w:rPr>
        <w:t>9</w:t>
      </w:r>
      <w:r>
        <w:rPr>
          <w:rFonts w:hint="eastAsia"/>
        </w:rPr>
        <w:t>个月。作为一项缓解措施，“老年保险”方案除了实施一个新的养老金体系外，规定了一系列措施如：</w:t>
      </w:r>
    </w:p>
    <w:p w:rsidR="00000000" w:rsidRDefault="00000000">
      <w:pPr>
        <w:numPr>
          <w:ilvl w:val="0"/>
          <w:numId w:val="566"/>
        </w:numPr>
        <w:rPr>
          <w:rFonts w:hint="eastAsia"/>
        </w:rPr>
      </w:pPr>
      <w:r>
        <w:rPr>
          <w:rFonts w:hint="eastAsia"/>
        </w:rPr>
        <w:t>清偿拖欠的养老金并实施一种不允许拖延的机制；</w:t>
      </w:r>
    </w:p>
    <w:p w:rsidR="00000000" w:rsidRDefault="00000000">
      <w:pPr>
        <w:numPr>
          <w:ilvl w:val="0"/>
          <w:numId w:val="566"/>
        </w:numPr>
        <w:rPr>
          <w:rFonts w:hint="eastAsia"/>
        </w:rPr>
      </w:pPr>
      <w:r>
        <w:rPr>
          <w:rFonts w:hint="eastAsia"/>
        </w:rPr>
        <w:t>增加老年人的社会服务。</w:t>
      </w:r>
    </w:p>
    <w:p w:rsidR="00000000" w:rsidRDefault="00000000">
      <w:pPr>
        <w:rPr>
          <w:rFonts w:hint="eastAsia"/>
        </w:rPr>
      </w:pPr>
      <w:r>
        <w:rPr>
          <w:rFonts w:hint="eastAsia"/>
        </w:rPr>
        <w:tab/>
        <w:t xml:space="preserve">472.  </w:t>
      </w:r>
      <w:r>
        <w:rPr>
          <w:rFonts w:hint="eastAsia"/>
        </w:rPr>
        <w:t>摩尔多瓦共和国约有</w:t>
      </w:r>
      <w:r>
        <w:rPr>
          <w:rFonts w:hint="eastAsia"/>
        </w:rPr>
        <w:t>152,400</w:t>
      </w:r>
      <w:r>
        <w:rPr>
          <w:rFonts w:hint="eastAsia"/>
        </w:rPr>
        <w:t>名残疾人，其中</w:t>
      </w:r>
      <w:r>
        <w:rPr>
          <w:rFonts w:hint="eastAsia"/>
        </w:rPr>
        <w:t>76.8%</w:t>
      </w:r>
      <w:r>
        <w:rPr>
          <w:rFonts w:hint="eastAsia"/>
        </w:rPr>
        <w:t>由于工伤事故丧失了劳动能力。残疾儿童约占残疾人总数的</w:t>
      </w:r>
      <w:r>
        <w:rPr>
          <w:rFonts w:hint="eastAsia"/>
        </w:rPr>
        <w:t>18%</w:t>
      </w:r>
      <w:r>
        <w:rPr>
          <w:rFonts w:hint="eastAsia"/>
        </w:rPr>
        <w:t>。缓解残疾人境遇的措施如下：</w:t>
      </w:r>
    </w:p>
    <w:p w:rsidR="00000000" w:rsidRDefault="00000000">
      <w:pPr>
        <w:numPr>
          <w:ilvl w:val="0"/>
          <w:numId w:val="567"/>
        </w:numPr>
        <w:rPr>
          <w:rFonts w:hint="eastAsia"/>
        </w:rPr>
      </w:pPr>
      <w:r>
        <w:rPr>
          <w:rFonts w:hint="eastAsia"/>
        </w:rPr>
        <w:t>发放残疾津贴；</w:t>
      </w:r>
    </w:p>
    <w:p w:rsidR="00000000" w:rsidRDefault="00000000">
      <w:pPr>
        <w:numPr>
          <w:ilvl w:val="0"/>
          <w:numId w:val="567"/>
        </w:numPr>
        <w:rPr>
          <w:rFonts w:hint="eastAsia"/>
        </w:rPr>
      </w:pPr>
      <w:r>
        <w:rPr>
          <w:rFonts w:hint="eastAsia"/>
        </w:rPr>
        <w:t>从社会支助基金中发放额外补贴；</w:t>
      </w:r>
    </w:p>
    <w:p w:rsidR="00000000" w:rsidRDefault="00000000">
      <w:pPr>
        <w:numPr>
          <w:ilvl w:val="0"/>
          <w:numId w:val="567"/>
        </w:numPr>
        <w:rPr>
          <w:rFonts w:hint="eastAsia"/>
        </w:rPr>
      </w:pPr>
      <w:r>
        <w:rPr>
          <w:rFonts w:hint="eastAsia"/>
        </w:rPr>
        <w:t>在矿泉疗养地免费治疗；</w:t>
      </w:r>
    </w:p>
    <w:p w:rsidR="00000000" w:rsidRDefault="00000000">
      <w:pPr>
        <w:numPr>
          <w:ilvl w:val="0"/>
          <w:numId w:val="567"/>
        </w:numPr>
        <w:rPr>
          <w:rFonts w:hint="eastAsia"/>
        </w:rPr>
      </w:pPr>
      <w:r>
        <w:rPr>
          <w:rFonts w:hint="eastAsia"/>
        </w:rPr>
        <w:t>提供假体和其他行动工具。</w:t>
      </w:r>
    </w:p>
    <w:p w:rsidR="00000000" w:rsidRDefault="00000000">
      <w:pPr>
        <w:rPr>
          <w:rFonts w:hint="eastAsia"/>
        </w:rPr>
      </w:pPr>
      <w:r>
        <w:rPr>
          <w:rFonts w:hint="eastAsia"/>
        </w:rPr>
        <w:tab/>
        <w:t xml:space="preserve">473.  </w:t>
      </w:r>
      <w:r>
        <w:rPr>
          <w:rFonts w:hint="eastAsia"/>
        </w:rPr>
        <w:t>摩尔多瓦共和国尚未建立作为衡量手段的“贫困线”。由于缺少专门调查，由行政机构所作的关于社会保护的评估仍然不够。首次分析贫困现象的努力是在“摩尔多瓦共和国减轻贫困国家方案”内进行的</w:t>
      </w:r>
      <w:r>
        <w:rPr>
          <w:rFonts w:hint="eastAsia"/>
        </w:rPr>
        <w:t>(1997</w:t>
      </w:r>
      <w:r>
        <w:rPr>
          <w:rFonts w:hint="eastAsia"/>
        </w:rPr>
        <w:t>－</w:t>
      </w:r>
      <w:r>
        <w:rPr>
          <w:rFonts w:hint="eastAsia"/>
        </w:rPr>
        <w:t>1998)</w:t>
      </w:r>
      <w:r>
        <w:rPr>
          <w:rFonts w:hint="eastAsia"/>
        </w:rPr>
        <w:t>。它由世界银行和开发署资助，确定贫困是以“贫困线”为起点，相当于每月</w:t>
      </w:r>
      <w:r>
        <w:rPr>
          <w:rFonts w:hint="eastAsia"/>
        </w:rPr>
        <w:t>70</w:t>
      </w:r>
      <w:r>
        <w:rPr>
          <w:rFonts w:hint="eastAsia"/>
        </w:rPr>
        <w:t>列依</w:t>
      </w:r>
      <w:r>
        <w:rPr>
          <w:rFonts w:hint="eastAsia"/>
        </w:rPr>
        <w:t>(</w:t>
      </w:r>
      <w:r>
        <w:rPr>
          <w:rFonts w:hint="eastAsia"/>
        </w:rPr>
        <w:t>按现行汇率为每天</w:t>
      </w:r>
      <w:r>
        <w:rPr>
          <w:rFonts w:hint="eastAsia"/>
        </w:rPr>
        <w:t>0.5</w:t>
      </w:r>
      <w:r>
        <w:rPr>
          <w:rFonts w:hint="eastAsia"/>
        </w:rPr>
        <w:t>美元</w:t>
      </w:r>
      <w:r>
        <w:rPr>
          <w:rFonts w:hint="eastAsia"/>
        </w:rPr>
        <w:t>)</w:t>
      </w:r>
      <w:r>
        <w:rPr>
          <w:rFonts w:hint="eastAsia"/>
        </w:rPr>
        <w:t>。</w:t>
      </w:r>
      <w:r>
        <w:rPr>
          <w:rFonts w:hint="eastAsia"/>
        </w:rPr>
        <w:t>1997</w:t>
      </w:r>
      <w:r>
        <w:rPr>
          <w:rFonts w:hint="eastAsia"/>
        </w:rPr>
        <w:t>年，收入在贫困线以下的穷人占人口总数的</w:t>
      </w:r>
      <w:r>
        <w:rPr>
          <w:rFonts w:hint="eastAsia"/>
        </w:rPr>
        <w:t>20%</w:t>
      </w:r>
      <w:r>
        <w:rPr>
          <w:rFonts w:hint="eastAsia"/>
        </w:rPr>
        <w:t>。另一项世界银行项目，“摩尔多瓦</w:t>
      </w:r>
      <w:r>
        <w:rPr>
          <w:rFonts w:hint="eastAsia"/>
          <w:spacing w:val="-50"/>
        </w:rPr>
        <w:t>―</w:t>
      </w:r>
      <w:r>
        <w:rPr>
          <w:rFonts w:hint="eastAsia"/>
        </w:rPr>
        <w:t>―贫困评估”的评估表明，贫困线以下的人口从第二季度的</w:t>
      </w:r>
      <w:r>
        <w:rPr>
          <w:rFonts w:hint="eastAsia"/>
        </w:rPr>
        <w:t>35%</w:t>
      </w:r>
      <w:r>
        <w:rPr>
          <w:rFonts w:hint="eastAsia"/>
        </w:rPr>
        <w:t>增加到第四季度的</w:t>
      </w:r>
      <w:r>
        <w:rPr>
          <w:rFonts w:hint="eastAsia"/>
        </w:rPr>
        <w:t>45%</w:t>
      </w:r>
      <w:r>
        <w:rPr>
          <w:rFonts w:hint="eastAsia"/>
        </w:rPr>
        <w:t>。这些研究并未促进对贫困的监控，进一步研究发现贫困现象已经扩大。考虑到这一问题的重要性以及大众传媒与此相反的反映，摩尔多瓦共和国科学院于</w:t>
      </w:r>
      <w:r>
        <w:rPr>
          <w:rFonts w:hint="eastAsia"/>
        </w:rPr>
        <w:t>1999</w:t>
      </w:r>
      <w:r>
        <w:rPr>
          <w:rFonts w:hint="eastAsia"/>
        </w:rPr>
        <w:t>年进行了另一次研究。在修改和完善了前几次调查的数据后，确定贫困线为每月</w:t>
      </w:r>
      <w:r>
        <w:rPr>
          <w:rFonts w:hint="eastAsia"/>
        </w:rPr>
        <w:t>150.78</w:t>
      </w:r>
      <w:r>
        <w:rPr>
          <w:rFonts w:hint="eastAsia"/>
        </w:rPr>
        <w:t>列依</w:t>
      </w:r>
      <w:r>
        <w:rPr>
          <w:rFonts w:hint="eastAsia"/>
        </w:rPr>
        <w:t>(</w:t>
      </w:r>
      <w:r>
        <w:rPr>
          <w:rFonts w:hint="eastAsia"/>
        </w:rPr>
        <w:t>根据现行汇率，低于每天</w:t>
      </w:r>
      <w:r>
        <w:rPr>
          <w:rFonts w:hint="eastAsia"/>
        </w:rPr>
        <w:t>0.5</w:t>
      </w:r>
      <w:r>
        <w:rPr>
          <w:rFonts w:hint="eastAsia"/>
        </w:rPr>
        <w:t>美元</w:t>
      </w:r>
      <w:r>
        <w:rPr>
          <w:rFonts w:hint="eastAsia"/>
        </w:rPr>
        <w:t>)</w:t>
      </w:r>
      <w:r>
        <w:rPr>
          <w:rFonts w:hint="eastAsia"/>
        </w:rPr>
        <w:t>。分析表明：</w:t>
      </w:r>
    </w:p>
    <w:p w:rsidR="00000000" w:rsidRDefault="00000000">
      <w:pPr>
        <w:numPr>
          <w:ilvl w:val="0"/>
          <w:numId w:val="568"/>
        </w:numPr>
        <w:rPr>
          <w:rFonts w:hint="eastAsia"/>
        </w:rPr>
      </w:pPr>
      <w:r>
        <w:rPr>
          <w:rFonts w:hint="eastAsia"/>
        </w:rPr>
        <w:t>摩尔多瓦共和国的贫困比例大于转型中的独联体欧洲国家和东欧；</w:t>
      </w:r>
    </w:p>
    <w:p w:rsidR="00000000" w:rsidRDefault="00000000">
      <w:pPr>
        <w:numPr>
          <w:ilvl w:val="0"/>
          <w:numId w:val="568"/>
        </w:numPr>
        <w:rPr>
          <w:rFonts w:hint="eastAsia"/>
        </w:rPr>
      </w:pPr>
      <w:r>
        <w:rPr>
          <w:rFonts w:hint="eastAsia"/>
        </w:rPr>
        <w:t>生活在贫困线以下的风险在农村地区较高，那里工作机会有限；</w:t>
      </w:r>
    </w:p>
    <w:p w:rsidR="00000000" w:rsidRDefault="00000000">
      <w:pPr>
        <w:numPr>
          <w:ilvl w:val="0"/>
          <w:numId w:val="568"/>
        </w:numPr>
        <w:rPr>
          <w:rFonts w:hint="eastAsia"/>
        </w:rPr>
      </w:pPr>
      <w:r>
        <w:rPr>
          <w:rFonts w:hint="eastAsia"/>
        </w:rPr>
        <w:t>农业是贫困人口最多的部门；</w:t>
      </w:r>
    </w:p>
    <w:p w:rsidR="00000000" w:rsidRDefault="00000000">
      <w:pPr>
        <w:numPr>
          <w:ilvl w:val="0"/>
          <w:numId w:val="568"/>
        </w:numPr>
        <w:rPr>
          <w:rFonts w:hint="eastAsia"/>
        </w:rPr>
      </w:pPr>
      <w:r>
        <w:rPr>
          <w:rFonts w:hint="eastAsia"/>
        </w:rPr>
        <w:t>教育程度较高的人群的贫困指数较低；</w:t>
      </w:r>
    </w:p>
    <w:p w:rsidR="00000000" w:rsidRDefault="00000000">
      <w:pPr>
        <w:numPr>
          <w:ilvl w:val="0"/>
          <w:numId w:val="568"/>
        </w:numPr>
        <w:rPr>
          <w:rFonts w:hint="eastAsia"/>
        </w:rPr>
      </w:pPr>
      <w:r>
        <w:rPr>
          <w:rFonts w:hint="eastAsia"/>
        </w:rPr>
        <w:t>简单劳动者中有</w:t>
      </w:r>
      <w:r>
        <w:rPr>
          <w:rFonts w:hint="eastAsia"/>
        </w:rPr>
        <w:t>60%</w:t>
      </w:r>
      <w:r>
        <w:rPr>
          <w:rFonts w:hint="eastAsia"/>
        </w:rPr>
        <w:t>生活贫困。</w:t>
      </w:r>
    </w:p>
    <w:p w:rsidR="00000000" w:rsidRDefault="00000000">
      <w:pPr>
        <w:rPr>
          <w:rFonts w:hint="eastAsia"/>
        </w:rPr>
      </w:pPr>
      <w:r>
        <w:rPr>
          <w:rFonts w:hint="eastAsia"/>
        </w:rPr>
        <w:tab/>
        <w:t xml:space="preserve">474.  </w:t>
      </w:r>
      <w:r>
        <w:rPr>
          <w:rFonts w:hint="eastAsia"/>
        </w:rPr>
        <w:t>国内存在相对于经常性贫困</w:t>
      </w:r>
      <w:r>
        <w:rPr>
          <w:rFonts w:hint="eastAsia"/>
        </w:rPr>
        <w:t>(</w:t>
      </w:r>
      <w:r>
        <w:rPr>
          <w:rFonts w:hint="eastAsia"/>
        </w:rPr>
        <w:t>无固定住处者或吸毒者</w:t>
      </w:r>
      <w:r>
        <w:rPr>
          <w:rFonts w:hint="eastAsia"/>
        </w:rPr>
        <w:t>)</w:t>
      </w:r>
      <w:r>
        <w:rPr>
          <w:rFonts w:hint="eastAsia"/>
        </w:rPr>
        <w:t>的现时贫困</w:t>
      </w:r>
      <w:r>
        <w:rPr>
          <w:rFonts w:hint="eastAsia"/>
        </w:rPr>
        <w:t>(</w:t>
      </w:r>
      <w:r>
        <w:rPr>
          <w:rFonts w:hint="eastAsia"/>
        </w:rPr>
        <w:t>即暂时无法获得食物和衣服</w:t>
      </w:r>
      <w:r>
        <w:rPr>
          <w:rFonts w:hint="eastAsia"/>
        </w:rPr>
        <w:t>)</w:t>
      </w:r>
      <w:r>
        <w:rPr>
          <w:rFonts w:hint="eastAsia"/>
        </w:rPr>
        <w:t>。由于收入的分配不利于弱势群体，进一步加剧了这种情况。贫困线以下家庭的收入比参考标准低</w:t>
      </w:r>
      <w:r>
        <w:rPr>
          <w:rFonts w:hint="eastAsia"/>
        </w:rPr>
        <w:t>40%</w:t>
      </w:r>
      <w:r>
        <w:rPr>
          <w:rFonts w:hint="eastAsia"/>
        </w:rPr>
        <w:t>。</w:t>
      </w:r>
    </w:p>
    <w:p w:rsidR="00000000" w:rsidRDefault="00000000">
      <w:pPr>
        <w:rPr>
          <w:rFonts w:hint="eastAsia"/>
        </w:rPr>
      </w:pPr>
      <w:r>
        <w:rPr>
          <w:rFonts w:hint="eastAsia"/>
        </w:rPr>
        <w:tab/>
        <w:t xml:space="preserve">475.  </w:t>
      </w:r>
      <w:r>
        <w:rPr>
          <w:rFonts w:hint="eastAsia"/>
        </w:rPr>
        <w:t>生活水平的恶化决定了食物开支的增加，而卡路里的平均摄入量减少。战略调查和改革中心对家庭预算进行了一次调查。根据这些数据，</w:t>
      </w:r>
      <w:r>
        <w:rPr>
          <w:rFonts w:hint="eastAsia"/>
        </w:rPr>
        <w:t>1998</w:t>
      </w:r>
      <w:r>
        <w:rPr>
          <w:rFonts w:hint="eastAsia"/>
        </w:rPr>
        <w:t>年，不到</w:t>
      </w:r>
      <w:r>
        <w:rPr>
          <w:rFonts w:hint="eastAsia"/>
        </w:rPr>
        <w:t>10%</w:t>
      </w:r>
      <w:r>
        <w:rPr>
          <w:rFonts w:hint="eastAsia"/>
        </w:rPr>
        <w:t>的人口</w:t>
      </w:r>
      <w:r>
        <w:rPr>
          <w:rFonts w:hint="eastAsia"/>
        </w:rPr>
        <w:t>(</w:t>
      </w:r>
      <w:r>
        <w:rPr>
          <w:rFonts w:hint="eastAsia"/>
        </w:rPr>
        <w:t>包括高收入公民群体</w:t>
      </w:r>
      <w:r>
        <w:rPr>
          <w:rFonts w:hint="eastAsia"/>
        </w:rPr>
        <w:t>)</w:t>
      </w:r>
      <w:r>
        <w:rPr>
          <w:rFonts w:hint="eastAsia"/>
        </w:rPr>
        <w:t>能够维持与</w:t>
      </w:r>
      <w:r>
        <w:rPr>
          <w:rFonts w:hint="eastAsia"/>
        </w:rPr>
        <w:t>1990</w:t>
      </w:r>
      <w:r>
        <w:rPr>
          <w:rFonts w:hint="eastAsia"/>
        </w:rPr>
        <w:t>年相同的生活水平。约有</w:t>
      </w:r>
      <w:r>
        <w:rPr>
          <w:rFonts w:hint="eastAsia"/>
        </w:rPr>
        <w:t>10%</w:t>
      </w:r>
      <w:r>
        <w:rPr>
          <w:rFonts w:hint="eastAsia"/>
        </w:rPr>
        <w:t>的人口摄入的卡路里不足</w:t>
      </w:r>
      <w:r>
        <w:rPr>
          <w:rFonts w:hint="eastAsia"/>
        </w:rPr>
        <w:t xml:space="preserve">1,500, </w:t>
      </w:r>
      <w:r>
        <w:rPr>
          <w:rFonts w:hint="eastAsia"/>
        </w:rPr>
        <w:t>按照联合国粮食和农业组织的标准，这是构成营养不良的界线。摩尔多瓦共和国平均人均卡路里摄入量为</w:t>
      </w:r>
      <w:r>
        <w:rPr>
          <w:rFonts w:hint="eastAsia"/>
        </w:rPr>
        <w:t xml:space="preserve">1,980, </w:t>
      </w:r>
      <w:r>
        <w:rPr>
          <w:rFonts w:hint="eastAsia"/>
        </w:rPr>
        <w:t>而粮农组织规定的标准是</w:t>
      </w:r>
      <w:r>
        <w:rPr>
          <w:rFonts w:hint="eastAsia"/>
        </w:rPr>
        <w:t xml:space="preserve">2,500 </w:t>
      </w:r>
      <w:r>
        <w:rPr>
          <w:rFonts w:hint="eastAsia"/>
        </w:rPr>
        <w:t>。根据粮农组织的建议，蛋白质、脂肪和碳水化合物的摄入比例应当是</w:t>
      </w:r>
      <w:r>
        <w:rPr>
          <w:rFonts w:hint="eastAsia"/>
        </w:rPr>
        <w:t xml:space="preserve">1:1:4, </w:t>
      </w:r>
      <w:r>
        <w:rPr>
          <w:rFonts w:hint="eastAsia"/>
        </w:rPr>
        <w:t>摩尔多瓦共和国的这一比例是</w:t>
      </w:r>
      <w:r>
        <w:rPr>
          <w:rFonts w:hint="eastAsia"/>
        </w:rPr>
        <w:t>1:1.2:5.2</w:t>
      </w:r>
      <w:r>
        <w:rPr>
          <w:rFonts w:hint="eastAsia"/>
        </w:rPr>
        <w:t>。由于经济危机和农业部门的结构调整，摩尔多瓦共和国的食品生产和运送减少。</w:t>
      </w:r>
    </w:p>
    <w:p w:rsidR="00000000" w:rsidRDefault="00000000">
      <w:pPr>
        <w:rPr>
          <w:rFonts w:hint="eastAsia"/>
        </w:rPr>
      </w:pPr>
      <w:r>
        <w:rPr>
          <w:rFonts w:hint="eastAsia"/>
        </w:rPr>
        <w:tab/>
        <w:t xml:space="preserve">476.  </w:t>
      </w:r>
      <w:r>
        <w:rPr>
          <w:rFonts w:hint="eastAsia"/>
        </w:rPr>
        <w:t>营养的质量和结构发生了变化。动物产品</w:t>
      </w:r>
      <w:r>
        <w:rPr>
          <w:rFonts w:hint="eastAsia"/>
        </w:rPr>
        <w:t>(</w:t>
      </w:r>
      <w:r>
        <w:rPr>
          <w:rFonts w:hint="eastAsia"/>
        </w:rPr>
        <w:t>肉、奶和蛋</w:t>
      </w:r>
      <w:r>
        <w:rPr>
          <w:rFonts w:hint="eastAsia"/>
        </w:rPr>
        <w:t>)</w:t>
      </w:r>
      <w:r>
        <w:rPr>
          <w:rFonts w:hint="eastAsia"/>
        </w:rPr>
        <w:t>的消费减少，影响了营养质量。营养不足是</w:t>
      </w:r>
      <w:r>
        <w:rPr>
          <w:rFonts w:hint="eastAsia"/>
        </w:rPr>
        <w:t>1</w:t>
      </w:r>
      <w:r>
        <w:rPr>
          <w:rFonts w:hint="eastAsia"/>
        </w:rPr>
        <w:t>岁以下儿童死亡数字上升的原因</w:t>
      </w:r>
      <w:r>
        <w:rPr>
          <w:rFonts w:hint="eastAsia"/>
        </w:rPr>
        <w:t>(</w:t>
      </w:r>
      <w:r>
        <w:rPr>
          <w:rFonts w:hint="eastAsia"/>
        </w:rPr>
        <w:t>在儿童基金会的支助下进行的研究</w:t>
      </w:r>
      <w:r>
        <w:rPr>
          <w:rFonts w:hint="eastAsia"/>
        </w:rPr>
        <w:t>)</w:t>
      </w:r>
      <w:r>
        <w:rPr>
          <w:rFonts w:hint="eastAsia"/>
        </w:rPr>
        <w:t>。多子女的家庭每日饮食中摄入的蛋白质、碳水化合物、维生素</w:t>
      </w:r>
      <w:r>
        <w:rPr>
          <w:rFonts w:hint="eastAsia"/>
        </w:rPr>
        <w:t>A</w:t>
      </w:r>
      <w:r>
        <w:rPr>
          <w:rFonts w:hint="eastAsia"/>
        </w:rPr>
        <w:t>、维生素</w:t>
      </w:r>
      <w:r>
        <w:rPr>
          <w:rFonts w:hint="eastAsia"/>
        </w:rPr>
        <w:t>C</w:t>
      </w:r>
      <w:r>
        <w:rPr>
          <w:rFonts w:hint="eastAsia"/>
        </w:rPr>
        <w:t>、磷和钙分别只占需要量的</w:t>
      </w:r>
      <w:r>
        <w:rPr>
          <w:rFonts w:hint="eastAsia"/>
        </w:rPr>
        <w:t>16%</w:t>
      </w:r>
      <w:r>
        <w:rPr>
          <w:rFonts w:hint="eastAsia"/>
        </w:rPr>
        <w:t>、</w:t>
      </w:r>
      <w:r>
        <w:rPr>
          <w:rFonts w:hint="eastAsia"/>
        </w:rPr>
        <w:t>32%</w:t>
      </w:r>
      <w:r>
        <w:rPr>
          <w:rFonts w:hint="eastAsia"/>
        </w:rPr>
        <w:t>、</w:t>
      </w:r>
      <w:r>
        <w:rPr>
          <w:rFonts w:hint="eastAsia"/>
        </w:rPr>
        <w:t>64%</w:t>
      </w:r>
      <w:r>
        <w:rPr>
          <w:rFonts w:hint="eastAsia"/>
        </w:rPr>
        <w:t>、</w:t>
      </w:r>
      <w:r>
        <w:rPr>
          <w:rFonts w:hint="eastAsia"/>
        </w:rPr>
        <w:t>23%</w:t>
      </w:r>
      <w:r>
        <w:rPr>
          <w:rFonts w:hint="eastAsia"/>
        </w:rPr>
        <w:t>、</w:t>
      </w:r>
      <w:r>
        <w:rPr>
          <w:rFonts w:hint="eastAsia"/>
        </w:rPr>
        <w:t>19%</w:t>
      </w:r>
      <w:r>
        <w:rPr>
          <w:rFonts w:hint="eastAsia"/>
        </w:rPr>
        <w:t>和</w:t>
      </w:r>
      <w:r>
        <w:rPr>
          <w:rFonts w:hint="eastAsia"/>
        </w:rPr>
        <w:t>40%</w:t>
      </w:r>
      <w:r>
        <w:rPr>
          <w:rFonts w:hint="eastAsia"/>
        </w:rPr>
        <w:t>。儿童饮食中的能量值比规定标准低</w:t>
      </w:r>
      <w:r>
        <w:rPr>
          <w:rFonts w:hint="eastAsia"/>
        </w:rPr>
        <w:t>30%</w:t>
      </w:r>
      <w:r>
        <w:rPr>
          <w:rFonts w:hint="eastAsia"/>
        </w:rPr>
        <w:t>。学龄前儿童的营养状况尤其不让人满意。每月肉、奶制品的短缺超过</w:t>
      </w:r>
      <w:r>
        <w:rPr>
          <w:rFonts w:hint="eastAsia"/>
        </w:rPr>
        <w:t>50</w:t>
      </w:r>
      <w:r>
        <w:rPr>
          <w:rFonts w:hint="eastAsia"/>
        </w:rPr>
        <w:t>－</w:t>
      </w:r>
      <w:r>
        <w:rPr>
          <w:rFonts w:hint="eastAsia"/>
        </w:rPr>
        <w:t>60%</w:t>
      </w:r>
      <w:r>
        <w:rPr>
          <w:rFonts w:hint="eastAsia"/>
        </w:rPr>
        <w:t>。在中学只有</w:t>
      </w:r>
      <w:r>
        <w:rPr>
          <w:rFonts w:hint="eastAsia"/>
        </w:rPr>
        <w:t>40%</w:t>
      </w:r>
      <w:r>
        <w:rPr>
          <w:rFonts w:hint="eastAsia"/>
        </w:rPr>
        <w:t>的儿童用餐，但进餐中卡路里的含量只占规定标准的</w:t>
      </w:r>
      <w:r>
        <w:rPr>
          <w:rFonts w:hint="eastAsia"/>
        </w:rPr>
        <w:t>30</w:t>
      </w:r>
      <w:r>
        <w:rPr>
          <w:rFonts w:hint="eastAsia"/>
        </w:rPr>
        <w:t>－</w:t>
      </w:r>
      <w:r>
        <w:rPr>
          <w:rFonts w:hint="eastAsia"/>
        </w:rPr>
        <w:t>33%</w:t>
      </w:r>
      <w:r>
        <w:rPr>
          <w:rFonts w:hint="eastAsia"/>
        </w:rPr>
        <w:t>。饮食中主要是淀粉制品。</w:t>
      </w:r>
    </w:p>
    <w:p w:rsidR="00000000" w:rsidRDefault="00000000">
      <w:pPr>
        <w:rPr>
          <w:rFonts w:hint="eastAsia"/>
        </w:rPr>
      </w:pPr>
      <w:r>
        <w:rPr>
          <w:rFonts w:hint="eastAsia"/>
        </w:rPr>
        <w:tab/>
        <w:t xml:space="preserve">477.  </w:t>
      </w:r>
      <w:r>
        <w:rPr>
          <w:rFonts w:hint="eastAsia"/>
        </w:rPr>
        <w:t>根据</w:t>
      </w:r>
      <w:r>
        <w:rPr>
          <w:rFonts w:hint="eastAsia"/>
        </w:rPr>
        <w:t>1998</w:t>
      </w:r>
      <w:r>
        <w:rPr>
          <w:rFonts w:hint="eastAsia"/>
        </w:rPr>
        <w:t>年至</w:t>
      </w:r>
      <w:r>
        <w:rPr>
          <w:rFonts w:hint="eastAsia"/>
        </w:rPr>
        <w:t>2001</w:t>
      </w:r>
      <w:r>
        <w:rPr>
          <w:rFonts w:hint="eastAsia"/>
        </w:rPr>
        <w:t>年政府工作方案反映的评估，人均国内生产总值只有</w:t>
      </w:r>
      <w:r>
        <w:rPr>
          <w:rFonts w:hint="eastAsia"/>
        </w:rPr>
        <w:t>523</w:t>
      </w:r>
      <w:r>
        <w:rPr>
          <w:rFonts w:hint="eastAsia"/>
        </w:rPr>
        <w:t>美元，是最低的转型国家之一。</w:t>
      </w:r>
      <w:r>
        <w:rPr>
          <w:rFonts w:hint="eastAsia"/>
        </w:rPr>
        <w:t>2000</w:t>
      </w:r>
      <w:r>
        <w:rPr>
          <w:rFonts w:hint="eastAsia"/>
        </w:rPr>
        <w:t>年，工资收入占总收入的</w:t>
      </w:r>
      <w:r>
        <w:rPr>
          <w:rFonts w:hint="eastAsia"/>
        </w:rPr>
        <w:t>37.3%</w:t>
      </w:r>
      <w:r>
        <w:rPr>
          <w:rFonts w:hint="eastAsia"/>
        </w:rPr>
        <w:t>，只能够负担最低生活标准的</w:t>
      </w:r>
      <w:r>
        <w:rPr>
          <w:rFonts w:hint="eastAsia"/>
        </w:rPr>
        <w:t>50%</w:t>
      </w:r>
      <w:r>
        <w:rPr>
          <w:rFonts w:hint="eastAsia"/>
        </w:rPr>
        <w:t>。</w:t>
      </w:r>
    </w:p>
    <w:p w:rsidR="00000000" w:rsidRDefault="00000000">
      <w:pPr>
        <w:rPr>
          <w:rFonts w:hint="eastAsia"/>
        </w:rPr>
      </w:pPr>
      <w:r>
        <w:rPr>
          <w:rFonts w:hint="eastAsia"/>
        </w:rPr>
        <w:tab/>
        <w:t xml:space="preserve">478.  </w:t>
      </w:r>
      <w:r>
        <w:rPr>
          <w:rFonts w:hint="eastAsia"/>
        </w:rPr>
        <w:t>贫困线的存在首先可以由公民社会保障水平的突然下降来解释。例如，养老金的平均购买力与</w:t>
      </w:r>
      <w:r>
        <w:rPr>
          <w:rFonts w:hint="eastAsia"/>
        </w:rPr>
        <w:t>1990</w:t>
      </w:r>
      <w:r>
        <w:rPr>
          <w:rFonts w:hint="eastAsia"/>
        </w:rPr>
        <w:t>年相比下降了四倍。纳税人数的减少造成社会保障体系的资金不稳，这成为长期性的问题。社会援助不足，这也是可用资源非常有限并且没有得到有效利用的原因：五分之一的家庭只得到社会支出总额的</w:t>
      </w:r>
      <w:r>
        <w:rPr>
          <w:rFonts w:hint="eastAsia"/>
        </w:rPr>
        <w:t>5.1%</w:t>
      </w:r>
      <w:r>
        <w:rPr>
          <w:rFonts w:hint="eastAsia"/>
        </w:rPr>
        <w:t>，而</w:t>
      </w:r>
      <w:r>
        <w:rPr>
          <w:rFonts w:hint="eastAsia"/>
        </w:rPr>
        <w:t>37.3%</w:t>
      </w:r>
      <w:r>
        <w:rPr>
          <w:rFonts w:hint="eastAsia"/>
        </w:rPr>
        <w:t>的社会支出付给了五分之一的生活费用充足的家庭。</w:t>
      </w:r>
      <w:r>
        <w:rPr>
          <w:rFonts w:hint="eastAsia"/>
        </w:rPr>
        <w:t>1996</w:t>
      </w:r>
      <w:r>
        <w:rPr>
          <w:rFonts w:hint="eastAsia"/>
        </w:rPr>
        <w:t>年</w:t>
      </w:r>
      <w:r>
        <w:rPr>
          <w:rFonts w:hint="eastAsia"/>
        </w:rPr>
        <w:t>1</w:t>
      </w:r>
      <w:r>
        <w:rPr>
          <w:rFonts w:hint="eastAsia"/>
        </w:rPr>
        <w:t>月</w:t>
      </w:r>
      <w:r>
        <w:rPr>
          <w:rFonts w:hint="eastAsia"/>
        </w:rPr>
        <w:t>17</w:t>
      </w:r>
      <w:r>
        <w:rPr>
          <w:rFonts w:hint="eastAsia"/>
        </w:rPr>
        <w:t>日，摩尔多瓦共和国签署了粮农组织的《组织法》，粮农组织开展了一系列覆盖全国的营养研究项目。</w:t>
      </w:r>
    </w:p>
    <w:p w:rsidR="00000000" w:rsidRDefault="00000000">
      <w:pPr>
        <w:rPr>
          <w:rFonts w:hint="eastAsia"/>
        </w:rPr>
      </w:pPr>
      <w:r>
        <w:rPr>
          <w:rFonts w:hint="eastAsia"/>
        </w:rPr>
        <w:tab/>
        <w:t>479.  2000</w:t>
      </w:r>
      <w:r>
        <w:rPr>
          <w:rFonts w:hint="eastAsia"/>
        </w:rPr>
        <w:t>年</w:t>
      </w:r>
      <w:r>
        <w:rPr>
          <w:rFonts w:hint="eastAsia"/>
        </w:rPr>
        <w:t>7</w:t>
      </w:r>
      <w:r>
        <w:rPr>
          <w:rFonts w:hint="eastAsia"/>
        </w:rPr>
        <w:t>月</w:t>
      </w:r>
      <w:r>
        <w:rPr>
          <w:rFonts w:hint="eastAsia"/>
        </w:rPr>
        <w:t>14</w:t>
      </w:r>
      <w:r>
        <w:rPr>
          <w:rFonts w:hint="eastAsia"/>
        </w:rPr>
        <w:t>日的政府决定通过了“减轻贫困方案”，旨在通过设立向弱势家庭的子女提供食物的方案来确保儿童获得食物，途径是：</w:t>
      </w:r>
    </w:p>
    <w:p w:rsidR="00000000" w:rsidRDefault="00000000">
      <w:pPr>
        <w:numPr>
          <w:ilvl w:val="0"/>
          <w:numId w:val="569"/>
        </w:numPr>
        <w:rPr>
          <w:rFonts w:hint="eastAsia"/>
        </w:rPr>
      </w:pPr>
      <w:r>
        <w:rPr>
          <w:rFonts w:hint="eastAsia"/>
        </w:rPr>
        <w:t>向学生提供免费或减价午餐，对贫困家庭发放食品采购券；</w:t>
      </w:r>
    </w:p>
    <w:p w:rsidR="00000000" w:rsidRDefault="00000000">
      <w:pPr>
        <w:numPr>
          <w:ilvl w:val="0"/>
          <w:numId w:val="569"/>
        </w:numPr>
        <w:rPr>
          <w:rFonts w:hint="eastAsia"/>
        </w:rPr>
      </w:pPr>
      <w:r>
        <w:rPr>
          <w:rFonts w:hint="eastAsia"/>
        </w:rPr>
        <w:t>向从事儿童食品加工业的经济体提供便利；</w:t>
      </w:r>
    </w:p>
    <w:p w:rsidR="00000000" w:rsidRDefault="00000000">
      <w:pPr>
        <w:numPr>
          <w:ilvl w:val="0"/>
          <w:numId w:val="569"/>
        </w:numPr>
        <w:rPr>
          <w:rFonts w:hint="eastAsia"/>
        </w:rPr>
      </w:pPr>
      <w:r>
        <w:rPr>
          <w:rFonts w:hint="eastAsia"/>
        </w:rPr>
        <w:t>确定生产儿童食品所必需的农产品的国家采购订单，在地方预算中规定其数额。</w:t>
      </w:r>
    </w:p>
    <w:p w:rsidR="00000000" w:rsidRDefault="00000000">
      <w:pPr>
        <w:rPr>
          <w:rFonts w:hint="eastAsia"/>
        </w:rPr>
      </w:pPr>
      <w:r>
        <w:rPr>
          <w:rFonts w:hint="eastAsia"/>
        </w:rPr>
        <w:tab/>
        <w:t xml:space="preserve">480.  </w:t>
      </w:r>
      <w:r>
        <w:rPr>
          <w:rFonts w:hint="eastAsia"/>
        </w:rPr>
        <w:t>关于向其他社会弱势群体提供食物保证的问题，将实施下列间接措施以提高他们的生活水平：</w:t>
      </w:r>
    </w:p>
    <w:p w:rsidR="00000000" w:rsidRDefault="00000000">
      <w:pPr>
        <w:numPr>
          <w:ilvl w:val="0"/>
          <w:numId w:val="570"/>
        </w:numPr>
        <w:rPr>
          <w:rFonts w:hint="eastAsia"/>
        </w:rPr>
      </w:pPr>
      <w:r>
        <w:rPr>
          <w:rFonts w:hint="eastAsia"/>
        </w:rPr>
        <w:t>加强向养老金领取者、失业人口、残疾人和多子女家庭提供的公共最低保障；</w:t>
      </w:r>
    </w:p>
    <w:p w:rsidR="00000000" w:rsidRDefault="00000000">
      <w:pPr>
        <w:numPr>
          <w:ilvl w:val="0"/>
          <w:numId w:val="570"/>
        </w:numPr>
        <w:rPr>
          <w:rFonts w:hint="eastAsia"/>
        </w:rPr>
      </w:pPr>
      <w:r>
        <w:rPr>
          <w:rFonts w:hint="eastAsia"/>
        </w:rPr>
        <w:t>有效使用劳动力</w:t>
      </w:r>
      <w:r>
        <w:rPr>
          <w:rFonts w:hint="eastAsia"/>
        </w:rPr>
        <w:t>(</w:t>
      </w:r>
      <w:r>
        <w:rPr>
          <w:rFonts w:hint="eastAsia"/>
        </w:rPr>
        <w:t>通过促进一项积极的就业政策</w:t>
      </w:r>
      <w:r>
        <w:rPr>
          <w:rFonts w:hint="eastAsia"/>
        </w:rPr>
        <w:t>)</w:t>
      </w:r>
      <w:r>
        <w:rPr>
          <w:rFonts w:hint="eastAsia"/>
        </w:rPr>
        <w:t>；</w:t>
      </w:r>
    </w:p>
    <w:p w:rsidR="00000000" w:rsidRDefault="00000000">
      <w:pPr>
        <w:numPr>
          <w:ilvl w:val="0"/>
          <w:numId w:val="570"/>
        </w:numPr>
        <w:rPr>
          <w:rFonts w:hint="eastAsia"/>
        </w:rPr>
      </w:pPr>
      <w:r>
        <w:rPr>
          <w:rFonts w:hint="eastAsia"/>
        </w:rPr>
        <w:t>加强对穷人的社会援助；</w:t>
      </w:r>
    </w:p>
    <w:p w:rsidR="00000000" w:rsidRDefault="00000000">
      <w:pPr>
        <w:numPr>
          <w:ilvl w:val="0"/>
          <w:numId w:val="570"/>
        </w:numPr>
        <w:rPr>
          <w:rFonts w:hint="eastAsia"/>
        </w:rPr>
      </w:pPr>
      <w:r>
        <w:rPr>
          <w:rFonts w:hint="eastAsia"/>
        </w:rPr>
        <w:t>创建一个充分的机制，实现并确定各类援助的具体资金来源。</w:t>
      </w:r>
    </w:p>
    <w:p w:rsidR="00000000" w:rsidRDefault="00000000">
      <w:pPr>
        <w:rPr>
          <w:rFonts w:hint="eastAsia"/>
        </w:rPr>
      </w:pPr>
      <w:r>
        <w:rPr>
          <w:rFonts w:hint="eastAsia"/>
        </w:rPr>
        <w:tab/>
        <w:t xml:space="preserve">481.  </w:t>
      </w:r>
      <w:r>
        <w:rPr>
          <w:rFonts w:hint="eastAsia"/>
        </w:rPr>
        <w:t>《摩尔多瓦共和国宪法》规定创建一种能使全部生产要素资本化的模式</w:t>
      </w:r>
      <w:r>
        <w:rPr>
          <w:rFonts w:hint="eastAsia"/>
        </w:rPr>
        <w:t>(</w:t>
      </w:r>
      <w:r>
        <w:rPr>
          <w:rFonts w:hint="eastAsia"/>
        </w:rPr>
        <w:t>第</w:t>
      </w:r>
      <w:r>
        <w:rPr>
          <w:rFonts w:hint="eastAsia"/>
        </w:rPr>
        <w:t>126</w:t>
      </w:r>
      <w:r>
        <w:rPr>
          <w:rFonts w:hint="eastAsia"/>
        </w:rPr>
        <w:t>条</w:t>
      </w:r>
      <w:r>
        <w:rPr>
          <w:rFonts w:hint="eastAsia"/>
        </w:rPr>
        <w:t>)</w:t>
      </w:r>
      <w:r>
        <w:rPr>
          <w:rFonts w:hint="eastAsia"/>
        </w:rPr>
        <w:t>。为保证适当营养，</w:t>
      </w:r>
      <w:r>
        <w:rPr>
          <w:rFonts w:hint="eastAsia"/>
        </w:rPr>
        <w:t>2000</w:t>
      </w:r>
      <w:r>
        <w:rPr>
          <w:rFonts w:hint="eastAsia"/>
        </w:rPr>
        <w:t>年</w:t>
      </w:r>
      <w:r>
        <w:rPr>
          <w:rFonts w:hint="eastAsia"/>
        </w:rPr>
        <w:t>8</w:t>
      </w:r>
      <w:r>
        <w:rPr>
          <w:rFonts w:hint="eastAsia"/>
        </w:rPr>
        <w:t>月</w:t>
      </w:r>
      <w:r>
        <w:rPr>
          <w:rFonts w:hint="eastAsia"/>
        </w:rPr>
        <w:t>21</w:t>
      </w:r>
      <w:r>
        <w:rPr>
          <w:rFonts w:hint="eastAsia"/>
        </w:rPr>
        <w:t>日政府通过第</w:t>
      </w:r>
      <w:r>
        <w:rPr>
          <w:rFonts w:hint="eastAsia"/>
        </w:rPr>
        <w:t>863</w:t>
      </w:r>
      <w:r>
        <w:rPr>
          <w:rFonts w:hint="eastAsia"/>
        </w:rPr>
        <w:t>号决定，内容包括国家生态农业概念以及生产和销售生态食品。在产品运送领域，国家制定了一项为满足公众需要而运送的产品清单。</w:t>
      </w:r>
      <w:r>
        <w:rPr>
          <w:rFonts w:hint="eastAsia"/>
        </w:rPr>
        <w:t>1995</w:t>
      </w:r>
      <w:r>
        <w:rPr>
          <w:rFonts w:hint="eastAsia"/>
        </w:rPr>
        <w:t>年</w:t>
      </w:r>
      <w:r>
        <w:rPr>
          <w:rFonts w:hint="eastAsia"/>
        </w:rPr>
        <w:t>1</w:t>
      </w:r>
      <w:r>
        <w:rPr>
          <w:rFonts w:hint="eastAsia"/>
        </w:rPr>
        <w:t>月</w:t>
      </w:r>
      <w:r>
        <w:rPr>
          <w:rFonts w:hint="eastAsia"/>
        </w:rPr>
        <w:t>27</w:t>
      </w:r>
      <w:r>
        <w:rPr>
          <w:rFonts w:hint="eastAsia"/>
        </w:rPr>
        <w:t>日政府第</w:t>
      </w:r>
      <w:r>
        <w:rPr>
          <w:rFonts w:hint="eastAsia"/>
        </w:rPr>
        <w:t>67</w:t>
      </w:r>
      <w:r>
        <w:rPr>
          <w:rFonts w:hint="eastAsia"/>
        </w:rPr>
        <w:t>号决定通过了《暂行条例》，规定了下达货运定单以及为公众需要提供服务的方式。尤其重视诸如面包和奶等主食以及工业和技术设备的生产。</w:t>
      </w:r>
    </w:p>
    <w:p w:rsidR="00000000" w:rsidRDefault="00000000">
      <w:pPr>
        <w:rPr>
          <w:rFonts w:hint="eastAsia"/>
        </w:rPr>
      </w:pPr>
      <w:r>
        <w:rPr>
          <w:rFonts w:hint="eastAsia"/>
        </w:rPr>
        <w:tab/>
        <w:t xml:space="preserve">482.  </w:t>
      </w:r>
      <w:r>
        <w:rPr>
          <w:rFonts w:hint="eastAsia"/>
        </w:rPr>
        <w:t>根据面包和焙烤食品零售业《条例》的规定，允许对面包征收增值税，但不能高于</w:t>
      </w:r>
      <w:r>
        <w:rPr>
          <w:rFonts w:hint="eastAsia"/>
        </w:rPr>
        <w:t>20%</w:t>
      </w:r>
      <w:r>
        <w:rPr>
          <w:rFonts w:hint="eastAsia"/>
        </w:rPr>
        <w:t>。《条例》于</w:t>
      </w:r>
      <w:r>
        <w:rPr>
          <w:rFonts w:hint="eastAsia"/>
        </w:rPr>
        <w:t>1993</w:t>
      </w:r>
      <w:r>
        <w:rPr>
          <w:rFonts w:hint="eastAsia"/>
        </w:rPr>
        <w:t>年</w:t>
      </w:r>
      <w:r>
        <w:rPr>
          <w:rFonts w:hint="eastAsia"/>
        </w:rPr>
        <w:t>11</w:t>
      </w:r>
      <w:r>
        <w:rPr>
          <w:rFonts w:hint="eastAsia"/>
        </w:rPr>
        <w:t>月</w:t>
      </w:r>
      <w:r>
        <w:rPr>
          <w:rFonts w:hint="eastAsia"/>
        </w:rPr>
        <w:t>15</w:t>
      </w:r>
      <w:r>
        <w:rPr>
          <w:rFonts w:hint="eastAsia"/>
        </w:rPr>
        <w:t>日由政府决定通过。</w:t>
      </w:r>
      <w:r>
        <w:rPr>
          <w:rFonts w:hint="eastAsia"/>
        </w:rPr>
        <w:t>1999</w:t>
      </w:r>
      <w:r>
        <w:rPr>
          <w:rFonts w:hint="eastAsia"/>
        </w:rPr>
        <w:t>年</w:t>
      </w:r>
      <w:r>
        <w:rPr>
          <w:rFonts w:hint="eastAsia"/>
        </w:rPr>
        <w:t>10</w:t>
      </w:r>
      <w:r>
        <w:rPr>
          <w:rFonts w:hint="eastAsia"/>
        </w:rPr>
        <w:t>月</w:t>
      </w:r>
      <w:r>
        <w:rPr>
          <w:rFonts w:hint="eastAsia"/>
        </w:rPr>
        <w:t>26</w:t>
      </w:r>
      <w:r>
        <w:rPr>
          <w:rFonts w:hint="eastAsia"/>
        </w:rPr>
        <w:t>日通过了关于扶持乳品加工业的措施的《决定》，以免阻碍乳品业的生产活动，并增加从农业劳动者手中收取的牛奶量，向人们提供乳制品。</w:t>
      </w:r>
    </w:p>
    <w:p w:rsidR="00000000" w:rsidRDefault="00000000">
      <w:pPr>
        <w:rPr>
          <w:rFonts w:hint="eastAsia"/>
        </w:rPr>
      </w:pPr>
      <w:r>
        <w:rPr>
          <w:rFonts w:hint="eastAsia"/>
        </w:rPr>
        <w:tab/>
        <w:t xml:space="preserve">483.  </w:t>
      </w:r>
      <w:r>
        <w:rPr>
          <w:rFonts w:hint="eastAsia"/>
        </w:rPr>
        <w:t>公众知情权是受到《摩尔多瓦共和国宪法》保护的一项原则</w:t>
      </w:r>
      <w:r>
        <w:rPr>
          <w:rFonts w:hint="eastAsia"/>
        </w:rPr>
        <w:t>(</w:t>
      </w:r>
      <w:r>
        <w:rPr>
          <w:rFonts w:hint="eastAsia"/>
        </w:rPr>
        <w:t>第</w:t>
      </w:r>
      <w:r>
        <w:rPr>
          <w:rFonts w:hint="eastAsia"/>
        </w:rPr>
        <w:t>34</w:t>
      </w:r>
      <w:r>
        <w:rPr>
          <w:rFonts w:hint="eastAsia"/>
        </w:rPr>
        <w:t>条第</w:t>
      </w:r>
      <w:r>
        <w:rPr>
          <w:rFonts w:hint="eastAsia"/>
        </w:rPr>
        <w:t>1</w:t>
      </w:r>
      <w:r>
        <w:rPr>
          <w:rFonts w:hint="eastAsia"/>
        </w:rPr>
        <w:t>款</w:t>
      </w:r>
      <w:r>
        <w:rPr>
          <w:rFonts w:hint="eastAsia"/>
        </w:rPr>
        <w:t>)</w:t>
      </w:r>
      <w:r>
        <w:rPr>
          <w:rFonts w:hint="eastAsia"/>
        </w:rPr>
        <w:t>。</w:t>
      </w:r>
      <w:r>
        <w:rPr>
          <w:rFonts w:hint="eastAsia"/>
        </w:rPr>
        <w:t>1993</w:t>
      </w:r>
      <w:r>
        <w:rPr>
          <w:rFonts w:hint="eastAsia"/>
        </w:rPr>
        <w:t>年</w:t>
      </w:r>
      <w:r>
        <w:rPr>
          <w:rFonts w:hint="eastAsia"/>
        </w:rPr>
        <w:t>5</w:t>
      </w:r>
      <w:r>
        <w:rPr>
          <w:rFonts w:hint="eastAsia"/>
        </w:rPr>
        <w:t>月</w:t>
      </w:r>
      <w:r>
        <w:rPr>
          <w:rFonts w:hint="eastAsia"/>
        </w:rPr>
        <w:t>25</w:t>
      </w:r>
      <w:r>
        <w:rPr>
          <w:rFonts w:hint="eastAsia"/>
        </w:rPr>
        <w:t>日的《消费者保护法》规定，生产者有义务在标签上写明有关该产品的天然成分和人造添加剂及其各自比例以及产品营养价值的信息。</w:t>
      </w:r>
    </w:p>
    <w:p w:rsidR="00000000" w:rsidRDefault="00000000">
      <w:pPr>
        <w:rPr>
          <w:rFonts w:hint="eastAsia"/>
        </w:rPr>
      </w:pPr>
      <w:r>
        <w:rPr>
          <w:rFonts w:hint="eastAsia"/>
        </w:rPr>
        <w:tab/>
        <w:t xml:space="preserve">484.  </w:t>
      </w:r>
      <w:r>
        <w:rPr>
          <w:rFonts w:hint="eastAsia"/>
        </w:rPr>
        <w:t>农业和食品业约占国内生产总值的</w:t>
      </w:r>
      <w:r>
        <w:rPr>
          <w:rFonts w:hint="eastAsia"/>
        </w:rPr>
        <w:t>40%</w:t>
      </w:r>
      <w:r>
        <w:rPr>
          <w:rFonts w:hint="eastAsia"/>
        </w:rPr>
        <w:t>，在出口总量中占很大份额。农业改革的法律基础包括：农业改革和农村社会经济发展政策，摩尔多瓦共和国关于农村和农工综合体的政策</w:t>
      </w:r>
      <w:r>
        <w:rPr>
          <w:rFonts w:hint="eastAsia"/>
        </w:rPr>
        <w:t>(1991)</w:t>
      </w:r>
      <w:r>
        <w:rPr>
          <w:rFonts w:hint="eastAsia"/>
        </w:rPr>
        <w:t>，关于农场、土地税、土地所有权体系的公共安排、土地测量和土地利用监控的政策</w:t>
      </w:r>
      <w:r>
        <w:rPr>
          <w:rFonts w:hint="eastAsia"/>
        </w:rPr>
        <w:t>(1992)</w:t>
      </w:r>
      <w:r>
        <w:rPr>
          <w:rFonts w:hint="eastAsia"/>
        </w:rPr>
        <w:t>。为解决农业部门的问题，通过了以下法律：《财产法》、《私有化法》和《出租法》。</w:t>
      </w:r>
      <w:r>
        <w:rPr>
          <w:rFonts w:hint="eastAsia"/>
        </w:rPr>
        <w:t>1997</w:t>
      </w:r>
      <w:r>
        <w:rPr>
          <w:rFonts w:hint="eastAsia"/>
        </w:rPr>
        <w:t>年</w:t>
      </w:r>
      <w:r>
        <w:rPr>
          <w:rFonts w:hint="eastAsia"/>
        </w:rPr>
        <w:t>8</w:t>
      </w:r>
      <w:r>
        <w:rPr>
          <w:rFonts w:hint="eastAsia"/>
        </w:rPr>
        <w:t>月通过了《土地标准价格及其买卖方式法》。</w:t>
      </w:r>
      <w:r>
        <w:rPr>
          <w:rFonts w:hint="eastAsia"/>
        </w:rPr>
        <w:t>1992</w:t>
      </w:r>
      <w:r>
        <w:rPr>
          <w:rFonts w:hint="eastAsia"/>
        </w:rPr>
        <w:t>年</w:t>
      </w:r>
      <w:r>
        <w:rPr>
          <w:rFonts w:hint="eastAsia"/>
        </w:rPr>
        <w:t>1</w:t>
      </w:r>
      <w:r>
        <w:rPr>
          <w:rFonts w:hint="eastAsia"/>
        </w:rPr>
        <w:t>月</w:t>
      </w:r>
      <w:r>
        <w:rPr>
          <w:rFonts w:hint="eastAsia"/>
        </w:rPr>
        <w:t>1</w:t>
      </w:r>
      <w:r>
        <w:rPr>
          <w:rFonts w:hint="eastAsia"/>
        </w:rPr>
        <w:t>日《土地法》生效后开始了土地改革。土地改革的目标是把土地变为私有财产。</w:t>
      </w:r>
      <w:r>
        <w:rPr>
          <w:rFonts w:hint="eastAsia"/>
        </w:rPr>
        <w:t>1997</w:t>
      </w:r>
      <w:r>
        <w:rPr>
          <w:rFonts w:hint="eastAsia"/>
        </w:rPr>
        <w:t>年，国家只拥有摩尔多瓦共和国农业土地的</w:t>
      </w:r>
      <w:r>
        <w:rPr>
          <w:rFonts w:hint="eastAsia"/>
        </w:rPr>
        <w:t>17.3%</w:t>
      </w:r>
      <w:r>
        <w:rPr>
          <w:rFonts w:hint="eastAsia"/>
        </w:rPr>
        <w:t>。确立土地产权的转折点是取消了土地买卖的暂禁令，</w:t>
      </w:r>
      <w:r>
        <w:rPr>
          <w:rFonts w:hint="eastAsia"/>
        </w:rPr>
        <w:t>1996</w:t>
      </w:r>
      <w:r>
        <w:rPr>
          <w:rFonts w:hint="eastAsia"/>
        </w:rPr>
        <w:t>年宪法法院宣布该暂禁令违宪。根据摩尔多瓦共和国的法规，直到</w:t>
      </w:r>
      <w:r>
        <w:rPr>
          <w:rFonts w:hint="eastAsia"/>
        </w:rPr>
        <w:t>2001</w:t>
      </w:r>
      <w:r>
        <w:rPr>
          <w:rFonts w:hint="eastAsia"/>
        </w:rPr>
        <w:t>年土地才能作为商品。</w:t>
      </w:r>
    </w:p>
    <w:p w:rsidR="00000000" w:rsidRDefault="00000000">
      <w:pPr>
        <w:rPr>
          <w:rFonts w:hint="eastAsia"/>
        </w:rPr>
      </w:pPr>
      <w:r>
        <w:rPr>
          <w:rFonts w:hint="eastAsia"/>
        </w:rPr>
        <w:tab/>
        <w:t xml:space="preserve">485.  </w:t>
      </w:r>
      <w:r>
        <w:rPr>
          <w:rFonts w:hint="eastAsia"/>
        </w:rPr>
        <w:t>补贴农业部门是一项国家首要任务，目标是通过保险措施实现春季农业生产，由商业银行向生产者提供信贷。</w:t>
      </w:r>
    </w:p>
    <w:p w:rsidR="00000000" w:rsidRDefault="00000000">
      <w:pPr>
        <w:rPr>
          <w:rFonts w:hint="eastAsia"/>
        </w:rPr>
      </w:pPr>
      <w:r>
        <w:rPr>
          <w:rFonts w:hint="eastAsia"/>
        </w:rPr>
        <w:tab/>
        <w:t xml:space="preserve">486.  </w:t>
      </w:r>
      <w:r>
        <w:rPr>
          <w:rFonts w:hint="eastAsia"/>
        </w:rPr>
        <w:t>截至</w:t>
      </w:r>
      <w:r>
        <w:rPr>
          <w:rFonts w:hint="eastAsia"/>
        </w:rPr>
        <w:t>2000</w:t>
      </w:r>
      <w:r>
        <w:rPr>
          <w:rFonts w:hint="eastAsia"/>
        </w:rPr>
        <w:t>年</w:t>
      </w:r>
      <w:r>
        <w:rPr>
          <w:rFonts w:hint="eastAsia"/>
        </w:rPr>
        <w:t>1</w:t>
      </w:r>
      <w:r>
        <w:rPr>
          <w:rFonts w:hint="eastAsia"/>
        </w:rPr>
        <w:t>月</w:t>
      </w:r>
      <w:r>
        <w:rPr>
          <w:rFonts w:hint="eastAsia"/>
        </w:rPr>
        <w:t>1</w:t>
      </w:r>
      <w:r>
        <w:rPr>
          <w:rFonts w:hint="eastAsia"/>
        </w:rPr>
        <w:t>日，全国住宅总数超过</w:t>
      </w:r>
      <w:r>
        <w:rPr>
          <w:rFonts w:hint="eastAsia"/>
        </w:rPr>
        <w:t>130</w:t>
      </w:r>
      <w:r>
        <w:rPr>
          <w:rFonts w:hint="eastAsia"/>
        </w:rPr>
        <w:t>万个单元，其中</w:t>
      </w:r>
      <w:r>
        <w:rPr>
          <w:rFonts w:hint="eastAsia"/>
        </w:rPr>
        <w:t>60%</w:t>
      </w:r>
      <w:r>
        <w:rPr>
          <w:rFonts w:hint="eastAsia"/>
        </w:rPr>
        <w:t>以上在城市地区。</w:t>
      </w:r>
      <w:r>
        <w:rPr>
          <w:rFonts w:hint="eastAsia"/>
        </w:rPr>
        <w:t>1987</w:t>
      </w:r>
      <w:r>
        <w:rPr>
          <w:rFonts w:hint="eastAsia"/>
        </w:rPr>
        <w:t>年，家庭住宅建筑业到达顶点，但从</w:t>
      </w:r>
      <w:r>
        <w:rPr>
          <w:rFonts w:hint="eastAsia"/>
        </w:rPr>
        <w:t>1991</w:t>
      </w:r>
      <w:r>
        <w:rPr>
          <w:rFonts w:hint="eastAsia"/>
        </w:rPr>
        <w:t>年开始，该产业在公共和私有部门都持续下滑。建筑量从</w:t>
      </w:r>
      <w:r>
        <w:rPr>
          <w:rFonts w:hint="eastAsia"/>
        </w:rPr>
        <w:t>1990</w:t>
      </w:r>
      <w:r>
        <w:rPr>
          <w:rFonts w:hint="eastAsia"/>
        </w:rPr>
        <w:t>年的</w:t>
      </w:r>
      <w:r>
        <w:rPr>
          <w:rFonts w:hint="eastAsia"/>
        </w:rPr>
        <w:t>20,200</w:t>
      </w:r>
      <w:r>
        <w:rPr>
          <w:rFonts w:hint="eastAsia"/>
        </w:rPr>
        <w:t>个单元下降到</w:t>
      </w:r>
      <w:r>
        <w:rPr>
          <w:rFonts w:hint="eastAsia"/>
        </w:rPr>
        <w:t>1999</w:t>
      </w:r>
      <w:r>
        <w:rPr>
          <w:rFonts w:hint="eastAsia"/>
        </w:rPr>
        <w:t>年的</w:t>
      </w:r>
      <w:r>
        <w:rPr>
          <w:rFonts w:hint="eastAsia"/>
        </w:rPr>
        <w:t>2,900</w:t>
      </w:r>
      <w:r>
        <w:rPr>
          <w:rFonts w:hint="eastAsia"/>
        </w:rPr>
        <w:t>个单元；许多住宅没有完工。住宅建筑业的资金来自私有部门，</w:t>
      </w:r>
      <w:r>
        <w:rPr>
          <w:rFonts w:hint="eastAsia"/>
        </w:rPr>
        <w:t>1999</w:t>
      </w:r>
      <w:r>
        <w:rPr>
          <w:rFonts w:hint="eastAsia"/>
        </w:rPr>
        <w:t>年私有部门的资金占住宅建筑业固定资本投资总额的</w:t>
      </w:r>
      <w:r>
        <w:rPr>
          <w:rFonts w:hint="eastAsia"/>
        </w:rPr>
        <w:t>83%</w:t>
      </w:r>
      <w:r>
        <w:rPr>
          <w:rFonts w:hint="eastAsia"/>
        </w:rPr>
        <w:t>以上。因此人们能否获得住宅就取决于他们的经济地位。一所城市住宅的平均价格是一个家庭年收入的</w:t>
      </w:r>
      <w:r>
        <w:rPr>
          <w:rFonts w:hint="eastAsia"/>
        </w:rPr>
        <w:t>10</w:t>
      </w:r>
      <w:r>
        <w:rPr>
          <w:rFonts w:hint="eastAsia"/>
        </w:rPr>
        <w:t>倍以上。</w:t>
      </w:r>
      <w:r>
        <w:rPr>
          <w:rFonts w:hint="eastAsia"/>
        </w:rPr>
        <w:t>1998</w:t>
      </w:r>
      <w:r>
        <w:rPr>
          <w:rFonts w:hint="eastAsia"/>
        </w:rPr>
        <w:t>年</w:t>
      </w:r>
      <w:r>
        <w:rPr>
          <w:rFonts w:hint="eastAsia"/>
        </w:rPr>
        <w:t>1</w:t>
      </w:r>
      <w:r>
        <w:rPr>
          <w:rFonts w:hint="eastAsia"/>
        </w:rPr>
        <w:t>月</w:t>
      </w:r>
      <w:r>
        <w:rPr>
          <w:rFonts w:hint="eastAsia"/>
        </w:rPr>
        <w:t>1</w:t>
      </w:r>
      <w:r>
        <w:rPr>
          <w:rFonts w:hint="eastAsia"/>
        </w:rPr>
        <w:t>日，没有住所的公民约有</w:t>
      </w:r>
      <w:r>
        <w:rPr>
          <w:rFonts w:hint="eastAsia"/>
        </w:rPr>
        <w:t>82,000</w:t>
      </w:r>
      <w:r>
        <w:rPr>
          <w:rFonts w:hint="eastAsia"/>
        </w:rPr>
        <w:t>人。另外一项统计表明约有</w:t>
      </w:r>
      <w:r>
        <w:rPr>
          <w:rFonts w:hint="eastAsia"/>
        </w:rPr>
        <w:t>140,000</w:t>
      </w:r>
      <w:r>
        <w:rPr>
          <w:rFonts w:hint="eastAsia"/>
        </w:rPr>
        <w:t>个家庭没有自己的住宅。</w:t>
      </w:r>
    </w:p>
    <w:p w:rsidR="00000000" w:rsidRDefault="00000000">
      <w:pPr>
        <w:rPr>
          <w:rFonts w:hint="eastAsia"/>
        </w:rPr>
      </w:pPr>
      <w:r>
        <w:rPr>
          <w:rFonts w:hint="eastAsia"/>
        </w:rPr>
        <w:tab/>
        <w:t xml:space="preserve">487.  </w:t>
      </w:r>
      <w:r>
        <w:rPr>
          <w:rFonts w:hint="eastAsia"/>
        </w:rPr>
        <w:t>住宅总量包括国有房屋和公寓，其余属于企业、国家组织、工会、合作社和个人。但是这些住宅于</w:t>
      </w:r>
      <w:r>
        <w:rPr>
          <w:rFonts w:hint="eastAsia"/>
        </w:rPr>
        <w:t>1993</w:t>
      </w:r>
      <w:r>
        <w:rPr>
          <w:rFonts w:hint="eastAsia"/>
        </w:rPr>
        <w:t>年被私有化，目的是确保摩尔多瓦共和国公民享有自由选择住宅的权利。</w:t>
      </w:r>
      <w:r>
        <w:rPr>
          <w:rFonts w:hint="eastAsia"/>
        </w:rPr>
        <w:t>1998</w:t>
      </w:r>
      <w:r>
        <w:rPr>
          <w:rFonts w:hint="eastAsia"/>
        </w:rPr>
        <w:t>年</w:t>
      </w:r>
      <w:r>
        <w:rPr>
          <w:rFonts w:hint="eastAsia"/>
        </w:rPr>
        <w:t>1</w:t>
      </w:r>
      <w:r>
        <w:rPr>
          <w:rFonts w:hint="eastAsia"/>
        </w:rPr>
        <w:t>月</w:t>
      </w:r>
      <w:r>
        <w:rPr>
          <w:rFonts w:hint="eastAsia"/>
        </w:rPr>
        <w:t>1</w:t>
      </w:r>
      <w:r>
        <w:rPr>
          <w:rFonts w:hint="eastAsia"/>
        </w:rPr>
        <w:t>日，住宅中属于私人产权的占</w:t>
      </w:r>
      <w:r>
        <w:rPr>
          <w:rFonts w:hint="eastAsia"/>
        </w:rPr>
        <w:t>92%</w:t>
      </w:r>
      <w:r>
        <w:rPr>
          <w:rFonts w:hint="eastAsia"/>
        </w:rPr>
        <w:t>，集体产权占</w:t>
      </w:r>
      <w:r>
        <w:rPr>
          <w:rFonts w:hint="eastAsia"/>
        </w:rPr>
        <w:t>1%</w:t>
      </w:r>
      <w:r>
        <w:rPr>
          <w:rFonts w:hint="eastAsia"/>
        </w:rPr>
        <w:t>，公有产权占</w:t>
      </w:r>
      <w:r>
        <w:rPr>
          <w:rFonts w:hint="eastAsia"/>
        </w:rPr>
        <w:t>7%</w:t>
      </w:r>
      <w:r>
        <w:rPr>
          <w:rFonts w:hint="eastAsia"/>
        </w:rPr>
        <w:t>。</w:t>
      </w:r>
    </w:p>
    <w:p w:rsidR="00000000" w:rsidRDefault="00000000">
      <w:pPr>
        <w:rPr>
          <w:rFonts w:hint="eastAsia"/>
        </w:rPr>
      </w:pPr>
      <w:r>
        <w:rPr>
          <w:rFonts w:hint="eastAsia"/>
        </w:rPr>
        <w:tab/>
        <w:t xml:space="preserve">488.  </w:t>
      </w:r>
      <w:r>
        <w:rPr>
          <w:rFonts w:hint="eastAsia"/>
        </w:rPr>
        <w:t>目前，摩尔多瓦共和国仍旧实行旧的住房分配制度，按照这个制度，每人的分配面积是</w:t>
      </w:r>
      <w:r>
        <w:rPr>
          <w:rFonts w:hint="eastAsia"/>
        </w:rPr>
        <w:t>9</w:t>
      </w:r>
      <w:r>
        <w:rPr>
          <w:rFonts w:hint="eastAsia"/>
        </w:rPr>
        <w:t>平方米。但是由于住宅的供求矛盾，申请房屋者的总名单中包括人均居住面积低于</w:t>
      </w:r>
      <w:r>
        <w:rPr>
          <w:rFonts w:hint="eastAsia"/>
        </w:rPr>
        <w:t>6</w:t>
      </w:r>
      <w:r>
        <w:rPr>
          <w:rFonts w:hint="eastAsia"/>
        </w:rPr>
        <w:t>平方米的公民。根据国家房屋政策自</w:t>
      </w:r>
      <w:r>
        <w:rPr>
          <w:rFonts w:hint="eastAsia"/>
        </w:rPr>
        <w:t>1994</w:t>
      </w:r>
      <w:r>
        <w:rPr>
          <w:rFonts w:hint="eastAsia"/>
        </w:rPr>
        <w:t>年</w:t>
      </w:r>
      <w:r>
        <w:rPr>
          <w:rFonts w:hint="eastAsia"/>
        </w:rPr>
        <w:t>8</w:t>
      </w:r>
      <w:r>
        <w:rPr>
          <w:rFonts w:hint="eastAsia"/>
        </w:rPr>
        <w:t>月</w:t>
      </w:r>
      <w:r>
        <w:rPr>
          <w:rFonts w:hint="eastAsia"/>
        </w:rPr>
        <w:t>5</w:t>
      </w:r>
      <w:r>
        <w:rPr>
          <w:rFonts w:hint="eastAsia"/>
        </w:rPr>
        <w:t>日以来的数据，已出现了住房短缺。城市每三个家庭中就有一个希望改善居住条件，每十个家庭中就有一个在申请名单上的时间超过了十年。</w:t>
      </w:r>
    </w:p>
    <w:p w:rsidR="00000000" w:rsidRDefault="00000000">
      <w:pPr>
        <w:rPr>
          <w:rFonts w:hint="eastAsia"/>
        </w:rPr>
      </w:pPr>
      <w:r>
        <w:rPr>
          <w:rFonts w:hint="eastAsia"/>
        </w:rPr>
        <w:tab/>
        <w:t xml:space="preserve">489.  </w:t>
      </w:r>
      <w:r>
        <w:rPr>
          <w:rFonts w:hint="eastAsia"/>
        </w:rPr>
        <w:t>城市的平均住宅面积是</w:t>
      </w:r>
      <w:r>
        <w:rPr>
          <w:rFonts w:hint="eastAsia"/>
        </w:rPr>
        <w:t>18.2</w:t>
      </w:r>
      <w:r>
        <w:rPr>
          <w:rFonts w:hint="eastAsia"/>
        </w:rPr>
        <w:t>平方米，农村是</w:t>
      </w:r>
      <w:r>
        <w:rPr>
          <w:rFonts w:hint="eastAsia"/>
        </w:rPr>
        <w:t>22.4</w:t>
      </w:r>
      <w:r>
        <w:rPr>
          <w:rFonts w:hint="eastAsia"/>
        </w:rPr>
        <w:t>平方米。</w:t>
      </w:r>
      <w:r>
        <w:rPr>
          <w:rFonts w:hint="eastAsia"/>
        </w:rPr>
        <w:t>1999</w:t>
      </w:r>
      <w:r>
        <w:rPr>
          <w:rFonts w:hint="eastAsia"/>
        </w:rPr>
        <w:t>年的容积率显示每个房间人口过密</w:t>
      </w:r>
      <w:r>
        <w:rPr>
          <w:rFonts w:hint="eastAsia"/>
          <w:spacing w:val="-50"/>
        </w:rPr>
        <w:t>―</w:t>
      </w:r>
      <w:r>
        <w:rPr>
          <w:rFonts w:hint="eastAsia"/>
        </w:rPr>
        <w:t>―每间</w:t>
      </w:r>
      <w:r>
        <w:rPr>
          <w:rFonts w:hint="eastAsia"/>
        </w:rPr>
        <w:t>1.6</w:t>
      </w:r>
      <w:r>
        <w:rPr>
          <w:rFonts w:hint="eastAsia"/>
        </w:rPr>
        <w:t>人，而城市和农村的所需平均值分别是</w:t>
      </w:r>
      <w:r>
        <w:rPr>
          <w:rFonts w:hint="eastAsia"/>
        </w:rPr>
        <w:t>1.2</w:t>
      </w:r>
      <w:r>
        <w:rPr>
          <w:rFonts w:hint="eastAsia"/>
        </w:rPr>
        <w:t>人和</w:t>
      </w:r>
      <w:r>
        <w:rPr>
          <w:rFonts w:hint="eastAsia"/>
        </w:rPr>
        <w:t>1.0</w:t>
      </w:r>
      <w:r>
        <w:rPr>
          <w:rFonts w:hint="eastAsia"/>
        </w:rPr>
        <w:t>人。除此之外，住宅总量的现状不能令人满意，向人口提供的商品水平下降。</w:t>
      </w:r>
    </w:p>
    <w:p w:rsidR="00000000" w:rsidRDefault="00000000">
      <w:pPr>
        <w:rPr>
          <w:rFonts w:hint="eastAsia"/>
        </w:rPr>
      </w:pPr>
      <w:r>
        <w:rPr>
          <w:rFonts w:hint="eastAsia"/>
        </w:rPr>
        <w:tab/>
        <w:t xml:space="preserve">490.  </w:t>
      </w:r>
      <w:r>
        <w:rPr>
          <w:rFonts w:hint="eastAsia"/>
        </w:rPr>
        <w:t>购买住宅的能力首先受到人口收入低和社区服务成本增加的影响。约有</w:t>
      </w:r>
      <w:r>
        <w:rPr>
          <w:rFonts w:hint="eastAsia"/>
        </w:rPr>
        <w:t>25%</w:t>
      </w:r>
      <w:r>
        <w:rPr>
          <w:rFonts w:hint="eastAsia"/>
        </w:rPr>
        <w:t>的国民将</w:t>
      </w:r>
      <w:r>
        <w:rPr>
          <w:rFonts w:hint="eastAsia"/>
        </w:rPr>
        <w:t>30%</w:t>
      </w:r>
      <w:r>
        <w:rPr>
          <w:rFonts w:hint="eastAsia"/>
        </w:rPr>
        <w:t>以上的收入用于住房，超过了西方国家的标准。但是这笔开支的大部分都不得不用于社区服务，只有一小部分用于住宅的维护。因此只有</w:t>
      </w:r>
      <w:r>
        <w:rPr>
          <w:rFonts w:hint="eastAsia"/>
        </w:rPr>
        <w:t>1%</w:t>
      </w:r>
      <w:r>
        <w:rPr>
          <w:rFonts w:hint="eastAsia"/>
        </w:rPr>
        <w:t>或</w:t>
      </w:r>
      <w:r>
        <w:rPr>
          <w:rFonts w:hint="eastAsia"/>
        </w:rPr>
        <w:t>2%</w:t>
      </w:r>
      <w:r>
        <w:rPr>
          <w:rFonts w:hint="eastAsia"/>
        </w:rPr>
        <w:t>的人口能够获得新的住宅</w:t>
      </w:r>
      <w:r>
        <w:rPr>
          <w:rFonts w:hint="eastAsia"/>
        </w:rPr>
        <w:t>(</w:t>
      </w:r>
      <w:r>
        <w:rPr>
          <w:rFonts w:hint="eastAsia"/>
        </w:rPr>
        <w:t>根据</w:t>
      </w:r>
      <w:r>
        <w:rPr>
          <w:rFonts w:hint="eastAsia"/>
        </w:rPr>
        <w:t>1999</w:t>
      </w:r>
      <w:r>
        <w:rPr>
          <w:rFonts w:hint="eastAsia"/>
        </w:rPr>
        <w:t>年</w:t>
      </w:r>
      <w:r>
        <w:rPr>
          <w:rFonts w:hint="eastAsia"/>
        </w:rPr>
        <w:t>5</w:t>
      </w:r>
      <w:r>
        <w:rPr>
          <w:rFonts w:hint="eastAsia"/>
        </w:rPr>
        <w:t>月</w:t>
      </w:r>
      <w:r>
        <w:rPr>
          <w:rFonts w:hint="eastAsia"/>
        </w:rPr>
        <w:t>19</w:t>
      </w:r>
      <w:r>
        <w:rPr>
          <w:rFonts w:hint="eastAsia"/>
        </w:rPr>
        <w:t>日政府决定通过的建筑面积和其他房产的战略的统计</w:t>
      </w:r>
      <w:r>
        <w:rPr>
          <w:rFonts w:hint="eastAsia"/>
        </w:rPr>
        <w:t>)</w:t>
      </w:r>
      <w:r>
        <w:rPr>
          <w:rFonts w:hint="eastAsia"/>
        </w:rPr>
        <w:t>。</w:t>
      </w:r>
    </w:p>
    <w:p w:rsidR="00000000" w:rsidRDefault="00000000">
      <w:pPr>
        <w:rPr>
          <w:rFonts w:hint="eastAsia"/>
        </w:rPr>
      </w:pPr>
      <w:r>
        <w:rPr>
          <w:rFonts w:hint="eastAsia"/>
        </w:rPr>
        <w:tab/>
        <w:t xml:space="preserve">491.  </w:t>
      </w:r>
      <w:r>
        <w:rPr>
          <w:rFonts w:hint="eastAsia"/>
        </w:rPr>
        <w:t>获得住所的方式是：购买房产；与住宅所有者或占有人签订租房合同；合作社成员有权获得合作社分配的公寓；签订合同，以赡养房屋现住户终生为条件取得房屋。</w:t>
      </w:r>
    </w:p>
    <w:p w:rsidR="00000000" w:rsidRDefault="00000000">
      <w:pPr>
        <w:rPr>
          <w:rFonts w:hint="eastAsia"/>
        </w:rPr>
      </w:pPr>
      <w:r>
        <w:rPr>
          <w:rFonts w:hint="eastAsia"/>
        </w:rPr>
        <w:tab/>
        <w:t xml:space="preserve">492.  </w:t>
      </w:r>
      <w:r>
        <w:rPr>
          <w:rFonts w:hint="eastAsia"/>
        </w:rPr>
        <w:t>根据摩尔多瓦共和国《住房法》第</w:t>
      </w:r>
      <w:r>
        <w:rPr>
          <w:rFonts w:hint="eastAsia"/>
        </w:rPr>
        <w:t>43</w:t>
      </w:r>
      <w:r>
        <w:rPr>
          <w:rFonts w:hint="eastAsia"/>
        </w:rPr>
        <w:t>条，向公民提供的住宅必须满足所在居民中心的存在条件，并符合技术和卫生要求。不允许把条件恶化的房屋、地下室、棚屋和其他不适宜居住的建筑以及被列入拆除名单或登记为不允许居住一类的房屋作为住宅提供。</w:t>
      </w:r>
    </w:p>
    <w:p w:rsidR="00000000" w:rsidRDefault="00000000">
      <w:pPr>
        <w:rPr>
          <w:rFonts w:hint="eastAsia"/>
        </w:rPr>
      </w:pPr>
      <w:r>
        <w:rPr>
          <w:rFonts w:hint="eastAsia"/>
        </w:rPr>
        <w:tab/>
        <w:t xml:space="preserve">493.  </w:t>
      </w:r>
      <w:r>
        <w:rPr>
          <w:rFonts w:hint="eastAsia"/>
        </w:rPr>
        <w:t>摩尔多瓦共和国全体公民保证有住房权。根据《宪法》的规定，外国人和无国籍人与摩尔多瓦共和国公民享有同样的权利和义务。例外的情况由法律规定</w:t>
      </w:r>
      <w:r>
        <w:rPr>
          <w:rFonts w:hint="eastAsia"/>
        </w:rPr>
        <w:t>(</w:t>
      </w:r>
      <w:r>
        <w:rPr>
          <w:rFonts w:hint="eastAsia"/>
        </w:rPr>
        <w:t>第</w:t>
      </w:r>
      <w:r>
        <w:rPr>
          <w:rFonts w:hint="eastAsia"/>
        </w:rPr>
        <w:t>19</w:t>
      </w:r>
      <w:r>
        <w:rPr>
          <w:rFonts w:hint="eastAsia"/>
        </w:rPr>
        <w:t>条第</w:t>
      </w:r>
      <w:r>
        <w:rPr>
          <w:rFonts w:hint="eastAsia"/>
        </w:rPr>
        <w:t>1</w:t>
      </w:r>
      <w:r>
        <w:rPr>
          <w:rFonts w:hint="eastAsia"/>
        </w:rPr>
        <w:t>款</w:t>
      </w:r>
      <w:r>
        <w:rPr>
          <w:rFonts w:hint="eastAsia"/>
        </w:rPr>
        <w:t>)</w:t>
      </w:r>
      <w:r>
        <w:rPr>
          <w:rFonts w:hint="eastAsia"/>
        </w:rPr>
        <w:t>。这类人的住房权由关于摩尔多瓦共和国境内的外国人和无国籍人的法律地位法加以保证，其中第</w:t>
      </w:r>
      <w:r>
        <w:rPr>
          <w:rFonts w:hint="eastAsia"/>
        </w:rPr>
        <w:t>10</w:t>
      </w:r>
      <w:r>
        <w:rPr>
          <w:rFonts w:hint="eastAsia"/>
        </w:rPr>
        <w:t>条规定：“摩尔多瓦共和国居民中的外国人和无国籍人与摩尔多瓦共和国公民同样享有住房权。”</w:t>
      </w:r>
    </w:p>
    <w:p w:rsidR="00000000" w:rsidRDefault="00000000">
      <w:pPr>
        <w:rPr>
          <w:rFonts w:hint="eastAsia"/>
        </w:rPr>
      </w:pPr>
      <w:r>
        <w:rPr>
          <w:rFonts w:hint="eastAsia"/>
        </w:rPr>
        <w:tab/>
        <w:t xml:space="preserve">494.  </w:t>
      </w:r>
      <w:r>
        <w:rPr>
          <w:rFonts w:hint="eastAsia"/>
        </w:rPr>
        <w:t>《摩尔多瓦共和国住房法》禁止将人逐出所在住宅，只有在法律规定的条件和方式下才允许有限使用该房屋</w:t>
      </w:r>
      <w:r>
        <w:rPr>
          <w:rFonts w:hint="eastAsia"/>
        </w:rPr>
        <w:t>(</w:t>
      </w:r>
      <w:r>
        <w:rPr>
          <w:rFonts w:hint="eastAsia"/>
        </w:rPr>
        <w:t>第</w:t>
      </w:r>
      <w:r>
        <w:rPr>
          <w:rFonts w:hint="eastAsia"/>
        </w:rPr>
        <w:t>10</w:t>
      </w:r>
      <w:r>
        <w:rPr>
          <w:rFonts w:hint="eastAsia"/>
        </w:rPr>
        <w:t>条第</w:t>
      </w:r>
      <w:r>
        <w:rPr>
          <w:rFonts w:hint="eastAsia"/>
        </w:rPr>
        <w:t>4</w:t>
      </w:r>
      <w:r>
        <w:rPr>
          <w:rFonts w:hint="eastAsia"/>
        </w:rPr>
        <w:t>款</w:t>
      </w:r>
      <w:r>
        <w:rPr>
          <w:rFonts w:hint="eastAsia"/>
        </w:rPr>
        <w:t>)</w:t>
      </w:r>
      <w:r>
        <w:rPr>
          <w:rFonts w:hint="eastAsia"/>
        </w:rPr>
        <w:t>。根据《住房法》第</w:t>
      </w:r>
      <w:r>
        <w:rPr>
          <w:rFonts w:hint="eastAsia"/>
        </w:rPr>
        <w:t>63</w:t>
      </w:r>
      <w:r>
        <w:rPr>
          <w:rFonts w:hint="eastAsia"/>
        </w:rPr>
        <w:t>条，如果某人离开其公有住宅六个月的时间，国家基金有权将其逐出住宅。逐出行为只能按照《住房法》第</w:t>
      </w:r>
      <w:r>
        <w:rPr>
          <w:rFonts w:hint="eastAsia"/>
        </w:rPr>
        <w:t>94</w:t>
      </w:r>
      <w:r>
        <w:rPr>
          <w:rFonts w:hint="eastAsia"/>
        </w:rPr>
        <w:t>条的规定以合法方式进行。为解决有关自由行使权利的问题，最高法院就实施《住房法》若干规定的实践发布了</w:t>
      </w:r>
      <w:r>
        <w:rPr>
          <w:rFonts w:hint="eastAsia"/>
        </w:rPr>
        <w:t>1999</w:t>
      </w:r>
      <w:r>
        <w:rPr>
          <w:rFonts w:hint="eastAsia"/>
        </w:rPr>
        <w:t>年</w:t>
      </w:r>
      <w:r>
        <w:rPr>
          <w:rFonts w:hint="eastAsia"/>
        </w:rPr>
        <w:t>12</w:t>
      </w:r>
      <w:r>
        <w:rPr>
          <w:rFonts w:hint="eastAsia"/>
        </w:rPr>
        <w:t>月</w:t>
      </w:r>
      <w:r>
        <w:rPr>
          <w:rFonts w:hint="eastAsia"/>
        </w:rPr>
        <w:t>20</w:t>
      </w:r>
      <w:r>
        <w:rPr>
          <w:rFonts w:hint="eastAsia"/>
        </w:rPr>
        <w:t>日的《合议庭决定》，其中第</w:t>
      </w:r>
      <w:r>
        <w:rPr>
          <w:rFonts w:hint="eastAsia"/>
        </w:rPr>
        <w:t>11</w:t>
      </w:r>
      <w:r>
        <w:rPr>
          <w:rFonts w:hint="eastAsia"/>
        </w:rPr>
        <w:t>款规定必须确定原告离开的时间超过了规定期限。如果这种离开是有原因的</w:t>
      </w:r>
      <w:r>
        <w:rPr>
          <w:rFonts w:hint="eastAsia"/>
        </w:rPr>
        <w:t>(</w:t>
      </w:r>
      <w:r>
        <w:rPr>
          <w:rFonts w:hint="eastAsia"/>
        </w:rPr>
        <w:t>公务旅行或去帮助需要帮助的人，因为家庭其他成员的行为而离开等等</w:t>
      </w:r>
      <w:r>
        <w:rPr>
          <w:rFonts w:hint="eastAsia"/>
        </w:rPr>
        <w:t>)</w:t>
      </w:r>
      <w:r>
        <w:rPr>
          <w:rFonts w:hint="eastAsia"/>
        </w:rPr>
        <w:t>，法官可以延长这一期限。</w:t>
      </w:r>
    </w:p>
    <w:p w:rsidR="00000000" w:rsidRDefault="00000000">
      <w:pPr>
        <w:rPr>
          <w:rFonts w:hint="eastAsia"/>
        </w:rPr>
      </w:pPr>
      <w:r>
        <w:rPr>
          <w:rFonts w:hint="eastAsia"/>
        </w:rPr>
        <w:tab/>
        <w:t xml:space="preserve">495.  </w:t>
      </w:r>
      <w:r>
        <w:rPr>
          <w:rFonts w:hint="eastAsia"/>
        </w:rPr>
        <w:t>总体情况分析显示：</w:t>
      </w:r>
    </w:p>
    <w:p w:rsidR="00000000" w:rsidRDefault="00000000">
      <w:pPr>
        <w:numPr>
          <w:ilvl w:val="0"/>
          <w:numId w:val="571"/>
        </w:numPr>
        <w:rPr>
          <w:rFonts w:hint="eastAsia"/>
        </w:rPr>
      </w:pPr>
      <w:r>
        <w:rPr>
          <w:rFonts w:hint="eastAsia"/>
        </w:rPr>
        <w:t>住宅被视为使用期在</w:t>
      </w:r>
      <w:r>
        <w:rPr>
          <w:rFonts w:hint="eastAsia"/>
        </w:rPr>
        <w:t>50</w:t>
      </w:r>
      <w:r>
        <w:rPr>
          <w:rFonts w:hint="eastAsia"/>
        </w:rPr>
        <w:t>年以上的一项基本建设；临时性住宅基本不存在；</w:t>
      </w:r>
    </w:p>
    <w:p w:rsidR="00000000" w:rsidRDefault="00000000">
      <w:pPr>
        <w:numPr>
          <w:ilvl w:val="0"/>
          <w:numId w:val="571"/>
        </w:numPr>
        <w:rPr>
          <w:rFonts w:hint="eastAsia"/>
        </w:rPr>
      </w:pPr>
      <w:r>
        <w:rPr>
          <w:rFonts w:hint="eastAsia"/>
        </w:rPr>
        <w:t>大多数住宅为合法住宅。粗制滥造大多数情况见于额外建筑；</w:t>
      </w:r>
    </w:p>
    <w:p w:rsidR="00000000" w:rsidRDefault="00000000">
      <w:pPr>
        <w:numPr>
          <w:ilvl w:val="0"/>
          <w:numId w:val="571"/>
        </w:numPr>
        <w:rPr>
          <w:rFonts w:hint="eastAsia"/>
        </w:rPr>
      </w:pPr>
      <w:r>
        <w:rPr>
          <w:rFonts w:hint="eastAsia"/>
        </w:rPr>
        <w:t>大部分城市住宅符合卫生要求；</w:t>
      </w:r>
    </w:p>
    <w:p w:rsidR="00000000" w:rsidRDefault="00000000">
      <w:pPr>
        <w:numPr>
          <w:ilvl w:val="0"/>
          <w:numId w:val="571"/>
        </w:numPr>
        <w:rPr>
          <w:rFonts w:hint="eastAsia"/>
        </w:rPr>
      </w:pPr>
      <w:r>
        <w:rPr>
          <w:rFonts w:hint="eastAsia"/>
        </w:rPr>
        <w:t>尽管大部分城市房屋储备相对较新，其中约有</w:t>
      </w:r>
      <w:r>
        <w:rPr>
          <w:rFonts w:hint="eastAsia"/>
        </w:rPr>
        <w:t>300</w:t>
      </w:r>
      <w:r>
        <w:rPr>
          <w:rFonts w:hint="eastAsia"/>
        </w:rPr>
        <w:t>万平方米需要一次大修，需要维修的房屋数目不断增加，而资金来源匮乏；</w:t>
      </w:r>
    </w:p>
    <w:p w:rsidR="00000000" w:rsidRDefault="00000000">
      <w:pPr>
        <w:numPr>
          <w:ilvl w:val="0"/>
          <w:numId w:val="571"/>
        </w:numPr>
        <w:rPr>
          <w:rFonts w:hint="eastAsia"/>
        </w:rPr>
      </w:pPr>
      <w:r>
        <w:rPr>
          <w:rFonts w:hint="eastAsia"/>
        </w:rPr>
        <w:t>房屋的能源和水消费不足，浪费巨大；</w:t>
      </w:r>
    </w:p>
    <w:p w:rsidR="00000000" w:rsidRDefault="00000000">
      <w:pPr>
        <w:numPr>
          <w:ilvl w:val="0"/>
          <w:numId w:val="571"/>
        </w:numPr>
        <w:rPr>
          <w:rFonts w:hint="eastAsia"/>
        </w:rPr>
      </w:pPr>
      <w:r>
        <w:rPr>
          <w:rFonts w:hint="eastAsia"/>
        </w:rPr>
        <w:t>大量住宅不符合隔音、隔热和防潮要求。</w:t>
      </w:r>
    </w:p>
    <w:p w:rsidR="00000000" w:rsidRDefault="00000000">
      <w:pPr>
        <w:rPr>
          <w:rFonts w:hint="eastAsia"/>
        </w:rPr>
      </w:pPr>
      <w:r>
        <w:rPr>
          <w:rFonts w:hint="eastAsia"/>
        </w:rPr>
        <w:tab/>
        <w:t xml:space="preserve">496.  </w:t>
      </w:r>
      <w:r>
        <w:rPr>
          <w:rFonts w:hint="eastAsia"/>
        </w:rPr>
        <w:t>住宅建设由若干立法行为加以规定：</w:t>
      </w:r>
    </w:p>
    <w:p w:rsidR="00000000" w:rsidRDefault="00000000">
      <w:pPr>
        <w:numPr>
          <w:ilvl w:val="0"/>
          <w:numId w:val="572"/>
        </w:numPr>
        <w:rPr>
          <w:rFonts w:hint="eastAsia"/>
        </w:rPr>
      </w:pPr>
      <w:r>
        <w:rPr>
          <w:rFonts w:hint="eastAsia"/>
        </w:rPr>
        <w:t>1996</w:t>
      </w:r>
      <w:r>
        <w:rPr>
          <w:rFonts w:hint="eastAsia"/>
        </w:rPr>
        <w:t>年</w:t>
      </w:r>
      <w:r>
        <w:rPr>
          <w:rFonts w:hint="eastAsia"/>
        </w:rPr>
        <w:t>2</w:t>
      </w:r>
      <w:r>
        <w:rPr>
          <w:rFonts w:hint="eastAsia"/>
        </w:rPr>
        <w:t>月</w:t>
      </w:r>
      <w:r>
        <w:rPr>
          <w:rFonts w:hint="eastAsia"/>
        </w:rPr>
        <w:t>2</w:t>
      </w:r>
      <w:r>
        <w:rPr>
          <w:rFonts w:hint="eastAsia"/>
        </w:rPr>
        <w:t>日的《建筑质量法》规定了自然人和法人参与建筑领域的法律、技术经济和组织基础，通过持有执照的技术专家的充分检验来保证建筑质量；</w:t>
      </w:r>
    </w:p>
    <w:p w:rsidR="00000000" w:rsidRDefault="00000000">
      <w:pPr>
        <w:numPr>
          <w:ilvl w:val="0"/>
          <w:numId w:val="572"/>
        </w:numPr>
        <w:rPr>
          <w:rFonts w:hint="eastAsia"/>
        </w:rPr>
      </w:pPr>
      <w:r>
        <w:rPr>
          <w:rFonts w:hint="eastAsia"/>
        </w:rPr>
        <w:t>1996</w:t>
      </w:r>
      <w:r>
        <w:rPr>
          <w:rFonts w:hint="eastAsia"/>
        </w:rPr>
        <w:t>年</w:t>
      </w:r>
      <w:r>
        <w:rPr>
          <w:rFonts w:hint="eastAsia"/>
        </w:rPr>
        <w:t>5</w:t>
      </w:r>
      <w:r>
        <w:rPr>
          <w:rFonts w:hint="eastAsia"/>
        </w:rPr>
        <w:t>月</w:t>
      </w:r>
      <w:r>
        <w:rPr>
          <w:rFonts w:hint="eastAsia"/>
        </w:rPr>
        <w:t>17</w:t>
      </w:r>
      <w:r>
        <w:rPr>
          <w:rFonts w:hint="eastAsia"/>
        </w:rPr>
        <w:t>日的《城市化原则和土地使用法》第</w:t>
      </w:r>
      <w:r>
        <w:rPr>
          <w:rFonts w:hint="eastAsia"/>
        </w:rPr>
        <w:t>4</w:t>
      </w:r>
      <w:r>
        <w:rPr>
          <w:rFonts w:hint="eastAsia"/>
        </w:rPr>
        <w:t>条规定，土地使用的主要目标是合理利用土地、提高生活水平和管理自然资源。计划应接受详细审查，建造授权和城市化证书由当地公共管理部门颁发。该法第</w:t>
      </w:r>
      <w:r>
        <w:rPr>
          <w:rFonts w:hint="eastAsia"/>
        </w:rPr>
        <w:t>45</w:t>
      </w:r>
      <w:r>
        <w:rPr>
          <w:rFonts w:hint="eastAsia"/>
        </w:rPr>
        <w:t>条规定，地方公共管理部门有可能基于公众需要而通过改变、转让、购买或者征用来取得土地，进行城市化建设；</w:t>
      </w:r>
    </w:p>
    <w:p w:rsidR="00000000" w:rsidRDefault="00000000">
      <w:pPr>
        <w:numPr>
          <w:ilvl w:val="0"/>
          <w:numId w:val="572"/>
        </w:numPr>
        <w:rPr>
          <w:rFonts w:hint="eastAsia"/>
        </w:rPr>
      </w:pPr>
      <w:r>
        <w:rPr>
          <w:rFonts w:hint="eastAsia"/>
        </w:rPr>
        <w:t>关于私人建造住宅的条例由</w:t>
      </w:r>
      <w:r>
        <w:rPr>
          <w:rFonts w:hint="eastAsia"/>
        </w:rPr>
        <w:t>1999</w:t>
      </w:r>
      <w:r>
        <w:rPr>
          <w:rFonts w:hint="eastAsia"/>
        </w:rPr>
        <w:t>年</w:t>
      </w:r>
      <w:r>
        <w:rPr>
          <w:rFonts w:hint="eastAsia"/>
        </w:rPr>
        <w:t>7</w:t>
      </w:r>
      <w:r>
        <w:rPr>
          <w:rFonts w:hint="eastAsia"/>
        </w:rPr>
        <w:t>月</w:t>
      </w:r>
      <w:r>
        <w:rPr>
          <w:rFonts w:hint="eastAsia"/>
        </w:rPr>
        <w:t>2</w:t>
      </w:r>
      <w:r>
        <w:rPr>
          <w:rFonts w:hint="eastAsia"/>
        </w:rPr>
        <w:t>日的政府决定通过。</w:t>
      </w:r>
    </w:p>
    <w:p w:rsidR="00000000" w:rsidRDefault="00000000">
      <w:pPr>
        <w:rPr>
          <w:rFonts w:hint="eastAsia"/>
        </w:rPr>
      </w:pPr>
      <w:r>
        <w:rPr>
          <w:rFonts w:hint="eastAsia"/>
        </w:rPr>
        <w:tab/>
        <w:t xml:space="preserve">497.  </w:t>
      </w:r>
      <w:r>
        <w:rPr>
          <w:rFonts w:hint="eastAsia"/>
        </w:rPr>
        <w:t>土地所有权制度由以下法规加以规定：</w:t>
      </w:r>
      <w:r>
        <w:rPr>
          <w:rFonts w:hint="eastAsia"/>
        </w:rPr>
        <w:t>1991</w:t>
      </w:r>
      <w:r>
        <w:rPr>
          <w:rFonts w:hint="eastAsia"/>
        </w:rPr>
        <w:t>年</w:t>
      </w:r>
      <w:r>
        <w:rPr>
          <w:rFonts w:hint="eastAsia"/>
        </w:rPr>
        <w:t>12</w:t>
      </w:r>
      <w:r>
        <w:rPr>
          <w:rFonts w:hint="eastAsia"/>
        </w:rPr>
        <w:t>月</w:t>
      </w:r>
      <w:r>
        <w:rPr>
          <w:rFonts w:hint="eastAsia"/>
        </w:rPr>
        <w:t>25</w:t>
      </w:r>
      <w:r>
        <w:rPr>
          <w:rFonts w:hint="eastAsia"/>
        </w:rPr>
        <w:t>日通过的《摩尔多瓦共和国土地法》、</w:t>
      </w:r>
      <w:r>
        <w:rPr>
          <w:rFonts w:hint="eastAsia"/>
        </w:rPr>
        <w:t>1995</w:t>
      </w:r>
      <w:r>
        <w:rPr>
          <w:rFonts w:hint="eastAsia"/>
        </w:rPr>
        <w:t>年</w:t>
      </w:r>
      <w:r>
        <w:rPr>
          <w:rFonts w:hint="eastAsia"/>
        </w:rPr>
        <w:t>6</w:t>
      </w:r>
      <w:r>
        <w:rPr>
          <w:rFonts w:hint="eastAsia"/>
        </w:rPr>
        <w:t>月</w:t>
      </w:r>
      <w:r>
        <w:rPr>
          <w:rFonts w:hint="eastAsia"/>
        </w:rPr>
        <w:t>6</w:t>
      </w:r>
      <w:r>
        <w:rPr>
          <w:rFonts w:hint="eastAsia"/>
        </w:rPr>
        <w:t>日的政府决定通过的土地买卖暂行条例、</w:t>
      </w:r>
      <w:r>
        <w:rPr>
          <w:rFonts w:hint="eastAsia"/>
        </w:rPr>
        <w:t>1992</w:t>
      </w:r>
      <w:r>
        <w:rPr>
          <w:rFonts w:hint="eastAsia"/>
        </w:rPr>
        <w:t>年</w:t>
      </w:r>
      <w:r>
        <w:rPr>
          <w:rFonts w:hint="eastAsia"/>
        </w:rPr>
        <w:t>12</w:t>
      </w:r>
      <w:r>
        <w:rPr>
          <w:rFonts w:hint="eastAsia"/>
        </w:rPr>
        <w:t>月</w:t>
      </w:r>
      <w:r>
        <w:rPr>
          <w:rFonts w:hint="eastAsia"/>
        </w:rPr>
        <w:t>22</w:t>
      </w:r>
      <w:r>
        <w:rPr>
          <w:rFonts w:hint="eastAsia"/>
        </w:rPr>
        <w:t>日的《关于土地所有权制度的国家安排、国有土地登记和土地监测的法律》、</w:t>
      </w:r>
      <w:r>
        <w:rPr>
          <w:rFonts w:hint="eastAsia"/>
        </w:rPr>
        <w:t>1997</w:t>
      </w:r>
      <w:r>
        <w:rPr>
          <w:rFonts w:hint="eastAsia"/>
        </w:rPr>
        <w:t>年</w:t>
      </w:r>
      <w:r>
        <w:rPr>
          <w:rFonts w:hint="eastAsia"/>
        </w:rPr>
        <w:t>7</w:t>
      </w:r>
      <w:r>
        <w:rPr>
          <w:rFonts w:hint="eastAsia"/>
        </w:rPr>
        <w:t>月</w:t>
      </w:r>
      <w:r>
        <w:rPr>
          <w:rFonts w:hint="eastAsia"/>
        </w:rPr>
        <w:t>25</w:t>
      </w:r>
      <w:r>
        <w:rPr>
          <w:rFonts w:hint="eastAsia"/>
        </w:rPr>
        <w:t>日的《土地买卖标准价格和方式法》和</w:t>
      </w:r>
      <w:r>
        <w:rPr>
          <w:rFonts w:hint="eastAsia"/>
        </w:rPr>
        <w:t>1999</w:t>
      </w:r>
      <w:r>
        <w:rPr>
          <w:rFonts w:hint="eastAsia"/>
        </w:rPr>
        <w:t>年</w:t>
      </w:r>
      <w:r>
        <w:rPr>
          <w:rFonts w:hint="eastAsia"/>
        </w:rPr>
        <w:t>7</w:t>
      </w:r>
      <w:r>
        <w:rPr>
          <w:rFonts w:hint="eastAsia"/>
        </w:rPr>
        <w:t>月</w:t>
      </w:r>
      <w:r>
        <w:rPr>
          <w:rFonts w:hint="eastAsia"/>
        </w:rPr>
        <w:t>8</w:t>
      </w:r>
      <w:r>
        <w:rPr>
          <w:rFonts w:hint="eastAsia"/>
        </w:rPr>
        <w:t>日的《公共征用法》。</w:t>
      </w:r>
    </w:p>
    <w:p w:rsidR="00000000" w:rsidRDefault="00000000">
      <w:pPr>
        <w:rPr>
          <w:rFonts w:hint="eastAsia"/>
        </w:rPr>
      </w:pPr>
      <w:r>
        <w:rPr>
          <w:rFonts w:hint="eastAsia"/>
        </w:rPr>
        <w:tab/>
        <w:t>498.  1990</w:t>
      </w:r>
      <w:r>
        <w:rPr>
          <w:rFonts w:hint="eastAsia"/>
        </w:rPr>
        <w:t>年，建筑业在摩尔多瓦共和国经济中居第三位，占国内生产总值的</w:t>
      </w:r>
      <w:r>
        <w:rPr>
          <w:rFonts w:hint="eastAsia"/>
        </w:rPr>
        <w:t>8%</w:t>
      </w:r>
      <w:r>
        <w:rPr>
          <w:rFonts w:hint="eastAsia"/>
        </w:rPr>
        <w:t>。此后六年，摩尔多瓦建筑业的下降速度超过了乌克兰和罗马尼亚。</w:t>
      </w:r>
    </w:p>
    <w:p w:rsidR="00000000" w:rsidRDefault="00000000">
      <w:pPr>
        <w:rPr>
          <w:rFonts w:hint="eastAsia"/>
        </w:rPr>
      </w:pPr>
      <w:r>
        <w:rPr>
          <w:rFonts w:hint="eastAsia"/>
        </w:rPr>
        <w:tab/>
        <w:t xml:space="preserve">499.  </w:t>
      </w:r>
      <w:r>
        <w:rPr>
          <w:rFonts w:hint="eastAsia"/>
        </w:rPr>
        <w:t>住房市场及其他不动产战略规定了改善住房权落实现状的必要措施如下：</w:t>
      </w:r>
    </w:p>
    <w:p w:rsidR="00000000" w:rsidRDefault="00000000">
      <w:pPr>
        <w:numPr>
          <w:ilvl w:val="0"/>
          <w:numId w:val="573"/>
        </w:numPr>
        <w:rPr>
          <w:rFonts w:hint="eastAsia"/>
        </w:rPr>
      </w:pPr>
      <w:r>
        <w:rPr>
          <w:rFonts w:hint="eastAsia"/>
        </w:rPr>
        <w:t>扩大面向高收入市民的舒适私有住宅市场，建造多层私人住宅楼公寓。这样市场上就会出现更多的公寓，使中等收入的人们能够换取更好的公寓；</w:t>
      </w:r>
    </w:p>
    <w:p w:rsidR="00000000" w:rsidRDefault="00000000">
      <w:pPr>
        <w:numPr>
          <w:ilvl w:val="0"/>
          <w:numId w:val="573"/>
        </w:numPr>
        <w:rPr>
          <w:rFonts w:hint="eastAsia"/>
        </w:rPr>
      </w:pPr>
      <w:r>
        <w:rPr>
          <w:rFonts w:hint="eastAsia"/>
        </w:rPr>
        <w:t>推动建造降低层高要求的高密度住宅。</w:t>
      </w:r>
    </w:p>
    <w:p w:rsidR="00000000" w:rsidRDefault="00000000">
      <w:pPr>
        <w:spacing w:after="320"/>
        <w:rPr>
          <w:rFonts w:hint="eastAsia"/>
        </w:rPr>
      </w:pPr>
      <w:r>
        <w:rPr>
          <w:rFonts w:hint="eastAsia"/>
        </w:rPr>
        <w:tab/>
        <w:t xml:space="preserve">500.  </w:t>
      </w:r>
      <w:r>
        <w:rPr>
          <w:rFonts w:hint="eastAsia"/>
        </w:rPr>
        <w:t>摩尔多瓦共和国对外涅斯特里亚这块领土没有有效控制，这里自</w:t>
      </w:r>
      <w:r>
        <w:rPr>
          <w:rFonts w:hint="eastAsia"/>
        </w:rPr>
        <w:t>1992</w:t>
      </w:r>
      <w:r>
        <w:rPr>
          <w:rFonts w:hint="eastAsia"/>
        </w:rPr>
        <w:t>年以来人们的住宅权利受到严重侵害。</w:t>
      </w:r>
    </w:p>
    <w:p w:rsidR="00000000" w:rsidRDefault="00000000">
      <w:pPr>
        <w:pStyle w:val="Heading3"/>
        <w:rPr>
          <w:rFonts w:hint="eastAsia"/>
        </w:rPr>
      </w:pPr>
      <w:r>
        <w:rPr>
          <w:rFonts w:hint="eastAsia"/>
        </w:rPr>
        <w:t>第</w:t>
      </w:r>
      <w:r>
        <w:rPr>
          <w:rFonts w:hint="eastAsia"/>
        </w:rPr>
        <w:t xml:space="preserve"> </w:t>
      </w:r>
      <w:r>
        <w:rPr>
          <w:rFonts w:hint="eastAsia"/>
        </w:rPr>
        <w:t>十二</w:t>
      </w:r>
      <w:r>
        <w:rPr>
          <w:rFonts w:hint="eastAsia"/>
        </w:rPr>
        <w:t xml:space="preserve"> </w:t>
      </w:r>
      <w:r>
        <w:rPr>
          <w:rFonts w:hint="eastAsia"/>
        </w:rPr>
        <w:t>条</w:t>
      </w:r>
    </w:p>
    <w:p w:rsidR="00000000" w:rsidRDefault="00000000">
      <w:pPr>
        <w:rPr>
          <w:rFonts w:hint="eastAsia"/>
        </w:rPr>
      </w:pPr>
      <w:r>
        <w:rPr>
          <w:rFonts w:hint="eastAsia"/>
        </w:rPr>
        <w:tab/>
        <w:t xml:space="preserve">501.  </w:t>
      </w:r>
      <w:r>
        <w:rPr>
          <w:rFonts w:hint="eastAsia"/>
        </w:rPr>
        <w:t>近年来的经济下滑对生病率和暂时误工原因造成负面影响。</w:t>
      </w:r>
      <w:r>
        <w:rPr>
          <w:rFonts w:hint="eastAsia"/>
        </w:rPr>
        <w:t>1999</w:t>
      </w:r>
      <w:r>
        <w:rPr>
          <w:rFonts w:hint="eastAsia"/>
        </w:rPr>
        <w:t>年，</w:t>
      </w:r>
      <w:r>
        <w:rPr>
          <w:rFonts w:hint="eastAsia"/>
          <w:spacing w:val="8"/>
        </w:rPr>
        <w:t>暂时不能工作的案例</w:t>
      </w:r>
      <w:r>
        <w:rPr>
          <w:rFonts w:hint="eastAsia"/>
          <w:spacing w:val="8"/>
        </w:rPr>
        <w:t>(38.1)</w:t>
      </w:r>
      <w:r>
        <w:rPr>
          <w:rFonts w:hint="eastAsia"/>
          <w:spacing w:val="8"/>
        </w:rPr>
        <w:t>比</w:t>
      </w:r>
      <w:r>
        <w:rPr>
          <w:rFonts w:hint="eastAsia"/>
          <w:spacing w:val="8"/>
        </w:rPr>
        <w:t>1998</w:t>
      </w:r>
      <w:r>
        <w:rPr>
          <w:rFonts w:hint="eastAsia"/>
          <w:spacing w:val="8"/>
        </w:rPr>
        <w:t>年</w:t>
      </w:r>
      <w:r>
        <w:rPr>
          <w:rFonts w:hint="eastAsia"/>
          <w:spacing w:val="8"/>
        </w:rPr>
        <w:t>(37.2)</w:t>
      </w:r>
      <w:r>
        <w:rPr>
          <w:rFonts w:hint="eastAsia"/>
          <w:spacing w:val="8"/>
        </w:rPr>
        <w:t>略有增加，暂时不能工作的天数也略有增加</w:t>
      </w:r>
      <w:r>
        <w:rPr>
          <w:rFonts w:hint="eastAsia"/>
          <w:spacing w:val="8"/>
        </w:rPr>
        <w:t>(1999</w:t>
      </w:r>
      <w:r>
        <w:rPr>
          <w:rFonts w:hint="eastAsia"/>
          <w:spacing w:val="8"/>
        </w:rPr>
        <w:t>年为</w:t>
      </w:r>
      <w:r>
        <w:rPr>
          <w:rFonts w:hint="eastAsia"/>
          <w:spacing w:val="8"/>
        </w:rPr>
        <w:t>680.0</w:t>
      </w:r>
      <w:r>
        <w:rPr>
          <w:rFonts w:hint="eastAsia"/>
          <w:spacing w:val="8"/>
        </w:rPr>
        <w:t>；</w:t>
      </w:r>
      <w:r>
        <w:rPr>
          <w:rFonts w:hint="eastAsia"/>
          <w:spacing w:val="8"/>
        </w:rPr>
        <w:t>1998</w:t>
      </w:r>
      <w:r>
        <w:rPr>
          <w:rFonts w:hint="eastAsia"/>
          <w:spacing w:val="8"/>
        </w:rPr>
        <w:t>年为</w:t>
      </w:r>
      <w:r>
        <w:rPr>
          <w:rFonts w:hint="eastAsia"/>
          <w:spacing w:val="8"/>
        </w:rPr>
        <w:t>674.8)(</w:t>
      </w:r>
      <w:r>
        <w:rPr>
          <w:rFonts w:hint="eastAsia"/>
          <w:spacing w:val="8"/>
        </w:rPr>
        <w:t>对</w:t>
      </w:r>
      <w:r>
        <w:rPr>
          <w:rFonts w:hint="eastAsia"/>
          <w:spacing w:val="8"/>
        </w:rPr>
        <w:t>100</w:t>
      </w:r>
      <w:r>
        <w:rPr>
          <w:rFonts w:hint="eastAsia"/>
          <w:spacing w:val="8"/>
        </w:rPr>
        <w:t>名工人进行的调查</w:t>
      </w:r>
      <w:r>
        <w:rPr>
          <w:rFonts w:hint="eastAsia"/>
          <w:spacing w:val="8"/>
        </w:rPr>
        <w:t>)</w:t>
      </w:r>
      <w:r>
        <w:rPr>
          <w:rFonts w:hint="eastAsia"/>
          <w:spacing w:val="8"/>
        </w:rPr>
        <w:t>。妇女的情况则不同。在</w:t>
      </w:r>
      <w:r>
        <w:rPr>
          <w:rFonts w:hint="eastAsia"/>
          <w:spacing w:val="8"/>
        </w:rPr>
        <w:t>10</w:t>
      </w:r>
      <w:r>
        <w:rPr>
          <w:rFonts w:hint="eastAsia"/>
          <w:spacing w:val="8"/>
        </w:rPr>
        <w:t>个参加经济活动的妇女中，</w:t>
      </w:r>
      <w:r>
        <w:rPr>
          <w:rFonts w:hint="eastAsia"/>
          <w:spacing w:val="8"/>
        </w:rPr>
        <w:t>1999</w:t>
      </w:r>
      <w:r>
        <w:rPr>
          <w:rFonts w:hint="eastAsia"/>
          <w:spacing w:val="8"/>
        </w:rPr>
        <w:t>年暂时不能工作的情况有</w:t>
      </w:r>
      <w:r>
        <w:rPr>
          <w:rFonts w:hint="eastAsia"/>
          <w:spacing w:val="8"/>
        </w:rPr>
        <w:t>41</w:t>
      </w:r>
      <w:r>
        <w:rPr>
          <w:rFonts w:hint="eastAsia"/>
          <w:spacing w:val="8"/>
        </w:rPr>
        <w:t>例，不</w:t>
      </w:r>
      <w:r>
        <w:rPr>
          <w:rFonts w:hint="eastAsia"/>
        </w:rPr>
        <w:t>能工作的天数有</w:t>
      </w:r>
      <w:r>
        <w:rPr>
          <w:rFonts w:hint="eastAsia"/>
        </w:rPr>
        <w:t>704.4</w:t>
      </w:r>
      <w:r>
        <w:rPr>
          <w:rFonts w:hint="eastAsia"/>
        </w:rPr>
        <w:t>天，</w:t>
      </w:r>
      <w:r>
        <w:rPr>
          <w:rFonts w:hint="eastAsia"/>
        </w:rPr>
        <w:t>1998</w:t>
      </w:r>
      <w:r>
        <w:rPr>
          <w:rFonts w:hint="eastAsia"/>
        </w:rPr>
        <w:t>年的这两个数字分别是</w:t>
      </w:r>
      <w:r>
        <w:rPr>
          <w:rFonts w:hint="eastAsia"/>
        </w:rPr>
        <w:t>39.7</w:t>
      </w:r>
      <w:r>
        <w:rPr>
          <w:rFonts w:hint="eastAsia"/>
        </w:rPr>
        <w:t>例和</w:t>
      </w:r>
      <w:r>
        <w:rPr>
          <w:rFonts w:hint="eastAsia"/>
        </w:rPr>
        <w:t>677.8</w:t>
      </w:r>
      <w:r>
        <w:rPr>
          <w:rFonts w:hint="eastAsia"/>
        </w:rPr>
        <w:t>天。最经常发生的导致暂时不能工作的疾病是：流感和呼吸系统疾病</w:t>
      </w:r>
      <w:r>
        <w:rPr>
          <w:rFonts w:hint="eastAsia"/>
          <w:spacing w:val="-50"/>
        </w:rPr>
        <w:t>―</w:t>
      </w:r>
      <w:r>
        <w:rPr>
          <w:rFonts w:hint="eastAsia"/>
        </w:rPr>
        <w:t>―</w:t>
      </w:r>
      <w:r>
        <w:rPr>
          <w:rFonts w:hint="eastAsia"/>
        </w:rPr>
        <w:t>31.9%(1998</w:t>
      </w:r>
      <w:r>
        <w:rPr>
          <w:rFonts w:hint="eastAsia"/>
          <w:spacing w:val="-50"/>
        </w:rPr>
        <w:t>―</w:t>
      </w:r>
      <w:r>
        <w:rPr>
          <w:rFonts w:hint="eastAsia"/>
        </w:rPr>
        <w:t>―</w:t>
      </w:r>
      <w:r>
        <w:rPr>
          <w:rFonts w:hint="eastAsia"/>
        </w:rPr>
        <w:t>21.5%)</w:t>
      </w:r>
      <w:r>
        <w:rPr>
          <w:rFonts w:hint="eastAsia"/>
        </w:rPr>
        <w:t>；外围神经系统和运动系统疾病</w:t>
      </w:r>
      <w:r>
        <w:rPr>
          <w:rFonts w:hint="eastAsia"/>
          <w:spacing w:val="-50"/>
        </w:rPr>
        <w:t>―</w:t>
      </w:r>
      <w:r>
        <w:rPr>
          <w:rFonts w:hint="eastAsia"/>
        </w:rPr>
        <w:t>―</w:t>
      </w:r>
      <w:r>
        <w:rPr>
          <w:rFonts w:hint="eastAsia"/>
        </w:rPr>
        <w:t>14.9%(1998</w:t>
      </w:r>
      <w:r>
        <w:rPr>
          <w:rFonts w:hint="eastAsia"/>
          <w:spacing w:val="-50"/>
        </w:rPr>
        <w:t>―</w:t>
      </w:r>
      <w:r>
        <w:rPr>
          <w:rFonts w:hint="eastAsia"/>
        </w:rPr>
        <w:t>―</w:t>
      </w:r>
      <w:r>
        <w:rPr>
          <w:rFonts w:hint="eastAsia"/>
        </w:rPr>
        <w:t>15.5%)</w:t>
      </w:r>
      <w:r>
        <w:rPr>
          <w:rFonts w:hint="eastAsia"/>
        </w:rPr>
        <w:t>；外伤</w:t>
      </w:r>
      <w:r>
        <w:rPr>
          <w:rFonts w:hint="eastAsia"/>
          <w:spacing w:val="-50"/>
        </w:rPr>
        <w:t>―</w:t>
      </w:r>
      <w:r>
        <w:rPr>
          <w:rFonts w:hint="eastAsia"/>
        </w:rPr>
        <w:t>―</w:t>
      </w:r>
      <w:r>
        <w:rPr>
          <w:rFonts w:hint="eastAsia"/>
        </w:rPr>
        <w:t>9.6%(1998</w:t>
      </w:r>
      <w:r>
        <w:rPr>
          <w:rFonts w:hint="eastAsia"/>
          <w:spacing w:val="-50"/>
        </w:rPr>
        <w:t>―</w:t>
      </w:r>
      <w:r>
        <w:rPr>
          <w:rFonts w:hint="eastAsia"/>
        </w:rPr>
        <w:t>―</w:t>
      </w:r>
      <w:r>
        <w:rPr>
          <w:rFonts w:hint="eastAsia"/>
        </w:rPr>
        <w:t>9.1%)</w:t>
      </w:r>
      <w:r>
        <w:rPr>
          <w:rFonts w:hint="eastAsia"/>
        </w:rPr>
        <w:t>；</w:t>
      </w:r>
      <w:r>
        <w:rPr>
          <w:rFonts w:hint="eastAsia"/>
          <w:spacing w:val="12"/>
        </w:rPr>
        <w:t>消化道疾病</w:t>
      </w:r>
      <w:r>
        <w:rPr>
          <w:rFonts w:hint="eastAsia"/>
          <w:spacing w:val="-50"/>
        </w:rPr>
        <w:t>―</w:t>
      </w:r>
      <w:r>
        <w:rPr>
          <w:rFonts w:hint="eastAsia"/>
        </w:rPr>
        <w:t>―</w:t>
      </w:r>
      <w:r>
        <w:rPr>
          <w:rFonts w:hint="eastAsia"/>
        </w:rPr>
        <w:t>7.2%(1998</w:t>
      </w:r>
      <w:r>
        <w:rPr>
          <w:rFonts w:hint="eastAsia"/>
          <w:spacing w:val="-50"/>
        </w:rPr>
        <w:t>―</w:t>
      </w:r>
      <w:r>
        <w:rPr>
          <w:rFonts w:hint="eastAsia"/>
        </w:rPr>
        <w:t>―</w:t>
      </w:r>
      <w:r>
        <w:rPr>
          <w:rFonts w:hint="eastAsia"/>
        </w:rPr>
        <w:t>8.5%)</w:t>
      </w:r>
      <w:r>
        <w:rPr>
          <w:rFonts w:hint="eastAsia"/>
          <w:spacing w:val="6"/>
        </w:rPr>
        <w:t>；</w:t>
      </w:r>
      <w:r>
        <w:rPr>
          <w:rFonts w:hint="eastAsia"/>
          <w:spacing w:val="12"/>
        </w:rPr>
        <w:t>心血管系统疾病</w:t>
      </w:r>
      <w:r>
        <w:rPr>
          <w:rFonts w:hint="eastAsia"/>
          <w:spacing w:val="-50"/>
        </w:rPr>
        <w:t>―</w:t>
      </w:r>
      <w:r>
        <w:rPr>
          <w:rFonts w:hint="eastAsia"/>
        </w:rPr>
        <w:t>―</w:t>
      </w:r>
      <w:r>
        <w:rPr>
          <w:rFonts w:hint="eastAsia"/>
        </w:rPr>
        <w:t>6%(1998</w:t>
      </w:r>
      <w:r>
        <w:rPr>
          <w:rFonts w:hint="eastAsia"/>
          <w:spacing w:val="-50"/>
        </w:rPr>
        <w:t>―</w:t>
      </w:r>
      <w:r>
        <w:rPr>
          <w:rFonts w:hint="eastAsia"/>
        </w:rPr>
        <w:t>―</w:t>
      </w:r>
      <w:r>
        <w:rPr>
          <w:rFonts w:hint="eastAsia"/>
        </w:rPr>
        <w:t>6.2%)</w:t>
      </w:r>
      <w:r>
        <w:rPr>
          <w:rFonts w:hint="eastAsia"/>
        </w:rPr>
        <w:t>。肺癌</w:t>
      </w:r>
      <w:r>
        <w:rPr>
          <w:rFonts w:hint="eastAsia"/>
        </w:rPr>
        <w:t>(17.8%)</w:t>
      </w:r>
      <w:r>
        <w:rPr>
          <w:rFonts w:hint="eastAsia"/>
        </w:rPr>
        <w:t>、皮肤癌</w:t>
      </w:r>
      <w:r>
        <w:rPr>
          <w:rFonts w:hint="eastAsia"/>
        </w:rPr>
        <w:t>(10.9%)</w:t>
      </w:r>
      <w:r>
        <w:rPr>
          <w:rFonts w:hint="eastAsia"/>
        </w:rPr>
        <w:t>和胃癌</w:t>
      </w:r>
      <w:r>
        <w:rPr>
          <w:rFonts w:hint="eastAsia"/>
        </w:rPr>
        <w:t>(8.9%)</w:t>
      </w:r>
      <w:r>
        <w:rPr>
          <w:rFonts w:hint="eastAsia"/>
        </w:rPr>
        <w:t>是男性人口的常见疾病，而女性人口更经常罹患乳癌</w:t>
      </w:r>
      <w:r>
        <w:rPr>
          <w:rFonts w:hint="eastAsia"/>
        </w:rPr>
        <w:t>(24.7%)</w:t>
      </w:r>
      <w:r>
        <w:rPr>
          <w:rFonts w:hint="eastAsia"/>
        </w:rPr>
        <w:t>、皮肤癌</w:t>
      </w:r>
      <w:r>
        <w:rPr>
          <w:rFonts w:hint="eastAsia"/>
        </w:rPr>
        <w:t>(13.9%)</w:t>
      </w:r>
      <w:r>
        <w:rPr>
          <w:rFonts w:hint="eastAsia"/>
        </w:rPr>
        <w:t>和子宫颈癌</w:t>
      </w:r>
      <w:r>
        <w:rPr>
          <w:rFonts w:hint="eastAsia"/>
        </w:rPr>
        <w:t>(8.9%)</w:t>
      </w:r>
      <w:r>
        <w:rPr>
          <w:rFonts w:hint="eastAsia"/>
        </w:rPr>
        <w:t>。妇女的健康状况是人口生殖能力的指标。摩尔多瓦共和国的生育率为</w:t>
      </w:r>
      <w:r>
        <w:rPr>
          <w:rFonts w:hint="eastAsia"/>
        </w:rPr>
        <w:t>1.67%</w:t>
      </w:r>
      <w:r>
        <w:rPr>
          <w:rFonts w:hint="eastAsia"/>
        </w:rPr>
        <w:t>，欧洲平均值为</w:t>
      </w:r>
      <w:r>
        <w:rPr>
          <w:rFonts w:hint="eastAsia"/>
        </w:rPr>
        <w:t>1.6%</w:t>
      </w:r>
      <w:r>
        <w:rPr>
          <w:rFonts w:hint="eastAsia"/>
        </w:rPr>
        <w:t>。为确保人口的自我繁殖，这一指数至少应为</w:t>
      </w:r>
      <w:r>
        <w:rPr>
          <w:rFonts w:hint="eastAsia"/>
        </w:rPr>
        <w:t>2.1%</w:t>
      </w:r>
      <w:r>
        <w:rPr>
          <w:rFonts w:hint="eastAsia"/>
        </w:rPr>
        <w:t>。流产次数下降。</w:t>
      </w:r>
    </w:p>
    <w:p w:rsidR="00000000" w:rsidRDefault="00000000">
      <w:pPr>
        <w:rPr>
          <w:rFonts w:hint="eastAsia"/>
        </w:rPr>
      </w:pPr>
      <w:r>
        <w:rPr>
          <w:rFonts w:hint="eastAsia"/>
        </w:rPr>
        <w:tab/>
        <w:t xml:space="preserve">502.  </w:t>
      </w:r>
      <w:r>
        <w:rPr>
          <w:rFonts w:hint="eastAsia"/>
        </w:rPr>
        <w:t>人口心理健康状况的一项分析显示，过去十年来人口心理健康状况下降；这见于各个年龄群体。可以看出，十年间，这类病人的数目每年都有增加。</w:t>
      </w:r>
      <w:r>
        <w:rPr>
          <w:rFonts w:hint="eastAsia"/>
        </w:rPr>
        <w:t>1990</w:t>
      </w:r>
      <w:r>
        <w:rPr>
          <w:rFonts w:hint="eastAsia"/>
        </w:rPr>
        <w:t>年，登记病人有</w:t>
      </w:r>
      <w:r>
        <w:rPr>
          <w:rFonts w:hint="eastAsia"/>
        </w:rPr>
        <w:t>20,445</w:t>
      </w:r>
      <w:r>
        <w:rPr>
          <w:rFonts w:hint="eastAsia"/>
        </w:rPr>
        <w:t>人；</w:t>
      </w:r>
      <w:r>
        <w:rPr>
          <w:rFonts w:hint="eastAsia"/>
        </w:rPr>
        <w:t>1994</w:t>
      </w:r>
      <w:r>
        <w:rPr>
          <w:rFonts w:hint="eastAsia"/>
        </w:rPr>
        <w:t>年，</w:t>
      </w:r>
      <w:r>
        <w:rPr>
          <w:rFonts w:hint="eastAsia"/>
        </w:rPr>
        <w:t>23,685</w:t>
      </w:r>
      <w:r>
        <w:rPr>
          <w:rFonts w:hint="eastAsia"/>
        </w:rPr>
        <w:t>人；</w:t>
      </w:r>
      <w:r>
        <w:rPr>
          <w:rFonts w:hint="eastAsia"/>
        </w:rPr>
        <w:t>1996</w:t>
      </w:r>
      <w:r>
        <w:rPr>
          <w:rFonts w:hint="eastAsia"/>
        </w:rPr>
        <w:t>年，</w:t>
      </w:r>
      <w:r>
        <w:rPr>
          <w:rFonts w:hint="eastAsia"/>
        </w:rPr>
        <w:t>24,812</w:t>
      </w:r>
      <w:r>
        <w:rPr>
          <w:rFonts w:hint="eastAsia"/>
        </w:rPr>
        <w:t>人；</w:t>
      </w:r>
      <w:r>
        <w:rPr>
          <w:rFonts w:hint="eastAsia"/>
        </w:rPr>
        <w:t>1998</w:t>
      </w:r>
      <w:r>
        <w:rPr>
          <w:rFonts w:hint="eastAsia"/>
        </w:rPr>
        <w:t>年，</w:t>
      </w:r>
      <w:r>
        <w:rPr>
          <w:rFonts w:hint="eastAsia"/>
        </w:rPr>
        <w:t>26,190</w:t>
      </w:r>
      <w:r>
        <w:rPr>
          <w:rFonts w:hint="eastAsia"/>
        </w:rPr>
        <w:t>人。</w:t>
      </w:r>
      <w:r>
        <w:rPr>
          <w:rFonts w:hint="eastAsia"/>
        </w:rPr>
        <w:t>1999</w:t>
      </w:r>
      <w:r>
        <w:rPr>
          <w:rFonts w:hint="eastAsia"/>
        </w:rPr>
        <w:t>年登记病人数达</w:t>
      </w:r>
      <w:r>
        <w:rPr>
          <w:rFonts w:hint="eastAsia"/>
        </w:rPr>
        <w:t>26,440</w:t>
      </w:r>
      <w:r>
        <w:rPr>
          <w:rFonts w:hint="eastAsia"/>
        </w:rPr>
        <w:t>人，占登记病人总数的</w:t>
      </w:r>
      <w:r>
        <w:rPr>
          <w:rFonts w:hint="eastAsia"/>
        </w:rPr>
        <w:t>43.5%</w:t>
      </w:r>
      <w:r>
        <w:rPr>
          <w:rFonts w:hint="eastAsia"/>
        </w:rPr>
        <w:t>。成年病人与儿童病人的比例为</w:t>
      </w:r>
      <w:r>
        <w:rPr>
          <w:rFonts w:hint="eastAsia"/>
        </w:rPr>
        <w:t>46.8:26.3</w:t>
      </w:r>
      <w:r>
        <w:rPr>
          <w:rFonts w:hint="eastAsia"/>
        </w:rPr>
        <w:t>。在摩尔多瓦共和国，农村年轻人中喝酒的比例很高。据统计，酗酒者人数在增加，特别是在</w:t>
      </w:r>
      <w:r>
        <w:rPr>
          <w:rFonts w:hint="eastAsia"/>
        </w:rPr>
        <w:t>30</w:t>
      </w:r>
      <w:r>
        <w:rPr>
          <w:rFonts w:hint="eastAsia"/>
        </w:rPr>
        <w:t>岁以下的人群中。根据卫生部的统计，并基于世界卫生组织和内政部的数据，摩尔多瓦共和国的吸毒者估计有</w:t>
      </w:r>
      <w:r>
        <w:rPr>
          <w:rFonts w:hint="eastAsia"/>
        </w:rPr>
        <w:t>50,000</w:t>
      </w:r>
      <w:r>
        <w:rPr>
          <w:rFonts w:hint="eastAsia"/>
        </w:rPr>
        <w:t>或</w:t>
      </w:r>
      <w:r>
        <w:rPr>
          <w:rFonts w:hint="eastAsia"/>
        </w:rPr>
        <w:t>55,000</w:t>
      </w:r>
      <w:r>
        <w:rPr>
          <w:rFonts w:hint="eastAsia"/>
        </w:rPr>
        <w:t>人。监禁机构的情况令人担忧，这里结核病的发病率比全国平均水平高出</w:t>
      </w:r>
      <w:r>
        <w:rPr>
          <w:rFonts w:hint="eastAsia"/>
        </w:rPr>
        <w:t>42.7</w:t>
      </w:r>
      <w:r>
        <w:rPr>
          <w:rFonts w:hint="eastAsia"/>
        </w:rPr>
        <w:t>倍。</w:t>
      </w:r>
    </w:p>
    <w:p w:rsidR="00000000" w:rsidRDefault="00000000">
      <w:pPr>
        <w:rPr>
          <w:rFonts w:hint="eastAsia"/>
        </w:rPr>
      </w:pPr>
      <w:r>
        <w:rPr>
          <w:rFonts w:hint="eastAsia"/>
        </w:rPr>
        <w:tab/>
        <w:t xml:space="preserve">503.  </w:t>
      </w:r>
      <w:r>
        <w:rPr>
          <w:rFonts w:hint="eastAsia"/>
        </w:rPr>
        <w:t>对由全科医师提供一般性医疗援助的制度在以下规定的基础上进行了改革：</w:t>
      </w:r>
      <w:r>
        <w:rPr>
          <w:rFonts w:hint="eastAsia"/>
        </w:rPr>
        <w:t>1997</w:t>
      </w:r>
      <w:r>
        <w:rPr>
          <w:rFonts w:hint="eastAsia"/>
        </w:rPr>
        <w:t>年</w:t>
      </w:r>
      <w:r>
        <w:rPr>
          <w:rFonts w:hint="eastAsia"/>
        </w:rPr>
        <w:t>7</w:t>
      </w:r>
      <w:r>
        <w:rPr>
          <w:rFonts w:hint="eastAsia"/>
        </w:rPr>
        <w:t>月</w:t>
      </w:r>
      <w:r>
        <w:rPr>
          <w:rFonts w:hint="eastAsia"/>
        </w:rPr>
        <w:t>17</w:t>
      </w:r>
      <w:r>
        <w:rPr>
          <w:rFonts w:hint="eastAsia"/>
        </w:rPr>
        <w:t>日关于</w:t>
      </w:r>
      <w:r>
        <w:rPr>
          <w:rFonts w:hint="eastAsia"/>
        </w:rPr>
        <w:t>1997</w:t>
      </w:r>
      <w:r>
        <w:rPr>
          <w:rFonts w:hint="eastAsia"/>
        </w:rPr>
        <w:t>至</w:t>
      </w:r>
      <w:r>
        <w:rPr>
          <w:rFonts w:hint="eastAsia"/>
        </w:rPr>
        <w:t>2003</w:t>
      </w:r>
      <w:r>
        <w:rPr>
          <w:rFonts w:hint="eastAsia"/>
        </w:rPr>
        <w:t>年医疗援助体系改革的设想的第</w:t>
      </w:r>
      <w:r>
        <w:rPr>
          <w:rFonts w:hint="eastAsia"/>
        </w:rPr>
        <w:t>668</w:t>
      </w:r>
      <w:r>
        <w:rPr>
          <w:rFonts w:hint="eastAsia"/>
        </w:rPr>
        <w:t>号政府决定，和</w:t>
      </w:r>
      <w:r>
        <w:rPr>
          <w:rFonts w:hint="eastAsia"/>
        </w:rPr>
        <w:t>1997</w:t>
      </w:r>
      <w:r>
        <w:rPr>
          <w:rFonts w:hint="eastAsia"/>
        </w:rPr>
        <w:t>年</w:t>
      </w:r>
      <w:r>
        <w:rPr>
          <w:rFonts w:hint="eastAsia"/>
        </w:rPr>
        <w:t>8</w:t>
      </w:r>
      <w:r>
        <w:rPr>
          <w:rFonts w:hint="eastAsia"/>
        </w:rPr>
        <w:t>月</w:t>
      </w:r>
      <w:r>
        <w:rPr>
          <w:rFonts w:hint="eastAsia"/>
        </w:rPr>
        <w:t>19</w:t>
      </w:r>
      <w:r>
        <w:rPr>
          <w:rFonts w:hint="eastAsia"/>
        </w:rPr>
        <w:t>日关于初级医药改革的卫生部第</w:t>
      </w:r>
      <w:r>
        <w:rPr>
          <w:rFonts w:hint="eastAsia"/>
        </w:rPr>
        <w:t>200</w:t>
      </w:r>
      <w:r>
        <w:rPr>
          <w:rFonts w:hint="eastAsia"/>
        </w:rPr>
        <w:t>号令。还根据</w:t>
      </w:r>
      <w:r>
        <w:rPr>
          <w:rFonts w:hint="eastAsia"/>
        </w:rPr>
        <w:t>1999</w:t>
      </w:r>
      <w:r>
        <w:rPr>
          <w:rFonts w:hint="eastAsia"/>
        </w:rPr>
        <w:t>年</w:t>
      </w:r>
      <w:r>
        <w:rPr>
          <w:rFonts w:hint="eastAsia"/>
        </w:rPr>
        <w:t>7</w:t>
      </w:r>
      <w:r>
        <w:rPr>
          <w:rFonts w:hint="eastAsia"/>
        </w:rPr>
        <w:t>月</w:t>
      </w:r>
      <w:r>
        <w:rPr>
          <w:rFonts w:hint="eastAsia"/>
        </w:rPr>
        <w:t>23</w:t>
      </w:r>
      <w:r>
        <w:rPr>
          <w:rFonts w:hint="eastAsia"/>
        </w:rPr>
        <w:t>日关于改善摩尔多瓦共和国紧急医疗援助国家方案的政府决定对院前紧急医疗援助体系进行了重组。但是卫生运输的缺乏，紧急服务技术支持的不足和</w:t>
      </w:r>
      <w:r>
        <w:rPr>
          <w:rFonts w:hint="eastAsia"/>
        </w:rPr>
        <w:t>1998</w:t>
      </w:r>
      <w:r>
        <w:rPr>
          <w:rFonts w:hint="eastAsia"/>
        </w:rPr>
        <w:t>年以来的行政区域重组导致人们对医疗援助的需求及获得减少。外科手术方面的情况令人担忧。</w:t>
      </w:r>
      <w:r>
        <w:rPr>
          <w:rFonts w:hint="eastAsia"/>
        </w:rPr>
        <w:t>1999</w:t>
      </w:r>
      <w:r>
        <w:rPr>
          <w:rFonts w:hint="eastAsia"/>
        </w:rPr>
        <w:t>年的手术总数比前一年下降了</w:t>
      </w:r>
      <w:r>
        <w:rPr>
          <w:rFonts w:hint="eastAsia"/>
        </w:rPr>
        <w:t>15%</w:t>
      </w:r>
      <w:r>
        <w:rPr>
          <w:rFonts w:hint="eastAsia"/>
        </w:rPr>
        <w:t>，减少的原因在于医疗援助费用增加，虽然手术病理学在发展和加强。</w:t>
      </w:r>
    </w:p>
    <w:p w:rsidR="00000000" w:rsidRDefault="00000000">
      <w:pPr>
        <w:rPr>
          <w:rFonts w:hint="eastAsia"/>
        </w:rPr>
      </w:pPr>
      <w:r>
        <w:rPr>
          <w:rFonts w:hint="eastAsia"/>
        </w:rPr>
        <w:tab/>
        <w:t xml:space="preserve">504.  </w:t>
      </w:r>
      <w:r>
        <w:rPr>
          <w:rFonts w:hint="eastAsia"/>
        </w:rPr>
        <w:t>健康质量指数极大恶化。与</w:t>
      </w:r>
      <w:r>
        <w:rPr>
          <w:rFonts w:hint="eastAsia"/>
        </w:rPr>
        <w:t>1992</w:t>
      </w:r>
      <w:r>
        <w:rPr>
          <w:rFonts w:hint="eastAsia"/>
        </w:rPr>
        <w:t>年相比预期寿命下降。</w:t>
      </w:r>
      <w:r>
        <w:rPr>
          <w:rFonts w:hint="eastAsia"/>
        </w:rPr>
        <w:t>1998</w:t>
      </w:r>
      <w:r>
        <w:rPr>
          <w:rFonts w:hint="eastAsia"/>
        </w:rPr>
        <w:t>年，妇女的预期寿命是</w:t>
      </w:r>
      <w:r>
        <w:rPr>
          <w:rFonts w:hint="eastAsia"/>
        </w:rPr>
        <w:t>71.4</w:t>
      </w:r>
      <w:r>
        <w:rPr>
          <w:rFonts w:hint="eastAsia"/>
        </w:rPr>
        <w:t>岁，男子为</w:t>
      </w:r>
      <w:r>
        <w:rPr>
          <w:rFonts w:hint="eastAsia"/>
        </w:rPr>
        <w:t>64</w:t>
      </w:r>
      <w:r>
        <w:rPr>
          <w:rFonts w:hint="eastAsia"/>
        </w:rPr>
        <w:t>岁，平均</w:t>
      </w:r>
      <w:r>
        <w:rPr>
          <w:rFonts w:hint="eastAsia"/>
        </w:rPr>
        <w:t>67.8</w:t>
      </w:r>
      <w:r>
        <w:rPr>
          <w:rFonts w:hint="eastAsia"/>
        </w:rPr>
        <w:t>岁。摩尔多瓦共和国是欧洲预期寿命最低的国家之一。</w:t>
      </w:r>
    </w:p>
    <w:p w:rsidR="00000000" w:rsidRDefault="00000000">
      <w:pPr>
        <w:rPr>
          <w:rFonts w:hint="eastAsia"/>
        </w:rPr>
      </w:pPr>
      <w:r>
        <w:rPr>
          <w:rFonts w:hint="eastAsia"/>
        </w:rPr>
        <w:tab/>
        <w:t>505.  1997</w:t>
      </w:r>
      <w:r>
        <w:rPr>
          <w:rFonts w:hint="eastAsia"/>
        </w:rPr>
        <w:t>年卫生部详细拟订了一项卫生保健战略，作为“</w:t>
      </w:r>
      <w:r>
        <w:rPr>
          <w:rFonts w:hint="eastAsia"/>
        </w:rPr>
        <w:t>1997</w:t>
      </w:r>
      <w:r>
        <w:rPr>
          <w:rFonts w:hint="eastAsia"/>
        </w:rPr>
        <w:t>至</w:t>
      </w:r>
      <w:r>
        <w:rPr>
          <w:rFonts w:hint="eastAsia"/>
        </w:rPr>
        <w:t>2003</w:t>
      </w:r>
      <w:r>
        <w:rPr>
          <w:rFonts w:hint="eastAsia"/>
        </w:rPr>
        <w:t>年发展摩尔多瓦共和国保健体系设想和战略”获得政府通过。</w:t>
      </w:r>
    </w:p>
    <w:p w:rsidR="00000000" w:rsidRDefault="00000000">
      <w:pPr>
        <w:rPr>
          <w:rFonts w:hint="eastAsia"/>
        </w:rPr>
      </w:pPr>
      <w:r>
        <w:rPr>
          <w:rFonts w:hint="eastAsia"/>
        </w:rPr>
        <w:tab/>
        <w:t xml:space="preserve">506.  </w:t>
      </w:r>
      <w:r>
        <w:rPr>
          <w:rFonts w:hint="eastAsia"/>
        </w:rPr>
        <w:t>国家健康安全政策包括重点、战略和具体步骤，分别在国家、次国家和地方各级协调并获得通过。主要目标是保证并维护全体公民和全民族的健康，提供免费医疗援助。</w:t>
      </w:r>
    </w:p>
    <w:p w:rsidR="00000000" w:rsidRDefault="00000000">
      <w:pPr>
        <w:rPr>
          <w:rFonts w:hint="eastAsia"/>
        </w:rPr>
      </w:pPr>
      <w:r>
        <w:rPr>
          <w:rFonts w:hint="eastAsia"/>
        </w:rPr>
        <w:tab/>
        <w:t xml:space="preserve">507.  </w:t>
      </w:r>
      <w:r>
        <w:rPr>
          <w:rFonts w:hint="eastAsia"/>
        </w:rPr>
        <w:t>卫生预算占国内生产总值的比例为：</w:t>
      </w:r>
      <w:r>
        <w:rPr>
          <w:rFonts w:hint="eastAsia"/>
        </w:rPr>
        <w:t>1994</w:t>
      </w:r>
      <w:r>
        <w:rPr>
          <w:rFonts w:hint="eastAsia"/>
        </w:rPr>
        <w:t>年，</w:t>
      </w:r>
      <w:r>
        <w:rPr>
          <w:rFonts w:hint="eastAsia"/>
        </w:rPr>
        <w:t>6.3%</w:t>
      </w:r>
      <w:r>
        <w:rPr>
          <w:rFonts w:hint="eastAsia"/>
        </w:rPr>
        <w:t>；</w:t>
      </w:r>
      <w:r>
        <w:rPr>
          <w:rFonts w:hint="eastAsia"/>
        </w:rPr>
        <w:t>1995</w:t>
      </w:r>
      <w:r>
        <w:rPr>
          <w:rFonts w:hint="eastAsia"/>
        </w:rPr>
        <w:t>年，</w:t>
      </w:r>
      <w:r>
        <w:rPr>
          <w:rFonts w:hint="eastAsia"/>
        </w:rPr>
        <w:t>5.8%</w:t>
      </w:r>
      <w:r>
        <w:rPr>
          <w:rFonts w:hint="eastAsia"/>
        </w:rPr>
        <w:t>；</w:t>
      </w:r>
      <w:r>
        <w:rPr>
          <w:rFonts w:hint="eastAsia"/>
        </w:rPr>
        <w:t>1996</w:t>
      </w:r>
      <w:r>
        <w:rPr>
          <w:rFonts w:hint="eastAsia"/>
        </w:rPr>
        <w:t>年，</w:t>
      </w:r>
      <w:r>
        <w:rPr>
          <w:rFonts w:hint="eastAsia"/>
        </w:rPr>
        <w:t>6.8%</w:t>
      </w:r>
      <w:r>
        <w:rPr>
          <w:rFonts w:hint="eastAsia"/>
        </w:rPr>
        <w:t>；</w:t>
      </w:r>
      <w:r>
        <w:rPr>
          <w:rFonts w:hint="eastAsia"/>
        </w:rPr>
        <w:t>1997</w:t>
      </w:r>
      <w:r>
        <w:rPr>
          <w:rFonts w:hint="eastAsia"/>
        </w:rPr>
        <w:t>年，</w:t>
      </w:r>
      <w:r>
        <w:rPr>
          <w:rFonts w:hint="eastAsia"/>
        </w:rPr>
        <w:t>6%</w:t>
      </w:r>
      <w:r>
        <w:rPr>
          <w:rFonts w:hint="eastAsia"/>
        </w:rPr>
        <w:t>；</w:t>
      </w:r>
      <w:r>
        <w:rPr>
          <w:rFonts w:hint="eastAsia"/>
        </w:rPr>
        <w:t>1998</w:t>
      </w:r>
      <w:r>
        <w:rPr>
          <w:rFonts w:hint="eastAsia"/>
        </w:rPr>
        <w:t>年，</w:t>
      </w:r>
      <w:r>
        <w:rPr>
          <w:rFonts w:hint="eastAsia"/>
        </w:rPr>
        <w:t>4.5%</w:t>
      </w:r>
      <w:r>
        <w:rPr>
          <w:rFonts w:hint="eastAsia"/>
        </w:rPr>
        <w:t>；</w:t>
      </w:r>
      <w:r>
        <w:rPr>
          <w:rFonts w:hint="eastAsia"/>
        </w:rPr>
        <w:t>1999</w:t>
      </w:r>
      <w:r>
        <w:rPr>
          <w:rFonts w:hint="eastAsia"/>
        </w:rPr>
        <w:t>年，</w:t>
      </w:r>
      <w:r>
        <w:rPr>
          <w:rFonts w:hint="eastAsia"/>
        </w:rPr>
        <w:t>2.9%</w:t>
      </w:r>
      <w:r>
        <w:rPr>
          <w:rFonts w:hint="eastAsia"/>
        </w:rPr>
        <w:t>。</w:t>
      </w:r>
    </w:p>
    <w:p w:rsidR="00000000" w:rsidRDefault="00000000">
      <w:pPr>
        <w:spacing w:after="320"/>
        <w:rPr>
          <w:rFonts w:hint="eastAsia"/>
        </w:rPr>
      </w:pPr>
      <w:r>
        <w:rPr>
          <w:rFonts w:hint="eastAsia"/>
        </w:rPr>
        <w:tab/>
        <w:t xml:space="preserve">508.  </w:t>
      </w:r>
      <w:r>
        <w:rPr>
          <w:rFonts w:hint="eastAsia"/>
        </w:rPr>
        <w:t>根据摩尔多瓦共和国统计和社会分析局的数据，死产率和婴儿死亡率</w:t>
      </w:r>
      <w:r>
        <w:rPr>
          <w:rFonts w:hint="eastAsia"/>
        </w:rPr>
        <w:t>(</w:t>
      </w:r>
      <w:r>
        <w:rPr>
          <w:rFonts w:hint="eastAsia"/>
        </w:rPr>
        <w:t>每千名出生者</w:t>
      </w:r>
      <w:r>
        <w:rPr>
          <w:rFonts w:hint="eastAsia"/>
        </w:rPr>
        <w:t>)</w:t>
      </w:r>
      <w:r>
        <w:rPr>
          <w:rFonts w:hint="eastAsia"/>
        </w:rPr>
        <w:t>如下：</w:t>
      </w:r>
    </w:p>
    <w:p w:rsidR="00000000" w:rsidRDefault="00000000">
      <w:pPr>
        <w:pStyle w:val="Heading3"/>
        <w:spacing w:after="240"/>
        <w:rPr>
          <w:rFonts w:hint="eastAsia"/>
        </w:rPr>
      </w:pPr>
      <w:r>
        <w:rPr>
          <w:rFonts w:hint="eastAsia"/>
          <w:u w:val="none"/>
        </w:rPr>
        <w:t>表</w:t>
      </w:r>
      <w:r>
        <w:rPr>
          <w:rFonts w:hint="eastAsia"/>
          <w:u w:val="none"/>
        </w:rPr>
        <w:t xml:space="preserve">32.  </w:t>
      </w:r>
      <w:r>
        <w:rPr>
          <w:rFonts w:hint="eastAsia"/>
        </w:rPr>
        <w:t>农村和城市地区的死产率和婴儿死亡率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3"/>
        <w:gridCol w:w="2442"/>
        <w:gridCol w:w="2452"/>
        <w:gridCol w:w="2343"/>
      </w:tblGrid>
      <w:tr w:rsidR="00000000">
        <w:tblPrEx>
          <w:tblCellMar>
            <w:top w:w="0" w:type="dxa"/>
            <w:bottom w:w="0" w:type="dxa"/>
          </w:tblCellMar>
        </w:tblPrEx>
        <w:tc>
          <w:tcPr>
            <w:tcW w:w="1219" w:type="pct"/>
            <w:tcBorders>
              <w:bottom w:val="single" w:sz="6" w:space="0" w:color="auto"/>
            </w:tcBorders>
          </w:tcPr>
          <w:p w:rsidR="00000000" w:rsidRDefault="00000000">
            <w:pPr>
              <w:spacing w:before="120"/>
              <w:jc w:val="center"/>
              <w:rPr>
                <w:rFonts w:hint="eastAsia"/>
                <w:b/>
                <w:bCs/>
              </w:rPr>
            </w:pPr>
            <w:r>
              <w:rPr>
                <w:rFonts w:hint="eastAsia"/>
              </w:rPr>
              <w:t>年</w:t>
            </w:r>
          </w:p>
        </w:tc>
        <w:tc>
          <w:tcPr>
            <w:tcW w:w="1276" w:type="pct"/>
            <w:tcBorders>
              <w:bottom w:val="single" w:sz="6" w:space="0" w:color="auto"/>
            </w:tcBorders>
          </w:tcPr>
          <w:p w:rsidR="00000000" w:rsidRDefault="00000000">
            <w:pPr>
              <w:spacing w:before="120"/>
              <w:jc w:val="center"/>
              <w:rPr>
                <w:rFonts w:hint="eastAsia"/>
                <w:b/>
                <w:bCs/>
              </w:rPr>
            </w:pPr>
            <w:r>
              <w:rPr>
                <w:rFonts w:hint="eastAsia"/>
              </w:rPr>
              <w:t>总</w:t>
            </w:r>
            <w:r>
              <w:rPr>
                <w:rFonts w:hint="eastAsia"/>
              </w:rPr>
              <w:t xml:space="preserve">  </w:t>
            </w:r>
            <w:r>
              <w:rPr>
                <w:rFonts w:hint="eastAsia"/>
              </w:rPr>
              <w:t>数</w:t>
            </w:r>
          </w:p>
        </w:tc>
        <w:tc>
          <w:tcPr>
            <w:tcW w:w="1281" w:type="pct"/>
            <w:tcBorders>
              <w:bottom w:val="single" w:sz="6" w:space="0" w:color="auto"/>
            </w:tcBorders>
          </w:tcPr>
          <w:p w:rsidR="00000000" w:rsidRDefault="00000000">
            <w:pPr>
              <w:spacing w:before="120"/>
              <w:jc w:val="center"/>
              <w:rPr>
                <w:rFonts w:hint="eastAsia"/>
                <w:b/>
                <w:bCs/>
              </w:rPr>
            </w:pPr>
            <w:r>
              <w:rPr>
                <w:rFonts w:hint="eastAsia"/>
              </w:rPr>
              <w:t>农村平均数</w:t>
            </w:r>
          </w:p>
        </w:tc>
        <w:tc>
          <w:tcPr>
            <w:tcW w:w="1224" w:type="pct"/>
            <w:tcBorders>
              <w:bottom w:val="single" w:sz="6" w:space="0" w:color="auto"/>
            </w:tcBorders>
          </w:tcPr>
          <w:p w:rsidR="00000000" w:rsidRDefault="00000000">
            <w:pPr>
              <w:spacing w:before="120"/>
              <w:jc w:val="center"/>
              <w:rPr>
                <w:rFonts w:hint="eastAsia"/>
                <w:b/>
                <w:bCs/>
              </w:rPr>
            </w:pPr>
            <w:r>
              <w:rPr>
                <w:rFonts w:hint="eastAsia"/>
              </w:rPr>
              <w:t>城市平均数</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bottom w:val="nil"/>
            </w:tcBorders>
          </w:tcPr>
          <w:p w:rsidR="00000000" w:rsidRDefault="00000000">
            <w:pPr>
              <w:spacing w:before="120" w:line="320" w:lineRule="exact"/>
              <w:jc w:val="center"/>
            </w:pPr>
            <w:r>
              <w:t>1990</w:t>
            </w:r>
          </w:p>
        </w:tc>
        <w:tc>
          <w:tcPr>
            <w:tcW w:w="1276" w:type="pct"/>
            <w:tcBorders>
              <w:bottom w:val="nil"/>
            </w:tcBorders>
          </w:tcPr>
          <w:p w:rsidR="00000000" w:rsidRDefault="00000000">
            <w:pPr>
              <w:tabs>
                <w:tab w:val="decimal" w:pos="1181"/>
              </w:tabs>
              <w:spacing w:before="120" w:line="320" w:lineRule="exact"/>
              <w:ind w:right="465"/>
              <w:rPr>
                <w:rFonts w:hint="eastAsia"/>
              </w:rPr>
            </w:pPr>
            <w:r>
              <w:t>19</w:t>
            </w:r>
          </w:p>
        </w:tc>
        <w:tc>
          <w:tcPr>
            <w:tcW w:w="1281" w:type="pct"/>
            <w:tcBorders>
              <w:bottom w:val="nil"/>
            </w:tcBorders>
          </w:tcPr>
          <w:p w:rsidR="00000000" w:rsidRDefault="00000000">
            <w:pPr>
              <w:tabs>
                <w:tab w:val="decimal" w:pos="1181"/>
              </w:tabs>
              <w:spacing w:before="120" w:line="320" w:lineRule="exact"/>
              <w:ind w:right="465"/>
            </w:pPr>
            <w:r>
              <w:t>16.96</w:t>
            </w:r>
          </w:p>
        </w:tc>
        <w:tc>
          <w:tcPr>
            <w:tcW w:w="1224" w:type="pct"/>
            <w:tcBorders>
              <w:bottom w:val="nil"/>
            </w:tcBorders>
          </w:tcPr>
          <w:p w:rsidR="00000000" w:rsidRDefault="00000000">
            <w:pPr>
              <w:tabs>
                <w:tab w:val="decimal" w:pos="1181"/>
              </w:tabs>
              <w:spacing w:before="120" w:line="320" w:lineRule="exact"/>
              <w:ind w:right="465"/>
            </w:pPr>
            <w:r>
              <w:t>20.64</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bottom w:val="nil"/>
            </w:tcBorders>
          </w:tcPr>
          <w:p w:rsidR="00000000" w:rsidRDefault="00000000">
            <w:pPr>
              <w:spacing w:line="320" w:lineRule="exact"/>
              <w:jc w:val="center"/>
            </w:pPr>
            <w:r>
              <w:t>1991</w:t>
            </w:r>
          </w:p>
        </w:tc>
        <w:tc>
          <w:tcPr>
            <w:tcW w:w="1276" w:type="pct"/>
            <w:tcBorders>
              <w:top w:val="nil"/>
              <w:bottom w:val="nil"/>
            </w:tcBorders>
          </w:tcPr>
          <w:p w:rsidR="00000000" w:rsidRDefault="00000000">
            <w:pPr>
              <w:tabs>
                <w:tab w:val="decimal" w:pos="1181"/>
              </w:tabs>
              <w:spacing w:line="320" w:lineRule="exact"/>
              <w:ind w:right="465"/>
            </w:pPr>
            <w:r>
              <w:t>19.8</w:t>
            </w:r>
          </w:p>
        </w:tc>
        <w:tc>
          <w:tcPr>
            <w:tcW w:w="1281" w:type="pct"/>
            <w:tcBorders>
              <w:top w:val="nil"/>
              <w:bottom w:val="nil"/>
            </w:tcBorders>
          </w:tcPr>
          <w:p w:rsidR="00000000" w:rsidRDefault="00000000">
            <w:pPr>
              <w:tabs>
                <w:tab w:val="decimal" w:pos="1181"/>
              </w:tabs>
              <w:spacing w:line="320" w:lineRule="exact"/>
              <w:ind w:right="465"/>
              <w:rPr>
                <w:rFonts w:hint="eastAsia"/>
              </w:rPr>
            </w:pPr>
            <w:r>
              <w:t>17.1</w:t>
            </w:r>
          </w:p>
        </w:tc>
        <w:tc>
          <w:tcPr>
            <w:tcW w:w="1224" w:type="pct"/>
            <w:tcBorders>
              <w:top w:val="nil"/>
              <w:bottom w:val="nil"/>
            </w:tcBorders>
          </w:tcPr>
          <w:p w:rsidR="00000000" w:rsidRDefault="00000000">
            <w:pPr>
              <w:tabs>
                <w:tab w:val="decimal" w:pos="1181"/>
              </w:tabs>
              <w:spacing w:line="320" w:lineRule="exact"/>
              <w:ind w:right="465"/>
            </w:pPr>
            <w:r>
              <w:t>21.9</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bottom w:val="nil"/>
            </w:tcBorders>
          </w:tcPr>
          <w:p w:rsidR="00000000" w:rsidRDefault="00000000">
            <w:pPr>
              <w:spacing w:line="320" w:lineRule="exact"/>
              <w:jc w:val="center"/>
            </w:pPr>
            <w:r>
              <w:t>1992</w:t>
            </w:r>
          </w:p>
        </w:tc>
        <w:tc>
          <w:tcPr>
            <w:tcW w:w="1276" w:type="pct"/>
            <w:tcBorders>
              <w:top w:val="nil"/>
              <w:bottom w:val="nil"/>
            </w:tcBorders>
          </w:tcPr>
          <w:p w:rsidR="00000000" w:rsidRDefault="00000000">
            <w:pPr>
              <w:tabs>
                <w:tab w:val="decimal" w:pos="1181"/>
              </w:tabs>
              <w:spacing w:line="320" w:lineRule="exact"/>
              <w:ind w:right="465"/>
            </w:pPr>
            <w:r>
              <w:t>18.4</w:t>
            </w:r>
          </w:p>
        </w:tc>
        <w:tc>
          <w:tcPr>
            <w:tcW w:w="1281" w:type="pct"/>
            <w:tcBorders>
              <w:top w:val="nil"/>
              <w:bottom w:val="nil"/>
            </w:tcBorders>
          </w:tcPr>
          <w:p w:rsidR="00000000" w:rsidRDefault="00000000">
            <w:pPr>
              <w:tabs>
                <w:tab w:val="decimal" w:pos="1181"/>
              </w:tabs>
              <w:spacing w:line="320" w:lineRule="exact"/>
              <w:ind w:right="465"/>
              <w:rPr>
                <w:rFonts w:hint="eastAsia"/>
              </w:rPr>
            </w:pPr>
            <w:r>
              <w:t>16</w:t>
            </w:r>
          </w:p>
        </w:tc>
        <w:tc>
          <w:tcPr>
            <w:tcW w:w="1224" w:type="pct"/>
            <w:tcBorders>
              <w:top w:val="nil"/>
              <w:bottom w:val="nil"/>
            </w:tcBorders>
          </w:tcPr>
          <w:p w:rsidR="00000000" w:rsidRDefault="00000000">
            <w:pPr>
              <w:tabs>
                <w:tab w:val="decimal" w:pos="1181"/>
              </w:tabs>
              <w:spacing w:line="320" w:lineRule="exact"/>
              <w:ind w:right="465"/>
              <w:rPr>
                <w:rFonts w:hint="eastAsia"/>
              </w:rPr>
            </w:pPr>
            <w:r>
              <w:t>20.3</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bottom w:val="nil"/>
            </w:tcBorders>
          </w:tcPr>
          <w:p w:rsidR="00000000" w:rsidRDefault="00000000">
            <w:pPr>
              <w:spacing w:line="320" w:lineRule="exact"/>
              <w:jc w:val="center"/>
            </w:pPr>
            <w:r>
              <w:t>1993</w:t>
            </w:r>
          </w:p>
        </w:tc>
        <w:tc>
          <w:tcPr>
            <w:tcW w:w="1276" w:type="pct"/>
            <w:tcBorders>
              <w:top w:val="nil"/>
              <w:bottom w:val="nil"/>
            </w:tcBorders>
          </w:tcPr>
          <w:p w:rsidR="00000000" w:rsidRDefault="00000000">
            <w:pPr>
              <w:tabs>
                <w:tab w:val="decimal" w:pos="1181"/>
              </w:tabs>
              <w:spacing w:line="320" w:lineRule="exact"/>
              <w:ind w:right="465"/>
            </w:pPr>
            <w:r>
              <w:t>21.5</w:t>
            </w:r>
          </w:p>
        </w:tc>
        <w:tc>
          <w:tcPr>
            <w:tcW w:w="1281" w:type="pct"/>
            <w:tcBorders>
              <w:top w:val="nil"/>
              <w:bottom w:val="nil"/>
            </w:tcBorders>
          </w:tcPr>
          <w:p w:rsidR="00000000" w:rsidRDefault="00000000">
            <w:pPr>
              <w:tabs>
                <w:tab w:val="decimal" w:pos="1181"/>
              </w:tabs>
              <w:spacing w:line="320" w:lineRule="exact"/>
              <w:ind w:right="465"/>
              <w:rPr>
                <w:rFonts w:hint="eastAsia"/>
              </w:rPr>
            </w:pPr>
            <w:r>
              <w:t>19.5</w:t>
            </w:r>
          </w:p>
        </w:tc>
        <w:tc>
          <w:tcPr>
            <w:tcW w:w="1224" w:type="pct"/>
            <w:tcBorders>
              <w:top w:val="nil"/>
              <w:bottom w:val="nil"/>
            </w:tcBorders>
          </w:tcPr>
          <w:p w:rsidR="00000000" w:rsidRDefault="00000000">
            <w:pPr>
              <w:tabs>
                <w:tab w:val="decimal" w:pos="1181"/>
              </w:tabs>
              <w:spacing w:line="320" w:lineRule="exact"/>
              <w:ind w:right="465"/>
              <w:rPr>
                <w:rFonts w:hint="eastAsia"/>
              </w:rPr>
            </w:pPr>
            <w:r>
              <w:t>22.9</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bottom w:val="nil"/>
            </w:tcBorders>
          </w:tcPr>
          <w:p w:rsidR="00000000" w:rsidRDefault="00000000">
            <w:pPr>
              <w:spacing w:line="320" w:lineRule="exact"/>
              <w:jc w:val="center"/>
            </w:pPr>
            <w:r>
              <w:t>1994</w:t>
            </w:r>
          </w:p>
        </w:tc>
        <w:tc>
          <w:tcPr>
            <w:tcW w:w="1276" w:type="pct"/>
            <w:tcBorders>
              <w:top w:val="nil"/>
              <w:bottom w:val="nil"/>
            </w:tcBorders>
          </w:tcPr>
          <w:p w:rsidR="00000000" w:rsidRDefault="00000000">
            <w:pPr>
              <w:tabs>
                <w:tab w:val="decimal" w:pos="1181"/>
              </w:tabs>
              <w:spacing w:line="320" w:lineRule="exact"/>
              <w:ind w:right="465"/>
            </w:pPr>
            <w:r>
              <w:t>22.6</w:t>
            </w:r>
          </w:p>
        </w:tc>
        <w:tc>
          <w:tcPr>
            <w:tcW w:w="1281" w:type="pct"/>
            <w:tcBorders>
              <w:top w:val="nil"/>
              <w:bottom w:val="nil"/>
            </w:tcBorders>
          </w:tcPr>
          <w:p w:rsidR="00000000" w:rsidRDefault="00000000">
            <w:pPr>
              <w:tabs>
                <w:tab w:val="decimal" w:pos="1181"/>
              </w:tabs>
              <w:spacing w:line="320" w:lineRule="exact"/>
              <w:ind w:right="465"/>
              <w:rPr>
                <w:rFonts w:hint="eastAsia"/>
              </w:rPr>
            </w:pPr>
            <w:r>
              <w:t>20.9</w:t>
            </w:r>
          </w:p>
        </w:tc>
        <w:tc>
          <w:tcPr>
            <w:tcW w:w="1224" w:type="pct"/>
            <w:tcBorders>
              <w:top w:val="nil"/>
              <w:bottom w:val="nil"/>
            </w:tcBorders>
          </w:tcPr>
          <w:p w:rsidR="00000000" w:rsidRDefault="00000000">
            <w:pPr>
              <w:tabs>
                <w:tab w:val="decimal" w:pos="1181"/>
              </w:tabs>
              <w:spacing w:line="320" w:lineRule="exact"/>
              <w:ind w:right="465"/>
              <w:rPr>
                <w:rFonts w:hint="eastAsia"/>
              </w:rPr>
            </w:pPr>
            <w:r>
              <w:t>23.7</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bottom w:val="nil"/>
            </w:tcBorders>
          </w:tcPr>
          <w:p w:rsidR="00000000" w:rsidRDefault="00000000">
            <w:pPr>
              <w:spacing w:line="320" w:lineRule="exact"/>
              <w:jc w:val="center"/>
            </w:pPr>
            <w:r>
              <w:t>1995</w:t>
            </w:r>
          </w:p>
        </w:tc>
        <w:tc>
          <w:tcPr>
            <w:tcW w:w="1276" w:type="pct"/>
            <w:tcBorders>
              <w:top w:val="nil"/>
              <w:bottom w:val="nil"/>
            </w:tcBorders>
          </w:tcPr>
          <w:p w:rsidR="00000000" w:rsidRDefault="00000000">
            <w:pPr>
              <w:tabs>
                <w:tab w:val="decimal" w:pos="1181"/>
              </w:tabs>
              <w:spacing w:line="320" w:lineRule="exact"/>
              <w:ind w:right="465"/>
            </w:pPr>
            <w:r>
              <w:t>21.2</w:t>
            </w:r>
          </w:p>
        </w:tc>
        <w:tc>
          <w:tcPr>
            <w:tcW w:w="1281" w:type="pct"/>
            <w:tcBorders>
              <w:top w:val="nil"/>
              <w:bottom w:val="nil"/>
            </w:tcBorders>
          </w:tcPr>
          <w:p w:rsidR="00000000" w:rsidRDefault="00000000">
            <w:pPr>
              <w:tabs>
                <w:tab w:val="decimal" w:pos="1181"/>
              </w:tabs>
              <w:spacing w:line="320" w:lineRule="exact"/>
              <w:ind w:right="465"/>
              <w:rPr>
                <w:rFonts w:hint="eastAsia"/>
              </w:rPr>
            </w:pPr>
            <w:r>
              <w:t>19.5</w:t>
            </w:r>
          </w:p>
        </w:tc>
        <w:tc>
          <w:tcPr>
            <w:tcW w:w="1224" w:type="pct"/>
            <w:tcBorders>
              <w:top w:val="nil"/>
              <w:bottom w:val="nil"/>
            </w:tcBorders>
          </w:tcPr>
          <w:p w:rsidR="00000000" w:rsidRDefault="00000000">
            <w:pPr>
              <w:tabs>
                <w:tab w:val="decimal" w:pos="1181"/>
              </w:tabs>
              <w:spacing w:line="320" w:lineRule="exact"/>
              <w:ind w:right="465"/>
              <w:rPr>
                <w:rFonts w:hint="eastAsia"/>
              </w:rPr>
            </w:pPr>
            <w:r>
              <w:t>22.3</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bottom w:val="nil"/>
            </w:tcBorders>
          </w:tcPr>
          <w:p w:rsidR="00000000" w:rsidRDefault="00000000">
            <w:pPr>
              <w:spacing w:line="320" w:lineRule="exact"/>
              <w:jc w:val="center"/>
            </w:pPr>
            <w:r>
              <w:t>1996</w:t>
            </w:r>
          </w:p>
        </w:tc>
        <w:tc>
          <w:tcPr>
            <w:tcW w:w="1276" w:type="pct"/>
            <w:tcBorders>
              <w:top w:val="nil"/>
              <w:bottom w:val="nil"/>
            </w:tcBorders>
          </w:tcPr>
          <w:p w:rsidR="00000000" w:rsidRDefault="00000000">
            <w:pPr>
              <w:tabs>
                <w:tab w:val="decimal" w:pos="1181"/>
              </w:tabs>
              <w:spacing w:line="320" w:lineRule="exact"/>
              <w:ind w:right="465"/>
            </w:pPr>
            <w:r>
              <w:t>20.2</w:t>
            </w:r>
          </w:p>
        </w:tc>
        <w:tc>
          <w:tcPr>
            <w:tcW w:w="1281" w:type="pct"/>
            <w:tcBorders>
              <w:top w:val="nil"/>
              <w:bottom w:val="nil"/>
            </w:tcBorders>
          </w:tcPr>
          <w:p w:rsidR="00000000" w:rsidRDefault="00000000">
            <w:pPr>
              <w:tabs>
                <w:tab w:val="decimal" w:pos="1181"/>
              </w:tabs>
              <w:spacing w:line="320" w:lineRule="exact"/>
              <w:ind w:right="465"/>
              <w:rPr>
                <w:rFonts w:hint="eastAsia"/>
              </w:rPr>
            </w:pPr>
            <w:r>
              <w:t>18.7</w:t>
            </w:r>
          </w:p>
        </w:tc>
        <w:tc>
          <w:tcPr>
            <w:tcW w:w="1224" w:type="pct"/>
            <w:tcBorders>
              <w:top w:val="nil"/>
              <w:bottom w:val="nil"/>
            </w:tcBorders>
          </w:tcPr>
          <w:p w:rsidR="00000000" w:rsidRDefault="00000000">
            <w:pPr>
              <w:tabs>
                <w:tab w:val="decimal" w:pos="1181"/>
              </w:tabs>
              <w:spacing w:line="320" w:lineRule="exact"/>
              <w:ind w:right="465"/>
              <w:rPr>
                <w:rFonts w:hint="eastAsia"/>
              </w:rPr>
            </w:pPr>
            <w:r>
              <w:t>21.1</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bottom w:val="nil"/>
            </w:tcBorders>
          </w:tcPr>
          <w:p w:rsidR="00000000" w:rsidRDefault="00000000">
            <w:pPr>
              <w:spacing w:line="320" w:lineRule="exact"/>
              <w:jc w:val="center"/>
            </w:pPr>
            <w:r>
              <w:t>1997</w:t>
            </w:r>
          </w:p>
        </w:tc>
        <w:tc>
          <w:tcPr>
            <w:tcW w:w="1276" w:type="pct"/>
            <w:tcBorders>
              <w:top w:val="nil"/>
              <w:bottom w:val="nil"/>
            </w:tcBorders>
          </w:tcPr>
          <w:p w:rsidR="00000000" w:rsidRDefault="00000000">
            <w:pPr>
              <w:tabs>
                <w:tab w:val="decimal" w:pos="1181"/>
              </w:tabs>
              <w:spacing w:line="320" w:lineRule="exact"/>
              <w:ind w:right="465"/>
            </w:pPr>
            <w:r>
              <w:t>19.8</w:t>
            </w:r>
          </w:p>
        </w:tc>
        <w:tc>
          <w:tcPr>
            <w:tcW w:w="1281" w:type="pct"/>
            <w:tcBorders>
              <w:top w:val="nil"/>
              <w:bottom w:val="nil"/>
            </w:tcBorders>
          </w:tcPr>
          <w:p w:rsidR="00000000" w:rsidRDefault="00000000">
            <w:pPr>
              <w:tabs>
                <w:tab w:val="decimal" w:pos="1181"/>
              </w:tabs>
              <w:spacing w:line="320" w:lineRule="exact"/>
              <w:ind w:right="465"/>
              <w:rPr>
                <w:rFonts w:hint="eastAsia"/>
              </w:rPr>
            </w:pPr>
            <w:r>
              <w:t>16.8</w:t>
            </w:r>
          </w:p>
        </w:tc>
        <w:tc>
          <w:tcPr>
            <w:tcW w:w="1224" w:type="pct"/>
            <w:tcBorders>
              <w:top w:val="nil"/>
              <w:bottom w:val="nil"/>
            </w:tcBorders>
          </w:tcPr>
          <w:p w:rsidR="00000000" w:rsidRDefault="00000000">
            <w:pPr>
              <w:tabs>
                <w:tab w:val="decimal" w:pos="1181"/>
              </w:tabs>
              <w:spacing w:line="320" w:lineRule="exact"/>
              <w:ind w:right="465"/>
              <w:rPr>
                <w:rFonts w:hint="eastAsia"/>
              </w:rPr>
            </w:pPr>
            <w:r>
              <w:t>21.3</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bottom w:val="nil"/>
            </w:tcBorders>
          </w:tcPr>
          <w:p w:rsidR="00000000" w:rsidRDefault="00000000">
            <w:pPr>
              <w:spacing w:line="320" w:lineRule="exact"/>
              <w:jc w:val="center"/>
            </w:pPr>
            <w:r>
              <w:t>1998</w:t>
            </w:r>
          </w:p>
        </w:tc>
        <w:tc>
          <w:tcPr>
            <w:tcW w:w="1276" w:type="pct"/>
            <w:tcBorders>
              <w:top w:val="nil"/>
              <w:bottom w:val="nil"/>
            </w:tcBorders>
          </w:tcPr>
          <w:p w:rsidR="00000000" w:rsidRDefault="00000000">
            <w:pPr>
              <w:tabs>
                <w:tab w:val="decimal" w:pos="1181"/>
              </w:tabs>
              <w:spacing w:line="320" w:lineRule="exact"/>
              <w:ind w:right="465"/>
            </w:pPr>
            <w:r>
              <w:t>17.5</w:t>
            </w:r>
          </w:p>
        </w:tc>
        <w:tc>
          <w:tcPr>
            <w:tcW w:w="1281" w:type="pct"/>
            <w:tcBorders>
              <w:top w:val="nil"/>
              <w:bottom w:val="nil"/>
            </w:tcBorders>
          </w:tcPr>
          <w:p w:rsidR="00000000" w:rsidRDefault="00000000">
            <w:pPr>
              <w:tabs>
                <w:tab w:val="decimal" w:pos="1181"/>
              </w:tabs>
              <w:spacing w:line="320" w:lineRule="exact"/>
              <w:ind w:right="465"/>
              <w:rPr>
                <w:rFonts w:hint="eastAsia"/>
              </w:rPr>
            </w:pPr>
            <w:r>
              <w:t>20.5</w:t>
            </w:r>
          </w:p>
        </w:tc>
        <w:tc>
          <w:tcPr>
            <w:tcW w:w="1224" w:type="pct"/>
            <w:tcBorders>
              <w:top w:val="nil"/>
              <w:bottom w:val="nil"/>
            </w:tcBorders>
          </w:tcPr>
          <w:p w:rsidR="00000000" w:rsidRDefault="00000000">
            <w:pPr>
              <w:tabs>
                <w:tab w:val="decimal" w:pos="1181"/>
              </w:tabs>
              <w:spacing w:line="320" w:lineRule="exact"/>
              <w:ind w:right="465"/>
              <w:rPr>
                <w:rFonts w:hint="eastAsia"/>
              </w:rPr>
            </w:pPr>
            <w:r>
              <w:t>16</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1219" w:type="pct"/>
            <w:tcBorders>
              <w:top w:val="nil"/>
            </w:tcBorders>
          </w:tcPr>
          <w:p w:rsidR="00000000" w:rsidRDefault="00000000">
            <w:pPr>
              <w:spacing w:line="320" w:lineRule="exact"/>
              <w:jc w:val="center"/>
            </w:pPr>
            <w:r>
              <w:t>1999</w:t>
            </w:r>
          </w:p>
        </w:tc>
        <w:tc>
          <w:tcPr>
            <w:tcW w:w="1276" w:type="pct"/>
            <w:tcBorders>
              <w:top w:val="nil"/>
            </w:tcBorders>
          </w:tcPr>
          <w:p w:rsidR="00000000" w:rsidRDefault="00000000">
            <w:pPr>
              <w:tabs>
                <w:tab w:val="decimal" w:pos="1181"/>
              </w:tabs>
              <w:spacing w:line="320" w:lineRule="exact"/>
              <w:ind w:right="465"/>
            </w:pPr>
            <w:r>
              <w:t>18.2</w:t>
            </w:r>
          </w:p>
        </w:tc>
        <w:tc>
          <w:tcPr>
            <w:tcW w:w="1281" w:type="pct"/>
            <w:tcBorders>
              <w:top w:val="nil"/>
            </w:tcBorders>
          </w:tcPr>
          <w:p w:rsidR="00000000" w:rsidRDefault="00000000">
            <w:pPr>
              <w:tabs>
                <w:tab w:val="decimal" w:pos="1181"/>
              </w:tabs>
              <w:spacing w:line="320" w:lineRule="exact"/>
              <w:ind w:right="465"/>
              <w:rPr>
                <w:rFonts w:hint="eastAsia"/>
              </w:rPr>
            </w:pPr>
            <w:r>
              <w:t>20.7</w:t>
            </w:r>
          </w:p>
        </w:tc>
        <w:tc>
          <w:tcPr>
            <w:tcW w:w="1224" w:type="pct"/>
            <w:tcBorders>
              <w:top w:val="nil"/>
            </w:tcBorders>
          </w:tcPr>
          <w:p w:rsidR="00000000" w:rsidRDefault="00000000">
            <w:pPr>
              <w:tabs>
                <w:tab w:val="decimal" w:pos="1181"/>
              </w:tabs>
              <w:spacing w:line="320" w:lineRule="exact"/>
              <w:ind w:right="465"/>
              <w:rPr>
                <w:rFonts w:hint="eastAsia"/>
              </w:rPr>
            </w:pPr>
            <w:r>
              <w:t>16</w:t>
            </w:r>
          </w:p>
        </w:tc>
      </w:tr>
    </w:tbl>
    <w:p w:rsidR="00000000" w:rsidRDefault="00000000"/>
    <w:p w:rsidR="00000000" w:rsidRDefault="00000000">
      <w:pPr>
        <w:rPr>
          <w:rFonts w:hint="eastAsia"/>
        </w:rPr>
      </w:pPr>
      <w:r>
        <w:rPr>
          <w:rFonts w:hint="eastAsia"/>
        </w:rPr>
        <w:tab/>
        <w:t xml:space="preserve">509.  </w:t>
      </w:r>
      <w:r>
        <w:rPr>
          <w:rFonts w:hint="eastAsia"/>
        </w:rPr>
        <w:t>摩尔多瓦共和国的婴儿死亡率问题非常严重。</w:t>
      </w:r>
      <w:r>
        <w:rPr>
          <w:rFonts w:hint="eastAsia"/>
        </w:rPr>
        <w:t>0</w:t>
      </w:r>
      <w:r>
        <w:rPr>
          <w:rFonts w:hint="eastAsia"/>
        </w:rPr>
        <w:t>至</w:t>
      </w:r>
      <w:r>
        <w:rPr>
          <w:rFonts w:hint="eastAsia"/>
        </w:rPr>
        <w:t>1</w:t>
      </w:r>
      <w:r>
        <w:rPr>
          <w:rFonts w:hint="eastAsia"/>
        </w:rPr>
        <w:t>岁间的婴儿死亡人数占婴儿死亡总数的一半以上</w:t>
      </w:r>
      <w:r>
        <w:rPr>
          <w:rFonts w:hint="eastAsia"/>
        </w:rPr>
        <w:t>(1999</w:t>
      </w:r>
      <w:r>
        <w:rPr>
          <w:rFonts w:hint="eastAsia"/>
        </w:rPr>
        <w:t>年为</w:t>
      </w:r>
      <w:r>
        <w:rPr>
          <w:rFonts w:hint="eastAsia"/>
        </w:rPr>
        <w:t>48%)</w:t>
      </w:r>
      <w:r>
        <w:rPr>
          <w:rFonts w:hint="eastAsia"/>
        </w:rPr>
        <w:t>，对人口指标，特别是出生率、生育率和总死亡率产生不利影响。从</w:t>
      </w:r>
      <w:r>
        <w:rPr>
          <w:rFonts w:hint="eastAsia"/>
        </w:rPr>
        <w:t>1990</w:t>
      </w:r>
      <w:r>
        <w:rPr>
          <w:rFonts w:hint="eastAsia"/>
        </w:rPr>
        <w:t>年到</w:t>
      </w:r>
      <w:r>
        <w:rPr>
          <w:rFonts w:hint="eastAsia"/>
        </w:rPr>
        <w:t>1997</w:t>
      </w:r>
      <w:r>
        <w:rPr>
          <w:rFonts w:hint="eastAsia"/>
        </w:rPr>
        <w:t>年，农村地区的婴儿死亡率高于全国平均值，城市地区则低于全国平均值。但是这种情况在</w:t>
      </w:r>
      <w:r>
        <w:rPr>
          <w:rFonts w:hint="eastAsia"/>
        </w:rPr>
        <w:t>1998/1999</w:t>
      </w:r>
      <w:r>
        <w:rPr>
          <w:rFonts w:hint="eastAsia"/>
        </w:rPr>
        <w:t>年度发生了变化，令人费解。对此的解释是没有登记全部出生和死亡情况，特别是在农村地区</w:t>
      </w:r>
      <w:r>
        <w:rPr>
          <w:rFonts w:hint="eastAsia"/>
        </w:rPr>
        <w:t>(</w:t>
      </w:r>
      <w:r>
        <w:rPr>
          <w:rFonts w:hint="eastAsia"/>
        </w:rPr>
        <w:t>根据“摩尔多瓦共和国公共健康”登记的</w:t>
      </w:r>
      <w:r>
        <w:rPr>
          <w:rFonts w:hint="eastAsia"/>
        </w:rPr>
        <w:t>1999</w:t>
      </w:r>
      <w:r>
        <w:rPr>
          <w:rFonts w:hint="eastAsia"/>
        </w:rPr>
        <w:t>年数据</w:t>
      </w:r>
      <w:r>
        <w:rPr>
          <w:rFonts w:hint="eastAsia"/>
        </w:rPr>
        <w:t>)</w:t>
      </w:r>
      <w:r>
        <w:rPr>
          <w:rFonts w:hint="eastAsia"/>
        </w:rPr>
        <w:t>。</w:t>
      </w:r>
    </w:p>
    <w:p w:rsidR="00000000" w:rsidRDefault="00000000">
      <w:pPr>
        <w:rPr>
          <w:rFonts w:hint="eastAsia"/>
        </w:rPr>
      </w:pPr>
      <w:r>
        <w:rPr>
          <w:rFonts w:hint="eastAsia"/>
        </w:rPr>
        <w:tab/>
        <w:t xml:space="preserve">510.  </w:t>
      </w:r>
      <w:r>
        <w:rPr>
          <w:rFonts w:hint="eastAsia"/>
        </w:rPr>
        <w:t>主要的饮用水来源是井。约有三分之二的人口使用这种水源。约有</w:t>
      </w:r>
      <w:r>
        <w:rPr>
          <w:rFonts w:hint="eastAsia"/>
        </w:rPr>
        <w:t>35%</w:t>
      </w:r>
      <w:r>
        <w:rPr>
          <w:rFonts w:hint="eastAsia"/>
        </w:rPr>
        <w:t>的人口只能通过水井获得饮用水。</w:t>
      </w:r>
    </w:p>
    <w:p w:rsidR="00000000" w:rsidRDefault="00000000">
      <w:pPr>
        <w:spacing w:after="320"/>
        <w:rPr>
          <w:rFonts w:hint="eastAsia"/>
        </w:rPr>
      </w:pPr>
      <w:r>
        <w:rPr>
          <w:rFonts w:hint="eastAsia"/>
        </w:rPr>
        <w:tab/>
        <w:t xml:space="preserve">511.  </w:t>
      </w:r>
      <w:r>
        <w:rPr>
          <w:rFonts w:hint="eastAsia"/>
        </w:rPr>
        <w:t>水井的情况暗示水污染的危险增加。只有</w:t>
      </w:r>
      <w:r>
        <w:rPr>
          <w:rFonts w:hint="eastAsia"/>
        </w:rPr>
        <w:t>30%</w:t>
      </w:r>
      <w:r>
        <w:rPr>
          <w:rFonts w:hint="eastAsia"/>
        </w:rPr>
        <w:t>的水源符合国家标准。约有</w:t>
      </w:r>
      <w:r>
        <w:rPr>
          <w:rFonts w:hint="eastAsia"/>
        </w:rPr>
        <w:t>42%</w:t>
      </w:r>
      <w:r>
        <w:rPr>
          <w:rFonts w:hint="eastAsia"/>
        </w:rPr>
        <w:t>的人口认为水质差是生病原因之一。下列数据选自</w:t>
      </w:r>
      <w:r>
        <w:rPr>
          <w:rFonts w:hint="eastAsia"/>
        </w:rPr>
        <w:t>1998</w:t>
      </w:r>
      <w:r>
        <w:rPr>
          <w:rFonts w:hint="eastAsia"/>
        </w:rPr>
        <w:t>年的一次家庭预算调查。</w:t>
      </w:r>
    </w:p>
    <w:p w:rsidR="00000000" w:rsidRDefault="00000000">
      <w:pPr>
        <w:pStyle w:val="Heading3"/>
        <w:spacing w:after="240"/>
        <w:rPr>
          <w:rFonts w:hint="eastAsia"/>
        </w:rPr>
      </w:pPr>
      <w:r>
        <w:rPr>
          <w:rFonts w:hint="eastAsia"/>
          <w:u w:val="none"/>
        </w:rPr>
        <w:t>表</w:t>
      </w:r>
      <w:r>
        <w:rPr>
          <w:rFonts w:hint="eastAsia"/>
          <w:u w:val="none"/>
        </w:rPr>
        <w:t xml:space="preserve">33.  </w:t>
      </w:r>
      <w:r>
        <w:rPr>
          <w:rFonts w:hint="eastAsia"/>
        </w:rPr>
        <w:t>配备公共设施的人口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0"/>
        <w:gridCol w:w="2251"/>
        <w:gridCol w:w="2440"/>
        <w:gridCol w:w="2329"/>
      </w:tblGrid>
      <w:tr w:rsidR="00000000">
        <w:tblPrEx>
          <w:tblCellMar>
            <w:top w:w="0" w:type="dxa"/>
            <w:bottom w:w="0" w:type="dxa"/>
          </w:tblCellMar>
        </w:tblPrEx>
        <w:tc>
          <w:tcPr>
            <w:tcW w:w="1332" w:type="pct"/>
            <w:tcBorders>
              <w:bottom w:val="single" w:sz="4" w:space="0" w:color="auto"/>
            </w:tcBorders>
          </w:tcPr>
          <w:p w:rsidR="00000000" w:rsidRDefault="00000000">
            <w:pPr>
              <w:pStyle w:val="a2"/>
              <w:spacing w:before="120" w:after="120"/>
              <w:jc w:val="center"/>
              <w:rPr>
                <w:rFonts w:hint="eastAsia"/>
              </w:rPr>
            </w:pPr>
            <w:r>
              <w:rPr>
                <w:rFonts w:hint="eastAsia"/>
              </w:rPr>
              <w:t>公共设施</w:t>
            </w:r>
          </w:p>
        </w:tc>
        <w:tc>
          <w:tcPr>
            <w:tcW w:w="1176" w:type="pct"/>
            <w:tcBorders>
              <w:bottom w:val="single" w:sz="4" w:space="0" w:color="auto"/>
            </w:tcBorders>
          </w:tcPr>
          <w:p w:rsidR="00000000" w:rsidRDefault="00000000">
            <w:pPr>
              <w:pStyle w:val="a2"/>
              <w:spacing w:before="120" w:after="120"/>
              <w:jc w:val="center"/>
            </w:pPr>
            <w:r>
              <w:rPr>
                <w:rFonts w:hint="eastAsia"/>
              </w:rPr>
              <w:t>城</w:t>
            </w:r>
            <w:r>
              <w:rPr>
                <w:rFonts w:hint="eastAsia"/>
              </w:rPr>
              <w:t xml:space="preserve">  </w:t>
            </w:r>
            <w:r>
              <w:rPr>
                <w:rFonts w:hint="eastAsia"/>
              </w:rPr>
              <w:t>市</w:t>
            </w:r>
            <w:r>
              <w:t>(%)</w:t>
            </w:r>
          </w:p>
        </w:tc>
        <w:tc>
          <w:tcPr>
            <w:tcW w:w="1275" w:type="pct"/>
            <w:tcBorders>
              <w:bottom w:val="single" w:sz="4" w:space="0" w:color="auto"/>
            </w:tcBorders>
          </w:tcPr>
          <w:p w:rsidR="00000000" w:rsidRDefault="00000000">
            <w:pPr>
              <w:pStyle w:val="a2"/>
              <w:spacing w:before="120" w:after="120"/>
              <w:jc w:val="center"/>
            </w:pPr>
            <w:r>
              <w:rPr>
                <w:rFonts w:hint="eastAsia"/>
              </w:rPr>
              <w:t>农</w:t>
            </w:r>
            <w:r>
              <w:rPr>
                <w:rFonts w:hint="eastAsia"/>
              </w:rPr>
              <w:t xml:space="preserve">  </w:t>
            </w:r>
            <w:r>
              <w:rPr>
                <w:rFonts w:hint="eastAsia"/>
              </w:rPr>
              <w:t>村</w:t>
            </w:r>
            <w:r>
              <w:t>(%)</w:t>
            </w:r>
          </w:p>
        </w:tc>
        <w:tc>
          <w:tcPr>
            <w:tcW w:w="1217" w:type="pct"/>
            <w:tcBorders>
              <w:bottom w:val="single" w:sz="4" w:space="0" w:color="auto"/>
            </w:tcBorders>
          </w:tcPr>
          <w:p w:rsidR="00000000" w:rsidRDefault="00000000">
            <w:pPr>
              <w:pStyle w:val="a2"/>
              <w:spacing w:before="120" w:after="120"/>
              <w:jc w:val="center"/>
            </w:pPr>
            <w:r>
              <w:rPr>
                <w:rFonts w:hint="eastAsia"/>
              </w:rPr>
              <w:t>总</w:t>
            </w:r>
            <w:r>
              <w:rPr>
                <w:rFonts w:hint="eastAsia"/>
              </w:rPr>
              <w:t xml:space="preserve">  </w:t>
            </w:r>
            <w:r>
              <w:rPr>
                <w:rFonts w:hint="eastAsia"/>
              </w:rPr>
              <w:t>数</w:t>
            </w:r>
            <w:r>
              <w:t>(%)</w:t>
            </w:r>
          </w:p>
        </w:tc>
      </w:tr>
      <w:tr w:rsidR="00000000">
        <w:tblPrEx>
          <w:tblCellMar>
            <w:top w:w="0" w:type="dxa"/>
            <w:bottom w:w="0" w:type="dxa"/>
          </w:tblCellMar>
        </w:tblPrEx>
        <w:tc>
          <w:tcPr>
            <w:tcW w:w="1332" w:type="pct"/>
            <w:tcBorders>
              <w:bottom w:val="nil"/>
            </w:tcBorders>
          </w:tcPr>
          <w:p w:rsidR="00000000" w:rsidRDefault="00000000">
            <w:pPr>
              <w:pStyle w:val="a2"/>
              <w:spacing w:before="120"/>
              <w:jc w:val="center"/>
              <w:rPr>
                <w:rFonts w:hint="eastAsia"/>
                <w:bCs/>
              </w:rPr>
            </w:pPr>
            <w:r>
              <w:rPr>
                <w:rFonts w:hint="eastAsia"/>
                <w:bCs/>
              </w:rPr>
              <w:t>排污系统</w:t>
            </w:r>
          </w:p>
        </w:tc>
        <w:tc>
          <w:tcPr>
            <w:tcW w:w="1176" w:type="pct"/>
            <w:tcBorders>
              <w:bottom w:val="nil"/>
            </w:tcBorders>
          </w:tcPr>
          <w:p w:rsidR="00000000" w:rsidRDefault="00000000">
            <w:pPr>
              <w:pStyle w:val="a2"/>
              <w:tabs>
                <w:tab w:val="decimal" w:pos="970"/>
              </w:tabs>
              <w:spacing w:before="120"/>
            </w:pPr>
          </w:p>
        </w:tc>
        <w:tc>
          <w:tcPr>
            <w:tcW w:w="1275" w:type="pct"/>
            <w:tcBorders>
              <w:bottom w:val="nil"/>
            </w:tcBorders>
          </w:tcPr>
          <w:p w:rsidR="00000000" w:rsidRDefault="00000000">
            <w:pPr>
              <w:pStyle w:val="a2"/>
              <w:tabs>
                <w:tab w:val="decimal" w:pos="970"/>
              </w:tabs>
              <w:spacing w:before="120"/>
            </w:pPr>
          </w:p>
        </w:tc>
        <w:tc>
          <w:tcPr>
            <w:tcW w:w="1217" w:type="pct"/>
            <w:tcBorders>
              <w:bottom w:val="nil"/>
            </w:tcBorders>
          </w:tcPr>
          <w:p w:rsidR="00000000" w:rsidRDefault="00000000">
            <w:pPr>
              <w:pStyle w:val="a2"/>
              <w:tabs>
                <w:tab w:val="decimal" w:pos="970"/>
              </w:tabs>
              <w:spacing w:before="120"/>
            </w:pPr>
          </w:p>
        </w:tc>
      </w:tr>
      <w:tr w:rsidR="00000000">
        <w:tblPrEx>
          <w:tblCellMar>
            <w:top w:w="0" w:type="dxa"/>
            <w:bottom w:w="0" w:type="dxa"/>
          </w:tblCellMar>
        </w:tblPrEx>
        <w:tc>
          <w:tcPr>
            <w:tcW w:w="1332" w:type="pct"/>
            <w:tcBorders>
              <w:top w:val="nil"/>
              <w:bottom w:val="nil"/>
            </w:tcBorders>
          </w:tcPr>
          <w:p w:rsidR="00000000" w:rsidRDefault="00000000">
            <w:pPr>
              <w:pStyle w:val="a2"/>
              <w:jc w:val="center"/>
              <w:rPr>
                <w:rFonts w:hint="eastAsia"/>
              </w:rPr>
            </w:pPr>
            <w:r>
              <w:rPr>
                <w:rFonts w:hint="eastAsia"/>
              </w:rPr>
              <w:t>有</w:t>
            </w:r>
            <w:r>
              <w:br/>
            </w:r>
            <w:r>
              <w:rPr>
                <w:rFonts w:hint="eastAsia"/>
              </w:rPr>
              <w:t>无</w:t>
            </w:r>
          </w:p>
        </w:tc>
        <w:tc>
          <w:tcPr>
            <w:tcW w:w="1176" w:type="pct"/>
            <w:tcBorders>
              <w:top w:val="nil"/>
              <w:bottom w:val="nil"/>
            </w:tcBorders>
          </w:tcPr>
          <w:p w:rsidR="00000000" w:rsidRDefault="00000000">
            <w:pPr>
              <w:pStyle w:val="a2"/>
              <w:tabs>
                <w:tab w:val="decimal" w:pos="1020"/>
              </w:tabs>
              <w:rPr>
                <w:rFonts w:hint="eastAsia"/>
              </w:rPr>
            </w:pPr>
            <w:r>
              <w:t>77</w:t>
            </w:r>
            <w:r>
              <w:br/>
              <w:t>23</w:t>
            </w:r>
          </w:p>
        </w:tc>
        <w:tc>
          <w:tcPr>
            <w:tcW w:w="1275" w:type="pct"/>
            <w:tcBorders>
              <w:top w:val="nil"/>
              <w:bottom w:val="nil"/>
            </w:tcBorders>
          </w:tcPr>
          <w:p w:rsidR="00000000" w:rsidRDefault="00000000">
            <w:pPr>
              <w:pStyle w:val="a2"/>
              <w:tabs>
                <w:tab w:val="decimal" w:pos="1020"/>
              </w:tabs>
            </w:pPr>
            <w:r>
              <w:t>1.5</w:t>
            </w:r>
            <w:r>
              <w:br/>
              <w:t>98.5</w:t>
            </w:r>
          </w:p>
        </w:tc>
        <w:tc>
          <w:tcPr>
            <w:tcW w:w="1217" w:type="pct"/>
            <w:tcBorders>
              <w:top w:val="nil"/>
              <w:bottom w:val="nil"/>
            </w:tcBorders>
          </w:tcPr>
          <w:p w:rsidR="00000000" w:rsidRDefault="00000000">
            <w:pPr>
              <w:pStyle w:val="a2"/>
              <w:tabs>
                <w:tab w:val="decimal" w:pos="1020"/>
              </w:tabs>
            </w:pPr>
            <w:r>
              <w:t xml:space="preserve">31.8 </w:t>
            </w:r>
            <w:r>
              <w:br/>
              <w:t>68.2</w:t>
            </w:r>
          </w:p>
        </w:tc>
      </w:tr>
      <w:tr w:rsidR="00000000">
        <w:tblPrEx>
          <w:tblCellMar>
            <w:top w:w="0" w:type="dxa"/>
            <w:bottom w:w="0" w:type="dxa"/>
          </w:tblCellMar>
        </w:tblPrEx>
        <w:tc>
          <w:tcPr>
            <w:tcW w:w="1332" w:type="pct"/>
            <w:tcBorders>
              <w:top w:val="nil"/>
              <w:bottom w:val="nil"/>
            </w:tcBorders>
          </w:tcPr>
          <w:p w:rsidR="00000000" w:rsidRDefault="00000000">
            <w:pPr>
              <w:pStyle w:val="a2"/>
              <w:jc w:val="center"/>
              <w:rPr>
                <w:rFonts w:hint="eastAsia"/>
              </w:rPr>
            </w:pPr>
            <w:r>
              <w:rPr>
                <w:rFonts w:hint="eastAsia"/>
              </w:rPr>
              <w:t>自来水</w:t>
            </w:r>
          </w:p>
        </w:tc>
        <w:tc>
          <w:tcPr>
            <w:tcW w:w="1176" w:type="pct"/>
            <w:tcBorders>
              <w:top w:val="nil"/>
              <w:bottom w:val="nil"/>
            </w:tcBorders>
          </w:tcPr>
          <w:p w:rsidR="00000000" w:rsidRDefault="00000000">
            <w:pPr>
              <w:pStyle w:val="a2"/>
              <w:tabs>
                <w:tab w:val="decimal" w:pos="1020"/>
              </w:tabs>
            </w:pPr>
          </w:p>
        </w:tc>
        <w:tc>
          <w:tcPr>
            <w:tcW w:w="1275" w:type="pct"/>
            <w:tcBorders>
              <w:top w:val="nil"/>
              <w:bottom w:val="nil"/>
            </w:tcBorders>
          </w:tcPr>
          <w:p w:rsidR="00000000" w:rsidRDefault="00000000">
            <w:pPr>
              <w:pStyle w:val="a2"/>
              <w:tabs>
                <w:tab w:val="decimal" w:pos="1020"/>
              </w:tabs>
            </w:pPr>
          </w:p>
        </w:tc>
        <w:tc>
          <w:tcPr>
            <w:tcW w:w="1217" w:type="pct"/>
            <w:tcBorders>
              <w:top w:val="nil"/>
              <w:bottom w:val="nil"/>
            </w:tcBorders>
          </w:tcPr>
          <w:p w:rsidR="00000000" w:rsidRDefault="00000000">
            <w:pPr>
              <w:pStyle w:val="a2"/>
              <w:tabs>
                <w:tab w:val="decimal" w:pos="1020"/>
              </w:tabs>
            </w:pPr>
          </w:p>
        </w:tc>
      </w:tr>
      <w:tr w:rsidR="00000000">
        <w:tblPrEx>
          <w:tblCellMar>
            <w:top w:w="0" w:type="dxa"/>
            <w:bottom w:w="0" w:type="dxa"/>
          </w:tblCellMar>
        </w:tblPrEx>
        <w:tc>
          <w:tcPr>
            <w:tcW w:w="1332" w:type="pct"/>
            <w:tcBorders>
              <w:top w:val="nil"/>
              <w:bottom w:val="nil"/>
            </w:tcBorders>
          </w:tcPr>
          <w:p w:rsidR="00000000" w:rsidRDefault="00000000">
            <w:pPr>
              <w:pStyle w:val="a2"/>
              <w:jc w:val="center"/>
              <w:rPr>
                <w:rFonts w:hint="eastAsia"/>
              </w:rPr>
            </w:pPr>
            <w:r>
              <w:rPr>
                <w:rFonts w:hint="eastAsia"/>
              </w:rPr>
              <w:t>有</w:t>
            </w:r>
            <w:r>
              <w:br/>
            </w:r>
            <w:r>
              <w:rPr>
                <w:rFonts w:hint="eastAsia"/>
              </w:rPr>
              <w:t>无</w:t>
            </w:r>
          </w:p>
        </w:tc>
        <w:tc>
          <w:tcPr>
            <w:tcW w:w="1176" w:type="pct"/>
            <w:tcBorders>
              <w:top w:val="nil"/>
              <w:bottom w:val="nil"/>
            </w:tcBorders>
          </w:tcPr>
          <w:p w:rsidR="00000000" w:rsidRDefault="00000000">
            <w:pPr>
              <w:pStyle w:val="a2"/>
              <w:tabs>
                <w:tab w:val="decimal" w:pos="1020"/>
              </w:tabs>
            </w:pPr>
            <w:r>
              <w:t>70.6</w:t>
            </w:r>
            <w:r>
              <w:br/>
              <w:t>29.4</w:t>
            </w:r>
          </w:p>
        </w:tc>
        <w:tc>
          <w:tcPr>
            <w:tcW w:w="1275" w:type="pct"/>
            <w:tcBorders>
              <w:top w:val="nil"/>
              <w:bottom w:val="nil"/>
            </w:tcBorders>
          </w:tcPr>
          <w:p w:rsidR="00000000" w:rsidRDefault="00000000">
            <w:pPr>
              <w:pStyle w:val="a2"/>
              <w:tabs>
                <w:tab w:val="decimal" w:pos="1020"/>
              </w:tabs>
            </w:pPr>
            <w:r>
              <w:t>0.1</w:t>
            </w:r>
            <w:r>
              <w:br/>
              <w:t>99.9</w:t>
            </w:r>
          </w:p>
        </w:tc>
        <w:tc>
          <w:tcPr>
            <w:tcW w:w="1217" w:type="pct"/>
            <w:tcBorders>
              <w:top w:val="nil"/>
              <w:bottom w:val="nil"/>
            </w:tcBorders>
          </w:tcPr>
          <w:p w:rsidR="00000000" w:rsidRDefault="00000000">
            <w:pPr>
              <w:pStyle w:val="a2"/>
              <w:tabs>
                <w:tab w:val="decimal" w:pos="1020"/>
              </w:tabs>
            </w:pPr>
            <w:r>
              <w:t>28.3</w:t>
            </w:r>
            <w:r>
              <w:br/>
              <w:t>71.7</w:t>
            </w:r>
          </w:p>
        </w:tc>
      </w:tr>
      <w:tr w:rsidR="00000000">
        <w:tblPrEx>
          <w:tblCellMar>
            <w:top w:w="0" w:type="dxa"/>
            <w:bottom w:w="0" w:type="dxa"/>
          </w:tblCellMar>
        </w:tblPrEx>
        <w:tc>
          <w:tcPr>
            <w:tcW w:w="1332" w:type="pct"/>
            <w:tcBorders>
              <w:top w:val="nil"/>
              <w:bottom w:val="nil"/>
            </w:tcBorders>
          </w:tcPr>
          <w:p w:rsidR="00000000" w:rsidRDefault="00000000">
            <w:pPr>
              <w:pStyle w:val="a2"/>
              <w:jc w:val="center"/>
              <w:rPr>
                <w:rFonts w:hint="eastAsia"/>
              </w:rPr>
            </w:pPr>
            <w:r>
              <w:rPr>
                <w:rFonts w:hint="eastAsia"/>
              </w:rPr>
              <w:t>当地集中供暖</w:t>
            </w:r>
          </w:p>
        </w:tc>
        <w:tc>
          <w:tcPr>
            <w:tcW w:w="1176" w:type="pct"/>
            <w:tcBorders>
              <w:top w:val="nil"/>
              <w:bottom w:val="nil"/>
            </w:tcBorders>
          </w:tcPr>
          <w:p w:rsidR="00000000" w:rsidRDefault="00000000">
            <w:pPr>
              <w:pStyle w:val="a2"/>
              <w:tabs>
                <w:tab w:val="decimal" w:pos="1020"/>
              </w:tabs>
            </w:pPr>
          </w:p>
        </w:tc>
        <w:tc>
          <w:tcPr>
            <w:tcW w:w="1275" w:type="pct"/>
            <w:tcBorders>
              <w:top w:val="nil"/>
              <w:bottom w:val="nil"/>
            </w:tcBorders>
          </w:tcPr>
          <w:p w:rsidR="00000000" w:rsidRDefault="00000000">
            <w:pPr>
              <w:pStyle w:val="a2"/>
              <w:tabs>
                <w:tab w:val="decimal" w:pos="1020"/>
              </w:tabs>
            </w:pPr>
          </w:p>
        </w:tc>
        <w:tc>
          <w:tcPr>
            <w:tcW w:w="1217" w:type="pct"/>
            <w:tcBorders>
              <w:top w:val="nil"/>
              <w:bottom w:val="nil"/>
            </w:tcBorders>
          </w:tcPr>
          <w:p w:rsidR="00000000" w:rsidRDefault="00000000">
            <w:pPr>
              <w:pStyle w:val="a2"/>
              <w:tabs>
                <w:tab w:val="decimal" w:pos="1020"/>
              </w:tabs>
            </w:pPr>
          </w:p>
        </w:tc>
      </w:tr>
      <w:tr w:rsidR="00000000">
        <w:tblPrEx>
          <w:tblCellMar>
            <w:top w:w="0" w:type="dxa"/>
            <w:bottom w:w="0" w:type="dxa"/>
          </w:tblCellMar>
        </w:tblPrEx>
        <w:tc>
          <w:tcPr>
            <w:tcW w:w="1332" w:type="pct"/>
            <w:tcBorders>
              <w:top w:val="nil"/>
              <w:bottom w:val="nil"/>
            </w:tcBorders>
          </w:tcPr>
          <w:p w:rsidR="00000000" w:rsidRDefault="00000000">
            <w:pPr>
              <w:pStyle w:val="a2"/>
              <w:jc w:val="center"/>
              <w:rPr>
                <w:rFonts w:hint="eastAsia"/>
              </w:rPr>
            </w:pPr>
            <w:r>
              <w:rPr>
                <w:rFonts w:hint="eastAsia"/>
              </w:rPr>
              <w:t>有</w:t>
            </w:r>
            <w:r>
              <w:br/>
            </w:r>
            <w:r>
              <w:rPr>
                <w:rFonts w:hint="eastAsia"/>
              </w:rPr>
              <w:t>无</w:t>
            </w:r>
          </w:p>
        </w:tc>
        <w:tc>
          <w:tcPr>
            <w:tcW w:w="1176" w:type="pct"/>
            <w:tcBorders>
              <w:top w:val="nil"/>
              <w:bottom w:val="nil"/>
            </w:tcBorders>
          </w:tcPr>
          <w:p w:rsidR="00000000" w:rsidRDefault="00000000">
            <w:pPr>
              <w:pStyle w:val="a2"/>
              <w:tabs>
                <w:tab w:val="decimal" w:pos="1020"/>
              </w:tabs>
            </w:pPr>
            <w:r>
              <w:t>77.4</w:t>
            </w:r>
            <w:r>
              <w:br/>
              <w:t>22.6</w:t>
            </w:r>
          </w:p>
        </w:tc>
        <w:tc>
          <w:tcPr>
            <w:tcW w:w="1275" w:type="pct"/>
            <w:tcBorders>
              <w:top w:val="nil"/>
              <w:bottom w:val="nil"/>
            </w:tcBorders>
          </w:tcPr>
          <w:p w:rsidR="00000000" w:rsidRDefault="00000000">
            <w:pPr>
              <w:pStyle w:val="a2"/>
              <w:tabs>
                <w:tab w:val="decimal" w:pos="1020"/>
              </w:tabs>
            </w:pPr>
            <w:r>
              <w:t>2.4</w:t>
            </w:r>
            <w:r>
              <w:br/>
              <w:t>97.6</w:t>
            </w:r>
          </w:p>
        </w:tc>
        <w:tc>
          <w:tcPr>
            <w:tcW w:w="1217" w:type="pct"/>
            <w:tcBorders>
              <w:top w:val="nil"/>
              <w:bottom w:val="nil"/>
            </w:tcBorders>
          </w:tcPr>
          <w:p w:rsidR="00000000" w:rsidRDefault="00000000">
            <w:pPr>
              <w:pStyle w:val="a2"/>
              <w:tabs>
                <w:tab w:val="decimal" w:pos="1020"/>
              </w:tabs>
            </w:pPr>
            <w:r>
              <w:t>32.4</w:t>
            </w:r>
            <w:r>
              <w:br/>
              <w:t>67.5</w:t>
            </w:r>
          </w:p>
        </w:tc>
      </w:tr>
      <w:tr w:rsidR="00000000">
        <w:tblPrEx>
          <w:tblCellMar>
            <w:top w:w="0" w:type="dxa"/>
            <w:bottom w:w="0" w:type="dxa"/>
          </w:tblCellMar>
        </w:tblPrEx>
        <w:tc>
          <w:tcPr>
            <w:tcW w:w="1332" w:type="pct"/>
            <w:tcBorders>
              <w:top w:val="nil"/>
              <w:bottom w:val="nil"/>
            </w:tcBorders>
          </w:tcPr>
          <w:p w:rsidR="00000000" w:rsidRDefault="00000000">
            <w:pPr>
              <w:pStyle w:val="a2"/>
              <w:jc w:val="center"/>
              <w:rPr>
                <w:rFonts w:hint="eastAsia"/>
              </w:rPr>
            </w:pPr>
            <w:r>
              <w:rPr>
                <w:rFonts w:hint="eastAsia"/>
              </w:rPr>
              <w:t>浴室或淋浴室</w:t>
            </w:r>
          </w:p>
        </w:tc>
        <w:tc>
          <w:tcPr>
            <w:tcW w:w="1176" w:type="pct"/>
            <w:tcBorders>
              <w:top w:val="nil"/>
              <w:bottom w:val="nil"/>
            </w:tcBorders>
          </w:tcPr>
          <w:p w:rsidR="00000000" w:rsidRDefault="00000000">
            <w:pPr>
              <w:pStyle w:val="a2"/>
              <w:tabs>
                <w:tab w:val="decimal" w:pos="1020"/>
              </w:tabs>
            </w:pPr>
          </w:p>
        </w:tc>
        <w:tc>
          <w:tcPr>
            <w:tcW w:w="1275" w:type="pct"/>
            <w:tcBorders>
              <w:top w:val="nil"/>
              <w:bottom w:val="nil"/>
            </w:tcBorders>
          </w:tcPr>
          <w:p w:rsidR="00000000" w:rsidRDefault="00000000">
            <w:pPr>
              <w:pStyle w:val="a2"/>
              <w:tabs>
                <w:tab w:val="decimal" w:pos="1020"/>
              </w:tabs>
            </w:pPr>
          </w:p>
        </w:tc>
        <w:tc>
          <w:tcPr>
            <w:tcW w:w="1217" w:type="pct"/>
            <w:tcBorders>
              <w:top w:val="nil"/>
              <w:bottom w:val="nil"/>
            </w:tcBorders>
          </w:tcPr>
          <w:p w:rsidR="00000000" w:rsidRDefault="00000000">
            <w:pPr>
              <w:pStyle w:val="a2"/>
              <w:tabs>
                <w:tab w:val="decimal" w:pos="1020"/>
              </w:tabs>
            </w:pPr>
          </w:p>
        </w:tc>
      </w:tr>
      <w:tr w:rsidR="00000000">
        <w:tblPrEx>
          <w:tblCellMar>
            <w:top w:w="0" w:type="dxa"/>
            <w:bottom w:w="0" w:type="dxa"/>
          </w:tblCellMar>
        </w:tblPrEx>
        <w:tc>
          <w:tcPr>
            <w:tcW w:w="1332" w:type="pct"/>
            <w:tcBorders>
              <w:top w:val="nil"/>
            </w:tcBorders>
          </w:tcPr>
          <w:p w:rsidR="00000000" w:rsidRDefault="00000000">
            <w:pPr>
              <w:pStyle w:val="a2"/>
              <w:jc w:val="center"/>
              <w:rPr>
                <w:rFonts w:hint="eastAsia"/>
              </w:rPr>
            </w:pPr>
            <w:r>
              <w:rPr>
                <w:rFonts w:hint="eastAsia"/>
              </w:rPr>
              <w:t>有</w:t>
            </w:r>
            <w:r>
              <w:br/>
            </w:r>
            <w:r>
              <w:rPr>
                <w:rFonts w:hint="eastAsia"/>
              </w:rPr>
              <w:t>无</w:t>
            </w:r>
          </w:p>
        </w:tc>
        <w:tc>
          <w:tcPr>
            <w:tcW w:w="1176" w:type="pct"/>
            <w:tcBorders>
              <w:top w:val="nil"/>
            </w:tcBorders>
          </w:tcPr>
          <w:p w:rsidR="00000000" w:rsidRDefault="00000000">
            <w:pPr>
              <w:pStyle w:val="a2"/>
              <w:tabs>
                <w:tab w:val="decimal" w:pos="1020"/>
              </w:tabs>
              <w:rPr>
                <w:rFonts w:hint="eastAsia"/>
              </w:rPr>
            </w:pPr>
            <w:r>
              <w:t>73</w:t>
            </w:r>
            <w:r>
              <w:br/>
              <w:t>27</w:t>
            </w:r>
          </w:p>
        </w:tc>
        <w:tc>
          <w:tcPr>
            <w:tcW w:w="1275" w:type="pct"/>
            <w:tcBorders>
              <w:top w:val="nil"/>
            </w:tcBorders>
          </w:tcPr>
          <w:p w:rsidR="00000000" w:rsidRDefault="00000000">
            <w:pPr>
              <w:pStyle w:val="a2"/>
              <w:tabs>
                <w:tab w:val="decimal" w:pos="1020"/>
              </w:tabs>
            </w:pPr>
            <w:r>
              <w:t>0.1</w:t>
            </w:r>
            <w:r>
              <w:br/>
              <w:t>99.9</w:t>
            </w:r>
          </w:p>
        </w:tc>
        <w:tc>
          <w:tcPr>
            <w:tcW w:w="1217" w:type="pct"/>
            <w:tcBorders>
              <w:top w:val="nil"/>
            </w:tcBorders>
          </w:tcPr>
          <w:p w:rsidR="00000000" w:rsidRDefault="00000000">
            <w:pPr>
              <w:pStyle w:val="a2"/>
              <w:tabs>
                <w:tab w:val="decimal" w:pos="1020"/>
              </w:tabs>
            </w:pPr>
            <w:r>
              <w:t>29.3</w:t>
            </w:r>
            <w:r>
              <w:br/>
              <w:t>70.7</w:t>
            </w:r>
          </w:p>
        </w:tc>
      </w:tr>
    </w:tbl>
    <w:p w:rsidR="00000000" w:rsidRDefault="00000000">
      <w:pPr>
        <w:spacing w:before="120" w:after="320"/>
        <w:rPr>
          <w:rFonts w:eastAsia="KaiTi_GB2312" w:hint="eastAsia"/>
          <w:spacing w:val="0"/>
        </w:rPr>
      </w:pPr>
      <w:r>
        <w:rPr>
          <w:rFonts w:hint="eastAsia"/>
        </w:rPr>
        <w:tab/>
      </w:r>
      <w:r>
        <w:rPr>
          <w:rFonts w:eastAsia="KaiTi_GB2312" w:hint="eastAsia"/>
          <w:spacing w:val="0"/>
          <w:u w:val="single"/>
        </w:rPr>
        <w:t>资料来源</w:t>
      </w:r>
      <w:r>
        <w:rPr>
          <w:rFonts w:eastAsia="KaiTi_GB2312" w:hint="eastAsia"/>
          <w:spacing w:val="0"/>
        </w:rPr>
        <w:t>：</w:t>
      </w:r>
      <w:r>
        <w:rPr>
          <w:rFonts w:eastAsia="KaiTi_GB2312" w:hint="eastAsia"/>
          <w:spacing w:val="0"/>
        </w:rPr>
        <w:t>2000</w:t>
      </w:r>
      <w:r>
        <w:rPr>
          <w:rFonts w:eastAsia="KaiTi_GB2312" w:hint="eastAsia"/>
          <w:spacing w:val="0"/>
        </w:rPr>
        <w:t>年家庭预算调查。</w:t>
      </w:r>
    </w:p>
    <w:p w:rsidR="00000000" w:rsidRDefault="00000000">
      <w:pPr>
        <w:pStyle w:val="Heading3"/>
        <w:spacing w:after="240"/>
        <w:rPr>
          <w:rFonts w:hint="eastAsia"/>
        </w:rPr>
      </w:pPr>
      <w:r>
        <w:rPr>
          <w:rFonts w:hint="eastAsia"/>
          <w:u w:val="none"/>
        </w:rPr>
        <w:t>表</w:t>
      </w:r>
      <w:r>
        <w:rPr>
          <w:rFonts w:hint="eastAsia"/>
          <w:u w:val="none"/>
        </w:rPr>
        <w:t xml:space="preserve">34.  </w:t>
      </w:r>
      <w:r>
        <w:rPr>
          <w:rFonts w:hint="eastAsia"/>
        </w:rPr>
        <w:t>免疫接种过的儿童比例</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2127"/>
        <w:gridCol w:w="992"/>
        <w:gridCol w:w="992"/>
        <w:gridCol w:w="992"/>
        <w:gridCol w:w="992"/>
        <w:gridCol w:w="993"/>
      </w:tblGrid>
      <w:tr w:rsidR="00000000">
        <w:tblPrEx>
          <w:tblCellMar>
            <w:top w:w="0" w:type="dxa"/>
            <w:bottom w:w="0" w:type="dxa"/>
          </w:tblCellMar>
        </w:tblPrEx>
        <w:trPr>
          <w:cantSplit/>
          <w:trHeight w:val="406"/>
        </w:trPr>
        <w:tc>
          <w:tcPr>
            <w:tcW w:w="2268" w:type="dxa"/>
            <w:tcBorders>
              <w:bottom w:val="single" w:sz="6" w:space="0" w:color="auto"/>
            </w:tcBorders>
          </w:tcPr>
          <w:p w:rsidR="00000000" w:rsidRDefault="00000000">
            <w:pPr>
              <w:pStyle w:val="a2"/>
              <w:spacing w:before="120"/>
              <w:jc w:val="center"/>
              <w:rPr>
                <w:rFonts w:hint="eastAsia"/>
              </w:rPr>
            </w:pPr>
            <w:r>
              <w:rPr>
                <w:rFonts w:hint="eastAsia"/>
              </w:rPr>
              <w:t>免疫接种种类</w:t>
            </w:r>
          </w:p>
        </w:tc>
        <w:tc>
          <w:tcPr>
            <w:tcW w:w="2127" w:type="dxa"/>
            <w:tcBorders>
              <w:bottom w:val="single" w:sz="6" w:space="0" w:color="auto"/>
            </w:tcBorders>
          </w:tcPr>
          <w:p w:rsidR="00000000" w:rsidRDefault="00000000">
            <w:pPr>
              <w:pStyle w:val="a2"/>
              <w:spacing w:before="120"/>
              <w:jc w:val="center"/>
              <w:rPr>
                <w:rFonts w:hint="eastAsia"/>
              </w:rPr>
            </w:pPr>
            <w:r>
              <w:rPr>
                <w:rFonts w:hint="eastAsia"/>
              </w:rPr>
              <w:t>年</w:t>
            </w:r>
            <w:r>
              <w:rPr>
                <w:rFonts w:hint="eastAsia"/>
              </w:rPr>
              <w:t xml:space="preserve">  </w:t>
            </w:r>
            <w:r>
              <w:rPr>
                <w:rFonts w:hint="eastAsia"/>
              </w:rPr>
              <w:t>龄</w:t>
            </w:r>
          </w:p>
        </w:tc>
        <w:tc>
          <w:tcPr>
            <w:tcW w:w="992" w:type="dxa"/>
            <w:tcBorders>
              <w:bottom w:val="single" w:sz="6" w:space="0" w:color="auto"/>
            </w:tcBorders>
          </w:tcPr>
          <w:p w:rsidR="00000000" w:rsidRDefault="00000000">
            <w:pPr>
              <w:pStyle w:val="a2"/>
              <w:spacing w:before="120"/>
              <w:jc w:val="center"/>
            </w:pPr>
            <w:r>
              <w:t>1995</w:t>
            </w:r>
          </w:p>
        </w:tc>
        <w:tc>
          <w:tcPr>
            <w:tcW w:w="992" w:type="dxa"/>
            <w:tcBorders>
              <w:bottom w:val="single" w:sz="6" w:space="0" w:color="auto"/>
            </w:tcBorders>
          </w:tcPr>
          <w:p w:rsidR="00000000" w:rsidRDefault="00000000">
            <w:pPr>
              <w:pStyle w:val="a2"/>
              <w:spacing w:before="120"/>
              <w:jc w:val="center"/>
            </w:pPr>
            <w:r>
              <w:t>1996</w:t>
            </w:r>
          </w:p>
        </w:tc>
        <w:tc>
          <w:tcPr>
            <w:tcW w:w="992" w:type="dxa"/>
            <w:tcBorders>
              <w:bottom w:val="single" w:sz="6" w:space="0" w:color="auto"/>
            </w:tcBorders>
          </w:tcPr>
          <w:p w:rsidR="00000000" w:rsidRDefault="00000000">
            <w:pPr>
              <w:pStyle w:val="a2"/>
              <w:spacing w:before="120"/>
              <w:jc w:val="center"/>
            </w:pPr>
            <w:r>
              <w:t>1997</w:t>
            </w:r>
          </w:p>
        </w:tc>
        <w:tc>
          <w:tcPr>
            <w:tcW w:w="992" w:type="dxa"/>
            <w:tcBorders>
              <w:bottom w:val="single" w:sz="6" w:space="0" w:color="auto"/>
            </w:tcBorders>
          </w:tcPr>
          <w:p w:rsidR="00000000" w:rsidRDefault="00000000">
            <w:pPr>
              <w:pStyle w:val="a2"/>
              <w:spacing w:before="120"/>
              <w:jc w:val="center"/>
            </w:pPr>
            <w:r>
              <w:t>1998</w:t>
            </w:r>
          </w:p>
        </w:tc>
        <w:tc>
          <w:tcPr>
            <w:tcW w:w="993" w:type="dxa"/>
            <w:tcBorders>
              <w:bottom w:val="single" w:sz="6" w:space="0" w:color="auto"/>
            </w:tcBorders>
          </w:tcPr>
          <w:p w:rsidR="00000000" w:rsidRDefault="00000000">
            <w:pPr>
              <w:pStyle w:val="a2"/>
              <w:spacing w:before="120"/>
              <w:jc w:val="center"/>
            </w:pPr>
            <w:r>
              <w:t>1999</w:t>
            </w:r>
          </w:p>
        </w:tc>
      </w:tr>
      <w:tr w:rsidR="00000000">
        <w:tblPrEx>
          <w:tblCellMar>
            <w:top w:w="0" w:type="dxa"/>
            <w:bottom w:w="0" w:type="dxa"/>
          </w:tblCellMar>
        </w:tblPrEx>
        <w:trPr>
          <w:cantSplit/>
        </w:trPr>
        <w:tc>
          <w:tcPr>
            <w:tcW w:w="2268" w:type="dxa"/>
            <w:tcBorders>
              <w:bottom w:val="nil"/>
            </w:tcBorders>
          </w:tcPr>
          <w:p w:rsidR="00000000" w:rsidRDefault="00000000">
            <w:pPr>
              <w:pStyle w:val="a2"/>
              <w:spacing w:before="120"/>
              <w:jc w:val="center"/>
              <w:rPr>
                <w:rFonts w:hint="eastAsia"/>
              </w:rPr>
            </w:pPr>
            <w:r>
              <w:rPr>
                <w:rFonts w:hint="eastAsia"/>
              </w:rPr>
              <w:t>肺结核</w:t>
            </w:r>
          </w:p>
        </w:tc>
        <w:tc>
          <w:tcPr>
            <w:tcW w:w="2127" w:type="dxa"/>
            <w:tcBorders>
              <w:bottom w:val="nil"/>
            </w:tcBorders>
          </w:tcPr>
          <w:p w:rsidR="00000000" w:rsidRDefault="00000000">
            <w:pPr>
              <w:pStyle w:val="a2"/>
              <w:spacing w:before="120"/>
              <w:jc w:val="center"/>
            </w:pPr>
            <w:r>
              <w:rPr>
                <w:rFonts w:hint="eastAsia"/>
              </w:rPr>
              <w:t>新生儿</w:t>
            </w:r>
            <w:r>
              <w:t>(30</w:t>
            </w:r>
            <w:r>
              <w:rPr>
                <w:rFonts w:hint="eastAsia"/>
              </w:rPr>
              <w:t>天</w:t>
            </w:r>
            <w:r>
              <w:t>)</w:t>
            </w:r>
          </w:p>
        </w:tc>
        <w:tc>
          <w:tcPr>
            <w:tcW w:w="992" w:type="dxa"/>
            <w:tcBorders>
              <w:bottom w:val="nil"/>
            </w:tcBorders>
          </w:tcPr>
          <w:p w:rsidR="00000000" w:rsidRDefault="00000000">
            <w:pPr>
              <w:pStyle w:val="a2"/>
              <w:tabs>
                <w:tab w:val="decimal" w:pos="432"/>
              </w:tabs>
              <w:spacing w:before="120"/>
            </w:pPr>
            <w:r>
              <w:t>97.3</w:t>
            </w:r>
          </w:p>
        </w:tc>
        <w:tc>
          <w:tcPr>
            <w:tcW w:w="992" w:type="dxa"/>
            <w:tcBorders>
              <w:bottom w:val="nil"/>
            </w:tcBorders>
          </w:tcPr>
          <w:p w:rsidR="00000000" w:rsidRDefault="00000000">
            <w:pPr>
              <w:pStyle w:val="a2"/>
              <w:tabs>
                <w:tab w:val="decimal" w:pos="432"/>
              </w:tabs>
              <w:spacing w:before="120"/>
            </w:pPr>
            <w:r>
              <w:t>98.4</w:t>
            </w:r>
          </w:p>
        </w:tc>
        <w:tc>
          <w:tcPr>
            <w:tcW w:w="992" w:type="dxa"/>
            <w:tcBorders>
              <w:bottom w:val="nil"/>
            </w:tcBorders>
          </w:tcPr>
          <w:p w:rsidR="00000000" w:rsidRDefault="00000000">
            <w:pPr>
              <w:pStyle w:val="a2"/>
              <w:tabs>
                <w:tab w:val="decimal" w:pos="432"/>
              </w:tabs>
              <w:spacing w:before="120"/>
            </w:pPr>
            <w:r>
              <w:t>99.4</w:t>
            </w:r>
          </w:p>
        </w:tc>
        <w:tc>
          <w:tcPr>
            <w:tcW w:w="992" w:type="dxa"/>
            <w:tcBorders>
              <w:bottom w:val="nil"/>
            </w:tcBorders>
          </w:tcPr>
          <w:p w:rsidR="00000000" w:rsidRDefault="00000000">
            <w:pPr>
              <w:pStyle w:val="a2"/>
              <w:tabs>
                <w:tab w:val="decimal" w:pos="432"/>
              </w:tabs>
              <w:spacing w:before="120"/>
            </w:pPr>
            <w:r>
              <w:t>99.3</w:t>
            </w:r>
          </w:p>
        </w:tc>
        <w:tc>
          <w:tcPr>
            <w:tcW w:w="993" w:type="dxa"/>
            <w:tcBorders>
              <w:bottom w:val="nil"/>
            </w:tcBorders>
          </w:tcPr>
          <w:p w:rsidR="00000000" w:rsidRDefault="00000000">
            <w:pPr>
              <w:pStyle w:val="a2"/>
              <w:tabs>
                <w:tab w:val="decimal" w:pos="432"/>
              </w:tabs>
              <w:spacing w:before="120"/>
            </w:pPr>
            <w:r>
              <w:t>98.5</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jc w:val="center"/>
              <w:rPr>
                <w:rFonts w:hint="eastAsia"/>
              </w:rPr>
            </w:pPr>
            <w:r>
              <w:rPr>
                <w:rFonts w:hint="eastAsia"/>
              </w:rPr>
              <w:t>白喉</w:t>
            </w:r>
          </w:p>
        </w:tc>
        <w:tc>
          <w:tcPr>
            <w:tcW w:w="2127" w:type="dxa"/>
            <w:tcBorders>
              <w:top w:val="nil"/>
              <w:bottom w:val="nil"/>
            </w:tcBorders>
          </w:tcPr>
          <w:p w:rsidR="00000000" w:rsidRDefault="00000000">
            <w:pPr>
              <w:pStyle w:val="a2"/>
              <w:jc w:val="center"/>
              <w:rPr>
                <w:rFonts w:hint="eastAsia"/>
              </w:rPr>
            </w:pPr>
            <w:r>
              <w:t>12</w:t>
            </w:r>
            <w:r>
              <w:rPr>
                <w:rFonts w:hint="eastAsia"/>
              </w:rPr>
              <w:t>个月</w:t>
            </w:r>
          </w:p>
        </w:tc>
        <w:tc>
          <w:tcPr>
            <w:tcW w:w="992" w:type="dxa"/>
            <w:tcBorders>
              <w:top w:val="nil"/>
              <w:bottom w:val="nil"/>
            </w:tcBorders>
          </w:tcPr>
          <w:p w:rsidR="00000000" w:rsidRDefault="00000000">
            <w:pPr>
              <w:pStyle w:val="a2"/>
              <w:tabs>
                <w:tab w:val="decimal" w:pos="432"/>
              </w:tabs>
              <w:rPr>
                <w:rFonts w:hint="eastAsia"/>
              </w:rPr>
            </w:pPr>
            <w:r>
              <w:t>97</w:t>
            </w:r>
          </w:p>
        </w:tc>
        <w:tc>
          <w:tcPr>
            <w:tcW w:w="992" w:type="dxa"/>
            <w:tcBorders>
              <w:top w:val="nil"/>
              <w:bottom w:val="nil"/>
            </w:tcBorders>
          </w:tcPr>
          <w:p w:rsidR="00000000" w:rsidRDefault="00000000">
            <w:pPr>
              <w:pStyle w:val="a2"/>
              <w:tabs>
                <w:tab w:val="decimal" w:pos="432"/>
              </w:tabs>
            </w:pPr>
            <w:r>
              <w:t>97.7</w:t>
            </w:r>
          </w:p>
        </w:tc>
        <w:tc>
          <w:tcPr>
            <w:tcW w:w="992" w:type="dxa"/>
            <w:tcBorders>
              <w:top w:val="nil"/>
              <w:bottom w:val="nil"/>
            </w:tcBorders>
          </w:tcPr>
          <w:p w:rsidR="00000000" w:rsidRDefault="00000000">
            <w:pPr>
              <w:pStyle w:val="a2"/>
              <w:tabs>
                <w:tab w:val="decimal" w:pos="432"/>
              </w:tabs>
              <w:rPr>
                <w:rFonts w:hint="eastAsia"/>
              </w:rPr>
            </w:pPr>
            <w:r>
              <w:t>98</w:t>
            </w:r>
          </w:p>
        </w:tc>
        <w:tc>
          <w:tcPr>
            <w:tcW w:w="992" w:type="dxa"/>
            <w:tcBorders>
              <w:top w:val="nil"/>
              <w:bottom w:val="nil"/>
            </w:tcBorders>
          </w:tcPr>
          <w:p w:rsidR="00000000" w:rsidRDefault="00000000">
            <w:pPr>
              <w:pStyle w:val="a2"/>
              <w:tabs>
                <w:tab w:val="decimal" w:pos="432"/>
              </w:tabs>
            </w:pPr>
            <w:r>
              <w:t>97.4</w:t>
            </w:r>
          </w:p>
        </w:tc>
        <w:tc>
          <w:tcPr>
            <w:tcW w:w="993" w:type="dxa"/>
            <w:tcBorders>
              <w:top w:val="nil"/>
              <w:bottom w:val="nil"/>
            </w:tcBorders>
          </w:tcPr>
          <w:p w:rsidR="00000000" w:rsidRDefault="00000000">
            <w:pPr>
              <w:pStyle w:val="a2"/>
              <w:tabs>
                <w:tab w:val="decimal" w:pos="432"/>
              </w:tabs>
            </w:pPr>
            <w:r>
              <w:t>97.4</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jc w:val="center"/>
              <w:rPr>
                <w:rFonts w:hint="eastAsia"/>
              </w:rPr>
            </w:pPr>
            <w:r>
              <w:rPr>
                <w:rFonts w:hint="eastAsia"/>
              </w:rPr>
              <w:t>百日咳</w:t>
            </w:r>
          </w:p>
        </w:tc>
        <w:tc>
          <w:tcPr>
            <w:tcW w:w="2127" w:type="dxa"/>
            <w:tcBorders>
              <w:top w:val="nil"/>
              <w:bottom w:val="nil"/>
            </w:tcBorders>
          </w:tcPr>
          <w:p w:rsidR="00000000" w:rsidRDefault="00000000">
            <w:pPr>
              <w:pStyle w:val="a2"/>
              <w:jc w:val="center"/>
              <w:rPr>
                <w:rFonts w:hint="eastAsia"/>
              </w:rPr>
            </w:pPr>
            <w:r>
              <w:t>12</w:t>
            </w:r>
            <w:r>
              <w:rPr>
                <w:rFonts w:hint="eastAsia"/>
              </w:rPr>
              <w:t>个月</w:t>
            </w:r>
          </w:p>
        </w:tc>
        <w:tc>
          <w:tcPr>
            <w:tcW w:w="992" w:type="dxa"/>
            <w:tcBorders>
              <w:top w:val="nil"/>
              <w:bottom w:val="nil"/>
            </w:tcBorders>
          </w:tcPr>
          <w:p w:rsidR="00000000" w:rsidRDefault="00000000">
            <w:pPr>
              <w:pStyle w:val="a2"/>
              <w:tabs>
                <w:tab w:val="decimal" w:pos="432"/>
              </w:tabs>
            </w:pPr>
            <w:r>
              <w:t>95.5</w:t>
            </w:r>
          </w:p>
        </w:tc>
        <w:tc>
          <w:tcPr>
            <w:tcW w:w="992" w:type="dxa"/>
            <w:tcBorders>
              <w:top w:val="nil"/>
              <w:bottom w:val="nil"/>
            </w:tcBorders>
          </w:tcPr>
          <w:p w:rsidR="00000000" w:rsidRDefault="00000000">
            <w:pPr>
              <w:pStyle w:val="a2"/>
              <w:tabs>
                <w:tab w:val="decimal" w:pos="432"/>
              </w:tabs>
            </w:pPr>
            <w:r>
              <w:t>98.2</w:t>
            </w:r>
          </w:p>
        </w:tc>
        <w:tc>
          <w:tcPr>
            <w:tcW w:w="992" w:type="dxa"/>
            <w:tcBorders>
              <w:top w:val="nil"/>
              <w:bottom w:val="nil"/>
            </w:tcBorders>
          </w:tcPr>
          <w:p w:rsidR="00000000" w:rsidRDefault="00000000">
            <w:pPr>
              <w:pStyle w:val="a2"/>
              <w:tabs>
                <w:tab w:val="decimal" w:pos="432"/>
              </w:tabs>
            </w:pPr>
            <w:r>
              <w:t>97.1</w:t>
            </w:r>
          </w:p>
        </w:tc>
        <w:tc>
          <w:tcPr>
            <w:tcW w:w="992" w:type="dxa"/>
            <w:tcBorders>
              <w:top w:val="nil"/>
              <w:bottom w:val="nil"/>
            </w:tcBorders>
          </w:tcPr>
          <w:p w:rsidR="00000000" w:rsidRDefault="00000000">
            <w:pPr>
              <w:pStyle w:val="a2"/>
              <w:tabs>
                <w:tab w:val="decimal" w:pos="432"/>
              </w:tabs>
            </w:pPr>
            <w:r>
              <w:t>96.9</w:t>
            </w:r>
          </w:p>
        </w:tc>
        <w:tc>
          <w:tcPr>
            <w:tcW w:w="993" w:type="dxa"/>
            <w:tcBorders>
              <w:top w:val="nil"/>
              <w:bottom w:val="nil"/>
            </w:tcBorders>
          </w:tcPr>
          <w:p w:rsidR="00000000" w:rsidRDefault="00000000">
            <w:pPr>
              <w:pStyle w:val="a2"/>
              <w:tabs>
                <w:tab w:val="decimal" w:pos="432"/>
              </w:tabs>
              <w:rPr>
                <w:rFonts w:hint="eastAsia"/>
              </w:rPr>
            </w:pPr>
            <w:r>
              <w:t>97</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jc w:val="center"/>
              <w:rPr>
                <w:rFonts w:hint="eastAsia"/>
              </w:rPr>
            </w:pPr>
            <w:r>
              <w:rPr>
                <w:rFonts w:hint="eastAsia"/>
              </w:rPr>
              <w:t>小儿麻痹症</w:t>
            </w:r>
          </w:p>
        </w:tc>
        <w:tc>
          <w:tcPr>
            <w:tcW w:w="2127" w:type="dxa"/>
            <w:tcBorders>
              <w:top w:val="nil"/>
              <w:bottom w:val="nil"/>
            </w:tcBorders>
          </w:tcPr>
          <w:p w:rsidR="00000000" w:rsidRDefault="00000000">
            <w:pPr>
              <w:pStyle w:val="a2"/>
              <w:jc w:val="center"/>
              <w:rPr>
                <w:rFonts w:hint="eastAsia"/>
              </w:rPr>
            </w:pPr>
            <w:r>
              <w:t>12</w:t>
            </w:r>
            <w:r>
              <w:rPr>
                <w:rFonts w:hint="eastAsia"/>
              </w:rPr>
              <w:t>个月</w:t>
            </w:r>
          </w:p>
        </w:tc>
        <w:tc>
          <w:tcPr>
            <w:tcW w:w="992" w:type="dxa"/>
            <w:tcBorders>
              <w:top w:val="nil"/>
              <w:bottom w:val="nil"/>
            </w:tcBorders>
          </w:tcPr>
          <w:p w:rsidR="00000000" w:rsidRDefault="00000000">
            <w:pPr>
              <w:pStyle w:val="a2"/>
              <w:tabs>
                <w:tab w:val="decimal" w:pos="432"/>
              </w:tabs>
            </w:pPr>
            <w:r>
              <w:t>97.1</w:t>
            </w:r>
          </w:p>
        </w:tc>
        <w:tc>
          <w:tcPr>
            <w:tcW w:w="992" w:type="dxa"/>
            <w:tcBorders>
              <w:top w:val="nil"/>
              <w:bottom w:val="nil"/>
            </w:tcBorders>
          </w:tcPr>
          <w:p w:rsidR="00000000" w:rsidRDefault="00000000">
            <w:pPr>
              <w:pStyle w:val="a2"/>
              <w:tabs>
                <w:tab w:val="decimal" w:pos="432"/>
              </w:tabs>
            </w:pPr>
            <w:r>
              <w:t>98.6</w:t>
            </w:r>
          </w:p>
        </w:tc>
        <w:tc>
          <w:tcPr>
            <w:tcW w:w="992" w:type="dxa"/>
            <w:tcBorders>
              <w:top w:val="nil"/>
              <w:bottom w:val="nil"/>
            </w:tcBorders>
          </w:tcPr>
          <w:p w:rsidR="00000000" w:rsidRDefault="00000000">
            <w:pPr>
              <w:pStyle w:val="a2"/>
              <w:tabs>
                <w:tab w:val="decimal" w:pos="432"/>
              </w:tabs>
            </w:pPr>
            <w:r>
              <w:t>98.4</w:t>
            </w:r>
          </w:p>
        </w:tc>
        <w:tc>
          <w:tcPr>
            <w:tcW w:w="992" w:type="dxa"/>
            <w:tcBorders>
              <w:top w:val="nil"/>
              <w:bottom w:val="nil"/>
            </w:tcBorders>
          </w:tcPr>
          <w:p w:rsidR="00000000" w:rsidRDefault="00000000">
            <w:pPr>
              <w:pStyle w:val="a2"/>
              <w:tabs>
                <w:tab w:val="decimal" w:pos="432"/>
              </w:tabs>
            </w:pPr>
            <w:r>
              <w:t>97.6</w:t>
            </w:r>
          </w:p>
        </w:tc>
        <w:tc>
          <w:tcPr>
            <w:tcW w:w="993" w:type="dxa"/>
            <w:tcBorders>
              <w:top w:val="nil"/>
              <w:bottom w:val="nil"/>
            </w:tcBorders>
          </w:tcPr>
          <w:p w:rsidR="00000000" w:rsidRDefault="00000000">
            <w:pPr>
              <w:pStyle w:val="a2"/>
              <w:tabs>
                <w:tab w:val="decimal" w:pos="432"/>
              </w:tabs>
            </w:pPr>
            <w:r>
              <w:t>98.2</w:t>
            </w:r>
          </w:p>
        </w:tc>
      </w:tr>
      <w:tr w:rsidR="00000000">
        <w:tblPrEx>
          <w:tblCellMar>
            <w:top w:w="0" w:type="dxa"/>
            <w:bottom w:w="0" w:type="dxa"/>
          </w:tblCellMar>
        </w:tblPrEx>
        <w:trPr>
          <w:cantSplit/>
        </w:trPr>
        <w:tc>
          <w:tcPr>
            <w:tcW w:w="2268" w:type="dxa"/>
            <w:tcBorders>
              <w:top w:val="nil"/>
            </w:tcBorders>
          </w:tcPr>
          <w:p w:rsidR="00000000" w:rsidRDefault="00000000">
            <w:pPr>
              <w:pStyle w:val="a2"/>
              <w:jc w:val="center"/>
              <w:rPr>
                <w:rFonts w:hint="eastAsia"/>
              </w:rPr>
            </w:pPr>
            <w:r>
              <w:rPr>
                <w:rFonts w:hint="eastAsia"/>
              </w:rPr>
              <w:t>麻疹</w:t>
            </w:r>
          </w:p>
        </w:tc>
        <w:tc>
          <w:tcPr>
            <w:tcW w:w="2127" w:type="dxa"/>
            <w:tcBorders>
              <w:top w:val="nil"/>
            </w:tcBorders>
          </w:tcPr>
          <w:p w:rsidR="00000000" w:rsidRDefault="00000000">
            <w:pPr>
              <w:pStyle w:val="a2"/>
              <w:jc w:val="center"/>
              <w:rPr>
                <w:rFonts w:hint="eastAsia"/>
              </w:rPr>
            </w:pPr>
            <w:r>
              <w:t>24</w:t>
            </w:r>
            <w:r>
              <w:rPr>
                <w:rFonts w:hint="eastAsia"/>
              </w:rPr>
              <w:t>个月</w:t>
            </w:r>
          </w:p>
        </w:tc>
        <w:tc>
          <w:tcPr>
            <w:tcW w:w="992" w:type="dxa"/>
            <w:tcBorders>
              <w:top w:val="nil"/>
            </w:tcBorders>
          </w:tcPr>
          <w:p w:rsidR="00000000" w:rsidRDefault="00000000">
            <w:pPr>
              <w:pStyle w:val="a2"/>
              <w:tabs>
                <w:tab w:val="decimal" w:pos="432"/>
              </w:tabs>
              <w:rPr>
                <w:rFonts w:hint="eastAsia"/>
              </w:rPr>
            </w:pPr>
            <w:r>
              <w:t>98</w:t>
            </w:r>
          </w:p>
        </w:tc>
        <w:tc>
          <w:tcPr>
            <w:tcW w:w="992" w:type="dxa"/>
            <w:tcBorders>
              <w:top w:val="nil"/>
            </w:tcBorders>
          </w:tcPr>
          <w:p w:rsidR="00000000" w:rsidRDefault="00000000">
            <w:pPr>
              <w:pStyle w:val="a2"/>
              <w:tabs>
                <w:tab w:val="decimal" w:pos="432"/>
              </w:tabs>
            </w:pPr>
            <w:r>
              <w:t>98.4</w:t>
            </w:r>
          </w:p>
        </w:tc>
        <w:tc>
          <w:tcPr>
            <w:tcW w:w="992" w:type="dxa"/>
            <w:tcBorders>
              <w:top w:val="nil"/>
            </w:tcBorders>
          </w:tcPr>
          <w:p w:rsidR="00000000" w:rsidRDefault="00000000">
            <w:pPr>
              <w:pStyle w:val="a2"/>
              <w:tabs>
                <w:tab w:val="decimal" w:pos="432"/>
              </w:tabs>
            </w:pPr>
            <w:r>
              <w:t>98.9</w:t>
            </w:r>
          </w:p>
        </w:tc>
        <w:tc>
          <w:tcPr>
            <w:tcW w:w="992" w:type="dxa"/>
            <w:tcBorders>
              <w:top w:val="nil"/>
            </w:tcBorders>
          </w:tcPr>
          <w:p w:rsidR="00000000" w:rsidRDefault="00000000">
            <w:pPr>
              <w:pStyle w:val="a2"/>
              <w:tabs>
                <w:tab w:val="decimal" w:pos="432"/>
              </w:tabs>
            </w:pPr>
            <w:r>
              <w:t>99.2</w:t>
            </w:r>
          </w:p>
        </w:tc>
        <w:tc>
          <w:tcPr>
            <w:tcW w:w="993" w:type="dxa"/>
            <w:tcBorders>
              <w:top w:val="nil"/>
            </w:tcBorders>
          </w:tcPr>
          <w:p w:rsidR="00000000" w:rsidRDefault="00000000">
            <w:pPr>
              <w:pStyle w:val="a2"/>
              <w:tabs>
                <w:tab w:val="decimal" w:pos="432"/>
              </w:tabs>
            </w:pPr>
            <w:r>
              <w:t>98.8</w:t>
            </w:r>
          </w:p>
        </w:tc>
      </w:tr>
    </w:tbl>
    <w:p w:rsidR="00000000" w:rsidRDefault="00000000">
      <w:pPr>
        <w:rPr>
          <w:rFonts w:hint="eastAsia"/>
        </w:rPr>
      </w:pPr>
    </w:p>
    <w:p w:rsidR="00000000" w:rsidRDefault="00000000">
      <w:pPr>
        <w:rPr>
          <w:rFonts w:hint="eastAsia"/>
        </w:rPr>
      </w:pPr>
      <w:r>
        <w:rPr>
          <w:rFonts w:hint="eastAsia"/>
        </w:rPr>
        <w:tab/>
        <w:t xml:space="preserve">512.  </w:t>
      </w:r>
      <w:r>
        <w:rPr>
          <w:rFonts w:hint="eastAsia"/>
        </w:rPr>
        <w:t>医疗援助由两个部门予以保证：</w:t>
      </w:r>
    </w:p>
    <w:p w:rsidR="00000000" w:rsidRDefault="00000000">
      <w:pPr>
        <w:numPr>
          <w:ilvl w:val="0"/>
          <w:numId w:val="574"/>
        </w:numPr>
        <w:ind w:left="1820" w:hanging="260"/>
        <w:rPr>
          <w:rFonts w:hint="eastAsia"/>
        </w:rPr>
      </w:pPr>
      <w:r>
        <w:rPr>
          <w:rFonts w:hint="eastAsia"/>
        </w:rPr>
        <w:t>防疫部门；</w:t>
      </w:r>
    </w:p>
    <w:p w:rsidR="00000000" w:rsidRDefault="00000000">
      <w:pPr>
        <w:numPr>
          <w:ilvl w:val="0"/>
          <w:numId w:val="574"/>
        </w:numPr>
        <w:ind w:left="1820" w:hanging="260"/>
        <w:rPr>
          <w:rFonts w:hint="eastAsia"/>
        </w:rPr>
      </w:pPr>
      <w:r>
        <w:rPr>
          <w:rFonts w:hint="eastAsia"/>
        </w:rPr>
        <w:t>医院。</w:t>
      </w:r>
    </w:p>
    <w:p w:rsidR="00000000" w:rsidRDefault="00000000">
      <w:pPr>
        <w:rPr>
          <w:rFonts w:hint="eastAsia"/>
        </w:rPr>
      </w:pPr>
      <w:r>
        <w:rPr>
          <w:rFonts w:hint="eastAsia"/>
        </w:rPr>
        <w:tab/>
        <w:t xml:space="preserve">513.  </w:t>
      </w:r>
      <w:r>
        <w:rPr>
          <w:rFonts w:hint="eastAsia"/>
        </w:rPr>
        <w:t>摩尔多瓦共和国的卫生防疫工作由</w:t>
      </w:r>
      <w:r>
        <w:rPr>
          <w:rFonts w:hint="eastAsia"/>
        </w:rPr>
        <w:t>473</w:t>
      </w:r>
      <w:r>
        <w:rPr>
          <w:rFonts w:hint="eastAsia"/>
        </w:rPr>
        <w:t>个固定机构提供：其中卫生部有</w:t>
      </w:r>
      <w:r>
        <w:rPr>
          <w:rFonts w:hint="eastAsia"/>
        </w:rPr>
        <w:t>187</w:t>
      </w:r>
      <w:r>
        <w:rPr>
          <w:rFonts w:hint="eastAsia"/>
        </w:rPr>
        <w:t>个，其他部局有</w:t>
      </w:r>
      <w:r>
        <w:rPr>
          <w:rFonts w:hint="eastAsia"/>
        </w:rPr>
        <w:t>78</w:t>
      </w:r>
      <w:r>
        <w:rPr>
          <w:rFonts w:hint="eastAsia"/>
        </w:rPr>
        <w:t>个，私人企业</w:t>
      </w:r>
      <w:r>
        <w:rPr>
          <w:rFonts w:hint="eastAsia"/>
        </w:rPr>
        <w:t>208</w:t>
      </w:r>
      <w:r>
        <w:rPr>
          <w:rFonts w:hint="eastAsia"/>
        </w:rPr>
        <w:t>个。</w:t>
      </w:r>
    </w:p>
    <w:p w:rsidR="00000000" w:rsidRDefault="00000000">
      <w:pPr>
        <w:spacing w:after="320"/>
        <w:rPr>
          <w:rFonts w:hint="eastAsia"/>
        </w:rPr>
      </w:pPr>
      <w:r>
        <w:rPr>
          <w:rFonts w:hint="eastAsia"/>
        </w:rPr>
        <w:tab/>
        <w:t>514.  1999</w:t>
      </w:r>
      <w:r>
        <w:rPr>
          <w:rFonts w:hint="eastAsia"/>
        </w:rPr>
        <w:t>年医生总数减少了</w:t>
      </w:r>
      <w:r>
        <w:rPr>
          <w:rFonts w:hint="eastAsia"/>
        </w:rPr>
        <w:t>1,737</w:t>
      </w:r>
      <w:r>
        <w:rPr>
          <w:rFonts w:hint="eastAsia"/>
        </w:rPr>
        <w:t>人，使每一万名居民拥有的医生数降至</w:t>
      </w:r>
      <w:r>
        <w:rPr>
          <w:rFonts w:hint="eastAsia"/>
        </w:rPr>
        <w:t>33.7</w:t>
      </w:r>
      <w:r>
        <w:rPr>
          <w:rFonts w:hint="eastAsia"/>
        </w:rPr>
        <w:t>人。其分配比例如下：在治疗和预防性机构中有</w:t>
      </w:r>
      <w:r>
        <w:rPr>
          <w:rFonts w:hint="eastAsia"/>
        </w:rPr>
        <w:t>28.4</w:t>
      </w:r>
      <w:r>
        <w:rPr>
          <w:rFonts w:hint="eastAsia"/>
        </w:rPr>
        <w:t>名医生，</w:t>
      </w:r>
      <w:r>
        <w:rPr>
          <w:rFonts w:hint="eastAsia"/>
        </w:rPr>
        <w:t>1998</w:t>
      </w:r>
      <w:r>
        <w:rPr>
          <w:rFonts w:hint="eastAsia"/>
        </w:rPr>
        <w:t>年有</w:t>
      </w:r>
      <w:r>
        <w:rPr>
          <w:rFonts w:hint="eastAsia"/>
        </w:rPr>
        <w:t>28.5</w:t>
      </w:r>
      <w:r>
        <w:rPr>
          <w:rFonts w:hint="eastAsia"/>
        </w:rPr>
        <w:t>名；城市地区</w:t>
      </w:r>
      <w:r>
        <w:rPr>
          <w:rFonts w:hint="eastAsia"/>
        </w:rPr>
        <w:t>65.4</w:t>
      </w:r>
      <w:r>
        <w:rPr>
          <w:rFonts w:hint="eastAsia"/>
        </w:rPr>
        <w:t>名</w:t>
      </w:r>
      <w:r>
        <w:rPr>
          <w:rFonts w:hint="eastAsia"/>
        </w:rPr>
        <w:t>(1998</w:t>
      </w:r>
      <w:r>
        <w:rPr>
          <w:rFonts w:hint="eastAsia"/>
        </w:rPr>
        <w:t>年这一数字为</w:t>
      </w:r>
      <w:r>
        <w:rPr>
          <w:rFonts w:hint="eastAsia"/>
        </w:rPr>
        <w:t>72.6)</w:t>
      </w:r>
      <w:r>
        <w:rPr>
          <w:rFonts w:hint="eastAsia"/>
        </w:rPr>
        <w:t>，农村地区</w:t>
      </w:r>
      <w:r>
        <w:rPr>
          <w:rFonts w:hint="eastAsia"/>
        </w:rPr>
        <w:t>6.7</w:t>
      </w:r>
      <w:r>
        <w:rPr>
          <w:rFonts w:hint="eastAsia"/>
        </w:rPr>
        <w:t>名</w:t>
      </w:r>
      <w:r>
        <w:rPr>
          <w:rFonts w:hint="eastAsia"/>
        </w:rPr>
        <w:t>(1998</w:t>
      </w:r>
      <w:r>
        <w:rPr>
          <w:rFonts w:hint="eastAsia"/>
        </w:rPr>
        <w:t>年为</w:t>
      </w:r>
      <w:r>
        <w:rPr>
          <w:rFonts w:hint="eastAsia"/>
        </w:rPr>
        <w:t>7.7</w:t>
      </w:r>
      <w:r>
        <w:rPr>
          <w:rFonts w:hint="eastAsia"/>
        </w:rPr>
        <w:t>名医生</w:t>
      </w:r>
      <w:r>
        <w:rPr>
          <w:rFonts w:hint="eastAsia"/>
        </w:rPr>
        <w:t>)</w:t>
      </w:r>
      <w:r>
        <w:rPr>
          <w:rFonts w:hint="eastAsia"/>
        </w:rPr>
        <w:t>。</w:t>
      </w:r>
    </w:p>
    <w:p w:rsidR="00000000" w:rsidRDefault="00000000">
      <w:pPr>
        <w:pStyle w:val="Heading3"/>
        <w:rPr>
          <w:rFonts w:hint="eastAsia"/>
        </w:rPr>
      </w:pPr>
      <w:r>
        <w:rPr>
          <w:rFonts w:hint="eastAsia"/>
          <w:u w:val="none"/>
        </w:rPr>
        <w:t>表</w:t>
      </w:r>
      <w:r>
        <w:rPr>
          <w:u w:val="none"/>
        </w:rPr>
        <w:t>3</w:t>
      </w:r>
      <w:r>
        <w:rPr>
          <w:rFonts w:hint="eastAsia"/>
          <w:u w:val="none"/>
        </w:rPr>
        <w:t xml:space="preserve">5  </w:t>
      </w:r>
      <w:r>
        <w:rPr>
          <w:rFonts w:hint="eastAsia"/>
        </w:rPr>
        <w:t>儿童医疗保障</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52"/>
        <w:gridCol w:w="1036"/>
        <w:gridCol w:w="1038"/>
        <w:gridCol w:w="1037"/>
        <w:gridCol w:w="1035"/>
        <w:gridCol w:w="1037"/>
        <w:gridCol w:w="1035"/>
      </w:tblGrid>
      <w:tr w:rsidR="00000000">
        <w:tblPrEx>
          <w:tblCellMar>
            <w:top w:w="0" w:type="dxa"/>
            <w:bottom w:w="0" w:type="dxa"/>
          </w:tblCellMar>
        </w:tblPrEx>
        <w:trPr>
          <w:cantSplit/>
        </w:trPr>
        <w:tc>
          <w:tcPr>
            <w:tcW w:w="1751" w:type="pct"/>
            <w:tcBorders>
              <w:bottom w:val="single" w:sz="6" w:space="0" w:color="auto"/>
            </w:tcBorders>
          </w:tcPr>
          <w:p w:rsidR="00000000" w:rsidRDefault="00000000">
            <w:pPr>
              <w:pStyle w:val="a2"/>
              <w:spacing w:before="60" w:after="20"/>
              <w:jc w:val="center"/>
            </w:pPr>
          </w:p>
        </w:tc>
        <w:tc>
          <w:tcPr>
            <w:tcW w:w="541" w:type="pct"/>
            <w:tcBorders>
              <w:bottom w:val="single" w:sz="6" w:space="0" w:color="auto"/>
            </w:tcBorders>
          </w:tcPr>
          <w:p w:rsidR="00000000" w:rsidRDefault="00000000">
            <w:pPr>
              <w:pStyle w:val="a2"/>
              <w:spacing w:before="60" w:after="20"/>
              <w:jc w:val="center"/>
            </w:pPr>
            <w:r>
              <w:t>1990</w:t>
            </w:r>
          </w:p>
        </w:tc>
        <w:tc>
          <w:tcPr>
            <w:tcW w:w="542" w:type="pct"/>
            <w:tcBorders>
              <w:bottom w:val="single" w:sz="6" w:space="0" w:color="auto"/>
            </w:tcBorders>
          </w:tcPr>
          <w:p w:rsidR="00000000" w:rsidRDefault="00000000">
            <w:pPr>
              <w:pStyle w:val="a2"/>
              <w:spacing w:before="60" w:after="20"/>
              <w:jc w:val="center"/>
            </w:pPr>
            <w:r>
              <w:t>1995</w:t>
            </w:r>
          </w:p>
        </w:tc>
        <w:tc>
          <w:tcPr>
            <w:tcW w:w="542" w:type="pct"/>
            <w:tcBorders>
              <w:bottom w:val="single" w:sz="6" w:space="0" w:color="auto"/>
            </w:tcBorders>
          </w:tcPr>
          <w:p w:rsidR="00000000" w:rsidRDefault="00000000">
            <w:pPr>
              <w:pStyle w:val="a2"/>
              <w:spacing w:before="60" w:after="20"/>
              <w:jc w:val="center"/>
            </w:pPr>
            <w:r>
              <w:t>1996</w:t>
            </w:r>
          </w:p>
        </w:tc>
        <w:tc>
          <w:tcPr>
            <w:tcW w:w="541" w:type="pct"/>
            <w:tcBorders>
              <w:bottom w:val="single" w:sz="6" w:space="0" w:color="auto"/>
            </w:tcBorders>
          </w:tcPr>
          <w:p w:rsidR="00000000" w:rsidRDefault="00000000">
            <w:pPr>
              <w:pStyle w:val="a2"/>
              <w:spacing w:before="60" w:after="20"/>
              <w:jc w:val="center"/>
            </w:pPr>
            <w:r>
              <w:t>1997</w:t>
            </w:r>
          </w:p>
        </w:tc>
        <w:tc>
          <w:tcPr>
            <w:tcW w:w="542" w:type="pct"/>
            <w:tcBorders>
              <w:bottom w:val="single" w:sz="6" w:space="0" w:color="auto"/>
            </w:tcBorders>
          </w:tcPr>
          <w:p w:rsidR="00000000" w:rsidRDefault="00000000">
            <w:pPr>
              <w:pStyle w:val="a2"/>
              <w:spacing w:before="60" w:after="20"/>
              <w:jc w:val="center"/>
            </w:pPr>
            <w:r>
              <w:t>1998</w:t>
            </w:r>
          </w:p>
        </w:tc>
        <w:tc>
          <w:tcPr>
            <w:tcW w:w="542" w:type="pct"/>
            <w:tcBorders>
              <w:bottom w:val="single" w:sz="6" w:space="0" w:color="auto"/>
            </w:tcBorders>
          </w:tcPr>
          <w:p w:rsidR="00000000" w:rsidRDefault="00000000">
            <w:pPr>
              <w:pStyle w:val="a2"/>
              <w:spacing w:before="60" w:after="20"/>
              <w:jc w:val="center"/>
            </w:pPr>
            <w:r>
              <w:t>1999</w:t>
            </w:r>
          </w:p>
        </w:tc>
      </w:tr>
      <w:tr w:rsidR="00000000">
        <w:tblPrEx>
          <w:tblCellMar>
            <w:top w:w="0" w:type="dxa"/>
            <w:bottom w:w="0" w:type="dxa"/>
          </w:tblCellMar>
        </w:tblPrEx>
        <w:trPr>
          <w:cantSplit/>
          <w:trHeight w:val="243"/>
        </w:trPr>
        <w:tc>
          <w:tcPr>
            <w:tcW w:w="1751" w:type="pct"/>
            <w:tcBorders>
              <w:bottom w:val="nil"/>
            </w:tcBorders>
          </w:tcPr>
          <w:p w:rsidR="00000000" w:rsidRDefault="00000000">
            <w:pPr>
              <w:pStyle w:val="a2"/>
              <w:rPr>
                <w:rFonts w:hint="eastAsia"/>
              </w:rPr>
            </w:pPr>
            <w:r>
              <w:rPr>
                <w:rFonts w:hint="eastAsia"/>
              </w:rPr>
              <w:t>儿科医生总数</w:t>
            </w:r>
          </w:p>
        </w:tc>
        <w:tc>
          <w:tcPr>
            <w:tcW w:w="541" w:type="pct"/>
            <w:tcBorders>
              <w:bottom w:val="nil"/>
            </w:tcBorders>
          </w:tcPr>
          <w:p w:rsidR="00000000" w:rsidRDefault="00000000">
            <w:pPr>
              <w:pStyle w:val="a2"/>
              <w:tabs>
                <w:tab w:val="decimal" w:pos="638"/>
              </w:tabs>
            </w:pPr>
            <w:r>
              <w:t>2,154</w:t>
            </w:r>
          </w:p>
        </w:tc>
        <w:tc>
          <w:tcPr>
            <w:tcW w:w="542" w:type="pct"/>
            <w:tcBorders>
              <w:bottom w:val="nil"/>
            </w:tcBorders>
          </w:tcPr>
          <w:p w:rsidR="00000000" w:rsidRDefault="00000000">
            <w:pPr>
              <w:pStyle w:val="a2"/>
              <w:tabs>
                <w:tab w:val="decimal" w:pos="638"/>
              </w:tabs>
            </w:pPr>
            <w:r>
              <w:t>1,986</w:t>
            </w:r>
          </w:p>
        </w:tc>
        <w:tc>
          <w:tcPr>
            <w:tcW w:w="542" w:type="pct"/>
            <w:tcBorders>
              <w:bottom w:val="nil"/>
            </w:tcBorders>
          </w:tcPr>
          <w:p w:rsidR="00000000" w:rsidRDefault="00000000">
            <w:pPr>
              <w:pStyle w:val="a2"/>
              <w:tabs>
                <w:tab w:val="decimal" w:pos="638"/>
              </w:tabs>
            </w:pPr>
            <w:r>
              <w:t>1,944</w:t>
            </w:r>
          </w:p>
        </w:tc>
        <w:tc>
          <w:tcPr>
            <w:tcW w:w="541" w:type="pct"/>
            <w:tcBorders>
              <w:bottom w:val="nil"/>
            </w:tcBorders>
          </w:tcPr>
          <w:p w:rsidR="00000000" w:rsidRDefault="00000000">
            <w:pPr>
              <w:pStyle w:val="a2"/>
              <w:tabs>
                <w:tab w:val="decimal" w:pos="638"/>
              </w:tabs>
            </w:pPr>
            <w:r>
              <w:t>1,826</w:t>
            </w:r>
          </w:p>
        </w:tc>
        <w:tc>
          <w:tcPr>
            <w:tcW w:w="542" w:type="pct"/>
            <w:tcBorders>
              <w:bottom w:val="nil"/>
            </w:tcBorders>
          </w:tcPr>
          <w:p w:rsidR="00000000" w:rsidRDefault="00000000">
            <w:pPr>
              <w:pStyle w:val="a2"/>
              <w:tabs>
                <w:tab w:val="decimal" w:pos="638"/>
              </w:tabs>
            </w:pPr>
            <w:r>
              <w:t>1,669</w:t>
            </w:r>
          </w:p>
        </w:tc>
        <w:tc>
          <w:tcPr>
            <w:tcW w:w="542" w:type="pct"/>
            <w:tcBorders>
              <w:bottom w:val="nil"/>
            </w:tcBorders>
          </w:tcPr>
          <w:p w:rsidR="00000000" w:rsidRDefault="00000000">
            <w:pPr>
              <w:pStyle w:val="a2"/>
              <w:tabs>
                <w:tab w:val="decimal" w:pos="638"/>
              </w:tabs>
            </w:pPr>
            <w:r>
              <w:t>1,344</w:t>
            </w:r>
          </w:p>
        </w:tc>
      </w:tr>
      <w:tr w:rsidR="00000000">
        <w:tblPrEx>
          <w:tblCellMar>
            <w:top w:w="0" w:type="dxa"/>
            <w:bottom w:w="0" w:type="dxa"/>
          </w:tblCellMar>
        </w:tblPrEx>
        <w:trPr>
          <w:cantSplit/>
          <w:trHeight w:val="243"/>
        </w:trPr>
        <w:tc>
          <w:tcPr>
            <w:tcW w:w="1751" w:type="pct"/>
            <w:tcBorders>
              <w:top w:val="nil"/>
              <w:bottom w:val="nil"/>
            </w:tcBorders>
          </w:tcPr>
          <w:p w:rsidR="00000000" w:rsidRDefault="00000000">
            <w:pPr>
              <w:pStyle w:val="a2"/>
            </w:pPr>
            <w:r>
              <w:rPr>
                <w:rFonts w:hint="eastAsia"/>
              </w:rPr>
              <w:t>每</w:t>
            </w:r>
            <w:r>
              <w:t>10,000</w:t>
            </w:r>
            <w:r>
              <w:rPr>
                <w:rFonts w:hint="eastAsia"/>
              </w:rPr>
              <w:t>个</w:t>
            </w:r>
            <w:r>
              <w:rPr>
                <w:rFonts w:hint="eastAsia"/>
              </w:rPr>
              <w:t>0-14</w:t>
            </w:r>
            <w:r>
              <w:rPr>
                <w:rFonts w:hint="eastAsia"/>
              </w:rPr>
              <w:t>岁的儿童拥有数</w:t>
            </w:r>
          </w:p>
        </w:tc>
        <w:tc>
          <w:tcPr>
            <w:tcW w:w="541" w:type="pct"/>
            <w:tcBorders>
              <w:top w:val="nil"/>
              <w:bottom w:val="nil"/>
            </w:tcBorders>
          </w:tcPr>
          <w:p w:rsidR="00000000" w:rsidRDefault="00000000">
            <w:pPr>
              <w:pStyle w:val="a2"/>
              <w:tabs>
                <w:tab w:val="decimal" w:pos="638"/>
              </w:tabs>
            </w:pPr>
            <w:r>
              <w:t>17.7</w:t>
            </w:r>
          </w:p>
        </w:tc>
        <w:tc>
          <w:tcPr>
            <w:tcW w:w="542" w:type="pct"/>
            <w:tcBorders>
              <w:top w:val="nil"/>
              <w:bottom w:val="nil"/>
            </w:tcBorders>
          </w:tcPr>
          <w:p w:rsidR="00000000" w:rsidRDefault="00000000">
            <w:pPr>
              <w:pStyle w:val="a2"/>
              <w:tabs>
                <w:tab w:val="decimal" w:pos="638"/>
              </w:tabs>
            </w:pPr>
            <w:r>
              <w:t>17.4</w:t>
            </w:r>
          </w:p>
        </w:tc>
        <w:tc>
          <w:tcPr>
            <w:tcW w:w="542" w:type="pct"/>
            <w:tcBorders>
              <w:top w:val="nil"/>
              <w:bottom w:val="nil"/>
            </w:tcBorders>
          </w:tcPr>
          <w:p w:rsidR="00000000" w:rsidRDefault="00000000">
            <w:pPr>
              <w:pStyle w:val="a2"/>
              <w:tabs>
                <w:tab w:val="decimal" w:pos="638"/>
              </w:tabs>
            </w:pPr>
            <w:r>
              <w:t>17.5</w:t>
            </w:r>
          </w:p>
        </w:tc>
        <w:tc>
          <w:tcPr>
            <w:tcW w:w="541" w:type="pct"/>
            <w:tcBorders>
              <w:top w:val="nil"/>
              <w:bottom w:val="nil"/>
            </w:tcBorders>
          </w:tcPr>
          <w:p w:rsidR="00000000" w:rsidRDefault="00000000">
            <w:pPr>
              <w:pStyle w:val="a2"/>
              <w:tabs>
                <w:tab w:val="decimal" w:pos="638"/>
              </w:tabs>
            </w:pPr>
            <w:r>
              <w:t>17.5</w:t>
            </w:r>
          </w:p>
        </w:tc>
        <w:tc>
          <w:tcPr>
            <w:tcW w:w="542" w:type="pct"/>
            <w:tcBorders>
              <w:top w:val="nil"/>
              <w:bottom w:val="nil"/>
            </w:tcBorders>
          </w:tcPr>
          <w:p w:rsidR="00000000" w:rsidRDefault="00000000">
            <w:pPr>
              <w:pStyle w:val="a2"/>
              <w:tabs>
                <w:tab w:val="decimal" w:pos="638"/>
              </w:tabs>
            </w:pPr>
            <w:r>
              <w:t>16.0</w:t>
            </w:r>
          </w:p>
        </w:tc>
        <w:tc>
          <w:tcPr>
            <w:tcW w:w="542" w:type="pct"/>
            <w:tcBorders>
              <w:top w:val="nil"/>
              <w:bottom w:val="nil"/>
            </w:tcBorders>
          </w:tcPr>
          <w:p w:rsidR="00000000" w:rsidRDefault="00000000">
            <w:pPr>
              <w:pStyle w:val="a2"/>
              <w:tabs>
                <w:tab w:val="decimal" w:pos="638"/>
              </w:tabs>
            </w:pPr>
            <w:r>
              <w:t>13.5</w:t>
            </w:r>
          </w:p>
        </w:tc>
      </w:tr>
      <w:tr w:rsidR="00000000">
        <w:tblPrEx>
          <w:tblCellMar>
            <w:top w:w="0" w:type="dxa"/>
            <w:bottom w:w="0" w:type="dxa"/>
          </w:tblCellMar>
        </w:tblPrEx>
        <w:trPr>
          <w:cantSplit/>
          <w:trHeight w:val="243"/>
        </w:trPr>
        <w:tc>
          <w:tcPr>
            <w:tcW w:w="1751" w:type="pct"/>
            <w:tcBorders>
              <w:top w:val="nil"/>
              <w:bottom w:val="nil"/>
            </w:tcBorders>
          </w:tcPr>
          <w:p w:rsidR="00000000" w:rsidRDefault="00000000">
            <w:pPr>
              <w:pStyle w:val="a2"/>
              <w:spacing w:before="120"/>
              <w:rPr>
                <w:rFonts w:hint="eastAsia"/>
              </w:rPr>
            </w:pPr>
            <w:r>
              <w:rPr>
                <w:rFonts w:hint="eastAsia"/>
              </w:rPr>
              <w:t>医院床位总数</w:t>
            </w:r>
          </w:p>
        </w:tc>
        <w:tc>
          <w:tcPr>
            <w:tcW w:w="541" w:type="pct"/>
            <w:tcBorders>
              <w:top w:val="nil"/>
              <w:bottom w:val="nil"/>
            </w:tcBorders>
          </w:tcPr>
          <w:p w:rsidR="00000000" w:rsidRDefault="00000000">
            <w:pPr>
              <w:pStyle w:val="a2"/>
              <w:tabs>
                <w:tab w:val="decimal" w:pos="638"/>
              </w:tabs>
              <w:spacing w:before="120"/>
            </w:pPr>
            <w:r>
              <w:t>11,398</w:t>
            </w:r>
          </w:p>
        </w:tc>
        <w:tc>
          <w:tcPr>
            <w:tcW w:w="542" w:type="pct"/>
            <w:tcBorders>
              <w:top w:val="nil"/>
              <w:bottom w:val="nil"/>
            </w:tcBorders>
          </w:tcPr>
          <w:p w:rsidR="00000000" w:rsidRDefault="00000000">
            <w:pPr>
              <w:pStyle w:val="a2"/>
              <w:tabs>
                <w:tab w:val="decimal" w:pos="638"/>
              </w:tabs>
              <w:spacing w:before="120"/>
            </w:pPr>
            <w:r>
              <w:t>9,503</w:t>
            </w:r>
          </w:p>
        </w:tc>
        <w:tc>
          <w:tcPr>
            <w:tcW w:w="542" w:type="pct"/>
            <w:tcBorders>
              <w:top w:val="nil"/>
              <w:bottom w:val="nil"/>
            </w:tcBorders>
          </w:tcPr>
          <w:p w:rsidR="00000000" w:rsidRDefault="00000000">
            <w:pPr>
              <w:pStyle w:val="a2"/>
              <w:tabs>
                <w:tab w:val="decimal" w:pos="638"/>
              </w:tabs>
              <w:spacing w:before="120"/>
            </w:pPr>
            <w:r>
              <w:t>9,322</w:t>
            </w:r>
          </w:p>
        </w:tc>
        <w:tc>
          <w:tcPr>
            <w:tcW w:w="541" w:type="pct"/>
            <w:tcBorders>
              <w:top w:val="nil"/>
              <w:bottom w:val="nil"/>
            </w:tcBorders>
          </w:tcPr>
          <w:p w:rsidR="00000000" w:rsidRDefault="00000000">
            <w:pPr>
              <w:pStyle w:val="a2"/>
              <w:tabs>
                <w:tab w:val="decimal" w:pos="638"/>
              </w:tabs>
              <w:spacing w:before="120"/>
            </w:pPr>
            <w:r>
              <w:t>8,839</w:t>
            </w:r>
          </w:p>
        </w:tc>
        <w:tc>
          <w:tcPr>
            <w:tcW w:w="542" w:type="pct"/>
            <w:tcBorders>
              <w:top w:val="nil"/>
              <w:bottom w:val="nil"/>
            </w:tcBorders>
          </w:tcPr>
          <w:p w:rsidR="00000000" w:rsidRDefault="00000000">
            <w:pPr>
              <w:pStyle w:val="a2"/>
              <w:tabs>
                <w:tab w:val="decimal" w:pos="638"/>
              </w:tabs>
              <w:spacing w:before="120"/>
            </w:pPr>
            <w:r>
              <w:t>8,534</w:t>
            </w:r>
          </w:p>
        </w:tc>
        <w:tc>
          <w:tcPr>
            <w:tcW w:w="542" w:type="pct"/>
            <w:tcBorders>
              <w:top w:val="nil"/>
              <w:bottom w:val="nil"/>
            </w:tcBorders>
          </w:tcPr>
          <w:p w:rsidR="00000000" w:rsidRDefault="00000000">
            <w:pPr>
              <w:pStyle w:val="a2"/>
              <w:tabs>
                <w:tab w:val="decimal" w:pos="638"/>
              </w:tabs>
              <w:spacing w:before="120"/>
            </w:pPr>
            <w:r>
              <w:t>5,985</w:t>
            </w:r>
          </w:p>
        </w:tc>
      </w:tr>
      <w:tr w:rsidR="00000000">
        <w:tblPrEx>
          <w:tblCellMar>
            <w:top w:w="0" w:type="dxa"/>
            <w:bottom w:w="0" w:type="dxa"/>
          </w:tblCellMar>
        </w:tblPrEx>
        <w:trPr>
          <w:cantSplit/>
          <w:trHeight w:val="243"/>
        </w:trPr>
        <w:tc>
          <w:tcPr>
            <w:tcW w:w="1751" w:type="pct"/>
            <w:tcBorders>
              <w:top w:val="nil"/>
              <w:bottom w:val="nil"/>
            </w:tcBorders>
          </w:tcPr>
          <w:p w:rsidR="00000000" w:rsidRDefault="00000000">
            <w:pPr>
              <w:pStyle w:val="a2"/>
            </w:pPr>
            <w:r>
              <w:rPr>
                <w:rFonts w:hint="eastAsia"/>
              </w:rPr>
              <w:t>每</w:t>
            </w:r>
            <w:r>
              <w:t>10,000</w:t>
            </w:r>
            <w:r>
              <w:rPr>
                <w:rFonts w:hint="eastAsia"/>
              </w:rPr>
              <w:t>个</w:t>
            </w:r>
            <w:r>
              <w:rPr>
                <w:rFonts w:hint="eastAsia"/>
              </w:rPr>
              <w:t>0-14</w:t>
            </w:r>
            <w:r>
              <w:rPr>
                <w:rFonts w:hint="eastAsia"/>
              </w:rPr>
              <w:t>岁的儿童拥有量</w:t>
            </w:r>
          </w:p>
        </w:tc>
        <w:tc>
          <w:tcPr>
            <w:tcW w:w="541" w:type="pct"/>
            <w:tcBorders>
              <w:top w:val="nil"/>
              <w:bottom w:val="nil"/>
            </w:tcBorders>
          </w:tcPr>
          <w:p w:rsidR="00000000" w:rsidRDefault="00000000">
            <w:pPr>
              <w:pStyle w:val="a2"/>
              <w:tabs>
                <w:tab w:val="decimal" w:pos="638"/>
              </w:tabs>
            </w:pPr>
            <w:r>
              <w:t>93.7</w:t>
            </w:r>
          </w:p>
        </w:tc>
        <w:tc>
          <w:tcPr>
            <w:tcW w:w="542" w:type="pct"/>
            <w:tcBorders>
              <w:top w:val="nil"/>
              <w:bottom w:val="nil"/>
            </w:tcBorders>
          </w:tcPr>
          <w:p w:rsidR="00000000" w:rsidRDefault="00000000">
            <w:pPr>
              <w:pStyle w:val="a2"/>
              <w:tabs>
                <w:tab w:val="decimal" w:pos="638"/>
              </w:tabs>
            </w:pPr>
            <w:r>
              <w:t>83.2</w:t>
            </w:r>
          </w:p>
        </w:tc>
        <w:tc>
          <w:tcPr>
            <w:tcW w:w="542" w:type="pct"/>
            <w:tcBorders>
              <w:top w:val="nil"/>
              <w:bottom w:val="nil"/>
            </w:tcBorders>
          </w:tcPr>
          <w:p w:rsidR="00000000" w:rsidRDefault="00000000">
            <w:pPr>
              <w:pStyle w:val="a2"/>
              <w:tabs>
                <w:tab w:val="decimal" w:pos="638"/>
              </w:tabs>
            </w:pPr>
            <w:r>
              <w:t>83.7</w:t>
            </w:r>
          </w:p>
        </w:tc>
        <w:tc>
          <w:tcPr>
            <w:tcW w:w="541" w:type="pct"/>
            <w:tcBorders>
              <w:top w:val="nil"/>
              <w:bottom w:val="nil"/>
            </w:tcBorders>
          </w:tcPr>
          <w:p w:rsidR="00000000" w:rsidRDefault="00000000">
            <w:pPr>
              <w:pStyle w:val="a2"/>
              <w:tabs>
                <w:tab w:val="decimal" w:pos="638"/>
              </w:tabs>
            </w:pPr>
            <w:r>
              <w:t>81.8</w:t>
            </w:r>
          </w:p>
        </w:tc>
        <w:tc>
          <w:tcPr>
            <w:tcW w:w="542" w:type="pct"/>
            <w:tcBorders>
              <w:top w:val="nil"/>
              <w:bottom w:val="nil"/>
            </w:tcBorders>
          </w:tcPr>
          <w:p w:rsidR="00000000" w:rsidRDefault="00000000">
            <w:pPr>
              <w:pStyle w:val="a2"/>
              <w:tabs>
                <w:tab w:val="decimal" w:pos="638"/>
              </w:tabs>
            </w:pPr>
            <w:r>
              <w:t>81.1</w:t>
            </w:r>
          </w:p>
        </w:tc>
        <w:tc>
          <w:tcPr>
            <w:tcW w:w="542" w:type="pct"/>
            <w:tcBorders>
              <w:top w:val="nil"/>
              <w:bottom w:val="nil"/>
            </w:tcBorders>
          </w:tcPr>
          <w:p w:rsidR="00000000" w:rsidRDefault="00000000">
            <w:pPr>
              <w:pStyle w:val="a2"/>
              <w:tabs>
                <w:tab w:val="decimal" w:pos="638"/>
              </w:tabs>
            </w:pPr>
            <w:r>
              <w:t>60.0</w:t>
            </w:r>
          </w:p>
        </w:tc>
      </w:tr>
      <w:tr w:rsidR="00000000">
        <w:tblPrEx>
          <w:tblCellMar>
            <w:top w:w="0" w:type="dxa"/>
            <w:bottom w:w="0" w:type="dxa"/>
          </w:tblCellMar>
        </w:tblPrEx>
        <w:trPr>
          <w:cantSplit/>
          <w:trHeight w:val="243"/>
        </w:trPr>
        <w:tc>
          <w:tcPr>
            <w:tcW w:w="1751" w:type="pct"/>
            <w:tcBorders>
              <w:top w:val="nil"/>
              <w:bottom w:val="nil"/>
            </w:tcBorders>
          </w:tcPr>
          <w:p w:rsidR="00000000" w:rsidRDefault="00000000">
            <w:pPr>
              <w:pStyle w:val="a2"/>
              <w:spacing w:before="120"/>
              <w:rPr>
                <w:rFonts w:hint="eastAsia"/>
              </w:rPr>
            </w:pPr>
            <w:r>
              <w:rPr>
                <w:rFonts w:hint="eastAsia"/>
              </w:rPr>
              <w:t>住院儿童总数，千人</w:t>
            </w:r>
          </w:p>
        </w:tc>
        <w:tc>
          <w:tcPr>
            <w:tcW w:w="541" w:type="pct"/>
            <w:tcBorders>
              <w:top w:val="nil"/>
              <w:bottom w:val="nil"/>
            </w:tcBorders>
          </w:tcPr>
          <w:p w:rsidR="00000000" w:rsidRDefault="00000000">
            <w:pPr>
              <w:pStyle w:val="a2"/>
              <w:tabs>
                <w:tab w:val="decimal" w:pos="638"/>
              </w:tabs>
              <w:spacing w:before="120"/>
            </w:pPr>
            <w:r>
              <w:t>235.9</w:t>
            </w:r>
          </w:p>
        </w:tc>
        <w:tc>
          <w:tcPr>
            <w:tcW w:w="542" w:type="pct"/>
            <w:tcBorders>
              <w:top w:val="nil"/>
              <w:bottom w:val="nil"/>
            </w:tcBorders>
          </w:tcPr>
          <w:p w:rsidR="00000000" w:rsidRDefault="00000000">
            <w:pPr>
              <w:pStyle w:val="a2"/>
              <w:tabs>
                <w:tab w:val="decimal" w:pos="638"/>
              </w:tabs>
              <w:spacing w:before="120"/>
            </w:pPr>
            <w:r>
              <w:t>202.2</w:t>
            </w:r>
          </w:p>
        </w:tc>
        <w:tc>
          <w:tcPr>
            <w:tcW w:w="542" w:type="pct"/>
            <w:tcBorders>
              <w:top w:val="nil"/>
              <w:bottom w:val="nil"/>
            </w:tcBorders>
          </w:tcPr>
          <w:p w:rsidR="00000000" w:rsidRDefault="00000000">
            <w:pPr>
              <w:pStyle w:val="a2"/>
              <w:tabs>
                <w:tab w:val="decimal" w:pos="638"/>
              </w:tabs>
              <w:spacing w:before="120"/>
            </w:pPr>
            <w:r>
              <w:t>172.6</w:t>
            </w:r>
          </w:p>
        </w:tc>
        <w:tc>
          <w:tcPr>
            <w:tcW w:w="541" w:type="pct"/>
            <w:tcBorders>
              <w:top w:val="nil"/>
              <w:bottom w:val="nil"/>
            </w:tcBorders>
          </w:tcPr>
          <w:p w:rsidR="00000000" w:rsidRDefault="00000000">
            <w:pPr>
              <w:pStyle w:val="a2"/>
              <w:tabs>
                <w:tab w:val="decimal" w:pos="638"/>
              </w:tabs>
              <w:spacing w:before="120"/>
            </w:pPr>
            <w:r>
              <w:t>177.4</w:t>
            </w:r>
          </w:p>
        </w:tc>
        <w:tc>
          <w:tcPr>
            <w:tcW w:w="542" w:type="pct"/>
            <w:tcBorders>
              <w:top w:val="nil"/>
              <w:bottom w:val="nil"/>
            </w:tcBorders>
          </w:tcPr>
          <w:p w:rsidR="00000000" w:rsidRDefault="00000000">
            <w:pPr>
              <w:pStyle w:val="a2"/>
              <w:tabs>
                <w:tab w:val="decimal" w:pos="638"/>
              </w:tabs>
              <w:spacing w:before="120"/>
            </w:pPr>
            <w:r>
              <w:t>165.2</w:t>
            </w:r>
          </w:p>
        </w:tc>
        <w:tc>
          <w:tcPr>
            <w:tcW w:w="542" w:type="pct"/>
            <w:tcBorders>
              <w:top w:val="nil"/>
              <w:bottom w:val="nil"/>
            </w:tcBorders>
          </w:tcPr>
          <w:p w:rsidR="00000000" w:rsidRDefault="00000000">
            <w:pPr>
              <w:pStyle w:val="a2"/>
              <w:tabs>
                <w:tab w:val="decimal" w:pos="638"/>
              </w:tabs>
              <w:spacing w:before="120"/>
            </w:pPr>
            <w:r>
              <w:t>133.2</w:t>
            </w:r>
          </w:p>
        </w:tc>
      </w:tr>
      <w:tr w:rsidR="00000000">
        <w:tblPrEx>
          <w:tblCellMar>
            <w:top w:w="0" w:type="dxa"/>
            <w:bottom w:w="0" w:type="dxa"/>
          </w:tblCellMar>
        </w:tblPrEx>
        <w:trPr>
          <w:cantSplit/>
        </w:trPr>
        <w:tc>
          <w:tcPr>
            <w:tcW w:w="1751" w:type="pct"/>
            <w:tcBorders>
              <w:top w:val="nil"/>
              <w:bottom w:val="single" w:sz="4" w:space="0" w:color="auto"/>
            </w:tcBorders>
          </w:tcPr>
          <w:p w:rsidR="00000000" w:rsidRDefault="00000000">
            <w:pPr>
              <w:pStyle w:val="a2"/>
            </w:pPr>
            <w:r>
              <w:rPr>
                <w:rFonts w:hint="eastAsia"/>
              </w:rPr>
              <w:t>每</w:t>
            </w:r>
            <w:r>
              <w:t>10,000</w:t>
            </w:r>
            <w:r>
              <w:rPr>
                <w:rFonts w:hint="eastAsia"/>
              </w:rPr>
              <w:t>个</w:t>
            </w:r>
            <w:r>
              <w:rPr>
                <w:rFonts w:hint="eastAsia"/>
              </w:rPr>
              <w:t>0-14</w:t>
            </w:r>
            <w:r>
              <w:rPr>
                <w:rFonts w:hint="eastAsia"/>
              </w:rPr>
              <w:t>岁儿童中的</w:t>
            </w:r>
            <w:r>
              <w:br/>
            </w:r>
            <w:r>
              <w:rPr>
                <w:rFonts w:hint="eastAsia"/>
              </w:rPr>
              <w:t xml:space="preserve">  </w:t>
            </w:r>
            <w:r>
              <w:rPr>
                <w:rFonts w:hint="eastAsia"/>
              </w:rPr>
              <w:t>住院人数</w:t>
            </w:r>
          </w:p>
        </w:tc>
        <w:tc>
          <w:tcPr>
            <w:tcW w:w="541" w:type="pct"/>
            <w:tcBorders>
              <w:top w:val="nil"/>
              <w:bottom w:val="single" w:sz="4" w:space="0" w:color="auto"/>
            </w:tcBorders>
          </w:tcPr>
          <w:p w:rsidR="00000000" w:rsidRDefault="00000000">
            <w:pPr>
              <w:pStyle w:val="a2"/>
              <w:tabs>
                <w:tab w:val="decimal" w:pos="638"/>
              </w:tabs>
            </w:pPr>
            <w:r>
              <w:t>1,939</w:t>
            </w:r>
          </w:p>
        </w:tc>
        <w:tc>
          <w:tcPr>
            <w:tcW w:w="542" w:type="pct"/>
            <w:tcBorders>
              <w:top w:val="nil"/>
              <w:bottom w:val="single" w:sz="4" w:space="0" w:color="auto"/>
            </w:tcBorders>
          </w:tcPr>
          <w:p w:rsidR="00000000" w:rsidRDefault="00000000">
            <w:pPr>
              <w:pStyle w:val="a2"/>
              <w:tabs>
                <w:tab w:val="decimal" w:pos="638"/>
              </w:tabs>
            </w:pPr>
            <w:r>
              <w:t>1,770</w:t>
            </w:r>
          </w:p>
        </w:tc>
        <w:tc>
          <w:tcPr>
            <w:tcW w:w="542" w:type="pct"/>
            <w:tcBorders>
              <w:top w:val="nil"/>
              <w:bottom w:val="single" w:sz="4" w:space="0" w:color="auto"/>
            </w:tcBorders>
          </w:tcPr>
          <w:p w:rsidR="00000000" w:rsidRDefault="00000000">
            <w:pPr>
              <w:pStyle w:val="a2"/>
              <w:tabs>
                <w:tab w:val="decimal" w:pos="638"/>
              </w:tabs>
            </w:pPr>
            <w:r>
              <w:t>1,551</w:t>
            </w:r>
          </w:p>
        </w:tc>
        <w:tc>
          <w:tcPr>
            <w:tcW w:w="541" w:type="pct"/>
            <w:tcBorders>
              <w:top w:val="nil"/>
              <w:bottom w:val="single" w:sz="4" w:space="0" w:color="auto"/>
            </w:tcBorders>
          </w:tcPr>
          <w:p w:rsidR="00000000" w:rsidRDefault="00000000">
            <w:pPr>
              <w:pStyle w:val="a2"/>
              <w:tabs>
                <w:tab w:val="decimal" w:pos="638"/>
              </w:tabs>
            </w:pPr>
            <w:r>
              <w:t>1,641</w:t>
            </w:r>
          </w:p>
        </w:tc>
        <w:tc>
          <w:tcPr>
            <w:tcW w:w="542" w:type="pct"/>
            <w:tcBorders>
              <w:top w:val="nil"/>
              <w:bottom w:val="single" w:sz="4" w:space="0" w:color="auto"/>
            </w:tcBorders>
          </w:tcPr>
          <w:p w:rsidR="00000000" w:rsidRDefault="00000000">
            <w:pPr>
              <w:pStyle w:val="a2"/>
              <w:tabs>
                <w:tab w:val="decimal" w:pos="638"/>
              </w:tabs>
            </w:pPr>
            <w:r>
              <w:t>1,583</w:t>
            </w:r>
          </w:p>
        </w:tc>
        <w:tc>
          <w:tcPr>
            <w:tcW w:w="542" w:type="pct"/>
            <w:tcBorders>
              <w:top w:val="nil"/>
              <w:bottom w:val="single" w:sz="4" w:space="0" w:color="auto"/>
            </w:tcBorders>
          </w:tcPr>
          <w:p w:rsidR="00000000" w:rsidRDefault="00000000">
            <w:pPr>
              <w:pStyle w:val="a2"/>
              <w:tabs>
                <w:tab w:val="decimal" w:pos="638"/>
              </w:tabs>
            </w:pPr>
            <w:r>
              <w:t>1,337</w:t>
            </w:r>
          </w:p>
        </w:tc>
      </w:tr>
    </w:tbl>
    <w:p w:rsidR="00000000" w:rsidRDefault="00000000">
      <w:pPr>
        <w:rPr>
          <w:rFonts w:hint="eastAsia"/>
        </w:rPr>
      </w:pPr>
    </w:p>
    <w:p w:rsidR="00000000" w:rsidRDefault="00000000">
      <w:pPr>
        <w:rPr>
          <w:rFonts w:hint="eastAsia"/>
        </w:rPr>
      </w:pPr>
      <w:r>
        <w:rPr>
          <w:rFonts w:hint="eastAsia"/>
        </w:rPr>
        <w:tab/>
        <w:t xml:space="preserve">515.  </w:t>
      </w:r>
      <w:r>
        <w:rPr>
          <w:rFonts w:hint="eastAsia"/>
        </w:rPr>
        <w:t>卫生保健法规得到完善，保健措施得以改进。</w:t>
      </w:r>
    </w:p>
    <w:p w:rsidR="00000000" w:rsidRDefault="00000000">
      <w:pPr>
        <w:rPr>
          <w:rFonts w:hint="eastAsia"/>
        </w:rPr>
      </w:pPr>
      <w:r>
        <w:rPr>
          <w:rFonts w:hint="eastAsia"/>
        </w:rPr>
        <w:tab/>
        <w:t xml:space="preserve">516.  </w:t>
      </w:r>
      <w:r>
        <w:rPr>
          <w:rFonts w:hint="eastAsia"/>
        </w:rPr>
        <w:t>《宪法》第</w:t>
      </w:r>
      <w:r>
        <w:rPr>
          <w:rFonts w:hint="eastAsia"/>
        </w:rPr>
        <w:t>36</w:t>
      </w:r>
      <w:r>
        <w:rPr>
          <w:rFonts w:hint="eastAsia"/>
        </w:rPr>
        <w:t>条规定，在摩尔多瓦共和国享有卫生保健的权利。</w:t>
      </w:r>
      <w:r>
        <w:rPr>
          <w:rFonts w:hint="eastAsia"/>
        </w:rPr>
        <w:t>1999</w:t>
      </w:r>
      <w:r>
        <w:rPr>
          <w:rFonts w:hint="eastAsia"/>
        </w:rPr>
        <w:t>年</w:t>
      </w:r>
      <w:r>
        <w:rPr>
          <w:rFonts w:hint="eastAsia"/>
        </w:rPr>
        <w:t>2</w:t>
      </w:r>
      <w:r>
        <w:rPr>
          <w:rFonts w:hint="eastAsia"/>
        </w:rPr>
        <w:t>月</w:t>
      </w:r>
      <w:r>
        <w:rPr>
          <w:rFonts w:hint="eastAsia"/>
        </w:rPr>
        <w:t>3</w:t>
      </w:r>
      <w:r>
        <w:rPr>
          <w:rFonts w:hint="eastAsia"/>
        </w:rPr>
        <w:t>日，《最低限度免费医疗援助法》对国家保健体系进行了修订。根据该法第</w:t>
      </w:r>
      <w:r>
        <w:rPr>
          <w:rFonts w:hint="eastAsia"/>
        </w:rPr>
        <w:t>2</w:t>
      </w:r>
      <w:r>
        <w:rPr>
          <w:rFonts w:hint="eastAsia"/>
        </w:rPr>
        <w:t>条，摩尔多瓦共和国全体公民保证享有最低限度的免费医疗援助。在紧急情况下，外国人和无国籍人也享受这一服务设施。</w:t>
      </w:r>
    </w:p>
    <w:p w:rsidR="00000000" w:rsidRDefault="00000000">
      <w:pPr>
        <w:rPr>
          <w:rFonts w:hint="eastAsia"/>
        </w:rPr>
      </w:pPr>
      <w:r>
        <w:rPr>
          <w:rFonts w:hint="eastAsia"/>
        </w:rPr>
        <w:tab/>
        <w:t>517.  1999</w:t>
      </w:r>
      <w:r>
        <w:rPr>
          <w:rFonts w:hint="eastAsia"/>
        </w:rPr>
        <w:t>年拟订了以下国家方案：</w:t>
      </w:r>
    </w:p>
    <w:p w:rsidR="00000000" w:rsidRDefault="00000000">
      <w:pPr>
        <w:pStyle w:val="ac"/>
        <w:ind w:left="1040" w:firstLine="520"/>
        <w:rPr>
          <w:rFonts w:hint="eastAsia"/>
        </w:rPr>
      </w:pPr>
      <w:r>
        <w:rPr>
          <w:rFonts w:hint="eastAsia"/>
        </w:rPr>
        <w:t>1998</w:t>
      </w:r>
      <w:r>
        <w:rPr>
          <w:rFonts w:hint="eastAsia"/>
        </w:rPr>
        <w:t>至</w:t>
      </w:r>
      <w:r>
        <w:rPr>
          <w:rFonts w:hint="eastAsia"/>
        </w:rPr>
        <w:t>2003</w:t>
      </w:r>
      <w:r>
        <w:rPr>
          <w:rFonts w:hint="eastAsia"/>
        </w:rPr>
        <w:t>年癌症控制国家方案。该方案反映了摩尔多瓦共和国关于免费预防和治疗癌症的政策；</w:t>
      </w:r>
    </w:p>
    <w:p w:rsidR="00000000" w:rsidRDefault="00000000">
      <w:pPr>
        <w:pStyle w:val="ac"/>
        <w:ind w:firstLine="29"/>
        <w:rPr>
          <w:rFonts w:hint="eastAsia"/>
        </w:rPr>
      </w:pPr>
      <w:r>
        <w:rPr>
          <w:rFonts w:hint="eastAsia"/>
        </w:rPr>
        <w:t>1999</w:t>
      </w:r>
      <w:r>
        <w:rPr>
          <w:rFonts w:hint="eastAsia"/>
        </w:rPr>
        <w:t>至</w:t>
      </w:r>
      <w:r>
        <w:rPr>
          <w:rFonts w:hint="eastAsia"/>
        </w:rPr>
        <w:t>2003</w:t>
      </w:r>
      <w:r>
        <w:rPr>
          <w:rFonts w:hint="eastAsia"/>
        </w:rPr>
        <w:t>年计划生育和生殖健康国家方案；</w:t>
      </w:r>
    </w:p>
    <w:p w:rsidR="00000000" w:rsidRDefault="00000000">
      <w:pPr>
        <w:pStyle w:val="ac"/>
        <w:ind w:firstLine="29"/>
        <w:rPr>
          <w:rFonts w:hint="eastAsia"/>
        </w:rPr>
      </w:pPr>
      <w:r>
        <w:rPr>
          <w:rFonts w:hint="eastAsia"/>
        </w:rPr>
        <w:t>1999</w:t>
      </w:r>
      <w:r>
        <w:rPr>
          <w:rFonts w:hint="eastAsia"/>
        </w:rPr>
        <w:t>至</w:t>
      </w:r>
      <w:r>
        <w:rPr>
          <w:rFonts w:hint="eastAsia"/>
        </w:rPr>
        <w:t>2003</w:t>
      </w:r>
      <w:r>
        <w:rPr>
          <w:rFonts w:hint="eastAsia"/>
        </w:rPr>
        <w:t>年发展预防性医疗援助国家方案；</w:t>
      </w:r>
    </w:p>
    <w:p w:rsidR="00000000" w:rsidRDefault="00000000">
      <w:pPr>
        <w:pStyle w:val="ac"/>
        <w:ind w:firstLine="29"/>
        <w:rPr>
          <w:rFonts w:hint="eastAsia"/>
        </w:rPr>
      </w:pPr>
      <w:r>
        <w:rPr>
          <w:rFonts w:hint="eastAsia"/>
        </w:rPr>
        <w:t>1998</w:t>
      </w:r>
      <w:r>
        <w:rPr>
          <w:rFonts w:hint="eastAsia"/>
        </w:rPr>
        <w:t>至</w:t>
      </w:r>
      <w:r>
        <w:rPr>
          <w:rFonts w:hint="eastAsia"/>
        </w:rPr>
        <w:t>2003</w:t>
      </w:r>
      <w:r>
        <w:rPr>
          <w:rFonts w:hint="eastAsia"/>
        </w:rPr>
        <w:t>年心血管病预防和控制国家方案；</w:t>
      </w:r>
    </w:p>
    <w:p w:rsidR="00000000" w:rsidRDefault="00000000">
      <w:pPr>
        <w:pStyle w:val="ac"/>
        <w:ind w:firstLine="29"/>
        <w:rPr>
          <w:rFonts w:hint="eastAsia"/>
        </w:rPr>
      </w:pPr>
      <w:r>
        <w:rPr>
          <w:rFonts w:hint="eastAsia"/>
        </w:rPr>
        <w:t>控制甲肝、丙肝和丁型肝炎国家方案；</w:t>
      </w:r>
    </w:p>
    <w:p w:rsidR="00000000" w:rsidRDefault="00000000">
      <w:pPr>
        <w:pStyle w:val="ac"/>
        <w:ind w:firstLine="29"/>
        <w:rPr>
          <w:rFonts w:hint="eastAsia"/>
        </w:rPr>
      </w:pPr>
      <w:r>
        <w:rPr>
          <w:rFonts w:hint="eastAsia"/>
        </w:rPr>
        <w:t>结核病预防和控制国家方案；</w:t>
      </w:r>
    </w:p>
    <w:p w:rsidR="00000000" w:rsidRDefault="00000000">
      <w:pPr>
        <w:pStyle w:val="ac"/>
        <w:ind w:firstLine="29"/>
        <w:rPr>
          <w:rFonts w:hint="eastAsia"/>
        </w:rPr>
      </w:pPr>
      <w:r>
        <w:rPr>
          <w:rFonts w:hint="eastAsia"/>
        </w:rPr>
        <w:t>通过了艾滋病和性病控制措施。</w:t>
      </w:r>
    </w:p>
    <w:p w:rsidR="00000000" w:rsidRDefault="00000000">
      <w:pPr>
        <w:rPr>
          <w:rFonts w:hint="eastAsia"/>
        </w:rPr>
      </w:pPr>
      <w:r>
        <w:rPr>
          <w:rFonts w:hint="eastAsia"/>
        </w:rPr>
        <w:tab/>
        <w:t xml:space="preserve">518.  </w:t>
      </w:r>
      <w:r>
        <w:rPr>
          <w:rFonts w:hint="eastAsia"/>
        </w:rPr>
        <w:t>根据世界银行在</w:t>
      </w:r>
      <w:r>
        <w:rPr>
          <w:rFonts w:hint="eastAsia"/>
        </w:rPr>
        <w:t>1999</w:t>
      </w:r>
      <w:r>
        <w:rPr>
          <w:rFonts w:hint="eastAsia"/>
        </w:rPr>
        <w:t>年进行的一项调查，需要采取以下措施以有效重组摩尔多瓦共和国的医药援助：</w:t>
      </w:r>
    </w:p>
    <w:p w:rsidR="00000000" w:rsidRDefault="00000000">
      <w:pPr>
        <w:numPr>
          <w:ilvl w:val="0"/>
          <w:numId w:val="576"/>
        </w:numPr>
        <w:rPr>
          <w:rFonts w:hint="eastAsia"/>
        </w:rPr>
      </w:pPr>
      <w:r>
        <w:rPr>
          <w:rFonts w:hint="eastAsia"/>
        </w:rPr>
        <w:t>重组医药服务网络，分流三级保健资源用于预防性医药援助；</w:t>
      </w:r>
    </w:p>
    <w:p w:rsidR="00000000" w:rsidRDefault="00000000">
      <w:pPr>
        <w:numPr>
          <w:ilvl w:val="0"/>
          <w:numId w:val="576"/>
        </w:numPr>
        <w:rPr>
          <w:rFonts w:hint="eastAsia"/>
        </w:rPr>
      </w:pPr>
      <w:r>
        <w:rPr>
          <w:rFonts w:hint="eastAsia"/>
        </w:rPr>
        <w:t>通过提供资金建立一个高效的全科医生网络，加强急救网络；</w:t>
      </w:r>
    </w:p>
    <w:p w:rsidR="00000000" w:rsidRDefault="00000000">
      <w:pPr>
        <w:numPr>
          <w:ilvl w:val="0"/>
          <w:numId w:val="576"/>
        </w:numPr>
        <w:rPr>
          <w:rFonts w:hint="eastAsia"/>
        </w:rPr>
      </w:pPr>
      <w:r>
        <w:rPr>
          <w:rFonts w:hint="eastAsia"/>
        </w:rPr>
        <w:t>使非法收入合法化，避免任意或过度的医药服务开支，这对于社会弱势人群来说太昂贵；</w:t>
      </w:r>
    </w:p>
    <w:p w:rsidR="00000000" w:rsidRDefault="00000000">
      <w:pPr>
        <w:numPr>
          <w:ilvl w:val="0"/>
          <w:numId w:val="576"/>
        </w:numPr>
        <w:rPr>
          <w:rFonts w:hint="eastAsia"/>
        </w:rPr>
      </w:pPr>
      <w:r>
        <w:rPr>
          <w:rFonts w:hint="eastAsia"/>
        </w:rPr>
        <w:t>确立一项新的一揽子医药服务制度，与预算资金相符但重点在于初级卫生保健；</w:t>
      </w:r>
    </w:p>
    <w:p w:rsidR="00000000" w:rsidRDefault="00000000">
      <w:pPr>
        <w:numPr>
          <w:ilvl w:val="0"/>
          <w:numId w:val="576"/>
        </w:numPr>
        <w:rPr>
          <w:rFonts w:hint="eastAsia"/>
        </w:rPr>
      </w:pPr>
      <w:r>
        <w:rPr>
          <w:rFonts w:hint="eastAsia"/>
        </w:rPr>
        <w:t>集中管理资金援助，改进资源的部门间分配。</w:t>
      </w:r>
    </w:p>
    <w:p w:rsidR="00000000" w:rsidRDefault="00000000">
      <w:pPr>
        <w:rPr>
          <w:rFonts w:hint="eastAsia"/>
        </w:rPr>
      </w:pPr>
      <w:r>
        <w:rPr>
          <w:rFonts w:hint="eastAsia"/>
        </w:rPr>
        <w:tab/>
        <w:t>519.  1995</w:t>
      </w:r>
      <w:r>
        <w:rPr>
          <w:rFonts w:hint="eastAsia"/>
        </w:rPr>
        <w:t>年</w:t>
      </w:r>
      <w:r>
        <w:rPr>
          <w:rFonts w:hint="eastAsia"/>
        </w:rPr>
        <w:t>3</w:t>
      </w:r>
      <w:r>
        <w:rPr>
          <w:rFonts w:hint="eastAsia"/>
        </w:rPr>
        <w:t>月</w:t>
      </w:r>
      <w:r>
        <w:rPr>
          <w:rFonts w:hint="eastAsia"/>
        </w:rPr>
        <w:t>23</w:t>
      </w:r>
      <w:r>
        <w:rPr>
          <w:rFonts w:hint="eastAsia"/>
        </w:rPr>
        <w:t>日的《保健法》在第</w:t>
      </w:r>
      <w:r>
        <w:rPr>
          <w:rFonts w:hint="eastAsia"/>
        </w:rPr>
        <w:t>3</w:t>
      </w:r>
      <w:r>
        <w:rPr>
          <w:rFonts w:hint="eastAsia"/>
        </w:rPr>
        <w:t>条中规定了保持卫生和有利的生活和工作条件的原则。在有害和不利条件下工作的人们定期进行医疗检查的比例从</w:t>
      </w:r>
      <w:r>
        <w:rPr>
          <w:rFonts w:hint="eastAsia"/>
        </w:rPr>
        <w:t>1998</w:t>
      </w:r>
      <w:r>
        <w:rPr>
          <w:rFonts w:hint="eastAsia"/>
        </w:rPr>
        <w:t>年的</w:t>
      </w:r>
      <w:r>
        <w:rPr>
          <w:rFonts w:hint="eastAsia"/>
        </w:rPr>
        <w:t>82.6%</w:t>
      </w:r>
      <w:r>
        <w:rPr>
          <w:rFonts w:hint="eastAsia"/>
        </w:rPr>
        <w:t>上升到</w:t>
      </w:r>
      <w:r>
        <w:rPr>
          <w:rFonts w:hint="eastAsia"/>
        </w:rPr>
        <w:t>1999</w:t>
      </w:r>
      <w:r>
        <w:rPr>
          <w:rFonts w:hint="eastAsia"/>
        </w:rPr>
        <w:t>年的约</w:t>
      </w:r>
      <w:r>
        <w:rPr>
          <w:rFonts w:hint="eastAsia"/>
        </w:rPr>
        <w:t>85.7%</w:t>
      </w:r>
      <w:r>
        <w:rPr>
          <w:rFonts w:hint="eastAsia"/>
        </w:rPr>
        <w:t>，但在农业中这一数字从</w:t>
      </w:r>
      <w:r>
        <w:rPr>
          <w:rFonts w:hint="eastAsia"/>
        </w:rPr>
        <w:t>1998</w:t>
      </w:r>
      <w:r>
        <w:rPr>
          <w:rFonts w:hint="eastAsia"/>
        </w:rPr>
        <w:t>年的</w:t>
      </w:r>
      <w:r>
        <w:rPr>
          <w:rFonts w:hint="eastAsia"/>
        </w:rPr>
        <w:t>76.5%</w:t>
      </w:r>
      <w:r>
        <w:rPr>
          <w:rFonts w:hint="eastAsia"/>
        </w:rPr>
        <w:t>下降到</w:t>
      </w:r>
      <w:r>
        <w:rPr>
          <w:rFonts w:hint="eastAsia"/>
        </w:rPr>
        <w:t>70.5%</w:t>
      </w:r>
      <w:r>
        <w:rPr>
          <w:rFonts w:hint="eastAsia"/>
        </w:rPr>
        <w:t>。</w:t>
      </w:r>
    </w:p>
    <w:p w:rsidR="00000000" w:rsidRDefault="00000000">
      <w:pPr>
        <w:rPr>
          <w:rFonts w:hint="eastAsia"/>
        </w:rPr>
      </w:pPr>
      <w:r>
        <w:rPr>
          <w:rFonts w:hint="eastAsia"/>
        </w:rPr>
        <w:tab/>
        <w:t>520.  1993</w:t>
      </w:r>
      <w:r>
        <w:rPr>
          <w:rFonts w:hint="eastAsia"/>
        </w:rPr>
        <w:t>年</w:t>
      </w:r>
      <w:r>
        <w:rPr>
          <w:rFonts w:hint="eastAsia"/>
        </w:rPr>
        <w:t>6</w:t>
      </w:r>
      <w:r>
        <w:rPr>
          <w:rFonts w:hint="eastAsia"/>
        </w:rPr>
        <w:t>月</w:t>
      </w:r>
      <w:r>
        <w:rPr>
          <w:rFonts w:hint="eastAsia"/>
        </w:rPr>
        <w:t>16</w:t>
      </w:r>
      <w:r>
        <w:rPr>
          <w:rFonts w:hint="eastAsia"/>
        </w:rPr>
        <w:t>日的《人口卫生流行病保护法》规定了卫生保健体系。这部法律通过了</w:t>
      </w:r>
      <w:r>
        <w:rPr>
          <w:rFonts w:hint="eastAsia"/>
        </w:rPr>
        <w:t>2000</w:t>
      </w:r>
      <w:r>
        <w:rPr>
          <w:rFonts w:hint="eastAsia"/>
        </w:rPr>
        <w:t>年</w:t>
      </w:r>
      <w:r>
        <w:rPr>
          <w:rFonts w:hint="eastAsia"/>
        </w:rPr>
        <w:t>5</w:t>
      </w:r>
      <w:r>
        <w:rPr>
          <w:rFonts w:hint="eastAsia"/>
        </w:rPr>
        <w:t>月</w:t>
      </w:r>
      <w:r>
        <w:rPr>
          <w:rFonts w:hint="eastAsia"/>
        </w:rPr>
        <w:t>3</w:t>
      </w:r>
      <w:r>
        <w:rPr>
          <w:rFonts w:hint="eastAsia"/>
        </w:rPr>
        <w:t>日关于在摩尔多瓦共和国内实施国家卫生流行病监督的条例，条例规定：</w:t>
      </w:r>
    </w:p>
    <w:p w:rsidR="00000000" w:rsidRDefault="00000000">
      <w:pPr>
        <w:pStyle w:val="ac"/>
        <w:ind w:firstLine="29"/>
        <w:rPr>
          <w:rFonts w:hint="eastAsia"/>
        </w:rPr>
      </w:pPr>
      <w:r>
        <w:rPr>
          <w:rFonts w:hint="eastAsia"/>
        </w:rPr>
        <w:t>实行预防和防疫措施；扩大人口对各类疾病的免疫接种；</w:t>
      </w:r>
    </w:p>
    <w:p w:rsidR="00000000" w:rsidRDefault="00000000">
      <w:pPr>
        <w:pStyle w:val="ac"/>
        <w:ind w:firstLine="29"/>
        <w:rPr>
          <w:rFonts w:hint="eastAsia"/>
        </w:rPr>
      </w:pPr>
      <w:r>
        <w:rPr>
          <w:rFonts w:hint="eastAsia"/>
        </w:rPr>
        <w:t>保证食品的安全生产和运输；</w:t>
      </w:r>
    </w:p>
    <w:p w:rsidR="00000000" w:rsidRDefault="00000000">
      <w:pPr>
        <w:pStyle w:val="ac"/>
        <w:ind w:left="1170" w:firstLine="390"/>
        <w:rPr>
          <w:rFonts w:hint="eastAsia"/>
        </w:rPr>
      </w:pPr>
      <w:r>
        <w:rPr>
          <w:rFonts w:hint="eastAsia"/>
        </w:rPr>
        <w:t>向人们提供关于国内卫生和流行病情况关键因素的完整、客观和真实的信息。</w:t>
      </w:r>
    </w:p>
    <w:p w:rsidR="00000000" w:rsidRDefault="00000000">
      <w:pPr>
        <w:rPr>
          <w:rFonts w:hint="eastAsia"/>
        </w:rPr>
      </w:pPr>
      <w:r>
        <w:rPr>
          <w:rFonts w:hint="eastAsia"/>
        </w:rPr>
        <w:tab/>
        <w:t>521.  1999</w:t>
      </w:r>
      <w:r>
        <w:rPr>
          <w:rFonts w:hint="eastAsia"/>
        </w:rPr>
        <w:t>年，饮用水质量继续恶化。这样</w:t>
      </w:r>
      <w:r>
        <w:t>，</w:t>
      </w:r>
      <w:r>
        <w:rPr>
          <w:rFonts w:hint="eastAsia"/>
        </w:rPr>
        <w:t>地下水检测的卫生化学指标升至</w:t>
      </w:r>
      <w:r>
        <w:rPr>
          <w:rFonts w:hint="eastAsia"/>
        </w:rPr>
        <w:t>49.9%</w:t>
      </w:r>
      <w:r>
        <w:rPr>
          <w:rFonts w:hint="eastAsia"/>
        </w:rPr>
        <w:t>。最严重的情况发生在</w:t>
      </w:r>
      <w:r>
        <w:t>Ungheni</w:t>
      </w:r>
      <w:r>
        <w:rPr>
          <w:rFonts w:hint="eastAsia"/>
        </w:rPr>
        <w:t>县</w:t>
      </w:r>
      <w:r>
        <w:rPr>
          <w:rFonts w:hint="eastAsia"/>
        </w:rPr>
        <w:t>(82%)</w:t>
      </w:r>
      <w:r>
        <w:rPr>
          <w:rFonts w:hint="eastAsia"/>
        </w:rPr>
        <w:t>，</w:t>
      </w:r>
      <w:r>
        <w:t>TAU Gagauzia</w:t>
      </w:r>
      <w:r>
        <w:rPr>
          <w:rFonts w:hint="eastAsia"/>
        </w:rPr>
        <w:t xml:space="preserve"> (65%)</w:t>
      </w:r>
      <w:r>
        <w:rPr>
          <w:rFonts w:hint="eastAsia"/>
        </w:rPr>
        <w:t>，</w:t>
      </w:r>
      <w:r>
        <w:t>Tarclia</w:t>
      </w:r>
      <w:r>
        <w:rPr>
          <w:rFonts w:hint="eastAsia"/>
        </w:rPr>
        <w:t xml:space="preserve"> (58%)</w:t>
      </w:r>
      <w:r>
        <w:rPr>
          <w:rFonts w:hint="eastAsia"/>
        </w:rPr>
        <w:t>和涅斯特鲁河左岸的</w:t>
      </w:r>
      <w:r>
        <w:t>Ribnita</w:t>
      </w:r>
      <w:r>
        <w:rPr>
          <w:rFonts w:hint="eastAsia"/>
        </w:rPr>
        <w:t>和</w:t>
      </w:r>
      <w:r>
        <w:t>Slobozia</w:t>
      </w:r>
      <w:r>
        <w:rPr>
          <w:rFonts w:hint="eastAsia"/>
        </w:rPr>
        <w:t>地区。</w:t>
      </w:r>
      <w:r>
        <w:rPr>
          <w:rFonts w:hint="eastAsia"/>
        </w:rPr>
        <w:t>1999</w:t>
      </w:r>
      <w:r>
        <w:rPr>
          <w:rFonts w:hint="eastAsia"/>
        </w:rPr>
        <w:t>年禁止了修建不符合卫生标准的建筑。同年，在</w:t>
      </w:r>
      <w:r>
        <w:rPr>
          <w:rFonts w:hint="eastAsia"/>
        </w:rPr>
        <w:t>826</w:t>
      </w:r>
      <w:r>
        <w:rPr>
          <w:rFonts w:hint="eastAsia"/>
        </w:rPr>
        <w:t>座使用的建筑中，有</w:t>
      </w:r>
      <w:r>
        <w:rPr>
          <w:rFonts w:hint="eastAsia"/>
        </w:rPr>
        <w:t>5</w:t>
      </w:r>
      <w:r>
        <w:rPr>
          <w:rFonts w:hint="eastAsia"/>
        </w:rPr>
        <w:t>座由于严重背离卫生标准而未获批准。由于不符合卫生标准而遭停建的情况在</w:t>
      </w:r>
      <w:r>
        <w:t>Baltsi</w:t>
      </w:r>
      <w:r>
        <w:rPr>
          <w:rFonts w:hint="eastAsia"/>
        </w:rPr>
        <w:t>县有两例，在</w:t>
      </w:r>
      <w:r>
        <w:t>Chisinau</w:t>
      </w:r>
      <w:r>
        <w:rPr>
          <w:rFonts w:hint="eastAsia"/>
        </w:rPr>
        <w:t>县有</w:t>
      </w:r>
      <w:r>
        <w:rPr>
          <w:rFonts w:hint="eastAsia"/>
        </w:rPr>
        <w:t>4</w:t>
      </w:r>
      <w:r>
        <w:rPr>
          <w:rFonts w:hint="eastAsia"/>
        </w:rPr>
        <w:t>例。</w:t>
      </w:r>
    </w:p>
    <w:p w:rsidR="00000000" w:rsidRDefault="00000000">
      <w:pPr>
        <w:rPr>
          <w:rFonts w:hint="eastAsia"/>
        </w:rPr>
      </w:pPr>
      <w:r>
        <w:rPr>
          <w:rFonts w:hint="eastAsia"/>
        </w:rPr>
        <w:tab/>
        <w:t xml:space="preserve">522.  </w:t>
      </w:r>
      <w:r>
        <w:rPr>
          <w:rFonts w:hint="eastAsia"/>
        </w:rPr>
        <w:t>获得上述条例授权的机构负责实施预防、治疗和控制流行病、地方病和其他类疾病的措施。摩尔多瓦共和国卫生部组织流行病卫生领域的科学研究，控制实施人口卫生和流行病援助国家方案以及疾病预防领域的技术科学成就应用，详细拟订免疫预防领域的国家政策，组织生产和购买疫苗、盐类和细菌标本</w:t>
      </w:r>
      <w:r>
        <w:rPr>
          <w:rFonts w:hint="eastAsia"/>
        </w:rPr>
        <w:t>(</w:t>
      </w:r>
      <w:r>
        <w:rPr>
          <w:rFonts w:hint="eastAsia"/>
        </w:rPr>
        <w:t>用于诊断和治疗目的</w:t>
      </w:r>
      <w:r>
        <w:rPr>
          <w:rFonts w:hint="eastAsia"/>
        </w:rPr>
        <w:t>)</w:t>
      </w:r>
      <w:r>
        <w:rPr>
          <w:rFonts w:hint="eastAsia"/>
        </w:rPr>
        <w:t>，实施质量控制等等。</w:t>
      </w:r>
    </w:p>
    <w:p w:rsidR="00000000" w:rsidRDefault="00000000">
      <w:pPr>
        <w:rPr>
          <w:rFonts w:hint="eastAsia"/>
        </w:rPr>
      </w:pPr>
      <w:r>
        <w:rPr>
          <w:rFonts w:hint="eastAsia"/>
        </w:rPr>
        <w:tab/>
        <w:t>523.  1998</w:t>
      </w:r>
      <w:r>
        <w:rPr>
          <w:rFonts w:hint="eastAsia"/>
        </w:rPr>
        <w:t>年</w:t>
      </w:r>
      <w:r>
        <w:rPr>
          <w:rFonts w:hint="eastAsia"/>
        </w:rPr>
        <w:t>3</w:t>
      </w:r>
      <w:r>
        <w:rPr>
          <w:rFonts w:hint="eastAsia"/>
        </w:rPr>
        <w:t>月</w:t>
      </w:r>
      <w:r>
        <w:rPr>
          <w:rFonts w:hint="eastAsia"/>
        </w:rPr>
        <w:t>9</w:t>
      </w:r>
      <w:r>
        <w:rPr>
          <w:rFonts w:hint="eastAsia"/>
        </w:rPr>
        <w:t>日通过的关于对自然和技术情况进行预防、通知和分类并增加政府干预的体系的政府决定规定了流行病控制措施。该决定通过详细制订并改善原材料、食品和饮用水的化验和鉴定制度来实施。</w:t>
      </w:r>
    </w:p>
    <w:p w:rsidR="00000000" w:rsidRDefault="00000000">
      <w:pPr>
        <w:rPr>
          <w:rFonts w:hint="eastAsia"/>
        </w:rPr>
      </w:pPr>
      <w:r>
        <w:rPr>
          <w:rFonts w:hint="eastAsia"/>
        </w:rPr>
        <w:tab/>
        <w:t>524.  1998</w:t>
      </w:r>
      <w:r>
        <w:rPr>
          <w:rFonts w:hint="eastAsia"/>
        </w:rPr>
        <w:t>年</w:t>
      </w:r>
      <w:r>
        <w:rPr>
          <w:rFonts w:hint="eastAsia"/>
        </w:rPr>
        <w:t>2</w:t>
      </w:r>
      <w:r>
        <w:rPr>
          <w:rFonts w:hint="eastAsia"/>
        </w:rPr>
        <w:t>月</w:t>
      </w:r>
      <w:r>
        <w:rPr>
          <w:rFonts w:hint="eastAsia"/>
        </w:rPr>
        <w:t>27</w:t>
      </w:r>
      <w:r>
        <w:rPr>
          <w:rFonts w:hint="eastAsia"/>
        </w:rPr>
        <w:t>日的《义务医疗保险法》规定，因工伤事故而丧失工作能力或致残的工薪人员享受医疗照顾。治疗费用由职工所在机构负担。</w:t>
      </w:r>
    </w:p>
    <w:p w:rsidR="00000000" w:rsidRDefault="00000000">
      <w:pPr>
        <w:rPr>
          <w:rFonts w:hint="eastAsia"/>
        </w:rPr>
      </w:pPr>
      <w:r>
        <w:rPr>
          <w:rFonts w:hint="eastAsia"/>
        </w:rPr>
        <w:tab/>
        <w:t xml:space="preserve">525.  </w:t>
      </w:r>
      <w:r>
        <w:rPr>
          <w:rFonts w:hint="eastAsia"/>
        </w:rPr>
        <w:t>由于经济形势复杂，不可能对老年人降低医药价格。养老金负担不了《最低免费医疗援助法》以外的医疗服务开支。根据《保健法》，国家通过一些综合方案向老年人提供医疗社会援助。</w:t>
      </w:r>
    </w:p>
    <w:p w:rsidR="00000000" w:rsidRDefault="00000000">
      <w:pPr>
        <w:rPr>
          <w:rFonts w:hint="eastAsia"/>
        </w:rPr>
      </w:pPr>
      <w:r>
        <w:rPr>
          <w:rFonts w:hint="eastAsia"/>
        </w:rPr>
        <w:tab/>
        <w:t xml:space="preserve">526.  </w:t>
      </w:r>
      <w:r>
        <w:rPr>
          <w:rFonts w:hint="eastAsia"/>
        </w:rPr>
        <w:t>国家卫生政策的一个主要方向是，向社会提供保健咨询并使社会参与保健事业。《保健法》第</w:t>
      </w:r>
      <w:r>
        <w:rPr>
          <w:rFonts w:hint="eastAsia"/>
        </w:rPr>
        <w:t>18</w:t>
      </w:r>
      <w:r>
        <w:rPr>
          <w:rFonts w:hint="eastAsia"/>
        </w:rPr>
        <w:t>条规定，卫生部有义务对人口进行卫生教育。该法还规定了对本人健康自负其责的原则。</w:t>
      </w:r>
    </w:p>
    <w:p w:rsidR="00000000" w:rsidRDefault="00000000">
      <w:pPr>
        <w:rPr>
          <w:rFonts w:hint="eastAsia"/>
        </w:rPr>
      </w:pPr>
      <w:r>
        <w:rPr>
          <w:rFonts w:hint="eastAsia"/>
        </w:rPr>
        <w:tab/>
        <w:t xml:space="preserve">527.  </w:t>
      </w:r>
      <w:r>
        <w:rPr>
          <w:rFonts w:hint="eastAsia"/>
        </w:rPr>
        <w:t>在《里约宣言》发布后通过的未来</w:t>
      </w:r>
      <w:r>
        <w:rPr>
          <w:rFonts w:hint="eastAsia"/>
        </w:rPr>
        <w:t>20</w:t>
      </w:r>
      <w:r>
        <w:rPr>
          <w:rFonts w:hint="eastAsia"/>
        </w:rPr>
        <w:t>年的《持久发展国家战略》提出摩尔多瓦共和国应以如下为目标：</w:t>
      </w:r>
    </w:p>
    <w:p w:rsidR="00000000" w:rsidRDefault="00000000">
      <w:pPr>
        <w:numPr>
          <w:ilvl w:val="0"/>
          <w:numId w:val="577"/>
        </w:numPr>
        <w:rPr>
          <w:rFonts w:hint="eastAsia"/>
        </w:rPr>
      </w:pPr>
      <w:r>
        <w:rPr>
          <w:rFonts w:hint="eastAsia"/>
        </w:rPr>
        <w:t>规定人人享有健康和平等获得卫生保健的基本权利；</w:t>
      </w:r>
    </w:p>
    <w:p w:rsidR="00000000" w:rsidRDefault="00000000">
      <w:pPr>
        <w:numPr>
          <w:ilvl w:val="0"/>
          <w:numId w:val="577"/>
        </w:numPr>
        <w:rPr>
          <w:rFonts w:hint="eastAsia"/>
        </w:rPr>
      </w:pPr>
      <w:r>
        <w:rPr>
          <w:rFonts w:hint="eastAsia"/>
        </w:rPr>
        <w:t>将预期寿命增加一或两年；</w:t>
      </w:r>
    </w:p>
    <w:p w:rsidR="00000000" w:rsidRDefault="00000000">
      <w:pPr>
        <w:numPr>
          <w:ilvl w:val="0"/>
          <w:numId w:val="577"/>
        </w:numPr>
        <w:rPr>
          <w:rFonts w:hint="eastAsia"/>
        </w:rPr>
      </w:pPr>
      <w:r>
        <w:rPr>
          <w:rFonts w:hint="eastAsia"/>
        </w:rPr>
        <w:t>改善生活质量，降低生病率，提高医疗体系的效率。</w:t>
      </w:r>
    </w:p>
    <w:p w:rsidR="00000000" w:rsidRDefault="00000000">
      <w:pPr>
        <w:rPr>
          <w:rFonts w:hint="eastAsia"/>
        </w:rPr>
      </w:pPr>
      <w:r>
        <w:rPr>
          <w:rFonts w:hint="eastAsia"/>
        </w:rPr>
        <w:tab/>
        <w:t xml:space="preserve">528.  </w:t>
      </w:r>
      <w:r>
        <w:rPr>
          <w:rFonts w:hint="eastAsia"/>
        </w:rPr>
        <w:t>应当采取的行动是：</w:t>
      </w:r>
    </w:p>
    <w:p w:rsidR="00000000" w:rsidRDefault="00000000">
      <w:pPr>
        <w:numPr>
          <w:ilvl w:val="0"/>
          <w:numId w:val="578"/>
        </w:numPr>
        <w:rPr>
          <w:rFonts w:hint="eastAsia"/>
        </w:rPr>
      </w:pPr>
      <w:r>
        <w:rPr>
          <w:rFonts w:hint="eastAsia"/>
        </w:rPr>
        <w:t>加快卫生体系的改革进程，下放资金的征收和利用权；</w:t>
      </w:r>
    </w:p>
    <w:p w:rsidR="00000000" w:rsidRDefault="00000000">
      <w:pPr>
        <w:numPr>
          <w:ilvl w:val="0"/>
          <w:numId w:val="578"/>
        </w:numPr>
        <w:rPr>
          <w:rFonts w:hint="eastAsia"/>
        </w:rPr>
      </w:pPr>
      <w:r>
        <w:rPr>
          <w:rFonts w:hint="eastAsia"/>
        </w:rPr>
        <w:t>加强预防性医疗保健，这被认为是最有效和最廉价的保健方式；</w:t>
      </w:r>
    </w:p>
    <w:p w:rsidR="00000000" w:rsidRDefault="00000000">
      <w:pPr>
        <w:numPr>
          <w:ilvl w:val="0"/>
          <w:numId w:val="578"/>
        </w:numPr>
        <w:rPr>
          <w:rFonts w:hint="eastAsia"/>
        </w:rPr>
      </w:pPr>
      <w:r>
        <w:rPr>
          <w:rFonts w:hint="eastAsia"/>
        </w:rPr>
        <w:t>增加用于预防和康复服务的资金；</w:t>
      </w:r>
    </w:p>
    <w:p w:rsidR="00000000" w:rsidRDefault="00000000">
      <w:pPr>
        <w:numPr>
          <w:ilvl w:val="0"/>
          <w:numId w:val="578"/>
        </w:numPr>
        <w:rPr>
          <w:rFonts w:hint="eastAsia"/>
        </w:rPr>
      </w:pPr>
      <w:r>
        <w:rPr>
          <w:rFonts w:hint="eastAsia"/>
        </w:rPr>
        <w:t>改革二级和三级医疗援助部门；</w:t>
      </w:r>
    </w:p>
    <w:p w:rsidR="00000000" w:rsidRDefault="00000000">
      <w:pPr>
        <w:numPr>
          <w:ilvl w:val="0"/>
          <w:numId w:val="578"/>
        </w:numPr>
        <w:rPr>
          <w:rFonts w:hint="eastAsia"/>
        </w:rPr>
      </w:pPr>
      <w:r>
        <w:rPr>
          <w:rFonts w:hint="eastAsia"/>
        </w:rPr>
        <w:t>扩大私有部门医疗服务；</w:t>
      </w:r>
    </w:p>
    <w:p w:rsidR="00000000" w:rsidRDefault="00000000">
      <w:pPr>
        <w:numPr>
          <w:ilvl w:val="0"/>
          <w:numId w:val="578"/>
        </w:numPr>
        <w:rPr>
          <w:rFonts w:hint="eastAsia"/>
        </w:rPr>
      </w:pPr>
      <w:r>
        <w:rPr>
          <w:rFonts w:hint="eastAsia"/>
        </w:rPr>
        <w:t>解决心血管、肿瘤和肝炎问题；</w:t>
      </w:r>
    </w:p>
    <w:p w:rsidR="00000000" w:rsidRDefault="00000000">
      <w:pPr>
        <w:numPr>
          <w:ilvl w:val="0"/>
          <w:numId w:val="578"/>
        </w:numPr>
        <w:rPr>
          <w:rFonts w:hint="eastAsia"/>
        </w:rPr>
      </w:pPr>
      <w:r>
        <w:rPr>
          <w:rFonts w:hint="eastAsia"/>
        </w:rPr>
        <w:t>通过降低婴儿和产妇死亡率，提高成活率；</w:t>
      </w:r>
    </w:p>
    <w:p w:rsidR="00000000" w:rsidRDefault="00000000">
      <w:pPr>
        <w:numPr>
          <w:ilvl w:val="0"/>
          <w:numId w:val="578"/>
        </w:numPr>
        <w:rPr>
          <w:rFonts w:hint="eastAsia"/>
        </w:rPr>
      </w:pPr>
      <w:r>
        <w:rPr>
          <w:rFonts w:hint="eastAsia"/>
        </w:rPr>
        <w:t>通过预防性医疗保健、学校教育和媒体宣传，提倡健康生活方式和合理营养原则；</w:t>
      </w:r>
    </w:p>
    <w:p w:rsidR="00000000" w:rsidRDefault="00000000">
      <w:pPr>
        <w:numPr>
          <w:ilvl w:val="0"/>
          <w:numId w:val="578"/>
        </w:numPr>
        <w:spacing w:after="320"/>
        <w:rPr>
          <w:rFonts w:hint="eastAsia"/>
        </w:rPr>
      </w:pPr>
      <w:r>
        <w:rPr>
          <w:rFonts w:hint="eastAsia"/>
        </w:rPr>
        <w:t>根据医疗援助体系的重组改革医学教育。</w:t>
      </w:r>
    </w:p>
    <w:p w:rsidR="00000000" w:rsidRDefault="00000000">
      <w:pPr>
        <w:pStyle w:val="Heading3"/>
        <w:rPr>
          <w:rFonts w:hint="eastAsia"/>
        </w:rPr>
      </w:pPr>
      <w:r>
        <w:rPr>
          <w:rFonts w:hint="eastAsia"/>
        </w:rPr>
        <w:t>第</w:t>
      </w:r>
      <w:r>
        <w:rPr>
          <w:rFonts w:hint="eastAsia"/>
        </w:rPr>
        <w:t xml:space="preserve"> </w:t>
      </w:r>
      <w:r>
        <w:rPr>
          <w:rFonts w:hint="eastAsia"/>
        </w:rPr>
        <w:t>十三</w:t>
      </w:r>
      <w:r>
        <w:rPr>
          <w:rFonts w:hint="eastAsia"/>
        </w:rPr>
        <w:t xml:space="preserve"> </w:t>
      </w:r>
      <w:r>
        <w:rPr>
          <w:rFonts w:hint="eastAsia"/>
        </w:rPr>
        <w:t>条</w:t>
      </w:r>
    </w:p>
    <w:p w:rsidR="00000000" w:rsidRDefault="00000000">
      <w:pPr>
        <w:pStyle w:val="Heading4"/>
        <w:rPr>
          <w:rFonts w:hint="eastAsia"/>
        </w:rPr>
      </w:pPr>
      <w:r>
        <w:rPr>
          <w:rFonts w:hint="eastAsia"/>
        </w:rPr>
        <w:t>教育体系的结构和目标</w:t>
      </w:r>
    </w:p>
    <w:p w:rsidR="00000000" w:rsidRDefault="00000000">
      <w:pPr>
        <w:rPr>
          <w:rFonts w:hint="eastAsia"/>
        </w:rPr>
      </w:pPr>
      <w:r>
        <w:rPr>
          <w:rFonts w:hint="eastAsia"/>
        </w:rPr>
        <w:tab/>
        <w:t xml:space="preserve">529.  </w:t>
      </w:r>
      <w:r>
        <w:rPr>
          <w:rFonts w:hint="eastAsia"/>
        </w:rPr>
        <w:t>国家《教育法》规定，人们不分民族、性别、年龄、出身、社会地位、政治观点、宗教或刑事犯罪前科，享有受教育的权利。</w:t>
      </w:r>
    </w:p>
    <w:p w:rsidR="00000000" w:rsidRDefault="00000000">
      <w:pPr>
        <w:rPr>
          <w:rFonts w:hint="eastAsia"/>
        </w:rPr>
      </w:pPr>
      <w:r>
        <w:rPr>
          <w:rFonts w:hint="eastAsia"/>
        </w:rPr>
        <w:tab/>
        <w:t xml:space="preserve">530.  </w:t>
      </w:r>
      <w:r>
        <w:rPr>
          <w:rFonts w:hint="eastAsia"/>
        </w:rPr>
        <w:t>在摩尔多瓦共和国，《儿童权利法》和《教育法》确立了儿童有受教育的权利。这项权利有以下</w:t>
      </w:r>
      <w:r>
        <w:rPr>
          <w:rFonts w:hint="eastAsia"/>
        </w:rPr>
        <w:t>3</w:t>
      </w:r>
      <w:r>
        <w:rPr>
          <w:rFonts w:hint="eastAsia"/>
        </w:rPr>
        <w:t>种形式：</w:t>
      </w:r>
    </w:p>
    <w:p w:rsidR="00000000" w:rsidRDefault="00000000">
      <w:pPr>
        <w:numPr>
          <w:ilvl w:val="0"/>
          <w:numId w:val="579"/>
        </w:numPr>
        <w:rPr>
          <w:rFonts w:hint="eastAsia"/>
        </w:rPr>
      </w:pPr>
      <w:r>
        <w:rPr>
          <w:rFonts w:hint="eastAsia"/>
        </w:rPr>
        <w:t>根据法规，每个儿童都有权在综合学校、职业学校、高中、学院或高等教育机构接受免费教育；</w:t>
      </w:r>
    </w:p>
    <w:p w:rsidR="00000000" w:rsidRDefault="00000000">
      <w:pPr>
        <w:numPr>
          <w:ilvl w:val="0"/>
          <w:numId w:val="579"/>
        </w:numPr>
        <w:rPr>
          <w:rFonts w:hint="eastAsia"/>
        </w:rPr>
      </w:pPr>
      <w:r>
        <w:rPr>
          <w:rFonts w:hint="eastAsia"/>
        </w:rPr>
        <w:t>身体残疾儿童有权在专门学校接受教育；</w:t>
      </w:r>
    </w:p>
    <w:p w:rsidR="00000000" w:rsidRDefault="00000000">
      <w:pPr>
        <w:numPr>
          <w:ilvl w:val="0"/>
          <w:numId w:val="579"/>
        </w:numPr>
        <w:rPr>
          <w:rFonts w:hint="eastAsia"/>
        </w:rPr>
      </w:pPr>
      <w:r>
        <w:rPr>
          <w:rFonts w:hint="eastAsia"/>
        </w:rPr>
        <w:t>孤儿或没有父母照顾的儿童有权在所有教育机构接受教育并免除生活费用。</w:t>
      </w:r>
    </w:p>
    <w:p w:rsidR="00000000" w:rsidRDefault="00000000">
      <w:pPr>
        <w:rPr>
          <w:rFonts w:hint="eastAsia"/>
        </w:rPr>
      </w:pPr>
      <w:r>
        <w:rPr>
          <w:rFonts w:hint="eastAsia"/>
        </w:rPr>
        <w:tab/>
        <w:t xml:space="preserve">531.  </w:t>
      </w:r>
      <w:r>
        <w:rPr>
          <w:rFonts w:hint="eastAsia"/>
        </w:rPr>
        <w:t>根据教育法第</w:t>
      </w:r>
      <w:r>
        <w:rPr>
          <w:rFonts w:hint="eastAsia"/>
        </w:rPr>
        <w:t>12</w:t>
      </w:r>
      <w:r>
        <w:rPr>
          <w:rFonts w:hint="eastAsia"/>
        </w:rPr>
        <w:t>条，教育体系按阶段和年级组成，结构如下：</w:t>
      </w:r>
    </w:p>
    <w:p w:rsidR="00000000" w:rsidRDefault="00000000">
      <w:pPr>
        <w:pStyle w:val="ac"/>
        <w:ind w:left="2290"/>
        <w:rPr>
          <w:rFonts w:hint="eastAsia"/>
        </w:rPr>
      </w:pPr>
      <w:r>
        <w:rPr>
          <w:rFonts w:hint="eastAsia"/>
        </w:rPr>
        <w:t>学前教育；</w:t>
      </w:r>
    </w:p>
    <w:p w:rsidR="00000000" w:rsidRDefault="00000000">
      <w:pPr>
        <w:pStyle w:val="ac"/>
        <w:ind w:left="2290"/>
        <w:rPr>
          <w:rFonts w:hint="eastAsia"/>
        </w:rPr>
      </w:pPr>
      <w:r>
        <w:rPr>
          <w:rFonts w:hint="eastAsia"/>
        </w:rPr>
        <w:t>初等教育；</w:t>
      </w:r>
    </w:p>
    <w:p w:rsidR="00000000" w:rsidRDefault="00000000">
      <w:pPr>
        <w:pStyle w:val="ac"/>
        <w:ind w:left="2290"/>
        <w:rPr>
          <w:rFonts w:hint="eastAsia"/>
        </w:rPr>
      </w:pPr>
      <w:r>
        <w:rPr>
          <w:rFonts w:hint="eastAsia"/>
        </w:rPr>
        <w:t>中等教育：</w:t>
      </w:r>
    </w:p>
    <w:p w:rsidR="00000000" w:rsidRDefault="00000000">
      <w:pPr>
        <w:numPr>
          <w:ilvl w:val="0"/>
          <w:numId w:val="589"/>
        </w:numPr>
        <w:tabs>
          <w:tab w:val="decimal" w:pos="3465"/>
        </w:tabs>
        <w:ind w:left="3780" w:hanging="525"/>
      </w:pPr>
      <w:r>
        <w:rPr>
          <w:rFonts w:hint="eastAsia"/>
        </w:rPr>
        <w:t>综合性教育：</w:t>
      </w:r>
    </w:p>
    <w:p w:rsidR="00000000" w:rsidRDefault="00000000">
      <w:pPr>
        <w:pStyle w:val="ac"/>
        <w:numPr>
          <w:ilvl w:val="2"/>
          <w:numId w:val="582"/>
        </w:numPr>
        <w:ind w:left="4137"/>
        <w:rPr>
          <w:rFonts w:hint="eastAsia"/>
        </w:rPr>
      </w:pPr>
      <w:r>
        <w:rPr>
          <w:rFonts w:hint="eastAsia"/>
        </w:rPr>
        <w:t>初中教育；</w:t>
      </w:r>
    </w:p>
    <w:p w:rsidR="00000000" w:rsidRDefault="00000000">
      <w:pPr>
        <w:pStyle w:val="ac"/>
        <w:numPr>
          <w:ilvl w:val="2"/>
          <w:numId w:val="582"/>
        </w:numPr>
        <w:ind w:left="4137"/>
        <w:rPr>
          <w:rFonts w:hint="eastAsia"/>
        </w:rPr>
      </w:pPr>
      <w:r>
        <w:rPr>
          <w:rFonts w:hint="eastAsia"/>
        </w:rPr>
        <w:t>高中教育；</w:t>
      </w:r>
    </w:p>
    <w:p w:rsidR="00000000" w:rsidRDefault="00000000">
      <w:pPr>
        <w:numPr>
          <w:ilvl w:val="0"/>
          <w:numId w:val="589"/>
        </w:numPr>
        <w:tabs>
          <w:tab w:val="left" w:pos="3465"/>
        </w:tabs>
        <w:ind w:left="3780" w:hanging="525"/>
        <w:rPr>
          <w:rFonts w:hint="eastAsia"/>
        </w:rPr>
      </w:pPr>
      <w:r>
        <w:rPr>
          <w:rFonts w:hint="eastAsia"/>
        </w:rPr>
        <w:t>职业教育；</w:t>
      </w:r>
    </w:p>
    <w:p w:rsidR="00000000" w:rsidRDefault="00000000">
      <w:pPr>
        <w:pStyle w:val="ac"/>
        <w:ind w:left="2290"/>
        <w:rPr>
          <w:rFonts w:hint="eastAsia"/>
        </w:rPr>
      </w:pPr>
      <w:r>
        <w:rPr>
          <w:rFonts w:hint="eastAsia"/>
        </w:rPr>
        <w:t>高等教育：</w:t>
      </w:r>
    </w:p>
    <w:p w:rsidR="00000000" w:rsidRDefault="00000000">
      <w:pPr>
        <w:numPr>
          <w:ilvl w:val="0"/>
          <w:numId w:val="590"/>
        </w:numPr>
        <w:ind w:left="3465" w:hanging="210"/>
        <w:rPr>
          <w:rFonts w:hint="eastAsia"/>
        </w:rPr>
      </w:pPr>
      <w:r>
        <w:rPr>
          <w:rFonts w:hint="eastAsia"/>
        </w:rPr>
        <w:t>短期教育</w:t>
      </w:r>
      <w:r>
        <w:rPr>
          <w:rFonts w:hint="eastAsia"/>
        </w:rPr>
        <w:t>(</w:t>
      </w:r>
      <w:r>
        <w:rPr>
          <w:rFonts w:hint="eastAsia"/>
        </w:rPr>
        <w:t>学院</w:t>
      </w:r>
      <w:r>
        <w:rPr>
          <w:rFonts w:hint="eastAsia"/>
        </w:rPr>
        <w:t>)</w:t>
      </w:r>
      <w:r>
        <w:rPr>
          <w:rFonts w:hint="eastAsia"/>
        </w:rPr>
        <w:t>；</w:t>
      </w:r>
    </w:p>
    <w:p w:rsidR="00000000" w:rsidRDefault="00000000">
      <w:pPr>
        <w:numPr>
          <w:ilvl w:val="0"/>
          <w:numId w:val="590"/>
        </w:numPr>
        <w:ind w:left="3465" w:hanging="210"/>
        <w:rPr>
          <w:rFonts w:hint="eastAsia"/>
        </w:rPr>
      </w:pPr>
      <w:r>
        <w:rPr>
          <w:rFonts w:hint="eastAsia"/>
        </w:rPr>
        <w:t>大学教育。</w:t>
      </w:r>
    </w:p>
    <w:p w:rsidR="00000000" w:rsidRDefault="00000000">
      <w:pPr>
        <w:rPr>
          <w:rFonts w:hint="eastAsia"/>
        </w:rPr>
      </w:pPr>
      <w:r>
        <w:rPr>
          <w:rFonts w:hint="eastAsia"/>
        </w:rPr>
        <w:tab/>
        <w:t xml:space="preserve">532.  </w:t>
      </w:r>
      <w:r>
        <w:rPr>
          <w:rFonts w:ascii="Time New Roman" w:eastAsia="SimHei" w:hAnsi="Time New Roman" w:hint="eastAsia"/>
        </w:rPr>
        <w:t>学前教育</w:t>
      </w:r>
      <w:r>
        <w:rPr>
          <w:rFonts w:hint="eastAsia"/>
        </w:rPr>
        <w:t>的目标是：创造条件，实现有民族特色并以天赋人类价值观和民族精神为基础的儿童发展：通过塑造儿童的道德，培养自由和创造性的人格。教育工作的原则是因人而异，因材施教。在这种背景下，极为重视激发、培养和发挥每个儿童的心理生理和智力潜能。</w:t>
      </w:r>
    </w:p>
    <w:p w:rsidR="00000000" w:rsidRDefault="00000000">
      <w:pPr>
        <w:rPr>
          <w:rFonts w:hint="eastAsia"/>
        </w:rPr>
      </w:pPr>
      <w:r>
        <w:rPr>
          <w:rFonts w:hint="eastAsia"/>
        </w:rPr>
        <w:tab/>
        <w:t xml:space="preserve">533.  </w:t>
      </w:r>
      <w:r>
        <w:rPr>
          <w:rFonts w:hint="eastAsia"/>
        </w:rPr>
        <w:t>学前教育是国家教育体系结构中的第一步，任务是使儿童为接受教育做好准备。</w:t>
      </w:r>
      <w:r>
        <w:rPr>
          <w:rFonts w:hint="eastAsia"/>
        </w:rPr>
        <w:t>3</w:t>
      </w:r>
      <w:r>
        <w:rPr>
          <w:rFonts w:hint="eastAsia"/>
        </w:rPr>
        <w:t>岁以下儿童的学前教育通常在家庭进行，</w:t>
      </w:r>
      <w:r>
        <w:rPr>
          <w:rFonts w:hint="eastAsia"/>
        </w:rPr>
        <w:t>3</w:t>
      </w:r>
      <w:r>
        <w:rPr>
          <w:rFonts w:hint="eastAsia"/>
        </w:rPr>
        <w:t>至</w:t>
      </w:r>
      <w:r>
        <w:rPr>
          <w:rFonts w:hint="eastAsia"/>
        </w:rPr>
        <w:t>6 (7)</w:t>
      </w:r>
      <w:r>
        <w:rPr>
          <w:rFonts w:hint="eastAsia"/>
        </w:rPr>
        <w:t>岁的儿童在学前机构接受教育。</w:t>
      </w:r>
    </w:p>
    <w:p w:rsidR="00000000" w:rsidRDefault="00000000">
      <w:pPr>
        <w:rPr>
          <w:rFonts w:hint="eastAsia"/>
        </w:rPr>
      </w:pPr>
      <w:r>
        <w:rPr>
          <w:rFonts w:hint="eastAsia"/>
        </w:rPr>
        <w:tab/>
        <w:t xml:space="preserve">534.  </w:t>
      </w:r>
      <w:r>
        <w:rPr>
          <w:rFonts w:hint="eastAsia"/>
        </w:rPr>
        <w:t>近几年来，学前教育体系处在持续下滑的状态中。</w:t>
      </w:r>
      <w:r>
        <w:rPr>
          <w:rFonts w:hint="eastAsia"/>
        </w:rPr>
        <w:t>1999</w:t>
      </w:r>
      <w:r>
        <w:rPr>
          <w:rFonts w:hint="eastAsia"/>
        </w:rPr>
        <w:t>学年开始时，摩尔多瓦共和国有</w:t>
      </w:r>
      <w:r>
        <w:rPr>
          <w:rFonts w:hint="eastAsia"/>
        </w:rPr>
        <w:t>1,400</w:t>
      </w:r>
      <w:r>
        <w:rPr>
          <w:rFonts w:hint="eastAsia"/>
        </w:rPr>
        <w:t>个学前机构，可接受</w:t>
      </w:r>
      <w:r>
        <w:rPr>
          <w:rFonts w:hint="eastAsia"/>
        </w:rPr>
        <w:t>126,000</w:t>
      </w:r>
      <w:r>
        <w:rPr>
          <w:rFonts w:hint="eastAsia"/>
        </w:rPr>
        <w:t>名儿童，占全部</w:t>
      </w:r>
      <w:r>
        <w:rPr>
          <w:rFonts w:hint="eastAsia"/>
        </w:rPr>
        <w:t>293,400</w:t>
      </w:r>
      <w:r>
        <w:rPr>
          <w:rFonts w:hint="eastAsia"/>
        </w:rPr>
        <w:t>名适龄儿童中的</w:t>
      </w:r>
      <w:r>
        <w:rPr>
          <w:rFonts w:hint="eastAsia"/>
        </w:rPr>
        <w:t>44.8%</w:t>
      </w:r>
      <w:r>
        <w:rPr>
          <w:rFonts w:hint="eastAsia"/>
        </w:rPr>
        <w:t>。当年冬天有</w:t>
      </w:r>
      <w:r>
        <w:rPr>
          <w:rFonts w:hint="eastAsia"/>
        </w:rPr>
        <w:t>152</w:t>
      </w:r>
      <w:r>
        <w:rPr>
          <w:rFonts w:hint="eastAsia"/>
        </w:rPr>
        <w:t>家幼儿园暂停开放，</w:t>
      </w:r>
      <w:r>
        <w:rPr>
          <w:rFonts w:hint="eastAsia"/>
        </w:rPr>
        <w:t>196</w:t>
      </w:r>
      <w:r>
        <w:rPr>
          <w:rFonts w:hint="eastAsia"/>
        </w:rPr>
        <w:t>个机构关闭。</w:t>
      </w:r>
    </w:p>
    <w:p w:rsidR="00000000" w:rsidRDefault="00000000">
      <w:pPr>
        <w:rPr>
          <w:rFonts w:hint="eastAsia"/>
        </w:rPr>
      </w:pPr>
      <w:r>
        <w:rPr>
          <w:rFonts w:hint="eastAsia"/>
        </w:rPr>
        <w:tab/>
        <w:t xml:space="preserve">535.  </w:t>
      </w:r>
      <w:r>
        <w:rPr>
          <w:rFonts w:hint="eastAsia"/>
        </w:rPr>
        <w:t>幼儿园的关闭和取消只影响农村地区的学前教育机构。幼儿园一经关闭就一直被忽视，得不到技术服务，情况恶化或者完全坏掉。大部分地区的学前机构情况不佳。建筑的维修全靠教员和家长。由于缺少维护和技术服务，这些学前机构的全部硬件设施很快就会崩溃。冬天，幼儿园有燃料供应，但没有电力。</w:t>
      </w:r>
    </w:p>
    <w:p w:rsidR="00000000" w:rsidRDefault="00000000">
      <w:pPr>
        <w:rPr>
          <w:rFonts w:hint="eastAsia"/>
        </w:rPr>
      </w:pPr>
      <w:r>
        <w:rPr>
          <w:rFonts w:hint="eastAsia"/>
        </w:rPr>
        <w:tab/>
        <w:t xml:space="preserve">536.  </w:t>
      </w:r>
      <w:r>
        <w:rPr>
          <w:rFonts w:hint="eastAsia"/>
        </w:rPr>
        <w:t>另外一项困难在于食品。由于食品匮乏，缺少购买资金以及价格上涨，儿童得不到正常生长发育所需的热量。这不可避免地导致营养不均衡，从而引起维生素缺乏症、贫血、胃溃疡以及智力或身体发育不良。</w:t>
      </w:r>
    </w:p>
    <w:p w:rsidR="00000000" w:rsidRDefault="00000000">
      <w:pPr>
        <w:rPr>
          <w:rFonts w:hint="eastAsia"/>
        </w:rPr>
      </w:pPr>
      <w:r>
        <w:rPr>
          <w:rFonts w:hint="eastAsia"/>
        </w:rPr>
        <w:tab/>
        <w:t xml:space="preserve">537.  </w:t>
      </w:r>
      <w:r>
        <w:rPr>
          <w:rFonts w:hint="eastAsia"/>
        </w:rPr>
        <w:t>另一个大问题在于教育活动的物质供应。供应不足妨碍了教育活动的开展。现阶段，对以现代技术为基础实施教学方案的支持严重不足。</w:t>
      </w:r>
    </w:p>
    <w:p w:rsidR="00000000" w:rsidRDefault="00000000">
      <w:pPr>
        <w:spacing w:after="320"/>
        <w:rPr>
          <w:rFonts w:hint="eastAsia"/>
        </w:rPr>
      </w:pPr>
      <w:r>
        <w:rPr>
          <w:rFonts w:hint="eastAsia"/>
        </w:rPr>
        <w:tab/>
        <w:t xml:space="preserve">538.  </w:t>
      </w:r>
      <w:r>
        <w:rPr>
          <w:rFonts w:hint="eastAsia"/>
        </w:rPr>
        <w:t>在这种情况下，当有一半的学龄前儿童得不到有组织的教育服务时，就需要采取措施向家长提供教育学知识。</w:t>
      </w:r>
    </w:p>
    <w:p w:rsidR="00000000" w:rsidRDefault="00000000">
      <w:pPr>
        <w:pStyle w:val="Heading3"/>
        <w:spacing w:after="160"/>
        <w:rPr>
          <w:rFonts w:hint="eastAsia"/>
        </w:rPr>
      </w:pPr>
      <w:r>
        <w:rPr>
          <w:rFonts w:hint="eastAsia"/>
          <w:u w:val="none"/>
        </w:rPr>
        <w:t>表</w:t>
      </w:r>
      <w:r>
        <w:rPr>
          <w:rFonts w:hint="eastAsia"/>
          <w:u w:val="none"/>
        </w:rPr>
        <w:t xml:space="preserve">36.  </w:t>
      </w:r>
      <w:r>
        <w:rPr>
          <w:rFonts w:hint="eastAsia"/>
        </w:rPr>
        <w:t>学前教育情况</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838"/>
        <w:gridCol w:w="841"/>
        <w:gridCol w:w="842"/>
        <w:gridCol w:w="841"/>
        <w:gridCol w:w="842"/>
        <w:gridCol w:w="841"/>
        <w:gridCol w:w="842"/>
        <w:gridCol w:w="841"/>
        <w:gridCol w:w="842"/>
      </w:tblGrid>
      <w:tr w:rsidR="00000000">
        <w:tblPrEx>
          <w:tblCellMar>
            <w:top w:w="0" w:type="dxa"/>
            <w:bottom w:w="0" w:type="dxa"/>
          </w:tblCellMar>
        </w:tblPrEx>
        <w:trPr>
          <w:cantSplit/>
          <w:trHeight w:val="475"/>
        </w:trPr>
        <w:tc>
          <w:tcPr>
            <w:tcW w:w="2838" w:type="dxa"/>
            <w:tcBorders>
              <w:top w:val="single" w:sz="6" w:space="0" w:color="auto"/>
              <w:bottom w:val="single" w:sz="6" w:space="0" w:color="auto"/>
            </w:tcBorders>
          </w:tcPr>
          <w:p w:rsidR="00000000" w:rsidRDefault="00000000">
            <w:pPr>
              <w:pStyle w:val="a2"/>
              <w:spacing w:line="280" w:lineRule="exact"/>
              <w:rPr>
                <w:sz w:val="20"/>
              </w:rPr>
            </w:pPr>
          </w:p>
        </w:tc>
        <w:tc>
          <w:tcPr>
            <w:tcW w:w="841" w:type="dxa"/>
            <w:tcBorders>
              <w:top w:val="single" w:sz="6" w:space="0" w:color="auto"/>
              <w:bottom w:val="single" w:sz="6" w:space="0" w:color="auto"/>
            </w:tcBorders>
          </w:tcPr>
          <w:p w:rsidR="00000000" w:rsidRDefault="00000000">
            <w:pPr>
              <w:tabs>
                <w:tab w:val="decimal" w:pos="417"/>
              </w:tabs>
              <w:spacing w:before="120" w:line="280" w:lineRule="exact"/>
              <w:jc w:val="center"/>
              <w:rPr>
                <w:bCs/>
                <w:sz w:val="20"/>
              </w:rPr>
            </w:pPr>
            <w:r>
              <w:rPr>
                <w:bCs/>
                <w:sz w:val="20"/>
              </w:rPr>
              <w:t>1992</w:t>
            </w:r>
          </w:p>
        </w:tc>
        <w:tc>
          <w:tcPr>
            <w:tcW w:w="842" w:type="dxa"/>
            <w:tcBorders>
              <w:top w:val="single" w:sz="6" w:space="0" w:color="auto"/>
              <w:bottom w:val="single" w:sz="6" w:space="0" w:color="auto"/>
            </w:tcBorders>
          </w:tcPr>
          <w:p w:rsidR="00000000" w:rsidRDefault="00000000">
            <w:pPr>
              <w:tabs>
                <w:tab w:val="decimal" w:pos="417"/>
              </w:tabs>
              <w:spacing w:before="120" w:line="280" w:lineRule="exact"/>
              <w:jc w:val="center"/>
              <w:rPr>
                <w:bCs/>
                <w:sz w:val="20"/>
              </w:rPr>
            </w:pPr>
            <w:r>
              <w:rPr>
                <w:bCs/>
                <w:sz w:val="20"/>
              </w:rPr>
              <w:t>1993</w:t>
            </w:r>
          </w:p>
        </w:tc>
        <w:tc>
          <w:tcPr>
            <w:tcW w:w="841" w:type="dxa"/>
            <w:tcBorders>
              <w:top w:val="single" w:sz="6" w:space="0" w:color="auto"/>
              <w:bottom w:val="single" w:sz="6" w:space="0" w:color="auto"/>
            </w:tcBorders>
          </w:tcPr>
          <w:p w:rsidR="00000000" w:rsidRDefault="00000000">
            <w:pPr>
              <w:tabs>
                <w:tab w:val="decimal" w:pos="417"/>
              </w:tabs>
              <w:spacing w:before="120" w:line="280" w:lineRule="exact"/>
              <w:jc w:val="center"/>
              <w:rPr>
                <w:bCs/>
                <w:sz w:val="20"/>
              </w:rPr>
            </w:pPr>
            <w:r>
              <w:rPr>
                <w:bCs/>
                <w:sz w:val="20"/>
              </w:rPr>
              <w:t>1994</w:t>
            </w:r>
          </w:p>
        </w:tc>
        <w:tc>
          <w:tcPr>
            <w:tcW w:w="842" w:type="dxa"/>
            <w:tcBorders>
              <w:top w:val="single" w:sz="6" w:space="0" w:color="auto"/>
              <w:bottom w:val="single" w:sz="6" w:space="0" w:color="auto"/>
            </w:tcBorders>
          </w:tcPr>
          <w:p w:rsidR="00000000" w:rsidRDefault="00000000">
            <w:pPr>
              <w:tabs>
                <w:tab w:val="decimal" w:pos="417"/>
              </w:tabs>
              <w:spacing w:before="120" w:line="280" w:lineRule="exact"/>
              <w:jc w:val="center"/>
              <w:rPr>
                <w:bCs/>
                <w:sz w:val="20"/>
              </w:rPr>
            </w:pPr>
            <w:r>
              <w:rPr>
                <w:bCs/>
                <w:sz w:val="20"/>
              </w:rPr>
              <w:t>1995</w:t>
            </w:r>
          </w:p>
        </w:tc>
        <w:tc>
          <w:tcPr>
            <w:tcW w:w="841" w:type="dxa"/>
            <w:tcBorders>
              <w:top w:val="single" w:sz="6" w:space="0" w:color="auto"/>
              <w:bottom w:val="single" w:sz="6" w:space="0" w:color="auto"/>
            </w:tcBorders>
          </w:tcPr>
          <w:p w:rsidR="00000000" w:rsidRDefault="00000000">
            <w:pPr>
              <w:tabs>
                <w:tab w:val="decimal" w:pos="417"/>
              </w:tabs>
              <w:spacing w:before="120" w:line="280" w:lineRule="exact"/>
              <w:jc w:val="center"/>
              <w:rPr>
                <w:bCs/>
                <w:sz w:val="20"/>
              </w:rPr>
            </w:pPr>
            <w:r>
              <w:rPr>
                <w:bCs/>
                <w:sz w:val="20"/>
              </w:rPr>
              <w:t>1996</w:t>
            </w:r>
          </w:p>
        </w:tc>
        <w:tc>
          <w:tcPr>
            <w:tcW w:w="842" w:type="dxa"/>
            <w:tcBorders>
              <w:top w:val="single" w:sz="6" w:space="0" w:color="auto"/>
              <w:bottom w:val="single" w:sz="6" w:space="0" w:color="auto"/>
            </w:tcBorders>
          </w:tcPr>
          <w:p w:rsidR="00000000" w:rsidRDefault="00000000">
            <w:pPr>
              <w:tabs>
                <w:tab w:val="decimal" w:pos="417"/>
              </w:tabs>
              <w:spacing w:before="120" w:line="280" w:lineRule="exact"/>
              <w:jc w:val="center"/>
              <w:rPr>
                <w:bCs/>
                <w:sz w:val="20"/>
              </w:rPr>
            </w:pPr>
            <w:r>
              <w:rPr>
                <w:bCs/>
                <w:sz w:val="20"/>
              </w:rPr>
              <w:t>1997</w:t>
            </w:r>
          </w:p>
        </w:tc>
        <w:tc>
          <w:tcPr>
            <w:tcW w:w="841" w:type="dxa"/>
            <w:tcBorders>
              <w:top w:val="single" w:sz="6" w:space="0" w:color="auto"/>
              <w:bottom w:val="single" w:sz="6" w:space="0" w:color="auto"/>
            </w:tcBorders>
          </w:tcPr>
          <w:p w:rsidR="00000000" w:rsidRDefault="00000000">
            <w:pPr>
              <w:tabs>
                <w:tab w:val="decimal" w:pos="417"/>
              </w:tabs>
              <w:spacing w:before="120" w:line="280" w:lineRule="exact"/>
              <w:jc w:val="center"/>
              <w:rPr>
                <w:bCs/>
                <w:sz w:val="20"/>
              </w:rPr>
            </w:pPr>
            <w:r>
              <w:rPr>
                <w:bCs/>
                <w:sz w:val="20"/>
              </w:rPr>
              <w:t>1998</w:t>
            </w:r>
          </w:p>
        </w:tc>
        <w:tc>
          <w:tcPr>
            <w:tcW w:w="842" w:type="dxa"/>
            <w:tcBorders>
              <w:top w:val="single" w:sz="6" w:space="0" w:color="auto"/>
              <w:bottom w:val="single" w:sz="6" w:space="0" w:color="auto"/>
            </w:tcBorders>
          </w:tcPr>
          <w:p w:rsidR="00000000" w:rsidRDefault="00000000">
            <w:pPr>
              <w:tabs>
                <w:tab w:val="decimal" w:pos="417"/>
              </w:tabs>
              <w:spacing w:before="120" w:line="280" w:lineRule="exact"/>
              <w:jc w:val="center"/>
              <w:rPr>
                <w:bCs/>
                <w:sz w:val="20"/>
              </w:rPr>
            </w:pPr>
            <w:r>
              <w:rPr>
                <w:bCs/>
                <w:sz w:val="20"/>
              </w:rPr>
              <w:t>1999</w:t>
            </w:r>
          </w:p>
        </w:tc>
      </w:tr>
      <w:tr w:rsidR="00000000">
        <w:tblPrEx>
          <w:tblCellMar>
            <w:top w:w="0" w:type="dxa"/>
            <w:bottom w:w="0" w:type="dxa"/>
          </w:tblCellMar>
        </w:tblPrEx>
        <w:trPr>
          <w:cantSplit/>
        </w:trPr>
        <w:tc>
          <w:tcPr>
            <w:tcW w:w="2838" w:type="dxa"/>
            <w:tcBorders>
              <w:top w:val="single" w:sz="6" w:space="0" w:color="auto"/>
            </w:tcBorders>
          </w:tcPr>
          <w:p w:rsidR="00000000" w:rsidRDefault="00000000">
            <w:pPr>
              <w:pStyle w:val="a2"/>
              <w:spacing w:line="280" w:lineRule="exact"/>
              <w:ind w:right="-108"/>
              <w:jc w:val="left"/>
              <w:rPr>
                <w:rFonts w:hint="eastAsia"/>
                <w:sz w:val="20"/>
              </w:rPr>
            </w:pPr>
            <w:r>
              <w:rPr>
                <w:rFonts w:hint="eastAsia"/>
                <w:sz w:val="20"/>
              </w:rPr>
              <w:t>常设学前教育机构的数目</w:t>
            </w:r>
          </w:p>
        </w:tc>
        <w:tc>
          <w:tcPr>
            <w:tcW w:w="841" w:type="dxa"/>
            <w:tcBorders>
              <w:top w:val="single" w:sz="6" w:space="0" w:color="auto"/>
            </w:tcBorders>
          </w:tcPr>
          <w:p w:rsidR="00000000" w:rsidRDefault="00000000">
            <w:pPr>
              <w:pStyle w:val="a2"/>
              <w:tabs>
                <w:tab w:val="decimal" w:pos="417"/>
              </w:tabs>
              <w:spacing w:line="280" w:lineRule="exact"/>
              <w:ind w:right="9"/>
              <w:rPr>
                <w:sz w:val="20"/>
              </w:rPr>
            </w:pPr>
            <w:r>
              <w:rPr>
                <w:sz w:val="20"/>
              </w:rPr>
              <w:t>1,940</w:t>
            </w:r>
          </w:p>
        </w:tc>
        <w:tc>
          <w:tcPr>
            <w:tcW w:w="842" w:type="dxa"/>
            <w:tcBorders>
              <w:top w:val="single" w:sz="6" w:space="0" w:color="auto"/>
            </w:tcBorders>
          </w:tcPr>
          <w:p w:rsidR="00000000" w:rsidRDefault="00000000">
            <w:pPr>
              <w:pStyle w:val="a2"/>
              <w:tabs>
                <w:tab w:val="decimal" w:pos="417"/>
              </w:tabs>
              <w:spacing w:line="280" w:lineRule="exact"/>
              <w:ind w:right="9"/>
              <w:rPr>
                <w:sz w:val="20"/>
              </w:rPr>
            </w:pPr>
            <w:r>
              <w:rPr>
                <w:sz w:val="20"/>
              </w:rPr>
              <w:t>1,877</w:t>
            </w:r>
          </w:p>
        </w:tc>
        <w:tc>
          <w:tcPr>
            <w:tcW w:w="841" w:type="dxa"/>
            <w:tcBorders>
              <w:top w:val="single" w:sz="6" w:space="0" w:color="auto"/>
            </w:tcBorders>
          </w:tcPr>
          <w:p w:rsidR="00000000" w:rsidRDefault="00000000">
            <w:pPr>
              <w:pStyle w:val="a2"/>
              <w:tabs>
                <w:tab w:val="decimal" w:pos="417"/>
              </w:tabs>
              <w:spacing w:line="280" w:lineRule="exact"/>
              <w:ind w:right="9"/>
              <w:rPr>
                <w:sz w:val="20"/>
              </w:rPr>
            </w:pPr>
            <w:r>
              <w:rPr>
                <w:sz w:val="20"/>
              </w:rPr>
              <w:t>1,774</w:t>
            </w:r>
          </w:p>
        </w:tc>
        <w:tc>
          <w:tcPr>
            <w:tcW w:w="842" w:type="dxa"/>
            <w:tcBorders>
              <w:top w:val="single" w:sz="6" w:space="0" w:color="auto"/>
            </w:tcBorders>
          </w:tcPr>
          <w:p w:rsidR="00000000" w:rsidRDefault="00000000">
            <w:pPr>
              <w:pStyle w:val="a2"/>
              <w:tabs>
                <w:tab w:val="decimal" w:pos="417"/>
              </w:tabs>
              <w:spacing w:line="280" w:lineRule="exact"/>
              <w:ind w:right="9"/>
              <w:rPr>
                <w:sz w:val="20"/>
              </w:rPr>
            </w:pPr>
            <w:r>
              <w:rPr>
                <w:sz w:val="20"/>
              </w:rPr>
              <w:t>1,680</w:t>
            </w:r>
          </w:p>
        </w:tc>
        <w:tc>
          <w:tcPr>
            <w:tcW w:w="841" w:type="dxa"/>
            <w:tcBorders>
              <w:top w:val="single" w:sz="6" w:space="0" w:color="auto"/>
            </w:tcBorders>
          </w:tcPr>
          <w:p w:rsidR="00000000" w:rsidRDefault="00000000">
            <w:pPr>
              <w:pStyle w:val="a2"/>
              <w:tabs>
                <w:tab w:val="decimal" w:pos="417"/>
              </w:tabs>
              <w:spacing w:line="280" w:lineRule="exact"/>
              <w:ind w:right="9"/>
              <w:rPr>
                <w:sz w:val="20"/>
              </w:rPr>
            </w:pPr>
            <w:r>
              <w:rPr>
                <w:sz w:val="20"/>
              </w:rPr>
              <w:t>1,596</w:t>
            </w:r>
          </w:p>
        </w:tc>
        <w:tc>
          <w:tcPr>
            <w:tcW w:w="842" w:type="dxa"/>
            <w:tcBorders>
              <w:top w:val="single" w:sz="6" w:space="0" w:color="auto"/>
            </w:tcBorders>
          </w:tcPr>
          <w:p w:rsidR="00000000" w:rsidRDefault="00000000">
            <w:pPr>
              <w:pStyle w:val="a2"/>
              <w:tabs>
                <w:tab w:val="decimal" w:pos="417"/>
              </w:tabs>
              <w:spacing w:line="280" w:lineRule="exact"/>
              <w:ind w:right="9"/>
              <w:rPr>
                <w:sz w:val="20"/>
              </w:rPr>
            </w:pPr>
            <w:r>
              <w:rPr>
                <w:sz w:val="20"/>
              </w:rPr>
              <w:t>1,497</w:t>
            </w:r>
          </w:p>
        </w:tc>
        <w:tc>
          <w:tcPr>
            <w:tcW w:w="841" w:type="dxa"/>
            <w:tcBorders>
              <w:top w:val="single" w:sz="6" w:space="0" w:color="auto"/>
            </w:tcBorders>
          </w:tcPr>
          <w:p w:rsidR="00000000" w:rsidRDefault="00000000">
            <w:pPr>
              <w:pStyle w:val="a2"/>
              <w:tabs>
                <w:tab w:val="decimal" w:pos="417"/>
              </w:tabs>
              <w:spacing w:line="280" w:lineRule="exact"/>
              <w:ind w:right="9"/>
              <w:rPr>
                <w:sz w:val="20"/>
              </w:rPr>
            </w:pPr>
            <w:r>
              <w:rPr>
                <w:sz w:val="20"/>
              </w:rPr>
              <w:t>1,399</w:t>
            </w:r>
          </w:p>
        </w:tc>
        <w:tc>
          <w:tcPr>
            <w:tcW w:w="842" w:type="dxa"/>
            <w:tcBorders>
              <w:top w:val="single" w:sz="6" w:space="0" w:color="auto"/>
            </w:tcBorders>
          </w:tcPr>
          <w:p w:rsidR="00000000" w:rsidRDefault="00000000">
            <w:pPr>
              <w:pStyle w:val="a2"/>
              <w:tabs>
                <w:tab w:val="decimal" w:pos="417"/>
              </w:tabs>
              <w:spacing w:line="280" w:lineRule="exact"/>
              <w:ind w:right="9"/>
              <w:rPr>
                <w:sz w:val="20"/>
              </w:rPr>
            </w:pPr>
            <w:r>
              <w:rPr>
                <w:sz w:val="20"/>
              </w:rPr>
              <w:t>1,201</w:t>
            </w:r>
          </w:p>
        </w:tc>
      </w:tr>
      <w:tr w:rsidR="00000000">
        <w:tblPrEx>
          <w:tblCellMar>
            <w:top w:w="0" w:type="dxa"/>
            <w:bottom w:w="0" w:type="dxa"/>
          </w:tblCellMar>
        </w:tblPrEx>
        <w:trPr>
          <w:cantSplit/>
        </w:trPr>
        <w:tc>
          <w:tcPr>
            <w:tcW w:w="2838" w:type="dxa"/>
          </w:tcPr>
          <w:p w:rsidR="00000000" w:rsidRDefault="00000000">
            <w:pPr>
              <w:pStyle w:val="a2"/>
              <w:spacing w:line="280" w:lineRule="exact"/>
              <w:jc w:val="left"/>
              <w:rPr>
                <w:rFonts w:hint="eastAsia"/>
                <w:sz w:val="20"/>
              </w:rPr>
            </w:pPr>
            <w:r>
              <w:rPr>
                <w:rFonts w:hint="eastAsia"/>
                <w:sz w:val="20"/>
              </w:rPr>
              <w:t>学前教育机构的座位总数</w:t>
            </w:r>
            <w:r>
              <w:rPr>
                <w:rFonts w:hint="eastAsia"/>
                <w:sz w:val="20"/>
              </w:rPr>
              <w:t>(</w:t>
            </w:r>
            <w:r>
              <w:rPr>
                <w:rFonts w:hint="eastAsia"/>
                <w:sz w:val="20"/>
              </w:rPr>
              <w:t>千</w:t>
            </w:r>
            <w:r>
              <w:rPr>
                <w:rFonts w:hint="eastAsia"/>
                <w:sz w:val="20"/>
              </w:rPr>
              <w:t>)</w:t>
            </w:r>
          </w:p>
        </w:tc>
        <w:tc>
          <w:tcPr>
            <w:tcW w:w="841" w:type="dxa"/>
          </w:tcPr>
          <w:p w:rsidR="00000000" w:rsidRDefault="00000000">
            <w:pPr>
              <w:pStyle w:val="a2"/>
              <w:tabs>
                <w:tab w:val="decimal" w:pos="417"/>
              </w:tabs>
              <w:spacing w:line="280" w:lineRule="exact"/>
              <w:ind w:right="9"/>
              <w:rPr>
                <w:sz w:val="20"/>
              </w:rPr>
            </w:pPr>
            <w:r>
              <w:rPr>
                <w:sz w:val="20"/>
              </w:rPr>
              <w:t>218</w:t>
            </w:r>
          </w:p>
        </w:tc>
        <w:tc>
          <w:tcPr>
            <w:tcW w:w="842" w:type="dxa"/>
          </w:tcPr>
          <w:p w:rsidR="00000000" w:rsidRDefault="00000000">
            <w:pPr>
              <w:pStyle w:val="a2"/>
              <w:tabs>
                <w:tab w:val="decimal" w:pos="417"/>
              </w:tabs>
              <w:spacing w:line="280" w:lineRule="exact"/>
              <w:ind w:right="9"/>
              <w:rPr>
                <w:sz w:val="20"/>
              </w:rPr>
            </w:pPr>
            <w:r>
              <w:rPr>
                <w:sz w:val="20"/>
              </w:rPr>
              <w:t>217</w:t>
            </w:r>
          </w:p>
        </w:tc>
        <w:tc>
          <w:tcPr>
            <w:tcW w:w="841" w:type="dxa"/>
          </w:tcPr>
          <w:p w:rsidR="00000000" w:rsidRDefault="00000000">
            <w:pPr>
              <w:pStyle w:val="a2"/>
              <w:tabs>
                <w:tab w:val="decimal" w:pos="417"/>
              </w:tabs>
              <w:spacing w:line="280" w:lineRule="exact"/>
              <w:ind w:right="9"/>
              <w:rPr>
                <w:sz w:val="20"/>
              </w:rPr>
            </w:pPr>
            <w:r>
              <w:rPr>
                <w:sz w:val="20"/>
              </w:rPr>
              <w:t>206</w:t>
            </w:r>
          </w:p>
        </w:tc>
        <w:tc>
          <w:tcPr>
            <w:tcW w:w="842" w:type="dxa"/>
          </w:tcPr>
          <w:p w:rsidR="00000000" w:rsidRDefault="00000000">
            <w:pPr>
              <w:pStyle w:val="a2"/>
              <w:tabs>
                <w:tab w:val="decimal" w:pos="417"/>
              </w:tabs>
              <w:spacing w:line="280" w:lineRule="exact"/>
              <w:ind w:right="9"/>
              <w:rPr>
                <w:sz w:val="20"/>
              </w:rPr>
            </w:pPr>
            <w:r>
              <w:rPr>
                <w:sz w:val="20"/>
              </w:rPr>
              <w:t>194</w:t>
            </w:r>
          </w:p>
        </w:tc>
        <w:tc>
          <w:tcPr>
            <w:tcW w:w="841" w:type="dxa"/>
          </w:tcPr>
          <w:p w:rsidR="00000000" w:rsidRDefault="00000000">
            <w:pPr>
              <w:pStyle w:val="a2"/>
              <w:tabs>
                <w:tab w:val="decimal" w:pos="417"/>
              </w:tabs>
              <w:spacing w:line="280" w:lineRule="exact"/>
              <w:ind w:right="9"/>
              <w:rPr>
                <w:sz w:val="20"/>
              </w:rPr>
            </w:pPr>
            <w:r>
              <w:rPr>
                <w:sz w:val="20"/>
              </w:rPr>
              <w:t>183</w:t>
            </w:r>
          </w:p>
        </w:tc>
        <w:tc>
          <w:tcPr>
            <w:tcW w:w="842" w:type="dxa"/>
          </w:tcPr>
          <w:p w:rsidR="00000000" w:rsidRDefault="00000000">
            <w:pPr>
              <w:pStyle w:val="a2"/>
              <w:tabs>
                <w:tab w:val="decimal" w:pos="417"/>
              </w:tabs>
              <w:spacing w:line="280" w:lineRule="exact"/>
              <w:ind w:right="9"/>
              <w:rPr>
                <w:sz w:val="20"/>
              </w:rPr>
            </w:pPr>
            <w:r>
              <w:rPr>
                <w:sz w:val="20"/>
              </w:rPr>
              <w:t>177</w:t>
            </w:r>
          </w:p>
        </w:tc>
        <w:tc>
          <w:tcPr>
            <w:tcW w:w="841" w:type="dxa"/>
          </w:tcPr>
          <w:p w:rsidR="00000000" w:rsidRDefault="00000000">
            <w:pPr>
              <w:pStyle w:val="a2"/>
              <w:tabs>
                <w:tab w:val="decimal" w:pos="417"/>
              </w:tabs>
              <w:spacing w:line="280" w:lineRule="exact"/>
              <w:ind w:right="9"/>
              <w:rPr>
                <w:sz w:val="20"/>
              </w:rPr>
            </w:pPr>
            <w:r>
              <w:rPr>
                <w:sz w:val="20"/>
              </w:rPr>
              <w:t>167</w:t>
            </w:r>
          </w:p>
        </w:tc>
        <w:tc>
          <w:tcPr>
            <w:tcW w:w="842" w:type="dxa"/>
          </w:tcPr>
          <w:p w:rsidR="00000000" w:rsidRDefault="00000000">
            <w:pPr>
              <w:pStyle w:val="a2"/>
              <w:tabs>
                <w:tab w:val="decimal" w:pos="417"/>
              </w:tabs>
              <w:spacing w:line="280" w:lineRule="exact"/>
              <w:ind w:right="9"/>
              <w:rPr>
                <w:sz w:val="20"/>
              </w:rPr>
            </w:pPr>
            <w:r>
              <w:rPr>
                <w:sz w:val="20"/>
              </w:rPr>
              <w:t>152</w:t>
            </w:r>
          </w:p>
        </w:tc>
      </w:tr>
      <w:tr w:rsidR="00000000">
        <w:tblPrEx>
          <w:tblCellMar>
            <w:top w:w="0" w:type="dxa"/>
            <w:bottom w:w="0" w:type="dxa"/>
          </w:tblCellMar>
        </w:tblPrEx>
        <w:trPr>
          <w:cantSplit/>
        </w:trPr>
        <w:tc>
          <w:tcPr>
            <w:tcW w:w="2838" w:type="dxa"/>
          </w:tcPr>
          <w:p w:rsidR="00000000" w:rsidRDefault="00000000">
            <w:pPr>
              <w:pStyle w:val="a2"/>
              <w:spacing w:line="280" w:lineRule="exact"/>
              <w:jc w:val="left"/>
              <w:rPr>
                <w:rFonts w:hint="eastAsia"/>
                <w:sz w:val="20"/>
              </w:rPr>
            </w:pPr>
            <w:r>
              <w:rPr>
                <w:rFonts w:hint="eastAsia"/>
                <w:sz w:val="20"/>
              </w:rPr>
              <w:t>常设学前教育机构中的儿童总数</w:t>
            </w:r>
            <w:r>
              <w:rPr>
                <w:rFonts w:hint="eastAsia"/>
                <w:sz w:val="20"/>
              </w:rPr>
              <w:t>(</w:t>
            </w:r>
            <w:r>
              <w:rPr>
                <w:rFonts w:hint="eastAsia"/>
                <w:sz w:val="20"/>
              </w:rPr>
              <w:t>千人</w:t>
            </w:r>
            <w:r>
              <w:rPr>
                <w:rFonts w:hint="eastAsia"/>
                <w:sz w:val="20"/>
              </w:rPr>
              <w:t>)</w:t>
            </w:r>
          </w:p>
        </w:tc>
        <w:tc>
          <w:tcPr>
            <w:tcW w:w="841" w:type="dxa"/>
          </w:tcPr>
          <w:p w:rsidR="00000000" w:rsidRDefault="00000000">
            <w:pPr>
              <w:pStyle w:val="a2"/>
              <w:tabs>
                <w:tab w:val="decimal" w:pos="417"/>
              </w:tabs>
              <w:spacing w:line="280" w:lineRule="exact"/>
              <w:ind w:right="9"/>
              <w:rPr>
                <w:sz w:val="20"/>
              </w:rPr>
            </w:pPr>
            <w:r>
              <w:rPr>
                <w:sz w:val="20"/>
              </w:rPr>
              <w:t>213.8</w:t>
            </w:r>
          </w:p>
        </w:tc>
        <w:tc>
          <w:tcPr>
            <w:tcW w:w="842" w:type="dxa"/>
          </w:tcPr>
          <w:p w:rsidR="00000000" w:rsidRDefault="00000000">
            <w:pPr>
              <w:pStyle w:val="a2"/>
              <w:tabs>
                <w:tab w:val="decimal" w:pos="417"/>
              </w:tabs>
              <w:spacing w:line="280" w:lineRule="exact"/>
              <w:ind w:right="9"/>
              <w:rPr>
                <w:sz w:val="20"/>
              </w:rPr>
            </w:pPr>
            <w:r>
              <w:rPr>
                <w:sz w:val="20"/>
              </w:rPr>
              <w:t>202.3</w:t>
            </w:r>
          </w:p>
        </w:tc>
        <w:tc>
          <w:tcPr>
            <w:tcW w:w="841" w:type="dxa"/>
          </w:tcPr>
          <w:p w:rsidR="00000000" w:rsidRDefault="00000000">
            <w:pPr>
              <w:pStyle w:val="a2"/>
              <w:tabs>
                <w:tab w:val="decimal" w:pos="417"/>
              </w:tabs>
              <w:spacing w:line="280" w:lineRule="exact"/>
              <w:ind w:right="9"/>
              <w:rPr>
                <w:sz w:val="20"/>
              </w:rPr>
            </w:pPr>
            <w:r>
              <w:rPr>
                <w:sz w:val="20"/>
              </w:rPr>
              <w:t>182.5</w:t>
            </w:r>
          </w:p>
        </w:tc>
        <w:tc>
          <w:tcPr>
            <w:tcW w:w="842" w:type="dxa"/>
          </w:tcPr>
          <w:p w:rsidR="00000000" w:rsidRDefault="00000000">
            <w:pPr>
              <w:pStyle w:val="a2"/>
              <w:tabs>
                <w:tab w:val="decimal" w:pos="417"/>
              </w:tabs>
              <w:spacing w:line="280" w:lineRule="exact"/>
              <w:ind w:right="9"/>
              <w:rPr>
                <w:sz w:val="20"/>
              </w:rPr>
            </w:pPr>
            <w:r>
              <w:rPr>
                <w:sz w:val="20"/>
              </w:rPr>
              <w:t>161.3</w:t>
            </w:r>
          </w:p>
        </w:tc>
        <w:tc>
          <w:tcPr>
            <w:tcW w:w="841" w:type="dxa"/>
          </w:tcPr>
          <w:p w:rsidR="00000000" w:rsidRDefault="00000000">
            <w:pPr>
              <w:pStyle w:val="a2"/>
              <w:tabs>
                <w:tab w:val="decimal" w:pos="417"/>
              </w:tabs>
              <w:spacing w:line="280" w:lineRule="exact"/>
              <w:ind w:right="9"/>
              <w:rPr>
                <w:sz w:val="20"/>
              </w:rPr>
            </w:pPr>
            <w:r>
              <w:rPr>
                <w:sz w:val="20"/>
              </w:rPr>
              <w:t>146.9</w:t>
            </w:r>
          </w:p>
        </w:tc>
        <w:tc>
          <w:tcPr>
            <w:tcW w:w="842" w:type="dxa"/>
          </w:tcPr>
          <w:p w:rsidR="00000000" w:rsidRDefault="00000000">
            <w:pPr>
              <w:pStyle w:val="a2"/>
              <w:tabs>
                <w:tab w:val="decimal" w:pos="417"/>
              </w:tabs>
              <w:spacing w:line="280" w:lineRule="exact"/>
              <w:ind w:right="9"/>
              <w:rPr>
                <w:sz w:val="20"/>
              </w:rPr>
            </w:pPr>
            <w:r>
              <w:rPr>
                <w:sz w:val="20"/>
              </w:rPr>
              <w:t>138.8</w:t>
            </w:r>
          </w:p>
        </w:tc>
        <w:tc>
          <w:tcPr>
            <w:tcW w:w="841" w:type="dxa"/>
          </w:tcPr>
          <w:p w:rsidR="00000000" w:rsidRDefault="00000000">
            <w:pPr>
              <w:pStyle w:val="a2"/>
              <w:tabs>
                <w:tab w:val="decimal" w:pos="417"/>
              </w:tabs>
              <w:spacing w:line="280" w:lineRule="exact"/>
              <w:ind w:right="9"/>
              <w:rPr>
                <w:sz w:val="20"/>
              </w:rPr>
            </w:pPr>
            <w:r>
              <w:rPr>
                <w:sz w:val="20"/>
              </w:rPr>
              <w:t>126.0</w:t>
            </w:r>
          </w:p>
        </w:tc>
        <w:tc>
          <w:tcPr>
            <w:tcW w:w="842" w:type="dxa"/>
          </w:tcPr>
          <w:p w:rsidR="00000000" w:rsidRDefault="00000000">
            <w:pPr>
              <w:pStyle w:val="a2"/>
              <w:tabs>
                <w:tab w:val="decimal" w:pos="417"/>
              </w:tabs>
              <w:spacing w:line="280" w:lineRule="exact"/>
              <w:ind w:right="9"/>
              <w:rPr>
                <w:sz w:val="20"/>
              </w:rPr>
            </w:pPr>
            <w:r>
              <w:rPr>
                <w:sz w:val="20"/>
              </w:rPr>
              <w:t>101.0</w:t>
            </w:r>
          </w:p>
        </w:tc>
      </w:tr>
      <w:tr w:rsidR="00000000">
        <w:tblPrEx>
          <w:tblCellMar>
            <w:top w:w="0" w:type="dxa"/>
            <w:bottom w:w="0" w:type="dxa"/>
          </w:tblCellMar>
        </w:tblPrEx>
        <w:trPr>
          <w:cantSplit/>
        </w:trPr>
        <w:tc>
          <w:tcPr>
            <w:tcW w:w="2838" w:type="dxa"/>
          </w:tcPr>
          <w:p w:rsidR="00000000" w:rsidRDefault="00000000">
            <w:pPr>
              <w:pStyle w:val="a2"/>
              <w:spacing w:line="280" w:lineRule="exact"/>
              <w:jc w:val="left"/>
              <w:rPr>
                <w:rFonts w:hint="eastAsia"/>
                <w:sz w:val="20"/>
              </w:rPr>
            </w:pPr>
            <w:r>
              <w:rPr>
                <w:rFonts w:hint="eastAsia"/>
                <w:sz w:val="20"/>
              </w:rPr>
              <w:t>教职员</w:t>
            </w:r>
            <w:r>
              <w:rPr>
                <w:rFonts w:hint="eastAsia"/>
                <w:sz w:val="20"/>
              </w:rPr>
              <w:t>(</w:t>
            </w:r>
            <w:r>
              <w:rPr>
                <w:rFonts w:hint="eastAsia"/>
                <w:sz w:val="20"/>
              </w:rPr>
              <w:t>千人</w:t>
            </w:r>
            <w:r>
              <w:rPr>
                <w:rFonts w:hint="eastAsia"/>
                <w:sz w:val="20"/>
              </w:rPr>
              <w:t>)</w:t>
            </w:r>
          </w:p>
        </w:tc>
        <w:tc>
          <w:tcPr>
            <w:tcW w:w="841" w:type="dxa"/>
          </w:tcPr>
          <w:p w:rsidR="00000000" w:rsidRDefault="00000000">
            <w:pPr>
              <w:pStyle w:val="a2"/>
              <w:tabs>
                <w:tab w:val="decimal" w:pos="417"/>
              </w:tabs>
              <w:spacing w:line="280" w:lineRule="exact"/>
              <w:ind w:right="9"/>
              <w:rPr>
                <w:sz w:val="20"/>
              </w:rPr>
            </w:pPr>
            <w:r>
              <w:rPr>
                <w:sz w:val="20"/>
              </w:rPr>
              <w:t>22.8</w:t>
            </w:r>
          </w:p>
        </w:tc>
        <w:tc>
          <w:tcPr>
            <w:tcW w:w="842" w:type="dxa"/>
          </w:tcPr>
          <w:p w:rsidR="00000000" w:rsidRDefault="00000000">
            <w:pPr>
              <w:pStyle w:val="a2"/>
              <w:tabs>
                <w:tab w:val="decimal" w:pos="417"/>
              </w:tabs>
              <w:spacing w:line="280" w:lineRule="exact"/>
              <w:ind w:right="9"/>
              <w:rPr>
                <w:sz w:val="20"/>
              </w:rPr>
            </w:pPr>
            <w:r>
              <w:rPr>
                <w:sz w:val="20"/>
              </w:rPr>
              <w:t>21.8</w:t>
            </w:r>
          </w:p>
        </w:tc>
        <w:tc>
          <w:tcPr>
            <w:tcW w:w="841" w:type="dxa"/>
          </w:tcPr>
          <w:p w:rsidR="00000000" w:rsidRDefault="00000000">
            <w:pPr>
              <w:pStyle w:val="a2"/>
              <w:tabs>
                <w:tab w:val="decimal" w:pos="417"/>
              </w:tabs>
              <w:spacing w:line="280" w:lineRule="exact"/>
              <w:ind w:right="9"/>
              <w:rPr>
                <w:sz w:val="20"/>
              </w:rPr>
            </w:pPr>
            <w:r>
              <w:rPr>
                <w:sz w:val="20"/>
              </w:rPr>
              <w:t>19.6</w:t>
            </w:r>
          </w:p>
        </w:tc>
        <w:tc>
          <w:tcPr>
            <w:tcW w:w="842" w:type="dxa"/>
          </w:tcPr>
          <w:p w:rsidR="00000000" w:rsidRDefault="00000000">
            <w:pPr>
              <w:pStyle w:val="a2"/>
              <w:tabs>
                <w:tab w:val="decimal" w:pos="417"/>
              </w:tabs>
              <w:spacing w:line="280" w:lineRule="exact"/>
              <w:ind w:right="9"/>
              <w:rPr>
                <w:sz w:val="20"/>
              </w:rPr>
            </w:pPr>
            <w:r>
              <w:rPr>
                <w:sz w:val="20"/>
              </w:rPr>
              <w:t>17.6</w:t>
            </w:r>
          </w:p>
        </w:tc>
        <w:tc>
          <w:tcPr>
            <w:tcW w:w="841" w:type="dxa"/>
          </w:tcPr>
          <w:p w:rsidR="00000000" w:rsidRDefault="00000000">
            <w:pPr>
              <w:pStyle w:val="a2"/>
              <w:tabs>
                <w:tab w:val="decimal" w:pos="417"/>
              </w:tabs>
              <w:spacing w:line="280" w:lineRule="exact"/>
              <w:ind w:right="9"/>
              <w:rPr>
                <w:sz w:val="20"/>
              </w:rPr>
            </w:pPr>
            <w:r>
              <w:rPr>
                <w:sz w:val="20"/>
              </w:rPr>
              <w:t>15.0</w:t>
            </w:r>
          </w:p>
        </w:tc>
        <w:tc>
          <w:tcPr>
            <w:tcW w:w="842" w:type="dxa"/>
          </w:tcPr>
          <w:p w:rsidR="00000000" w:rsidRDefault="00000000">
            <w:pPr>
              <w:pStyle w:val="a2"/>
              <w:tabs>
                <w:tab w:val="decimal" w:pos="417"/>
              </w:tabs>
              <w:spacing w:line="280" w:lineRule="exact"/>
              <w:ind w:right="9"/>
              <w:rPr>
                <w:sz w:val="20"/>
              </w:rPr>
            </w:pPr>
            <w:r>
              <w:rPr>
                <w:sz w:val="20"/>
              </w:rPr>
              <w:t>14.7</w:t>
            </w:r>
          </w:p>
        </w:tc>
        <w:tc>
          <w:tcPr>
            <w:tcW w:w="841" w:type="dxa"/>
          </w:tcPr>
          <w:p w:rsidR="00000000" w:rsidRDefault="00000000">
            <w:pPr>
              <w:pStyle w:val="a2"/>
              <w:tabs>
                <w:tab w:val="decimal" w:pos="417"/>
              </w:tabs>
              <w:spacing w:line="280" w:lineRule="exact"/>
              <w:ind w:right="9"/>
              <w:rPr>
                <w:sz w:val="20"/>
              </w:rPr>
            </w:pPr>
            <w:r>
              <w:rPr>
                <w:sz w:val="20"/>
              </w:rPr>
              <w:t>13.2</w:t>
            </w:r>
          </w:p>
        </w:tc>
        <w:tc>
          <w:tcPr>
            <w:tcW w:w="842" w:type="dxa"/>
          </w:tcPr>
          <w:p w:rsidR="00000000" w:rsidRDefault="00000000">
            <w:pPr>
              <w:pStyle w:val="a2"/>
              <w:tabs>
                <w:tab w:val="decimal" w:pos="417"/>
              </w:tabs>
              <w:spacing w:line="280" w:lineRule="exact"/>
              <w:ind w:right="9"/>
              <w:rPr>
                <w:sz w:val="20"/>
              </w:rPr>
            </w:pPr>
            <w:r>
              <w:rPr>
                <w:sz w:val="20"/>
              </w:rPr>
              <w:t>9.8</w:t>
            </w:r>
          </w:p>
        </w:tc>
      </w:tr>
      <w:tr w:rsidR="00000000">
        <w:tblPrEx>
          <w:tblCellMar>
            <w:top w:w="0" w:type="dxa"/>
            <w:bottom w:w="0" w:type="dxa"/>
          </w:tblCellMar>
        </w:tblPrEx>
        <w:trPr>
          <w:cantSplit/>
        </w:trPr>
        <w:tc>
          <w:tcPr>
            <w:tcW w:w="2838" w:type="dxa"/>
          </w:tcPr>
          <w:p w:rsidR="00000000" w:rsidRDefault="00000000">
            <w:pPr>
              <w:pStyle w:val="a2"/>
              <w:spacing w:line="280" w:lineRule="exact"/>
              <w:jc w:val="left"/>
              <w:rPr>
                <w:rFonts w:hint="eastAsia"/>
                <w:sz w:val="20"/>
              </w:rPr>
            </w:pPr>
            <w:r>
              <w:rPr>
                <w:rFonts w:hint="eastAsia"/>
                <w:sz w:val="20"/>
              </w:rPr>
              <w:t>能够进入常设专业机构学习的儿童占同年龄儿童</w:t>
            </w:r>
            <w:r>
              <w:rPr>
                <w:rFonts w:hint="eastAsia"/>
                <w:sz w:val="20"/>
              </w:rPr>
              <w:t>(1-6</w:t>
            </w:r>
            <w:r>
              <w:rPr>
                <w:rFonts w:hint="eastAsia"/>
                <w:sz w:val="20"/>
              </w:rPr>
              <w:t>岁</w:t>
            </w:r>
            <w:r>
              <w:rPr>
                <w:rFonts w:hint="eastAsia"/>
                <w:sz w:val="20"/>
              </w:rPr>
              <w:t>)</w:t>
            </w:r>
            <w:r>
              <w:rPr>
                <w:rFonts w:hint="eastAsia"/>
                <w:sz w:val="20"/>
              </w:rPr>
              <w:t>总数的比例</w:t>
            </w:r>
          </w:p>
        </w:tc>
        <w:tc>
          <w:tcPr>
            <w:tcW w:w="841" w:type="dxa"/>
          </w:tcPr>
          <w:p w:rsidR="00000000" w:rsidRDefault="00000000">
            <w:pPr>
              <w:pStyle w:val="a2"/>
              <w:tabs>
                <w:tab w:val="decimal" w:pos="417"/>
              </w:tabs>
              <w:spacing w:line="280" w:lineRule="exact"/>
              <w:ind w:right="9"/>
              <w:rPr>
                <w:sz w:val="20"/>
              </w:rPr>
            </w:pPr>
            <w:r>
              <w:rPr>
                <w:sz w:val="20"/>
              </w:rPr>
              <w:t>55</w:t>
            </w:r>
          </w:p>
        </w:tc>
        <w:tc>
          <w:tcPr>
            <w:tcW w:w="842" w:type="dxa"/>
          </w:tcPr>
          <w:p w:rsidR="00000000" w:rsidRDefault="00000000">
            <w:pPr>
              <w:pStyle w:val="a2"/>
              <w:tabs>
                <w:tab w:val="decimal" w:pos="417"/>
              </w:tabs>
              <w:spacing w:line="280" w:lineRule="exact"/>
              <w:ind w:right="9"/>
              <w:rPr>
                <w:sz w:val="20"/>
              </w:rPr>
            </w:pPr>
            <w:r>
              <w:rPr>
                <w:sz w:val="20"/>
              </w:rPr>
              <w:t>51</w:t>
            </w:r>
          </w:p>
        </w:tc>
        <w:tc>
          <w:tcPr>
            <w:tcW w:w="841" w:type="dxa"/>
          </w:tcPr>
          <w:p w:rsidR="00000000" w:rsidRDefault="00000000">
            <w:pPr>
              <w:pStyle w:val="a2"/>
              <w:tabs>
                <w:tab w:val="decimal" w:pos="417"/>
              </w:tabs>
              <w:spacing w:line="280" w:lineRule="exact"/>
              <w:ind w:right="9"/>
              <w:rPr>
                <w:sz w:val="20"/>
              </w:rPr>
            </w:pPr>
            <w:r>
              <w:rPr>
                <w:sz w:val="20"/>
              </w:rPr>
              <w:t>46</w:t>
            </w:r>
          </w:p>
        </w:tc>
        <w:tc>
          <w:tcPr>
            <w:tcW w:w="842" w:type="dxa"/>
          </w:tcPr>
          <w:p w:rsidR="00000000" w:rsidRDefault="00000000">
            <w:pPr>
              <w:pStyle w:val="a2"/>
              <w:tabs>
                <w:tab w:val="decimal" w:pos="417"/>
              </w:tabs>
              <w:spacing w:line="280" w:lineRule="exact"/>
              <w:ind w:right="9"/>
              <w:rPr>
                <w:sz w:val="20"/>
              </w:rPr>
            </w:pPr>
            <w:r>
              <w:rPr>
                <w:sz w:val="20"/>
              </w:rPr>
              <w:t>45</w:t>
            </w:r>
          </w:p>
        </w:tc>
        <w:tc>
          <w:tcPr>
            <w:tcW w:w="841" w:type="dxa"/>
          </w:tcPr>
          <w:p w:rsidR="00000000" w:rsidRDefault="00000000">
            <w:pPr>
              <w:pStyle w:val="a2"/>
              <w:tabs>
                <w:tab w:val="decimal" w:pos="417"/>
              </w:tabs>
              <w:spacing w:line="280" w:lineRule="exact"/>
              <w:ind w:right="9"/>
              <w:rPr>
                <w:sz w:val="20"/>
              </w:rPr>
            </w:pPr>
            <w:r>
              <w:rPr>
                <w:sz w:val="20"/>
              </w:rPr>
              <w:t>43</w:t>
            </w:r>
          </w:p>
        </w:tc>
        <w:tc>
          <w:tcPr>
            <w:tcW w:w="842" w:type="dxa"/>
          </w:tcPr>
          <w:p w:rsidR="00000000" w:rsidRDefault="00000000">
            <w:pPr>
              <w:pStyle w:val="a2"/>
              <w:tabs>
                <w:tab w:val="decimal" w:pos="417"/>
              </w:tabs>
              <w:spacing w:line="280" w:lineRule="exact"/>
              <w:ind w:right="9"/>
              <w:rPr>
                <w:sz w:val="20"/>
              </w:rPr>
            </w:pPr>
            <w:r>
              <w:rPr>
                <w:sz w:val="20"/>
              </w:rPr>
              <w:t>43</w:t>
            </w:r>
          </w:p>
        </w:tc>
        <w:tc>
          <w:tcPr>
            <w:tcW w:w="841" w:type="dxa"/>
          </w:tcPr>
          <w:p w:rsidR="00000000" w:rsidRDefault="00000000">
            <w:pPr>
              <w:pStyle w:val="a2"/>
              <w:tabs>
                <w:tab w:val="decimal" w:pos="417"/>
              </w:tabs>
              <w:spacing w:line="280" w:lineRule="exact"/>
              <w:ind w:right="9"/>
              <w:rPr>
                <w:sz w:val="20"/>
              </w:rPr>
            </w:pPr>
            <w:r>
              <w:rPr>
                <w:sz w:val="20"/>
              </w:rPr>
              <w:t>40</w:t>
            </w:r>
          </w:p>
        </w:tc>
        <w:tc>
          <w:tcPr>
            <w:tcW w:w="842" w:type="dxa"/>
          </w:tcPr>
          <w:p w:rsidR="00000000" w:rsidRDefault="00000000">
            <w:pPr>
              <w:pStyle w:val="a2"/>
              <w:tabs>
                <w:tab w:val="decimal" w:pos="417"/>
              </w:tabs>
              <w:spacing w:line="280" w:lineRule="exact"/>
              <w:ind w:right="9"/>
              <w:rPr>
                <w:sz w:val="20"/>
              </w:rPr>
            </w:pPr>
            <w:r>
              <w:rPr>
                <w:sz w:val="20"/>
              </w:rPr>
              <w:t>33</w:t>
            </w:r>
          </w:p>
        </w:tc>
      </w:tr>
      <w:tr w:rsidR="00000000">
        <w:tblPrEx>
          <w:tblCellMar>
            <w:top w:w="0" w:type="dxa"/>
            <w:bottom w:w="0" w:type="dxa"/>
          </w:tblCellMar>
        </w:tblPrEx>
        <w:trPr>
          <w:cantSplit/>
        </w:trPr>
        <w:tc>
          <w:tcPr>
            <w:tcW w:w="2838" w:type="dxa"/>
          </w:tcPr>
          <w:p w:rsidR="00000000" w:rsidRDefault="00000000">
            <w:pPr>
              <w:pStyle w:val="a2"/>
              <w:spacing w:line="280" w:lineRule="exact"/>
              <w:jc w:val="left"/>
              <w:rPr>
                <w:rFonts w:hint="eastAsia"/>
                <w:sz w:val="20"/>
              </w:rPr>
            </w:pPr>
            <w:r>
              <w:rPr>
                <w:rFonts w:hint="eastAsia"/>
                <w:sz w:val="20"/>
              </w:rPr>
              <w:t>有</w:t>
            </w:r>
            <w:r>
              <w:rPr>
                <w:rFonts w:hint="eastAsia"/>
                <w:sz w:val="20"/>
              </w:rPr>
              <w:t>100</w:t>
            </w:r>
            <w:r>
              <w:rPr>
                <w:rFonts w:hint="eastAsia"/>
                <w:sz w:val="20"/>
              </w:rPr>
              <w:t>个座位的常设学前教育机构数</w:t>
            </w:r>
          </w:p>
        </w:tc>
        <w:tc>
          <w:tcPr>
            <w:tcW w:w="841" w:type="dxa"/>
          </w:tcPr>
          <w:p w:rsidR="00000000" w:rsidRDefault="00000000">
            <w:pPr>
              <w:pStyle w:val="a2"/>
              <w:tabs>
                <w:tab w:val="decimal" w:pos="417"/>
              </w:tabs>
              <w:spacing w:line="280" w:lineRule="exact"/>
              <w:ind w:right="9"/>
              <w:rPr>
                <w:sz w:val="20"/>
              </w:rPr>
            </w:pPr>
            <w:r>
              <w:rPr>
                <w:sz w:val="20"/>
              </w:rPr>
              <w:t>98</w:t>
            </w:r>
          </w:p>
        </w:tc>
        <w:tc>
          <w:tcPr>
            <w:tcW w:w="842" w:type="dxa"/>
          </w:tcPr>
          <w:p w:rsidR="00000000" w:rsidRDefault="00000000">
            <w:pPr>
              <w:pStyle w:val="a2"/>
              <w:tabs>
                <w:tab w:val="decimal" w:pos="417"/>
              </w:tabs>
              <w:spacing w:line="280" w:lineRule="exact"/>
              <w:ind w:right="9"/>
              <w:rPr>
                <w:sz w:val="20"/>
              </w:rPr>
            </w:pPr>
            <w:r>
              <w:rPr>
                <w:sz w:val="20"/>
              </w:rPr>
              <w:t>93</w:t>
            </w:r>
          </w:p>
        </w:tc>
        <w:tc>
          <w:tcPr>
            <w:tcW w:w="841" w:type="dxa"/>
          </w:tcPr>
          <w:p w:rsidR="00000000" w:rsidRDefault="00000000">
            <w:pPr>
              <w:pStyle w:val="a2"/>
              <w:tabs>
                <w:tab w:val="decimal" w:pos="417"/>
              </w:tabs>
              <w:spacing w:line="280" w:lineRule="exact"/>
              <w:ind w:right="9"/>
              <w:rPr>
                <w:sz w:val="20"/>
              </w:rPr>
            </w:pPr>
            <w:r>
              <w:rPr>
                <w:sz w:val="20"/>
              </w:rPr>
              <w:t>89</w:t>
            </w:r>
          </w:p>
        </w:tc>
        <w:tc>
          <w:tcPr>
            <w:tcW w:w="842" w:type="dxa"/>
          </w:tcPr>
          <w:p w:rsidR="00000000" w:rsidRDefault="00000000">
            <w:pPr>
              <w:pStyle w:val="a2"/>
              <w:tabs>
                <w:tab w:val="decimal" w:pos="417"/>
              </w:tabs>
              <w:spacing w:line="280" w:lineRule="exact"/>
              <w:ind w:right="9"/>
              <w:rPr>
                <w:sz w:val="20"/>
              </w:rPr>
            </w:pPr>
            <w:r>
              <w:rPr>
                <w:sz w:val="20"/>
              </w:rPr>
              <w:t>83</w:t>
            </w:r>
          </w:p>
        </w:tc>
        <w:tc>
          <w:tcPr>
            <w:tcW w:w="841" w:type="dxa"/>
          </w:tcPr>
          <w:p w:rsidR="00000000" w:rsidRDefault="00000000">
            <w:pPr>
              <w:pStyle w:val="a2"/>
              <w:tabs>
                <w:tab w:val="decimal" w:pos="417"/>
              </w:tabs>
              <w:spacing w:line="280" w:lineRule="exact"/>
              <w:ind w:right="9"/>
              <w:rPr>
                <w:sz w:val="20"/>
              </w:rPr>
            </w:pPr>
            <w:r>
              <w:rPr>
                <w:sz w:val="20"/>
              </w:rPr>
              <w:t>80</w:t>
            </w:r>
          </w:p>
        </w:tc>
        <w:tc>
          <w:tcPr>
            <w:tcW w:w="842" w:type="dxa"/>
          </w:tcPr>
          <w:p w:rsidR="00000000" w:rsidRDefault="00000000">
            <w:pPr>
              <w:pStyle w:val="a2"/>
              <w:tabs>
                <w:tab w:val="decimal" w:pos="417"/>
              </w:tabs>
              <w:spacing w:line="280" w:lineRule="exact"/>
              <w:ind w:right="9"/>
              <w:rPr>
                <w:sz w:val="20"/>
              </w:rPr>
            </w:pPr>
            <w:r>
              <w:rPr>
                <w:sz w:val="20"/>
              </w:rPr>
              <w:t>78</w:t>
            </w:r>
          </w:p>
        </w:tc>
        <w:tc>
          <w:tcPr>
            <w:tcW w:w="841" w:type="dxa"/>
          </w:tcPr>
          <w:p w:rsidR="00000000" w:rsidRDefault="00000000">
            <w:pPr>
              <w:pStyle w:val="a2"/>
              <w:tabs>
                <w:tab w:val="decimal" w:pos="417"/>
              </w:tabs>
              <w:spacing w:line="280" w:lineRule="exact"/>
              <w:ind w:right="9"/>
              <w:rPr>
                <w:sz w:val="20"/>
              </w:rPr>
            </w:pPr>
            <w:r>
              <w:rPr>
                <w:sz w:val="20"/>
              </w:rPr>
              <w:t>76</w:t>
            </w:r>
          </w:p>
        </w:tc>
        <w:tc>
          <w:tcPr>
            <w:tcW w:w="842" w:type="dxa"/>
          </w:tcPr>
          <w:p w:rsidR="00000000" w:rsidRDefault="00000000">
            <w:pPr>
              <w:pStyle w:val="a2"/>
              <w:tabs>
                <w:tab w:val="decimal" w:pos="417"/>
              </w:tabs>
              <w:spacing w:line="280" w:lineRule="exact"/>
              <w:ind w:right="9"/>
              <w:rPr>
                <w:sz w:val="20"/>
              </w:rPr>
            </w:pPr>
            <w:r>
              <w:rPr>
                <w:sz w:val="20"/>
              </w:rPr>
              <w:t>66</w:t>
            </w:r>
          </w:p>
        </w:tc>
      </w:tr>
      <w:tr w:rsidR="00000000">
        <w:tblPrEx>
          <w:tblCellMar>
            <w:top w:w="0" w:type="dxa"/>
            <w:bottom w:w="0" w:type="dxa"/>
          </w:tblCellMar>
        </w:tblPrEx>
        <w:trPr>
          <w:cantSplit/>
          <w:trHeight w:val="357"/>
        </w:trPr>
        <w:tc>
          <w:tcPr>
            <w:tcW w:w="2838" w:type="dxa"/>
          </w:tcPr>
          <w:p w:rsidR="00000000" w:rsidRDefault="00000000">
            <w:pPr>
              <w:pStyle w:val="a2"/>
              <w:spacing w:line="280" w:lineRule="exact"/>
              <w:jc w:val="left"/>
              <w:rPr>
                <w:rFonts w:hint="eastAsia"/>
                <w:sz w:val="20"/>
              </w:rPr>
            </w:pPr>
            <w:r>
              <w:rPr>
                <w:rFonts w:hint="eastAsia"/>
                <w:sz w:val="20"/>
              </w:rPr>
              <w:t>每位教师所负责的儿童数</w:t>
            </w:r>
          </w:p>
        </w:tc>
        <w:tc>
          <w:tcPr>
            <w:tcW w:w="841" w:type="dxa"/>
          </w:tcPr>
          <w:p w:rsidR="00000000" w:rsidRDefault="00000000">
            <w:pPr>
              <w:pStyle w:val="a2"/>
              <w:tabs>
                <w:tab w:val="decimal" w:pos="417"/>
              </w:tabs>
              <w:spacing w:line="280" w:lineRule="exact"/>
              <w:ind w:left="-3" w:right="9" w:firstLine="3"/>
              <w:rPr>
                <w:sz w:val="20"/>
              </w:rPr>
            </w:pPr>
            <w:r>
              <w:rPr>
                <w:sz w:val="20"/>
              </w:rPr>
              <w:t>9</w:t>
            </w:r>
          </w:p>
        </w:tc>
        <w:tc>
          <w:tcPr>
            <w:tcW w:w="842" w:type="dxa"/>
          </w:tcPr>
          <w:p w:rsidR="00000000" w:rsidRDefault="00000000">
            <w:pPr>
              <w:pStyle w:val="a2"/>
              <w:tabs>
                <w:tab w:val="decimal" w:pos="417"/>
              </w:tabs>
              <w:spacing w:line="280" w:lineRule="exact"/>
              <w:ind w:left="-3" w:right="9" w:firstLine="3"/>
              <w:rPr>
                <w:sz w:val="20"/>
              </w:rPr>
            </w:pPr>
            <w:r>
              <w:rPr>
                <w:sz w:val="20"/>
              </w:rPr>
              <w:t>9</w:t>
            </w:r>
          </w:p>
        </w:tc>
        <w:tc>
          <w:tcPr>
            <w:tcW w:w="841" w:type="dxa"/>
          </w:tcPr>
          <w:p w:rsidR="00000000" w:rsidRDefault="00000000">
            <w:pPr>
              <w:pStyle w:val="a2"/>
              <w:tabs>
                <w:tab w:val="decimal" w:pos="417"/>
              </w:tabs>
              <w:spacing w:line="280" w:lineRule="exact"/>
              <w:ind w:left="-3" w:right="9" w:firstLine="3"/>
              <w:rPr>
                <w:sz w:val="20"/>
              </w:rPr>
            </w:pPr>
            <w:r>
              <w:rPr>
                <w:sz w:val="20"/>
              </w:rPr>
              <w:t>9</w:t>
            </w:r>
          </w:p>
        </w:tc>
        <w:tc>
          <w:tcPr>
            <w:tcW w:w="842" w:type="dxa"/>
          </w:tcPr>
          <w:p w:rsidR="00000000" w:rsidRDefault="00000000">
            <w:pPr>
              <w:pStyle w:val="a2"/>
              <w:tabs>
                <w:tab w:val="decimal" w:pos="417"/>
              </w:tabs>
              <w:spacing w:line="280" w:lineRule="exact"/>
              <w:ind w:left="-3" w:right="9" w:firstLine="3"/>
              <w:rPr>
                <w:sz w:val="20"/>
              </w:rPr>
            </w:pPr>
            <w:r>
              <w:rPr>
                <w:sz w:val="20"/>
              </w:rPr>
              <w:t>9</w:t>
            </w:r>
          </w:p>
        </w:tc>
        <w:tc>
          <w:tcPr>
            <w:tcW w:w="841" w:type="dxa"/>
          </w:tcPr>
          <w:p w:rsidR="00000000" w:rsidRDefault="00000000">
            <w:pPr>
              <w:pStyle w:val="a2"/>
              <w:tabs>
                <w:tab w:val="decimal" w:pos="417"/>
              </w:tabs>
              <w:spacing w:line="280" w:lineRule="exact"/>
              <w:ind w:left="-3" w:right="9" w:firstLine="3"/>
              <w:rPr>
                <w:sz w:val="20"/>
              </w:rPr>
            </w:pPr>
            <w:r>
              <w:rPr>
                <w:sz w:val="20"/>
              </w:rPr>
              <w:t>10</w:t>
            </w:r>
          </w:p>
        </w:tc>
        <w:tc>
          <w:tcPr>
            <w:tcW w:w="842" w:type="dxa"/>
          </w:tcPr>
          <w:p w:rsidR="00000000" w:rsidRDefault="00000000">
            <w:pPr>
              <w:pStyle w:val="a2"/>
              <w:tabs>
                <w:tab w:val="decimal" w:pos="417"/>
              </w:tabs>
              <w:spacing w:line="280" w:lineRule="exact"/>
              <w:ind w:left="-3" w:right="9" w:firstLine="3"/>
              <w:rPr>
                <w:sz w:val="20"/>
              </w:rPr>
            </w:pPr>
            <w:r>
              <w:rPr>
                <w:sz w:val="20"/>
              </w:rPr>
              <w:t>9</w:t>
            </w:r>
          </w:p>
        </w:tc>
        <w:tc>
          <w:tcPr>
            <w:tcW w:w="841" w:type="dxa"/>
          </w:tcPr>
          <w:p w:rsidR="00000000" w:rsidRDefault="00000000">
            <w:pPr>
              <w:pStyle w:val="a2"/>
              <w:tabs>
                <w:tab w:val="decimal" w:pos="417"/>
              </w:tabs>
              <w:spacing w:line="280" w:lineRule="exact"/>
              <w:ind w:left="-3" w:right="9" w:firstLine="3"/>
              <w:rPr>
                <w:sz w:val="20"/>
              </w:rPr>
            </w:pPr>
            <w:r>
              <w:rPr>
                <w:sz w:val="20"/>
              </w:rPr>
              <w:t>10</w:t>
            </w:r>
          </w:p>
        </w:tc>
        <w:tc>
          <w:tcPr>
            <w:tcW w:w="842" w:type="dxa"/>
          </w:tcPr>
          <w:p w:rsidR="00000000" w:rsidRDefault="00000000">
            <w:pPr>
              <w:pStyle w:val="a2"/>
              <w:tabs>
                <w:tab w:val="decimal" w:pos="417"/>
              </w:tabs>
              <w:spacing w:line="280" w:lineRule="exact"/>
              <w:ind w:left="-3" w:right="9" w:firstLine="3"/>
              <w:rPr>
                <w:sz w:val="20"/>
              </w:rPr>
            </w:pPr>
            <w:r>
              <w:rPr>
                <w:sz w:val="20"/>
              </w:rPr>
              <w:t>10</w:t>
            </w:r>
          </w:p>
        </w:tc>
      </w:tr>
    </w:tbl>
    <w:p w:rsidR="00000000" w:rsidRDefault="00000000">
      <w:pPr>
        <w:spacing w:before="120"/>
        <w:rPr>
          <w:rFonts w:hint="eastAsia"/>
        </w:rPr>
      </w:pPr>
      <w:r>
        <w:tab/>
      </w:r>
      <w:r>
        <w:rPr>
          <w:rFonts w:eastAsia="KaiTi_GB2312" w:hint="eastAsia"/>
          <w:spacing w:val="0"/>
          <w:u w:val="single"/>
        </w:rPr>
        <w:t>资料来源</w:t>
      </w:r>
      <w:r>
        <w:rPr>
          <w:rFonts w:eastAsia="KaiTi_GB2312" w:hint="eastAsia"/>
          <w:spacing w:val="0"/>
        </w:rPr>
        <w:t>：统计和社会分析局</w:t>
      </w:r>
      <w:r>
        <w:rPr>
          <w:rFonts w:hint="eastAsia"/>
        </w:rPr>
        <w:t>。</w:t>
      </w:r>
    </w:p>
    <w:p w:rsidR="00000000" w:rsidRDefault="00000000">
      <w:pPr>
        <w:rPr>
          <w:rFonts w:hint="eastAsia"/>
        </w:rPr>
      </w:pPr>
      <w:r>
        <w:rPr>
          <w:rFonts w:hint="eastAsia"/>
        </w:rPr>
        <w:tab/>
        <w:t xml:space="preserve">539.  </w:t>
      </w:r>
      <w:r>
        <w:rPr>
          <w:rFonts w:ascii="Time New Roman" w:eastAsia="SimHei" w:hAnsi="Time New Roman" w:hint="eastAsia"/>
        </w:rPr>
        <w:t>综合教育</w:t>
      </w:r>
      <w:r>
        <w:rPr>
          <w:rFonts w:hint="eastAsia"/>
        </w:rPr>
        <w:t>包括小学教育</w:t>
      </w:r>
      <w:r>
        <w:rPr>
          <w:rFonts w:hint="eastAsia"/>
        </w:rPr>
        <w:t>(1-4</w:t>
      </w:r>
      <w:r>
        <w:rPr>
          <w:rFonts w:hint="eastAsia"/>
        </w:rPr>
        <w:t>年级</w:t>
      </w:r>
      <w:r>
        <w:rPr>
          <w:rFonts w:hint="eastAsia"/>
        </w:rPr>
        <w:t>)</w:t>
      </w:r>
      <w:r>
        <w:rPr>
          <w:rFonts w:hint="eastAsia"/>
        </w:rPr>
        <w:t>，初中教育</w:t>
      </w:r>
      <w:r>
        <w:rPr>
          <w:rFonts w:hint="eastAsia"/>
        </w:rPr>
        <w:t>(5-9</w:t>
      </w:r>
      <w:r>
        <w:rPr>
          <w:rFonts w:hint="eastAsia"/>
        </w:rPr>
        <w:t>年级</w:t>
      </w:r>
      <w:r>
        <w:rPr>
          <w:rFonts w:hint="eastAsia"/>
        </w:rPr>
        <w:t>)</w:t>
      </w:r>
      <w:r>
        <w:rPr>
          <w:rFonts w:hint="eastAsia"/>
        </w:rPr>
        <w:t>和高中教育</w:t>
      </w:r>
      <w:r>
        <w:rPr>
          <w:rFonts w:hint="eastAsia"/>
        </w:rPr>
        <w:t>(10-12</w:t>
      </w:r>
      <w:r>
        <w:rPr>
          <w:rFonts w:hint="eastAsia"/>
        </w:rPr>
        <w:t>年级</w:t>
      </w:r>
      <w:r>
        <w:rPr>
          <w:rFonts w:hint="eastAsia"/>
        </w:rPr>
        <w:t>)</w:t>
      </w:r>
      <w:r>
        <w:rPr>
          <w:rFonts w:hint="eastAsia"/>
        </w:rPr>
        <w:t>。</w:t>
      </w:r>
    </w:p>
    <w:p w:rsidR="00000000" w:rsidRDefault="00000000">
      <w:pPr>
        <w:rPr>
          <w:rFonts w:hint="eastAsia"/>
        </w:rPr>
      </w:pPr>
      <w:r>
        <w:rPr>
          <w:rFonts w:hint="eastAsia"/>
        </w:rPr>
        <w:tab/>
        <w:t xml:space="preserve">540.  </w:t>
      </w:r>
      <w:r>
        <w:rPr>
          <w:rFonts w:hint="eastAsia"/>
        </w:rPr>
        <w:t>小学和初中实行义务教育。普通义务教育的时间是</w:t>
      </w:r>
      <w:r>
        <w:rPr>
          <w:rFonts w:hint="eastAsia"/>
        </w:rPr>
        <w:t>9</w:t>
      </w:r>
      <w:r>
        <w:rPr>
          <w:rFonts w:hint="eastAsia"/>
        </w:rPr>
        <w:t>年。强制性上学到学生满</w:t>
      </w:r>
      <w:r>
        <w:rPr>
          <w:rFonts w:hint="eastAsia"/>
        </w:rPr>
        <w:t>16</w:t>
      </w:r>
      <w:r>
        <w:rPr>
          <w:rFonts w:hint="eastAsia"/>
        </w:rPr>
        <w:t>岁那年的学年末为止。</w:t>
      </w:r>
    </w:p>
    <w:p w:rsidR="00000000" w:rsidRDefault="00000000">
      <w:pPr>
        <w:rPr>
          <w:rFonts w:hint="eastAsia"/>
        </w:rPr>
      </w:pPr>
      <w:r>
        <w:rPr>
          <w:rFonts w:hint="eastAsia"/>
        </w:rPr>
        <w:tab/>
        <w:t>541.  1996</w:t>
      </w:r>
      <w:r>
        <w:rPr>
          <w:rFonts w:hint="eastAsia"/>
        </w:rPr>
        <w:t>年</w:t>
      </w:r>
      <w:r>
        <w:rPr>
          <w:rFonts w:hint="eastAsia"/>
        </w:rPr>
        <w:t>9</w:t>
      </w:r>
      <w:r>
        <w:rPr>
          <w:rFonts w:hint="eastAsia"/>
        </w:rPr>
        <w:t>月</w:t>
      </w:r>
      <w:r>
        <w:rPr>
          <w:rFonts w:hint="eastAsia"/>
        </w:rPr>
        <w:t>1</w:t>
      </w:r>
      <w:r>
        <w:rPr>
          <w:rFonts w:hint="eastAsia"/>
        </w:rPr>
        <w:t>日，在小学教育阶段引进了根据新的教育学要求详细拟订的一部新的教育大纲。制作并出版了新的课本。</w:t>
      </w:r>
    </w:p>
    <w:p w:rsidR="00000000" w:rsidRDefault="00000000">
      <w:pPr>
        <w:rPr>
          <w:rFonts w:hint="eastAsia"/>
        </w:rPr>
      </w:pPr>
      <w:r>
        <w:rPr>
          <w:rFonts w:hint="eastAsia"/>
        </w:rPr>
        <w:tab/>
        <w:t xml:space="preserve">542.  </w:t>
      </w:r>
      <w:r>
        <w:rPr>
          <w:rFonts w:hint="eastAsia"/>
        </w:rPr>
        <w:t>与其他教育阶段相比，小学教育比其他阶段享有优先出版与新大纲有关的同步教材的权利。但由于资金不足，教材难以按期完成和交付。出于同样的原因，不得不对课本实行收费</w:t>
      </w:r>
      <w:r>
        <w:rPr>
          <w:rFonts w:hint="eastAsia"/>
        </w:rPr>
        <w:t>(</w:t>
      </w:r>
      <w:r>
        <w:rPr>
          <w:rFonts w:hint="eastAsia"/>
        </w:rPr>
        <w:t>全部或部分</w:t>
      </w:r>
      <w:r>
        <w:rPr>
          <w:rFonts w:hint="eastAsia"/>
        </w:rPr>
        <w:t>)</w:t>
      </w:r>
      <w:r>
        <w:rPr>
          <w:rFonts w:hint="eastAsia"/>
        </w:rPr>
        <w:t>，这损害到经济能力有限的家庭。</w:t>
      </w:r>
    </w:p>
    <w:p w:rsidR="00000000" w:rsidRDefault="00000000">
      <w:pPr>
        <w:rPr>
          <w:rFonts w:hint="eastAsia"/>
        </w:rPr>
      </w:pPr>
      <w:r>
        <w:rPr>
          <w:rFonts w:hint="eastAsia"/>
        </w:rPr>
        <w:tab/>
        <w:t xml:space="preserve">543.  </w:t>
      </w:r>
      <w:r>
        <w:rPr>
          <w:rFonts w:hint="eastAsia"/>
        </w:rPr>
        <w:t>教育计划的修订减轻了学生负担，为每周</w:t>
      </w:r>
      <w:r>
        <w:rPr>
          <w:rFonts w:hint="eastAsia"/>
        </w:rPr>
        <w:t>5</w:t>
      </w:r>
      <w:r>
        <w:rPr>
          <w:rFonts w:hint="eastAsia"/>
        </w:rPr>
        <w:t>天制的教学安排创造了可能。</w:t>
      </w:r>
    </w:p>
    <w:p w:rsidR="00000000" w:rsidRDefault="00000000">
      <w:pPr>
        <w:rPr>
          <w:rFonts w:hint="eastAsia"/>
        </w:rPr>
      </w:pPr>
      <w:r>
        <w:rPr>
          <w:rFonts w:hint="eastAsia"/>
        </w:rPr>
        <w:tab/>
        <w:t xml:space="preserve">544.  </w:t>
      </w:r>
      <w:r>
        <w:rPr>
          <w:rFonts w:hint="eastAsia"/>
        </w:rPr>
        <w:t>为优化学前和小学教育单位网络，建立了一种新型的混合制学校。如果说，这种体制从教学角度对学生有可取之处，但长期存在的教育活动条件受限的问题则会使本应取得的积极效果打了折扣。</w:t>
      </w:r>
    </w:p>
    <w:p w:rsidR="00000000" w:rsidRDefault="00000000">
      <w:pPr>
        <w:rPr>
          <w:rFonts w:hint="eastAsia"/>
        </w:rPr>
      </w:pPr>
      <w:r>
        <w:rPr>
          <w:rFonts w:hint="eastAsia"/>
        </w:rPr>
        <w:tab/>
        <w:t xml:space="preserve">545.  </w:t>
      </w:r>
      <w:r>
        <w:rPr>
          <w:rFonts w:hint="eastAsia"/>
        </w:rPr>
        <w:t>根据教育的目标，学校项目中包括了一些主要价值观如：</w:t>
      </w:r>
    </w:p>
    <w:p w:rsidR="00000000" w:rsidRDefault="00000000">
      <w:pPr>
        <w:pStyle w:val="ac"/>
        <w:ind w:left="1785" w:firstLine="0"/>
        <w:rPr>
          <w:rFonts w:hint="eastAsia"/>
        </w:rPr>
      </w:pPr>
      <w:r>
        <w:rPr>
          <w:rFonts w:hint="eastAsia"/>
        </w:rPr>
        <w:t>对民主的渴求；</w:t>
      </w:r>
    </w:p>
    <w:p w:rsidR="00000000" w:rsidRDefault="00000000">
      <w:pPr>
        <w:pStyle w:val="ac"/>
        <w:ind w:left="1785" w:firstLine="0"/>
        <w:rPr>
          <w:rFonts w:hint="eastAsia"/>
        </w:rPr>
      </w:pPr>
      <w:r>
        <w:rPr>
          <w:rFonts w:hint="eastAsia"/>
        </w:rPr>
        <w:t>对包括儿童权利在内的人权的尊重；</w:t>
      </w:r>
    </w:p>
    <w:p w:rsidR="00000000" w:rsidRDefault="00000000">
      <w:pPr>
        <w:pStyle w:val="ac"/>
        <w:ind w:left="1785" w:firstLine="0"/>
        <w:rPr>
          <w:rFonts w:hint="eastAsia"/>
        </w:rPr>
      </w:pPr>
      <w:r>
        <w:rPr>
          <w:rFonts w:hint="eastAsia"/>
        </w:rPr>
        <w:t>生态的平衡；</w:t>
      </w:r>
    </w:p>
    <w:p w:rsidR="00000000" w:rsidRDefault="00000000">
      <w:pPr>
        <w:pStyle w:val="ac"/>
        <w:ind w:left="1785" w:firstLine="0"/>
        <w:rPr>
          <w:rFonts w:hint="eastAsia"/>
        </w:rPr>
      </w:pPr>
      <w:r>
        <w:rPr>
          <w:rFonts w:hint="eastAsia"/>
        </w:rPr>
        <w:t>宽容与和平；</w:t>
      </w:r>
    </w:p>
    <w:p w:rsidR="00000000" w:rsidRDefault="00000000">
      <w:pPr>
        <w:pStyle w:val="ac"/>
        <w:ind w:left="1785" w:firstLine="0"/>
        <w:rPr>
          <w:rFonts w:hint="eastAsia"/>
        </w:rPr>
      </w:pPr>
      <w:r>
        <w:rPr>
          <w:rFonts w:hint="eastAsia"/>
        </w:rPr>
        <w:t>文化传统等。</w:t>
      </w:r>
    </w:p>
    <w:p w:rsidR="00000000" w:rsidRDefault="00000000">
      <w:pPr>
        <w:rPr>
          <w:rFonts w:hint="eastAsia"/>
        </w:rPr>
      </w:pPr>
      <w:r>
        <w:rPr>
          <w:rFonts w:hint="eastAsia"/>
        </w:rPr>
        <w:tab/>
        <w:t xml:space="preserve">546.  </w:t>
      </w:r>
      <w:r>
        <w:rPr>
          <w:rFonts w:hint="eastAsia"/>
        </w:rPr>
        <w:t>初中阶段。从世界历史的观点来看待上述价值观，并把它们放到国家政策和各西方国家的政治和社会项目中研究。《儿童权利公约》被放在主题为“婚姻与家庭”的框架内单独研究。</w:t>
      </w:r>
    </w:p>
    <w:p w:rsidR="00000000" w:rsidRDefault="00000000">
      <w:pPr>
        <w:rPr>
          <w:rFonts w:hint="eastAsia"/>
        </w:rPr>
      </w:pPr>
      <w:r>
        <w:rPr>
          <w:rFonts w:hint="eastAsia"/>
        </w:rPr>
        <w:tab/>
        <w:t xml:space="preserve">547.  </w:t>
      </w:r>
      <w:r>
        <w:rPr>
          <w:rFonts w:hint="eastAsia"/>
        </w:rPr>
        <w:t>高中教育为继续接受高等或职业教育提供必要的关于普通文化的基本理论准备和培训。高中教育结束时进行学士学位考试。这个阶段通过历史、哲学、经济和罗马尼亚文学等多棱教学使学生形成普遍的人类价值观。高中年级的公民教育大纲是与“人权领域指导与教育学会”合作拟订的。大纲以有关人权和儿童权利的国际文书为重点。</w:t>
      </w:r>
    </w:p>
    <w:p w:rsidR="00000000" w:rsidRDefault="00000000">
      <w:pPr>
        <w:rPr>
          <w:rFonts w:hint="eastAsia"/>
        </w:rPr>
      </w:pPr>
      <w:r>
        <w:rPr>
          <w:rFonts w:hint="eastAsia"/>
        </w:rPr>
        <w:tab/>
        <w:t xml:space="preserve">548.  </w:t>
      </w:r>
      <w:r>
        <w:rPr>
          <w:rFonts w:hint="eastAsia"/>
        </w:rPr>
        <w:t>关于</w:t>
      </w:r>
      <w:r>
        <w:rPr>
          <w:rFonts w:hint="eastAsia"/>
        </w:rPr>
        <w:t>6-16</w:t>
      </w:r>
      <w:r>
        <w:rPr>
          <w:rFonts w:hint="eastAsia"/>
        </w:rPr>
        <w:t>岁儿童的入学问题，经核定，</w:t>
      </w:r>
      <w:r>
        <w:rPr>
          <w:rFonts w:hint="eastAsia"/>
        </w:rPr>
        <w:t>1998</w:t>
      </w:r>
      <w:r>
        <w:rPr>
          <w:rFonts w:hint="eastAsia"/>
        </w:rPr>
        <w:t>年</w:t>
      </w:r>
      <w:r>
        <w:rPr>
          <w:rFonts w:hint="eastAsia"/>
        </w:rPr>
        <w:t>12</w:t>
      </w:r>
      <w:r>
        <w:rPr>
          <w:rFonts w:hint="eastAsia"/>
        </w:rPr>
        <w:t>月，共和国共有</w:t>
      </w:r>
      <w:r>
        <w:rPr>
          <w:rFonts w:hint="eastAsia"/>
        </w:rPr>
        <w:t>4,377</w:t>
      </w:r>
      <w:r>
        <w:rPr>
          <w:rFonts w:hint="eastAsia"/>
        </w:rPr>
        <w:t>名儿童</w:t>
      </w:r>
      <w:r>
        <w:rPr>
          <w:rFonts w:hint="eastAsia"/>
        </w:rPr>
        <w:t>(0.58%)</w:t>
      </w:r>
      <w:r>
        <w:rPr>
          <w:rFonts w:hint="eastAsia"/>
        </w:rPr>
        <w:t>没有上学。与</w:t>
      </w:r>
      <w:r>
        <w:rPr>
          <w:rFonts w:hint="eastAsia"/>
        </w:rPr>
        <w:t>1998</w:t>
      </w:r>
      <w:r>
        <w:rPr>
          <w:rFonts w:hint="eastAsia"/>
        </w:rPr>
        <w:t>年</w:t>
      </w:r>
      <w:r>
        <w:rPr>
          <w:rFonts w:hint="eastAsia"/>
        </w:rPr>
        <w:t>9</w:t>
      </w:r>
      <w:r>
        <w:rPr>
          <w:rFonts w:hint="eastAsia"/>
        </w:rPr>
        <w:t>月相比，减少了</w:t>
      </w:r>
      <w:r>
        <w:rPr>
          <w:rFonts w:hint="eastAsia"/>
        </w:rPr>
        <w:t>787</w:t>
      </w:r>
      <w:r>
        <w:rPr>
          <w:rFonts w:hint="eastAsia"/>
        </w:rPr>
        <w:t>名儿童。没有上学的儿童中共有</w:t>
      </w:r>
      <w:r>
        <w:rPr>
          <w:rFonts w:hint="eastAsia"/>
        </w:rPr>
        <w:t>1,080</w:t>
      </w:r>
      <w:r>
        <w:rPr>
          <w:rFonts w:hint="eastAsia"/>
        </w:rPr>
        <w:t>名</w:t>
      </w:r>
      <w:r>
        <w:rPr>
          <w:rFonts w:hint="eastAsia"/>
        </w:rPr>
        <w:t>(24.7%)</w:t>
      </w:r>
      <w:r>
        <w:rPr>
          <w:rFonts w:hint="eastAsia"/>
        </w:rPr>
        <w:t>处在上小学的年龄。主要原因是家长不同意以及许多家庭的物质状况所限。低收入家庭的孩子们必须做工以维持自己的生活；因此入学率在下降。</w:t>
      </w:r>
    </w:p>
    <w:p w:rsidR="00000000" w:rsidRDefault="00000000">
      <w:pPr>
        <w:spacing w:after="320"/>
        <w:rPr>
          <w:rFonts w:hint="eastAsia"/>
        </w:rPr>
      </w:pPr>
      <w:r>
        <w:rPr>
          <w:rFonts w:hint="eastAsia"/>
        </w:rPr>
        <w:tab/>
        <w:t xml:space="preserve">549.  </w:t>
      </w:r>
      <w:r>
        <w:rPr>
          <w:rFonts w:hint="eastAsia"/>
        </w:rPr>
        <w:t>燃料匮乏、电力中断、营养不良、学校家具陈旧以及物质能力有限是儿童培养和人格开发工作的主要障碍。</w:t>
      </w:r>
    </w:p>
    <w:p w:rsidR="00000000" w:rsidRDefault="00000000">
      <w:pPr>
        <w:pStyle w:val="Heading3"/>
        <w:spacing w:after="120" w:line="288" w:lineRule="auto"/>
        <w:rPr>
          <w:rFonts w:hint="eastAsia"/>
        </w:rPr>
      </w:pPr>
      <w:r>
        <w:rPr>
          <w:u w:val="none"/>
        </w:rPr>
        <w:br w:type="page"/>
      </w:r>
      <w:r>
        <w:rPr>
          <w:rFonts w:hint="eastAsia"/>
          <w:u w:val="none"/>
        </w:rPr>
        <w:t>表</w:t>
      </w:r>
      <w:r>
        <w:rPr>
          <w:rFonts w:hint="eastAsia"/>
          <w:u w:val="none"/>
        </w:rPr>
        <w:t xml:space="preserve">37.  </w:t>
      </w:r>
      <w:r>
        <w:rPr>
          <w:rFonts w:hint="eastAsia"/>
        </w:rPr>
        <w:t>国家教育开支</w:t>
      </w:r>
    </w:p>
    <w:tbl>
      <w:tblPr>
        <w:tblW w:w="5000" w:type="pct"/>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3104"/>
        <w:gridCol w:w="1590"/>
        <w:gridCol w:w="1591"/>
        <w:gridCol w:w="1235"/>
        <w:gridCol w:w="2050"/>
      </w:tblGrid>
      <w:tr w:rsidR="00000000">
        <w:tblPrEx>
          <w:tblCellMar>
            <w:top w:w="0" w:type="dxa"/>
            <w:bottom w:w="0" w:type="dxa"/>
          </w:tblCellMar>
        </w:tblPrEx>
        <w:trPr>
          <w:cantSplit/>
          <w:trHeight w:val="453"/>
        </w:trPr>
        <w:tc>
          <w:tcPr>
            <w:tcW w:w="1622" w:type="pct"/>
            <w:tcBorders>
              <w:top w:val="single" w:sz="6" w:space="0" w:color="auto"/>
              <w:bottom w:val="single" w:sz="6" w:space="0" w:color="auto"/>
            </w:tcBorders>
          </w:tcPr>
          <w:p w:rsidR="00000000" w:rsidRDefault="00000000">
            <w:pPr>
              <w:pStyle w:val="a2"/>
              <w:spacing w:line="210" w:lineRule="exact"/>
              <w:rPr>
                <w:sz w:val="18"/>
              </w:rPr>
            </w:pPr>
          </w:p>
        </w:tc>
        <w:tc>
          <w:tcPr>
            <w:tcW w:w="831" w:type="pct"/>
            <w:tcBorders>
              <w:top w:val="single" w:sz="6" w:space="0" w:color="auto"/>
              <w:bottom w:val="single" w:sz="6" w:space="0" w:color="auto"/>
            </w:tcBorders>
          </w:tcPr>
          <w:p w:rsidR="00000000" w:rsidRDefault="00000000">
            <w:pPr>
              <w:pStyle w:val="a2"/>
              <w:spacing w:before="120" w:line="210" w:lineRule="exact"/>
              <w:rPr>
                <w:rFonts w:hint="eastAsia"/>
                <w:sz w:val="18"/>
              </w:rPr>
            </w:pPr>
            <w:r>
              <w:rPr>
                <w:rFonts w:hint="eastAsia"/>
                <w:sz w:val="18"/>
              </w:rPr>
              <w:t>平均机构总数</w:t>
            </w:r>
          </w:p>
        </w:tc>
        <w:tc>
          <w:tcPr>
            <w:tcW w:w="831" w:type="pct"/>
            <w:tcBorders>
              <w:top w:val="single" w:sz="6" w:space="0" w:color="auto"/>
              <w:bottom w:val="single" w:sz="6" w:space="0" w:color="auto"/>
            </w:tcBorders>
          </w:tcPr>
          <w:p w:rsidR="00000000" w:rsidRDefault="00000000">
            <w:pPr>
              <w:pStyle w:val="a2"/>
              <w:spacing w:line="210" w:lineRule="exact"/>
              <w:jc w:val="center"/>
              <w:rPr>
                <w:sz w:val="18"/>
              </w:rPr>
            </w:pPr>
            <w:r>
              <w:rPr>
                <w:rFonts w:hint="eastAsia"/>
                <w:sz w:val="18"/>
              </w:rPr>
              <w:t>平均儿童总数</w:t>
            </w:r>
          </w:p>
          <w:p w:rsidR="00000000" w:rsidRDefault="00000000">
            <w:pPr>
              <w:pStyle w:val="a2"/>
              <w:spacing w:line="210" w:lineRule="exact"/>
              <w:jc w:val="center"/>
              <w:rPr>
                <w:sz w:val="18"/>
              </w:rPr>
            </w:pPr>
            <w:r>
              <w:rPr>
                <w:sz w:val="18"/>
              </w:rPr>
              <w:t>(</w:t>
            </w:r>
            <w:r>
              <w:rPr>
                <w:rFonts w:hint="eastAsia"/>
                <w:sz w:val="18"/>
              </w:rPr>
              <w:t>千</w:t>
            </w:r>
            <w:r>
              <w:rPr>
                <w:rFonts w:hint="eastAsia"/>
                <w:sz w:val="18"/>
              </w:rPr>
              <w:t xml:space="preserve">  </w:t>
            </w:r>
            <w:r>
              <w:rPr>
                <w:rFonts w:hint="eastAsia"/>
                <w:sz w:val="18"/>
              </w:rPr>
              <w:t>人</w:t>
            </w:r>
            <w:r>
              <w:rPr>
                <w:sz w:val="18"/>
              </w:rPr>
              <w:t>)</w:t>
            </w:r>
          </w:p>
        </w:tc>
        <w:tc>
          <w:tcPr>
            <w:tcW w:w="645" w:type="pct"/>
            <w:tcBorders>
              <w:top w:val="single" w:sz="6" w:space="0" w:color="auto"/>
              <w:bottom w:val="single" w:sz="6" w:space="0" w:color="auto"/>
            </w:tcBorders>
          </w:tcPr>
          <w:p w:rsidR="00000000" w:rsidRDefault="00000000">
            <w:pPr>
              <w:pStyle w:val="a2"/>
              <w:spacing w:line="210" w:lineRule="exact"/>
              <w:jc w:val="center"/>
              <w:rPr>
                <w:sz w:val="18"/>
              </w:rPr>
            </w:pPr>
            <w:r>
              <w:rPr>
                <w:rFonts w:hint="eastAsia"/>
                <w:sz w:val="18"/>
              </w:rPr>
              <w:t>年度开支</w:t>
            </w:r>
          </w:p>
          <w:p w:rsidR="00000000" w:rsidRDefault="00000000">
            <w:pPr>
              <w:pStyle w:val="a2"/>
              <w:spacing w:line="210" w:lineRule="exact"/>
              <w:jc w:val="center"/>
              <w:rPr>
                <w:rFonts w:hint="eastAsia"/>
                <w:sz w:val="18"/>
              </w:rPr>
            </w:pPr>
            <w:r>
              <w:rPr>
                <w:rFonts w:hint="eastAsia"/>
                <w:sz w:val="18"/>
              </w:rPr>
              <w:t>(</w:t>
            </w:r>
            <w:r>
              <w:rPr>
                <w:rFonts w:hint="eastAsia"/>
                <w:sz w:val="18"/>
              </w:rPr>
              <w:t>千列依</w:t>
            </w:r>
            <w:r>
              <w:rPr>
                <w:rFonts w:hint="eastAsia"/>
                <w:sz w:val="18"/>
              </w:rPr>
              <w:t>)</w:t>
            </w:r>
          </w:p>
        </w:tc>
        <w:tc>
          <w:tcPr>
            <w:tcW w:w="1071" w:type="pct"/>
            <w:tcBorders>
              <w:top w:val="single" w:sz="6" w:space="0" w:color="auto"/>
              <w:bottom w:val="single" w:sz="6" w:space="0" w:color="auto"/>
            </w:tcBorders>
          </w:tcPr>
          <w:p w:rsidR="00000000" w:rsidRDefault="00000000">
            <w:pPr>
              <w:pStyle w:val="a2"/>
              <w:spacing w:line="210" w:lineRule="exact"/>
              <w:jc w:val="center"/>
              <w:rPr>
                <w:sz w:val="18"/>
              </w:rPr>
            </w:pPr>
            <w:r>
              <w:rPr>
                <w:rFonts w:hint="eastAsia"/>
                <w:sz w:val="18"/>
              </w:rPr>
              <w:t>年度平均人均开支</w:t>
            </w:r>
          </w:p>
          <w:p w:rsidR="00000000" w:rsidRDefault="00000000">
            <w:pPr>
              <w:pStyle w:val="a2"/>
              <w:spacing w:line="210" w:lineRule="exact"/>
              <w:jc w:val="center"/>
              <w:rPr>
                <w:rFonts w:hint="eastAsia"/>
                <w:sz w:val="18"/>
              </w:rPr>
            </w:pPr>
            <w:r>
              <w:rPr>
                <w:rFonts w:hint="eastAsia"/>
                <w:sz w:val="18"/>
              </w:rPr>
              <w:t>(</w:t>
            </w:r>
            <w:r>
              <w:rPr>
                <w:rFonts w:hint="eastAsia"/>
                <w:sz w:val="18"/>
              </w:rPr>
              <w:t>千列依</w:t>
            </w:r>
            <w:r>
              <w:rPr>
                <w:rFonts w:hint="eastAsia"/>
                <w:sz w:val="18"/>
              </w:rPr>
              <w:t>)</w:t>
            </w:r>
          </w:p>
        </w:tc>
      </w:tr>
      <w:tr w:rsidR="00000000">
        <w:tblPrEx>
          <w:tblCellMar>
            <w:top w:w="0" w:type="dxa"/>
            <w:bottom w:w="0" w:type="dxa"/>
          </w:tblCellMar>
        </w:tblPrEx>
        <w:trPr>
          <w:cantSplit/>
        </w:trPr>
        <w:tc>
          <w:tcPr>
            <w:tcW w:w="1622" w:type="pct"/>
            <w:tcBorders>
              <w:top w:val="single" w:sz="6" w:space="0" w:color="auto"/>
            </w:tcBorders>
          </w:tcPr>
          <w:p w:rsidR="00000000" w:rsidRDefault="00000000">
            <w:pPr>
              <w:pStyle w:val="a2"/>
              <w:spacing w:line="210" w:lineRule="exact"/>
              <w:rPr>
                <w:sz w:val="18"/>
              </w:rPr>
            </w:pPr>
            <w:r>
              <w:rPr>
                <w:rFonts w:hint="eastAsia"/>
                <w:sz w:val="18"/>
              </w:rPr>
              <w:t>学前机构</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p w:rsidR="00000000" w:rsidRDefault="00000000">
            <w:pPr>
              <w:pStyle w:val="a2"/>
              <w:spacing w:line="210" w:lineRule="exact"/>
              <w:rPr>
                <w:sz w:val="18"/>
              </w:rPr>
            </w:pPr>
            <w:r>
              <w:rPr>
                <w:sz w:val="18"/>
              </w:rPr>
              <w:t xml:space="preserve">     1999</w:t>
            </w:r>
          </w:p>
        </w:tc>
        <w:tc>
          <w:tcPr>
            <w:tcW w:w="831" w:type="pct"/>
            <w:tcBorders>
              <w:top w:val="single" w:sz="6" w:space="0" w:color="auto"/>
            </w:tcBorders>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1,596</w:t>
            </w:r>
          </w:p>
          <w:p w:rsidR="00000000" w:rsidRDefault="00000000">
            <w:pPr>
              <w:pStyle w:val="a2"/>
              <w:tabs>
                <w:tab w:val="decimal" w:pos="671"/>
              </w:tabs>
              <w:spacing w:line="210" w:lineRule="exact"/>
              <w:rPr>
                <w:sz w:val="18"/>
              </w:rPr>
            </w:pPr>
            <w:r>
              <w:rPr>
                <w:sz w:val="18"/>
              </w:rPr>
              <w:t>1,497</w:t>
            </w:r>
          </w:p>
          <w:p w:rsidR="00000000" w:rsidRDefault="00000000">
            <w:pPr>
              <w:pStyle w:val="a2"/>
              <w:tabs>
                <w:tab w:val="decimal" w:pos="671"/>
              </w:tabs>
              <w:spacing w:line="210" w:lineRule="exact"/>
              <w:rPr>
                <w:sz w:val="18"/>
              </w:rPr>
            </w:pPr>
            <w:r>
              <w:rPr>
                <w:sz w:val="18"/>
              </w:rPr>
              <w:t>1,399</w:t>
            </w:r>
          </w:p>
          <w:p w:rsidR="00000000" w:rsidRDefault="00000000">
            <w:pPr>
              <w:pStyle w:val="a2"/>
              <w:tabs>
                <w:tab w:val="decimal" w:pos="671"/>
              </w:tabs>
              <w:spacing w:line="210" w:lineRule="exact"/>
              <w:rPr>
                <w:sz w:val="18"/>
              </w:rPr>
            </w:pPr>
            <w:r>
              <w:rPr>
                <w:sz w:val="18"/>
              </w:rPr>
              <w:t>1,201</w:t>
            </w:r>
          </w:p>
        </w:tc>
        <w:tc>
          <w:tcPr>
            <w:tcW w:w="831" w:type="pct"/>
            <w:tcBorders>
              <w:top w:val="single" w:sz="6" w:space="0" w:color="auto"/>
            </w:tcBorders>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146.9</w:t>
            </w:r>
          </w:p>
          <w:p w:rsidR="00000000" w:rsidRDefault="00000000">
            <w:pPr>
              <w:pStyle w:val="a2"/>
              <w:tabs>
                <w:tab w:val="decimal" w:pos="671"/>
              </w:tabs>
              <w:spacing w:line="210" w:lineRule="exact"/>
              <w:rPr>
                <w:sz w:val="18"/>
              </w:rPr>
            </w:pPr>
            <w:r>
              <w:rPr>
                <w:sz w:val="18"/>
              </w:rPr>
              <w:t>138.8</w:t>
            </w:r>
          </w:p>
          <w:p w:rsidR="00000000" w:rsidRDefault="00000000">
            <w:pPr>
              <w:pStyle w:val="a2"/>
              <w:tabs>
                <w:tab w:val="decimal" w:pos="671"/>
              </w:tabs>
              <w:spacing w:line="210" w:lineRule="exact"/>
              <w:rPr>
                <w:sz w:val="18"/>
              </w:rPr>
            </w:pPr>
            <w:r>
              <w:rPr>
                <w:sz w:val="18"/>
              </w:rPr>
              <w:t>126.0</w:t>
            </w:r>
          </w:p>
          <w:p w:rsidR="00000000" w:rsidRDefault="00000000">
            <w:pPr>
              <w:pStyle w:val="a2"/>
              <w:tabs>
                <w:tab w:val="decimal" w:pos="671"/>
              </w:tabs>
              <w:spacing w:line="210" w:lineRule="exact"/>
              <w:rPr>
                <w:sz w:val="18"/>
              </w:rPr>
            </w:pPr>
            <w:r>
              <w:rPr>
                <w:sz w:val="18"/>
              </w:rPr>
              <w:t>101.0</w:t>
            </w:r>
          </w:p>
        </w:tc>
        <w:tc>
          <w:tcPr>
            <w:tcW w:w="645" w:type="pct"/>
            <w:tcBorders>
              <w:top w:val="single" w:sz="6" w:space="0" w:color="auto"/>
            </w:tcBorders>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192,812.1</w:t>
            </w:r>
          </w:p>
          <w:p w:rsidR="00000000" w:rsidRDefault="00000000">
            <w:pPr>
              <w:pStyle w:val="a2"/>
              <w:tabs>
                <w:tab w:val="decimal" w:pos="671"/>
              </w:tabs>
              <w:spacing w:line="210" w:lineRule="exact"/>
              <w:rPr>
                <w:sz w:val="18"/>
              </w:rPr>
            </w:pPr>
            <w:r>
              <w:rPr>
                <w:sz w:val="18"/>
              </w:rPr>
              <w:t>198,753.4</w:t>
            </w:r>
          </w:p>
          <w:p w:rsidR="00000000" w:rsidRDefault="00000000">
            <w:pPr>
              <w:pStyle w:val="a2"/>
              <w:tabs>
                <w:tab w:val="decimal" w:pos="671"/>
              </w:tabs>
              <w:spacing w:line="210" w:lineRule="exact"/>
              <w:rPr>
                <w:sz w:val="18"/>
              </w:rPr>
            </w:pPr>
            <w:r>
              <w:rPr>
                <w:sz w:val="18"/>
              </w:rPr>
              <w:t>139,254.4</w:t>
            </w:r>
          </w:p>
        </w:tc>
        <w:tc>
          <w:tcPr>
            <w:tcW w:w="1071" w:type="pct"/>
            <w:tcBorders>
              <w:top w:val="single" w:sz="6" w:space="0" w:color="auto"/>
            </w:tcBorders>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1,640.5</w:t>
            </w:r>
          </w:p>
          <w:p w:rsidR="00000000" w:rsidRDefault="00000000">
            <w:pPr>
              <w:pStyle w:val="a2"/>
              <w:spacing w:line="210" w:lineRule="exact"/>
              <w:ind w:right="567"/>
              <w:jc w:val="right"/>
              <w:rPr>
                <w:sz w:val="18"/>
              </w:rPr>
            </w:pPr>
            <w:r>
              <w:rPr>
                <w:sz w:val="18"/>
              </w:rPr>
              <w:t>1,713.5</w:t>
            </w:r>
          </w:p>
          <w:p w:rsidR="00000000" w:rsidRDefault="00000000">
            <w:pPr>
              <w:pStyle w:val="a2"/>
              <w:spacing w:line="210" w:lineRule="exact"/>
              <w:ind w:right="567"/>
              <w:jc w:val="right"/>
              <w:rPr>
                <w:sz w:val="18"/>
              </w:rPr>
            </w:pPr>
            <w:r>
              <w:rPr>
                <w:sz w:val="18"/>
              </w:rPr>
              <w:t>1,137.1</w:t>
            </w:r>
          </w:p>
        </w:tc>
      </w:tr>
      <w:tr w:rsidR="00000000">
        <w:tblPrEx>
          <w:tblCellMar>
            <w:top w:w="0" w:type="dxa"/>
            <w:bottom w:w="0" w:type="dxa"/>
          </w:tblCellMar>
        </w:tblPrEx>
        <w:trPr>
          <w:cantSplit/>
        </w:trPr>
        <w:tc>
          <w:tcPr>
            <w:tcW w:w="1622" w:type="pct"/>
          </w:tcPr>
          <w:p w:rsidR="00000000" w:rsidRDefault="00000000">
            <w:pPr>
              <w:pStyle w:val="a2"/>
              <w:spacing w:line="210" w:lineRule="exact"/>
              <w:rPr>
                <w:rFonts w:hint="eastAsia"/>
                <w:sz w:val="18"/>
              </w:rPr>
            </w:pPr>
            <w:r>
              <w:rPr>
                <w:rFonts w:hint="eastAsia"/>
                <w:sz w:val="18"/>
              </w:rPr>
              <w:t>小学、综合中学、高中、不完整学校</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p w:rsidR="00000000" w:rsidRDefault="00000000">
            <w:pPr>
              <w:pStyle w:val="a2"/>
              <w:spacing w:line="210" w:lineRule="exact"/>
              <w:rPr>
                <w:sz w:val="18"/>
              </w:rPr>
            </w:pPr>
            <w:r>
              <w:rPr>
                <w:sz w:val="18"/>
              </w:rPr>
              <w:t xml:space="preserve">     1999</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br/>
              <w:t>1,530</w:t>
            </w:r>
          </w:p>
          <w:p w:rsidR="00000000" w:rsidRDefault="00000000">
            <w:pPr>
              <w:pStyle w:val="a2"/>
              <w:tabs>
                <w:tab w:val="decimal" w:pos="671"/>
              </w:tabs>
              <w:spacing w:line="210" w:lineRule="exact"/>
              <w:rPr>
                <w:sz w:val="18"/>
              </w:rPr>
            </w:pPr>
            <w:r>
              <w:rPr>
                <w:sz w:val="18"/>
              </w:rPr>
              <w:t>1,536</w:t>
            </w:r>
          </w:p>
          <w:p w:rsidR="00000000" w:rsidRDefault="00000000">
            <w:pPr>
              <w:pStyle w:val="a2"/>
              <w:tabs>
                <w:tab w:val="decimal" w:pos="671"/>
              </w:tabs>
              <w:spacing w:line="210" w:lineRule="exact"/>
              <w:rPr>
                <w:sz w:val="18"/>
              </w:rPr>
            </w:pPr>
            <w:r>
              <w:rPr>
                <w:sz w:val="18"/>
              </w:rPr>
              <w:t>1,549</w:t>
            </w:r>
          </w:p>
          <w:p w:rsidR="00000000" w:rsidRDefault="00000000">
            <w:pPr>
              <w:pStyle w:val="a2"/>
              <w:tabs>
                <w:tab w:val="decimal" w:pos="671"/>
              </w:tabs>
              <w:spacing w:line="210" w:lineRule="exact"/>
              <w:rPr>
                <w:sz w:val="18"/>
              </w:rPr>
            </w:pPr>
            <w:r>
              <w:rPr>
                <w:sz w:val="18"/>
              </w:rPr>
              <w:t>1,558</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br/>
              <w:t>649.5</w:t>
            </w:r>
          </w:p>
          <w:p w:rsidR="00000000" w:rsidRDefault="00000000">
            <w:pPr>
              <w:pStyle w:val="a2"/>
              <w:tabs>
                <w:tab w:val="decimal" w:pos="671"/>
              </w:tabs>
              <w:spacing w:line="210" w:lineRule="exact"/>
              <w:rPr>
                <w:sz w:val="18"/>
              </w:rPr>
            </w:pPr>
            <w:r>
              <w:rPr>
                <w:sz w:val="18"/>
              </w:rPr>
              <w:t>652.7</w:t>
            </w:r>
          </w:p>
          <w:p w:rsidR="00000000" w:rsidRDefault="00000000">
            <w:pPr>
              <w:pStyle w:val="a2"/>
              <w:tabs>
                <w:tab w:val="decimal" w:pos="671"/>
              </w:tabs>
              <w:spacing w:line="210" w:lineRule="exact"/>
              <w:rPr>
                <w:sz w:val="18"/>
              </w:rPr>
            </w:pPr>
            <w:r>
              <w:rPr>
                <w:sz w:val="18"/>
              </w:rPr>
              <w:t>650.7</w:t>
            </w:r>
          </w:p>
          <w:p w:rsidR="00000000" w:rsidRDefault="00000000">
            <w:pPr>
              <w:pStyle w:val="a2"/>
              <w:tabs>
                <w:tab w:val="decimal" w:pos="671"/>
              </w:tabs>
              <w:spacing w:line="210" w:lineRule="exact"/>
              <w:rPr>
                <w:sz w:val="18"/>
              </w:rPr>
            </w:pPr>
            <w:r>
              <w:rPr>
                <w:sz w:val="18"/>
              </w:rPr>
              <w:t>643.1</w:t>
            </w:r>
          </w:p>
        </w:tc>
        <w:tc>
          <w:tcPr>
            <w:tcW w:w="645"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br/>
              <w:t>353,337.1</w:t>
            </w:r>
          </w:p>
          <w:p w:rsidR="00000000" w:rsidRDefault="00000000">
            <w:pPr>
              <w:pStyle w:val="a2"/>
              <w:tabs>
                <w:tab w:val="decimal" w:pos="671"/>
              </w:tabs>
              <w:spacing w:line="210" w:lineRule="exact"/>
              <w:rPr>
                <w:sz w:val="18"/>
              </w:rPr>
            </w:pPr>
            <w:r>
              <w:rPr>
                <w:sz w:val="18"/>
              </w:rPr>
              <w:t>384,950.0</w:t>
            </w:r>
          </w:p>
          <w:p w:rsidR="00000000" w:rsidRDefault="00000000">
            <w:pPr>
              <w:pStyle w:val="a2"/>
              <w:tabs>
                <w:tab w:val="decimal" w:pos="671"/>
              </w:tabs>
              <w:spacing w:line="210" w:lineRule="exact"/>
              <w:rPr>
                <w:sz w:val="18"/>
              </w:rPr>
            </w:pPr>
            <w:r>
              <w:rPr>
                <w:sz w:val="18"/>
              </w:rPr>
              <w:t>314,339.8</w:t>
            </w:r>
          </w:p>
        </w:tc>
        <w:tc>
          <w:tcPr>
            <w:tcW w:w="1071" w:type="pct"/>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br/>
              <w:t>358.9</w:t>
            </w:r>
          </w:p>
          <w:p w:rsidR="00000000" w:rsidRDefault="00000000">
            <w:pPr>
              <w:pStyle w:val="a2"/>
              <w:spacing w:line="210" w:lineRule="exact"/>
              <w:ind w:right="567"/>
              <w:jc w:val="right"/>
              <w:rPr>
                <w:sz w:val="18"/>
              </w:rPr>
            </w:pPr>
            <w:r>
              <w:rPr>
                <w:sz w:val="18"/>
              </w:rPr>
              <w:t>605.5</w:t>
            </w:r>
          </w:p>
          <w:p w:rsidR="00000000" w:rsidRDefault="00000000">
            <w:pPr>
              <w:pStyle w:val="a2"/>
              <w:spacing w:line="210" w:lineRule="exact"/>
              <w:ind w:right="567"/>
              <w:jc w:val="right"/>
              <w:rPr>
                <w:sz w:val="18"/>
              </w:rPr>
            </w:pPr>
            <w:r>
              <w:rPr>
                <w:sz w:val="18"/>
              </w:rPr>
              <w:t>492.0</w:t>
            </w:r>
          </w:p>
        </w:tc>
      </w:tr>
      <w:tr w:rsidR="00000000">
        <w:tblPrEx>
          <w:tblCellMar>
            <w:top w:w="0" w:type="dxa"/>
            <w:bottom w:w="0" w:type="dxa"/>
          </w:tblCellMar>
        </w:tblPrEx>
        <w:trPr>
          <w:cantSplit/>
        </w:trPr>
        <w:tc>
          <w:tcPr>
            <w:tcW w:w="1622" w:type="pct"/>
          </w:tcPr>
          <w:p w:rsidR="00000000" w:rsidRDefault="00000000">
            <w:pPr>
              <w:pStyle w:val="a2"/>
              <w:spacing w:line="210" w:lineRule="exact"/>
              <w:rPr>
                <w:sz w:val="18"/>
              </w:rPr>
            </w:pPr>
            <w:r>
              <w:rPr>
                <w:rFonts w:hint="eastAsia"/>
                <w:sz w:val="18"/>
              </w:rPr>
              <w:t>综合性夜校</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p w:rsidR="00000000" w:rsidRDefault="00000000">
            <w:pPr>
              <w:pStyle w:val="a2"/>
              <w:spacing w:line="210" w:lineRule="exact"/>
              <w:rPr>
                <w:sz w:val="18"/>
              </w:rPr>
            </w:pPr>
            <w:r>
              <w:rPr>
                <w:sz w:val="18"/>
              </w:rPr>
              <w:t xml:space="preserve">     1999</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10</w:t>
            </w:r>
          </w:p>
          <w:p w:rsidR="00000000" w:rsidRDefault="00000000">
            <w:pPr>
              <w:pStyle w:val="a2"/>
              <w:tabs>
                <w:tab w:val="decimal" w:pos="671"/>
              </w:tabs>
              <w:spacing w:line="210" w:lineRule="exact"/>
              <w:rPr>
                <w:sz w:val="18"/>
              </w:rPr>
            </w:pPr>
            <w:r>
              <w:rPr>
                <w:sz w:val="18"/>
              </w:rPr>
              <w:t>9</w:t>
            </w:r>
          </w:p>
          <w:p w:rsidR="00000000" w:rsidRDefault="00000000">
            <w:pPr>
              <w:pStyle w:val="a2"/>
              <w:tabs>
                <w:tab w:val="decimal" w:pos="671"/>
              </w:tabs>
              <w:spacing w:line="210" w:lineRule="exact"/>
              <w:rPr>
                <w:sz w:val="18"/>
              </w:rPr>
            </w:pPr>
            <w:r>
              <w:rPr>
                <w:sz w:val="18"/>
              </w:rPr>
              <w:t>7</w:t>
            </w:r>
          </w:p>
          <w:p w:rsidR="00000000" w:rsidRDefault="00000000">
            <w:pPr>
              <w:pStyle w:val="a2"/>
              <w:tabs>
                <w:tab w:val="decimal" w:pos="671"/>
              </w:tabs>
              <w:spacing w:line="210" w:lineRule="exact"/>
              <w:rPr>
                <w:sz w:val="18"/>
              </w:rPr>
            </w:pPr>
            <w:r>
              <w:rPr>
                <w:sz w:val="18"/>
              </w:rPr>
              <w:t>7</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2.9</w:t>
            </w:r>
          </w:p>
          <w:p w:rsidR="00000000" w:rsidRDefault="00000000">
            <w:pPr>
              <w:pStyle w:val="a2"/>
              <w:tabs>
                <w:tab w:val="decimal" w:pos="671"/>
              </w:tabs>
              <w:spacing w:line="210" w:lineRule="exact"/>
              <w:rPr>
                <w:sz w:val="18"/>
              </w:rPr>
            </w:pPr>
            <w:r>
              <w:rPr>
                <w:sz w:val="18"/>
              </w:rPr>
              <w:t>2.7</w:t>
            </w:r>
          </w:p>
          <w:p w:rsidR="00000000" w:rsidRDefault="00000000">
            <w:pPr>
              <w:pStyle w:val="a2"/>
              <w:tabs>
                <w:tab w:val="decimal" w:pos="671"/>
              </w:tabs>
              <w:spacing w:line="210" w:lineRule="exact"/>
              <w:rPr>
                <w:sz w:val="18"/>
              </w:rPr>
            </w:pPr>
            <w:r>
              <w:rPr>
                <w:sz w:val="18"/>
              </w:rPr>
              <w:t>2.5</w:t>
            </w:r>
          </w:p>
          <w:p w:rsidR="00000000" w:rsidRDefault="00000000">
            <w:pPr>
              <w:pStyle w:val="a2"/>
              <w:tabs>
                <w:tab w:val="decimal" w:pos="671"/>
              </w:tabs>
              <w:spacing w:line="210" w:lineRule="exact"/>
              <w:rPr>
                <w:sz w:val="18"/>
              </w:rPr>
            </w:pPr>
            <w:r>
              <w:rPr>
                <w:sz w:val="18"/>
              </w:rPr>
              <w:t>2.1</w:t>
            </w:r>
          </w:p>
        </w:tc>
        <w:tc>
          <w:tcPr>
            <w:tcW w:w="645"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1,236.9</w:t>
            </w:r>
          </w:p>
          <w:p w:rsidR="00000000" w:rsidRDefault="00000000">
            <w:pPr>
              <w:pStyle w:val="a2"/>
              <w:tabs>
                <w:tab w:val="decimal" w:pos="671"/>
              </w:tabs>
              <w:spacing w:line="210" w:lineRule="exact"/>
              <w:rPr>
                <w:sz w:val="18"/>
              </w:rPr>
            </w:pPr>
            <w:r>
              <w:rPr>
                <w:sz w:val="18"/>
              </w:rPr>
              <w:t>1,107.5</w:t>
            </w:r>
          </w:p>
          <w:p w:rsidR="00000000" w:rsidRDefault="00000000">
            <w:pPr>
              <w:pStyle w:val="a2"/>
              <w:tabs>
                <w:tab w:val="decimal" w:pos="671"/>
              </w:tabs>
              <w:spacing w:line="210" w:lineRule="exact"/>
              <w:rPr>
                <w:sz w:val="18"/>
              </w:rPr>
            </w:pPr>
            <w:r>
              <w:rPr>
                <w:sz w:val="18"/>
              </w:rPr>
              <w:t>1,010.0</w:t>
            </w:r>
          </w:p>
          <w:p w:rsidR="00000000" w:rsidRDefault="00000000">
            <w:pPr>
              <w:pStyle w:val="a2"/>
              <w:tabs>
                <w:tab w:val="decimal" w:pos="671"/>
              </w:tabs>
              <w:spacing w:line="210" w:lineRule="exact"/>
              <w:rPr>
                <w:sz w:val="18"/>
              </w:rPr>
            </w:pPr>
          </w:p>
        </w:tc>
        <w:tc>
          <w:tcPr>
            <w:tcW w:w="1071" w:type="pct"/>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418.4</w:t>
            </w:r>
          </w:p>
          <w:p w:rsidR="00000000" w:rsidRDefault="00000000">
            <w:pPr>
              <w:pStyle w:val="a2"/>
              <w:spacing w:line="210" w:lineRule="exact"/>
              <w:ind w:right="567"/>
              <w:jc w:val="right"/>
              <w:rPr>
                <w:sz w:val="18"/>
              </w:rPr>
            </w:pPr>
            <w:r>
              <w:rPr>
                <w:sz w:val="18"/>
              </w:rPr>
              <w:t>389.1</w:t>
            </w:r>
          </w:p>
          <w:p w:rsidR="00000000" w:rsidRDefault="00000000">
            <w:pPr>
              <w:pStyle w:val="a2"/>
              <w:spacing w:line="210" w:lineRule="exact"/>
              <w:ind w:right="567"/>
              <w:jc w:val="right"/>
              <w:rPr>
                <w:sz w:val="18"/>
              </w:rPr>
            </w:pPr>
            <w:r>
              <w:rPr>
                <w:sz w:val="18"/>
              </w:rPr>
              <w:t>346.4</w:t>
            </w:r>
          </w:p>
        </w:tc>
      </w:tr>
      <w:tr w:rsidR="00000000">
        <w:tblPrEx>
          <w:tblCellMar>
            <w:top w:w="0" w:type="dxa"/>
            <w:bottom w:w="0" w:type="dxa"/>
          </w:tblCellMar>
        </w:tblPrEx>
        <w:trPr>
          <w:cantSplit/>
        </w:trPr>
        <w:tc>
          <w:tcPr>
            <w:tcW w:w="1622" w:type="pct"/>
          </w:tcPr>
          <w:p w:rsidR="00000000" w:rsidRDefault="00000000">
            <w:pPr>
              <w:pStyle w:val="a2"/>
              <w:spacing w:line="210" w:lineRule="exact"/>
              <w:rPr>
                <w:sz w:val="18"/>
              </w:rPr>
            </w:pPr>
            <w:r>
              <w:rPr>
                <w:rFonts w:hint="eastAsia"/>
                <w:sz w:val="18"/>
              </w:rPr>
              <w:t>综合性寄宿学校</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20</w:t>
            </w:r>
          </w:p>
          <w:p w:rsidR="00000000" w:rsidRDefault="00000000">
            <w:pPr>
              <w:pStyle w:val="a2"/>
              <w:tabs>
                <w:tab w:val="decimal" w:pos="671"/>
              </w:tabs>
              <w:spacing w:line="210" w:lineRule="exact"/>
              <w:rPr>
                <w:sz w:val="18"/>
              </w:rPr>
            </w:pPr>
            <w:r>
              <w:rPr>
                <w:sz w:val="18"/>
              </w:rPr>
              <w:t>21</w:t>
            </w:r>
          </w:p>
          <w:p w:rsidR="00000000" w:rsidRDefault="00000000">
            <w:pPr>
              <w:pStyle w:val="a2"/>
              <w:tabs>
                <w:tab w:val="decimal" w:pos="671"/>
              </w:tabs>
              <w:spacing w:line="210" w:lineRule="exact"/>
              <w:rPr>
                <w:sz w:val="18"/>
              </w:rPr>
            </w:pPr>
            <w:r>
              <w:rPr>
                <w:sz w:val="18"/>
              </w:rPr>
              <w:t>16</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7,426</w:t>
            </w:r>
          </w:p>
          <w:p w:rsidR="00000000" w:rsidRDefault="00000000">
            <w:pPr>
              <w:pStyle w:val="a2"/>
              <w:tabs>
                <w:tab w:val="decimal" w:pos="671"/>
              </w:tabs>
              <w:spacing w:line="210" w:lineRule="exact"/>
              <w:rPr>
                <w:sz w:val="18"/>
              </w:rPr>
            </w:pPr>
            <w:r>
              <w:rPr>
                <w:sz w:val="18"/>
              </w:rPr>
              <w:t>7,655</w:t>
            </w:r>
          </w:p>
          <w:p w:rsidR="00000000" w:rsidRDefault="00000000">
            <w:pPr>
              <w:pStyle w:val="a2"/>
              <w:tabs>
                <w:tab w:val="decimal" w:pos="671"/>
              </w:tabs>
              <w:spacing w:line="210" w:lineRule="exact"/>
              <w:rPr>
                <w:sz w:val="18"/>
              </w:rPr>
            </w:pPr>
            <w:r>
              <w:rPr>
                <w:sz w:val="18"/>
              </w:rPr>
              <w:t>6,514</w:t>
            </w:r>
          </w:p>
        </w:tc>
        <w:tc>
          <w:tcPr>
            <w:tcW w:w="645"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22,333.0</w:t>
            </w:r>
          </w:p>
          <w:p w:rsidR="00000000" w:rsidRDefault="00000000">
            <w:pPr>
              <w:pStyle w:val="a2"/>
              <w:tabs>
                <w:tab w:val="decimal" w:pos="671"/>
              </w:tabs>
              <w:spacing w:line="210" w:lineRule="exact"/>
              <w:rPr>
                <w:sz w:val="18"/>
              </w:rPr>
            </w:pPr>
            <w:r>
              <w:rPr>
                <w:sz w:val="18"/>
              </w:rPr>
              <w:t>23,433.0</w:t>
            </w:r>
          </w:p>
          <w:p w:rsidR="00000000" w:rsidRDefault="00000000">
            <w:pPr>
              <w:pStyle w:val="a2"/>
              <w:tabs>
                <w:tab w:val="decimal" w:pos="671"/>
              </w:tabs>
              <w:spacing w:line="210" w:lineRule="exact"/>
              <w:rPr>
                <w:sz w:val="18"/>
              </w:rPr>
            </w:pPr>
            <w:r>
              <w:rPr>
                <w:sz w:val="18"/>
              </w:rPr>
              <w:t>21,964.1</w:t>
            </w:r>
          </w:p>
        </w:tc>
        <w:tc>
          <w:tcPr>
            <w:tcW w:w="1071" w:type="pct"/>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3,007.0</w:t>
            </w:r>
          </w:p>
          <w:p w:rsidR="00000000" w:rsidRDefault="00000000">
            <w:pPr>
              <w:pStyle w:val="a2"/>
              <w:spacing w:line="210" w:lineRule="exact"/>
              <w:ind w:right="567"/>
              <w:jc w:val="right"/>
              <w:rPr>
                <w:sz w:val="18"/>
              </w:rPr>
            </w:pPr>
            <w:r>
              <w:rPr>
                <w:sz w:val="18"/>
              </w:rPr>
              <w:t>3,061.1</w:t>
            </w:r>
          </w:p>
          <w:p w:rsidR="00000000" w:rsidRDefault="00000000">
            <w:pPr>
              <w:pStyle w:val="a2"/>
              <w:spacing w:line="210" w:lineRule="exact"/>
              <w:ind w:right="567"/>
              <w:jc w:val="right"/>
              <w:rPr>
                <w:sz w:val="18"/>
              </w:rPr>
            </w:pPr>
            <w:r>
              <w:rPr>
                <w:sz w:val="18"/>
              </w:rPr>
              <w:t>3,371.8</w:t>
            </w:r>
          </w:p>
        </w:tc>
      </w:tr>
      <w:tr w:rsidR="00000000">
        <w:tblPrEx>
          <w:tblCellMar>
            <w:top w:w="0" w:type="dxa"/>
            <w:bottom w:w="0" w:type="dxa"/>
          </w:tblCellMar>
        </w:tblPrEx>
        <w:trPr>
          <w:cantSplit/>
        </w:trPr>
        <w:tc>
          <w:tcPr>
            <w:tcW w:w="1622" w:type="pct"/>
          </w:tcPr>
          <w:p w:rsidR="00000000" w:rsidRDefault="00000000">
            <w:pPr>
              <w:pStyle w:val="a2"/>
              <w:spacing w:line="210" w:lineRule="exact"/>
              <w:rPr>
                <w:rFonts w:hint="eastAsia"/>
                <w:sz w:val="18"/>
              </w:rPr>
            </w:pPr>
            <w:r>
              <w:rPr>
                <w:rFonts w:hint="eastAsia"/>
                <w:sz w:val="18"/>
              </w:rPr>
              <w:t>技术职业学校</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rFonts w:hint="eastAsia"/>
                <w:sz w:val="18"/>
              </w:rPr>
              <w:t>多功能职业学校</w:t>
            </w:r>
          </w:p>
          <w:p w:rsidR="00000000" w:rsidRDefault="00000000">
            <w:pPr>
              <w:pStyle w:val="a2"/>
              <w:spacing w:line="210" w:lineRule="exact"/>
              <w:rPr>
                <w:sz w:val="18"/>
              </w:rPr>
            </w:pPr>
            <w:r>
              <w:rPr>
                <w:sz w:val="18"/>
              </w:rPr>
              <w:t xml:space="preserve">     1998</w:t>
            </w:r>
          </w:p>
          <w:p w:rsidR="00000000" w:rsidRDefault="00000000">
            <w:pPr>
              <w:pStyle w:val="a2"/>
              <w:spacing w:line="210" w:lineRule="exact"/>
              <w:rPr>
                <w:sz w:val="18"/>
              </w:rPr>
            </w:pPr>
            <w:r>
              <w:rPr>
                <w:sz w:val="18"/>
              </w:rPr>
              <w:t xml:space="preserve">     1999</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68</w:t>
            </w:r>
          </w:p>
          <w:p w:rsidR="00000000" w:rsidRDefault="00000000">
            <w:pPr>
              <w:pStyle w:val="a2"/>
              <w:tabs>
                <w:tab w:val="decimal" w:pos="671"/>
              </w:tabs>
              <w:spacing w:line="210" w:lineRule="exact"/>
              <w:rPr>
                <w:sz w:val="18"/>
              </w:rPr>
            </w:pPr>
            <w:r>
              <w:rPr>
                <w:sz w:val="18"/>
              </w:rPr>
              <w:t>68</w:t>
            </w:r>
          </w:p>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52</w:t>
            </w:r>
          </w:p>
          <w:p w:rsidR="00000000" w:rsidRDefault="00000000">
            <w:pPr>
              <w:pStyle w:val="a2"/>
              <w:tabs>
                <w:tab w:val="decimal" w:pos="671"/>
              </w:tabs>
              <w:spacing w:line="210" w:lineRule="exact"/>
              <w:rPr>
                <w:sz w:val="18"/>
              </w:rPr>
            </w:pPr>
            <w:r>
              <w:rPr>
                <w:sz w:val="18"/>
              </w:rPr>
              <w:t>52</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30,498</w:t>
            </w:r>
          </w:p>
          <w:p w:rsidR="00000000" w:rsidRDefault="00000000">
            <w:pPr>
              <w:pStyle w:val="a2"/>
              <w:tabs>
                <w:tab w:val="decimal" w:pos="671"/>
              </w:tabs>
              <w:spacing w:line="210" w:lineRule="exact"/>
              <w:rPr>
                <w:sz w:val="18"/>
              </w:rPr>
            </w:pPr>
            <w:r>
              <w:rPr>
                <w:sz w:val="18"/>
              </w:rPr>
              <w:t>28,860</w:t>
            </w:r>
          </w:p>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26.3</w:t>
            </w:r>
          </w:p>
          <w:p w:rsidR="00000000" w:rsidRDefault="00000000">
            <w:pPr>
              <w:pStyle w:val="a2"/>
              <w:tabs>
                <w:tab w:val="decimal" w:pos="671"/>
              </w:tabs>
              <w:spacing w:line="210" w:lineRule="exact"/>
              <w:rPr>
                <w:sz w:val="18"/>
              </w:rPr>
            </w:pPr>
            <w:r>
              <w:rPr>
                <w:sz w:val="18"/>
              </w:rPr>
              <w:t>18.0</w:t>
            </w:r>
          </w:p>
        </w:tc>
        <w:tc>
          <w:tcPr>
            <w:tcW w:w="645"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48,308.8</w:t>
            </w:r>
          </w:p>
          <w:p w:rsidR="00000000" w:rsidRDefault="00000000">
            <w:pPr>
              <w:pStyle w:val="a2"/>
              <w:tabs>
                <w:tab w:val="decimal" w:pos="671"/>
              </w:tabs>
              <w:spacing w:line="210" w:lineRule="exact"/>
              <w:rPr>
                <w:sz w:val="18"/>
              </w:rPr>
            </w:pPr>
            <w:r>
              <w:rPr>
                <w:sz w:val="18"/>
              </w:rPr>
              <w:t>57,079.5</w:t>
            </w:r>
          </w:p>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46,707.0</w:t>
            </w:r>
          </w:p>
        </w:tc>
        <w:tc>
          <w:tcPr>
            <w:tcW w:w="1071" w:type="pct"/>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1,588.7</w:t>
            </w:r>
          </w:p>
          <w:p w:rsidR="00000000" w:rsidRDefault="00000000">
            <w:pPr>
              <w:pStyle w:val="a2"/>
              <w:spacing w:line="210" w:lineRule="exact"/>
              <w:ind w:right="567"/>
              <w:jc w:val="right"/>
              <w:rPr>
                <w:sz w:val="18"/>
              </w:rPr>
            </w:pPr>
            <w:r>
              <w:rPr>
                <w:sz w:val="18"/>
              </w:rPr>
              <w:t>1,977.8</w:t>
            </w:r>
          </w:p>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1,922.3</w:t>
            </w:r>
          </w:p>
        </w:tc>
      </w:tr>
      <w:tr w:rsidR="00000000">
        <w:tblPrEx>
          <w:tblCellMar>
            <w:top w:w="0" w:type="dxa"/>
            <w:bottom w:w="0" w:type="dxa"/>
          </w:tblCellMar>
        </w:tblPrEx>
        <w:trPr>
          <w:cantSplit/>
        </w:trPr>
        <w:tc>
          <w:tcPr>
            <w:tcW w:w="1622" w:type="pct"/>
            <w:tcBorders>
              <w:bottom w:val="nil"/>
            </w:tcBorders>
          </w:tcPr>
          <w:p w:rsidR="00000000" w:rsidRDefault="00000000">
            <w:pPr>
              <w:pStyle w:val="a2"/>
              <w:spacing w:line="210" w:lineRule="exact"/>
              <w:rPr>
                <w:sz w:val="18"/>
              </w:rPr>
            </w:pPr>
            <w:r>
              <w:rPr>
                <w:rFonts w:hint="eastAsia"/>
                <w:sz w:val="18"/>
              </w:rPr>
              <w:t>职业学校</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p w:rsidR="00000000" w:rsidRDefault="00000000">
            <w:pPr>
              <w:pStyle w:val="a2"/>
              <w:spacing w:line="210" w:lineRule="exact"/>
              <w:rPr>
                <w:sz w:val="18"/>
              </w:rPr>
            </w:pPr>
            <w:r>
              <w:rPr>
                <w:sz w:val="18"/>
              </w:rPr>
              <w:t xml:space="preserve">     1999</w:t>
            </w:r>
          </w:p>
        </w:tc>
        <w:tc>
          <w:tcPr>
            <w:tcW w:w="831" w:type="pct"/>
            <w:tcBorders>
              <w:bottom w:val="nil"/>
            </w:tcBorders>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4</w:t>
            </w:r>
          </w:p>
          <w:p w:rsidR="00000000" w:rsidRDefault="00000000">
            <w:pPr>
              <w:pStyle w:val="a2"/>
              <w:tabs>
                <w:tab w:val="decimal" w:pos="671"/>
              </w:tabs>
              <w:spacing w:line="210" w:lineRule="exact"/>
              <w:rPr>
                <w:sz w:val="18"/>
              </w:rPr>
            </w:pPr>
            <w:r>
              <w:rPr>
                <w:sz w:val="18"/>
              </w:rPr>
              <w:t>4</w:t>
            </w:r>
          </w:p>
          <w:p w:rsidR="00000000" w:rsidRDefault="00000000">
            <w:pPr>
              <w:pStyle w:val="a2"/>
              <w:tabs>
                <w:tab w:val="decimal" w:pos="671"/>
              </w:tabs>
              <w:spacing w:line="210" w:lineRule="exact"/>
              <w:rPr>
                <w:sz w:val="18"/>
              </w:rPr>
            </w:pPr>
            <w:r>
              <w:rPr>
                <w:sz w:val="18"/>
              </w:rPr>
              <w:t>35</w:t>
            </w:r>
          </w:p>
          <w:p w:rsidR="00000000" w:rsidRDefault="00000000">
            <w:pPr>
              <w:pStyle w:val="a2"/>
              <w:tabs>
                <w:tab w:val="decimal" w:pos="671"/>
              </w:tabs>
              <w:spacing w:line="210" w:lineRule="exact"/>
              <w:rPr>
                <w:sz w:val="18"/>
              </w:rPr>
            </w:pPr>
            <w:r>
              <w:rPr>
                <w:sz w:val="18"/>
              </w:rPr>
              <w:t>29</w:t>
            </w:r>
          </w:p>
        </w:tc>
        <w:tc>
          <w:tcPr>
            <w:tcW w:w="831" w:type="pct"/>
            <w:tcBorders>
              <w:bottom w:val="nil"/>
            </w:tcBorders>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612</w:t>
            </w:r>
          </w:p>
          <w:p w:rsidR="00000000" w:rsidRDefault="00000000">
            <w:pPr>
              <w:pStyle w:val="a2"/>
              <w:tabs>
                <w:tab w:val="decimal" w:pos="671"/>
              </w:tabs>
              <w:spacing w:line="210" w:lineRule="exact"/>
              <w:rPr>
                <w:sz w:val="18"/>
              </w:rPr>
            </w:pPr>
            <w:r>
              <w:rPr>
                <w:sz w:val="18"/>
              </w:rPr>
              <w:t>611</w:t>
            </w:r>
          </w:p>
          <w:p w:rsidR="00000000" w:rsidRDefault="00000000">
            <w:pPr>
              <w:pStyle w:val="a2"/>
              <w:tabs>
                <w:tab w:val="decimal" w:pos="671"/>
              </w:tabs>
              <w:spacing w:line="210" w:lineRule="exact"/>
              <w:rPr>
                <w:sz w:val="18"/>
              </w:rPr>
            </w:pPr>
            <w:r>
              <w:rPr>
                <w:sz w:val="18"/>
              </w:rPr>
              <w:t>6.2</w:t>
            </w:r>
          </w:p>
          <w:p w:rsidR="00000000" w:rsidRDefault="00000000">
            <w:pPr>
              <w:pStyle w:val="a2"/>
              <w:tabs>
                <w:tab w:val="decimal" w:pos="671"/>
              </w:tabs>
              <w:spacing w:line="210" w:lineRule="exact"/>
              <w:rPr>
                <w:sz w:val="18"/>
              </w:rPr>
            </w:pPr>
            <w:r>
              <w:rPr>
                <w:sz w:val="18"/>
              </w:rPr>
              <w:t>5.0</w:t>
            </w:r>
          </w:p>
        </w:tc>
        <w:tc>
          <w:tcPr>
            <w:tcW w:w="645" w:type="pct"/>
            <w:tcBorders>
              <w:bottom w:val="nil"/>
            </w:tcBorders>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988.0</w:t>
            </w:r>
          </w:p>
          <w:p w:rsidR="00000000" w:rsidRDefault="00000000">
            <w:pPr>
              <w:pStyle w:val="a2"/>
              <w:tabs>
                <w:tab w:val="decimal" w:pos="671"/>
              </w:tabs>
              <w:spacing w:line="210" w:lineRule="exact"/>
              <w:rPr>
                <w:sz w:val="18"/>
              </w:rPr>
            </w:pPr>
            <w:r>
              <w:rPr>
                <w:sz w:val="18"/>
              </w:rPr>
              <w:t>1,675.0</w:t>
            </w:r>
          </w:p>
          <w:p w:rsidR="00000000" w:rsidRDefault="00000000">
            <w:pPr>
              <w:pStyle w:val="a2"/>
              <w:tabs>
                <w:tab w:val="decimal" w:pos="671"/>
              </w:tabs>
              <w:spacing w:line="210" w:lineRule="exact"/>
              <w:rPr>
                <w:sz w:val="18"/>
              </w:rPr>
            </w:pPr>
            <w:r>
              <w:rPr>
                <w:sz w:val="18"/>
              </w:rPr>
              <w:t>9,475.0</w:t>
            </w:r>
          </w:p>
        </w:tc>
        <w:tc>
          <w:tcPr>
            <w:tcW w:w="1071" w:type="pct"/>
            <w:tcBorders>
              <w:bottom w:val="nil"/>
            </w:tcBorders>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1,614.4</w:t>
            </w:r>
          </w:p>
          <w:p w:rsidR="00000000" w:rsidRDefault="00000000">
            <w:pPr>
              <w:pStyle w:val="a2"/>
              <w:spacing w:line="210" w:lineRule="exact"/>
              <w:ind w:right="567"/>
              <w:jc w:val="right"/>
              <w:rPr>
                <w:sz w:val="18"/>
              </w:rPr>
            </w:pPr>
            <w:r>
              <w:rPr>
                <w:sz w:val="18"/>
              </w:rPr>
              <w:t>2,741.0</w:t>
            </w:r>
          </w:p>
          <w:p w:rsidR="00000000" w:rsidRDefault="00000000">
            <w:pPr>
              <w:pStyle w:val="a2"/>
              <w:spacing w:line="210" w:lineRule="exact"/>
              <w:ind w:right="567"/>
              <w:jc w:val="right"/>
              <w:rPr>
                <w:sz w:val="18"/>
              </w:rPr>
            </w:pPr>
            <w:r>
              <w:rPr>
                <w:sz w:val="18"/>
              </w:rPr>
              <w:t>2,079.3</w:t>
            </w:r>
          </w:p>
        </w:tc>
      </w:tr>
      <w:tr w:rsidR="00000000">
        <w:tblPrEx>
          <w:tblCellMar>
            <w:top w:w="0" w:type="dxa"/>
            <w:bottom w:w="0" w:type="dxa"/>
          </w:tblCellMar>
        </w:tblPrEx>
        <w:trPr>
          <w:cantSplit/>
        </w:trPr>
        <w:tc>
          <w:tcPr>
            <w:tcW w:w="1622" w:type="pct"/>
            <w:tcBorders>
              <w:top w:val="nil"/>
              <w:bottom w:val="nil"/>
            </w:tcBorders>
          </w:tcPr>
          <w:p w:rsidR="00000000" w:rsidRDefault="00000000">
            <w:pPr>
              <w:pStyle w:val="a2"/>
              <w:spacing w:line="210" w:lineRule="exact"/>
              <w:rPr>
                <w:sz w:val="18"/>
              </w:rPr>
            </w:pPr>
            <w:r>
              <w:rPr>
                <w:rFonts w:hint="eastAsia"/>
                <w:sz w:val="18"/>
              </w:rPr>
              <w:t>中等职业教育机构</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p w:rsidR="00000000" w:rsidRDefault="00000000">
            <w:pPr>
              <w:pStyle w:val="a2"/>
              <w:spacing w:line="210" w:lineRule="exact"/>
              <w:rPr>
                <w:sz w:val="18"/>
              </w:rPr>
            </w:pPr>
            <w:r>
              <w:rPr>
                <w:sz w:val="18"/>
              </w:rPr>
              <w:t xml:space="preserve">     1999</w:t>
            </w:r>
          </w:p>
        </w:tc>
        <w:tc>
          <w:tcPr>
            <w:tcW w:w="831" w:type="pct"/>
            <w:tcBorders>
              <w:top w:val="nil"/>
              <w:bottom w:val="nil"/>
            </w:tcBorders>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81</w:t>
            </w:r>
          </w:p>
          <w:p w:rsidR="00000000" w:rsidRDefault="00000000">
            <w:pPr>
              <w:pStyle w:val="a2"/>
              <w:tabs>
                <w:tab w:val="decimal" w:pos="671"/>
              </w:tabs>
              <w:spacing w:line="210" w:lineRule="exact"/>
              <w:rPr>
                <w:sz w:val="18"/>
              </w:rPr>
            </w:pPr>
            <w:r>
              <w:rPr>
                <w:sz w:val="18"/>
              </w:rPr>
              <w:t>80</w:t>
            </w:r>
          </w:p>
          <w:p w:rsidR="00000000" w:rsidRDefault="00000000">
            <w:pPr>
              <w:pStyle w:val="a2"/>
              <w:tabs>
                <w:tab w:val="decimal" w:pos="671"/>
              </w:tabs>
              <w:spacing w:line="210" w:lineRule="exact"/>
              <w:rPr>
                <w:sz w:val="18"/>
              </w:rPr>
            </w:pPr>
            <w:r>
              <w:rPr>
                <w:sz w:val="18"/>
              </w:rPr>
              <w:t>87</w:t>
            </w:r>
          </w:p>
          <w:p w:rsidR="00000000" w:rsidRDefault="00000000">
            <w:pPr>
              <w:pStyle w:val="a2"/>
              <w:tabs>
                <w:tab w:val="decimal" w:pos="671"/>
              </w:tabs>
              <w:spacing w:line="210" w:lineRule="exact"/>
              <w:rPr>
                <w:sz w:val="18"/>
              </w:rPr>
            </w:pPr>
            <w:r>
              <w:rPr>
                <w:sz w:val="18"/>
              </w:rPr>
              <w:t>81</w:t>
            </w:r>
          </w:p>
        </w:tc>
        <w:tc>
          <w:tcPr>
            <w:tcW w:w="831" w:type="pct"/>
            <w:tcBorders>
              <w:top w:val="nil"/>
              <w:bottom w:val="nil"/>
            </w:tcBorders>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34.0</w:t>
            </w:r>
          </w:p>
          <w:p w:rsidR="00000000" w:rsidRDefault="00000000">
            <w:pPr>
              <w:pStyle w:val="a2"/>
              <w:tabs>
                <w:tab w:val="decimal" w:pos="671"/>
              </w:tabs>
              <w:spacing w:line="210" w:lineRule="exact"/>
              <w:rPr>
                <w:sz w:val="18"/>
              </w:rPr>
            </w:pPr>
            <w:r>
              <w:rPr>
                <w:sz w:val="18"/>
              </w:rPr>
              <w:t>32.7</w:t>
            </w:r>
          </w:p>
          <w:p w:rsidR="00000000" w:rsidRDefault="00000000">
            <w:pPr>
              <w:pStyle w:val="a2"/>
              <w:tabs>
                <w:tab w:val="decimal" w:pos="671"/>
              </w:tabs>
              <w:spacing w:line="210" w:lineRule="exact"/>
              <w:rPr>
                <w:sz w:val="18"/>
              </w:rPr>
            </w:pPr>
            <w:r>
              <w:rPr>
                <w:sz w:val="18"/>
              </w:rPr>
              <w:t>32.5</w:t>
            </w:r>
          </w:p>
          <w:p w:rsidR="00000000" w:rsidRDefault="00000000">
            <w:pPr>
              <w:pStyle w:val="a2"/>
              <w:tabs>
                <w:tab w:val="decimal" w:pos="671"/>
              </w:tabs>
              <w:spacing w:line="210" w:lineRule="exact"/>
              <w:rPr>
                <w:sz w:val="18"/>
              </w:rPr>
            </w:pPr>
            <w:r>
              <w:rPr>
                <w:sz w:val="18"/>
              </w:rPr>
              <w:t>23.0</w:t>
            </w:r>
          </w:p>
        </w:tc>
        <w:tc>
          <w:tcPr>
            <w:tcW w:w="645" w:type="pct"/>
            <w:tcBorders>
              <w:top w:val="nil"/>
              <w:bottom w:val="nil"/>
            </w:tcBorders>
          </w:tcPr>
          <w:p w:rsidR="00000000" w:rsidRDefault="00000000">
            <w:pPr>
              <w:pStyle w:val="a2"/>
              <w:tabs>
                <w:tab w:val="decimal" w:pos="671"/>
              </w:tabs>
              <w:spacing w:line="210" w:lineRule="exact"/>
              <w:rPr>
                <w:sz w:val="18"/>
              </w:rPr>
            </w:pPr>
          </w:p>
        </w:tc>
        <w:tc>
          <w:tcPr>
            <w:tcW w:w="1071" w:type="pct"/>
            <w:tcBorders>
              <w:top w:val="nil"/>
              <w:bottom w:val="nil"/>
            </w:tcBorders>
          </w:tcPr>
          <w:p w:rsidR="00000000" w:rsidRDefault="00000000">
            <w:pPr>
              <w:pStyle w:val="a2"/>
              <w:spacing w:line="210" w:lineRule="exact"/>
              <w:ind w:right="567"/>
              <w:jc w:val="right"/>
              <w:rPr>
                <w:sz w:val="18"/>
              </w:rPr>
            </w:pPr>
          </w:p>
        </w:tc>
      </w:tr>
      <w:tr w:rsidR="00000000">
        <w:tblPrEx>
          <w:tblCellMar>
            <w:top w:w="0" w:type="dxa"/>
            <w:bottom w:w="0" w:type="dxa"/>
          </w:tblCellMar>
        </w:tblPrEx>
        <w:trPr>
          <w:cantSplit/>
        </w:trPr>
        <w:tc>
          <w:tcPr>
            <w:tcW w:w="1622" w:type="pct"/>
          </w:tcPr>
          <w:p w:rsidR="00000000" w:rsidRDefault="00000000">
            <w:pPr>
              <w:pStyle w:val="a2"/>
              <w:spacing w:line="210" w:lineRule="exact"/>
              <w:rPr>
                <w:sz w:val="18"/>
              </w:rPr>
            </w:pPr>
            <w:r>
              <w:rPr>
                <w:rFonts w:hint="eastAsia"/>
                <w:sz w:val="18"/>
              </w:rPr>
              <w:t>学</w:t>
            </w:r>
            <w:r>
              <w:rPr>
                <w:rFonts w:hint="eastAsia"/>
                <w:sz w:val="18"/>
              </w:rPr>
              <w:t xml:space="preserve">  </w:t>
            </w:r>
            <w:r>
              <w:rPr>
                <w:rFonts w:hint="eastAsia"/>
                <w:sz w:val="18"/>
              </w:rPr>
              <w:t>院</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p w:rsidR="00000000" w:rsidRDefault="00000000">
            <w:pPr>
              <w:pStyle w:val="a2"/>
              <w:spacing w:line="210" w:lineRule="exact"/>
              <w:rPr>
                <w:sz w:val="18"/>
              </w:rPr>
            </w:pPr>
            <w:r>
              <w:rPr>
                <w:sz w:val="18"/>
              </w:rPr>
              <w:t xml:space="preserve">     1999</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51</w:t>
            </w:r>
          </w:p>
          <w:p w:rsidR="00000000" w:rsidRDefault="00000000">
            <w:pPr>
              <w:pStyle w:val="a2"/>
              <w:tabs>
                <w:tab w:val="decimal" w:pos="671"/>
              </w:tabs>
              <w:spacing w:line="210" w:lineRule="exact"/>
              <w:rPr>
                <w:sz w:val="18"/>
              </w:rPr>
            </w:pPr>
            <w:r>
              <w:rPr>
                <w:sz w:val="18"/>
              </w:rPr>
              <w:t>53</w:t>
            </w:r>
          </w:p>
          <w:p w:rsidR="00000000" w:rsidRDefault="00000000">
            <w:pPr>
              <w:pStyle w:val="a2"/>
              <w:tabs>
                <w:tab w:val="decimal" w:pos="671"/>
              </w:tabs>
              <w:spacing w:line="210" w:lineRule="exact"/>
              <w:rPr>
                <w:sz w:val="18"/>
              </w:rPr>
            </w:pPr>
            <w:r>
              <w:rPr>
                <w:sz w:val="18"/>
              </w:rPr>
              <w:t>56</w:t>
            </w:r>
          </w:p>
          <w:p w:rsidR="00000000" w:rsidRDefault="00000000">
            <w:pPr>
              <w:pStyle w:val="a2"/>
              <w:tabs>
                <w:tab w:val="decimal" w:pos="671"/>
              </w:tabs>
              <w:spacing w:line="210" w:lineRule="exact"/>
              <w:rPr>
                <w:sz w:val="18"/>
              </w:rPr>
            </w:pPr>
            <w:r>
              <w:rPr>
                <w:sz w:val="18"/>
              </w:rPr>
              <w:t>57</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33.3</w:t>
            </w:r>
          </w:p>
          <w:p w:rsidR="00000000" w:rsidRDefault="00000000">
            <w:pPr>
              <w:pStyle w:val="a2"/>
              <w:tabs>
                <w:tab w:val="decimal" w:pos="671"/>
              </w:tabs>
              <w:spacing w:line="210" w:lineRule="exact"/>
              <w:rPr>
                <w:sz w:val="18"/>
              </w:rPr>
            </w:pPr>
            <w:r>
              <w:rPr>
                <w:sz w:val="18"/>
              </w:rPr>
              <w:t>32.8</w:t>
            </w:r>
          </w:p>
          <w:p w:rsidR="00000000" w:rsidRDefault="00000000">
            <w:pPr>
              <w:pStyle w:val="a2"/>
              <w:tabs>
                <w:tab w:val="decimal" w:pos="671"/>
              </w:tabs>
              <w:spacing w:line="210" w:lineRule="exact"/>
              <w:rPr>
                <w:sz w:val="18"/>
              </w:rPr>
            </w:pPr>
            <w:r>
              <w:rPr>
                <w:sz w:val="18"/>
              </w:rPr>
              <w:t>29.7</w:t>
            </w:r>
          </w:p>
          <w:p w:rsidR="00000000" w:rsidRDefault="00000000">
            <w:pPr>
              <w:pStyle w:val="a2"/>
              <w:tabs>
                <w:tab w:val="decimal" w:pos="671"/>
              </w:tabs>
              <w:spacing w:line="210" w:lineRule="exact"/>
              <w:rPr>
                <w:sz w:val="18"/>
              </w:rPr>
            </w:pPr>
            <w:r>
              <w:rPr>
                <w:sz w:val="18"/>
              </w:rPr>
              <w:t>25.4</w:t>
            </w:r>
          </w:p>
        </w:tc>
        <w:tc>
          <w:tcPr>
            <w:tcW w:w="645"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37,850.1</w:t>
            </w:r>
          </w:p>
          <w:p w:rsidR="00000000" w:rsidRDefault="00000000">
            <w:pPr>
              <w:pStyle w:val="a2"/>
              <w:tabs>
                <w:tab w:val="decimal" w:pos="671"/>
              </w:tabs>
              <w:spacing w:line="210" w:lineRule="exact"/>
              <w:rPr>
                <w:sz w:val="18"/>
              </w:rPr>
            </w:pPr>
            <w:r>
              <w:rPr>
                <w:sz w:val="18"/>
              </w:rPr>
              <w:t>47,699.9</w:t>
            </w:r>
          </w:p>
          <w:p w:rsidR="00000000" w:rsidRDefault="00000000">
            <w:pPr>
              <w:pStyle w:val="a2"/>
              <w:tabs>
                <w:tab w:val="decimal" w:pos="671"/>
              </w:tabs>
              <w:spacing w:line="210" w:lineRule="exact"/>
              <w:rPr>
                <w:sz w:val="18"/>
              </w:rPr>
            </w:pPr>
            <w:r>
              <w:rPr>
                <w:sz w:val="18"/>
              </w:rPr>
              <w:t>37,518.3</w:t>
            </w:r>
          </w:p>
          <w:p w:rsidR="00000000" w:rsidRDefault="00000000">
            <w:pPr>
              <w:pStyle w:val="a2"/>
              <w:tabs>
                <w:tab w:val="decimal" w:pos="671"/>
              </w:tabs>
              <w:spacing w:line="210" w:lineRule="exact"/>
              <w:rPr>
                <w:sz w:val="18"/>
              </w:rPr>
            </w:pPr>
          </w:p>
        </w:tc>
        <w:tc>
          <w:tcPr>
            <w:tcW w:w="1071" w:type="pct"/>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1,376.6</w:t>
            </w:r>
          </w:p>
          <w:p w:rsidR="00000000" w:rsidRDefault="00000000">
            <w:pPr>
              <w:pStyle w:val="a2"/>
              <w:spacing w:line="210" w:lineRule="exact"/>
              <w:ind w:right="567"/>
              <w:jc w:val="right"/>
              <w:rPr>
                <w:sz w:val="18"/>
              </w:rPr>
            </w:pPr>
            <w:r>
              <w:rPr>
                <w:sz w:val="18"/>
              </w:rPr>
              <w:t>1,935.1</w:t>
            </w:r>
          </w:p>
          <w:p w:rsidR="00000000" w:rsidRDefault="00000000">
            <w:pPr>
              <w:pStyle w:val="a2"/>
              <w:spacing w:line="210" w:lineRule="exact"/>
              <w:ind w:right="567"/>
              <w:jc w:val="right"/>
              <w:rPr>
                <w:sz w:val="18"/>
              </w:rPr>
            </w:pPr>
            <w:r>
              <w:rPr>
                <w:sz w:val="18"/>
              </w:rPr>
              <w:t>1,651.4</w:t>
            </w:r>
          </w:p>
          <w:p w:rsidR="00000000" w:rsidRDefault="00000000">
            <w:pPr>
              <w:pStyle w:val="a2"/>
              <w:spacing w:line="210" w:lineRule="exact"/>
              <w:ind w:right="567"/>
              <w:jc w:val="right"/>
              <w:rPr>
                <w:sz w:val="18"/>
              </w:rPr>
            </w:pPr>
          </w:p>
        </w:tc>
      </w:tr>
      <w:tr w:rsidR="00000000">
        <w:tblPrEx>
          <w:tblCellMar>
            <w:top w:w="0" w:type="dxa"/>
            <w:bottom w:w="0" w:type="dxa"/>
          </w:tblCellMar>
        </w:tblPrEx>
        <w:trPr>
          <w:cantSplit/>
        </w:trPr>
        <w:tc>
          <w:tcPr>
            <w:tcW w:w="1622" w:type="pct"/>
          </w:tcPr>
          <w:p w:rsidR="00000000" w:rsidRDefault="00000000">
            <w:pPr>
              <w:pStyle w:val="a2"/>
              <w:spacing w:line="210" w:lineRule="exact"/>
              <w:rPr>
                <w:sz w:val="18"/>
              </w:rPr>
            </w:pPr>
            <w:r>
              <w:rPr>
                <w:rFonts w:hint="eastAsia"/>
                <w:sz w:val="18"/>
              </w:rPr>
              <w:t>高等教育机构</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p w:rsidR="00000000" w:rsidRDefault="00000000">
            <w:pPr>
              <w:pStyle w:val="a2"/>
              <w:spacing w:line="210" w:lineRule="exact"/>
              <w:rPr>
                <w:sz w:val="18"/>
              </w:rPr>
            </w:pPr>
            <w:r>
              <w:rPr>
                <w:sz w:val="18"/>
              </w:rPr>
              <w:t xml:space="preserve">     1999</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24</w:t>
            </w:r>
          </w:p>
          <w:p w:rsidR="00000000" w:rsidRDefault="00000000">
            <w:pPr>
              <w:pStyle w:val="a2"/>
              <w:tabs>
                <w:tab w:val="decimal" w:pos="671"/>
              </w:tabs>
              <w:spacing w:line="210" w:lineRule="exact"/>
              <w:rPr>
                <w:sz w:val="18"/>
              </w:rPr>
            </w:pPr>
            <w:r>
              <w:rPr>
                <w:sz w:val="18"/>
              </w:rPr>
              <w:t>28</w:t>
            </w:r>
          </w:p>
          <w:p w:rsidR="00000000" w:rsidRDefault="00000000">
            <w:pPr>
              <w:pStyle w:val="a2"/>
              <w:tabs>
                <w:tab w:val="decimal" w:pos="671"/>
              </w:tabs>
              <w:spacing w:line="210" w:lineRule="exact"/>
              <w:rPr>
                <w:sz w:val="18"/>
              </w:rPr>
            </w:pPr>
            <w:r>
              <w:rPr>
                <w:sz w:val="18"/>
              </w:rPr>
              <w:t>38</w:t>
            </w:r>
          </w:p>
          <w:p w:rsidR="00000000" w:rsidRDefault="00000000">
            <w:pPr>
              <w:pStyle w:val="a2"/>
              <w:tabs>
                <w:tab w:val="decimal" w:pos="671"/>
              </w:tabs>
              <w:spacing w:line="210" w:lineRule="exact"/>
              <w:rPr>
                <w:sz w:val="18"/>
              </w:rPr>
            </w:pPr>
            <w:r>
              <w:rPr>
                <w:sz w:val="18"/>
              </w:rPr>
              <w:t>43</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58.3</w:t>
            </w:r>
          </w:p>
          <w:p w:rsidR="00000000" w:rsidRDefault="00000000">
            <w:pPr>
              <w:pStyle w:val="a2"/>
              <w:tabs>
                <w:tab w:val="decimal" w:pos="671"/>
              </w:tabs>
              <w:spacing w:line="210" w:lineRule="exact"/>
              <w:rPr>
                <w:sz w:val="18"/>
              </w:rPr>
            </w:pPr>
            <w:r>
              <w:rPr>
                <w:sz w:val="18"/>
              </w:rPr>
              <w:t>65.6</w:t>
            </w:r>
          </w:p>
          <w:p w:rsidR="00000000" w:rsidRDefault="00000000">
            <w:pPr>
              <w:pStyle w:val="a2"/>
              <w:tabs>
                <w:tab w:val="decimal" w:pos="671"/>
              </w:tabs>
              <w:spacing w:line="210" w:lineRule="exact"/>
              <w:rPr>
                <w:sz w:val="18"/>
              </w:rPr>
            </w:pPr>
            <w:r>
              <w:rPr>
                <w:sz w:val="18"/>
              </w:rPr>
              <w:t>72.7</w:t>
            </w:r>
          </w:p>
          <w:p w:rsidR="00000000" w:rsidRDefault="00000000">
            <w:pPr>
              <w:pStyle w:val="a2"/>
              <w:tabs>
                <w:tab w:val="decimal" w:pos="671"/>
              </w:tabs>
              <w:spacing w:line="210" w:lineRule="exact"/>
              <w:rPr>
                <w:sz w:val="18"/>
              </w:rPr>
            </w:pPr>
            <w:r>
              <w:rPr>
                <w:sz w:val="18"/>
              </w:rPr>
              <w:t>77.3</w:t>
            </w:r>
          </w:p>
        </w:tc>
        <w:tc>
          <w:tcPr>
            <w:tcW w:w="645"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65,406.1</w:t>
            </w:r>
          </w:p>
          <w:p w:rsidR="00000000" w:rsidRDefault="00000000">
            <w:pPr>
              <w:pStyle w:val="a2"/>
              <w:tabs>
                <w:tab w:val="decimal" w:pos="671"/>
              </w:tabs>
              <w:spacing w:line="210" w:lineRule="exact"/>
              <w:rPr>
                <w:sz w:val="18"/>
              </w:rPr>
            </w:pPr>
            <w:r>
              <w:rPr>
                <w:sz w:val="18"/>
              </w:rPr>
              <w:t>72,803.1</w:t>
            </w:r>
          </w:p>
          <w:p w:rsidR="00000000" w:rsidRDefault="00000000">
            <w:pPr>
              <w:pStyle w:val="a2"/>
              <w:tabs>
                <w:tab w:val="decimal" w:pos="671"/>
              </w:tabs>
              <w:spacing w:line="210" w:lineRule="exact"/>
              <w:rPr>
                <w:sz w:val="18"/>
              </w:rPr>
            </w:pPr>
            <w:r>
              <w:rPr>
                <w:sz w:val="18"/>
              </w:rPr>
              <w:t>65,031.8</w:t>
            </w:r>
          </w:p>
        </w:tc>
        <w:tc>
          <w:tcPr>
            <w:tcW w:w="1071" w:type="pct"/>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2,050.7</w:t>
            </w:r>
          </w:p>
          <w:p w:rsidR="00000000" w:rsidRDefault="00000000">
            <w:pPr>
              <w:pStyle w:val="a2"/>
              <w:spacing w:line="210" w:lineRule="exact"/>
              <w:ind w:right="567"/>
              <w:jc w:val="right"/>
              <w:rPr>
                <w:sz w:val="18"/>
              </w:rPr>
            </w:pPr>
            <w:r>
              <w:rPr>
                <w:sz w:val="18"/>
              </w:rPr>
              <w:t>1,944.1</w:t>
            </w:r>
          </w:p>
          <w:p w:rsidR="00000000" w:rsidRDefault="00000000">
            <w:pPr>
              <w:pStyle w:val="a2"/>
              <w:spacing w:line="210" w:lineRule="exact"/>
              <w:ind w:right="567"/>
              <w:jc w:val="right"/>
              <w:rPr>
                <w:sz w:val="18"/>
              </w:rPr>
            </w:pPr>
            <w:r>
              <w:rPr>
                <w:sz w:val="18"/>
              </w:rPr>
              <w:t>2,126.3</w:t>
            </w:r>
          </w:p>
        </w:tc>
      </w:tr>
      <w:tr w:rsidR="00000000">
        <w:tblPrEx>
          <w:tblCellMar>
            <w:top w:w="0" w:type="dxa"/>
            <w:bottom w:w="0" w:type="dxa"/>
          </w:tblCellMar>
        </w:tblPrEx>
        <w:trPr>
          <w:cantSplit/>
        </w:trPr>
        <w:tc>
          <w:tcPr>
            <w:tcW w:w="1622" w:type="pct"/>
          </w:tcPr>
          <w:p w:rsidR="00000000" w:rsidRDefault="00000000">
            <w:pPr>
              <w:pStyle w:val="a2"/>
              <w:spacing w:line="210" w:lineRule="exact"/>
              <w:rPr>
                <w:sz w:val="18"/>
              </w:rPr>
            </w:pPr>
            <w:r>
              <w:rPr>
                <w:rFonts w:hint="eastAsia"/>
                <w:sz w:val="18"/>
              </w:rPr>
              <w:t>孤儿院</w:t>
            </w:r>
            <w:r>
              <w:rPr>
                <w:rFonts w:hint="eastAsia"/>
                <w:sz w:val="18"/>
              </w:rPr>
              <w:t>(</w:t>
            </w:r>
            <w:r>
              <w:rPr>
                <w:rFonts w:hint="eastAsia"/>
                <w:sz w:val="18"/>
              </w:rPr>
              <w:t>家庭式</w:t>
            </w:r>
            <w:r>
              <w:rPr>
                <w:rFonts w:hint="eastAsia"/>
                <w:sz w:val="18"/>
              </w:rPr>
              <w:t>)</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35</w:t>
            </w:r>
          </w:p>
          <w:p w:rsidR="00000000" w:rsidRDefault="00000000">
            <w:pPr>
              <w:pStyle w:val="a2"/>
              <w:tabs>
                <w:tab w:val="decimal" w:pos="671"/>
              </w:tabs>
              <w:spacing w:line="210" w:lineRule="exact"/>
              <w:rPr>
                <w:sz w:val="18"/>
              </w:rPr>
            </w:pPr>
            <w:r>
              <w:rPr>
                <w:sz w:val="18"/>
              </w:rPr>
              <w:t>34</w:t>
            </w:r>
          </w:p>
          <w:p w:rsidR="00000000" w:rsidRDefault="00000000">
            <w:pPr>
              <w:pStyle w:val="a2"/>
              <w:tabs>
                <w:tab w:val="decimal" w:pos="671"/>
              </w:tabs>
              <w:spacing w:line="210" w:lineRule="exact"/>
              <w:rPr>
                <w:sz w:val="18"/>
              </w:rPr>
            </w:pPr>
            <w:r>
              <w:rPr>
                <w:sz w:val="18"/>
              </w:rPr>
              <w:t>34</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207</w:t>
            </w:r>
          </w:p>
          <w:p w:rsidR="00000000" w:rsidRDefault="00000000">
            <w:pPr>
              <w:pStyle w:val="a2"/>
              <w:tabs>
                <w:tab w:val="decimal" w:pos="671"/>
              </w:tabs>
              <w:spacing w:line="210" w:lineRule="exact"/>
              <w:rPr>
                <w:sz w:val="18"/>
              </w:rPr>
            </w:pPr>
            <w:r>
              <w:rPr>
                <w:sz w:val="18"/>
              </w:rPr>
              <w:t>198</w:t>
            </w:r>
          </w:p>
          <w:p w:rsidR="00000000" w:rsidRDefault="00000000">
            <w:pPr>
              <w:pStyle w:val="a2"/>
              <w:tabs>
                <w:tab w:val="decimal" w:pos="671"/>
              </w:tabs>
              <w:spacing w:line="210" w:lineRule="exact"/>
              <w:rPr>
                <w:sz w:val="18"/>
              </w:rPr>
            </w:pPr>
            <w:r>
              <w:rPr>
                <w:sz w:val="18"/>
              </w:rPr>
              <w:t>196</w:t>
            </w:r>
          </w:p>
        </w:tc>
        <w:tc>
          <w:tcPr>
            <w:tcW w:w="645"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252.2</w:t>
            </w:r>
          </w:p>
          <w:p w:rsidR="00000000" w:rsidRDefault="00000000">
            <w:pPr>
              <w:pStyle w:val="a2"/>
              <w:tabs>
                <w:tab w:val="decimal" w:pos="671"/>
              </w:tabs>
              <w:spacing w:line="210" w:lineRule="exact"/>
              <w:rPr>
                <w:sz w:val="18"/>
              </w:rPr>
            </w:pPr>
            <w:r>
              <w:rPr>
                <w:sz w:val="18"/>
              </w:rPr>
              <w:t>294.6</w:t>
            </w:r>
          </w:p>
          <w:p w:rsidR="00000000" w:rsidRDefault="00000000">
            <w:pPr>
              <w:pStyle w:val="a2"/>
              <w:tabs>
                <w:tab w:val="decimal" w:pos="671"/>
              </w:tabs>
              <w:spacing w:line="210" w:lineRule="exact"/>
              <w:rPr>
                <w:sz w:val="18"/>
              </w:rPr>
            </w:pPr>
            <w:r>
              <w:rPr>
                <w:sz w:val="18"/>
              </w:rPr>
              <w:t>265.0</w:t>
            </w:r>
          </w:p>
        </w:tc>
        <w:tc>
          <w:tcPr>
            <w:tcW w:w="1071" w:type="pct"/>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1,218.4</w:t>
            </w:r>
          </w:p>
          <w:p w:rsidR="00000000" w:rsidRDefault="00000000">
            <w:pPr>
              <w:pStyle w:val="a2"/>
              <w:spacing w:line="210" w:lineRule="exact"/>
              <w:ind w:right="567"/>
              <w:jc w:val="right"/>
              <w:rPr>
                <w:sz w:val="18"/>
              </w:rPr>
            </w:pPr>
            <w:r>
              <w:rPr>
                <w:sz w:val="18"/>
              </w:rPr>
              <w:t>1,487.9</w:t>
            </w:r>
          </w:p>
          <w:p w:rsidR="00000000" w:rsidRDefault="00000000">
            <w:pPr>
              <w:pStyle w:val="a2"/>
              <w:spacing w:line="210" w:lineRule="exact"/>
              <w:ind w:right="567"/>
              <w:jc w:val="right"/>
              <w:rPr>
                <w:sz w:val="18"/>
              </w:rPr>
            </w:pPr>
            <w:r>
              <w:rPr>
                <w:sz w:val="18"/>
              </w:rPr>
              <w:t>1,352.0</w:t>
            </w:r>
          </w:p>
        </w:tc>
      </w:tr>
      <w:tr w:rsidR="00000000">
        <w:tblPrEx>
          <w:tblCellMar>
            <w:top w:w="0" w:type="dxa"/>
            <w:bottom w:w="0" w:type="dxa"/>
          </w:tblCellMar>
        </w:tblPrEx>
        <w:trPr>
          <w:cantSplit/>
        </w:trPr>
        <w:tc>
          <w:tcPr>
            <w:tcW w:w="1622" w:type="pct"/>
          </w:tcPr>
          <w:p w:rsidR="00000000" w:rsidRDefault="00000000">
            <w:pPr>
              <w:pStyle w:val="a2"/>
              <w:spacing w:line="210" w:lineRule="exact"/>
              <w:rPr>
                <w:sz w:val="18"/>
              </w:rPr>
            </w:pPr>
            <w:r>
              <w:rPr>
                <w:rFonts w:hint="eastAsia"/>
                <w:sz w:val="18"/>
              </w:rPr>
              <w:t>孤儿院</w:t>
            </w:r>
            <w:r>
              <w:rPr>
                <w:sz w:val="18"/>
              </w:rPr>
              <w:t>(</w:t>
            </w:r>
            <w:r>
              <w:rPr>
                <w:rFonts w:hint="eastAsia"/>
                <w:sz w:val="18"/>
              </w:rPr>
              <w:t>国家办</w:t>
            </w:r>
            <w:r>
              <w:rPr>
                <w:sz w:val="18"/>
              </w:rPr>
              <w:t>)</w:t>
            </w:r>
          </w:p>
          <w:p w:rsidR="00000000" w:rsidRDefault="00000000">
            <w:pPr>
              <w:pStyle w:val="a2"/>
              <w:spacing w:line="210" w:lineRule="exact"/>
              <w:rPr>
                <w:sz w:val="18"/>
              </w:rPr>
            </w:pPr>
            <w:r>
              <w:rPr>
                <w:sz w:val="18"/>
              </w:rPr>
              <w:t xml:space="preserve">     1996</w:t>
            </w:r>
          </w:p>
          <w:p w:rsidR="00000000" w:rsidRDefault="00000000">
            <w:pPr>
              <w:pStyle w:val="a2"/>
              <w:spacing w:line="210" w:lineRule="exact"/>
              <w:rPr>
                <w:sz w:val="18"/>
              </w:rPr>
            </w:pPr>
            <w:r>
              <w:rPr>
                <w:sz w:val="18"/>
              </w:rPr>
              <w:t xml:space="preserve">     1997</w:t>
            </w:r>
          </w:p>
          <w:p w:rsidR="00000000" w:rsidRDefault="00000000">
            <w:pPr>
              <w:pStyle w:val="a2"/>
              <w:spacing w:line="210" w:lineRule="exact"/>
              <w:rPr>
                <w:sz w:val="18"/>
              </w:rPr>
            </w:pPr>
            <w:r>
              <w:rPr>
                <w:sz w:val="18"/>
              </w:rPr>
              <w:t xml:space="preserve">     1998</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3</w:t>
            </w:r>
          </w:p>
          <w:p w:rsidR="00000000" w:rsidRDefault="00000000">
            <w:pPr>
              <w:pStyle w:val="a2"/>
              <w:tabs>
                <w:tab w:val="decimal" w:pos="671"/>
              </w:tabs>
              <w:spacing w:line="210" w:lineRule="exact"/>
              <w:rPr>
                <w:sz w:val="18"/>
              </w:rPr>
            </w:pPr>
            <w:r>
              <w:rPr>
                <w:sz w:val="18"/>
              </w:rPr>
              <w:t>3</w:t>
            </w:r>
          </w:p>
          <w:p w:rsidR="00000000" w:rsidRDefault="00000000">
            <w:pPr>
              <w:pStyle w:val="a2"/>
              <w:tabs>
                <w:tab w:val="decimal" w:pos="671"/>
              </w:tabs>
              <w:spacing w:line="210" w:lineRule="exact"/>
              <w:rPr>
                <w:sz w:val="18"/>
              </w:rPr>
            </w:pPr>
            <w:r>
              <w:rPr>
                <w:sz w:val="18"/>
              </w:rPr>
              <w:t>3</w:t>
            </w:r>
          </w:p>
        </w:tc>
        <w:tc>
          <w:tcPr>
            <w:tcW w:w="831"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214</w:t>
            </w:r>
          </w:p>
          <w:p w:rsidR="00000000" w:rsidRDefault="00000000">
            <w:pPr>
              <w:pStyle w:val="a2"/>
              <w:tabs>
                <w:tab w:val="decimal" w:pos="671"/>
              </w:tabs>
              <w:spacing w:line="210" w:lineRule="exact"/>
              <w:rPr>
                <w:sz w:val="18"/>
              </w:rPr>
            </w:pPr>
            <w:r>
              <w:rPr>
                <w:sz w:val="18"/>
              </w:rPr>
              <w:t>201</w:t>
            </w:r>
          </w:p>
          <w:p w:rsidR="00000000" w:rsidRDefault="00000000">
            <w:pPr>
              <w:pStyle w:val="a2"/>
              <w:tabs>
                <w:tab w:val="decimal" w:pos="671"/>
              </w:tabs>
              <w:spacing w:line="210" w:lineRule="exact"/>
              <w:rPr>
                <w:sz w:val="18"/>
              </w:rPr>
            </w:pPr>
            <w:r>
              <w:rPr>
                <w:sz w:val="18"/>
              </w:rPr>
              <w:t>188</w:t>
            </w:r>
          </w:p>
        </w:tc>
        <w:tc>
          <w:tcPr>
            <w:tcW w:w="645" w:type="pct"/>
          </w:tcPr>
          <w:p w:rsidR="00000000" w:rsidRDefault="00000000">
            <w:pPr>
              <w:pStyle w:val="a2"/>
              <w:tabs>
                <w:tab w:val="decimal" w:pos="671"/>
              </w:tabs>
              <w:spacing w:line="210" w:lineRule="exact"/>
              <w:rPr>
                <w:sz w:val="18"/>
              </w:rPr>
            </w:pPr>
          </w:p>
          <w:p w:rsidR="00000000" w:rsidRDefault="00000000">
            <w:pPr>
              <w:pStyle w:val="a2"/>
              <w:tabs>
                <w:tab w:val="decimal" w:pos="671"/>
              </w:tabs>
              <w:spacing w:line="210" w:lineRule="exact"/>
              <w:rPr>
                <w:sz w:val="18"/>
              </w:rPr>
            </w:pPr>
            <w:r>
              <w:rPr>
                <w:sz w:val="18"/>
              </w:rPr>
              <w:t>784.9</w:t>
            </w:r>
          </w:p>
          <w:p w:rsidR="00000000" w:rsidRDefault="00000000">
            <w:pPr>
              <w:pStyle w:val="a2"/>
              <w:tabs>
                <w:tab w:val="decimal" w:pos="671"/>
              </w:tabs>
              <w:spacing w:line="210" w:lineRule="exact"/>
              <w:rPr>
                <w:sz w:val="18"/>
              </w:rPr>
            </w:pPr>
            <w:r>
              <w:rPr>
                <w:sz w:val="18"/>
              </w:rPr>
              <w:t>1,184.6</w:t>
            </w:r>
          </w:p>
          <w:p w:rsidR="00000000" w:rsidRDefault="00000000">
            <w:pPr>
              <w:pStyle w:val="a2"/>
              <w:tabs>
                <w:tab w:val="decimal" w:pos="671"/>
              </w:tabs>
              <w:spacing w:line="210" w:lineRule="exact"/>
              <w:rPr>
                <w:sz w:val="18"/>
              </w:rPr>
            </w:pPr>
            <w:r>
              <w:rPr>
                <w:sz w:val="18"/>
              </w:rPr>
              <w:t>1,250.0</w:t>
            </w:r>
          </w:p>
        </w:tc>
        <w:tc>
          <w:tcPr>
            <w:tcW w:w="1071" w:type="pct"/>
          </w:tcPr>
          <w:p w:rsidR="00000000" w:rsidRDefault="00000000">
            <w:pPr>
              <w:pStyle w:val="a2"/>
              <w:spacing w:line="210" w:lineRule="exact"/>
              <w:ind w:right="567"/>
              <w:jc w:val="right"/>
              <w:rPr>
                <w:sz w:val="18"/>
              </w:rPr>
            </w:pPr>
          </w:p>
          <w:p w:rsidR="00000000" w:rsidRDefault="00000000">
            <w:pPr>
              <w:pStyle w:val="a2"/>
              <w:spacing w:line="210" w:lineRule="exact"/>
              <w:ind w:right="567"/>
              <w:jc w:val="right"/>
              <w:rPr>
                <w:sz w:val="18"/>
              </w:rPr>
            </w:pPr>
            <w:r>
              <w:rPr>
                <w:sz w:val="18"/>
              </w:rPr>
              <w:t>3,847.5</w:t>
            </w:r>
          </w:p>
          <w:p w:rsidR="00000000" w:rsidRDefault="00000000">
            <w:pPr>
              <w:pStyle w:val="a2"/>
              <w:spacing w:line="210" w:lineRule="exact"/>
              <w:ind w:right="567"/>
              <w:jc w:val="right"/>
              <w:rPr>
                <w:sz w:val="18"/>
              </w:rPr>
            </w:pPr>
            <w:r>
              <w:rPr>
                <w:sz w:val="18"/>
              </w:rPr>
              <w:t>5,561.5</w:t>
            </w:r>
          </w:p>
          <w:p w:rsidR="00000000" w:rsidRDefault="00000000">
            <w:pPr>
              <w:pStyle w:val="a2"/>
              <w:spacing w:line="210" w:lineRule="exact"/>
              <w:ind w:right="567"/>
              <w:jc w:val="right"/>
              <w:rPr>
                <w:sz w:val="18"/>
              </w:rPr>
            </w:pPr>
            <w:r>
              <w:rPr>
                <w:sz w:val="18"/>
              </w:rPr>
              <w:t>5,868.5</w:t>
            </w:r>
          </w:p>
        </w:tc>
      </w:tr>
    </w:tbl>
    <w:p w:rsidR="00000000" w:rsidRDefault="00000000">
      <w:pPr>
        <w:spacing w:before="120" w:line="240" w:lineRule="exact"/>
        <w:rPr>
          <w:rFonts w:eastAsia="KaiTi_GB2312" w:hint="eastAsia"/>
          <w:spacing w:val="0"/>
        </w:rPr>
      </w:pPr>
      <w:r>
        <w:rPr>
          <w:rFonts w:eastAsia="KaiTi_GB2312" w:hint="eastAsia"/>
          <w:spacing w:val="0"/>
          <w:sz w:val="22"/>
          <w:u w:val="single"/>
        </w:rPr>
        <w:t>资料来源</w:t>
      </w:r>
      <w:r>
        <w:rPr>
          <w:rFonts w:eastAsia="KaiTi_GB2312" w:hint="eastAsia"/>
          <w:spacing w:val="0"/>
          <w:sz w:val="22"/>
        </w:rPr>
        <w:t>：统计和社会分析局</w:t>
      </w:r>
      <w:r>
        <w:rPr>
          <w:rFonts w:eastAsia="KaiTi_GB2312" w:hint="eastAsia"/>
          <w:spacing w:val="0"/>
        </w:rPr>
        <w:t>。</w:t>
      </w:r>
    </w:p>
    <w:p w:rsidR="00000000" w:rsidRDefault="00000000">
      <w:pPr>
        <w:rPr>
          <w:rFonts w:hint="eastAsia"/>
        </w:rPr>
      </w:pPr>
      <w:r>
        <w:rPr>
          <w:rFonts w:hint="eastAsia"/>
        </w:rPr>
        <w:tab/>
        <w:t xml:space="preserve">550.  </w:t>
      </w:r>
      <w:r>
        <w:rPr>
          <w:rFonts w:ascii="Time New Roman" w:eastAsia="SimHei" w:hAnsi="Time New Roman" w:hint="eastAsia"/>
        </w:rPr>
        <w:t>中等职业学校</w:t>
      </w:r>
      <w:r>
        <w:rPr>
          <w:rFonts w:hint="eastAsia"/>
        </w:rPr>
        <w:t>采取在多价学校和职业学校中组织日校和夜校的形式进行。多功能职业学校在开设高中课程的同时，提供从工人到技师的大量资格专业培训。</w:t>
      </w:r>
    </w:p>
    <w:p w:rsidR="00000000" w:rsidRDefault="00000000">
      <w:pPr>
        <w:rPr>
          <w:rFonts w:hint="eastAsia"/>
        </w:rPr>
      </w:pPr>
      <w:r>
        <w:rPr>
          <w:rFonts w:hint="eastAsia"/>
        </w:rPr>
        <w:tab/>
        <w:t xml:space="preserve">551.  </w:t>
      </w:r>
      <w:r>
        <w:rPr>
          <w:rFonts w:ascii="Time New Roman" w:eastAsia="SimHei" w:hAnsi="Time New Roman" w:hint="eastAsia"/>
        </w:rPr>
        <w:t>高等教育</w:t>
      </w:r>
      <w:r>
        <w:rPr>
          <w:rFonts w:hint="eastAsia"/>
        </w:rPr>
        <w:t>的目标是塑造发展和创造性的人格，进行专业分工更细的在各个领域的培训、完善和培养合格人才。高等学校包括学院、研究所、大学和研究院。高等教育机构的录取以在取得学士学位和中等教育证书之后通过举行竞争性考试进行。学院的学制为</w:t>
      </w:r>
      <w:r>
        <w:rPr>
          <w:rFonts w:hint="eastAsia"/>
        </w:rPr>
        <w:t>2-3</w:t>
      </w:r>
      <w:r>
        <w:rPr>
          <w:rFonts w:hint="eastAsia"/>
        </w:rPr>
        <w:t>年，大学为</w:t>
      </w:r>
      <w:r>
        <w:rPr>
          <w:rFonts w:hint="eastAsia"/>
        </w:rPr>
        <w:t>4-6</w:t>
      </w:r>
      <w:r>
        <w:rPr>
          <w:rFonts w:hint="eastAsia"/>
        </w:rPr>
        <w:t>年。</w:t>
      </w:r>
    </w:p>
    <w:p w:rsidR="00000000" w:rsidRDefault="00000000">
      <w:pPr>
        <w:rPr>
          <w:rFonts w:hint="eastAsia"/>
        </w:rPr>
      </w:pPr>
      <w:r>
        <w:rPr>
          <w:rFonts w:hint="eastAsia"/>
        </w:rPr>
        <w:tab/>
        <w:t xml:space="preserve">552.  </w:t>
      </w:r>
      <w:r>
        <w:rPr>
          <w:rFonts w:hint="eastAsia"/>
        </w:rPr>
        <w:t>全国有</w:t>
      </w:r>
      <w:r>
        <w:rPr>
          <w:rFonts w:hint="eastAsia"/>
        </w:rPr>
        <w:t>18</w:t>
      </w:r>
      <w:r>
        <w:rPr>
          <w:rFonts w:hint="eastAsia"/>
        </w:rPr>
        <w:t>所高等教育机构，学生</w:t>
      </w:r>
      <w:r>
        <w:rPr>
          <w:rFonts w:hint="eastAsia"/>
        </w:rPr>
        <w:t>48,000</w:t>
      </w:r>
      <w:r>
        <w:rPr>
          <w:rFonts w:hint="eastAsia"/>
        </w:rPr>
        <w:t>人，学院</w:t>
      </w:r>
      <w:r>
        <w:rPr>
          <w:rFonts w:hint="eastAsia"/>
        </w:rPr>
        <w:t>47</w:t>
      </w:r>
      <w:r>
        <w:rPr>
          <w:rFonts w:hint="eastAsia"/>
        </w:rPr>
        <w:t>所，学生</w:t>
      </w:r>
      <w:r>
        <w:rPr>
          <w:rFonts w:hint="eastAsia"/>
        </w:rPr>
        <w:t>32,300</w:t>
      </w:r>
      <w:r>
        <w:rPr>
          <w:rFonts w:hint="eastAsia"/>
        </w:rPr>
        <w:t>人。大约有</w:t>
      </w:r>
      <w:r>
        <w:rPr>
          <w:rFonts w:hint="eastAsia"/>
        </w:rPr>
        <w:t>3,000</w:t>
      </w:r>
      <w:r>
        <w:rPr>
          <w:rFonts w:hint="eastAsia"/>
        </w:rPr>
        <w:t>人在国外留学。</w:t>
      </w:r>
    </w:p>
    <w:p w:rsidR="00000000" w:rsidRDefault="00000000">
      <w:pPr>
        <w:rPr>
          <w:rFonts w:hint="eastAsia"/>
        </w:rPr>
      </w:pPr>
      <w:r>
        <w:rPr>
          <w:rFonts w:hint="eastAsia"/>
        </w:rPr>
        <w:tab/>
        <w:t xml:space="preserve">553.  </w:t>
      </w:r>
      <w:r>
        <w:rPr>
          <w:rFonts w:hint="eastAsia"/>
        </w:rPr>
        <w:t>近年来在国有和私人机构中都能看到学生人数增加的趋势。</w:t>
      </w:r>
      <w:r>
        <w:rPr>
          <w:rFonts w:hint="eastAsia"/>
        </w:rPr>
        <w:t>1999</w:t>
      </w:r>
      <w:r>
        <w:rPr>
          <w:rFonts w:hint="eastAsia"/>
        </w:rPr>
        <w:t>年，学前机构有</w:t>
      </w:r>
      <w:r>
        <w:rPr>
          <w:rFonts w:hint="eastAsia"/>
        </w:rPr>
        <w:t>1,201</w:t>
      </w:r>
      <w:r>
        <w:rPr>
          <w:rFonts w:hint="eastAsia"/>
        </w:rPr>
        <w:t>所</w:t>
      </w:r>
      <w:r>
        <w:rPr>
          <w:rFonts w:hint="eastAsia"/>
        </w:rPr>
        <w:t>(</w:t>
      </w:r>
      <w:r>
        <w:rPr>
          <w:rFonts w:hint="eastAsia"/>
        </w:rPr>
        <w:t>儿童</w:t>
      </w:r>
      <w:r>
        <w:rPr>
          <w:rFonts w:hint="eastAsia"/>
        </w:rPr>
        <w:t>101,000</w:t>
      </w:r>
      <w:r>
        <w:rPr>
          <w:rFonts w:hint="eastAsia"/>
        </w:rPr>
        <w:t>名，占</w:t>
      </w:r>
      <w:r>
        <w:rPr>
          <w:rFonts w:hint="eastAsia"/>
        </w:rPr>
        <w:t>33%)</w:t>
      </w:r>
      <w:r>
        <w:rPr>
          <w:rFonts w:hint="eastAsia"/>
        </w:rPr>
        <w:t>，</w:t>
      </w:r>
      <w:r>
        <w:rPr>
          <w:rFonts w:hint="eastAsia"/>
        </w:rPr>
        <w:t>1,558</w:t>
      </w:r>
      <w:r>
        <w:rPr>
          <w:rFonts w:hint="eastAsia"/>
        </w:rPr>
        <w:t>所学校、初中和高中</w:t>
      </w:r>
      <w:r>
        <w:rPr>
          <w:rFonts w:hint="eastAsia"/>
        </w:rPr>
        <w:t>(643,100</w:t>
      </w:r>
      <w:r>
        <w:rPr>
          <w:rFonts w:hint="eastAsia"/>
        </w:rPr>
        <w:t>名学生</w:t>
      </w:r>
      <w:r>
        <w:rPr>
          <w:rFonts w:hint="eastAsia"/>
        </w:rPr>
        <w:t>)</w:t>
      </w:r>
      <w:r>
        <w:rPr>
          <w:rFonts w:hint="eastAsia"/>
        </w:rPr>
        <w:t>，</w:t>
      </w:r>
      <w:r>
        <w:rPr>
          <w:rFonts w:hint="eastAsia"/>
        </w:rPr>
        <w:t>43</w:t>
      </w:r>
      <w:r>
        <w:rPr>
          <w:rFonts w:hint="eastAsia"/>
        </w:rPr>
        <w:t>所大学，</w:t>
      </w:r>
      <w:r>
        <w:rPr>
          <w:rFonts w:hint="eastAsia"/>
        </w:rPr>
        <w:t>57</w:t>
      </w:r>
      <w:r>
        <w:rPr>
          <w:rFonts w:hint="eastAsia"/>
        </w:rPr>
        <w:t>所学院和</w:t>
      </w:r>
      <w:r>
        <w:rPr>
          <w:rFonts w:hint="eastAsia"/>
        </w:rPr>
        <w:t>81</w:t>
      </w:r>
      <w:r>
        <w:rPr>
          <w:rFonts w:hint="eastAsia"/>
        </w:rPr>
        <w:t>所职业学校。</w:t>
      </w:r>
    </w:p>
    <w:p w:rsidR="00000000" w:rsidRDefault="00000000">
      <w:pPr>
        <w:rPr>
          <w:rFonts w:hint="eastAsia"/>
        </w:rPr>
      </w:pPr>
      <w:r>
        <w:rPr>
          <w:rFonts w:hint="eastAsia"/>
        </w:rPr>
        <w:tab/>
        <w:t>554.  1998</w:t>
      </w:r>
      <w:r>
        <w:rPr>
          <w:rFonts w:hint="eastAsia"/>
        </w:rPr>
        <w:t>年教育拨款为</w:t>
      </w:r>
      <w:r>
        <w:rPr>
          <w:rFonts w:hint="eastAsia"/>
        </w:rPr>
        <w:t>5.867</w:t>
      </w:r>
      <w:r>
        <w:rPr>
          <w:rFonts w:hint="eastAsia"/>
        </w:rPr>
        <w:t>亿列依，占教育计划预算的</w:t>
      </w:r>
      <w:r>
        <w:rPr>
          <w:rFonts w:hint="eastAsia"/>
        </w:rPr>
        <w:t>79%</w:t>
      </w:r>
      <w:r>
        <w:rPr>
          <w:rFonts w:hint="eastAsia"/>
        </w:rPr>
        <w:t>，其中</w:t>
      </w:r>
      <w:r>
        <w:rPr>
          <w:rFonts w:hint="eastAsia"/>
        </w:rPr>
        <w:t>1.76</w:t>
      </w:r>
      <w:r>
        <w:rPr>
          <w:rFonts w:hint="eastAsia"/>
        </w:rPr>
        <w:t>亿列依</w:t>
      </w:r>
      <w:r>
        <w:rPr>
          <w:rFonts w:hint="eastAsia"/>
        </w:rPr>
        <w:t>(77%)</w:t>
      </w:r>
      <w:r>
        <w:rPr>
          <w:rFonts w:hint="eastAsia"/>
        </w:rPr>
        <w:t>来自国家预算，</w:t>
      </w:r>
      <w:r>
        <w:rPr>
          <w:rFonts w:hint="eastAsia"/>
        </w:rPr>
        <w:t>4.105</w:t>
      </w:r>
      <w:r>
        <w:rPr>
          <w:rFonts w:hint="eastAsia"/>
        </w:rPr>
        <w:t>亿列依</w:t>
      </w:r>
      <w:r>
        <w:rPr>
          <w:rFonts w:hint="eastAsia"/>
        </w:rPr>
        <w:t>(80%)</w:t>
      </w:r>
      <w:r>
        <w:rPr>
          <w:rFonts w:hint="eastAsia"/>
        </w:rPr>
        <w:t>来自各行政区划的预算。</w:t>
      </w:r>
      <w:r>
        <w:rPr>
          <w:rFonts w:hint="eastAsia"/>
        </w:rPr>
        <w:t>1999</w:t>
      </w:r>
      <w:r>
        <w:rPr>
          <w:rFonts w:hint="eastAsia"/>
        </w:rPr>
        <w:t>年教育预算只拨付了</w:t>
      </w:r>
      <w:r>
        <w:rPr>
          <w:rFonts w:hint="eastAsia"/>
        </w:rPr>
        <w:t>89%</w:t>
      </w:r>
      <w:r>
        <w:rPr>
          <w:rFonts w:hint="eastAsia"/>
        </w:rPr>
        <w:t>。由于削减了预算拨款，预算财政内职员的培训被削减，</w:t>
      </w:r>
      <w:r>
        <w:rPr>
          <w:rFonts w:hint="eastAsia"/>
        </w:rPr>
        <w:t>152</w:t>
      </w:r>
      <w:r>
        <w:rPr>
          <w:rFonts w:hint="eastAsia"/>
        </w:rPr>
        <w:t>所设施老化的幼儿园和</w:t>
      </w:r>
      <w:r>
        <w:rPr>
          <w:rFonts w:hint="eastAsia"/>
        </w:rPr>
        <w:t>196</w:t>
      </w:r>
      <w:r>
        <w:rPr>
          <w:rFonts w:hint="eastAsia"/>
        </w:rPr>
        <w:t>所学前机构在冬天暂停开放。</w:t>
      </w:r>
    </w:p>
    <w:p w:rsidR="00000000" w:rsidRDefault="00000000">
      <w:pPr>
        <w:rPr>
          <w:rFonts w:hint="eastAsia"/>
        </w:rPr>
      </w:pPr>
      <w:r>
        <w:rPr>
          <w:rFonts w:hint="eastAsia"/>
        </w:rPr>
        <w:tab/>
        <w:t xml:space="preserve">555.  </w:t>
      </w:r>
      <w:r>
        <w:rPr>
          <w:rFonts w:ascii="Time New Roman" w:eastAsia="SimHei" w:hAnsi="Time New Roman" w:hint="eastAsia"/>
        </w:rPr>
        <w:t>存在教育问题</w:t>
      </w:r>
      <w:r>
        <w:rPr>
          <w:rFonts w:hint="eastAsia"/>
        </w:rPr>
        <w:t>的儿童在儿童总人口中占很大一部分，包括有感官缺陷的儿童、有运动系统缺陷的儿童、有语言缺陷或智力缺陷的儿童等等。这些儿童需要额外帮助，被纳入特殊的教育体系。每个儿童都有自己的特殊情况，需要得到帮助才能成长并适应生活。在这个方面，所有的儿童都是特殊的，需要本人和父母共同参与才能克服这些困难。摩尔多瓦共和国的特殊教育是公共教育体系的一个组成部分。</w:t>
      </w:r>
    </w:p>
    <w:p w:rsidR="00000000" w:rsidRDefault="00000000">
      <w:pPr>
        <w:rPr>
          <w:rFonts w:hint="eastAsia"/>
        </w:rPr>
      </w:pPr>
      <w:r>
        <w:rPr>
          <w:rFonts w:hint="eastAsia"/>
        </w:rPr>
        <w:tab/>
        <w:t xml:space="preserve">556.  </w:t>
      </w:r>
      <w:r>
        <w:rPr>
          <w:rFonts w:hint="eastAsia"/>
        </w:rPr>
        <w:t>在</w:t>
      </w:r>
      <w:r>
        <w:t>Orhei</w:t>
      </w:r>
      <w:r>
        <w:rPr>
          <w:rFonts w:hint="eastAsia"/>
        </w:rPr>
        <w:t>和</w:t>
      </w:r>
      <w:r>
        <w:t xml:space="preserve">Hincesti, </w:t>
      </w:r>
      <w:r>
        <w:rPr>
          <w:rFonts w:hint="eastAsia"/>
        </w:rPr>
        <w:t>有两所隶属劳动、社会保障和家庭部的智障儿童寄宿学校，分别照管</w:t>
      </w:r>
      <w:r>
        <w:rPr>
          <w:rFonts w:hint="eastAsia"/>
        </w:rPr>
        <w:t>291</w:t>
      </w:r>
      <w:r>
        <w:rPr>
          <w:rFonts w:hint="eastAsia"/>
        </w:rPr>
        <w:t>和</w:t>
      </w:r>
      <w:r>
        <w:rPr>
          <w:rFonts w:hint="eastAsia"/>
        </w:rPr>
        <w:t>196</w:t>
      </w:r>
      <w:r>
        <w:rPr>
          <w:rFonts w:hint="eastAsia"/>
        </w:rPr>
        <w:t>名儿童。教育和科学部下属有</w:t>
      </w:r>
      <w:r>
        <w:rPr>
          <w:rFonts w:hint="eastAsia"/>
        </w:rPr>
        <w:t>65</w:t>
      </w:r>
      <w:r>
        <w:rPr>
          <w:rFonts w:hint="eastAsia"/>
        </w:rPr>
        <w:t>所寄宿学校，招收学龄孤儿、没有父母照顾的儿童以及有身心发展问题的儿童。</w:t>
      </w:r>
    </w:p>
    <w:p w:rsidR="00000000" w:rsidRDefault="00000000">
      <w:pPr>
        <w:rPr>
          <w:rFonts w:hint="eastAsia"/>
        </w:rPr>
      </w:pPr>
      <w:r>
        <w:rPr>
          <w:rFonts w:hint="eastAsia"/>
        </w:rPr>
        <w:tab/>
        <w:t xml:space="preserve">557. </w:t>
      </w:r>
      <w:r>
        <w:t xml:space="preserve"> </w:t>
      </w:r>
      <w:r>
        <w:rPr>
          <w:rFonts w:hint="eastAsia"/>
        </w:rPr>
        <w:t>在孤儿院和寄宿学校接受教育的所有儿童中，有</w:t>
      </w:r>
      <w:r>
        <w:rPr>
          <w:rFonts w:hint="eastAsia"/>
        </w:rPr>
        <w:t>298</w:t>
      </w:r>
      <w:r>
        <w:rPr>
          <w:rFonts w:hint="eastAsia"/>
        </w:rPr>
        <w:t>名孤儿，还有</w:t>
      </w:r>
      <w:r>
        <w:rPr>
          <w:rFonts w:hint="eastAsia"/>
        </w:rPr>
        <w:t>875</w:t>
      </w:r>
      <w:r>
        <w:rPr>
          <w:rFonts w:hint="eastAsia"/>
        </w:rPr>
        <w:t>名儿童或者是父母患有各种心理错乱的，或者是被法庭判决与父母分开。这些机构的教育和培训内容以儿童的自身能力为基础。</w:t>
      </w:r>
    </w:p>
    <w:p w:rsidR="00000000" w:rsidRDefault="00000000">
      <w:pPr>
        <w:spacing w:after="320"/>
        <w:rPr>
          <w:rFonts w:hint="eastAsia"/>
        </w:rPr>
      </w:pPr>
      <w:r>
        <w:rPr>
          <w:rFonts w:hint="eastAsia"/>
        </w:rPr>
        <w:tab/>
        <w:t>558.  1999</w:t>
      </w:r>
      <w:r>
        <w:rPr>
          <w:rFonts w:hint="eastAsia"/>
        </w:rPr>
        <w:t>年，为有智力和身体残疾儿童开设的寄宿学校共有</w:t>
      </w:r>
      <w:r>
        <w:rPr>
          <w:rFonts w:hint="eastAsia"/>
        </w:rPr>
        <w:t>41</w:t>
      </w:r>
      <w:r>
        <w:rPr>
          <w:rFonts w:hint="eastAsia"/>
        </w:rPr>
        <w:t>所，学生</w:t>
      </w:r>
      <w:r>
        <w:rPr>
          <w:rFonts w:hint="eastAsia"/>
        </w:rPr>
        <w:t>5,439</w:t>
      </w:r>
      <w:r>
        <w:rPr>
          <w:rFonts w:hint="eastAsia"/>
        </w:rPr>
        <w:t>名。国家从统一财政中拨款</w:t>
      </w:r>
      <w:r>
        <w:rPr>
          <w:rFonts w:hint="eastAsia"/>
        </w:rPr>
        <w:t>1,660</w:t>
      </w:r>
      <w:r>
        <w:rPr>
          <w:rFonts w:hint="eastAsia"/>
        </w:rPr>
        <w:t>万列依。由于这类残疾儿童数目的增加</w:t>
      </w:r>
      <w:r>
        <w:rPr>
          <w:rFonts w:hint="eastAsia"/>
          <w:spacing w:val="-50"/>
        </w:rPr>
        <w:t>―</w:t>
      </w:r>
      <w:r>
        <w:rPr>
          <w:rFonts w:hint="eastAsia"/>
        </w:rPr>
        <w:t>―相对于</w:t>
      </w:r>
      <w:r>
        <w:rPr>
          <w:rFonts w:hint="eastAsia"/>
        </w:rPr>
        <w:t>1996</w:t>
      </w:r>
      <w:r>
        <w:rPr>
          <w:rFonts w:hint="eastAsia"/>
        </w:rPr>
        <w:t>年的</w:t>
      </w:r>
      <w:r>
        <w:rPr>
          <w:rFonts w:hint="eastAsia"/>
        </w:rPr>
        <w:t>5,139</w:t>
      </w:r>
      <w:r>
        <w:rPr>
          <w:rFonts w:hint="eastAsia"/>
        </w:rPr>
        <w:t>人，</w:t>
      </w:r>
      <w:r>
        <w:rPr>
          <w:rFonts w:hint="eastAsia"/>
        </w:rPr>
        <w:t>1997</w:t>
      </w:r>
      <w:r>
        <w:rPr>
          <w:rFonts w:hint="eastAsia"/>
        </w:rPr>
        <w:t>年有</w:t>
      </w:r>
      <w:r>
        <w:rPr>
          <w:rFonts w:hint="eastAsia"/>
        </w:rPr>
        <w:t>5,336</w:t>
      </w:r>
      <w:r>
        <w:rPr>
          <w:rFonts w:hint="eastAsia"/>
        </w:rPr>
        <w:t>人</w:t>
      </w:r>
      <w:r>
        <w:rPr>
          <w:rFonts w:hint="eastAsia"/>
          <w:spacing w:val="-50"/>
        </w:rPr>
        <w:t>―</w:t>
      </w:r>
      <w:r>
        <w:rPr>
          <w:rFonts w:hint="eastAsia"/>
        </w:rPr>
        <w:t>―使花在每位儿童身上的支出下降，从</w:t>
      </w:r>
      <w:r>
        <w:rPr>
          <w:rFonts w:hint="eastAsia"/>
        </w:rPr>
        <w:t>1996</w:t>
      </w:r>
      <w:r>
        <w:rPr>
          <w:rFonts w:hint="eastAsia"/>
        </w:rPr>
        <w:t>年的</w:t>
      </w:r>
      <w:r>
        <w:rPr>
          <w:rFonts w:hint="eastAsia"/>
        </w:rPr>
        <w:t>3,631</w:t>
      </w:r>
      <w:r>
        <w:rPr>
          <w:rFonts w:hint="eastAsia"/>
        </w:rPr>
        <w:t>列依下降到</w:t>
      </w:r>
      <w:r>
        <w:rPr>
          <w:rFonts w:hint="eastAsia"/>
        </w:rPr>
        <w:t>1997</w:t>
      </w:r>
      <w:r>
        <w:rPr>
          <w:rFonts w:hint="eastAsia"/>
        </w:rPr>
        <w:t>年的</w:t>
      </w:r>
      <w:r>
        <w:rPr>
          <w:rFonts w:hint="eastAsia"/>
        </w:rPr>
        <w:t>3,531</w:t>
      </w:r>
      <w:r>
        <w:rPr>
          <w:rFonts w:hint="eastAsia"/>
        </w:rPr>
        <w:t>列依。在这期间政府从预算中拨款</w:t>
      </w:r>
      <w:r>
        <w:rPr>
          <w:rFonts w:hint="eastAsia"/>
        </w:rPr>
        <w:t>70</w:t>
      </w:r>
      <w:r>
        <w:rPr>
          <w:rFonts w:hint="eastAsia"/>
        </w:rPr>
        <w:t>万列依用于温泉疗养寄宿学校，有</w:t>
      </w:r>
      <w:r>
        <w:rPr>
          <w:rFonts w:hint="eastAsia"/>
        </w:rPr>
        <w:t>206</w:t>
      </w:r>
      <w:r>
        <w:rPr>
          <w:rFonts w:hint="eastAsia"/>
        </w:rPr>
        <w:t>名患有心血管系统疾病的儿童在这里接受治疗。</w:t>
      </w:r>
    </w:p>
    <w:p w:rsidR="00000000" w:rsidRDefault="00000000">
      <w:pPr>
        <w:pStyle w:val="Heading3"/>
        <w:spacing w:after="160"/>
        <w:rPr>
          <w:rFonts w:hint="eastAsia"/>
        </w:rPr>
      </w:pPr>
      <w:r>
        <w:rPr>
          <w:rFonts w:hint="eastAsia"/>
          <w:u w:val="none"/>
        </w:rPr>
        <w:t>表</w:t>
      </w:r>
      <w:r>
        <w:rPr>
          <w:rFonts w:hint="eastAsia"/>
          <w:u w:val="none"/>
        </w:rPr>
        <w:t xml:space="preserve">38.  </w:t>
      </w:r>
      <w:r>
        <w:rPr>
          <w:rFonts w:hint="eastAsia"/>
        </w:rPr>
        <w:t>用于智力和身体残疾儿童的开支</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99"/>
        <w:gridCol w:w="1612"/>
        <w:gridCol w:w="1612"/>
        <w:gridCol w:w="1504"/>
        <w:gridCol w:w="1943"/>
      </w:tblGrid>
      <w:tr w:rsidR="00000000">
        <w:tblPrEx>
          <w:tblCellMar>
            <w:top w:w="0" w:type="dxa"/>
            <w:bottom w:w="0" w:type="dxa"/>
          </w:tblCellMar>
        </w:tblPrEx>
        <w:trPr>
          <w:cantSplit/>
        </w:trPr>
        <w:tc>
          <w:tcPr>
            <w:tcW w:w="1515" w:type="pct"/>
          </w:tcPr>
          <w:p w:rsidR="00000000" w:rsidRDefault="00000000">
            <w:pPr>
              <w:pStyle w:val="a2"/>
              <w:spacing w:before="120" w:after="60"/>
            </w:pPr>
          </w:p>
        </w:tc>
        <w:tc>
          <w:tcPr>
            <w:tcW w:w="842" w:type="pct"/>
          </w:tcPr>
          <w:p w:rsidR="00000000" w:rsidRDefault="00000000">
            <w:pPr>
              <w:pStyle w:val="a2"/>
              <w:spacing w:before="240"/>
              <w:jc w:val="center"/>
              <w:rPr>
                <w:rFonts w:hint="eastAsia"/>
              </w:rPr>
            </w:pPr>
            <w:r>
              <w:rPr>
                <w:rFonts w:hint="eastAsia"/>
              </w:rPr>
              <w:t>平均机构数</w:t>
            </w:r>
          </w:p>
        </w:tc>
        <w:tc>
          <w:tcPr>
            <w:tcW w:w="842" w:type="pct"/>
          </w:tcPr>
          <w:p w:rsidR="00000000" w:rsidRDefault="00000000">
            <w:pPr>
              <w:pStyle w:val="a2"/>
              <w:spacing w:before="240"/>
              <w:jc w:val="center"/>
              <w:rPr>
                <w:rFonts w:hint="eastAsia"/>
              </w:rPr>
            </w:pPr>
            <w:r>
              <w:rPr>
                <w:rFonts w:hint="eastAsia"/>
              </w:rPr>
              <w:t>平均儿童数</w:t>
            </w:r>
          </w:p>
        </w:tc>
        <w:tc>
          <w:tcPr>
            <w:tcW w:w="786" w:type="pct"/>
          </w:tcPr>
          <w:p w:rsidR="00000000" w:rsidRDefault="00000000">
            <w:pPr>
              <w:pStyle w:val="a2"/>
              <w:spacing w:before="120" w:after="60"/>
              <w:jc w:val="center"/>
              <w:rPr>
                <w:rFonts w:hint="eastAsia"/>
              </w:rPr>
            </w:pPr>
            <w:r>
              <w:rPr>
                <w:rFonts w:hint="eastAsia"/>
              </w:rPr>
              <w:t>年度开支</w:t>
            </w:r>
            <w:r>
              <w:br/>
              <w:t>(</w:t>
            </w:r>
            <w:r>
              <w:rPr>
                <w:rFonts w:hint="eastAsia"/>
              </w:rPr>
              <w:t>千列依</w:t>
            </w:r>
            <w:r>
              <w:rPr>
                <w:rFonts w:hint="eastAsia"/>
              </w:rPr>
              <w:t>)</w:t>
            </w:r>
          </w:p>
        </w:tc>
        <w:tc>
          <w:tcPr>
            <w:tcW w:w="1015" w:type="pct"/>
          </w:tcPr>
          <w:p w:rsidR="00000000" w:rsidRDefault="00000000">
            <w:pPr>
              <w:pStyle w:val="a2"/>
              <w:spacing w:before="120" w:after="60"/>
              <w:jc w:val="center"/>
              <w:rPr>
                <w:rFonts w:hint="eastAsia"/>
              </w:rPr>
            </w:pPr>
            <w:r>
              <w:rPr>
                <w:rFonts w:hint="eastAsia"/>
              </w:rPr>
              <w:t>平均人均年度开支</w:t>
            </w:r>
            <w:r>
              <w:br/>
              <w:t>(</w:t>
            </w:r>
            <w:r>
              <w:rPr>
                <w:rFonts w:hint="eastAsia"/>
              </w:rPr>
              <w:t>千列依</w:t>
            </w:r>
            <w:r>
              <w:rPr>
                <w:rFonts w:hint="eastAsia"/>
              </w:rPr>
              <w:t>)</w:t>
            </w:r>
          </w:p>
        </w:tc>
      </w:tr>
      <w:tr w:rsidR="00000000">
        <w:tblPrEx>
          <w:tblCellMar>
            <w:top w:w="0" w:type="dxa"/>
            <w:bottom w:w="0" w:type="dxa"/>
          </w:tblCellMar>
        </w:tblPrEx>
        <w:trPr>
          <w:cantSplit/>
          <w:trHeight w:val="2295"/>
        </w:trPr>
        <w:tc>
          <w:tcPr>
            <w:tcW w:w="1515" w:type="pct"/>
            <w:tcBorders>
              <w:bottom w:val="nil"/>
            </w:tcBorders>
          </w:tcPr>
          <w:p w:rsidR="00000000" w:rsidRDefault="00000000">
            <w:pPr>
              <w:pStyle w:val="a2"/>
              <w:rPr>
                <w:rFonts w:hint="eastAsia"/>
              </w:rPr>
            </w:pPr>
            <w:r>
              <w:rPr>
                <w:rFonts w:hint="eastAsia"/>
              </w:rPr>
              <w:t>特殊体制的寄宿学校</w:t>
            </w:r>
            <w:r>
              <w:rPr>
                <w:rFonts w:hint="eastAsia"/>
              </w:rPr>
              <w:t>*</w:t>
            </w:r>
          </w:p>
          <w:p w:rsidR="00000000" w:rsidRDefault="00000000">
            <w:pPr>
              <w:pStyle w:val="a2"/>
              <w:ind w:left="510"/>
            </w:pPr>
            <w:r>
              <w:rPr>
                <w:vertAlign w:val="superscript"/>
              </w:rPr>
              <w:br/>
            </w:r>
            <w:r>
              <w:t>1996</w:t>
            </w:r>
            <w:r>
              <w:br/>
              <w:t>1997</w:t>
            </w:r>
            <w:r>
              <w:br/>
              <w:t>1998</w:t>
            </w:r>
            <w:r>
              <w:br/>
              <w:t>1999</w:t>
            </w:r>
          </w:p>
        </w:tc>
        <w:tc>
          <w:tcPr>
            <w:tcW w:w="842" w:type="pct"/>
            <w:tcBorders>
              <w:bottom w:val="nil"/>
            </w:tcBorders>
          </w:tcPr>
          <w:p w:rsidR="00000000" w:rsidRDefault="00000000">
            <w:pPr>
              <w:pStyle w:val="a2"/>
              <w:tabs>
                <w:tab w:val="decimal" w:pos="912"/>
              </w:tabs>
            </w:pPr>
            <w:r>
              <w:br/>
            </w:r>
            <w:r>
              <w:br/>
              <w:t>44</w:t>
            </w:r>
            <w:r>
              <w:br/>
              <w:t>42</w:t>
            </w:r>
            <w:r>
              <w:br/>
              <w:t>43</w:t>
            </w:r>
            <w:r>
              <w:br/>
              <w:t>41</w:t>
            </w:r>
          </w:p>
        </w:tc>
        <w:tc>
          <w:tcPr>
            <w:tcW w:w="842" w:type="pct"/>
            <w:tcBorders>
              <w:bottom w:val="nil"/>
            </w:tcBorders>
          </w:tcPr>
          <w:p w:rsidR="00000000" w:rsidRDefault="00000000">
            <w:pPr>
              <w:pStyle w:val="a2"/>
              <w:tabs>
                <w:tab w:val="decimal" w:pos="912"/>
              </w:tabs>
            </w:pPr>
            <w:r>
              <w:br/>
            </w:r>
            <w:r>
              <w:br/>
              <w:t>5,765</w:t>
            </w:r>
            <w:r>
              <w:br/>
              <w:t>5,679</w:t>
            </w:r>
            <w:r>
              <w:br/>
              <w:t>5,680</w:t>
            </w:r>
            <w:r>
              <w:br/>
              <w:t>5,439</w:t>
            </w:r>
          </w:p>
        </w:tc>
        <w:tc>
          <w:tcPr>
            <w:tcW w:w="786" w:type="pct"/>
            <w:tcBorders>
              <w:bottom w:val="nil"/>
            </w:tcBorders>
          </w:tcPr>
          <w:p w:rsidR="00000000" w:rsidRDefault="00000000">
            <w:pPr>
              <w:pStyle w:val="a2"/>
              <w:tabs>
                <w:tab w:val="decimal" w:pos="912"/>
              </w:tabs>
            </w:pPr>
            <w:r>
              <w:br/>
            </w:r>
            <w:r>
              <w:br/>
              <w:t>18,662.2</w:t>
            </w:r>
            <w:r>
              <w:br/>
              <w:t>18,841.3</w:t>
            </w:r>
            <w:r>
              <w:br/>
              <w:t>16,977.5</w:t>
            </w:r>
          </w:p>
        </w:tc>
        <w:tc>
          <w:tcPr>
            <w:tcW w:w="1015" w:type="pct"/>
            <w:tcBorders>
              <w:bottom w:val="nil"/>
            </w:tcBorders>
          </w:tcPr>
          <w:p w:rsidR="00000000" w:rsidRDefault="00000000">
            <w:pPr>
              <w:pStyle w:val="a2"/>
              <w:tabs>
                <w:tab w:val="decimal" w:pos="912"/>
              </w:tabs>
            </w:pPr>
            <w:r>
              <w:br/>
            </w:r>
            <w:r>
              <w:br/>
              <w:t>3,631.5</w:t>
            </w:r>
            <w:r>
              <w:br/>
              <w:t>3,531.0</w:t>
            </w:r>
            <w:r>
              <w:br/>
              <w:t>3,129.5</w:t>
            </w:r>
          </w:p>
        </w:tc>
      </w:tr>
      <w:tr w:rsidR="00000000">
        <w:tblPrEx>
          <w:tblCellMar>
            <w:top w:w="0" w:type="dxa"/>
            <w:bottom w:w="0" w:type="dxa"/>
          </w:tblCellMar>
        </w:tblPrEx>
        <w:trPr>
          <w:cantSplit/>
        </w:trPr>
        <w:tc>
          <w:tcPr>
            <w:tcW w:w="1515" w:type="pct"/>
            <w:tcBorders>
              <w:top w:val="nil"/>
            </w:tcBorders>
          </w:tcPr>
          <w:p w:rsidR="00000000" w:rsidRDefault="00000000">
            <w:pPr>
              <w:pStyle w:val="a2"/>
              <w:rPr>
                <w:rFonts w:hint="eastAsia"/>
              </w:rPr>
            </w:pPr>
            <w:r>
              <w:rPr>
                <w:rFonts w:hint="eastAsia"/>
              </w:rPr>
              <w:t>温泉疗养寄宿学校</w:t>
            </w:r>
          </w:p>
          <w:p w:rsidR="00000000" w:rsidRDefault="00000000">
            <w:pPr>
              <w:pStyle w:val="a2"/>
              <w:ind w:left="510"/>
            </w:pPr>
            <w:r>
              <w:br/>
              <w:t>1996</w:t>
            </w:r>
            <w:r>
              <w:br/>
              <w:t>1997</w:t>
            </w:r>
            <w:r>
              <w:br/>
              <w:t>1998</w:t>
            </w:r>
            <w:r>
              <w:br/>
              <w:t>1999</w:t>
            </w:r>
          </w:p>
        </w:tc>
        <w:tc>
          <w:tcPr>
            <w:tcW w:w="842" w:type="pct"/>
            <w:tcBorders>
              <w:top w:val="nil"/>
            </w:tcBorders>
          </w:tcPr>
          <w:p w:rsidR="00000000" w:rsidRDefault="00000000">
            <w:pPr>
              <w:pStyle w:val="a2"/>
              <w:tabs>
                <w:tab w:val="decimal" w:pos="912"/>
              </w:tabs>
            </w:pPr>
            <w:r>
              <w:br/>
            </w:r>
            <w:r>
              <w:br/>
              <w:t>1</w:t>
            </w:r>
            <w:r>
              <w:br/>
              <w:t>1</w:t>
            </w:r>
            <w:r>
              <w:br/>
              <w:t>1</w:t>
            </w:r>
            <w:r>
              <w:br/>
              <w:t>3</w:t>
            </w:r>
          </w:p>
        </w:tc>
        <w:tc>
          <w:tcPr>
            <w:tcW w:w="842" w:type="pct"/>
            <w:tcBorders>
              <w:top w:val="nil"/>
            </w:tcBorders>
          </w:tcPr>
          <w:p w:rsidR="00000000" w:rsidRDefault="00000000">
            <w:pPr>
              <w:pStyle w:val="a2"/>
              <w:tabs>
                <w:tab w:val="decimal" w:pos="912"/>
              </w:tabs>
            </w:pPr>
            <w:r>
              <w:br/>
            </w:r>
            <w:r>
              <w:br/>
              <w:t>233</w:t>
            </w:r>
            <w:r>
              <w:br/>
              <w:t>206</w:t>
            </w:r>
            <w:r>
              <w:br/>
              <w:t>206</w:t>
            </w:r>
            <w:r>
              <w:br/>
              <w:t>352</w:t>
            </w:r>
          </w:p>
        </w:tc>
        <w:tc>
          <w:tcPr>
            <w:tcW w:w="786" w:type="pct"/>
            <w:tcBorders>
              <w:top w:val="nil"/>
            </w:tcBorders>
          </w:tcPr>
          <w:p w:rsidR="00000000" w:rsidRDefault="00000000">
            <w:pPr>
              <w:pStyle w:val="a2"/>
              <w:tabs>
                <w:tab w:val="decimal" w:pos="912"/>
              </w:tabs>
            </w:pPr>
            <w:r>
              <w:br/>
            </w:r>
            <w:r>
              <w:br/>
              <w:t>793.1</w:t>
            </w:r>
            <w:r>
              <w:br/>
              <w:t>715.5</w:t>
            </w:r>
            <w:r>
              <w:br/>
              <w:t>780.7</w:t>
            </w:r>
          </w:p>
        </w:tc>
        <w:tc>
          <w:tcPr>
            <w:tcW w:w="1015" w:type="pct"/>
            <w:tcBorders>
              <w:top w:val="nil"/>
            </w:tcBorders>
          </w:tcPr>
          <w:p w:rsidR="00000000" w:rsidRDefault="00000000">
            <w:pPr>
              <w:pStyle w:val="a2"/>
              <w:tabs>
                <w:tab w:val="decimal" w:pos="912"/>
              </w:tabs>
            </w:pPr>
            <w:r>
              <w:br/>
            </w:r>
            <w:r>
              <w:br/>
              <w:t>3,403.9</w:t>
            </w:r>
            <w:r>
              <w:br/>
              <w:t>3,473.3</w:t>
            </w:r>
            <w:r>
              <w:br/>
              <w:t>3,789.9</w:t>
            </w:r>
          </w:p>
        </w:tc>
      </w:tr>
    </w:tbl>
    <w:p w:rsidR="00000000" w:rsidRDefault="00000000">
      <w:pPr>
        <w:spacing w:before="240" w:line="240" w:lineRule="auto"/>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：统计和社会分析局。</w:t>
      </w:r>
    </w:p>
    <w:p w:rsidR="00000000" w:rsidRDefault="00000000">
      <w:pPr>
        <w:spacing w:line="240" w:lineRule="auto"/>
        <w:rPr>
          <w:rFonts w:eastAsia="KaiTi_GB2312" w:hint="eastAsia"/>
          <w:spacing w:val="0"/>
        </w:rPr>
      </w:pPr>
      <w:r>
        <w:rPr>
          <w:rFonts w:eastAsia="KaiTi_GB2312" w:hint="eastAsia"/>
          <w:spacing w:val="0"/>
        </w:rPr>
        <w:tab/>
      </w:r>
      <w:r>
        <w:rPr>
          <w:rFonts w:eastAsia="KaiTi_GB2312" w:hint="eastAsia"/>
          <w:spacing w:val="0"/>
        </w:rPr>
        <w:tab/>
      </w:r>
      <w:r>
        <w:rPr>
          <w:rFonts w:eastAsia="KaiTi_GB2312"/>
          <w:spacing w:val="0"/>
        </w:rPr>
        <w:t xml:space="preserve">  </w:t>
      </w:r>
      <w:r>
        <w:rPr>
          <w:rFonts w:eastAsia="KaiTi_GB2312" w:hint="eastAsia"/>
          <w:spacing w:val="0"/>
        </w:rPr>
        <w:t xml:space="preserve">* </w:t>
      </w:r>
      <w:r>
        <w:rPr>
          <w:rFonts w:eastAsia="KaiTi_GB2312" w:hint="eastAsia"/>
          <w:spacing w:val="0"/>
        </w:rPr>
        <w:tab/>
      </w:r>
      <w:r>
        <w:rPr>
          <w:rFonts w:eastAsia="KaiTi_GB2312"/>
          <w:spacing w:val="0"/>
        </w:rPr>
        <w:t xml:space="preserve"> </w:t>
      </w:r>
      <w:r>
        <w:rPr>
          <w:rFonts w:eastAsia="KaiTi_GB2312" w:hint="eastAsia"/>
          <w:spacing w:val="0"/>
        </w:rPr>
        <w:t>智力和身体残疾儿童学校</w:t>
      </w:r>
    </w:p>
    <w:p w:rsidR="00000000" w:rsidRDefault="00000000">
      <w:pPr>
        <w:rPr>
          <w:rFonts w:hint="eastAsia"/>
        </w:rPr>
      </w:pPr>
    </w:p>
    <w:p w:rsidR="00000000" w:rsidRDefault="00000000">
      <w:pPr>
        <w:rPr>
          <w:rFonts w:hint="eastAsia"/>
        </w:rPr>
      </w:pPr>
      <w:r>
        <w:rPr>
          <w:rFonts w:hint="eastAsia"/>
        </w:rPr>
        <w:tab/>
        <w:t xml:space="preserve">559.  </w:t>
      </w:r>
      <w:r>
        <w:rPr>
          <w:rFonts w:hint="eastAsia"/>
        </w:rPr>
        <w:t>为保证孤儿和没有家长照顾的儿童享有受教育的权利，有</w:t>
      </w:r>
      <w:r>
        <w:rPr>
          <w:rFonts w:hint="eastAsia"/>
        </w:rPr>
        <w:t>777</w:t>
      </w:r>
      <w:r>
        <w:rPr>
          <w:rFonts w:hint="eastAsia"/>
        </w:rPr>
        <w:t>名在国家教育机构中学习的儿童得到国家的物质支持。</w:t>
      </w:r>
      <w:r>
        <w:rPr>
          <w:rFonts w:hint="eastAsia"/>
        </w:rPr>
        <w:t>1997</w:t>
      </w:r>
      <w:r>
        <w:rPr>
          <w:rFonts w:hint="eastAsia"/>
        </w:rPr>
        <w:t>年国家预算共拨款</w:t>
      </w:r>
      <w:r>
        <w:rPr>
          <w:rFonts w:hint="eastAsia"/>
        </w:rPr>
        <w:t>200</w:t>
      </w:r>
      <w:r>
        <w:rPr>
          <w:rFonts w:hint="eastAsia"/>
        </w:rPr>
        <w:t>万列依，</w:t>
      </w:r>
      <w:r>
        <w:rPr>
          <w:rFonts w:hint="eastAsia"/>
        </w:rPr>
        <w:t>1998</w:t>
      </w:r>
      <w:r>
        <w:rPr>
          <w:rFonts w:hint="eastAsia"/>
        </w:rPr>
        <w:t>年拨款</w:t>
      </w:r>
      <w:r>
        <w:rPr>
          <w:rFonts w:hint="eastAsia"/>
        </w:rPr>
        <w:t>330</w:t>
      </w:r>
      <w:r>
        <w:rPr>
          <w:rFonts w:hint="eastAsia"/>
        </w:rPr>
        <w:t>万列依。</w:t>
      </w:r>
      <w:r>
        <w:rPr>
          <w:rFonts w:hint="eastAsia"/>
        </w:rPr>
        <w:t>1999</w:t>
      </w:r>
      <w:r>
        <w:rPr>
          <w:rFonts w:hint="eastAsia"/>
        </w:rPr>
        <w:t>年国家共拨款</w:t>
      </w:r>
      <w:r>
        <w:rPr>
          <w:rFonts w:hint="eastAsia"/>
        </w:rPr>
        <w:t>850</w:t>
      </w:r>
      <w:r>
        <w:rPr>
          <w:rFonts w:hint="eastAsia"/>
        </w:rPr>
        <w:t>万列依用于对孤儿的物质支助。</w:t>
      </w:r>
    </w:p>
    <w:p w:rsidR="00000000" w:rsidRDefault="00000000">
      <w:pPr>
        <w:spacing w:after="320"/>
        <w:rPr>
          <w:rFonts w:hint="eastAsia"/>
        </w:rPr>
      </w:pPr>
      <w:r>
        <w:rPr>
          <w:rFonts w:hint="eastAsia"/>
        </w:rPr>
        <w:tab/>
        <w:t xml:space="preserve">560.  </w:t>
      </w:r>
      <w:r>
        <w:rPr>
          <w:rFonts w:hint="eastAsia"/>
        </w:rPr>
        <w:t>据统计，到</w:t>
      </w:r>
      <w:r>
        <w:rPr>
          <w:rFonts w:hint="eastAsia"/>
        </w:rPr>
        <w:t>2000</w:t>
      </w:r>
      <w:r>
        <w:rPr>
          <w:rFonts w:hint="eastAsia"/>
        </w:rPr>
        <w:t>年</w:t>
      </w:r>
      <w:r>
        <w:rPr>
          <w:rFonts w:hint="eastAsia"/>
        </w:rPr>
        <w:t>3</w:t>
      </w:r>
      <w:r>
        <w:rPr>
          <w:rFonts w:hint="eastAsia"/>
        </w:rPr>
        <w:t>月</w:t>
      </w:r>
      <w:r>
        <w:rPr>
          <w:rFonts w:hint="eastAsia"/>
        </w:rPr>
        <w:t>1</w:t>
      </w:r>
      <w:r>
        <w:rPr>
          <w:rFonts w:hint="eastAsia"/>
        </w:rPr>
        <w:t>日，全国共有</w:t>
      </w:r>
      <w:r>
        <w:rPr>
          <w:rFonts w:hint="eastAsia"/>
        </w:rPr>
        <w:t>4,300</w:t>
      </w:r>
      <w:r>
        <w:rPr>
          <w:rFonts w:hint="eastAsia"/>
        </w:rPr>
        <w:t>名孤儿和没有家长照顾的儿童。同一统计显示，有</w:t>
      </w:r>
      <w:r>
        <w:rPr>
          <w:rFonts w:hint="eastAsia"/>
        </w:rPr>
        <w:t>5,300</w:t>
      </w:r>
      <w:r>
        <w:rPr>
          <w:rFonts w:hint="eastAsia"/>
        </w:rPr>
        <w:t>名儿童被收养。此外，有</w:t>
      </w:r>
      <w:r>
        <w:rPr>
          <w:rFonts w:hint="eastAsia"/>
        </w:rPr>
        <w:t>2,800</w:t>
      </w:r>
      <w:r>
        <w:rPr>
          <w:rFonts w:hint="eastAsia"/>
        </w:rPr>
        <w:t>名没有家长照顾的儿童在寄宿学校中接受教育。</w:t>
      </w:r>
      <w:r>
        <w:rPr>
          <w:rFonts w:hint="eastAsia"/>
        </w:rPr>
        <w:t>1999</w:t>
      </w:r>
      <w:r>
        <w:rPr>
          <w:rFonts w:hint="eastAsia"/>
        </w:rPr>
        <w:t>年全年有</w:t>
      </w:r>
      <w:r>
        <w:rPr>
          <w:rFonts w:hint="eastAsia"/>
        </w:rPr>
        <w:t>589</w:t>
      </w:r>
      <w:r>
        <w:rPr>
          <w:rFonts w:hint="eastAsia"/>
        </w:rPr>
        <w:t>名孤儿和没有家长照顾的儿童得到监护，</w:t>
      </w:r>
      <w:r>
        <w:rPr>
          <w:rFonts w:hint="eastAsia"/>
        </w:rPr>
        <w:t>141</w:t>
      </w:r>
      <w:r>
        <w:rPr>
          <w:rFonts w:hint="eastAsia"/>
        </w:rPr>
        <w:t>名儿童被收养。从</w:t>
      </w:r>
      <w:r>
        <w:rPr>
          <w:rFonts w:hint="eastAsia"/>
        </w:rPr>
        <w:t>1992</w:t>
      </w:r>
      <w:r>
        <w:rPr>
          <w:rFonts w:hint="eastAsia"/>
        </w:rPr>
        <w:t>年到</w:t>
      </w:r>
      <w:r>
        <w:rPr>
          <w:rFonts w:hint="eastAsia"/>
        </w:rPr>
        <w:t>1999</w:t>
      </w:r>
      <w:r>
        <w:rPr>
          <w:rFonts w:hint="eastAsia"/>
        </w:rPr>
        <w:t>年，收养儿童的总数为</w:t>
      </w:r>
      <w:r>
        <w:rPr>
          <w:rFonts w:hint="eastAsia"/>
        </w:rPr>
        <w:t>467</w:t>
      </w:r>
      <w:r>
        <w:rPr>
          <w:rFonts w:hint="eastAsia"/>
        </w:rPr>
        <w:t>人。</w:t>
      </w:r>
    </w:p>
    <w:p w:rsidR="00000000" w:rsidRDefault="00000000">
      <w:pPr>
        <w:pStyle w:val="Heading3"/>
        <w:spacing w:after="240"/>
        <w:rPr>
          <w:rFonts w:hint="eastAsia"/>
        </w:rPr>
      </w:pPr>
      <w:r>
        <w:rPr>
          <w:rFonts w:hint="eastAsia"/>
          <w:u w:val="none"/>
        </w:rPr>
        <w:t>表</w:t>
      </w:r>
      <w:r>
        <w:rPr>
          <w:rFonts w:hint="eastAsia"/>
          <w:u w:val="none"/>
        </w:rPr>
        <w:t xml:space="preserve">39.  </w:t>
      </w:r>
      <w:r>
        <w:rPr>
          <w:rFonts w:hint="eastAsia"/>
        </w:rPr>
        <w:t>学年开始时没有入学的</w:t>
      </w:r>
      <w:r>
        <w:rPr>
          <w:rFonts w:hint="eastAsia"/>
        </w:rPr>
        <w:t>7</w:t>
      </w:r>
      <w:r>
        <w:rPr>
          <w:rFonts w:hint="eastAsia"/>
        </w:rPr>
        <w:t>岁至</w:t>
      </w:r>
      <w:r>
        <w:rPr>
          <w:rFonts w:hint="eastAsia"/>
        </w:rPr>
        <w:t>16</w:t>
      </w:r>
      <w:r>
        <w:rPr>
          <w:rFonts w:hint="eastAsia"/>
        </w:rPr>
        <w:t>岁儿童和少年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3"/>
        <w:gridCol w:w="1746"/>
        <w:gridCol w:w="1403"/>
        <w:gridCol w:w="1788"/>
        <w:gridCol w:w="1146"/>
        <w:gridCol w:w="2014"/>
      </w:tblGrid>
      <w:tr w:rsidR="00000000">
        <w:tblPrEx>
          <w:tblCellMar>
            <w:top w:w="0" w:type="dxa"/>
            <w:bottom w:w="0" w:type="dxa"/>
          </w:tblCellMar>
        </w:tblPrEx>
        <w:trPr>
          <w:cantSplit/>
        </w:trPr>
        <w:tc>
          <w:tcPr>
            <w:tcW w:w="770" w:type="pct"/>
            <w:vMerge w:val="restart"/>
            <w:vAlign w:val="center"/>
          </w:tcPr>
          <w:p w:rsidR="00000000" w:rsidRDefault="00000000">
            <w:pPr>
              <w:pStyle w:val="a2"/>
              <w:jc w:val="center"/>
              <w:rPr>
                <w:rFonts w:hint="eastAsia"/>
              </w:rPr>
            </w:pPr>
            <w:r>
              <w:rPr>
                <w:rFonts w:hint="eastAsia"/>
              </w:rPr>
              <w:t>学</w:t>
            </w:r>
            <w:r>
              <w:rPr>
                <w:rFonts w:hint="eastAsia"/>
              </w:rPr>
              <w:t xml:space="preserve">  </w:t>
            </w:r>
            <w:r>
              <w:rPr>
                <w:rFonts w:hint="eastAsia"/>
              </w:rPr>
              <w:t>年</w:t>
            </w:r>
          </w:p>
        </w:tc>
        <w:tc>
          <w:tcPr>
            <w:tcW w:w="912" w:type="pct"/>
            <w:vMerge w:val="restart"/>
            <w:vAlign w:val="center"/>
          </w:tcPr>
          <w:p w:rsidR="00000000" w:rsidRDefault="00000000">
            <w:pPr>
              <w:pStyle w:val="a2"/>
              <w:jc w:val="center"/>
              <w:rPr>
                <w:rFonts w:hint="eastAsia"/>
              </w:rPr>
            </w:pPr>
            <w:r>
              <w:rPr>
                <w:rFonts w:hint="eastAsia"/>
              </w:rPr>
              <w:t>没有入学的</w:t>
            </w:r>
            <w:r>
              <w:rPr>
                <w:rFonts w:hint="eastAsia"/>
              </w:rPr>
              <w:t>7</w:t>
            </w:r>
            <w:r>
              <w:rPr>
                <w:rFonts w:hint="eastAsia"/>
              </w:rPr>
              <w:t>至</w:t>
            </w:r>
            <w:r>
              <w:rPr>
                <w:rFonts w:hint="eastAsia"/>
              </w:rPr>
              <w:t>16</w:t>
            </w:r>
            <w:r>
              <w:rPr>
                <w:rFonts w:hint="eastAsia"/>
              </w:rPr>
              <w:t>岁的儿童总数</w:t>
            </w:r>
          </w:p>
        </w:tc>
        <w:tc>
          <w:tcPr>
            <w:tcW w:w="733" w:type="pct"/>
            <w:vMerge w:val="restart"/>
            <w:vAlign w:val="center"/>
          </w:tcPr>
          <w:p w:rsidR="00000000" w:rsidRDefault="00000000">
            <w:pPr>
              <w:pStyle w:val="a2"/>
              <w:jc w:val="center"/>
              <w:rPr>
                <w:rFonts w:hint="eastAsia"/>
              </w:rPr>
            </w:pPr>
            <w:r>
              <w:rPr>
                <w:rFonts w:hint="eastAsia"/>
              </w:rPr>
              <w:t>由于患病</w:t>
            </w:r>
          </w:p>
        </w:tc>
        <w:tc>
          <w:tcPr>
            <w:tcW w:w="934" w:type="pct"/>
            <w:vMerge w:val="restart"/>
            <w:vAlign w:val="center"/>
          </w:tcPr>
          <w:p w:rsidR="00000000" w:rsidRDefault="00000000">
            <w:pPr>
              <w:pStyle w:val="a2"/>
              <w:jc w:val="center"/>
              <w:rPr>
                <w:rFonts w:hint="eastAsia"/>
              </w:rPr>
            </w:pPr>
            <w:r>
              <w:rPr>
                <w:rFonts w:hint="eastAsia"/>
              </w:rPr>
              <w:t>由于上完</w:t>
            </w:r>
            <w:r>
              <w:rPr>
                <w:rFonts w:hint="eastAsia"/>
              </w:rPr>
              <w:t>9</w:t>
            </w:r>
            <w:r>
              <w:rPr>
                <w:rFonts w:hint="eastAsia"/>
              </w:rPr>
              <w:t>年级</w:t>
            </w:r>
            <w:r>
              <w:br/>
            </w:r>
            <w:r>
              <w:rPr>
                <w:rFonts w:hint="eastAsia"/>
              </w:rPr>
              <w:t>未继续上学</w:t>
            </w:r>
          </w:p>
        </w:tc>
        <w:tc>
          <w:tcPr>
            <w:tcW w:w="1651" w:type="pct"/>
            <w:gridSpan w:val="2"/>
          </w:tcPr>
          <w:p w:rsidR="00000000" w:rsidRDefault="00000000">
            <w:pPr>
              <w:pStyle w:val="a2"/>
              <w:jc w:val="center"/>
              <w:rPr>
                <w:rFonts w:hint="eastAsia"/>
              </w:rPr>
            </w:pPr>
            <w:r>
              <w:rPr>
                <w:rFonts w:hint="eastAsia"/>
              </w:rPr>
              <w:t>处在中学年龄的儿童</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770" w:type="pct"/>
            <w:vMerge/>
          </w:tcPr>
          <w:p w:rsidR="00000000" w:rsidRDefault="00000000">
            <w:pPr>
              <w:pStyle w:val="a2"/>
              <w:jc w:val="center"/>
            </w:pPr>
          </w:p>
        </w:tc>
        <w:tc>
          <w:tcPr>
            <w:tcW w:w="912" w:type="pct"/>
            <w:vMerge/>
          </w:tcPr>
          <w:p w:rsidR="00000000" w:rsidRDefault="00000000">
            <w:pPr>
              <w:pStyle w:val="a2"/>
              <w:jc w:val="center"/>
            </w:pPr>
          </w:p>
        </w:tc>
        <w:tc>
          <w:tcPr>
            <w:tcW w:w="733" w:type="pct"/>
            <w:vMerge/>
          </w:tcPr>
          <w:p w:rsidR="00000000" w:rsidRDefault="00000000">
            <w:pPr>
              <w:pStyle w:val="a2"/>
              <w:jc w:val="center"/>
            </w:pPr>
          </w:p>
        </w:tc>
        <w:tc>
          <w:tcPr>
            <w:tcW w:w="934" w:type="pct"/>
            <w:vMerge/>
          </w:tcPr>
          <w:p w:rsidR="00000000" w:rsidRDefault="00000000">
            <w:pPr>
              <w:pStyle w:val="a2"/>
              <w:jc w:val="center"/>
            </w:pPr>
          </w:p>
        </w:tc>
        <w:tc>
          <w:tcPr>
            <w:tcW w:w="599" w:type="pct"/>
          </w:tcPr>
          <w:p w:rsidR="00000000" w:rsidRDefault="00000000">
            <w:pPr>
              <w:pStyle w:val="a2"/>
              <w:spacing w:before="180"/>
              <w:jc w:val="center"/>
              <w:rPr>
                <w:rFonts w:hint="eastAsia"/>
              </w:rPr>
            </w:pPr>
            <w:r>
              <w:rPr>
                <w:rFonts w:hint="eastAsia"/>
              </w:rPr>
              <w:t>总</w:t>
            </w:r>
            <w:r>
              <w:rPr>
                <w:rFonts w:hint="eastAsia"/>
              </w:rPr>
              <w:t xml:space="preserve">  </w:t>
            </w:r>
            <w:r>
              <w:rPr>
                <w:rFonts w:hint="eastAsia"/>
              </w:rPr>
              <w:t>数</w:t>
            </w:r>
          </w:p>
        </w:tc>
        <w:tc>
          <w:tcPr>
            <w:tcW w:w="1052" w:type="pct"/>
          </w:tcPr>
          <w:p w:rsidR="00000000" w:rsidRDefault="00000000">
            <w:pPr>
              <w:pStyle w:val="a2"/>
              <w:jc w:val="center"/>
              <w:rPr>
                <w:rFonts w:hint="eastAsia"/>
              </w:rPr>
            </w:pPr>
            <w:r>
              <w:rPr>
                <w:rFonts w:hint="eastAsia"/>
              </w:rPr>
              <w:t>未在校的</w:t>
            </w:r>
            <w:r>
              <w:rPr>
                <w:rFonts w:hint="eastAsia"/>
              </w:rPr>
              <w:t>7</w:t>
            </w:r>
            <w:r>
              <w:rPr>
                <w:rFonts w:hint="eastAsia"/>
              </w:rPr>
              <w:t>至</w:t>
            </w:r>
            <w:r>
              <w:br/>
            </w:r>
            <w:r>
              <w:rPr>
                <w:rFonts w:hint="eastAsia"/>
              </w:rPr>
              <w:t>16</w:t>
            </w:r>
            <w:r>
              <w:rPr>
                <w:rFonts w:hint="eastAsia"/>
              </w:rPr>
              <w:t>岁儿童</w:t>
            </w:r>
            <w:r>
              <w:rPr>
                <w:rFonts w:hint="eastAsia"/>
              </w:rPr>
              <w:t>(%)</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770" w:type="pct"/>
            <w:tcBorders>
              <w:bottom w:val="nil"/>
            </w:tcBorders>
          </w:tcPr>
          <w:p w:rsidR="00000000" w:rsidRDefault="00000000">
            <w:pPr>
              <w:pStyle w:val="a2"/>
            </w:pPr>
            <w:r>
              <w:t>1993/94</w:t>
            </w:r>
          </w:p>
        </w:tc>
        <w:tc>
          <w:tcPr>
            <w:tcW w:w="912" w:type="pct"/>
            <w:tcBorders>
              <w:bottom w:val="nil"/>
            </w:tcBorders>
          </w:tcPr>
          <w:p w:rsidR="00000000" w:rsidRDefault="00000000">
            <w:pPr>
              <w:pStyle w:val="a2"/>
              <w:tabs>
                <w:tab w:val="decimal" w:pos="963"/>
              </w:tabs>
            </w:pPr>
            <w:r>
              <w:t>14,675</w:t>
            </w:r>
          </w:p>
        </w:tc>
        <w:tc>
          <w:tcPr>
            <w:tcW w:w="733" w:type="pct"/>
            <w:tcBorders>
              <w:bottom w:val="nil"/>
            </w:tcBorders>
          </w:tcPr>
          <w:p w:rsidR="00000000" w:rsidRDefault="00000000">
            <w:pPr>
              <w:pStyle w:val="a2"/>
              <w:tabs>
                <w:tab w:val="decimal" w:pos="774"/>
              </w:tabs>
            </w:pPr>
            <w:r>
              <w:t>1,535</w:t>
            </w:r>
          </w:p>
        </w:tc>
        <w:tc>
          <w:tcPr>
            <w:tcW w:w="934" w:type="pct"/>
            <w:tcBorders>
              <w:bottom w:val="nil"/>
            </w:tcBorders>
          </w:tcPr>
          <w:p w:rsidR="00000000" w:rsidRDefault="00000000">
            <w:pPr>
              <w:pStyle w:val="a2"/>
              <w:tabs>
                <w:tab w:val="decimal" w:pos="963"/>
              </w:tabs>
            </w:pPr>
            <w:r>
              <w:t>8,069</w:t>
            </w:r>
          </w:p>
        </w:tc>
        <w:tc>
          <w:tcPr>
            <w:tcW w:w="599" w:type="pct"/>
            <w:tcBorders>
              <w:bottom w:val="nil"/>
            </w:tcBorders>
          </w:tcPr>
          <w:p w:rsidR="00000000" w:rsidRDefault="00000000">
            <w:pPr>
              <w:pStyle w:val="a2"/>
              <w:tabs>
                <w:tab w:val="decimal" w:pos="650"/>
              </w:tabs>
            </w:pPr>
            <w:r>
              <w:t>5,078</w:t>
            </w:r>
          </w:p>
        </w:tc>
        <w:tc>
          <w:tcPr>
            <w:tcW w:w="1052" w:type="pct"/>
            <w:tcBorders>
              <w:bottom w:val="nil"/>
            </w:tcBorders>
          </w:tcPr>
          <w:p w:rsidR="00000000" w:rsidRDefault="00000000">
            <w:pPr>
              <w:pStyle w:val="a2"/>
              <w:tabs>
                <w:tab w:val="decimal" w:pos="963"/>
              </w:tabs>
            </w:pPr>
            <w:r>
              <w:t>35</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Height w:val="310"/>
        </w:trPr>
        <w:tc>
          <w:tcPr>
            <w:tcW w:w="770" w:type="pct"/>
            <w:tcBorders>
              <w:top w:val="nil"/>
              <w:bottom w:val="nil"/>
            </w:tcBorders>
          </w:tcPr>
          <w:p w:rsidR="00000000" w:rsidRDefault="00000000">
            <w:pPr>
              <w:pStyle w:val="a2"/>
            </w:pPr>
            <w:r>
              <w:t>1994/95</w:t>
            </w:r>
          </w:p>
        </w:tc>
        <w:tc>
          <w:tcPr>
            <w:tcW w:w="912" w:type="pct"/>
            <w:tcBorders>
              <w:top w:val="nil"/>
              <w:bottom w:val="nil"/>
            </w:tcBorders>
          </w:tcPr>
          <w:p w:rsidR="00000000" w:rsidRDefault="00000000">
            <w:pPr>
              <w:pStyle w:val="a2"/>
              <w:tabs>
                <w:tab w:val="decimal" w:pos="963"/>
              </w:tabs>
            </w:pPr>
            <w:r>
              <w:t>13,393</w:t>
            </w:r>
          </w:p>
        </w:tc>
        <w:tc>
          <w:tcPr>
            <w:tcW w:w="733" w:type="pct"/>
            <w:tcBorders>
              <w:top w:val="nil"/>
              <w:bottom w:val="nil"/>
            </w:tcBorders>
          </w:tcPr>
          <w:p w:rsidR="00000000" w:rsidRDefault="00000000">
            <w:pPr>
              <w:pStyle w:val="a2"/>
              <w:tabs>
                <w:tab w:val="decimal" w:pos="774"/>
              </w:tabs>
            </w:pPr>
            <w:r>
              <w:t>1,274</w:t>
            </w:r>
          </w:p>
        </w:tc>
        <w:tc>
          <w:tcPr>
            <w:tcW w:w="934" w:type="pct"/>
            <w:tcBorders>
              <w:top w:val="nil"/>
              <w:bottom w:val="nil"/>
            </w:tcBorders>
          </w:tcPr>
          <w:p w:rsidR="00000000" w:rsidRDefault="00000000">
            <w:pPr>
              <w:pStyle w:val="a2"/>
              <w:tabs>
                <w:tab w:val="decimal" w:pos="963"/>
              </w:tabs>
            </w:pPr>
            <w:r>
              <w:t>7,251</w:t>
            </w:r>
          </w:p>
        </w:tc>
        <w:tc>
          <w:tcPr>
            <w:tcW w:w="599" w:type="pct"/>
            <w:tcBorders>
              <w:top w:val="nil"/>
              <w:bottom w:val="nil"/>
            </w:tcBorders>
          </w:tcPr>
          <w:p w:rsidR="00000000" w:rsidRDefault="00000000">
            <w:pPr>
              <w:pStyle w:val="a2"/>
              <w:tabs>
                <w:tab w:val="decimal" w:pos="650"/>
              </w:tabs>
            </w:pPr>
            <w:r>
              <w:t>4,868</w:t>
            </w:r>
          </w:p>
        </w:tc>
        <w:tc>
          <w:tcPr>
            <w:tcW w:w="1052" w:type="pct"/>
            <w:tcBorders>
              <w:top w:val="nil"/>
              <w:bottom w:val="nil"/>
            </w:tcBorders>
          </w:tcPr>
          <w:p w:rsidR="00000000" w:rsidRDefault="00000000">
            <w:pPr>
              <w:pStyle w:val="a2"/>
              <w:tabs>
                <w:tab w:val="decimal" w:pos="963"/>
              </w:tabs>
            </w:pPr>
            <w:r>
              <w:t>36</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770" w:type="pct"/>
            <w:tcBorders>
              <w:top w:val="nil"/>
              <w:bottom w:val="nil"/>
            </w:tcBorders>
          </w:tcPr>
          <w:p w:rsidR="00000000" w:rsidRDefault="00000000">
            <w:pPr>
              <w:pStyle w:val="a2"/>
            </w:pPr>
            <w:r>
              <w:t>1995/96</w:t>
            </w:r>
          </w:p>
        </w:tc>
        <w:tc>
          <w:tcPr>
            <w:tcW w:w="912" w:type="pct"/>
            <w:tcBorders>
              <w:top w:val="nil"/>
              <w:bottom w:val="nil"/>
            </w:tcBorders>
          </w:tcPr>
          <w:p w:rsidR="00000000" w:rsidRDefault="00000000">
            <w:pPr>
              <w:pStyle w:val="a2"/>
              <w:tabs>
                <w:tab w:val="decimal" w:pos="963"/>
              </w:tabs>
            </w:pPr>
            <w:r>
              <w:t>13,834</w:t>
            </w:r>
          </w:p>
        </w:tc>
        <w:tc>
          <w:tcPr>
            <w:tcW w:w="733" w:type="pct"/>
            <w:tcBorders>
              <w:top w:val="nil"/>
              <w:bottom w:val="nil"/>
            </w:tcBorders>
          </w:tcPr>
          <w:p w:rsidR="00000000" w:rsidRDefault="00000000">
            <w:pPr>
              <w:pStyle w:val="a2"/>
              <w:tabs>
                <w:tab w:val="decimal" w:pos="774"/>
              </w:tabs>
            </w:pPr>
            <w:r>
              <w:t>1,179</w:t>
            </w:r>
          </w:p>
        </w:tc>
        <w:tc>
          <w:tcPr>
            <w:tcW w:w="934" w:type="pct"/>
            <w:tcBorders>
              <w:top w:val="nil"/>
              <w:bottom w:val="nil"/>
            </w:tcBorders>
          </w:tcPr>
          <w:p w:rsidR="00000000" w:rsidRDefault="00000000">
            <w:pPr>
              <w:pStyle w:val="a2"/>
              <w:tabs>
                <w:tab w:val="decimal" w:pos="963"/>
              </w:tabs>
            </w:pPr>
            <w:r>
              <w:t>8,005</w:t>
            </w:r>
          </w:p>
        </w:tc>
        <w:tc>
          <w:tcPr>
            <w:tcW w:w="599" w:type="pct"/>
            <w:tcBorders>
              <w:top w:val="nil"/>
              <w:bottom w:val="nil"/>
            </w:tcBorders>
          </w:tcPr>
          <w:p w:rsidR="00000000" w:rsidRDefault="00000000">
            <w:pPr>
              <w:pStyle w:val="a2"/>
              <w:tabs>
                <w:tab w:val="decimal" w:pos="650"/>
              </w:tabs>
            </w:pPr>
            <w:r>
              <w:t>4,650</w:t>
            </w:r>
          </w:p>
        </w:tc>
        <w:tc>
          <w:tcPr>
            <w:tcW w:w="1052" w:type="pct"/>
            <w:tcBorders>
              <w:top w:val="nil"/>
              <w:bottom w:val="nil"/>
            </w:tcBorders>
          </w:tcPr>
          <w:p w:rsidR="00000000" w:rsidRDefault="00000000">
            <w:pPr>
              <w:pStyle w:val="a2"/>
              <w:tabs>
                <w:tab w:val="decimal" w:pos="963"/>
              </w:tabs>
            </w:pPr>
            <w:r>
              <w:t>34</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770" w:type="pct"/>
            <w:tcBorders>
              <w:top w:val="nil"/>
              <w:bottom w:val="nil"/>
            </w:tcBorders>
          </w:tcPr>
          <w:p w:rsidR="00000000" w:rsidRDefault="00000000">
            <w:pPr>
              <w:pStyle w:val="a2"/>
            </w:pPr>
            <w:r>
              <w:t>1996/97</w:t>
            </w:r>
          </w:p>
        </w:tc>
        <w:tc>
          <w:tcPr>
            <w:tcW w:w="912" w:type="pct"/>
            <w:tcBorders>
              <w:top w:val="nil"/>
              <w:bottom w:val="nil"/>
            </w:tcBorders>
          </w:tcPr>
          <w:p w:rsidR="00000000" w:rsidRDefault="00000000">
            <w:pPr>
              <w:pStyle w:val="a2"/>
              <w:tabs>
                <w:tab w:val="decimal" w:pos="963"/>
              </w:tabs>
            </w:pPr>
            <w:r>
              <w:t>10,829</w:t>
            </w:r>
          </w:p>
        </w:tc>
        <w:tc>
          <w:tcPr>
            <w:tcW w:w="733" w:type="pct"/>
            <w:tcBorders>
              <w:top w:val="nil"/>
              <w:bottom w:val="nil"/>
            </w:tcBorders>
          </w:tcPr>
          <w:p w:rsidR="00000000" w:rsidRDefault="00000000">
            <w:pPr>
              <w:pStyle w:val="a2"/>
              <w:tabs>
                <w:tab w:val="decimal" w:pos="774"/>
              </w:tabs>
            </w:pPr>
            <w:r>
              <w:t>1,003</w:t>
            </w:r>
          </w:p>
        </w:tc>
        <w:tc>
          <w:tcPr>
            <w:tcW w:w="934" w:type="pct"/>
            <w:tcBorders>
              <w:top w:val="nil"/>
              <w:bottom w:val="nil"/>
            </w:tcBorders>
          </w:tcPr>
          <w:p w:rsidR="00000000" w:rsidRDefault="00000000">
            <w:pPr>
              <w:pStyle w:val="a2"/>
              <w:tabs>
                <w:tab w:val="decimal" w:pos="963"/>
              </w:tabs>
            </w:pPr>
            <w:r>
              <w:t>5,049</w:t>
            </w:r>
          </w:p>
        </w:tc>
        <w:tc>
          <w:tcPr>
            <w:tcW w:w="599" w:type="pct"/>
            <w:tcBorders>
              <w:top w:val="nil"/>
              <w:bottom w:val="nil"/>
            </w:tcBorders>
          </w:tcPr>
          <w:p w:rsidR="00000000" w:rsidRDefault="00000000">
            <w:pPr>
              <w:pStyle w:val="a2"/>
              <w:tabs>
                <w:tab w:val="decimal" w:pos="650"/>
              </w:tabs>
            </w:pPr>
            <w:r>
              <w:t>4,777</w:t>
            </w:r>
          </w:p>
        </w:tc>
        <w:tc>
          <w:tcPr>
            <w:tcW w:w="1052" w:type="pct"/>
            <w:tcBorders>
              <w:top w:val="nil"/>
              <w:bottom w:val="nil"/>
            </w:tcBorders>
          </w:tcPr>
          <w:p w:rsidR="00000000" w:rsidRDefault="00000000">
            <w:pPr>
              <w:pStyle w:val="a2"/>
              <w:tabs>
                <w:tab w:val="decimal" w:pos="963"/>
              </w:tabs>
            </w:pPr>
            <w:r>
              <w:t>44</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770" w:type="pct"/>
            <w:tcBorders>
              <w:top w:val="nil"/>
              <w:bottom w:val="nil"/>
            </w:tcBorders>
          </w:tcPr>
          <w:p w:rsidR="00000000" w:rsidRDefault="00000000">
            <w:pPr>
              <w:pStyle w:val="a2"/>
            </w:pPr>
            <w:r>
              <w:t>1997/98</w:t>
            </w:r>
          </w:p>
        </w:tc>
        <w:tc>
          <w:tcPr>
            <w:tcW w:w="912" w:type="pct"/>
            <w:tcBorders>
              <w:top w:val="nil"/>
              <w:bottom w:val="nil"/>
            </w:tcBorders>
          </w:tcPr>
          <w:p w:rsidR="00000000" w:rsidRDefault="00000000">
            <w:pPr>
              <w:pStyle w:val="a2"/>
              <w:tabs>
                <w:tab w:val="decimal" w:pos="963"/>
              </w:tabs>
            </w:pPr>
            <w:r>
              <w:t>11,156</w:t>
            </w:r>
          </w:p>
        </w:tc>
        <w:tc>
          <w:tcPr>
            <w:tcW w:w="733" w:type="pct"/>
            <w:tcBorders>
              <w:top w:val="nil"/>
              <w:bottom w:val="nil"/>
            </w:tcBorders>
          </w:tcPr>
          <w:p w:rsidR="00000000" w:rsidRDefault="00000000">
            <w:pPr>
              <w:pStyle w:val="a2"/>
              <w:tabs>
                <w:tab w:val="decimal" w:pos="774"/>
              </w:tabs>
            </w:pPr>
            <w:r>
              <w:t>1,005</w:t>
            </w:r>
          </w:p>
        </w:tc>
        <w:tc>
          <w:tcPr>
            <w:tcW w:w="934" w:type="pct"/>
            <w:tcBorders>
              <w:top w:val="nil"/>
              <w:bottom w:val="nil"/>
            </w:tcBorders>
          </w:tcPr>
          <w:p w:rsidR="00000000" w:rsidRDefault="00000000">
            <w:pPr>
              <w:pStyle w:val="a2"/>
              <w:tabs>
                <w:tab w:val="decimal" w:pos="963"/>
              </w:tabs>
            </w:pPr>
            <w:r>
              <w:t>5,659</w:t>
            </w:r>
          </w:p>
        </w:tc>
        <w:tc>
          <w:tcPr>
            <w:tcW w:w="599" w:type="pct"/>
            <w:tcBorders>
              <w:top w:val="nil"/>
              <w:bottom w:val="nil"/>
            </w:tcBorders>
          </w:tcPr>
          <w:p w:rsidR="00000000" w:rsidRDefault="00000000">
            <w:pPr>
              <w:pStyle w:val="a2"/>
              <w:tabs>
                <w:tab w:val="decimal" w:pos="650"/>
              </w:tabs>
            </w:pPr>
            <w:r>
              <w:t>4,492</w:t>
            </w:r>
          </w:p>
        </w:tc>
        <w:tc>
          <w:tcPr>
            <w:tcW w:w="1052" w:type="pct"/>
            <w:tcBorders>
              <w:top w:val="nil"/>
              <w:bottom w:val="nil"/>
            </w:tcBorders>
          </w:tcPr>
          <w:p w:rsidR="00000000" w:rsidRDefault="00000000">
            <w:pPr>
              <w:pStyle w:val="a2"/>
              <w:tabs>
                <w:tab w:val="decimal" w:pos="963"/>
              </w:tabs>
            </w:pPr>
            <w:r>
              <w:t>40</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770" w:type="pct"/>
            <w:tcBorders>
              <w:top w:val="nil"/>
              <w:bottom w:val="nil"/>
            </w:tcBorders>
          </w:tcPr>
          <w:p w:rsidR="00000000" w:rsidRDefault="00000000">
            <w:pPr>
              <w:pStyle w:val="a2"/>
            </w:pPr>
            <w:r>
              <w:t>1998/99</w:t>
            </w:r>
          </w:p>
        </w:tc>
        <w:tc>
          <w:tcPr>
            <w:tcW w:w="912" w:type="pct"/>
            <w:tcBorders>
              <w:top w:val="nil"/>
              <w:bottom w:val="nil"/>
            </w:tcBorders>
          </w:tcPr>
          <w:p w:rsidR="00000000" w:rsidRDefault="00000000">
            <w:pPr>
              <w:pStyle w:val="a2"/>
              <w:tabs>
                <w:tab w:val="decimal" w:pos="963"/>
              </w:tabs>
            </w:pPr>
            <w:r>
              <w:t>9,696</w:t>
            </w:r>
          </w:p>
        </w:tc>
        <w:tc>
          <w:tcPr>
            <w:tcW w:w="733" w:type="pct"/>
            <w:tcBorders>
              <w:top w:val="nil"/>
              <w:bottom w:val="nil"/>
            </w:tcBorders>
          </w:tcPr>
          <w:p w:rsidR="00000000" w:rsidRDefault="00000000">
            <w:pPr>
              <w:pStyle w:val="a2"/>
              <w:tabs>
                <w:tab w:val="decimal" w:pos="774"/>
              </w:tabs>
            </w:pPr>
            <w:r>
              <w:t>776</w:t>
            </w:r>
          </w:p>
        </w:tc>
        <w:tc>
          <w:tcPr>
            <w:tcW w:w="934" w:type="pct"/>
            <w:tcBorders>
              <w:top w:val="nil"/>
              <w:bottom w:val="nil"/>
            </w:tcBorders>
          </w:tcPr>
          <w:p w:rsidR="00000000" w:rsidRDefault="00000000">
            <w:pPr>
              <w:pStyle w:val="a2"/>
              <w:tabs>
                <w:tab w:val="decimal" w:pos="963"/>
              </w:tabs>
            </w:pPr>
            <w:r>
              <w:t>4,188</w:t>
            </w:r>
          </w:p>
        </w:tc>
        <w:tc>
          <w:tcPr>
            <w:tcW w:w="599" w:type="pct"/>
            <w:tcBorders>
              <w:top w:val="nil"/>
              <w:bottom w:val="nil"/>
            </w:tcBorders>
          </w:tcPr>
          <w:p w:rsidR="00000000" w:rsidRDefault="00000000">
            <w:pPr>
              <w:pStyle w:val="a2"/>
              <w:tabs>
                <w:tab w:val="decimal" w:pos="650"/>
              </w:tabs>
            </w:pPr>
            <w:r>
              <w:t>4,732</w:t>
            </w:r>
          </w:p>
        </w:tc>
        <w:tc>
          <w:tcPr>
            <w:tcW w:w="1052" w:type="pct"/>
            <w:tcBorders>
              <w:top w:val="nil"/>
              <w:bottom w:val="nil"/>
            </w:tcBorders>
          </w:tcPr>
          <w:p w:rsidR="00000000" w:rsidRDefault="00000000">
            <w:pPr>
              <w:pStyle w:val="a2"/>
              <w:tabs>
                <w:tab w:val="decimal" w:pos="963"/>
              </w:tabs>
            </w:pPr>
            <w:r>
              <w:t>49</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770" w:type="pct"/>
            <w:tcBorders>
              <w:top w:val="nil"/>
            </w:tcBorders>
          </w:tcPr>
          <w:p w:rsidR="00000000" w:rsidRDefault="00000000">
            <w:pPr>
              <w:pStyle w:val="a2"/>
            </w:pPr>
            <w:r>
              <w:t>1999/2000</w:t>
            </w:r>
          </w:p>
        </w:tc>
        <w:tc>
          <w:tcPr>
            <w:tcW w:w="912" w:type="pct"/>
            <w:tcBorders>
              <w:top w:val="nil"/>
            </w:tcBorders>
          </w:tcPr>
          <w:p w:rsidR="00000000" w:rsidRDefault="00000000">
            <w:pPr>
              <w:pStyle w:val="a2"/>
              <w:tabs>
                <w:tab w:val="decimal" w:pos="963"/>
              </w:tabs>
            </w:pPr>
            <w:r>
              <w:t>10,426</w:t>
            </w:r>
          </w:p>
        </w:tc>
        <w:tc>
          <w:tcPr>
            <w:tcW w:w="733" w:type="pct"/>
            <w:tcBorders>
              <w:top w:val="nil"/>
            </w:tcBorders>
          </w:tcPr>
          <w:p w:rsidR="00000000" w:rsidRDefault="00000000">
            <w:pPr>
              <w:pStyle w:val="a2"/>
              <w:tabs>
                <w:tab w:val="decimal" w:pos="774"/>
              </w:tabs>
            </w:pPr>
            <w:r>
              <w:t>738</w:t>
            </w:r>
          </w:p>
        </w:tc>
        <w:tc>
          <w:tcPr>
            <w:tcW w:w="934" w:type="pct"/>
            <w:tcBorders>
              <w:top w:val="nil"/>
            </w:tcBorders>
          </w:tcPr>
          <w:p w:rsidR="00000000" w:rsidRDefault="00000000">
            <w:pPr>
              <w:pStyle w:val="a2"/>
              <w:tabs>
                <w:tab w:val="decimal" w:pos="963"/>
              </w:tabs>
            </w:pPr>
            <w:r>
              <w:t>4,965</w:t>
            </w:r>
          </w:p>
        </w:tc>
        <w:tc>
          <w:tcPr>
            <w:tcW w:w="599" w:type="pct"/>
            <w:tcBorders>
              <w:top w:val="nil"/>
            </w:tcBorders>
          </w:tcPr>
          <w:p w:rsidR="00000000" w:rsidRDefault="00000000">
            <w:pPr>
              <w:pStyle w:val="a2"/>
              <w:tabs>
                <w:tab w:val="decimal" w:pos="650"/>
              </w:tabs>
            </w:pPr>
            <w:r>
              <w:t>4,719</w:t>
            </w:r>
          </w:p>
        </w:tc>
        <w:tc>
          <w:tcPr>
            <w:tcW w:w="1052" w:type="pct"/>
            <w:tcBorders>
              <w:top w:val="nil"/>
            </w:tcBorders>
          </w:tcPr>
          <w:p w:rsidR="00000000" w:rsidRDefault="00000000">
            <w:pPr>
              <w:pStyle w:val="a2"/>
              <w:tabs>
                <w:tab w:val="decimal" w:pos="963"/>
              </w:tabs>
            </w:pPr>
            <w:r>
              <w:t>45</w:t>
            </w:r>
          </w:p>
        </w:tc>
      </w:tr>
    </w:tbl>
    <w:p w:rsidR="00000000" w:rsidRDefault="00000000">
      <w:pPr>
        <w:spacing w:before="120"/>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：统计和社会分析局。</w:t>
      </w:r>
    </w:p>
    <w:p w:rsidR="00000000" w:rsidRDefault="00000000">
      <w:pPr>
        <w:rPr>
          <w:rFonts w:eastAsia="KaiTi_GB2312" w:hint="eastAsia"/>
          <w:spacing w:val="0"/>
        </w:rPr>
      </w:pPr>
    </w:p>
    <w:p w:rsidR="00000000" w:rsidRDefault="00000000">
      <w:pPr>
        <w:rPr>
          <w:rFonts w:hint="eastAsia"/>
        </w:rPr>
      </w:pPr>
      <w:r>
        <w:rPr>
          <w:rFonts w:hint="eastAsia"/>
        </w:rPr>
        <w:tab/>
        <w:t xml:space="preserve">561.  </w:t>
      </w:r>
      <w:r>
        <w:rPr>
          <w:rFonts w:hint="eastAsia"/>
        </w:rPr>
        <w:t>国家的经济危机对在寄宿学校开展儿童教育康复活动造成困难。孤儿院和寄宿学校的经费供给没有到达需要的水平。资金状况不允许这些学校提供良好的条件保护有特殊需要的儿童的健康和生命。</w:t>
      </w:r>
    </w:p>
    <w:p w:rsidR="00000000" w:rsidRDefault="00000000">
      <w:pPr>
        <w:rPr>
          <w:rFonts w:hint="eastAsia"/>
        </w:rPr>
      </w:pPr>
      <w:r>
        <w:rPr>
          <w:rFonts w:hint="eastAsia"/>
        </w:rPr>
        <w:tab/>
        <w:t xml:space="preserve">562.  </w:t>
      </w:r>
      <w:r>
        <w:rPr>
          <w:rFonts w:eastAsia="SimHei" w:hint="eastAsia"/>
        </w:rPr>
        <w:t>性教育</w:t>
      </w:r>
      <w:r>
        <w:rPr>
          <w:rFonts w:hint="eastAsia"/>
        </w:rPr>
        <w:t>。根据法律规定，不在学校中强制进行性教育。关于包括艾滋病</w:t>
      </w:r>
      <w:r>
        <w:rPr>
          <w:rFonts w:hint="eastAsia"/>
        </w:rPr>
        <w:t>/</w:t>
      </w:r>
      <w:r>
        <w:rPr>
          <w:rFonts w:hint="eastAsia"/>
        </w:rPr>
        <w:t>艾滋病毒和性病等一些话题的讨论在由班级辅导员或客座讲师</w:t>
      </w:r>
      <w:r>
        <w:rPr>
          <w:rFonts w:hint="eastAsia"/>
        </w:rPr>
        <w:t>(</w:t>
      </w:r>
      <w:r>
        <w:rPr>
          <w:rFonts w:hint="eastAsia"/>
        </w:rPr>
        <w:t>医生、心理学家等等</w:t>
      </w:r>
      <w:r>
        <w:rPr>
          <w:rFonts w:hint="eastAsia"/>
        </w:rPr>
        <w:t>)</w:t>
      </w:r>
      <w:r>
        <w:rPr>
          <w:rFonts w:hint="eastAsia"/>
        </w:rPr>
        <w:t>主持的特殊教育课上进行。性教育课在城市地区进行；在农村地区这种教育几乎不存在。</w:t>
      </w:r>
    </w:p>
    <w:p w:rsidR="00000000" w:rsidRDefault="00000000">
      <w:pPr>
        <w:spacing w:after="240"/>
        <w:rPr>
          <w:rFonts w:hint="eastAsia"/>
        </w:rPr>
      </w:pPr>
      <w:r>
        <w:rPr>
          <w:rFonts w:hint="eastAsia"/>
        </w:rPr>
        <w:tab/>
        <w:t xml:space="preserve">563.  </w:t>
      </w:r>
      <w:r>
        <w:rPr>
          <w:rFonts w:hint="eastAsia"/>
        </w:rPr>
        <w:t>除了学校开办的性教育课外，各类非政府组织如索斯基金会和“拯救儿童”也支持性教育项目。这些项目有的针对儿童和年轻人，有的针对教师，因为教师必须根据各个年龄群体的理解力水平宣传必要信息。由于农村中缺少这类项目，这些项目中有些是为农村人口设计的。</w:t>
      </w:r>
    </w:p>
    <w:p w:rsidR="00000000" w:rsidRDefault="00000000">
      <w:pPr>
        <w:pStyle w:val="Heading4"/>
        <w:rPr>
          <w:rFonts w:hint="eastAsia"/>
        </w:rPr>
      </w:pPr>
      <w:r>
        <w:rPr>
          <w:rFonts w:hint="eastAsia"/>
        </w:rPr>
        <w:t>娱乐和休闲活动</w:t>
      </w:r>
    </w:p>
    <w:p w:rsidR="00000000" w:rsidRDefault="00000000">
      <w:pPr>
        <w:rPr>
          <w:rFonts w:hint="eastAsia"/>
        </w:rPr>
      </w:pPr>
      <w:r>
        <w:rPr>
          <w:rFonts w:hint="eastAsia"/>
        </w:rPr>
        <w:tab/>
        <w:t xml:space="preserve">564.  </w:t>
      </w:r>
      <w:r>
        <w:rPr>
          <w:rFonts w:hint="eastAsia"/>
        </w:rPr>
        <w:t>根据《教育法》第</w:t>
      </w:r>
      <w:r>
        <w:rPr>
          <w:rFonts w:hint="eastAsia"/>
        </w:rPr>
        <w:t>34</w:t>
      </w:r>
      <w:r>
        <w:rPr>
          <w:rFonts w:hint="eastAsia"/>
        </w:rPr>
        <w:t>条，国家保证儿童有休息、休闲、游戏和参加教育机构提供的娱乐活动的权利。</w:t>
      </w:r>
    </w:p>
    <w:p w:rsidR="00000000" w:rsidRDefault="00000000">
      <w:pPr>
        <w:rPr>
          <w:rFonts w:hint="eastAsia"/>
        </w:rPr>
      </w:pPr>
      <w:r>
        <w:rPr>
          <w:rFonts w:hint="eastAsia"/>
        </w:rPr>
        <w:tab/>
        <w:t xml:space="preserve">565.  </w:t>
      </w:r>
      <w:r>
        <w:rPr>
          <w:rFonts w:hint="eastAsia"/>
        </w:rPr>
        <w:t>《儿童权利法》规定儿童有权通过各种课外活动发展智力。在摩尔多瓦共和国有</w:t>
      </w:r>
      <w:r>
        <w:rPr>
          <w:rFonts w:hint="eastAsia"/>
        </w:rPr>
        <w:t>84</w:t>
      </w:r>
      <w:r>
        <w:rPr>
          <w:rFonts w:hint="eastAsia"/>
        </w:rPr>
        <w:t>所开办课外活动的机构，总容纳能力为</w:t>
      </w:r>
      <w:r>
        <w:rPr>
          <w:rFonts w:hint="eastAsia"/>
        </w:rPr>
        <w:t>50,000</w:t>
      </w:r>
      <w:r>
        <w:rPr>
          <w:rFonts w:hint="eastAsia"/>
        </w:rPr>
        <w:t>人，占全部大学以下学生总数的</w:t>
      </w:r>
      <w:r>
        <w:rPr>
          <w:rFonts w:hint="eastAsia"/>
        </w:rPr>
        <w:t>7.8%</w:t>
      </w:r>
      <w:r>
        <w:rPr>
          <w:rFonts w:hint="eastAsia"/>
        </w:rPr>
        <w:t>，其中包括</w:t>
      </w:r>
      <w:r>
        <w:rPr>
          <w:rFonts w:hint="eastAsia"/>
        </w:rPr>
        <w:t>48</w:t>
      </w:r>
      <w:r>
        <w:rPr>
          <w:rFonts w:hint="eastAsia"/>
        </w:rPr>
        <w:t>个创作中心，有</w:t>
      </w:r>
      <w:r>
        <w:rPr>
          <w:rFonts w:hint="eastAsia"/>
        </w:rPr>
        <w:t>33,753</w:t>
      </w:r>
      <w:r>
        <w:rPr>
          <w:rFonts w:hint="eastAsia"/>
        </w:rPr>
        <w:t>名儿童；</w:t>
      </w:r>
      <w:r>
        <w:rPr>
          <w:rFonts w:hint="eastAsia"/>
        </w:rPr>
        <w:t>15</w:t>
      </w:r>
      <w:r>
        <w:rPr>
          <w:rFonts w:hint="eastAsia"/>
        </w:rPr>
        <w:t>个技术创造中心，有</w:t>
      </w:r>
      <w:r>
        <w:rPr>
          <w:rFonts w:hint="eastAsia"/>
        </w:rPr>
        <w:t>7,895</w:t>
      </w:r>
      <w:r>
        <w:rPr>
          <w:rFonts w:hint="eastAsia"/>
        </w:rPr>
        <w:t>名儿童；</w:t>
      </w:r>
      <w:r>
        <w:rPr>
          <w:rFonts w:hint="eastAsia"/>
        </w:rPr>
        <w:t>12</w:t>
      </w:r>
      <w:r>
        <w:rPr>
          <w:rFonts w:hint="eastAsia"/>
        </w:rPr>
        <w:t>个儿童和青年旅游和远足中心，有</w:t>
      </w:r>
      <w:r>
        <w:rPr>
          <w:rFonts w:hint="eastAsia"/>
        </w:rPr>
        <w:t>5,362</w:t>
      </w:r>
      <w:r>
        <w:rPr>
          <w:rFonts w:hint="eastAsia"/>
        </w:rPr>
        <w:t>名成员；以及</w:t>
      </w:r>
      <w:r>
        <w:rPr>
          <w:rFonts w:hint="eastAsia"/>
        </w:rPr>
        <w:t>9</w:t>
      </w:r>
      <w:r>
        <w:rPr>
          <w:rFonts w:hint="eastAsia"/>
        </w:rPr>
        <w:t>个少年生物学家中心，有</w:t>
      </w:r>
      <w:r>
        <w:rPr>
          <w:rFonts w:hint="eastAsia"/>
        </w:rPr>
        <w:t>2,771</w:t>
      </w:r>
      <w:r>
        <w:rPr>
          <w:rFonts w:hint="eastAsia"/>
        </w:rPr>
        <w:t>名儿童。</w:t>
      </w:r>
    </w:p>
    <w:p w:rsidR="00000000" w:rsidRDefault="00000000">
      <w:pPr>
        <w:rPr>
          <w:rFonts w:hint="eastAsia"/>
        </w:rPr>
      </w:pPr>
      <w:r>
        <w:rPr>
          <w:rFonts w:hint="eastAsia"/>
        </w:rPr>
        <w:tab/>
        <w:t xml:space="preserve">566.  </w:t>
      </w:r>
      <w:r>
        <w:rPr>
          <w:rFonts w:hint="eastAsia"/>
        </w:rPr>
        <w:t>过去十年来，课外机构发生了巨大变化。旧的社会政治学中心被民族文化、手工艺和文学俱乐部所取代。人们对技术科学、旅游和运动有强烈的兴趣。文化艺术群体的成员众多。由于课外机构必须弥补艺术教育的不足，使情况更加复杂。</w:t>
      </w:r>
    </w:p>
    <w:p w:rsidR="00000000" w:rsidRDefault="00000000">
      <w:pPr>
        <w:rPr>
          <w:rFonts w:hint="eastAsia"/>
        </w:rPr>
      </w:pPr>
      <w:r>
        <w:rPr>
          <w:rFonts w:hint="eastAsia"/>
        </w:rPr>
        <w:tab/>
        <w:t xml:space="preserve">567.  </w:t>
      </w:r>
      <w:r>
        <w:rPr>
          <w:rFonts w:hint="eastAsia"/>
        </w:rPr>
        <w:t>课外机构以愉快和有益的方式安排空闲时间并提供免费教育，因此为来自低收入家庭、社会弱势家庭的儿童以及需要更多教育关注的儿童实现积极的自我评价创造了有利的环境。</w:t>
      </w:r>
    </w:p>
    <w:p w:rsidR="00000000" w:rsidRDefault="00000000">
      <w:pPr>
        <w:rPr>
          <w:rFonts w:hint="eastAsia"/>
        </w:rPr>
      </w:pPr>
      <w:r>
        <w:rPr>
          <w:rFonts w:hint="eastAsia"/>
        </w:rPr>
        <w:tab/>
        <w:t xml:space="preserve">568.  </w:t>
      </w:r>
      <w:r>
        <w:rPr>
          <w:rFonts w:hint="eastAsia"/>
        </w:rPr>
        <w:t>尽管面临这一切经济和社会困难，课外机构还是较为稳定地组织了一系列课外活动。合唱节和民间节、美术、摄影、手工展览、艺术和标准舞蹈比赛、运动、旅游、自然采风、去罗马尼亚、保加利亚和希腊爬山成为一个传统。来自校外机构的许多儿童成功地参加了在保加利亚、罗马尼亚、法国、土耳其、波兰等国举行的国际性节日、展览和比赛。</w:t>
      </w:r>
    </w:p>
    <w:p w:rsidR="00000000" w:rsidRDefault="00000000">
      <w:pPr>
        <w:rPr>
          <w:rFonts w:hint="eastAsia"/>
        </w:rPr>
      </w:pPr>
      <w:r>
        <w:rPr>
          <w:rFonts w:hint="eastAsia"/>
        </w:rPr>
        <w:tab/>
        <w:t xml:space="preserve">569.  </w:t>
      </w:r>
      <w:r>
        <w:rPr>
          <w:rFonts w:hint="eastAsia"/>
        </w:rPr>
        <w:t>摩尔多瓦共和国有</w:t>
      </w:r>
      <w:r>
        <w:rPr>
          <w:rFonts w:hint="eastAsia"/>
        </w:rPr>
        <w:t>118</w:t>
      </w:r>
      <w:r>
        <w:rPr>
          <w:rFonts w:hint="eastAsia"/>
        </w:rPr>
        <w:t>个音乐、舞蹈和美术学前艺术教育机构，有</w:t>
      </w:r>
      <w:r>
        <w:rPr>
          <w:rFonts w:hint="eastAsia"/>
        </w:rPr>
        <w:t>19,905</w:t>
      </w:r>
      <w:r>
        <w:rPr>
          <w:rFonts w:hint="eastAsia"/>
        </w:rPr>
        <w:t>名儿童。根据</w:t>
      </w:r>
      <w:r>
        <w:rPr>
          <w:rFonts w:hint="eastAsia"/>
        </w:rPr>
        <w:t>1999</w:t>
      </w:r>
      <w:r>
        <w:rPr>
          <w:rFonts w:hint="eastAsia"/>
        </w:rPr>
        <w:t>年</w:t>
      </w:r>
      <w:r>
        <w:rPr>
          <w:rFonts w:hint="eastAsia"/>
        </w:rPr>
        <w:t>12</w:t>
      </w:r>
      <w:r>
        <w:rPr>
          <w:rFonts w:hint="eastAsia"/>
        </w:rPr>
        <w:t>月</w:t>
      </w:r>
      <w:r>
        <w:rPr>
          <w:rFonts w:hint="eastAsia"/>
        </w:rPr>
        <w:t>2</w:t>
      </w:r>
      <w:r>
        <w:rPr>
          <w:rFonts w:hint="eastAsia"/>
        </w:rPr>
        <w:t>日的第</w:t>
      </w:r>
      <w:r>
        <w:rPr>
          <w:rFonts w:hint="eastAsia"/>
        </w:rPr>
        <w:t>76</w:t>
      </w:r>
      <w:r>
        <w:rPr>
          <w:rFonts w:hint="eastAsia"/>
        </w:rPr>
        <w:t>号政府决定，确定对上述机构收费。收费额是各机构所负担费用的</w:t>
      </w:r>
      <w:r>
        <w:rPr>
          <w:rFonts w:hint="eastAsia"/>
        </w:rPr>
        <w:t>50%</w:t>
      </w:r>
      <w:r>
        <w:rPr>
          <w:rFonts w:hint="eastAsia"/>
        </w:rPr>
        <w:t>。每年计划与实际支出的差额从地方预算中补足。由于收费增加，经济形势不稳，学生数量有所下降。</w:t>
      </w:r>
    </w:p>
    <w:p w:rsidR="00000000" w:rsidRDefault="00000000">
      <w:pPr>
        <w:rPr>
          <w:rFonts w:hint="eastAsia"/>
        </w:rPr>
      </w:pPr>
      <w:r>
        <w:rPr>
          <w:rFonts w:hint="eastAsia"/>
        </w:rPr>
        <w:tab/>
        <w:t xml:space="preserve">570.  </w:t>
      </w:r>
      <w:r>
        <w:rPr>
          <w:rFonts w:hint="eastAsia"/>
        </w:rPr>
        <w:t>校外艺术教育体系旨在发现、培养和选拔青年人才。因此，音乐、舞蹈和美术学校的学生们在国家和国际比赛中取得骄人的成就。</w:t>
      </w:r>
    </w:p>
    <w:p w:rsidR="00000000" w:rsidRDefault="00000000">
      <w:pPr>
        <w:rPr>
          <w:rFonts w:hint="eastAsia"/>
        </w:rPr>
      </w:pPr>
      <w:r>
        <w:rPr>
          <w:rFonts w:hint="eastAsia"/>
        </w:rPr>
        <w:tab/>
        <w:t xml:space="preserve">571.  </w:t>
      </w:r>
      <w:r>
        <w:rPr>
          <w:rFonts w:hint="eastAsia"/>
        </w:rPr>
        <w:t>摩尔多瓦共和国有</w:t>
      </w:r>
      <w:r>
        <w:rPr>
          <w:rFonts w:hint="eastAsia"/>
        </w:rPr>
        <w:t>4</w:t>
      </w:r>
      <w:r>
        <w:rPr>
          <w:rFonts w:hint="eastAsia"/>
        </w:rPr>
        <w:t>所艺术学校：“</w:t>
      </w:r>
      <w:r>
        <w:t>Porumbescu”</w:t>
      </w:r>
      <w:r>
        <w:rPr>
          <w:rFonts w:hint="eastAsia"/>
        </w:rPr>
        <w:t>音乐学校</w:t>
      </w:r>
      <w:r>
        <w:rPr>
          <w:rFonts w:hint="eastAsia"/>
        </w:rPr>
        <w:t>(444</w:t>
      </w:r>
      <w:r>
        <w:rPr>
          <w:rFonts w:hint="eastAsia"/>
        </w:rPr>
        <w:t>名学生</w:t>
      </w:r>
      <w:r>
        <w:rPr>
          <w:rFonts w:hint="eastAsia"/>
        </w:rPr>
        <w:t>)</w:t>
      </w:r>
      <w:r>
        <w:rPr>
          <w:rFonts w:hint="eastAsia"/>
        </w:rPr>
        <w:t>，“</w:t>
      </w:r>
      <w:r>
        <w:t>S. Rahmaninov</w:t>
      </w:r>
      <w:r>
        <w:rPr>
          <w:rFonts w:hint="eastAsia"/>
        </w:rPr>
        <w:t>”音乐学校</w:t>
      </w:r>
      <w:r>
        <w:rPr>
          <w:rFonts w:hint="eastAsia"/>
        </w:rPr>
        <w:t>(292</w:t>
      </w:r>
      <w:r>
        <w:rPr>
          <w:rFonts w:hint="eastAsia"/>
        </w:rPr>
        <w:t>名学生</w:t>
      </w:r>
      <w:r>
        <w:rPr>
          <w:rFonts w:hint="eastAsia"/>
        </w:rPr>
        <w:t>)</w:t>
      </w:r>
      <w:r>
        <w:rPr>
          <w:rFonts w:hint="eastAsia"/>
        </w:rPr>
        <w:t>，共和国舞蹈学校</w:t>
      </w:r>
      <w:r>
        <w:rPr>
          <w:rFonts w:hint="eastAsia"/>
        </w:rPr>
        <w:t>(170</w:t>
      </w:r>
      <w:r>
        <w:rPr>
          <w:rFonts w:hint="eastAsia"/>
        </w:rPr>
        <w:t>名学生</w:t>
      </w:r>
      <w:r>
        <w:rPr>
          <w:rFonts w:hint="eastAsia"/>
        </w:rPr>
        <w:t>)</w:t>
      </w:r>
      <w:r>
        <w:rPr>
          <w:rFonts w:hint="eastAsia"/>
        </w:rPr>
        <w:t>以及共和国美术学校</w:t>
      </w:r>
      <w:r>
        <w:rPr>
          <w:rFonts w:hint="eastAsia"/>
        </w:rPr>
        <w:t>(164</w:t>
      </w:r>
      <w:r>
        <w:rPr>
          <w:rFonts w:hint="eastAsia"/>
        </w:rPr>
        <w:t>名学生</w:t>
      </w:r>
      <w:r>
        <w:rPr>
          <w:rFonts w:hint="eastAsia"/>
        </w:rPr>
        <w:t>)</w:t>
      </w:r>
      <w:r>
        <w:rPr>
          <w:rFonts w:hint="eastAsia"/>
        </w:rPr>
        <w:t>。这些学校旨在培养儿童的人格和天分，提高他们的审美趣味，教育他们尊重民族和世界价值观。在</w:t>
      </w:r>
      <w:r>
        <w:rPr>
          <w:rFonts w:hint="eastAsia"/>
        </w:rPr>
        <w:t>1997</w:t>
      </w:r>
      <w:r>
        <w:rPr>
          <w:rFonts w:hint="eastAsia"/>
        </w:rPr>
        <w:t>至</w:t>
      </w:r>
      <w:r>
        <w:rPr>
          <w:rFonts w:hint="eastAsia"/>
        </w:rPr>
        <w:t>1998</w:t>
      </w:r>
      <w:r>
        <w:rPr>
          <w:rFonts w:hint="eastAsia"/>
        </w:rPr>
        <w:t>年间，上述艺术学校的学生们在国内和国际比赛中赢得</w:t>
      </w:r>
      <w:r>
        <w:rPr>
          <w:rFonts w:hint="eastAsia"/>
        </w:rPr>
        <w:t>97</w:t>
      </w:r>
      <w:r>
        <w:rPr>
          <w:rFonts w:hint="eastAsia"/>
        </w:rPr>
        <w:t>次大奖，在</w:t>
      </w:r>
      <w:r>
        <w:rPr>
          <w:rFonts w:hint="eastAsia"/>
        </w:rPr>
        <w:t>1998</w:t>
      </w:r>
      <w:r>
        <w:rPr>
          <w:rFonts w:hint="eastAsia"/>
        </w:rPr>
        <w:t>至</w:t>
      </w:r>
      <w:r>
        <w:rPr>
          <w:rFonts w:hint="eastAsia"/>
        </w:rPr>
        <w:t>1999</w:t>
      </w:r>
      <w:r>
        <w:rPr>
          <w:rFonts w:hint="eastAsia"/>
        </w:rPr>
        <w:t>年间共获得</w:t>
      </w:r>
      <w:r>
        <w:rPr>
          <w:rFonts w:hint="eastAsia"/>
        </w:rPr>
        <w:t>147</w:t>
      </w:r>
      <w:r>
        <w:rPr>
          <w:rFonts w:hint="eastAsia"/>
        </w:rPr>
        <w:t>次奖项。</w:t>
      </w:r>
      <w:r>
        <w:rPr>
          <w:rFonts w:hint="eastAsia"/>
        </w:rPr>
        <w:t>1998</w:t>
      </w:r>
      <w:r>
        <w:rPr>
          <w:rFonts w:hint="eastAsia"/>
        </w:rPr>
        <w:t>至</w:t>
      </w:r>
      <w:r>
        <w:rPr>
          <w:rFonts w:hint="eastAsia"/>
        </w:rPr>
        <w:t>1999</w:t>
      </w:r>
      <w:r>
        <w:rPr>
          <w:rFonts w:hint="eastAsia"/>
        </w:rPr>
        <w:t>年度，艺术学校有</w:t>
      </w:r>
      <w:r>
        <w:rPr>
          <w:rFonts w:hint="eastAsia"/>
        </w:rPr>
        <w:t>25</w:t>
      </w:r>
      <w:r>
        <w:rPr>
          <w:rFonts w:hint="eastAsia"/>
        </w:rPr>
        <w:t>名儿童获得了“</w:t>
      </w:r>
      <w:r>
        <w:t>Brindusele Sperantei”</w:t>
      </w:r>
      <w:r>
        <w:rPr>
          <w:rFonts w:hint="eastAsia"/>
        </w:rPr>
        <w:t>基金会的奖学金，这个数字在第二年翻了一番。</w:t>
      </w:r>
    </w:p>
    <w:p w:rsidR="00000000" w:rsidRDefault="00000000">
      <w:pPr>
        <w:rPr>
          <w:rFonts w:hint="eastAsia"/>
        </w:rPr>
      </w:pPr>
      <w:r>
        <w:rPr>
          <w:rFonts w:hint="eastAsia"/>
        </w:rPr>
        <w:tab/>
        <w:t xml:space="preserve">572.  </w:t>
      </w:r>
      <w:r>
        <w:rPr>
          <w:rFonts w:hint="eastAsia"/>
        </w:rPr>
        <w:t>约有</w:t>
      </w:r>
      <w:r>
        <w:rPr>
          <w:rFonts w:hint="eastAsia"/>
        </w:rPr>
        <w:t>200</w:t>
      </w:r>
      <w:r>
        <w:rPr>
          <w:rFonts w:hint="eastAsia"/>
        </w:rPr>
        <w:t>所儿童校外图书馆。近年来图书馆系统在维护、购买和更新图书库存中遇到困难。赞助和预算外资金来源部分克服了这些困难。</w:t>
      </w:r>
    </w:p>
    <w:p w:rsidR="00000000" w:rsidRDefault="00000000">
      <w:pPr>
        <w:rPr>
          <w:rFonts w:hint="eastAsia"/>
        </w:rPr>
      </w:pPr>
      <w:r>
        <w:rPr>
          <w:rFonts w:hint="eastAsia"/>
        </w:rPr>
        <w:tab/>
        <w:t xml:space="preserve">573.  </w:t>
      </w:r>
      <w:r>
        <w:rPr>
          <w:rFonts w:hint="eastAsia"/>
        </w:rPr>
        <w:t>有</w:t>
      </w:r>
      <w:r>
        <w:rPr>
          <w:rFonts w:hint="eastAsia"/>
        </w:rPr>
        <w:t>40</w:t>
      </w:r>
      <w:r>
        <w:rPr>
          <w:rFonts w:hint="eastAsia"/>
        </w:rPr>
        <w:t>所儿童艺术团体，如</w:t>
      </w:r>
      <w:r>
        <w:rPr>
          <w:rFonts w:hint="eastAsia"/>
        </w:rPr>
        <w:t xml:space="preserve"> </w:t>
      </w:r>
      <w:r>
        <w:rPr>
          <w:rFonts w:hint="eastAsia"/>
        </w:rPr>
        <w:t>“</w:t>
      </w:r>
      <w:r>
        <w:t>Focusor”</w:t>
      </w:r>
      <w:r>
        <w:rPr>
          <w:rFonts w:hint="eastAsia"/>
        </w:rPr>
        <w:t xml:space="preserve"> </w:t>
      </w:r>
      <w:r>
        <w:rPr>
          <w:rFonts w:hint="eastAsia"/>
        </w:rPr>
        <w:t>民族舞蹈团、“</w:t>
      </w:r>
      <w:r>
        <w:t>Mostenitorii</w:t>
      </w:r>
      <w:r>
        <w:rPr>
          <w:rFonts w:hint="eastAsia"/>
        </w:rPr>
        <w:t>”民族艺术团、</w:t>
      </w:r>
      <w:r>
        <w:t>Chisinau</w:t>
      </w:r>
      <w:r>
        <w:rPr>
          <w:rFonts w:hint="eastAsia"/>
        </w:rPr>
        <w:t>的“</w:t>
      </w:r>
      <w:r>
        <w:t>Florile dalbe</w:t>
      </w:r>
      <w:r>
        <w:rPr>
          <w:rFonts w:hint="eastAsia"/>
        </w:rPr>
        <w:t>”、</w:t>
      </w:r>
      <w:r>
        <w:t>Cantemir</w:t>
      </w:r>
      <w:r>
        <w:rPr>
          <w:rFonts w:hint="eastAsia"/>
        </w:rPr>
        <w:t>的“</w:t>
      </w:r>
      <w:r>
        <w:t>Ciobanasul</w:t>
      </w:r>
      <w:r>
        <w:rPr>
          <w:rFonts w:hint="eastAsia"/>
        </w:rPr>
        <w:t>”、</w:t>
      </w:r>
      <w:r>
        <w:t>Baimaclia</w:t>
      </w:r>
      <w:r>
        <w:rPr>
          <w:rFonts w:hint="eastAsia"/>
          <w:spacing w:val="5"/>
        </w:rPr>
        <w:t>村的儿童舞蹈团、</w:t>
      </w:r>
      <w:r>
        <w:rPr>
          <w:spacing w:val="5"/>
        </w:rPr>
        <w:t>Rascani</w:t>
      </w:r>
      <w:r>
        <w:rPr>
          <w:rFonts w:hint="eastAsia"/>
          <w:spacing w:val="5"/>
        </w:rPr>
        <w:t>的</w:t>
      </w:r>
      <w:r>
        <w:rPr>
          <w:spacing w:val="5"/>
        </w:rPr>
        <w:t>Pelenia</w:t>
      </w:r>
      <w:r>
        <w:rPr>
          <w:rFonts w:hint="eastAsia"/>
          <w:spacing w:val="5"/>
        </w:rPr>
        <w:t>村的“</w:t>
      </w:r>
      <w:r>
        <w:rPr>
          <w:spacing w:val="5"/>
        </w:rPr>
        <w:t>Artarasul</w:t>
      </w:r>
      <w:r>
        <w:rPr>
          <w:rFonts w:hint="eastAsia"/>
          <w:spacing w:val="5"/>
        </w:rPr>
        <w:t>”，</w:t>
      </w:r>
      <w:r>
        <w:rPr>
          <w:spacing w:val="5"/>
        </w:rPr>
        <w:t>Drochia</w:t>
      </w:r>
      <w:r>
        <w:rPr>
          <w:rFonts w:hint="eastAsia"/>
          <w:spacing w:val="5"/>
        </w:rPr>
        <w:t>的“</w:t>
      </w:r>
      <w:r>
        <w:rPr>
          <w:spacing w:val="5"/>
        </w:rPr>
        <w:t>Cimbrisor</w:t>
      </w:r>
      <w:r>
        <w:rPr>
          <w:rFonts w:hint="eastAsia"/>
          <w:spacing w:val="5"/>
        </w:rPr>
        <w:t>”</w:t>
      </w:r>
      <w:r>
        <w:rPr>
          <w:rFonts w:hint="eastAsia"/>
        </w:rPr>
        <w:t>等。</w:t>
      </w:r>
    </w:p>
    <w:p w:rsidR="00000000" w:rsidRDefault="00000000">
      <w:pPr>
        <w:rPr>
          <w:rFonts w:hint="eastAsia"/>
        </w:rPr>
      </w:pPr>
      <w:r>
        <w:tab/>
      </w:r>
      <w:r>
        <w:rPr>
          <w:rFonts w:hint="eastAsia"/>
        </w:rPr>
        <w:t>574.</w:t>
      </w:r>
      <w:r>
        <w:t xml:space="preserve">  </w:t>
      </w:r>
      <w:r>
        <w:rPr>
          <w:rFonts w:hint="eastAsia"/>
        </w:rPr>
        <w:t>摩尔多瓦文化部不仅支持校外艺术机构、中学和学院的教育工作，也支持工作室、创作中心和艺术公司的各类儿童活动。</w:t>
      </w:r>
      <w:r>
        <w:rPr>
          <w:rFonts w:hint="eastAsia"/>
        </w:rPr>
        <w:t>1997</w:t>
      </w:r>
      <w:r>
        <w:rPr>
          <w:rFonts w:hint="eastAsia"/>
        </w:rPr>
        <w:t>年，各级财政拨款</w:t>
      </w:r>
      <w:r>
        <w:rPr>
          <w:rFonts w:hint="eastAsia"/>
        </w:rPr>
        <w:t>2,550</w:t>
      </w:r>
      <w:r>
        <w:rPr>
          <w:rFonts w:hint="eastAsia"/>
        </w:rPr>
        <w:t>万列依，资助了</w:t>
      </w:r>
      <w:r>
        <w:rPr>
          <w:rFonts w:hint="eastAsia"/>
        </w:rPr>
        <w:t>288</w:t>
      </w:r>
      <w:r>
        <w:rPr>
          <w:rFonts w:hint="eastAsia"/>
        </w:rPr>
        <w:t>个课外机构。</w:t>
      </w:r>
    </w:p>
    <w:p w:rsidR="00000000" w:rsidRDefault="00000000">
      <w:pPr>
        <w:spacing w:after="320"/>
        <w:rPr>
          <w:rFonts w:hint="eastAsia"/>
        </w:rPr>
      </w:pPr>
      <w:r>
        <w:rPr>
          <w:rFonts w:hint="eastAsia"/>
        </w:rPr>
        <w:tab/>
        <w:t xml:space="preserve">575.  </w:t>
      </w:r>
      <w:r>
        <w:rPr>
          <w:rFonts w:hint="eastAsia"/>
        </w:rPr>
        <w:t>从政府保留基金中拨款</w:t>
      </w:r>
      <w:r>
        <w:rPr>
          <w:rFonts w:hint="eastAsia"/>
        </w:rPr>
        <w:t>100</w:t>
      </w:r>
      <w:r>
        <w:rPr>
          <w:rFonts w:hint="eastAsia"/>
        </w:rPr>
        <w:t>万列依，为寄宿学校和社会弱势家庭的孩子们安排暑期休闲活动。</w:t>
      </w:r>
    </w:p>
    <w:p w:rsidR="00000000" w:rsidRDefault="00000000">
      <w:pPr>
        <w:pStyle w:val="Heading3"/>
        <w:spacing w:after="160"/>
        <w:rPr>
          <w:rFonts w:hint="eastAsia"/>
        </w:rPr>
      </w:pPr>
      <w:r>
        <w:rPr>
          <w:rFonts w:hint="eastAsia"/>
          <w:u w:val="none"/>
        </w:rPr>
        <w:t>表</w:t>
      </w:r>
      <w:r>
        <w:rPr>
          <w:rFonts w:hint="eastAsia"/>
          <w:u w:val="none"/>
        </w:rPr>
        <w:t xml:space="preserve">40.  </w:t>
      </w:r>
      <w:r>
        <w:rPr>
          <w:rFonts w:hint="eastAsia"/>
        </w:rPr>
        <w:t>儿童课外机构</w:t>
      </w:r>
      <w:r>
        <w:rPr>
          <w:rFonts w:hint="eastAsia"/>
        </w:rPr>
        <w:t>(</w:t>
      </w:r>
      <w:r>
        <w:rPr>
          <w:rFonts w:hint="eastAsia"/>
        </w:rPr>
        <w:t>年底</w:t>
      </w:r>
      <w:r>
        <w:rPr>
          <w:rFonts w:hint="eastAsia"/>
        </w:rP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1033"/>
        <w:gridCol w:w="1033"/>
        <w:gridCol w:w="1034"/>
        <w:gridCol w:w="1010"/>
        <w:gridCol w:w="1033"/>
        <w:gridCol w:w="952"/>
      </w:tblGrid>
      <w:tr w:rsidR="00000000">
        <w:tblPrEx>
          <w:tblCellMar>
            <w:top w:w="0" w:type="dxa"/>
            <w:bottom w:w="0" w:type="dxa"/>
          </w:tblCellMar>
        </w:tblPrEx>
        <w:trPr>
          <w:cantSplit/>
          <w:trHeight w:val="300"/>
        </w:trPr>
        <w:tc>
          <w:tcPr>
            <w:tcW w:w="3261" w:type="dxa"/>
          </w:tcPr>
          <w:p w:rsidR="00000000" w:rsidRDefault="00000000">
            <w:pPr>
              <w:pStyle w:val="a2"/>
              <w:spacing w:before="120" w:after="60"/>
              <w:jc w:val="center"/>
              <w:rPr>
                <w:rFonts w:hint="eastAsia"/>
              </w:rPr>
            </w:pPr>
            <w:r>
              <w:rPr>
                <w:rFonts w:hint="eastAsia"/>
              </w:rPr>
              <w:t>机</w:t>
            </w:r>
            <w:r>
              <w:rPr>
                <w:rFonts w:hint="eastAsia"/>
              </w:rPr>
              <w:t xml:space="preserve">  </w:t>
            </w:r>
            <w:r>
              <w:rPr>
                <w:rFonts w:hint="eastAsia"/>
              </w:rPr>
              <w:t>构</w:t>
            </w:r>
          </w:p>
        </w:tc>
        <w:tc>
          <w:tcPr>
            <w:tcW w:w="1033" w:type="dxa"/>
          </w:tcPr>
          <w:p w:rsidR="00000000" w:rsidRDefault="00000000">
            <w:pPr>
              <w:pStyle w:val="a2"/>
              <w:spacing w:before="120" w:after="60"/>
              <w:jc w:val="center"/>
            </w:pPr>
            <w:r>
              <w:t>1992</w:t>
            </w:r>
          </w:p>
        </w:tc>
        <w:tc>
          <w:tcPr>
            <w:tcW w:w="1033" w:type="dxa"/>
          </w:tcPr>
          <w:p w:rsidR="00000000" w:rsidRDefault="00000000">
            <w:pPr>
              <w:pStyle w:val="a2"/>
              <w:spacing w:before="120" w:after="60"/>
              <w:jc w:val="center"/>
            </w:pPr>
            <w:r>
              <w:t>1995</w:t>
            </w:r>
          </w:p>
        </w:tc>
        <w:tc>
          <w:tcPr>
            <w:tcW w:w="1034" w:type="dxa"/>
          </w:tcPr>
          <w:p w:rsidR="00000000" w:rsidRDefault="00000000">
            <w:pPr>
              <w:pStyle w:val="a2"/>
              <w:spacing w:before="120" w:after="60"/>
              <w:jc w:val="center"/>
            </w:pPr>
            <w:r>
              <w:t>1996</w:t>
            </w:r>
          </w:p>
        </w:tc>
        <w:tc>
          <w:tcPr>
            <w:tcW w:w="1010" w:type="dxa"/>
          </w:tcPr>
          <w:p w:rsidR="00000000" w:rsidRDefault="00000000">
            <w:pPr>
              <w:pStyle w:val="a2"/>
              <w:spacing w:before="120" w:after="60"/>
              <w:jc w:val="center"/>
            </w:pPr>
            <w:r>
              <w:t>1997</w:t>
            </w:r>
          </w:p>
        </w:tc>
        <w:tc>
          <w:tcPr>
            <w:tcW w:w="1033" w:type="dxa"/>
          </w:tcPr>
          <w:p w:rsidR="00000000" w:rsidRDefault="00000000">
            <w:pPr>
              <w:pStyle w:val="a2"/>
              <w:spacing w:before="120" w:after="60"/>
              <w:jc w:val="center"/>
            </w:pPr>
            <w:r>
              <w:t>1998</w:t>
            </w:r>
          </w:p>
        </w:tc>
        <w:tc>
          <w:tcPr>
            <w:tcW w:w="952" w:type="dxa"/>
          </w:tcPr>
          <w:p w:rsidR="00000000" w:rsidRDefault="00000000">
            <w:pPr>
              <w:pStyle w:val="a2"/>
              <w:spacing w:before="120" w:after="60"/>
              <w:jc w:val="center"/>
            </w:pPr>
            <w:r>
              <w:t>1999</w:t>
            </w:r>
          </w:p>
        </w:tc>
      </w:tr>
      <w:tr w:rsidR="00000000">
        <w:tblPrEx>
          <w:tblCellMar>
            <w:top w:w="0" w:type="dxa"/>
            <w:bottom w:w="0" w:type="dxa"/>
          </w:tblCellMar>
        </w:tblPrEx>
        <w:trPr>
          <w:cantSplit/>
          <w:trHeight w:val="300"/>
        </w:trPr>
        <w:tc>
          <w:tcPr>
            <w:tcW w:w="3261" w:type="dxa"/>
            <w:tcBorders>
              <w:bottom w:val="nil"/>
            </w:tcBorders>
          </w:tcPr>
          <w:p w:rsidR="00000000" w:rsidRDefault="00000000">
            <w:pPr>
              <w:pStyle w:val="a2"/>
              <w:spacing w:before="120"/>
              <w:rPr>
                <w:rFonts w:hint="eastAsia"/>
              </w:rPr>
            </w:pPr>
            <w:r>
              <w:rPr>
                <w:rFonts w:hint="eastAsia"/>
              </w:rPr>
              <w:t>技术创作中心</w:t>
            </w:r>
          </w:p>
        </w:tc>
        <w:tc>
          <w:tcPr>
            <w:tcW w:w="1033" w:type="dxa"/>
            <w:tcBorders>
              <w:bottom w:val="nil"/>
            </w:tcBorders>
          </w:tcPr>
          <w:p w:rsidR="00000000" w:rsidRDefault="00000000">
            <w:pPr>
              <w:pStyle w:val="a2"/>
              <w:tabs>
                <w:tab w:val="decimal" w:pos="516"/>
              </w:tabs>
              <w:spacing w:before="120"/>
            </w:pPr>
            <w:r>
              <w:t>50</w:t>
            </w:r>
          </w:p>
        </w:tc>
        <w:tc>
          <w:tcPr>
            <w:tcW w:w="1033" w:type="dxa"/>
            <w:tcBorders>
              <w:bottom w:val="nil"/>
            </w:tcBorders>
          </w:tcPr>
          <w:p w:rsidR="00000000" w:rsidRDefault="00000000">
            <w:pPr>
              <w:pStyle w:val="a2"/>
              <w:tabs>
                <w:tab w:val="decimal" w:pos="516"/>
              </w:tabs>
              <w:spacing w:before="120"/>
            </w:pPr>
            <w:r>
              <w:t>48</w:t>
            </w:r>
          </w:p>
        </w:tc>
        <w:tc>
          <w:tcPr>
            <w:tcW w:w="1034" w:type="dxa"/>
            <w:tcBorders>
              <w:bottom w:val="nil"/>
            </w:tcBorders>
          </w:tcPr>
          <w:p w:rsidR="00000000" w:rsidRDefault="00000000">
            <w:pPr>
              <w:pStyle w:val="a2"/>
              <w:tabs>
                <w:tab w:val="decimal" w:pos="516"/>
              </w:tabs>
              <w:spacing w:before="120"/>
            </w:pPr>
            <w:r>
              <w:t>48</w:t>
            </w:r>
          </w:p>
        </w:tc>
        <w:tc>
          <w:tcPr>
            <w:tcW w:w="1010" w:type="dxa"/>
            <w:tcBorders>
              <w:bottom w:val="nil"/>
            </w:tcBorders>
          </w:tcPr>
          <w:p w:rsidR="00000000" w:rsidRDefault="00000000">
            <w:pPr>
              <w:pStyle w:val="a2"/>
              <w:tabs>
                <w:tab w:val="decimal" w:pos="516"/>
              </w:tabs>
              <w:spacing w:before="120"/>
            </w:pPr>
            <w:r>
              <w:t>47</w:t>
            </w:r>
          </w:p>
        </w:tc>
        <w:tc>
          <w:tcPr>
            <w:tcW w:w="1033" w:type="dxa"/>
            <w:tcBorders>
              <w:bottom w:val="nil"/>
            </w:tcBorders>
          </w:tcPr>
          <w:p w:rsidR="00000000" w:rsidRDefault="00000000">
            <w:pPr>
              <w:pStyle w:val="a2"/>
              <w:tabs>
                <w:tab w:val="decimal" w:pos="516"/>
              </w:tabs>
              <w:spacing w:before="120"/>
            </w:pPr>
            <w:r>
              <w:t>47</w:t>
            </w:r>
          </w:p>
        </w:tc>
        <w:tc>
          <w:tcPr>
            <w:tcW w:w="952" w:type="dxa"/>
            <w:tcBorders>
              <w:bottom w:val="nil"/>
            </w:tcBorders>
          </w:tcPr>
          <w:p w:rsidR="00000000" w:rsidRDefault="00000000">
            <w:pPr>
              <w:pStyle w:val="a2"/>
              <w:tabs>
                <w:tab w:val="decimal" w:pos="516"/>
              </w:tabs>
              <w:spacing w:before="120"/>
            </w:pPr>
            <w:r>
              <w:t>46</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少年技师中心</w:t>
            </w:r>
          </w:p>
        </w:tc>
        <w:tc>
          <w:tcPr>
            <w:tcW w:w="1033" w:type="dxa"/>
            <w:tcBorders>
              <w:top w:val="nil"/>
              <w:bottom w:val="nil"/>
            </w:tcBorders>
          </w:tcPr>
          <w:p w:rsidR="00000000" w:rsidRDefault="00000000">
            <w:pPr>
              <w:pStyle w:val="a2"/>
              <w:tabs>
                <w:tab w:val="decimal" w:pos="516"/>
              </w:tabs>
            </w:pPr>
            <w:r>
              <w:t>32</w:t>
            </w:r>
          </w:p>
        </w:tc>
        <w:tc>
          <w:tcPr>
            <w:tcW w:w="1033" w:type="dxa"/>
            <w:tcBorders>
              <w:top w:val="nil"/>
              <w:bottom w:val="nil"/>
            </w:tcBorders>
          </w:tcPr>
          <w:p w:rsidR="00000000" w:rsidRDefault="00000000">
            <w:pPr>
              <w:pStyle w:val="a2"/>
              <w:tabs>
                <w:tab w:val="decimal" w:pos="516"/>
              </w:tabs>
            </w:pPr>
            <w:r>
              <w:t>16</w:t>
            </w:r>
          </w:p>
        </w:tc>
        <w:tc>
          <w:tcPr>
            <w:tcW w:w="1034" w:type="dxa"/>
            <w:tcBorders>
              <w:top w:val="nil"/>
              <w:bottom w:val="nil"/>
            </w:tcBorders>
          </w:tcPr>
          <w:p w:rsidR="00000000" w:rsidRDefault="00000000">
            <w:pPr>
              <w:pStyle w:val="a2"/>
              <w:tabs>
                <w:tab w:val="decimal" w:pos="516"/>
              </w:tabs>
            </w:pPr>
            <w:r>
              <w:t>15</w:t>
            </w:r>
          </w:p>
        </w:tc>
        <w:tc>
          <w:tcPr>
            <w:tcW w:w="1010" w:type="dxa"/>
            <w:tcBorders>
              <w:top w:val="nil"/>
              <w:bottom w:val="nil"/>
            </w:tcBorders>
          </w:tcPr>
          <w:p w:rsidR="00000000" w:rsidRDefault="00000000">
            <w:pPr>
              <w:pStyle w:val="a2"/>
              <w:tabs>
                <w:tab w:val="decimal" w:pos="516"/>
              </w:tabs>
            </w:pPr>
            <w:r>
              <w:t>15</w:t>
            </w:r>
          </w:p>
        </w:tc>
        <w:tc>
          <w:tcPr>
            <w:tcW w:w="1033" w:type="dxa"/>
            <w:tcBorders>
              <w:top w:val="nil"/>
              <w:bottom w:val="nil"/>
            </w:tcBorders>
          </w:tcPr>
          <w:p w:rsidR="00000000" w:rsidRDefault="00000000">
            <w:pPr>
              <w:pStyle w:val="a2"/>
              <w:tabs>
                <w:tab w:val="decimal" w:pos="516"/>
              </w:tabs>
            </w:pPr>
            <w:r>
              <w:t>11</w:t>
            </w:r>
          </w:p>
        </w:tc>
        <w:tc>
          <w:tcPr>
            <w:tcW w:w="952" w:type="dxa"/>
            <w:tcBorders>
              <w:top w:val="nil"/>
              <w:bottom w:val="nil"/>
            </w:tcBorders>
          </w:tcPr>
          <w:p w:rsidR="00000000" w:rsidRDefault="00000000">
            <w:pPr>
              <w:pStyle w:val="a2"/>
              <w:tabs>
                <w:tab w:val="decimal" w:pos="516"/>
              </w:tabs>
            </w:pPr>
            <w:r>
              <w:t>10</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少年生物学家中心</w:t>
            </w:r>
          </w:p>
        </w:tc>
        <w:tc>
          <w:tcPr>
            <w:tcW w:w="1033" w:type="dxa"/>
            <w:tcBorders>
              <w:top w:val="nil"/>
              <w:bottom w:val="nil"/>
            </w:tcBorders>
          </w:tcPr>
          <w:p w:rsidR="00000000" w:rsidRDefault="00000000">
            <w:pPr>
              <w:pStyle w:val="a2"/>
              <w:tabs>
                <w:tab w:val="decimal" w:pos="516"/>
              </w:tabs>
            </w:pPr>
            <w:r>
              <w:t>19</w:t>
            </w:r>
          </w:p>
        </w:tc>
        <w:tc>
          <w:tcPr>
            <w:tcW w:w="1033" w:type="dxa"/>
            <w:tcBorders>
              <w:top w:val="nil"/>
              <w:bottom w:val="nil"/>
            </w:tcBorders>
          </w:tcPr>
          <w:p w:rsidR="00000000" w:rsidRDefault="00000000">
            <w:pPr>
              <w:pStyle w:val="a2"/>
              <w:tabs>
                <w:tab w:val="decimal" w:pos="516"/>
              </w:tabs>
            </w:pPr>
            <w:r>
              <w:t>9</w:t>
            </w:r>
          </w:p>
        </w:tc>
        <w:tc>
          <w:tcPr>
            <w:tcW w:w="1034" w:type="dxa"/>
            <w:tcBorders>
              <w:top w:val="nil"/>
              <w:bottom w:val="nil"/>
            </w:tcBorders>
          </w:tcPr>
          <w:p w:rsidR="00000000" w:rsidRDefault="00000000">
            <w:pPr>
              <w:pStyle w:val="a2"/>
              <w:tabs>
                <w:tab w:val="decimal" w:pos="516"/>
              </w:tabs>
            </w:pPr>
            <w:r>
              <w:t>9</w:t>
            </w:r>
          </w:p>
        </w:tc>
        <w:tc>
          <w:tcPr>
            <w:tcW w:w="1010" w:type="dxa"/>
            <w:tcBorders>
              <w:top w:val="nil"/>
              <w:bottom w:val="nil"/>
            </w:tcBorders>
          </w:tcPr>
          <w:p w:rsidR="00000000" w:rsidRDefault="00000000">
            <w:pPr>
              <w:pStyle w:val="a2"/>
              <w:tabs>
                <w:tab w:val="decimal" w:pos="516"/>
              </w:tabs>
            </w:pPr>
            <w:r>
              <w:t>9</w:t>
            </w:r>
          </w:p>
        </w:tc>
        <w:tc>
          <w:tcPr>
            <w:tcW w:w="1033" w:type="dxa"/>
            <w:tcBorders>
              <w:top w:val="nil"/>
              <w:bottom w:val="nil"/>
            </w:tcBorders>
          </w:tcPr>
          <w:p w:rsidR="00000000" w:rsidRDefault="00000000">
            <w:pPr>
              <w:pStyle w:val="a2"/>
              <w:tabs>
                <w:tab w:val="decimal" w:pos="516"/>
              </w:tabs>
            </w:pPr>
            <w:r>
              <w:t>7</w:t>
            </w:r>
          </w:p>
        </w:tc>
        <w:tc>
          <w:tcPr>
            <w:tcW w:w="952" w:type="dxa"/>
            <w:tcBorders>
              <w:top w:val="nil"/>
              <w:bottom w:val="nil"/>
            </w:tcBorders>
          </w:tcPr>
          <w:p w:rsidR="00000000" w:rsidRDefault="00000000">
            <w:pPr>
              <w:pStyle w:val="a2"/>
              <w:tabs>
                <w:tab w:val="decimal" w:pos="516"/>
              </w:tabs>
            </w:pPr>
            <w:r>
              <w:t>6</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自治假日营地</w:t>
            </w:r>
          </w:p>
        </w:tc>
        <w:tc>
          <w:tcPr>
            <w:tcW w:w="1033" w:type="dxa"/>
            <w:tcBorders>
              <w:top w:val="nil"/>
              <w:bottom w:val="nil"/>
            </w:tcBorders>
          </w:tcPr>
          <w:p w:rsidR="00000000" w:rsidRDefault="00000000">
            <w:pPr>
              <w:pStyle w:val="a2"/>
              <w:tabs>
                <w:tab w:val="decimal" w:pos="516"/>
              </w:tabs>
            </w:pPr>
            <w:r>
              <w:t>25</w:t>
            </w:r>
          </w:p>
        </w:tc>
        <w:tc>
          <w:tcPr>
            <w:tcW w:w="1033" w:type="dxa"/>
            <w:tcBorders>
              <w:top w:val="nil"/>
              <w:bottom w:val="nil"/>
            </w:tcBorders>
          </w:tcPr>
          <w:p w:rsidR="00000000" w:rsidRDefault="00000000">
            <w:pPr>
              <w:pStyle w:val="a2"/>
              <w:tabs>
                <w:tab w:val="decimal" w:pos="516"/>
              </w:tabs>
            </w:pPr>
            <w:r>
              <w:t>11</w:t>
            </w:r>
          </w:p>
        </w:tc>
        <w:tc>
          <w:tcPr>
            <w:tcW w:w="1034" w:type="dxa"/>
            <w:tcBorders>
              <w:top w:val="nil"/>
              <w:bottom w:val="nil"/>
            </w:tcBorders>
          </w:tcPr>
          <w:p w:rsidR="00000000" w:rsidRDefault="00000000">
            <w:pPr>
              <w:pStyle w:val="a2"/>
              <w:tabs>
                <w:tab w:val="decimal" w:pos="516"/>
              </w:tabs>
            </w:pPr>
            <w:r>
              <w:t>12</w:t>
            </w:r>
          </w:p>
        </w:tc>
        <w:tc>
          <w:tcPr>
            <w:tcW w:w="1010" w:type="dxa"/>
            <w:tcBorders>
              <w:top w:val="nil"/>
              <w:bottom w:val="nil"/>
            </w:tcBorders>
          </w:tcPr>
          <w:p w:rsidR="00000000" w:rsidRDefault="00000000">
            <w:pPr>
              <w:pStyle w:val="a2"/>
              <w:tabs>
                <w:tab w:val="decimal" w:pos="516"/>
              </w:tabs>
            </w:pPr>
            <w:r>
              <w:t>11</w:t>
            </w:r>
          </w:p>
        </w:tc>
        <w:tc>
          <w:tcPr>
            <w:tcW w:w="1033" w:type="dxa"/>
            <w:tcBorders>
              <w:top w:val="nil"/>
              <w:bottom w:val="nil"/>
            </w:tcBorders>
          </w:tcPr>
          <w:p w:rsidR="00000000" w:rsidRDefault="00000000">
            <w:pPr>
              <w:pStyle w:val="a2"/>
              <w:tabs>
                <w:tab w:val="decimal" w:pos="516"/>
              </w:tabs>
            </w:pPr>
            <w:r>
              <w:t>9</w:t>
            </w:r>
          </w:p>
        </w:tc>
        <w:tc>
          <w:tcPr>
            <w:tcW w:w="952" w:type="dxa"/>
            <w:tcBorders>
              <w:top w:val="nil"/>
              <w:bottom w:val="nil"/>
            </w:tcBorders>
          </w:tcPr>
          <w:p w:rsidR="00000000" w:rsidRDefault="00000000">
            <w:pPr>
              <w:pStyle w:val="a2"/>
              <w:tabs>
                <w:tab w:val="decimal" w:pos="516"/>
              </w:tabs>
            </w:pPr>
            <w:r>
              <w:t>8</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音乐和艺术学校</w:t>
            </w:r>
          </w:p>
        </w:tc>
        <w:tc>
          <w:tcPr>
            <w:tcW w:w="1033" w:type="dxa"/>
            <w:tcBorders>
              <w:top w:val="nil"/>
              <w:bottom w:val="nil"/>
            </w:tcBorders>
          </w:tcPr>
          <w:p w:rsidR="00000000" w:rsidRDefault="00000000">
            <w:pPr>
              <w:pStyle w:val="a2"/>
              <w:tabs>
                <w:tab w:val="decimal" w:pos="516"/>
              </w:tabs>
            </w:pPr>
            <w:r>
              <w:t>127</w:t>
            </w:r>
          </w:p>
        </w:tc>
        <w:tc>
          <w:tcPr>
            <w:tcW w:w="1033" w:type="dxa"/>
            <w:tcBorders>
              <w:top w:val="nil"/>
              <w:bottom w:val="nil"/>
            </w:tcBorders>
          </w:tcPr>
          <w:p w:rsidR="00000000" w:rsidRDefault="00000000">
            <w:pPr>
              <w:pStyle w:val="a2"/>
              <w:tabs>
                <w:tab w:val="decimal" w:pos="516"/>
              </w:tabs>
            </w:pPr>
            <w:r>
              <w:t>123</w:t>
            </w:r>
          </w:p>
        </w:tc>
        <w:tc>
          <w:tcPr>
            <w:tcW w:w="1034" w:type="dxa"/>
            <w:tcBorders>
              <w:top w:val="nil"/>
              <w:bottom w:val="nil"/>
            </w:tcBorders>
          </w:tcPr>
          <w:p w:rsidR="00000000" w:rsidRDefault="00000000">
            <w:pPr>
              <w:pStyle w:val="a2"/>
              <w:tabs>
                <w:tab w:val="decimal" w:pos="516"/>
              </w:tabs>
            </w:pPr>
            <w:r>
              <w:t>119</w:t>
            </w:r>
          </w:p>
        </w:tc>
        <w:tc>
          <w:tcPr>
            <w:tcW w:w="1010" w:type="dxa"/>
            <w:tcBorders>
              <w:top w:val="nil"/>
              <w:bottom w:val="nil"/>
            </w:tcBorders>
          </w:tcPr>
          <w:p w:rsidR="00000000" w:rsidRDefault="00000000">
            <w:pPr>
              <w:pStyle w:val="a2"/>
              <w:tabs>
                <w:tab w:val="decimal" w:pos="516"/>
              </w:tabs>
            </w:pPr>
            <w:r>
              <w:t>119</w:t>
            </w:r>
          </w:p>
        </w:tc>
        <w:tc>
          <w:tcPr>
            <w:tcW w:w="1033" w:type="dxa"/>
            <w:tcBorders>
              <w:top w:val="nil"/>
              <w:bottom w:val="nil"/>
            </w:tcBorders>
          </w:tcPr>
          <w:p w:rsidR="00000000" w:rsidRDefault="00000000">
            <w:pPr>
              <w:pStyle w:val="a2"/>
              <w:tabs>
                <w:tab w:val="decimal" w:pos="516"/>
              </w:tabs>
            </w:pPr>
            <w:r>
              <w:t>118</w:t>
            </w:r>
          </w:p>
        </w:tc>
        <w:tc>
          <w:tcPr>
            <w:tcW w:w="952" w:type="dxa"/>
            <w:tcBorders>
              <w:top w:val="nil"/>
              <w:bottom w:val="nil"/>
            </w:tcBorders>
          </w:tcPr>
          <w:p w:rsidR="00000000" w:rsidRDefault="00000000">
            <w:pPr>
              <w:pStyle w:val="a2"/>
              <w:tabs>
                <w:tab w:val="decimal" w:pos="516"/>
              </w:tabs>
            </w:pPr>
            <w:r>
              <w:t>115</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儿童图书馆</w:t>
            </w:r>
          </w:p>
        </w:tc>
        <w:tc>
          <w:tcPr>
            <w:tcW w:w="1033" w:type="dxa"/>
            <w:tcBorders>
              <w:top w:val="nil"/>
              <w:bottom w:val="nil"/>
            </w:tcBorders>
          </w:tcPr>
          <w:p w:rsidR="00000000" w:rsidRDefault="00000000">
            <w:pPr>
              <w:pStyle w:val="a2"/>
              <w:tabs>
                <w:tab w:val="decimal" w:pos="516"/>
              </w:tabs>
            </w:pPr>
            <w:r>
              <w:t>304</w:t>
            </w:r>
          </w:p>
        </w:tc>
        <w:tc>
          <w:tcPr>
            <w:tcW w:w="1033" w:type="dxa"/>
            <w:tcBorders>
              <w:top w:val="nil"/>
              <w:bottom w:val="nil"/>
            </w:tcBorders>
          </w:tcPr>
          <w:p w:rsidR="00000000" w:rsidRDefault="00000000">
            <w:pPr>
              <w:pStyle w:val="a2"/>
              <w:tabs>
                <w:tab w:val="decimal" w:pos="516"/>
              </w:tabs>
            </w:pPr>
            <w:r>
              <w:t>227</w:t>
            </w:r>
          </w:p>
        </w:tc>
        <w:tc>
          <w:tcPr>
            <w:tcW w:w="1034" w:type="dxa"/>
            <w:tcBorders>
              <w:top w:val="nil"/>
              <w:bottom w:val="nil"/>
            </w:tcBorders>
          </w:tcPr>
          <w:p w:rsidR="00000000" w:rsidRDefault="00000000">
            <w:pPr>
              <w:pStyle w:val="a2"/>
              <w:tabs>
                <w:tab w:val="decimal" w:pos="516"/>
              </w:tabs>
            </w:pPr>
            <w:r>
              <w:t>226</w:t>
            </w:r>
          </w:p>
        </w:tc>
        <w:tc>
          <w:tcPr>
            <w:tcW w:w="1010" w:type="dxa"/>
            <w:tcBorders>
              <w:top w:val="nil"/>
              <w:bottom w:val="nil"/>
            </w:tcBorders>
          </w:tcPr>
          <w:p w:rsidR="00000000" w:rsidRDefault="00000000">
            <w:pPr>
              <w:pStyle w:val="a2"/>
              <w:tabs>
                <w:tab w:val="decimal" w:pos="516"/>
              </w:tabs>
            </w:pPr>
            <w:r>
              <w:t>211</w:t>
            </w:r>
          </w:p>
        </w:tc>
        <w:tc>
          <w:tcPr>
            <w:tcW w:w="1033" w:type="dxa"/>
            <w:tcBorders>
              <w:top w:val="nil"/>
              <w:bottom w:val="nil"/>
            </w:tcBorders>
          </w:tcPr>
          <w:p w:rsidR="00000000" w:rsidRDefault="00000000">
            <w:pPr>
              <w:pStyle w:val="a2"/>
              <w:tabs>
                <w:tab w:val="decimal" w:pos="516"/>
              </w:tabs>
            </w:pPr>
            <w:r>
              <w:t>206</w:t>
            </w:r>
          </w:p>
        </w:tc>
        <w:tc>
          <w:tcPr>
            <w:tcW w:w="952" w:type="dxa"/>
            <w:tcBorders>
              <w:top w:val="nil"/>
              <w:bottom w:val="nil"/>
            </w:tcBorders>
          </w:tcPr>
          <w:p w:rsidR="00000000" w:rsidRDefault="00000000">
            <w:pPr>
              <w:pStyle w:val="a2"/>
              <w:tabs>
                <w:tab w:val="decimal" w:pos="516"/>
              </w:tabs>
            </w:pPr>
            <w:r>
              <w:t>184</w:t>
            </w:r>
          </w:p>
        </w:tc>
      </w:tr>
      <w:tr w:rsidR="00000000">
        <w:tblPrEx>
          <w:tblCellMar>
            <w:top w:w="0" w:type="dxa"/>
            <w:bottom w:w="0" w:type="dxa"/>
          </w:tblCellMar>
        </w:tblPrEx>
        <w:trPr>
          <w:cantSplit/>
          <w:trHeight w:val="347"/>
        </w:trPr>
        <w:tc>
          <w:tcPr>
            <w:tcW w:w="3261" w:type="dxa"/>
            <w:tcBorders>
              <w:top w:val="nil"/>
            </w:tcBorders>
          </w:tcPr>
          <w:p w:rsidR="00000000" w:rsidRDefault="00000000">
            <w:pPr>
              <w:pStyle w:val="a2"/>
              <w:rPr>
                <w:rFonts w:hint="eastAsia"/>
              </w:rPr>
            </w:pPr>
            <w:r>
              <w:rPr>
                <w:rFonts w:hint="eastAsia"/>
              </w:rPr>
              <w:t>青少年体育学校</w:t>
            </w:r>
          </w:p>
        </w:tc>
        <w:tc>
          <w:tcPr>
            <w:tcW w:w="1033" w:type="dxa"/>
            <w:tcBorders>
              <w:top w:val="nil"/>
            </w:tcBorders>
          </w:tcPr>
          <w:p w:rsidR="00000000" w:rsidRDefault="00000000">
            <w:pPr>
              <w:pStyle w:val="a2"/>
              <w:tabs>
                <w:tab w:val="decimal" w:pos="516"/>
              </w:tabs>
            </w:pPr>
            <w:r>
              <w:t>129</w:t>
            </w:r>
          </w:p>
        </w:tc>
        <w:tc>
          <w:tcPr>
            <w:tcW w:w="1033" w:type="dxa"/>
            <w:tcBorders>
              <w:top w:val="nil"/>
            </w:tcBorders>
          </w:tcPr>
          <w:p w:rsidR="00000000" w:rsidRDefault="00000000">
            <w:pPr>
              <w:pStyle w:val="a2"/>
              <w:tabs>
                <w:tab w:val="decimal" w:pos="516"/>
              </w:tabs>
            </w:pPr>
            <w:r>
              <w:t>100</w:t>
            </w:r>
          </w:p>
        </w:tc>
        <w:tc>
          <w:tcPr>
            <w:tcW w:w="1034" w:type="dxa"/>
            <w:tcBorders>
              <w:top w:val="nil"/>
            </w:tcBorders>
          </w:tcPr>
          <w:p w:rsidR="00000000" w:rsidRDefault="00000000">
            <w:pPr>
              <w:pStyle w:val="a2"/>
              <w:tabs>
                <w:tab w:val="decimal" w:pos="516"/>
              </w:tabs>
            </w:pPr>
            <w:r>
              <w:t>87</w:t>
            </w:r>
          </w:p>
        </w:tc>
        <w:tc>
          <w:tcPr>
            <w:tcW w:w="1010" w:type="dxa"/>
            <w:tcBorders>
              <w:top w:val="nil"/>
            </w:tcBorders>
          </w:tcPr>
          <w:p w:rsidR="00000000" w:rsidRDefault="00000000">
            <w:pPr>
              <w:pStyle w:val="a2"/>
              <w:tabs>
                <w:tab w:val="decimal" w:pos="516"/>
              </w:tabs>
            </w:pPr>
            <w:r>
              <w:t>83</w:t>
            </w:r>
          </w:p>
        </w:tc>
        <w:tc>
          <w:tcPr>
            <w:tcW w:w="1033" w:type="dxa"/>
            <w:tcBorders>
              <w:top w:val="nil"/>
            </w:tcBorders>
          </w:tcPr>
          <w:p w:rsidR="00000000" w:rsidRDefault="00000000">
            <w:pPr>
              <w:pStyle w:val="a2"/>
              <w:tabs>
                <w:tab w:val="decimal" w:pos="516"/>
              </w:tabs>
            </w:pPr>
            <w:r>
              <w:t>83</w:t>
            </w:r>
          </w:p>
        </w:tc>
        <w:tc>
          <w:tcPr>
            <w:tcW w:w="952" w:type="dxa"/>
            <w:tcBorders>
              <w:top w:val="nil"/>
            </w:tcBorders>
          </w:tcPr>
          <w:p w:rsidR="00000000" w:rsidRDefault="00000000">
            <w:pPr>
              <w:pStyle w:val="a2"/>
              <w:tabs>
                <w:tab w:val="decimal" w:pos="516"/>
              </w:tabs>
            </w:pPr>
            <w:r>
              <w:t>79</w:t>
            </w:r>
          </w:p>
        </w:tc>
      </w:tr>
      <w:tr w:rsidR="00000000">
        <w:tblPrEx>
          <w:tblCellMar>
            <w:top w:w="0" w:type="dxa"/>
            <w:bottom w:w="0" w:type="dxa"/>
          </w:tblCellMar>
        </w:tblPrEx>
        <w:trPr>
          <w:cantSplit/>
          <w:trHeight w:val="300"/>
        </w:trPr>
        <w:tc>
          <w:tcPr>
            <w:tcW w:w="3261" w:type="dxa"/>
          </w:tcPr>
          <w:p w:rsidR="00000000" w:rsidRDefault="00000000">
            <w:pPr>
              <w:overflowPunct/>
              <w:adjustRightInd/>
              <w:snapToGrid/>
              <w:spacing w:line="240" w:lineRule="auto"/>
              <w:jc w:val="left"/>
              <w:rPr>
                <w:rFonts w:hint="eastAsia"/>
              </w:rPr>
            </w:pPr>
          </w:p>
        </w:tc>
        <w:tc>
          <w:tcPr>
            <w:tcW w:w="6095" w:type="dxa"/>
            <w:gridSpan w:val="6"/>
          </w:tcPr>
          <w:p w:rsidR="00000000" w:rsidRDefault="00000000">
            <w:pPr>
              <w:pStyle w:val="a2"/>
              <w:spacing w:before="60" w:after="60"/>
              <w:jc w:val="center"/>
            </w:pPr>
            <w:r>
              <w:rPr>
                <w:rFonts w:hint="eastAsia"/>
              </w:rPr>
              <w:t>参加这些机构的儿童数，千人</w:t>
            </w:r>
          </w:p>
        </w:tc>
      </w:tr>
      <w:tr w:rsidR="00000000">
        <w:tblPrEx>
          <w:tblCellMar>
            <w:top w:w="0" w:type="dxa"/>
            <w:bottom w:w="0" w:type="dxa"/>
          </w:tblCellMar>
        </w:tblPrEx>
        <w:trPr>
          <w:cantSplit/>
          <w:trHeight w:val="300"/>
        </w:trPr>
        <w:tc>
          <w:tcPr>
            <w:tcW w:w="3261" w:type="dxa"/>
            <w:tcBorders>
              <w:bottom w:val="nil"/>
            </w:tcBorders>
          </w:tcPr>
          <w:p w:rsidR="00000000" w:rsidRDefault="00000000">
            <w:pPr>
              <w:pStyle w:val="a2"/>
              <w:spacing w:before="120"/>
              <w:rPr>
                <w:rFonts w:hint="eastAsia"/>
              </w:rPr>
            </w:pPr>
            <w:r>
              <w:rPr>
                <w:rFonts w:hint="eastAsia"/>
              </w:rPr>
              <w:t>技术创作中心</w:t>
            </w:r>
          </w:p>
        </w:tc>
        <w:tc>
          <w:tcPr>
            <w:tcW w:w="1033" w:type="dxa"/>
            <w:tcBorders>
              <w:bottom w:val="nil"/>
            </w:tcBorders>
          </w:tcPr>
          <w:p w:rsidR="00000000" w:rsidRDefault="00000000">
            <w:pPr>
              <w:pStyle w:val="a2"/>
              <w:tabs>
                <w:tab w:val="decimal" w:pos="411"/>
              </w:tabs>
              <w:spacing w:before="120"/>
            </w:pPr>
            <w:r>
              <w:t>39.0</w:t>
            </w:r>
          </w:p>
        </w:tc>
        <w:tc>
          <w:tcPr>
            <w:tcW w:w="1033" w:type="dxa"/>
            <w:tcBorders>
              <w:bottom w:val="nil"/>
            </w:tcBorders>
          </w:tcPr>
          <w:p w:rsidR="00000000" w:rsidRDefault="00000000">
            <w:pPr>
              <w:pStyle w:val="a2"/>
              <w:tabs>
                <w:tab w:val="decimal" w:pos="411"/>
              </w:tabs>
              <w:spacing w:before="120"/>
            </w:pPr>
            <w:r>
              <w:t>35.7</w:t>
            </w:r>
          </w:p>
        </w:tc>
        <w:tc>
          <w:tcPr>
            <w:tcW w:w="1034" w:type="dxa"/>
            <w:tcBorders>
              <w:bottom w:val="nil"/>
            </w:tcBorders>
          </w:tcPr>
          <w:p w:rsidR="00000000" w:rsidRDefault="00000000">
            <w:pPr>
              <w:pStyle w:val="a2"/>
              <w:tabs>
                <w:tab w:val="decimal" w:pos="411"/>
              </w:tabs>
              <w:spacing w:before="120"/>
            </w:pPr>
            <w:r>
              <w:t>33.8</w:t>
            </w:r>
          </w:p>
        </w:tc>
        <w:tc>
          <w:tcPr>
            <w:tcW w:w="1010" w:type="dxa"/>
            <w:tcBorders>
              <w:bottom w:val="nil"/>
            </w:tcBorders>
          </w:tcPr>
          <w:p w:rsidR="00000000" w:rsidRDefault="00000000">
            <w:pPr>
              <w:pStyle w:val="a2"/>
              <w:tabs>
                <w:tab w:val="decimal" w:pos="411"/>
              </w:tabs>
              <w:spacing w:before="120"/>
            </w:pPr>
            <w:r>
              <w:t>32.6</w:t>
            </w:r>
          </w:p>
        </w:tc>
        <w:tc>
          <w:tcPr>
            <w:tcW w:w="1033" w:type="dxa"/>
            <w:tcBorders>
              <w:bottom w:val="nil"/>
            </w:tcBorders>
          </w:tcPr>
          <w:p w:rsidR="00000000" w:rsidRDefault="00000000">
            <w:pPr>
              <w:pStyle w:val="a2"/>
              <w:tabs>
                <w:tab w:val="decimal" w:pos="411"/>
              </w:tabs>
              <w:spacing w:before="120"/>
            </w:pPr>
            <w:r>
              <w:t>33.0</w:t>
            </w:r>
          </w:p>
        </w:tc>
        <w:tc>
          <w:tcPr>
            <w:tcW w:w="952" w:type="dxa"/>
            <w:tcBorders>
              <w:bottom w:val="nil"/>
            </w:tcBorders>
          </w:tcPr>
          <w:p w:rsidR="00000000" w:rsidRDefault="00000000">
            <w:pPr>
              <w:pStyle w:val="a2"/>
              <w:tabs>
                <w:tab w:val="decimal" w:pos="411"/>
              </w:tabs>
              <w:spacing w:before="120"/>
            </w:pPr>
            <w:r>
              <w:t>28.8</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少年技师中心</w:t>
            </w:r>
          </w:p>
        </w:tc>
        <w:tc>
          <w:tcPr>
            <w:tcW w:w="1033" w:type="dxa"/>
            <w:tcBorders>
              <w:top w:val="nil"/>
              <w:bottom w:val="nil"/>
            </w:tcBorders>
          </w:tcPr>
          <w:p w:rsidR="00000000" w:rsidRDefault="00000000">
            <w:pPr>
              <w:pStyle w:val="a2"/>
              <w:tabs>
                <w:tab w:val="decimal" w:pos="411"/>
              </w:tabs>
            </w:pPr>
            <w:r>
              <w:t>16.6</w:t>
            </w:r>
          </w:p>
        </w:tc>
        <w:tc>
          <w:tcPr>
            <w:tcW w:w="1033" w:type="dxa"/>
            <w:tcBorders>
              <w:top w:val="nil"/>
              <w:bottom w:val="nil"/>
            </w:tcBorders>
          </w:tcPr>
          <w:p w:rsidR="00000000" w:rsidRDefault="00000000">
            <w:pPr>
              <w:pStyle w:val="a2"/>
              <w:tabs>
                <w:tab w:val="decimal" w:pos="411"/>
              </w:tabs>
            </w:pPr>
            <w:r>
              <w:t>7.3</w:t>
            </w:r>
          </w:p>
        </w:tc>
        <w:tc>
          <w:tcPr>
            <w:tcW w:w="1034" w:type="dxa"/>
            <w:tcBorders>
              <w:top w:val="nil"/>
              <w:bottom w:val="nil"/>
            </w:tcBorders>
          </w:tcPr>
          <w:p w:rsidR="00000000" w:rsidRDefault="00000000">
            <w:pPr>
              <w:pStyle w:val="a2"/>
              <w:tabs>
                <w:tab w:val="decimal" w:pos="411"/>
              </w:tabs>
            </w:pPr>
            <w:r>
              <w:t>7.9</w:t>
            </w:r>
          </w:p>
        </w:tc>
        <w:tc>
          <w:tcPr>
            <w:tcW w:w="1010" w:type="dxa"/>
            <w:tcBorders>
              <w:top w:val="nil"/>
              <w:bottom w:val="nil"/>
            </w:tcBorders>
          </w:tcPr>
          <w:p w:rsidR="00000000" w:rsidRDefault="00000000">
            <w:pPr>
              <w:pStyle w:val="a2"/>
              <w:tabs>
                <w:tab w:val="decimal" w:pos="411"/>
              </w:tabs>
            </w:pPr>
            <w:r>
              <w:t>8.2</w:t>
            </w:r>
          </w:p>
        </w:tc>
        <w:tc>
          <w:tcPr>
            <w:tcW w:w="1033" w:type="dxa"/>
            <w:tcBorders>
              <w:top w:val="nil"/>
              <w:bottom w:val="nil"/>
            </w:tcBorders>
          </w:tcPr>
          <w:p w:rsidR="00000000" w:rsidRDefault="00000000">
            <w:pPr>
              <w:pStyle w:val="a2"/>
              <w:tabs>
                <w:tab w:val="decimal" w:pos="411"/>
              </w:tabs>
            </w:pPr>
            <w:r>
              <w:t>6.3</w:t>
            </w:r>
          </w:p>
        </w:tc>
        <w:tc>
          <w:tcPr>
            <w:tcW w:w="952" w:type="dxa"/>
            <w:tcBorders>
              <w:top w:val="nil"/>
              <w:bottom w:val="nil"/>
            </w:tcBorders>
          </w:tcPr>
          <w:p w:rsidR="00000000" w:rsidRDefault="00000000">
            <w:pPr>
              <w:pStyle w:val="a2"/>
              <w:tabs>
                <w:tab w:val="decimal" w:pos="411"/>
              </w:tabs>
            </w:pPr>
            <w:r>
              <w:t>6.0</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少年生物学家中心</w:t>
            </w:r>
          </w:p>
        </w:tc>
        <w:tc>
          <w:tcPr>
            <w:tcW w:w="1033" w:type="dxa"/>
            <w:tcBorders>
              <w:top w:val="nil"/>
              <w:bottom w:val="nil"/>
            </w:tcBorders>
          </w:tcPr>
          <w:p w:rsidR="00000000" w:rsidRDefault="00000000">
            <w:pPr>
              <w:pStyle w:val="a2"/>
              <w:tabs>
                <w:tab w:val="decimal" w:pos="411"/>
              </w:tabs>
            </w:pPr>
            <w:r>
              <w:t>6.9</w:t>
            </w:r>
          </w:p>
        </w:tc>
        <w:tc>
          <w:tcPr>
            <w:tcW w:w="1033" w:type="dxa"/>
            <w:tcBorders>
              <w:top w:val="nil"/>
              <w:bottom w:val="nil"/>
            </w:tcBorders>
          </w:tcPr>
          <w:p w:rsidR="00000000" w:rsidRDefault="00000000">
            <w:pPr>
              <w:pStyle w:val="a2"/>
              <w:tabs>
                <w:tab w:val="decimal" w:pos="411"/>
              </w:tabs>
            </w:pPr>
            <w:r>
              <w:t>3.1</w:t>
            </w:r>
          </w:p>
        </w:tc>
        <w:tc>
          <w:tcPr>
            <w:tcW w:w="1034" w:type="dxa"/>
            <w:tcBorders>
              <w:top w:val="nil"/>
              <w:bottom w:val="nil"/>
            </w:tcBorders>
          </w:tcPr>
          <w:p w:rsidR="00000000" w:rsidRDefault="00000000">
            <w:pPr>
              <w:pStyle w:val="a2"/>
              <w:tabs>
                <w:tab w:val="decimal" w:pos="411"/>
              </w:tabs>
            </w:pPr>
            <w:r>
              <w:t>2.8</w:t>
            </w:r>
          </w:p>
        </w:tc>
        <w:tc>
          <w:tcPr>
            <w:tcW w:w="1010" w:type="dxa"/>
            <w:tcBorders>
              <w:top w:val="nil"/>
              <w:bottom w:val="nil"/>
            </w:tcBorders>
          </w:tcPr>
          <w:p w:rsidR="00000000" w:rsidRDefault="00000000">
            <w:pPr>
              <w:pStyle w:val="a2"/>
              <w:tabs>
                <w:tab w:val="decimal" w:pos="411"/>
              </w:tabs>
            </w:pPr>
            <w:r>
              <w:t>2.8</w:t>
            </w:r>
          </w:p>
        </w:tc>
        <w:tc>
          <w:tcPr>
            <w:tcW w:w="1033" w:type="dxa"/>
            <w:tcBorders>
              <w:top w:val="nil"/>
              <w:bottom w:val="nil"/>
            </w:tcBorders>
          </w:tcPr>
          <w:p w:rsidR="00000000" w:rsidRDefault="00000000">
            <w:pPr>
              <w:pStyle w:val="a2"/>
              <w:tabs>
                <w:tab w:val="decimal" w:pos="411"/>
              </w:tabs>
            </w:pPr>
            <w:r>
              <w:t>2.4</w:t>
            </w:r>
          </w:p>
        </w:tc>
        <w:tc>
          <w:tcPr>
            <w:tcW w:w="952" w:type="dxa"/>
            <w:tcBorders>
              <w:top w:val="nil"/>
              <w:bottom w:val="nil"/>
            </w:tcBorders>
          </w:tcPr>
          <w:p w:rsidR="00000000" w:rsidRDefault="00000000">
            <w:pPr>
              <w:pStyle w:val="a2"/>
              <w:tabs>
                <w:tab w:val="decimal" w:pos="411"/>
              </w:tabs>
            </w:pPr>
            <w:r>
              <w:t>2.3</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自治假日营地</w:t>
            </w:r>
          </w:p>
        </w:tc>
        <w:tc>
          <w:tcPr>
            <w:tcW w:w="1033" w:type="dxa"/>
            <w:tcBorders>
              <w:top w:val="nil"/>
              <w:bottom w:val="nil"/>
            </w:tcBorders>
          </w:tcPr>
          <w:p w:rsidR="00000000" w:rsidRDefault="00000000">
            <w:pPr>
              <w:pStyle w:val="a2"/>
              <w:tabs>
                <w:tab w:val="decimal" w:pos="411"/>
              </w:tabs>
            </w:pPr>
            <w:r>
              <w:t>10.5</w:t>
            </w:r>
          </w:p>
        </w:tc>
        <w:tc>
          <w:tcPr>
            <w:tcW w:w="1033" w:type="dxa"/>
            <w:tcBorders>
              <w:top w:val="nil"/>
              <w:bottom w:val="nil"/>
            </w:tcBorders>
          </w:tcPr>
          <w:p w:rsidR="00000000" w:rsidRDefault="00000000">
            <w:pPr>
              <w:pStyle w:val="a2"/>
              <w:tabs>
                <w:tab w:val="decimal" w:pos="411"/>
              </w:tabs>
            </w:pPr>
            <w:r>
              <w:t>5.1</w:t>
            </w:r>
          </w:p>
        </w:tc>
        <w:tc>
          <w:tcPr>
            <w:tcW w:w="1034" w:type="dxa"/>
            <w:tcBorders>
              <w:top w:val="nil"/>
              <w:bottom w:val="nil"/>
            </w:tcBorders>
          </w:tcPr>
          <w:p w:rsidR="00000000" w:rsidRDefault="00000000">
            <w:pPr>
              <w:pStyle w:val="a2"/>
              <w:tabs>
                <w:tab w:val="decimal" w:pos="411"/>
              </w:tabs>
            </w:pPr>
            <w:r>
              <w:t>5.4</w:t>
            </w:r>
          </w:p>
        </w:tc>
        <w:tc>
          <w:tcPr>
            <w:tcW w:w="1010" w:type="dxa"/>
            <w:tcBorders>
              <w:top w:val="nil"/>
              <w:bottom w:val="nil"/>
            </w:tcBorders>
          </w:tcPr>
          <w:p w:rsidR="00000000" w:rsidRDefault="00000000">
            <w:pPr>
              <w:pStyle w:val="a2"/>
              <w:tabs>
                <w:tab w:val="decimal" w:pos="411"/>
              </w:tabs>
            </w:pPr>
            <w:r>
              <w:t>4.8</w:t>
            </w:r>
          </w:p>
        </w:tc>
        <w:tc>
          <w:tcPr>
            <w:tcW w:w="1033" w:type="dxa"/>
            <w:tcBorders>
              <w:top w:val="nil"/>
              <w:bottom w:val="nil"/>
            </w:tcBorders>
          </w:tcPr>
          <w:p w:rsidR="00000000" w:rsidRDefault="00000000">
            <w:pPr>
              <w:pStyle w:val="a2"/>
              <w:tabs>
                <w:tab w:val="decimal" w:pos="411"/>
              </w:tabs>
            </w:pPr>
            <w:r>
              <w:t>3.6</w:t>
            </w:r>
          </w:p>
        </w:tc>
        <w:tc>
          <w:tcPr>
            <w:tcW w:w="952" w:type="dxa"/>
            <w:tcBorders>
              <w:top w:val="nil"/>
              <w:bottom w:val="nil"/>
            </w:tcBorders>
          </w:tcPr>
          <w:p w:rsidR="00000000" w:rsidRDefault="00000000">
            <w:pPr>
              <w:pStyle w:val="a2"/>
              <w:tabs>
                <w:tab w:val="decimal" w:pos="411"/>
              </w:tabs>
            </w:pPr>
            <w:r>
              <w:t>2.7</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音乐和艺术学校</w:t>
            </w:r>
          </w:p>
        </w:tc>
        <w:tc>
          <w:tcPr>
            <w:tcW w:w="1033" w:type="dxa"/>
            <w:tcBorders>
              <w:top w:val="nil"/>
              <w:bottom w:val="nil"/>
            </w:tcBorders>
          </w:tcPr>
          <w:p w:rsidR="00000000" w:rsidRDefault="00000000">
            <w:pPr>
              <w:pStyle w:val="a2"/>
              <w:tabs>
                <w:tab w:val="decimal" w:pos="411"/>
              </w:tabs>
            </w:pPr>
            <w:r>
              <w:t>25.8</w:t>
            </w:r>
          </w:p>
        </w:tc>
        <w:tc>
          <w:tcPr>
            <w:tcW w:w="1033" w:type="dxa"/>
            <w:tcBorders>
              <w:top w:val="nil"/>
              <w:bottom w:val="nil"/>
            </w:tcBorders>
          </w:tcPr>
          <w:p w:rsidR="00000000" w:rsidRDefault="00000000">
            <w:pPr>
              <w:pStyle w:val="a2"/>
              <w:tabs>
                <w:tab w:val="decimal" w:pos="411"/>
              </w:tabs>
            </w:pPr>
            <w:r>
              <w:t>21.6</w:t>
            </w:r>
          </w:p>
        </w:tc>
        <w:tc>
          <w:tcPr>
            <w:tcW w:w="1034" w:type="dxa"/>
            <w:tcBorders>
              <w:top w:val="nil"/>
              <w:bottom w:val="nil"/>
            </w:tcBorders>
          </w:tcPr>
          <w:p w:rsidR="00000000" w:rsidRDefault="00000000">
            <w:pPr>
              <w:pStyle w:val="a2"/>
              <w:tabs>
                <w:tab w:val="decimal" w:pos="411"/>
              </w:tabs>
            </w:pPr>
            <w:r>
              <w:t>20.9</w:t>
            </w:r>
          </w:p>
        </w:tc>
        <w:tc>
          <w:tcPr>
            <w:tcW w:w="1010" w:type="dxa"/>
            <w:tcBorders>
              <w:top w:val="nil"/>
              <w:bottom w:val="nil"/>
            </w:tcBorders>
          </w:tcPr>
          <w:p w:rsidR="00000000" w:rsidRDefault="00000000">
            <w:pPr>
              <w:pStyle w:val="a2"/>
              <w:tabs>
                <w:tab w:val="decimal" w:pos="411"/>
              </w:tabs>
            </w:pPr>
            <w:r>
              <w:t>20.4</w:t>
            </w:r>
          </w:p>
        </w:tc>
        <w:tc>
          <w:tcPr>
            <w:tcW w:w="1033" w:type="dxa"/>
            <w:tcBorders>
              <w:top w:val="nil"/>
              <w:bottom w:val="nil"/>
            </w:tcBorders>
          </w:tcPr>
          <w:p w:rsidR="00000000" w:rsidRDefault="00000000">
            <w:pPr>
              <w:pStyle w:val="a2"/>
              <w:tabs>
                <w:tab w:val="decimal" w:pos="411"/>
              </w:tabs>
            </w:pPr>
            <w:r>
              <w:t>19.9</w:t>
            </w:r>
          </w:p>
        </w:tc>
        <w:tc>
          <w:tcPr>
            <w:tcW w:w="952" w:type="dxa"/>
            <w:tcBorders>
              <w:top w:val="nil"/>
              <w:bottom w:val="nil"/>
            </w:tcBorders>
          </w:tcPr>
          <w:p w:rsidR="00000000" w:rsidRDefault="00000000">
            <w:pPr>
              <w:pStyle w:val="a2"/>
              <w:tabs>
                <w:tab w:val="decimal" w:pos="411"/>
              </w:tabs>
            </w:pPr>
            <w:r>
              <w:t>16.3</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pStyle w:val="a2"/>
              <w:rPr>
                <w:rFonts w:hint="eastAsia"/>
              </w:rPr>
            </w:pPr>
            <w:r>
              <w:rPr>
                <w:rFonts w:hint="eastAsia"/>
              </w:rPr>
              <w:t>儿童图书馆</w:t>
            </w:r>
          </w:p>
        </w:tc>
        <w:tc>
          <w:tcPr>
            <w:tcW w:w="1033" w:type="dxa"/>
            <w:tcBorders>
              <w:top w:val="nil"/>
              <w:bottom w:val="nil"/>
            </w:tcBorders>
          </w:tcPr>
          <w:p w:rsidR="00000000" w:rsidRDefault="00000000">
            <w:pPr>
              <w:pStyle w:val="a2"/>
              <w:tabs>
                <w:tab w:val="decimal" w:pos="411"/>
              </w:tabs>
            </w:pPr>
            <w:r>
              <w:t>312.5</w:t>
            </w:r>
          </w:p>
        </w:tc>
        <w:tc>
          <w:tcPr>
            <w:tcW w:w="1033" w:type="dxa"/>
            <w:tcBorders>
              <w:top w:val="nil"/>
              <w:bottom w:val="nil"/>
            </w:tcBorders>
          </w:tcPr>
          <w:p w:rsidR="00000000" w:rsidRDefault="00000000">
            <w:pPr>
              <w:pStyle w:val="a2"/>
              <w:tabs>
                <w:tab w:val="decimal" w:pos="411"/>
              </w:tabs>
            </w:pPr>
            <w:r>
              <w:t>239.3</w:t>
            </w:r>
          </w:p>
        </w:tc>
        <w:tc>
          <w:tcPr>
            <w:tcW w:w="1034" w:type="dxa"/>
            <w:tcBorders>
              <w:top w:val="nil"/>
              <w:bottom w:val="nil"/>
            </w:tcBorders>
          </w:tcPr>
          <w:p w:rsidR="00000000" w:rsidRDefault="00000000">
            <w:pPr>
              <w:pStyle w:val="a2"/>
              <w:tabs>
                <w:tab w:val="decimal" w:pos="411"/>
              </w:tabs>
            </w:pPr>
            <w:r>
              <w:t>223.4</w:t>
            </w:r>
          </w:p>
        </w:tc>
        <w:tc>
          <w:tcPr>
            <w:tcW w:w="1010" w:type="dxa"/>
            <w:tcBorders>
              <w:top w:val="nil"/>
              <w:bottom w:val="nil"/>
            </w:tcBorders>
          </w:tcPr>
          <w:p w:rsidR="00000000" w:rsidRDefault="00000000">
            <w:pPr>
              <w:pStyle w:val="a2"/>
              <w:tabs>
                <w:tab w:val="decimal" w:pos="411"/>
              </w:tabs>
            </w:pPr>
            <w:r>
              <w:t>216.3</w:t>
            </w:r>
          </w:p>
        </w:tc>
        <w:tc>
          <w:tcPr>
            <w:tcW w:w="1033" w:type="dxa"/>
            <w:tcBorders>
              <w:top w:val="nil"/>
              <w:bottom w:val="nil"/>
            </w:tcBorders>
          </w:tcPr>
          <w:p w:rsidR="00000000" w:rsidRDefault="00000000">
            <w:pPr>
              <w:pStyle w:val="a2"/>
              <w:tabs>
                <w:tab w:val="decimal" w:pos="411"/>
              </w:tabs>
            </w:pPr>
            <w:r>
              <w:t>211.7</w:t>
            </w:r>
          </w:p>
        </w:tc>
        <w:tc>
          <w:tcPr>
            <w:tcW w:w="952" w:type="dxa"/>
            <w:tcBorders>
              <w:top w:val="nil"/>
              <w:bottom w:val="nil"/>
            </w:tcBorders>
          </w:tcPr>
          <w:p w:rsidR="00000000" w:rsidRDefault="00000000">
            <w:pPr>
              <w:pStyle w:val="a2"/>
              <w:tabs>
                <w:tab w:val="decimal" w:pos="411"/>
              </w:tabs>
            </w:pPr>
            <w:r>
              <w:t>203.7</w:t>
            </w:r>
          </w:p>
        </w:tc>
      </w:tr>
      <w:tr w:rsidR="00000000">
        <w:tblPrEx>
          <w:tblCellMar>
            <w:top w:w="0" w:type="dxa"/>
            <w:bottom w:w="0" w:type="dxa"/>
          </w:tblCellMar>
        </w:tblPrEx>
        <w:trPr>
          <w:cantSplit/>
          <w:trHeight w:val="300"/>
        </w:trPr>
        <w:tc>
          <w:tcPr>
            <w:tcW w:w="3261" w:type="dxa"/>
            <w:tcBorders>
              <w:top w:val="nil"/>
            </w:tcBorders>
          </w:tcPr>
          <w:p w:rsidR="00000000" w:rsidRDefault="00000000">
            <w:pPr>
              <w:pStyle w:val="a2"/>
              <w:rPr>
                <w:rFonts w:hint="eastAsia"/>
              </w:rPr>
            </w:pPr>
            <w:r>
              <w:rPr>
                <w:rFonts w:hint="eastAsia"/>
              </w:rPr>
              <w:t>成人体育学校</w:t>
            </w:r>
          </w:p>
        </w:tc>
        <w:tc>
          <w:tcPr>
            <w:tcW w:w="1033" w:type="dxa"/>
            <w:tcBorders>
              <w:top w:val="nil"/>
            </w:tcBorders>
          </w:tcPr>
          <w:p w:rsidR="00000000" w:rsidRDefault="00000000">
            <w:pPr>
              <w:pStyle w:val="a2"/>
              <w:tabs>
                <w:tab w:val="decimal" w:pos="411"/>
              </w:tabs>
            </w:pPr>
            <w:r>
              <w:t>54.4</w:t>
            </w:r>
          </w:p>
        </w:tc>
        <w:tc>
          <w:tcPr>
            <w:tcW w:w="1033" w:type="dxa"/>
            <w:tcBorders>
              <w:top w:val="nil"/>
            </w:tcBorders>
          </w:tcPr>
          <w:p w:rsidR="00000000" w:rsidRDefault="00000000">
            <w:pPr>
              <w:pStyle w:val="a2"/>
              <w:tabs>
                <w:tab w:val="decimal" w:pos="411"/>
              </w:tabs>
            </w:pPr>
            <w:r>
              <w:t>41.0</w:t>
            </w:r>
          </w:p>
        </w:tc>
        <w:tc>
          <w:tcPr>
            <w:tcW w:w="1034" w:type="dxa"/>
            <w:tcBorders>
              <w:top w:val="nil"/>
            </w:tcBorders>
          </w:tcPr>
          <w:p w:rsidR="00000000" w:rsidRDefault="00000000">
            <w:pPr>
              <w:pStyle w:val="a2"/>
              <w:tabs>
                <w:tab w:val="decimal" w:pos="411"/>
              </w:tabs>
            </w:pPr>
            <w:r>
              <w:t>37.5</w:t>
            </w:r>
          </w:p>
        </w:tc>
        <w:tc>
          <w:tcPr>
            <w:tcW w:w="1010" w:type="dxa"/>
            <w:tcBorders>
              <w:top w:val="nil"/>
            </w:tcBorders>
          </w:tcPr>
          <w:p w:rsidR="00000000" w:rsidRDefault="00000000">
            <w:pPr>
              <w:pStyle w:val="a2"/>
              <w:tabs>
                <w:tab w:val="decimal" w:pos="411"/>
              </w:tabs>
            </w:pPr>
            <w:r>
              <w:t>35.3</w:t>
            </w:r>
          </w:p>
        </w:tc>
        <w:tc>
          <w:tcPr>
            <w:tcW w:w="1033" w:type="dxa"/>
            <w:tcBorders>
              <w:top w:val="nil"/>
            </w:tcBorders>
          </w:tcPr>
          <w:p w:rsidR="00000000" w:rsidRDefault="00000000">
            <w:pPr>
              <w:pStyle w:val="a2"/>
              <w:tabs>
                <w:tab w:val="decimal" w:pos="411"/>
              </w:tabs>
            </w:pPr>
            <w:r>
              <w:t>34.1</w:t>
            </w:r>
          </w:p>
        </w:tc>
        <w:tc>
          <w:tcPr>
            <w:tcW w:w="952" w:type="dxa"/>
            <w:tcBorders>
              <w:top w:val="nil"/>
            </w:tcBorders>
          </w:tcPr>
          <w:p w:rsidR="00000000" w:rsidRDefault="00000000">
            <w:pPr>
              <w:pStyle w:val="a2"/>
              <w:tabs>
                <w:tab w:val="decimal" w:pos="411"/>
              </w:tabs>
            </w:pPr>
            <w:r>
              <w:t>32.7</w:t>
            </w:r>
          </w:p>
        </w:tc>
      </w:tr>
    </w:tbl>
    <w:p w:rsidR="00000000" w:rsidRDefault="00000000">
      <w:pPr>
        <w:spacing w:before="120"/>
        <w:rPr>
          <w:rFonts w:eastAsia="KaiTi_GB2312" w:hint="eastAsia"/>
          <w:spacing w:val="0"/>
        </w:rPr>
      </w:pPr>
      <w:r>
        <w:rPr>
          <w:rFonts w:hint="eastAsia"/>
        </w:rPr>
        <w:tab/>
      </w:r>
      <w:r>
        <w:rPr>
          <w:rFonts w:eastAsia="KaiTi_GB2312" w:hint="eastAsia"/>
          <w:spacing w:val="0"/>
          <w:u w:val="single"/>
        </w:rPr>
        <w:t>资料来源</w:t>
      </w:r>
      <w:r>
        <w:rPr>
          <w:rFonts w:eastAsia="KaiTi_GB2312" w:hint="eastAsia"/>
          <w:spacing w:val="0"/>
        </w:rPr>
        <w:t>：统计和社会分析局</w:t>
      </w:r>
    </w:p>
    <w:p w:rsidR="00000000" w:rsidRDefault="00000000">
      <w:pPr>
        <w:rPr>
          <w:rFonts w:eastAsia="KaiTi_GB2312" w:hint="eastAsia"/>
          <w:spacing w:val="0"/>
        </w:rPr>
      </w:pPr>
    </w:p>
    <w:p w:rsidR="00000000" w:rsidRDefault="00000000">
      <w:pPr>
        <w:rPr>
          <w:rFonts w:hint="eastAsia"/>
        </w:rPr>
      </w:pPr>
      <w:r>
        <w:rPr>
          <w:rFonts w:hint="eastAsia"/>
        </w:rPr>
        <w:tab/>
        <w:t xml:space="preserve">576.  </w:t>
      </w:r>
      <w:r>
        <w:rPr>
          <w:rFonts w:hint="eastAsia"/>
        </w:rPr>
        <w:t>《儿童权利法》允许儿童通过校外机构活动开发智力。</w:t>
      </w:r>
      <w:r>
        <w:rPr>
          <w:rFonts w:hint="eastAsia"/>
        </w:rPr>
        <w:t>1997</w:t>
      </w:r>
      <w:r>
        <w:rPr>
          <w:rFonts w:hint="eastAsia"/>
        </w:rPr>
        <w:t>年，各级财政共拨款</w:t>
      </w:r>
      <w:r>
        <w:rPr>
          <w:rFonts w:hint="eastAsia"/>
        </w:rPr>
        <w:t>2,550</w:t>
      </w:r>
      <w:r>
        <w:rPr>
          <w:rFonts w:hint="eastAsia"/>
        </w:rPr>
        <w:t>万列依，资助了</w:t>
      </w:r>
      <w:r>
        <w:rPr>
          <w:rFonts w:hint="eastAsia"/>
        </w:rPr>
        <w:t>288</w:t>
      </w:r>
      <w:r>
        <w:rPr>
          <w:rFonts w:hint="eastAsia"/>
        </w:rPr>
        <w:t>个校外机构。政府保留基金拨款</w:t>
      </w:r>
      <w:r>
        <w:rPr>
          <w:rFonts w:hint="eastAsia"/>
        </w:rPr>
        <w:t>100</w:t>
      </w:r>
      <w:r>
        <w:rPr>
          <w:rFonts w:hint="eastAsia"/>
        </w:rPr>
        <w:t>万列依，为寄宿学校和社会弱势家庭的孩子们组织暑期休闲活动。由于资金来源不足，校外机构的数目减少。国家对父母遭到战争和有害健康事故危险的儿童给予特别关注。</w:t>
      </w:r>
    </w:p>
    <w:p w:rsidR="00000000" w:rsidRDefault="00000000">
      <w:pPr>
        <w:rPr>
          <w:rFonts w:hint="eastAsia"/>
        </w:rPr>
      </w:pPr>
      <w:r>
        <w:rPr>
          <w:rFonts w:hint="eastAsia"/>
        </w:rPr>
        <w:tab/>
        <w:t>577.  1992</w:t>
      </w:r>
      <w:r>
        <w:rPr>
          <w:rFonts w:hint="eastAsia"/>
        </w:rPr>
        <w:t>年</w:t>
      </w:r>
      <w:r>
        <w:rPr>
          <w:rFonts w:hint="eastAsia"/>
        </w:rPr>
        <w:t>1</w:t>
      </w:r>
      <w:r>
        <w:rPr>
          <w:rFonts w:hint="eastAsia"/>
        </w:rPr>
        <w:t>月</w:t>
      </w:r>
      <w:r>
        <w:rPr>
          <w:rFonts w:hint="eastAsia"/>
        </w:rPr>
        <w:t>30</w:t>
      </w:r>
      <w:r>
        <w:rPr>
          <w:rFonts w:hint="eastAsia"/>
        </w:rPr>
        <w:t>日“关于在切尔诺贝利核事故中受伤公民的社会保障”的第</w:t>
      </w:r>
      <w:r>
        <w:rPr>
          <w:rFonts w:hint="eastAsia"/>
        </w:rPr>
        <w:t>909-XII</w:t>
      </w:r>
      <w:r>
        <w:rPr>
          <w:rFonts w:hint="eastAsia"/>
        </w:rPr>
        <w:t>号法律第</w:t>
      </w:r>
      <w:r>
        <w:rPr>
          <w:rFonts w:hint="eastAsia"/>
        </w:rPr>
        <w:t>11</w:t>
      </w:r>
      <w:r>
        <w:rPr>
          <w:rFonts w:hint="eastAsia"/>
        </w:rPr>
        <w:t>条规定，不从事经济活动而由切尔诺贝利清理工作参加者赡养的人员有权因失去养家糊口者每月领取补偿。不管规定的养老金有多少</w:t>
      </w:r>
      <w:r>
        <w:rPr>
          <w:rFonts w:hint="eastAsia"/>
        </w:rPr>
        <w:t xml:space="preserve">, </w:t>
      </w:r>
      <w:r>
        <w:rPr>
          <w:rFonts w:hint="eastAsia"/>
        </w:rPr>
        <w:t>补偿数额为最低养老金的</w:t>
      </w:r>
      <w:r>
        <w:rPr>
          <w:rFonts w:hint="eastAsia"/>
        </w:rPr>
        <w:t>50%</w:t>
      </w:r>
      <w:r>
        <w:rPr>
          <w:rFonts w:hint="eastAsia"/>
        </w:rPr>
        <w:t>，失去养家糊口者的家庭中的儿童领取相当于最低工资的资金援助。</w:t>
      </w:r>
    </w:p>
    <w:p w:rsidR="00000000" w:rsidRDefault="00000000">
      <w:pPr>
        <w:rPr>
          <w:rFonts w:hint="eastAsia"/>
        </w:rPr>
      </w:pPr>
      <w:r>
        <w:rPr>
          <w:rFonts w:hint="eastAsia"/>
        </w:rPr>
        <w:tab/>
        <w:t>578.  1998</w:t>
      </w:r>
      <w:r>
        <w:rPr>
          <w:rFonts w:hint="eastAsia"/>
        </w:rPr>
        <w:t>年</w:t>
      </w:r>
      <w:r>
        <w:rPr>
          <w:rFonts w:hint="eastAsia"/>
        </w:rPr>
        <w:t>2</w:t>
      </w:r>
      <w:r>
        <w:rPr>
          <w:rFonts w:hint="eastAsia"/>
        </w:rPr>
        <w:t>月</w:t>
      </w:r>
      <w:r>
        <w:rPr>
          <w:rFonts w:hint="eastAsia"/>
        </w:rPr>
        <w:t>25</w:t>
      </w:r>
      <w:r>
        <w:rPr>
          <w:rFonts w:hint="eastAsia"/>
        </w:rPr>
        <w:t>日，摩尔多瓦共和国议会通过了《关于修订〈切尔诺贝利核事故中受伤公民的社会保障法〉的法律》。该法规定了对参加切尔诺贝利清理工作的人员及其子女以及在清理工作中死亡或者因为参加了清理工作而死亡人员所赡养的家庭给予赔偿、资助和援助的形式。根据第</w:t>
      </w:r>
      <w:r>
        <w:rPr>
          <w:rFonts w:hint="eastAsia"/>
        </w:rPr>
        <w:t>9</w:t>
      </w:r>
      <w:r>
        <w:rPr>
          <w:rFonts w:hint="eastAsia"/>
        </w:rPr>
        <w:t>条的规定，每户人家领取相当于全国平均工资</w:t>
      </w:r>
      <w:r>
        <w:rPr>
          <w:rFonts w:hint="eastAsia"/>
        </w:rPr>
        <w:t>15</w:t>
      </w:r>
      <w:r>
        <w:rPr>
          <w:rFonts w:hint="eastAsia"/>
        </w:rPr>
        <w:t>倍的赔偿。</w:t>
      </w:r>
    </w:p>
    <w:p w:rsidR="00000000" w:rsidRDefault="00000000">
      <w:pPr>
        <w:rPr>
          <w:rFonts w:hint="eastAsia"/>
        </w:rPr>
      </w:pPr>
      <w:r>
        <w:rPr>
          <w:rFonts w:hint="eastAsia"/>
        </w:rPr>
        <w:tab/>
        <w:t xml:space="preserve">579.  </w:t>
      </w:r>
      <w:r>
        <w:rPr>
          <w:rFonts w:hint="eastAsia"/>
        </w:rPr>
        <w:t>为确保</w:t>
      </w:r>
      <w:r>
        <w:rPr>
          <w:rFonts w:hint="eastAsia"/>
        </w:rPr>
        <w:t>1986</w:t>
      </w:r>
      <w:r>
        <w:rPr>
          <w:rFonts w:hint="eastAsia"/>
        </w:rPr>
        <w:t>年</w:t>
      </w:r>
      <w:r>
        <w:rPr>
          <w:rFonts w:hint="eastAsia"/>
        </w:rPr>
        <w:t>4</w:t>
      </w:r>
      <w:r>
        <w:rPr>
          <w:rFonts w:hint="eastAsia"/>
        </w:rPr>
        <w:t>月</w:t>
      </w:r>
      <w:r>
        <w:rPr>
          <w:rFonts w:hint="eastAsia"/>
        </w:rPr>
        <w:t>26</w:t>
      </w:r>
      <w:r>
        <w:rPr>
          <w:rFonts w:hint="eastAsia"/>
        </w:rPr>
        <w:t>日以后出生、父母中有一人在切尔诺贝利清理工作中受伤的儿童以及从“死区”撤离儿童获得社会保护和医疗援助，他们领取各类援助和资助，到</w:t>
      </w:r>
      <w:r>
        <w:rPr>
          <w:rFonts w:hint="eastAsia"/>
        </w:rPr>
        <w:t>18</w:t>
      </w:r>
      <w:r>
        <w:rPr>
          <w:rFonts w:hint="eastAsia"/>
        </w:rPr>
        <w:t>岁为止。他们有权获得每年前往位于摩尔多瓦共和国境内的温泉疗养地和其他康复机构的免费交通票，如果不能前往，他们可以领取相当于票券平均价格的一笔货币补偿。其他服务有：免费医药，与一位家长或其代替者免费乘汽车、船、飞机或火车往返休养胜地。儿童和青少年在发生造血性疾病</w:t>
      </w:r>
      <w:r>
        <w:rPr>
          <w:rFonts w:hint="eastAsia"/>
        </w:rPr>
        <w:t>(</w:t>
      </w:r>
      <w:r>
        <w:rPr>
          <w:rFonts w:hint="eastAsia"/>
        </w:rPr>
        <w:t>急性白细胞增生</w:t>
      </w:r>
      <w:r>
        <w:rPr>
          <w:rFonts w:hint="eastAsia"/>
        </w:rPr>
        <w:t>)</w:t>
      </w:r>
      <w:r>
        <w:rPr>
          <w:rFonts w:hint="eastAsia"/>
        </w:rPr>
        <w:t>、甲状腺疾病</w:t>
      </w:r>
      <w:r>
        <w:rPr>
          <w:rFonts w:hint="eastAsia"/>
        </w:rPr>
        <w:t>(</w:t>
      </w:r>
      <w:r>
        <w:rPr>
          <w:rFonts w:hint="eastAsia"/>
        </w:rPr>
        <w:t>腺瘤、癌症</w:t>
      </w:r>
      <w:r>
        <w:rPr>
          <w:rFonts w:hint="eastAsia"/>
        </w:rPr>
        <w:t>)</w:t>
      </w:r>
      <w:r>
        <w:rPr>
          <w:rFonts w:hint="eastAsia"/>
        </w:rPr>
        <w:t>、其他器官疾病以及恶性肿瘤时，有权获得现行法律第</w:t>
      </w:r>
      <w:r>
        <w:rPr>
          <w:rFonts w:hint="eastAsia"/>
        </w:rPr>
        <w:t>7</w:t>
      </w:r>
      <w:r>
        <w:rPr>
          <w:rFonts w:hint="eastAsia"/>
        </w:rPr>
        <w:t>条所规定的援助。</w:t>
      </w:r>
    </w:p>
    <w:p w:rsidR="00000000" w:rsidRDefault="00000000">
      <w:pPr>
        <w:rPr>
          <w:rFonts w:hint="eastAsia"/>
        </w:rPr>
      </w:pPr>
      <w:r>
        <w:rPr>
          <w:rFonts w:hint="eastAsia"/>
        </w:rPr>
        <w:tab/>
        <w:t>580.  14</w:t>
      </w:r>
      <w:r>
        <w:rPr>
          <w:rFonts w:hint="eastAsia"/>
        </w:rPr>
        <w:t>岁以下儿童的父母享有以下权益：</w:t>
      </w:r>
    </w:p>
    <w:p w:rsidR="00000000" w:rsidRDefault="00000000">
      <w:pPr>
        <w:numPr>
          <w:ilvl w:val="0"/>
          <w:numId w:val="575"/>
        </w:numPr>
        <w:tabs>
          <w:tab w:val="num" w:pos="1757"/>
        </w:tabs>
        <w:ind w:left="1757"/>
        <w:rPr>
          <w:rFonts w:hint="eastAsia"/>
        </w:rPr>
      </w:pPr>
      <w:r>
        <w:rPr>
          <w:rFonts w:hint="eastAsia"/>
        </w:rPr>
        <w:t>不分工作年限，享受全额带薪</w:t>
      </w:r>
      <w:r>
        <w:rPr>
          <w:rFonts w:hint="eastAsia"/>
        </w:rPr>
        <w:t>(100%)</w:t>
      </w:r>
      <w:r>
        <w:rPr>
          <w:rFonts w:hint="eastAsia"/>
        </w:rPr>
        <w:t>病假</w:t>
      </w:r>
      <w:r>
        <w:rPr>
          <w:rFonts w:hint="eastAsia"/>
        </w:rPr>
        <w:t>(</w:t>
      </w:r>
      <w:r>
        <w:rPr>
          <w:rFonts w:hint="eastAsia"/>
        </w:rPr>
        <w:t>凭医疗证明</w:t>
      </w:r>
      <w:r>
        <w:rPr>
          <w:rFonts w:hint="eastAsia"/>
        </w:rPr>
        <w:t>)</w:t>
      </w:r>
      <w:r>
        <w:rPr>
          <w:rFonts w:hint="eastAsia"/>
        </w:rPr>
        <w:t>；</w:t>
      </w:r>
    </w:p>
    <w:p w:rsidR="00000000" w:rsidRDefault="00000000">
      <w:pPr>
        <w:numPr>
          <w:ilvl w:val="0"/>
          <w:numId w:val="575"/>
        </w:numPr>
        <w:tabs>
          <w:tab w:val="num" w:pos="1757"/>
        </w:tabs>
        <w:ind w:left="1757"/>
        <w:rPr>
          <w:rFonts w:hint="eastAsia"/>
        </w:rPr>
      </w:pPr>
      <w:r>
        <w:rPr>
          <w:rFonts w:hint="eastAsia"/>
        </w:rPr>
        <w:t>患病儿童治疗期间，一位家长有权休病假以便在医疗机构陪住。</w:t>
      </w:r>
    </w:p>
    <w:p w:rsidR="00000000" w:rsidRDefault="00000000">
      <w:pPr>
        <w:spacing w:after="240"/>
        <w:rPr>
          <w:rFonts w:hint="eastAsia"/>
        </w:rPr>
      </w:pPr>
      <w:r>
        <w:rPr>
          <w:rFonts w:hint="eastAsia"/>
        </w:rPr>
        <w:tab/>
      </w:r>
      <w:r>
        <w:rPr>
          <w:rFonts w:hint="eastAsia"/>
        </w:rPr>
        <w:t>必须提及的是，这些规定没有被完全遵守；由于资金不足，赔偿金和补偿金被大量拖欠。</w:t>
      </w:r>
    </w:p>
    <w:p w:rsidR="00000000" w:rsidRDefault="00000000">
      <w:pPr>
        <w:pStyle w:val="Heading4"/>
        <w:rPr>
          <w:rFonts w:hint="eastAsia"/>
        </w:rPr>
      </w:pPr>
      <w:r>
        <w:rPr>
          <w:rFonts w:hint="eastAsia"/>
        </w:rPr>
        <w:t>少数民族儿童</w:t>
      </w:r>
    </w:p>
    <w:p w:rsidR="00000000" w:rsidRDefault="00000000">
      <w:pPr>
        <w:rPr>
          <w:rFonts w:hint="eastAsia"/>
        </w:rPr>
      </w:pPr>
      <w:r>
        <w:rPr>
          <w:rFonts w:hint="eastAsia"/>
        </w:rPr>
        <w:tab/>
        <w:t xml:space="preserve">581.  </w:t>
      </w:r>
      <w:r>
        <w:rPr>
          <w:rFonts w:hint="eastAsia"/>
        </w:rPr>
        <w:t>摩尔多瓦共和国的国策确保没有任何形式的歧视并不分种族、语言、宗教、社会出身或其他状况，执行《儿童权利公约》中规定的各项基本原则。《公约》第三十条规定，少数民族“不得被剥夺与其群体的其他成员共同享有自己的文化或者使用自己的语言的权利”。这是一项宪法准则，也是《宪法》</w:t>
      </w:r>
      <w:r>
        <w:rPr>
          <w:rFonts w:hint="eastAsia"/>
        </w:rPr>
        <w:t>(</w:t>
      </w:r>
      <w:r>
        <w:rPr>
          <w:rFonts w:hint="eastAsia"/>
        </w:rPr>
        <w:t>第</w:t>
      </w:r>
      <w:r>
        <w:rPr>
          <w:rFonts w:hint="eastAsia"/>
        </w:rPr>
        <w:t>10</w:t>
      </w:r>
      <w:r>
        <w:rPr>
          <w:rFonts w:hint="eastAsia"/>
        </w:rPr>
        <w:t>条</w:t>
      </w:r>
      <w:r>
        <w:rPr>
          <w:rFonts w:hint="eastAsia"/>
        </w:rPr>
        <w:t>)</w:t>
      </w:r>
      <w:r>
        <w:rPr>
          <w:rFonts w:hint="eastAsia"/>
        </w:rPr>
        <w:t>和《教育法》的一个组成部分，赋予了包括少数民族儿童在内的全体儿童接受教育的平等权利。</w:t>
      </w:r>
    </w:p>
    <w:p w:rsidR="00000000" w:rsidRDefault="00000000">
      <w:pPr>
        <w:spacing w:after="320"/>
        <w:rPr>
          <w:rFonts w:hint="eastAsia"/>
        </w:rPr>
      </w:pPr>
      <w:r>
        <w:rPr>
          <w:rFonts w:hint="eastAsia"/>
        </w:rPr>
        <w:tab/>
        <w:t xml:space="preserve">582.  </w:t>
      </w:r>
      <w:r>
        <w:rPr>
          <w:rFonts w:hint="eastAsia"/>
        </w:rPr>
        <w:t>全国有</w:t>
      </w:r>
      <w:r>
        <w:rPr>
          <w:rFonts w:hint="eastAsia"/>
        </w:rPr>
        <w:t>1,118</w:t>
      </w:r>
      <w:r>
        <w:rPr>
          <w:rFonts w:hint="eastAsia"/>
        </w:rPr>
        <w:t>所罗马尼亚语学校</w:t>
      </w:r>
      <w:r>
        <w:rPr>
          <w:rFonts w:hint="eastAsia"/>
        </w:rPr>
        <w:t>(494,800</w:t>
      </w:r>
      <w:r>
        <w:rPr>
          <w:rFonts w:hint="eastAsia"/>
        </w:rPr>
        <w:t>名学生</w:t>
      </w:r>
      <w:r>
        <w:rPr>
          <w:rFonts w:hint="eastAsia"/>
        </w:rPr>
        <w:t>)</w:t>
      </w:r>
      <w:r>
        <w:rPr>
          <w:rFonts w:hint="eastAsia"/>
        </w:rPr>
        <w:t>，</w:t>
      </w:r>
      <w:r>
        <w:rPr>
          <w:rFonts w:hint="eastAsia"/>
        </w:rPr>
        <w:t>270</w:t>
      </w:r>
      <w:r>
        <w:rPr>
          <w:rFonts w:hint="eastAsia"/>
        </w:rPr>
        <w:t>所俄语学校</w:t>
      </w:r>
      <w:r>
        <w:rPr>
          <w:rFonts w:hint="eastAsia"/>
        </w:rPr>
        <w:t>(142,000</w:t>
      </w:r>
      <w:r>
        <w:rPr>
          <w:rFonts w:hint="eastAsia"/>
        </w:rPr>
        <w:t>名学生</w:t>
      </w:r>
      <w:r>
        <w:rPr>
          <w:rFonts w:hint="eastAsia"/>
        </w:rPr>
        <w:t>)</w:t>
      </w:r>
      <w:r>
        <w:rPr>
          <w:rFonts w:hint="eastAsia"/>
        </w:rPr>
        <w:t>，</w:t>
      </w:r>
      <w:r>
        <w:rPr>
          <w:rFonts w:hint="eastAsia"/>
        </w:rPr>
        <w:t>125</w:t>
      </w:r>
      <w:r>
        <w:rPr>
          <w:rFonts w:hint="eastAsia"/>
        </w:rPr>
        <w:t>所混合语言学校</w:t>
      </w:r>
      <w:r>
        <w:rPr>
          <w:rFonts w:hint="eastAsia"/>
        </w:rPr>
        <w:t>(58,900</w:t>
      </w:r>
      <w:r>
        <w:rPr>
          <w:rFonts w:hint="eastAsia"/>
        </w:rPr>
        <w:t>名学生</w:t>
      </w:r>
      <w:r>
        <w:rPr>
          <w:rFonts w:hint="eastAsia"/>
        </w:rPr>
        <w:t>)</w:t>
      </w:r>
      <w:r>
        <w:rPr>
          <w:rFonts w:hint="eastAsia"/>
        </w:rPr>
        <w:t>，其中有</w:t>
      </w:r>
      <w:r>
        <w:rPr>
          <w:rFonts w:hint="eastAsia"/>
        </w:rPr>
        <w:t>32,200</w:t>
      </w:r>
      <w:r>
        <w:rPr>
          <w:rFonts w:hint="eastAsia"/>
        </w:rPr>
        <w:t>名讲罗马尼亚语的学生，</w:t>
      </w:r>
      <w:r>
        <w:rPr>
          <w:rFonts w:hint="eastAsia"/>
        </w:rPr>
        <w:t>26,400</w:t>
      </w:r>
      <w:r>
        <w:rPr>
          <w:rFonts w:hint="eastAsia"/>
        </w:rPr>
        <w:t>名讲俄语的学生，</w:t>
      </w:r>
      <w:r>
        <w:rPr>
          <w:rFonts w:hint="eastAsia"/>
        </w:rPr>
        <w:t>300</w:t>
      </w:r>
      <w:r>
        <w:rPr>
          <w:rFonts w:hint="eastAsia"/>
        </w:rPr>
        <w:t>名讲乌克兰语的学生。在少数民族聚集地区，由于家长的倡议组织了母语学习班</w:t>
      </w:r>
      <w:r>
        <w:rPr>
          <w:rFonts w:hint="eastAsia"/>
        </w:rPr>
        <w:t>(</w:t>
      </w:r>
      <w:r>
        <w:t>Gagauz</w:t>
      </w:r>
      <w:r>
        <w:rPr>
          <w:rFonts w:hint="eastAsia"/>
        </w:rPr>
        <w:t>语、保加利亚语等等</w:t>
      </w:r>
      <w:r>
        <w:rPr>
          <w:rFonts w:hint="eastAsia"/>
        </w:rPr>
        <w:t>)</w:t>
      </w:r>
      <w:r>
        <w:rPr>
          <w:rFonts w:hint="eastAsia"/>
        </w:rPr>
        <w:t>。在基希讷乌，在社区的倡议下组织了星期日学校，教授立陶宛语、波兰语、德语、阿泽里语、亚美尼亚语和白俄罗斯语。</w:t>
      </w:r>
    </w:p>
    <w:p w:rsidR="00000000" w:rsidRDefault="00000000">
      <w:pPr>
        <w:pStyle w:val="Heading3"/>
        <w:spacing w:after="240"/>
        <w:rPr>
          <w:rFonts w:hint="eastAsia"/>
        </w:rPr>
      </w:pPr>
      <w:r>
        <w:rPr>
          <w:u w:val="none"/>
        </w:rPr>
        <w:br w:type="page"/>
      </w:r>
      <w:r>
        <w:rPr>
          <w:rFonts w:hint="eastAsia"/>
          <w:u w:val="none"/>
        </w:rPr>
        <w:t>表</w:t>
      </w:r>
      <w:r>
        <w:rPr>
          <w:rFonts w:hint="eastAsia"/>
          <w:u w:val="none"/>
        </w:rPr>
        <w:t xml:space="preserve">41.  </w:t>
      </w:r>
      <w:r>
        <w:rPr>
          <w:rFonts w:hint="eastAsia"/>
        </w:rPr>
        <w:t>学校和学生按所学语言的分类情况</w:t>
      </w:r>
      <w:r>
        <w:br/>
      </w:r>
      <w:r>
        <w:rPr>
          <w:u w:val="none"/>
        </w:rPr>
        <w:tab/>
      </w:r>
      <w:r>
        <w:rPr>
          <w:u w:val="none"/>
        </w:rPr>
        <w:tab/>
      </w:r>
      <w:r>
        <w:rPr>
          <w:u w:val="none"/>
        </w:rPr>
        <w:tab/>
        <w:t>(</w:t>
      </w:r>
      <w:r>
        <w:rPr>
          <w:rFonts w:hint="eastAsia"/>
        </w:rPr>
        <w:t>不包括智障和残疾儿童学校和温泉疗养学校</w:t>
      </w:r>
      <w:r>
        <w:rPr>
          <w:rFonts w:hint="eastAsia"/>
          <w:u w:val="none"/>
        </w:rPr>
        <w:t>)</w:t>
      </w:r>
    </w:p>
    <w:tbl>
      <w:tblPr>
        <w:tblW w:w="498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77"/>
        <w:gridCol w:w="946"/>
        <w:gridCol w:w="946"/>
        <w:gridCol w:w="948"/>
        <w:gridCol w:w="946"/>
        <w:gridCol w:w="948"/>
        <w:gridCol w:w="946"/>
        <w:gridCol w:w="948"/>
        <w:gridCol w:w="1035"/>
      </w:tblGrid>
      <w:tr w:rsidR="00000000">
        <w:tblPrEx>
          <w:tblCellMar>
            <w:top w:w="0" w:type="dxa"/>
            <w:bottom w:w="0" w:type="dxa"/>
          </w:tblCellMar>
        </w:tblPrEx>
        <w:trPr>
          <w:cantSplit/>
        </w:trPr>
        <w:tc>
          <w:tcPr>
            <w:tcW w:w="942" w:type="pct"/>
            <w:tcBorders>
              <w:bottom w:val="single" w:sz="6" w:space="0" w:color="auto"/>
            </w:tcBorders>
            <w:tcMar>
              <w:left w:w="57" w:type="dxa"/>
              <w:right w:w="57" w:type="dxa"/>
            </w:tcMar>
          </w:tcPr>
          <w:p w:rsidR="00000000" w:rsidRDefault="00000000">
            <w:pPr>
              <w:pStyle w:val="a2"/>
              <w:spacing w:before="120" w:after="60" w:line="280" w:lineRule="exact"/>
              <w:ind w:right="-402"/>
            </w:pPr>
          </w:p>
        </w:tc>
        <w:tc>
          <w:tcPr>
            <w:tcW w:w="501" w:type="pct"/>
            <w:tcBorders>
              <w:bottom w:val="single" w:sz="6" w:space="0" w:color="auto"/>
            </w:tcBorders>
            <w:tcMar>
              <w:left w:w="57" w:type="dxa"/>
              <w:right w:w="57" w:type="dxa"/>
            </w:tcMar>
          </w:tcPr>
          <w:p w:rsidR="00000000" w:rsidRDefault="00000000">
            <w:pPr>
              <w:pStyle w:val="a2"/>
              <w:spacing w:before="120" w:after="60" w:line="280" w:lineRule="exact"/>
            </w:pPr>
            <w:r>
              <w:t>1992/93</w:t>
            </w:r>
          </w:p>
        </w:tc>
        <w:tc>
          <w:tcPr>
            <w:tcW w:w="501" w:type="pct"/>
            <w:tcBorders>
              <w:bottom w:val="single" w:sz="6" w:space="0" w:color="auto"/>
            </w:tcBorders>
            <w:tcMar>
              <w:left w:w="57" w:type="dxa"/>
              <w:right w:w="57" w:type="dxa"/>
            </w:tcMar>
          </w:tcPr>
          <w:p w:rsidR="00000000" w:rsidRDefault="00000000">
            <w:pPr>
              <w:pStyle w:val="a2"/>
              <w:spacing w:before="120" w:after="60" w:line="280" w:lineRule="exact"/>
            </w:pPr>
            <w:r>
              <w:t>1993/94</w:t>
            </w:r>
          </w:p>
        </w:tc>
        <w:tc>
          <w:tcPr>
            <w:tcW w:w="502" w:type="pct"/>
            <w:tcBorders>
              <w:bottom w:val="single" w:sz="6" w:space="0" w:color="auto"/>
            </w:tcBorders>
            <w:tcMar>
              <w:left w:w="57" w:type="dxa"/>
              <w:right w:w="57" w:type="dxa"/>
            </w:tcMar>
          </w:tcPr>
          <w:p w:rsidR="00000000" w:rsidRDefault="00000000">
            <w:pPr>
              <w:pStyle w:val="a2"/>
              <w:spacing w:before="120" w:after="60" w:line="280" w:lineRule="exact"/>
            </w:pPr>
            <w:r>
              <w:t>1994/95</w:t>
            </w:r>
          </w:p>
        </w:tc>
        <w:tc>
          <w:tcPr>
            <w:tcW w:w="501" w:type="pct"/>
            <w:tcBorders>
              <w:bottom w:val="single" w:sz="6" w:space="0" w:color="auto"/>
            </w:tcBorders>
            <w:tcMar>
              <w:left w:w="57" w:type="dxa"/>
              <w:right w:w="57" w:type="dxa"/>
            </w:tcMar>
          </w:tcPr>
          <w:p w:rsidR="00000000" w:rsidRDefault="00000000">
            <w:pPr>
              <w:pStyle w:val="a2"/>
              <w:spacing w:before="120" w:after="60" w:line="280" w:lineRule="exact"/>
            </w:pPr>
            <w:r>
              <w:t>1995/96</w:t>
            </w:r>
          </w:p>
        </w:tc>
        <w:tc>
          <w:tcPr>
            <w:tcW w:w="502" w:type="pct"/>
            <w:tcBorders>
              <w:bottom w:val="single" w:sz="6" w:space="0" w:color="auto"/>
            </w:tcBorders>
            <w:tcMar>
              <w:left w:w="57" w:type="dxa"/>
              <w:right w:w="57" w:type="dxa"/>
            </w:tcMar>
          </w:tcPr>
          <w:p w:rsidR="00000000" w:rsidRDefault="00000000">
            <w:pPr>
              <w:pStyle w:val="a2"/>
              <w:spacing w:before="120" w:after="60" w:line="280" w:lineRule="exact"/>
            </w:pPr>
            <w:r>
              <w:t>1996/97</w:t>
            </w:r>
          </w:p>
        </w:tc>
        <w:tc>
          <w:tcPr>
            <w:tcW w:w="501" w:type="pct"/>
            <w:tcBorders>
              <w:bottom w:val="single" w:sz="6" w:space="0" w:color="auto"/>
            </w:tcBorders>
            <w:tcMar>
              <w:left w:w="57" w:type="dxa"/>
              <w:right w:w="57" w:type="dxa"/>
            </w:tcMar>
          </w:tcPr>
          <w:p w:rsidR="00000000" w:rsidRDefault="00000000">
            <w:pPr>
              <w:pStyle w:val="a2"/>
              <w:spacing w:before="120" w:after="60" w:line="280" w:lineRule="exact"/>
            </w:pPr>
            <w:r>
              <w:t>1997/98</w:t>
            </w:r>
          </w:p>
        </w:tc>
        <w:tc>
          <w:tcPr>
            <w:tcW w:w="502" w:type="pct"/>
            <w:tcBorders>
              <w:bottom w:val="single" w:sz="6" w:space="0" w:color="auto"/>
            </w:tcBorders>
            <w:tcMar>
              <w:left w:w="57" w:type="dxa"/>
              <w:right w:w="57" w:type="dxa"/>
            </w:tcMar>
          </w:tcPr>
          <w:p w:rsidR="00000000" w:rsidRDefault="00000000">
            <w:pPr>
              <w:pStyle w:val="a2"/>
              <w:spacing w:before="120" w:after="60" w:line="280" w:lineRule="exact"/>
            </w:pPr>
            <w:r>
              <w:t>1998/99</w:t>
            </w:r>
          </w:p>
        </w:tc>
        <w:tc>
          <w:tcPr>
            <w:tcW w:w="549" w:type="pct"/>
            <w:tcBorders>
              <w:bottom w:val="single" w:sz="6" w:space="0" w:color="auto"/>
            </w:tcBorders>
            <w:tcMar>
              <w:left w:w="57" w:type="dxa"/>
              <w:right w:w="57" w:type="dxa"/>
            </w:tcMar>
          </w:tcPr>
          <w:p w:rsidR="00000000" w:rsidRDefault="00000000">
            <w:pPr>
              <w:pStyle w:val="a2"/>
              <w:spacing w:before="120" w:after="60" w:line="280" w:lineRule="exact"/>
            </w:pPr>
            <w:r>
              <w:t>1999/2000</w:t>
            </w:r>
          </w:p>
        </w:tc>
      </w:tr>
      <w:tr w:rsidR="00000000">
        <w:tblPrEx>
          <w:tblCellMar>
            <w:top w:w="0" w:type="dxa"/>
            <w:bottom w:w="0" w:type="dxa"/>
          </w:tblCellMar>
        </w:tblPrEx>
        <w:trPr>
          <w:cantSplit/>
        </w:trPr>
        <w:tc>
          <w:tcPr>
            <w:tcW w:w="942" w:type="pct"/>
            <w:tcBorders>
              <w:bottom w:val="nil"/>
            </w:tcBorders>
          </w:tcPr>
          <w:p w:rsidR="00000000" w:rsidRDefault="00000000">
            <w:pPr>
              <w:pStyle w:val="a2"/>
              <w:spacing w:before="60" w:after="180" w:line="280" w:lineRule="exact"/>
              <w:ind w:right="-402"/>
              <w:rPr>
                <w:rFonts w:hint="eastAsia"/>
              </w:rPr>
            </w:pPr>
            <w:r>
              <w:rPr>
                <w:rFonts w:hint="eastAsia"/>
              </w:rPr>
              <w:t>学校：总数</w:t>
            </w:r>
          </w:p>
        </w:tc>
        <w:tc>
          <w:tcPr>
            <w:tcW w:w="501" w:type="pct"/>
            <w:tcBorders>
              <w:bottom w:val="nil"/>
            </w:tcBorders>
          </w:tcPr>
          <w:p w:rsidR="00000000" w:rsidRDefault="00000000">
            <w:pPr>
              <w:pStyle w:val="a2"/>
              <w:tabs>
                <w:tab w:val="decimal" w:pos="587"/>
              </w:tabs>
              <w:spacing w:before="60" w:after="180" w:line="280" w:lineRule="exact"/>
            </w:pPr>
            <w:r>
              <w:t>1,432</w:t>
            </w:r>
          </w:p>
        </w:tc>
        <w:tc>
          <w:tcPr>
            <w:tcW w:w="501" w:type="pct"/>
            <w:tcBorders>
              <w:bottom w:val="nil"/>
            </w:tcBorders>
          </w:tcPr>
          <w:p w:rsidR="00000000" w:rsidRDefault="00000000">
            <w:pPr>
              <w:pStyle w:val="a2"/>
              <w:tabs>
                <w:tab w:val="decimal" w:pos="587"/>
              </w:tabs>
              <w:spacing w:before="60" w:after="180" w:line="280" w:lineRule="exact"/>
            </w:pPr>
            <w:r>
              <w:t>1,444</w:t>
            </w:r>
          </w:p>
        </w:tc>
        <w:tc>
          <w:tcPr>
            <w:tcW w:w="502" w:type="pct"/>
            <w:tcBorders>
              <w:bottom w:val="nil"/>
            </w:tcBorders>
          </w:tcPr>
          <w:p w:rsidR="00000000" w:rsidRDefault="00000000">
            <w:pPr>
              <w:pStyle w:val="a2"/>
              <w:tabs>
                <w:tab w:val="decimal" w:pos="587"/>
              </w:tabs>
              <w:spacing w:before="60" w:after="180" w:line="280" w:lineRule="exact"/>
            </w:pPr>
            <w:r>
              <w:t>1,458</w:t>
            </w:r>
          </w:p>
        </w:tc>
        <w:tc>
          <w:tcPr>
            <w:tcW w:w="501" w:type="pct"/>
            <w:tcBorders>
              <w:bottom w:val="nil"/>
            </w:tcBorders>
          </w:tcPr>
          <w:p w:rsidR="00000000" w:rsidRDefault="00000000">
            <w:pPr>
              <w:pStyle w:val="a2"/>
              <w:tabs>
                <w:tab w:val="decimal" w:pos="587"/>
              </w:tabs>
              <w:spacing w:before="60" w:after="180" w:line="280" w:lineRule="exact"/>
            </w:pPr>
            <w:r>
              <w:t>1,470</w:t>
            </w:r>
          </w:p>
        </w:tc>
        <w:tc>
          <w:tcPr>
            <w:tcW w:w="502" w:type="pct"/>
            <w:tcBorders>
              <w:bottom w:val="nil"/>
            </w:tcBorders>
          </w:tcPr>
          <w:p w:rsidR="00000000" w:rsidRDefault="00000000">
            <w:pPr>
              <w:pStyle w:val="a2"/>
              <w:tabs>
                <w:tab w:val="decimal" w:pos="587"/>
              </w:tabs>
              <w:spacing w:before="60" w:after="180" w:line="280" w:lineRule="exact"/>
            </w:pPr>
            <w:r>
              <w:t>1,485</w:t>
            </w:r>
          </w:p>
        </w:tc>
        <w:tc>
          <w:tcPr>
            <w:tcW w:w="501" w:type="pct"/>
            <w:tcBorders>
              <w:bottom w:val="nil"/>
            </w:tcBorders>
          </w:tcPr>
          <w:p w:rsidR="00000000" w:rsidRDefault="00000000">
            <w:pPr>
              <w:pStyle w:val="a2"/>
              <w:tabs>
                <w:tab w:val="decimal" w:pos="587"/>
              </w:tabs>
              <w:spacing w:before="60" w:after="180" w:line="280" w:lineRule="exact"/>
            </w:pPr>
            <w:r>
              <w:t>1,493</w:t>
            </w:r>
          </w:p>
        </w:tc>
        <w:tc>
          <w:tcPr>
            <w:tcW w:w="502" w:type="pct"/>
            <w:tcBorders>
              <w:bottom w:val="nil"/>
            </w:tcBorders>
          </w:tcPr>
          <w:p w:rsidR="00000000" w:rsidRDefault="00000000">
            <w:pPr>
              <w:pStyle w:val="a2"/>
              <w:tabs>
                <w:tab w:val="decimal" w:pos="587"/>
              </w:tabs>
              <w:spacing w:before="60" w:after="180" w:line="280" w:lineRule="exact"/>
            </w:pPr>
            <w:r>
              <w:t>1,505</w:t>
            </w:r>
          </w:p>
        </w:tc>
        <w:tc>
          <w:tcPr>
            <w:tcW w:w="549" w:type="pct"/>
            <w:tcBorders>
              <w:bottom w:val="nil"/>
            </w:tcBorders>
          </w:tcPr>
          <w:p w:rsidR="00000000" w:rsidRDefault="00000000">
            <w:pPr>
              <w:pStyle w:val="a2"/>
              <w:tabs>
                <w:tab w:val="decimal" w:pos="587"/>
              </w:tabs>
              <w:spacing w:before="60" w:after="180" w:line="280" w:lineRule="exact"/>
              <w:rPr>
                <w:u w:val="single"/>
              </w:rPr>
            </w:pPr>
            <w:r>
              <w:t>1,514</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spacing w:after="180" w:line="280" w:lineRule="exact"/>
              <w:ind w:right="-402"/>
              <w:rPr>
                <w:spacing w:val="-10"/>
              </w:rPr>
            </w:pPr>
            <w:r>
              <w:rPr>
                <w:rFonts w:hint="eastAsia"/>
                <w:spacing w:val="-10"/>
              </w:rPr>
              <w:t>学习摩尔多瓦语</w:t>
            </w:r>
            <w:r>
              <w:rPr>
                <w:spacing w:val="-10"/>
              </w:rPr>
              <w:br/>
              <w:t>(</w:t>
            </w:r>
            <w:r>
              <w:rPr>
                <w:spacing w:val="-10"/>
              </w:rPr>
              <w:t>罗马尼亚</w:t>
            </w:r>
            <w:r>
              <w:rPr>
                <w:rFonts w:hint="eastAsia"/>
                <w:spacing w:val="-10"/>
              </w:rPr>
              <w:t>语</w:t>
            </w:r>
            <w:r>
              <w:rPr>
                <w:spacing w:val="-10"/>
              </w:rPr>
              <w:t>)</w:t>
            </w:r>
          </w:p>
        </w:tc>
        <w:tc>
          <w:tcPr>
            <w:tcW w:w="501" w:type="pct"/>
            <w:tcBorders>
              <w:top w:val="nil"/>
              <w:bottom w:val="nil"/>
            </w:tcBorders>
          </w:tcPr>
          <w:p w:rsidR="00000000" w:rsidRDefault="00000000">
            <w:pPr>
              <w:pStyle w:val="a2"/>
              <w:tabs>
                <w:tab w:val="decimal" w:pos="587"/>
              </w:tabs>
              <w:spacing w:after="180" w:line="280" w:lineRule="exact"/>
            </w:pPr>
            <w:r>
              <w:t>1,020</w:t>
            </w:r>
          </w:p>
        </w:tc>
        <w:tc>
          <w:tcPr>
            <w:tcW w:w="501" w:type="pct"/>
            <w:tcBorders>
              <w:top w:val="nil"/>
              <w:bottom w:val="nil"/>
            </w:tcBorders>
          </w:tcPr>
          <w:p w:rsidR="00000000" w:rsidRDefault="00000000">
            <w:pPr>
              <w:pStyle w:val="a2"/>
              <w:tabs>
                <w:tab w:val="decimal" w:pos="587"/>
              </w:tabs>
              <w:spacing w:after="180" w:line="280" w:lineRule="exact"/>
            </w:pPr>
            <w:r>
              <w:t>1,031</w:t>
            </w:r>
          </w:p>
        </w:tc>
        <w:tc>
          <w:tcPr>
            <w:tcW w:w="502" w:type="pct"/>
            <w:tcBorders>
              <w:top w:val="nil"/>
              <w:bottom w:val="nil"/>
            </w:tcBorders>
          </w:tcPr>
          <w:p w:rsidR="00000000" w:rsidRDefault="00000000">
            <w:pPr>
              <w:pStyle w:val="a2"/>
              <w:tabs>
                <w:tab w:val="decimal" w:pos="587"/>
              </w:tabs>
              <w:spacing w:after="180" w:line="280" w:lineRule="exact"/>
            </w:pPr>
            <w:r>
              <w:t>1,047</w:t>
            </w:r>
          </w:p>
        </w:tc>
        <w:tc>
          <w:tcPr>
            <w:tcW w:w="501" w:type="pct"/>
            <w:tcBorders>
              <w:top w:val="nil"/>
              <w:bottom w:val="nil"/>
            </w:tcBorders>
          </w:tcPr>
          <w:p w:rsidR="00000000" w:rsidRDefault="00000000">
            <w:pPr>
              <w:pStyle w:val="a2"/>
              <w:tabs>
                <w:tab w:val="decimal" w:pos="587"/>
              </w:tabs>
              <w:spacing w:after="180" w:line="280" w:lineRule="exact"/>
            </w:pPr>
            <w:r>
              <w:t>1,065</w:t>
            </w:r>
          </w:p>
        </w:tc>
        <w:tc>
          <w:tcPr>
            <w:tcW w:w="502" w:type="pct"/>
            <w:tcBorders>
              <w:top w:val="nil"/>
              <w:bottom w:val="nil"/>
            </w:tcBorders>
          </w:tcPr>
          <w:p w:rsidR="00000000" w:rsidRDefault="00000000">
            <w:pPr>
              <w:pStyle w:val="a2"/>
              <w:tabs>
                <w:tab w:val="decimal" w:pos="587"/>
              </w:tabs>
              <w:spacing w:after="180" w:line="280" w:lineRule="exact"/>
            </w:pPr>
            <w:r>
              <w:t>1,081</w:t>
            </w:r>
          </w:p>
        </w:tc>
        <w:tc>
          <w:tcPr>
            <w:tcW w:w="501" w:type="pct"/>
            <w:tcBorders>
              <w:top w:val="nil"/>
              <w:bottom w:val="nil"/>
            </w:tcBorders>
          </w:tcPr>
          <w:p w:rsidR="00000000" w:rsidRDefault="00000000">
            <w:pPr>
              <w:pStyle w:val="a2"/>
              <w:tabs>
                <w:tab w:val="decimal" w:pos="587"/>
              </w:tabs>
              <w:spacing w:after="180" w:line="280" w:lineRule="exact"/>
            </w:pPr>
            <w:r>
              <w:t>1,097</w:t>
            </w:r>
          </w:p>
        </w:tc>
        <w:tc>
          <w:tcPr>
            <w:tcW w:w="502" w:type="pct"/>
            <w:tcBorders>
              <w:top w:val="nil"/>
              <w:bottom w:val="nil"/>
            </w:tcBorders>
          </w:tcPr>
          <w:p w:rsidR="00000000" w:rsidRDefault="00000000">
            <w:pPr>
              <w:pStyle w:val="a2"/>
              <w:tabs>
                <w:tab w:val="decimal" w:pos="587"/>
              </w:tabs>
              <w:spacing w:after="180" w:line="280" w:lineRule="exact"/>
            </w:pPr>
            <w:r>
              <w:t>1,115</w:t>
            </w:r>
          </w:p>
        </w:tc>
        <w:tc>
          <w:tcPr>
            <w:tcW w:w="549" w:type="pct"/>
            <w:tcBorders>
              <w:top w:val="nil"/>
              <w:bottom w:val="nil"/>
            </w:tcBorders>
          </w:tcPr>
          <w:p w:rsidR="00000000" w:rsidRDefault="00000000">
            <w:pPr>
              <w:pStyle w:val="a2"/>
              <w:tabs>
                <w:tab w:val="decimal" w:pos="587"/>
              </w:tabs>
              <w:spacing w:after="180" w:line="280" w:lineRule="exact"/>
            </w:pPr>
            <w:r>
              <w:t>1,118</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spacing w:line="280" w:lineRule="exact"/>
              <w:ind w:right="-402"/>
              <w:rPr>
                <w:rFonts w:hint="eastAsia"/>
              </w:rPr>
            </w:pPr>
            <w:r>
              <w:rPr>
                <w:rFonts w:hint="eastAsia"/>
              </w:rPr>
              <w:t>俄语</w:t>
            </w:r>
          </w:p>
        </w:tc>
        <w:tc>
          <w:tcPr>
            <w:tcW w:w="501" w:type="pct"/>
            <w:tcBorders>
              <w:top w:val="nil"/>
              <w:bottom w:val="nil"/>
            </w:tcBorders>
          </w:tcPr>
          <w:p w:rsidR="00000000" w:rsidRDefault="00000000">
            <w:pPr>
              <w:pStyle w:val="a2"/>
              <w:tabs>
                <w:tab w:val="decimal" w:pos="587"/>
              </w:tabs>
              <w:spacing w:line="280" w:lineRule="exact"/>
            </w:pPr>
            <w:r>
              <w:t>313</w:t>
            </w:r>
          </w:p>
        </w:tc>
        <w:tc>
          <w:tcPr>
            <w:tcW w:w="501" w:type="pct"/>
            <w:tcBorders>
              <w:top w:val="nil"/>
              <w:bottom w:val="nil"/>
            </w:tcBorders>
          </w:tcPr>
          <w:p w:rsidR="00000000" w:rsidRDefault="00000000">
            <w:pPr>
              <w:pStyle w:val="a2"/>
              <w:tabs>
                <w:tab w:val="decimal" w:pos="587"/>
              </w:tabs>
              <w:spacing w:line="280" w:lineRule="exact"/>
            </w:pPr>
            <w:r>
              <w:t>284</w:t>
            </w:r>
          </w:p>
        </w:tc>
        <w:tc>
          <w:tcPr>
            <w:tcW w:w="502" w:type="pct"/>
            <w:tcBorders>
              <w:top w:val="nil"/>
              <w:bottom w:val="nil"/>
            </w:tcBorders>
          </w:tcPr>
          <w:p w:rsidR="00000000" w:rsidRDefault="00000000">
            <w:pPr>
              <w:pStyle w:val="a2"/>
              <w:tabs>
                <w:tab w:val="decimal" w:pos="587"/>
              </w:tabs>
              <w:spacing w:line="280" w:lineRule="exact"/>
            </w:pPr>
            <w:r>
              <w:t>281</w:t>
            </w:r>
          </w:p>
        </w:tc>
        <w:tc>
          <w:tcPr>
            <w:tcW w:w="501" w:type="pct"/>
            <w:tcBorders>
              <w:top w:val="nil"/>
              <w:bottom w:val="nil"/>
            </w:tcBorders>
          </w:tcPr>
          <w:p w:rsidR="00000000" w:rsidRDefault="00000000">
            <w:pPr>
              <w:pStyle w:val="a2"/>
              <w:tabs>
                <w:tab w:val="decimal" w:pos="587"/>
              </w:tabs>
              <w:spacing w:line="280" w:lineRule="exact"/>
            </w:pPr>
            <w:r>
              <w:t>283</w:t>
            </w:r>
          </w:p>
        </w:tc>
        <w:tc>
          <w:tcPr>
            <w:tcW w:w="502" w:type="pct"/>
            <w:tcBorders>
              <w:top w:val="nil"/>
              <w:bottom w:val="nil"/>
            </w:tcBorders>
          </w:tcPr>
          <w:p w:rsidR="00000000" w:rsidRDefault="00000000">
            <w:pPr>
              <w:pStyle w:val="a2"/>
              <w:tabs>
                <w:tab w:val="decimal" w:pos="587"/>
              </w:tabs>
              <w:spacing w:line="280" w:lineRule="exact"/>
            </w:pPr>
            <w:r>
              <w:t>279</w:t>
            </w:r>
          </w:p>
        </w:tc>
        <w:tc>
          <w:tcPr>
            <w:tcW w:w="501" w:type="pct"/>
            <w:tcBorders>
              <w:top w:val="nil"/>
              <w:bottom w:val="nil"/>
            </w:tcBorders>
          </w:tcPr>
          <w:p w:rsidR="00000000" w:rsidRDefault="00000000">
            <w:pPr>
              <w:pStyle w:val="a2"/>
              <w:tabs>
                <w:tab w:val="decimal" w:pos="587"/>
              </w:tabs>
              <w:spacing w:line="280" w:lineRule="exact"/>
            </w:pPr>
            <w:r>
              <w:t>279</w:t>
            </w:r>
          </w:p>
        </w:tc>
        <w:tc>
          <w:tcPr>
            <w:tcW w:w="502" w:type="pct"/>
            <w:tcBorders>
              <w:top w:val="nil"/>
              <w:bottom w:val="nil"/>
            </w:tcBorders>
          </w:tcPr>
          <w:p w:rsidR="00000000" w:rsidRDefault="00000000">
            <w:pPr>
              <w:pStyle w:val="a2"/>
              <w:tabs>
                <w:tab w:val="decimal" w:pos="587"/>
              </w:tabs>
              <w:spacing w:line="280" w:lineRule="exact"/>
            </w:pPr>
            <w:r>
              <w:t>268</w:t>
            </w:r>
          </w:p>
        </w:tc>
        <w:tc>
          <w:tcPr>
            <w:tcW w:w="549" w:type="pct"/>
            <w:tcBorders>
              <w:top w:val="nil"/>
              <w:bottom w:val="nil"/>
            </w:tcBorders>
          </w:tcPr>
          <w:p w:rsidR="00000000" w:rsidRDefault="00000000">
            <w:pPr>
              <w:pStyle w:val="a2"/>
              <w:tabs>
                <w:tab w:val="decimal" w:pos="587"/>
              </w:tabs>
              <w:spacing w:line="280" w:lineRule="exact"/>
              <w:rPr>
                <w:u w:val="single"/>
              </w:rPr>
            </w:pPr>
            <w:r>
              <w:t>270</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spacing w:after="180" w:line="280" w:lineRule="exact"/>
              <w:ind w:right="-402"/>
              <w:rPr>
                <w:rFonts w:hint="eastAsia"/>
                <w:spacing w:val="-12"/>
              </w:rPr>
            </w:pPr>
            <w:r>
              <w:rPr>
                <w:rFonts w:hint="eastAsia"/>
                <w:spacing w:val="-12"/>
              </w:rPr>
              <w:t>摩尔多瓦语</w:t>
            </w:r>
            <w:r>
              <w:rPr>
                <w:spacing w:val="-12"/>
              </w:rPr>
              <w:br/>
              <w:t>(</w:t>
            </w:r>
            <w:r>
              <w:rPr>
                <w:spacing w:val="-12"/>
              </w:rPr>
              <w:t>罗马尼亚</w:t>
            </w:r>
            <w:r>
              <w:rPr>
                <w:rFonts w:hint="eastAsia"/>
                <w:spacing w:val="-12"/>
              </w:rPr>
              <w:t>语</w:t>
            </w:r>
            <w:r>
              <w:rPr>
                <w:spacing w:val="-12"/>
              </w:rPr>
              <w:t>)</w:t>
            </w:r>
            <w:r>
              <w:rPr>
                <w:rFonts w:hint="eastAsia"/>
                <w:spacing w:val="-12"/>
              </w:rPr>
              <w:t>和俄语</w:t>
            </w:r>
          </w:p>
        </w:tc>
        <w:tc>
          <w:tcPr>
            <w:tcW w:w="501" w:type="pct"/>
            <w:tcBorders>
              <w:top w:val="nil"/>
              <w:bottom w:val="nil"/>
            </w:tcBorders>
          </w:tcPr>
          <w:p w:rsidR="00000000" w:rsidRDefault="00000000">
            <w:pPr>
              <w:pStyle w:val="a2"/>
              <w:tabs>
                <w:tab w:val="decimal" w:pos="587"/>
              </w:tabs>
              <w:spacing w:after="180" w:line="280" w:lineRule="exact"/>
            </w:pPr>
            <w:r>
              <w:t>99</w:t>
            </w:r>
          </w:p>
        </w:tc>
        <w:tc>
          <w:tcPr>
            <w:tcW w:w="501" w:type="pct"/>
            <w:tcBorders>
              <w:top w:val="nil"/>
              <w:bottom w:val="nil"/>
            </w:tcBorders>
          </w:tcPr>
          <w:p w:rsidR="00000000" w:rsidRDefault="00000000">
            <w:pPr>
              <w:pStyle w:val="a2"/>
              <w:tabs>
                <w:tab w:val="decimal" w:pos="587"/>
              </w:tabs>
              <w:spacing w:after="180" w:line="280" w:lineRule="exact"/>
            </w:pPr>
            <w:r>
              <w:t>123</w:t>
            </w:r>
          </w:p>
        </w:tc>
        <w:tc>
          <w:tcPr>
            <w:tcW w:w="502" w:type="pct"/>
            <w:tcBorders>
              <w:top w:val="nil"/>
              <w:bottom w:val="nil"/>
            </w:tcBorders>
          </w:tcPr>
          <w:p w:rsidR="00000000" w:rsidRDefault="00000000">
            <w:pPr>
              <w:pStyle w:val="a2"/>
              <w:tabs>
                <w:tab w:val="decimal" w:pos="587"/>
              </w:tabs>
              <w:spacing w:after="180" w:line="280" w:lineRule="exact"/>
            </w:pPr>
            <w:r>
              <w:t>123</w:t>
            </w:r>
          </w:p>
        </w:tc>
        <w:tc>
          <w:tcPr>
            <w:tcW w:w="501" w:type="pct"/>
            <w:tcBorders>
              <w:top w:val="nil"/>
              <w:bottom w:val="nil"/>
            </w:tcBorders>
          </w:tcPr>
          <w:p w:rsidR="00000000" w:rsidRDefault="00000000">
            <w:pPr>
              <w:pStyle w:val="a2"/>
              <w:tabs>
                <w:tab w:val="decimal" w:pos="587"/>
              </w:tabs>
              <w:spacing w:after="180" w:line="280" w:lineRule="exact"/>
            </w:pPr>
            <w:r>
              <w:t>113</w:t>
            </w:r>
          </w:p>
        </w:tc>
        <w:tc>
          <w:tcPr>
            <w:tcW w:w="502" w:type="pct"/>
            <w:tcBorders>
              <w:top w:val="nil"/>
              <w:bottom w:val="nil"/>
            </w:tcBorders>
          </w:tcPr>
          <w:p w:rsidR="00000000" w:rsidRDefault="00000000">
            <w:pPr>
              <w:pStyle w:val="a2"/>
              <w:tabs>
                <w:tab w:val="decimal" w:pos="587"/>
              </w:tabs>
              <w:spacing w:after="180" w:line="280" w:lineRule="exact"/>
            </w:pPr>
            <w:r>
              <w:t>115</w:t>
            </w:r>
          </w:p>
        </w:tc>
        <w:tc>
          <w:tcPr>
            <w:tcW w:w="501" w:type="pct"/>
            <w:tcBorders>
              <w:top w:val="nil"/>
              <w:bottom w:val="nil"/>
            </w:tcBorders>
          </w:tcPr>
          <w:p w:rsidR="00000000" w:rsidRDefault="00000000">
            <w:pPr>
              <w:pStyle w:val="a2"/>
              <w:tabs>
                <w:tab w:val="decimal" w:pos="587"/>
              </w:tabs>
              <w:spacing w:after="180" w:line="280" w:lineRule="exact"/>
            </w:pPr>
            <w:r>
              <w:t>111</w:t>
            </w:r>
          </w:p>
        </w:tc>
        <w:tc>
          <w:tcPr>
            <w:tcW w:w="502" w:type="pct"/>
            <w:tcBorders>
              <w:top w:val="nil"/>
              <w:bottom w:val="nil"/>
            </w:tcBorders>
          </w:tcPr>
          <w:p w:rsidR="00000000" w:rsidRDefault="00000000">
            <w:pPr>
              <w:pStyle w:val="a2"/>
              <w:tabs>
                <w:tab w:val="decimal" w:pos="587"/>
              </w:tabs>
              <w:spacing w:after="180" w:line="280" w:lineRule="exact"/>
            </w:pPr>
            <w:r>
              <w:t>114</w:t>
            </w:r>
          </w:p>
        </w:tc>
        <w:tc>
          <w:tcPr>
            <w:tcW w:w="549" w:type="pct"/>
            <w:tcBorders>
              <w:top w:val="nil"/>
              <w:bottom w:val="nil"/>
            </w:tcBorders>
          </w:tcPr>
          <w:p w:rsidR="00000000" w:rsidRDefault="00000000">
            <w:pPr>
              <w:pStyle w:val="a2"/>
              <w:tabs>
                <w:tab w:val="decimal" w:pos="587"/>
              </w:tabs>
              <w:spacing w:after="180" w:line="280" w:lineRule="exact"/>
              <w:rPr>
                <w:u w:val="single"/>
              </w:rPr>
            </w:pPr>
            <w:r>
              <w:t>114</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spacing w:line="280" w:lineRule="exact"/>
              <w:ind w:right="-402"/>
              <w:rPr>
                <w:rFonts w:hint="eastAsia"/>
                <w:spacing w:val="-12"/>
              </w:rPr>
            </w:pPr>
            <w:r>
              <w:rPr>
                <w:rFonts w:hint="eastAsia"/>
                <w:spacing w:val="-12"/>
              </w:rPr>
              <w:t>乌克兰语和俄语</w:t>
            </w:r>
          </w:p>
        </w:tc>
        <w:tc>
          <w:tcPr>
            <w:tcW w:w="501"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6</w:t>
            </w:r>
          </w:p>
        </w:tc>
        <w:tc>
          <w:tcPr>
            <w:tcW w:w="502" w:type="pct"/>
            <w:tcBorders>
              <w:top w:val="nil"/>
              <w:bottom w:val="nil"/>
            </w:tcBorders>
          </w:tcPr>
          <w:p w:rsidR="00000000" w:rsidRDefault="00000000">
            <w:pPr>
              <w:pStyle w:val="a2"/>
              <w:tabs>
                <w:tab w:val="decimal" w:pos="587"/>
              </w:tabs>
              <w:spacing w:line="280" w:lineRule="exact"/>
            </w:pPr>
            <w:r>
              <w:t>7</w:t>
            </w:r>
          </w:p>
        </w:tc>
        <w:tc>
          <w:tcPr>
            <w:tcW w:w="501" w:type="pct"/>
            <w:tcBorders>
              <w:top w:val="nil"/>
              <w:bottom w:val="nil"/>
            </w:tcBorders>
          </w:tcPr>
          <w:p w:rsidR="00000000" w:rsidRDefault="00000000">
            <w:pPr>
              <w:pStyle w:val="a2"/>
              <w:tabs>
                <w:tab w:val="decimal" w:pos="587"/>
              </w:tabs>
              <w:spacing w:line="280" w:lineRule="exact"/>
            </w:pPr>
            <w:r>
              <w:t>7</w:t>
            </w:r>
          </w:p>
        </w:tc>
        <w:tc>
          <w:tcPr>
            <w:tcW w:w="502" w:type="pct"/>
            <w:tcBorders>
              <w:top w:val="nil"/>
              <w:bottom w:val="nil"/>
            </w:tcBorders>
          </w:tcPr>
          <w:p w:rsidR="00000000" w:rsidRDefault="00000000">
            <w:pPr>
              <w:pStyle w:val="a2"/>
              <w:tabs>
                <w:tab w:val="decimal" w:pos="587"/>
              </w:tabs>
              <w:spacing w:line="280" w:lineRule="exact"/>
            </w:pPr>
            <w:r>
              <w:t>8</w:t>
            </w:r>
          </w:p>
        </w:tc>
        <w:tc>
          <w:tcPr>
            <w:tcW w:w="501" w:type="pct"/>
            <w:tcBorders>
              <w:top w:val="nil"/>
              <w:bottom w:val="nil"/>
            </w:tcBorders>
          </w:tcPr>
          <w:p w:rsidR="00000000" w:rsidRDefault="00000000">
            <w:pPr>
              <w:pStyle w:val="a2"/>
              <w:tabs>
                <w:tab w:val="decimal" w:pos="587"/>
              </w:tabs>
              <w:spacing w:line="280" w:lineRule="exact"/>
            </w:pPr>
            <w:r>
              <w:t>3</w:t>
            </w:r>
          </w:p>
        </w:tc>
        <w:tc>
          <w:tcPr>
            <w:tcW w:w="502" w:type="pct"/>
            <w:tcBorders>
              <w:top w:val="nil"/>
              <w:bottom w:val="nil"/>
            </w:tcBorders>
          </w:tcPr>
          <w:p w:rsidR="00000000" w:rsidRDefault="00000000">
            <w:pPr>
              <w:pStyle w:val="a2"/>
              <w:tabs>
                <w:tab w:val="decimal" w:pos="587"/>
              </w:tabs>
              <w:spacing w:line="280" w:lineRule="exact"/>
            </w:pPr>
            <w:r>
              <w:t>3</w:t>
            </w:r>
          </w:p>
        </w:tc>
        <w:tc>
          <w:tcPr>
            <w:tcW w:w="549" w:type="pct"/>
            <w:tcBorders>
              <w:top w:val="nil"/>
              <w:bottom w:val="nil"/>
            </w:tcBorders>
          </w:tcPr>
          <w:p w:rsidR="00000000" w:rsidRDefault="00000000">
            <w:pPr>
              <w:pStyle w:val="a2"/>
              <w:tabs>
                <w:tab w:val="decimal" w:pos="587"/>
              </w:tabs>
              <w:spacing w:line="280" w:lineRule="exact"/>
              <w:rPr>
                <w:u w:val="single"/>
              </w:rPr>
            </w:pPr>
            <w:r>
              <w:t>5</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spacing w:line="280" w:lineRule="exact"/>
              <w:ind w:right="-402"/>
              <w:rPr>
                <w:rFonts w:hint="eastAsia"/>
                <w:spacing w:val="-12"/>
              </w:rPr>
            </w:pPr>
            <w:r>
              <w:rPr>
                <w:spacing w:val="-12"/>
              </w:rPr>
              <w:t>保加利亚</w:t>
            </w:r>
            <w:r>
              <w:rPr>
                <w:rFonts w:hint="eastAsia"/>
                <w:spacing w:val="-12"/>
              </w:rPr>
              <w:t>语和俄语</w:t>
            </w:r>
          </w:p>
        </w:tc>
        <w:tc>
          <w:tcPr>
            <w:tcW w:w="501"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w:t>
            </w:r>
          </w:p>
        </w:tc>
        <w:tc>
          <w:tcPr>
            <w:tcW w:w="502"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1</w:t>
            </w:r>
          </w:p>
        </w:tc>
        <w:tc>
          <w:tcPr>
            <w:tcW w:w="502" w:type="pct"/>
            <w:tcBorders>
              <w:top w:val="nil"/>
              <w:bottom w:val="nil"/>
            </w:tcBorders>
          </w:tcPr>
          <w:p w:rsidR="00000000" w:rsidRDefault="00000000">
            <w:pPr>
              <w:pStyle w:val="a2"/>
              <w:tabs>
                <w:tab w:val="decimal" w:pos="587"/>
              </w:tabs>
              <w:spacing w:line="280" w:lineRule="exact"/>
            </w:pPr>
            <w:r>
              <w:t>1</w:t>
            </w:r>
          </w:p>
        </w:tc>
        <w:tc>
          <w:tcPr>
            <w:tcW w:w="501" w:type="pct"/>
            <w:tcBorders>
              <w:top w:val="nil"/>
              <w:bottom w:val="nil"/>
            </w:tcBorders>
          </w:tcPr>
          <w:p w:rsidR="00000000" w:rsidRDefault="00000000">
            <w:pPr>
              <w:pStyle w:val="a2"/>
              <w:tabs>
                <w:tab w:val="decimal" w:pos="587"/>
              </w:tabs>
              <w:spacing w:line="280" w:lineRule="exact"/>
            </w:pPr>
            <w:r>
              <w:t>1</w:t>
            </w:r>
          </w:p>
        </w:tc>
        <w:tc>
          <w:tcPr>
            <w:tcW w:w="502" w:type="pct"/>
            <w:tcBorders>
              <w:top w:val="nil"/>
              <w:bottom w:val="nil"/>
            </w:tcBorders>
          </w:tcPr>
          <w:p w:rsidR="00000000" w:rsidRDefault="00000000">
            <w:pPr>
              <w:pStyle w:val="a2"/>
              <w:tabs>
                <w:tab w:val="decimal" w:pos="587"/>
              </w:tabs>
              <w:spacing w:line="280" w:lineRule="exact"/>
            </w:pPr>
            <w:r>
              <w:t>3</w:t>
            </w:r>
          </w:p>
        </w:tc>
        <w:tc>
          <w:tcPr>
            <w:tcW w:w="549" w:type="pct"/>
            <w:tcBorders>
              <w:top w:val="nil"/>
              <w:bottom w:val="nil"/>
            </w:tcBorders>
          </w:tcPr>
          <w:p w:rsidR="00000000" w:rsidRDefault="00000000">
            <w:pPr>
              <w:pStyle w:val="a2"/>
              <w:tabs>
                <w:tab w:val="decimal" w:pos="587"/>
              </w:tabs>
              <w:spacing w:line="280" w:lineRule="exact"/>
            </w:pPr>
            <w:r>
              <w:t>4</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spacing w:after="180" w:line="280" w:lineRule="exact"/>
              <w:ind w:right="-402"/>
              <w:rPr>
                <w:rFonts w:hint="eastAsia"/>
              </w:rPr>
            </w:pPr>
            <w:r>
              <w:rPr>
                <w:rFonts w:hint="eastAsia"/>
              </w:rPr>
              <w:t>俄语和英语</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2" w:type="pct"/>
            <w:tcBorders>
              <w:top w:val="nil"/>
              <w:bottom w:val="nil"/>
            </w:tcBorders>
          </w:tcPr>
          <w:p w:rsidR="00000000" w:rsidRDefault="00000000">
            <w:pPr>
              <w:pStyle w:val="a2"/>
              <w:tabs>
                <w:tab w:val="decimal" w:pos="587"/>
              </w:tabs>
              <w:spacing w:after="180" w:line="280" w:lineRule="exact"/>
            </w:pPr>
            <w:r>
              <w:t>-</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2" w:type="pct"/>
            <w:tcBorders>
              <w:top w:val="nil"/>
              <w:bottom w:val="nil"/>
            </w:tcBorders>
          </w:tcPr>
          <w:p w:rsidR="00000000" w:rsidRDefault="00000000">
            <w:pPr>
              <w:pStyle w:val="a2"/>
              <w:tabs>
                <w:tab w:val="decimal" w:pos="587"/>
              </w:tabs>
              <w:spacing w:after="180" w:line="280" w:lineRule="exact"/>
            </w:pPr>
            <w:r>
              <w:t>-</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2" w:type="pct"/>
            <w:tcBorders>
              <w:top w:val="nil"/>
              <w:bottom w:val="nil"/>
            </w:tcBorders>
          </w:tcPr>
          <w:p w:rsidR="00000000" w:rsidRDefault="00000000">
            <w:pPr>
              <w:pStyle w:val="a2"/>
              <w:tabs>
                <w:tab w:val="decimal" w:pos="587"/>
              </w:tabs>
              <w:spacing w:after="180" w:line="280" w:lineRule="exact"/>
            </w:pPr>
            <w:r>
              <w:t>-</w:t>
            </w:r>
          </w:p>
        </w:tc>
        <w:tc>
          <w:tcPr>
            <w:tcW w:w="549" w:type="pct"/>
            <w:tcBorders>
              <w:top w:val="nil"/>
              <w:bottom w:val="nil"/>
            </w:tcBorders>
          </w:tcPr>
          <w:p w:rsidR="00000000" w:rsidRDefault="00000000">
            <w:pPr>
              <w:pStyle w:val="a2"/>
              <w:tabs>
                <w:tab w:val="decimal" w:pos="587"/>
              </w:tabs>
              <w:spacing w:after="180" w:line="280" w:lineRule="exact"/>
              <w:rPr>
                <w:u w:val="single"/>
              </w:rPr>
            </w:pPr>
            <w:r>
              <w:t>1</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spacing w:line="280" w:lineRule="exact"/>
              <w:ind w:right="-402"/>
              <w:rPr>
                <w:rFonts w:hint="eastAsia"/>
              </w:rPr>
            </w:pPr>
            <w:r>
              <w:rPr>
                <w:rFonts w:hint="eastAsia"/>
              </w:rPr>
              <w:t>英语</w:t>
            </w:r>
          </w:p>
        </w:tc>
        <w:tc>
          <w:tcPr>
            <w:tcW w:w="501"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w:t>
            </w:r>
          </w:p>
        </w:tc>
        <w:tc>
          <w:tcPr>
            <w:tcW w:w="502"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1</w:t>
            </w:r>
          </w:p>
        </w:tc>
        <w:tc>
          <w:tcPr>
            <w:tcW w:w="502" w:type="pct"/>
            <w:tcBorders>
              <w:top w:val="nil"/>
              <w:bottom w:val="nil"/>
            </w:tcBorders>
          </w:tcPr>
          <w:p w:rsidR="00000000" w:rsidRDefault="00000000">
            <w:pPr>
              <w:pStyle w:val="a2"/>
              <w:tabs>
                <w:tab w:val="decimal" w:pos="587"/>
              </w:tabs>
              <w:spacing w:line="280" w:lineRule="exact"/>
            </w:pPr>
            <w:r>
              <w:t>1</w:t>
            </w:r>
          </w:p>
        </w:tc>
        <w:tc>
          <w:tcPr>
            <w:tcW w:w="501" w:type="pct"/>
            <w:tcBorders>
              <w:top w:val="nil"/>
              <w:bottom w:val="nil"/>
            </w:tcBorders>
          </w:tcPr>
          <w:p w:rsidR="00000000" w:rsidRDefault="00000000">
            <w:pPr>
              <w:pStyle w:val="a2"/>
              <w:tabs>
                <w:tab w:val="decimal" w:pos="587"/>
              </w:tabs>
              <w:spacing w:line="280" w:lineRule="exact"/>
            </w:pPr>
            <w:r>
              <w:t>1</w:t>
            </w:r>
          </w:p>
        </w:tc>
        <w:tc>
          <w:tcPr>
            <w:tcW w:w="502" w:type="pct"/>
            <w:tcBorders>
              <w:top w:val="nil"/>
              <w:bottom w:val="nil"/>
            </w:tcBorders>
          </w:tcPr>
          <w:p w:rsidR="00000000" w:rsidRDefault="00000000">
            <w:pPr>
              <w:pStyle w:val="a2"/>
              <w:tabs>
                <w:tab w:val="decimal" w:pos="587"/>
              </w:tabs>
              <w:spacing w:line="280" w:lineRule="exact"/>
            </w:pPr>
            <w:r>
              <w:t>1</w:t>
            </w:r>
          </w:p>
        </w:tc>
        <w:tc>
          <w:tcPr>
            <w:tcW w:w="549" w:type="pct"/>
            <w:tcBorders>
              <w:top w:val="nil"/>
              <w:bottom w:val="nil"/>
            </w:tcBorders>
          </w:tcPr>
          <w:p w:rsidR="00000000" w:rsidRDefault="00000000">
            <w:pPr>
              <w:pStyle w:val="a2"/>
              <w:tabs>
                <w:tab w:val="decimal" w:pos="587"/>
              </w:tabs>
              <w:spacing w:line="280" w:lineRule="exact"/>
              <w:rPr>
                <w:u w:val="single"/>
              </w:rPr>
            </w:pPr>
            <w:r>
              <w:t>2</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2"/>
              <w:rPr>
                <w:rFonts w:hint="eastAsia"/>
              </w:rPr>
            </w:pPr>
            <w:r>
              <w:rPr>
                <w:rFonts w:hint="eastAsia"/>
              </w:rPr>
              <w:t>土耳其语</w:t>
            </w:r>
          </w:p>
        </w:tc>
        <w:tc>
          <w:tcPr>
            <w:tcW w:w="501"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w:t>
            </w:r>
          </w:p>
        </w:tc>
        <w:tc>
          <w:tcPr>
            <w:tcW w:w="502"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w:t>
            </w:r>
          </w:p>
        </w:tc>
        <w:tc>
          <w:tcPr>
            <w:tcW w:w="502"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1</w:t>
            </w:r>
          </w:p>
        </w:tc>
        <w:tc>
          <w:tcPr>
            <w:tcW w:w="502" w:type="pct"/>
            <w:tcBorders>
              <w:top w:val="nil"/>
              <w:bottom w:val="nil"/>
            </w:tcBorders>
          </w:tcPr>
          <w:p w:rsidR="00000000" w:rsidRDefault="00000000">
            <w:pPr>
              <w:pStyle w:val="a2"/>
              <w:tabs>
                <w:tab w:val="decimal" w:pos="587"/>
              </w:tabs>
              <w:spacing w:line="280" w:lineRule="exact"/>
            </w:pPr>
            <w:r>
              <w:t>1</w:t>
            </w:r>
          </w:p>
        </w:tc>
        <w:tc>
          <w:tcPr>
            <w:tcW w:w="549" w:type="pct"/>
            <w:tcBorders>
              <w:top w:val="nil"/>
              <w:bottom w:val="nil"/>
            </w:tcBorders>
          </w:tcPr>
          <w:p w:rsidR="00000000" w:rsidRDefault="00000000">
            <w:pPr>
              <w:pStyle w:val="a2"/>
              <w:tabs>
                <w:tab w:val="decimal" w:pos="587"/>
              </w:tabs>
              <w:spacing w:line="280" w:lineRule="exact"/>
            </w:pPr>
            <w:r>
              <w:t>-</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after="180" w:line="280" w:lineRule="exact"/>
              <w:ind w:right="-402"/>
              <w:rPr>
                <w:rFonts w:hint="eastAsia"/>
                <w:spacing w:val="-10"/>
              </w:rPr>
            </w:pPr>
            <w:r>
              <w:rPr>
                <w:rFonts w:hint="eastAsia"/>
                <w:spacing w:val="-10"/>
              </w:rPr>
              <w:t>学生：总数</w:t>
            </w:r>
            <w:r>
              <w:rPr>
                <w:rFonts w:hint="eastAsia"/>
                <w:spacing w:val="-10"/>
              </w:rPr>
              <w:t>(</w:t>
            </w:r>
            <w:r>
              <w:rPr>
                <w:rFonts w:hint="eastAsia"/>
                <w:spacing w:val="-10"/>
              </w:rPr>
              <w:t>千人</w:t>
            </w:r>
            <w:r>
              <w:rPr>
                <w:rFonts w:hint="eastAsia"/>
                <w:spacing w:val="-10"/>
              </w:rPr>
              <w:t>)</w:t>
            </w:r>
          </w:p>
        </w:tc>
        <w:tc>
          <w:tcPr>
            <w:tcW w:w="501" w:type="pct"/>
            <w:tcBorders>
              <w:top w:val="nil"/>
              <w:bottom w:val="nil"/>
            </w:tcBorders>
          </w:tcPr>
          <w:p w:rsidR="00000000" w:rsidRDefault="00000000">
            <w:pPr>
              <w:pStyle w:val="a2"/>
              <w:tabs>
                <w:tab w:val="decimal" w:pos="587"/>
              </w:tabs>
              <w:spacing w:after="180" w:line="280" w:lineRule="exact"/>
            </w:pPr>
            <w:r>
              <w:t>609.4</w:t>
            </w:r>
          </w:p>
        </w:tc>
        <w:tc>
          <w:tcPr>
            <w:tcW w:w="501" w:type="pct"/>
            <w:tcBorders>
              <w:top w:val="nil"/>
              <w:bottom w:val="nil"/>
            </w:tcBorders>
          </w:tcPr>
          <w:p w:rsidR="00000000" w:rsidRDefault="00000000">
            <w:pPr>
              <w:pStyle w:val="a2"/>
              <w:tabs>
                <w:tab w:val="decimal" w:pos="587"/>
              </w:tabs>
              <w:spacing w:after="180" w:line="280" w:lineRule="exact"/>
            </w:pPr>
            <w:r>
              <w:t>614.9</w:t>
            </w:r>
          </w:p>
        </w:tc>
        <w:tc>
          <w:tcPr>
            <w:tcW w:w="502" w:type="pct"/>
            <w:tcBorders>
              <w:top w:val="nil"/>
              <w:bottom w:val="nil"/>
            </w:tcBorders>
          </w:tcPr>
          <w:p w:rsidR="00000000" w:rsidRDefault="00000000">
            <w:pPr>
              <w:pStyle w:val="a2"/>
              <w:tabs>
                <w:tab w:val="decimal" w:pos="587"/>
              </w:tabs>
              <w:spacing w:after="180" w:line="280" w:lineRule="exact"/>
            </w:pPr>
            <w:r>
              <w:t>623.9</w:t>
            </w:r>
          </w:p>
        </w:tc>
        <w:tc>
          <w:tcPr>
            <w:tcW w:w="501" w:type="pct"/>
            <w:tcBorders>
              <w:top w:val="nil"/>
              <w:bottom w:val="nil"/>
            </w:tcBorders>
          </w:tcPr>
          <w:p w:rsidR="00000000" w:rsidRDefault="00000000">
            <w:pPr>
              <w:pStyle w:val="a2"/>
              <w:tabs>
                <w:tab w:val="decimal" w:pos="587"/>
              </w:tabs>
              <w:spacing w:after="180" w:line="280" w:lineRule="exact"/>
            </w:pPr>
            <w:r>
              <w:t>636.9</w:t>
            </w:r>
          </w:p>
        </w:tc>
        <w:tc>
          <w:tcPr>
            <w:tcW w:w="502" w:type="pct"/>
            <w:tcBorders>
              <w:top w:val="nil"/>
              <w:bottom w:val="nil"/>
            </w:tcBorders>
          </w:tcPr>
          <w:p w:rsidR="00000000" w:rsidRDefault="00000000">
            <w:pPr>
              <w:pStyle w:val="a2"/>
              <w:tabs>
                <w:tab w:val="decimal" w:pos="587"/>
              </w:tabs>
              <w:spacing w:after="180" w:line="280" w:lineRule="exact"/>
            </w:pPr>
            <w:r>
              <w:t>643.7</w:t>
            </w:r>
          </w:p>
        </w:tc>
        <w:tc>
          <w:tcPr>
            <w:tcW w:w="501" w:type="pct"/>
            <w:tcBorders>
              <w:top w:val="nil"/>
              <w:bottom w:val="nil"/>
            </w:tcBorders>
          </w:tcPr>
          <w:p w:rsidR="00000000" w:rsidRDefault="00000000">
            <w:pPr>
              <w:pStyle w:val="a2"/>
              <w:tabs>
                <w:tab w:val="decimal" w:pos="587"/>
              </w:tabs>
              <w:spacing w:after="180" w:line="280" w:lineRule="exact"/>
            </w:pPr>
            <w:r>
              <w:t>647.0</w:t>
            </w:r>
          </w:p>
        </w:tc>
        <w:tc>
          <w:tcPr>
            <w:tcW w:w="502" w:type="pct"/>
            <w:tcBorders>
              <w:top w:val="nil"/>
              <w:bottom w:val="nil"/>
            </w:tcBorders>
          </w:tcPr>
          <w:p w:rsidR="00000000" w:rsidRDefault="00000000">
            <w:pPr>
              <w:pStyle w:val="a2"/>
              <w:tabs>
                <w:tab w:val="decimal" w:pos="587"/>
              </w:tabs>
              <w:spacing w:after="180" w:line="280" w:lineRule="exact"/>
            </w:pPr>
            <w:r>
              <w:t>645.0</w:t>
            </w:r>
          </w:p>
        </w:tc>
        <w:tc>
          <w:tcPr>
            <w:tcW w:w="549" w:type="pct"/>
            <w:tcBorders>
              <w:top w:val="nil"/>
              <w:bottom w:val="nil"/>
            </w:tcBorders>
          </w:tcPr>
          <w:p w:rsidR="00000000" w:rsidRDefault="00000000">
            <w:pPr>
              <w:pStyle w:val="a2"/>
              <w:tabs>
                <w:tab w:val="decimal" w:pos="587"/>
              </w:tabs>
              <w:spacing w:after="180" w:line="280" w:lineRule="exact"/>
            </w:pPr>
            <w:r>
              <w:t>637.7</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after="180" w:line="280" w:lineRule="exact"/>
              <w:ind w:right="-402"/>
              <w:rPr>
                <w:rFonts w:hint="eastAsia"/>
                <w:spacing w:val="-6"/>
              </w:rPr>
            </w:pPr>
            <w:r>
              <w:rPr>
                <w:rFonts w:hint="eastAsia"/>
                <w:spacing w:val="-6"/>
              </w:rPr>
              <w:t>其中：在摩尔多瓦</w:t>
            </w:r>
            <w:r>
              <w:rPr>
                <w:spacing w:val="-6"/>
              </w:rPr>
              <w:br/>
            </w:r>
            <w:r>
              <w:rPr>
                <w:rFonts w:hint="eastAsia"/>
                <w:spacing w:val="-6"/>
              </w:rPr>
              <w:t>语</w:t>
            </w:r>
            <w:r>
              <w:rPr>
                <w:rFonts w:hint="eastAsia"/>
                <w:spacing w:val="-6"/>
              </w:rPr>
              <w:t>(</w:t>
            </w:r>
            <w:r>
              <w:rPr>
                <w:rFonts w:hint="eastAsia"/>
                <w:spacing w:val="-6"/>
              </w:rPr>
              <w:t>罗马尼亚语</w:t>
            </w:r>
            <w:r>
              <w:rPr>
                <w:rFonts w:hint="eastAsia"/>
                <w:spacing w:val="-6"/>
              </w:rPr>
              <w:t>)</w:t>
            </w:r>
            <w:r>
              <w:rPr>
                <w:spacing w:val="-6"/>
              </w:rPr>
              <w:br/>
            </w:r>
            <w:r>
              <w:rPr>
                <w:rFonts w:hint="eastAsia"/>
                <w:spacing w:val="-6"/>
              </w:rPr>
              <w:t>学校中学习的</w:t>
            </w:r>
          </w:p>
        </w:tc>
        <w:tc>
          <w:tcPr>
            <w:tcW w:w="501" w:type="pct"/>
            <w:tcBorders>
              <w:top w:val="nil"/>
              <w:bottom w:val="nil"/>
            </w:tcBorders>
          </w:tcPr>
          <w:p w:rsidR="00000000" w:rsidRDefault="00000000">
            <w:pPr>
              <w:pStyle w:val="a2"/>
              <w:tabs>
                <w:tab w:val="decimal" w:pos="587"/>
              </w:tabs>
              <w:spacing w:after="180" w:line="280" w:lineRule="exact"/>
            </w:pPr>
            <w:r>
              <w:br/>
              <w:t>431.5</w:t>
            </w:r>
          </w:p>
        </w:tc>
        <w:tc>
          <w:tcPr>
            <w:tcW w:w="501" w:type="pct"/>
            <w:tcBorders>
              <w:top w:val="nil"/>
              <w:bottom w:val="nil"/>
            </w:tcBorders>
          </w:tcPr>
          <w:p w:rsidR="00000000" w:rsidRDefault="00000000">
            <w:pPr>
              <w:pStyle w:val="a2"/>
              <w:tabs>
                <w:tab w:val="decimal" w:pos="587"/>
              </w:tabs>
              <w:spacing w:after="180" w:line="280" w:lineRule="exact"/>
            </w:pPr>
            <w:r>
              <w:br/>
              <w:t>444.9</w:t>
            </w:r>
          </w:p>
        </w:tc>
        <w:tc>
          <w:tcPr>
            <w:tcW w:w="502" w:type="pct"/>
            <w:tcBorders>
              <w:top w:val="nil"/>
              <w:bottom w:val="nil"/>
            </w:tcBorders>
          </w:tcPr>
          <w:p w:rsidR="00000000" w:rsidRDefault="00000000">
            <w:pPr>
              <w:pStyle w:val="a2"/>
              <w:tabs>
                <w:tab w:val="decimal" w:pos="587"/>
              </w:tabs>
              <w:spacing w:after="180" w:line="280" w:lineRule="exact"/>
            </w:pPr>
            <w:r>
              <w:br/>
              <w:t>458.5</w:t>
            </w:r>
          </w:p>
        </w:tc>
        <w:tc>
          <w:tcPr>
            <w:tcW w:w="501" w:type="pct"/>
            <w:tcBorders>
              <w:top w:val="nil"/>
              <w:bottom w:val="nil"/>
            </w:tcBorders>
          </w:tcPr>
          <w:p w:rsidR="00000000" w:rsidRDefault="00000000">
            <w:pPr>
              <w:pStyle w:val="a2"/>
              <w:tabs>
                <w:tab w:val="decimal" w:pos="587"/>
              </w:tabs>
              <w:spacing w:after="180" w:line="280" w:lineRule="exact"/>
            </w:pPr>
            <w:r>
              <w:br/>
              <w:t>477.4</w:t>
            </w:r>
          </w:p>
        </w:tc>
        <w:tc>
          <w:tcPr>
            <w:tcW w:w="502" w:type="pct"/>
            <w:tcBorders>
              <w:top w:val="nil"/>
              <w:bottom w:val="nil"/>
            </w:tcBorders>
          </w:tcPr>
          <w:p w:rsidR="00000000" w:rsidRDefault="00000000">
            <w:pPr>
              <w:pStyle w:val="a2"/>
              <w:tabs>
                <w:tab w:val="decimal" w:pos="587"/>
              </w:tabs>
              <w:spacing w:after="180" w:line="280" w:lineRule="exact"/>
            </w:pPr>
            <w:r>
              <w:br/>
              <w:t>485.0</w:t>
            </w:r>
          </w:p>
        </w:tc>
        <w:tc>
          <w:tcPr>
            <w:tcW w:w="501" w:type="pct"/>
            <w:tcBorders>
              <w:top w:val="nil"/>
              <w:bottom w:val="nil"/>
            </w:tcBorders>
          </w:tcPr>
          <w:p w:rsidR="00000000" w:rsidRDefault="00000000">
            <w:pPr>
              <w:pStyle w:val="a2"/>
              <w:tabs>
                <w:tab w:val="decimal" w:pos="587"/>
              </w:tabs>
              <w:spacing w:after="180" w:line="280" w:lineRule="exact"/>
            </w:pPr>
            <w:r>
              <w:br/>
              <w:t>492.0</w:t>
            </w:r>
          </w:p>
        </w:tc>
        <w:tc>
          <w:tcPr>
            <w:tcW w:w="502" w:type="pct"/>
            <w:tcBorders>
              <w:top w:val="nil"/>
              <w:bottom w:val="nil"/>
            </w:tcBorders>
          </w:tcPr>
          <w:p w:rsidR="00000000" w:rsidRDefault="00000000">
            <w:pPr>
              <w:pStyle w:val="a2"/>
              <w:tabs>
                <w:tab w:val="decimal" w:pos="587"/>
              </w:tabs>
              <w:spacing w:after="180" w:line="280" w:lineRule="exact"/>
            </w:pPr>
            <w:r>
              <w:br/>
              <w:t>495.1</w:t>
            </w:r>
          </w:p>
        </w:tc>
        <w:tc>
          <w:tcPr>
            <w:tcW w:w="549" w:type="pct"/>
            <w:tcBorders>
              <w:top w:val="nil"/>
              <w:bottom w:val="nil"/>
            </w:tcBorders>
          </w:tcPr>
          <w:p w:rsidR="00000000" w:rsidRDefault="00000000">
            <w:pPr>
              <w:pStyle w:val="a2"/>
              <w:tabs>
                <w:tab w:val="decimal" w:pos="587"/>
              </w:tabs>
              <w:spacing w:after="180" w:line="280" w:lineRule="exact"/>
            </w:pPr>
            <w:r>
              <w:br/>
              <w:t>494.8</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2"/>
              <w:rPr>
                <w:rFonts w:hint="eastAsia"/>
              </w:rPr>
            </w:pPr>
            <w:r>
              <w:rPr>
                <w:rFonts w:hint="eastAsia"/>
              </w:rPr>
              <w:t>俄语</w:t>
            </w:r>
          </w:p>
        </w:tc>
        <w:tc>
          <w:tcPr>
            <w:tcW w:w="501" w:type="pct"/>
            <w:tcBorders>
              <w:top w:val="nil"/>
              <w:bottom w:val="nil"/>
            </w:tcBorders>
          </w:tcPr>
          <w:p w:rsidR="00000000" w:rsidRDefault="00000000">
            <w:pPr>
              <w:pStyle w:val="a2"/>
              <w:tabs>
                <w:tab w:val="decimal" w:pos="587"/>
              </w:tabs>
              <w:spacing w:line="280" w:lineRule="exact"/>
            </w:pPr>
            <w:r>
              <w:t>177.9</w:t>
            </w:r>
          </w:p>
        </w:tc>
        <w:tc>
          <w:tcPr>
            <w:tcW w:w="501" w:type="pct"/>
            <w:tcBorders>
              <w:top w:val="nil"/>
              <w:bottom w:val="nil"/>
            </w:tcBorders>
          </w:tcPr>
          <w:p w:rsidR="00000000" w:rsidRDefault="00000000">
            <w:pPr>
              <w:pStyle w:val="a2"/>
              <w:tabs>
                <w:tab w:val="decimal" w:pos="587"/>
              </w:tabs>
              <w:spacing w:line="280" w:lineRule="exact"/>
            </w:pPr>
            <w:r>
              <w:t>169.4</w:t>
            </w:r>
          </w:p>
        </w:tc>
        <w:tc>
          <w:tcPr>
            <w:tcW w:w="502" w:type="pct"/>
            <w:tcBorders>
              <w:top w:val="nil"/>
              <w:bottom w:val="nil"/>
            </w:tcBorders>
          </w:tcPr>
          <w:p w:rsidR="00000000" w:rsidRDefault="00000000">
            <w:pPr>
              <w:pStyle w:val="a2"/>
              <w:tabs>
                <w:tab w:val="decimal" w:pos="587"/>
              </w:tabs>
              <w:spacing w:line="280" w:lineRule="exact"/>
            </w:pPr>
            <w:r>
              <w:t>164.1</w:t>
            </w:r>
          </w:p>
        </w:tc>
        <w:tc>
          <w:tcPr>
            <w:tcW w:w="501" w:type="pct"/>
            <w:tcBorders>
              <w:top w:val="nil"/>
              <w:bottom w:val="nil"/>
            </w:tcBorders>
          </w:tcPr>
          <w:p w:rsidR="00000000" w:rsidRDefault="00000000">
            <w:pPr>
              <w:pStyle w:val="a2"/>
              <w:tabs>
                <w:tab w:val="decimal" w:pos="587"/>
              </w:tabs>
              <w:spacing w:line="280" w:lineRule="exact"/>
            </w:pPr>
            <w:r>
              <w:t>157.2</w:t>
            </w:r>
          </w:p>
        </w:tc>
        <w:tc>
          <w:tcPr>
            <w:tcW w:w="502" w:type="pct"/>
            <w:tcBorders>
              <w:top w:val="nil"/>
              <w:bottom w:val="nil"/>
            </w:tcBorders>
          </w:tcPr>
          <w:p w:rsidR="00000000" w:rsidRDefault="00000000">
            <w:pPr>
              <w:pStyle w:val="a2"/>
              <w:tabs>
                <w:tab w:val="decimal" w:pos="587"/>
              </w:tabs>
              <w:spacing w:line="280" w:lineRule="exact"/>
            </w:pPr>
            <w:r>
              <w:t>156.9</w:t>
            </w:r>
          </w:p>
        </w:tc>
        <w:tc>
          <w:tcPr>
            <w:tcW w:w="501" w:type="pct"/>
            <w:tcBorders>
              <w:top w:val="nil"/>
              <w:bottom w:val="nil"/>
            </w:tcBorders>
          </w:tcPr>
          <w:p w:rsidR="00000000" w:rsidRDefault="00000000">
            <w:pPr>
              <w:pStyle w:val="a2"/>
              <w:tabs>
                <w:tab w:val="decimal" w:pos="587"/>
              </w:tabs>
              <w:spacing w:line="280" w:lineRule="exact"/>
            </w:pPr>
            <w:r>
              <w:t>154.5</w:t>
            </w:r>
          </w:p>
        </w:tc>
        <w:tc>
          <w:tcPr>
            <w:tcW w:w="502" w:type="pct"/>
            <w:tcBorders>
              <w:top w:val="nil"/>
              <w:bottom w:val="nil"/>
            </w:tcBorders>
          </w:tcPr>
          <w:p w:rsidR="00000000" w:rsidRDefault="00000000">
            <w:pPr>
              <w:pStyle w:val="a2"/>
              <w:tabs>
                <w:tab w:val="decimal" w:pos="587"/>
              </w:tabs>
              <w:spacing w:line="280" w:lineRule="exact"/>
            </w:pPr>
            <w:r>
              <w:t>149.0</w:t>
            </w:r>
          </w:p>
        </w:tc>
        <w:tc>
          <w:tcPr>
            <w:tcW w:w="549" w:type="pct"/>
            <w:tcBorders>
              <w:top w:val="nil"/>
              <w:bottom w:val="nil"/>
            </w:tcBorders>
          </w:tcPr>
          <w:p w:rsidR="00000000" w:rsidRDefault="00000000">
            <w:pPr>
              <w:pStyle w:val="a2"/>
              <w:tabs>
                <w:tab w:val="decimal" w:pos="587"/>
              </w:tabs>
              <w:spacing w:line="280" w:lineRule="exact"/>
            </w:pPr>
            <w:r>
              <w:t>142.0</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spacing w:line="280" w:lineRule="exact"/>
              <w:ind w:right="-402"/>
              <w:rPr>
                <w:rFonts w:hint="eastAsia"/>
              </w:rPr>
            </w:pPr>
            <w:r>
              <w:rPr>
                <w:rFonts w:hint="eastAsia"/>
              </w:rPr>
              <w:t>乌克兰语</w:t>
            </w:r>
          </w:p>
        </w:tc>
        <w:tc>
          <w:tcPr>
            <w:tcW w:w="501"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0.6</w:t>
            </w:r>
          </w:p>
        </w:tc>
        <w:tc>
          <w:tcPr>
            <w:tcW w:w="502" w:type="pct"/>
            <w:tcBorders>
              <w:top w:val="nil"/>
              <w:bottom w:val="nil"/>
            </w:tcBorders>
          </w:tcPr>
          <w:p w:rsidR="00000000" w:rsidRDefault="00000000">
            <w:pPr>
              <w:pStyle w:val="a2"/>
              <w:tabs>
                <w:tab w:val="decimal" w:pos="587"/>
              </w:tabs>
              <w:spacing w:line="280" w:lineRule="exact"/>
            </w:pPr>
            <w:r>
              <w:t>1.3</w:t>
            </w:r>
          </w:p>
        </w:tc>
        <w:tc>
          <w:tcPr>
            <w:tcW w:w="501" w:type="pct"/>
            <w:tcBorders>
              <w:top w:val="nil"/>
              <w:bottom w:val="nil"/>
            </w:tcBorders>
          </w:tcPr>
          <w:p w:rsidR="00000000" w:rsidRDefault="00000000">
            <w:pPr>
              <w:pStyle w:val="a2"/>
              <w:tabs>
                <w:tab w:val="decimal" w:pos="587"/>
              </w:tabs>
              <w:spacing w:line="280" w:lineRule="exact"/>
            </w:pPr>
            <w:r>
              <w:t>2.2</w:t>
            </w:r>
          </w:p>
        </w:tc>
        <w:tc>
          <w:tcPr>
            <w:tcW w:w="502" w:type="pct"/>
            <w:tcBorders>
              <w:top w:val="nil"/>
              <w:bottom w:val="nil"/>
            </w:tcBorders>
          </w:tcPr>
          <w:p w:rsidR="00000000" w:rsidRDefault="00000000">
            <w:pPr>
              <w:pStyle w:val="a2"/>
              <w:tabs>
                <w:tab w:val="decimal" w:pos="587"/>
              </w:tabs>
              <w:spacing w:line="280" w:lineRule="exact"/>
            </w:pPr>
            <w:r>
              <w:t>1.7</w:t>
            </w:r>
          </w:p>
        </w:tc>
        <w:tc>
          <w:tcPr>
            <w:tcW w:w="501" w:type="pct"/>
            <w:tcBorders>
              <w:top w:val="nil"/>
              <w:bottom w:val="nil"/>
            </w:tcBorders>
          </w:tcPr>
          <w:p w:rsidR="00000000" w:rsidRDefault="00000000">
            <w:pPr>
              <w:pStyle w:val="a2"/>
              <w:tabs>
                <w:tab w:val="decimal" w:pos="587"/>
              </w:tabs>
              <w:spacing w:line="280" w:lineRule="exact"/>
            </w:pPr>
            <w:r>
              <w:t>0.3</w:t>
            </w:r>
          </w:p>
        </w:tc>
        <w:tc>
          <w:tcPr>
            <w:tcW w:w="502" w:type="pct"/>
            <w:tcBorders>
              <w:top w:val="nil"/>
              <w:bottom w:val="nil"/>
            </w:tcBorders>
          </w:tcPr>
          <w:p w:rsidR="00000000" w:rsidRDefault="00000000">
            <w:pPr>
              <w:pStyle w:val="a2"/>
              <w:tabs>
                <w:tab w:val="decimal" w:pos="587"/>
              </w:tabs>
              <w:spacing w:line="280" w:lineRule="exact"/>
            </w:pPr>
            <w:r>
              <w:t>0.3</w:t>
            </w:r>
          </w:p>
        </w:tc>
        <w:tc>
          <w:tcPr>
            <w:tcW w:w="549" w:type="pct"/>
            <w:tcBorders>
              <w:top w:val="nil"/>
              <w:bottom w:val="nil"/>
            </w:tcBorders>
          </w:tcPr>
          <w:p w:rsidR="00000000" w:rsidRDefault="00000000">
            <w:pPr>
              <w:pStyle w:val="a2"/>
              <w:tabs>
                <w:tab w:val="decimal" w:pos="587"/>
              </w:tabs>
              <w:spacing w:line="280" w:lineRule="exact"/>
              <w:rPr>
                <w:u w:val="single"/>
              </w:rPr>
            </w:pPr>
            <w:r>
              <w:t>0.4</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after="180" w:line="280" w:lineRule="exact"/>
              <w:ind w:right="-402"/>
              <w:rPr>
                <w:rFonts w:hint="eastAsia"/>
              </w:rPr>
            </w:pPr>
            <w:r>
              <w:t>保加利亚</w:t>
            </w:r>
            <w:r>
              <w:rPr>
                <w:rFonts w:hint="eastAsia"/>
              </w:rPr>
              <w:t>语</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2" w:type="pct"/>
            <w:tcBorders>
              <w:top w:val="nil"/>
              <w:bottom w:val="nil"/>
            </w:tcBorders>
          </w:tcPr>
          <w:p w:rsidR="00000000" w:rsidRDefault="00000000">
            <w:pPr>
              <w:pStyle w:val="a2"/>
              <w:tabs>
                <w:tab w:val="decimal" w:pos="587"/>
              </w:tabs>
              <w:spacing w:after="180" w:line="280" w:lineRule="exact"/>
            </w:pPr>
            <w:r>
              <w:t>-</w:t>
            </w:r>
          </w:p>
        </w:tc>
        <w:tc>
          <w:tcPr>
            <w:tcW w:w="501" w:type="pct"/>
            <w:tcBorders>
              <w:top w:val="nil"/>
              <w:bottom w:val="nil"/>
            </w:tcBorders>
          </w:tcPr>
          <w:p w:rsidR="00000000" w:rsidRDefault="00000000">
            <w:pPr>
              <w:pStyle w:val="a2"/>
              <w:tabs>
                <w:tab w:val="decimal" w:pos="587"/>
              </w:tabs>
              <w:spacing w:after="180" w:line="280" w:lineRule="exact"/>
            </w:pPr>
            <w:r>
              <w:t>0.03</w:t>
            </w:r>
          </w:p>
        </w:tc>
        <w:tc>
          <w:tcPr>
            <w:tcW w:w="502" w:type="pct"/>
            <w:tcBorders>
              <w:top w:val="nil"/>
              <w:bottom w:val="nil"/>
            </w:tcBorders>
          </w:tcPr>
          <w:p w:rsidR="00000000" w:rsidRDefault="00000000">
            <w:pPr>
              <w:pStyle w:val="a2"/>
              <w:tabs>
                <w:tab w:val="decimal" w:pos="587"/>
              </w:tabs>
              <w:spacing w:after="180" w:line="280" w:lineRule="exact"/>
            </w:pPr>
            <w:r>
              <w:t>0.03</w:t>
            </w:r>
          </w:p>
        </w:tc>
        <w:tc>
          <w:tcPr>
            <w:tcW w:w="501" w:type="pct"/>
            <w:tcBorders>
              <w:top w:val="nil"/>
              <w:bottom w:val="nil"/>
            </w:tcBorders>
          </w:tcPr>
          <w:p w:rsidR="00000000" w:rsidRDefault="00000000">
            <w:pPr>
              <w:pStyle w:val="a2"/>
              <w:tabs>
                <w:tab w:val="decimal" w:pos="587"/>
              </w:tabs>
              <w:spacing w:after="180" w:line="280" w:lineRule="exact"/>
            </w:pPr>
            <w:r>
              <w:t>0.06</w:t>
            </w:r>
          </w:p>
        </w:tc>
        <w:tc>
          <w:tcPr>
            <w:tcW w:w="502" w:type="pct"/>
            <w:tcBorders>
              <w:top w:val="nil"/>
              <w:bottom w:val="nil"/>
            </w:tcBorders>
          </w:tcPr>
          <w:p w:rsidR="00000000" w:rsidRDefault="00000000">
            <w:pPr>
              <w:pStyle w:val="a2"/>
              <w:tabs>
                <w:tab w:val="decimal" w:pos="587"/>
              </w:tabs>
              <w:spacing w:after="180" w:line="280" w:lineRule="exact"/>
            </w:pPr>
            <w:r>
              <w:t>0.06</w:t>
            </w:r>
          </w:p>
        </w:tc>
        <w:tc>
          <w:tcPr>
            <w:tcW w:w="549" w:type="pct"/>
            <w:tcBorders>
              <w:top w:val="nil"/>
              <w:bottom w:val="nil"/>
            </w:tcBorders>
          </w:tcPr>
          <w:p w:rsidR="00000000" w:rsidRDefault="00000000">
            <w:pPr>
              <w:pStyle w:val="a2"/>
              <w:tabs>
                <w:tab w:val="decimal" w:pos="587"/>
              </w:tabs>
              <w:spacing w:after="180" w:line="280" w:lineRule="exact"/>
            </w:pPr>
            <w:r>
              <w:t>0.2</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2"/>
              <w:rPr>
                <w:rFonts w:hint="eastAsia"/>
              </w:rPr>
            </w:pPr>
            <w:r>
              <w:rPr>
                <w:rFonts w:hint="eastAsia"/>
              </w:rPr>
              <w:t>英语</w:t>
            </w:r>
          </w:p>
        </w:tc>
        <w:tc>
          <w:tcPr>
            <w:tcW w:w="501"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w:t>
            </w:r>
          </w:p>
        </w:tc>
        <w:tc>
          <w:tcPr>
            <w:tcW w:w="502"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0.1</w:t>
            </w:r>
          </w:p>
        </w:tc>
        <w:tc>
          <w:tcPr>
            <w:tcW w:w="502" w:type="pct"/>
            <w:tcBorders>
              <w:top w:val="nil"/>
              <w:bottom w:val="nil"/>
            </w:tcBorders>
          </w:tcPr>
          <w:p w:rsidR="00000000" w:rsidRDefault="00000000">
            <w:pPr>
              <w:pStyle w:val="a2"/>
              <w:tabs>
                <w:tab w:val="decimal" w:pos="587"/>
              </w:tabs>
              <w:spacing w:line="280" w:lineRule="exact"/>
            </w:pPr>
            <w:r>
              <w:t>0.1</w:t>
            </w:r>
          </w:p>
        </w:tc>
        <w:tc>
          <w:tcPr>
            <w:tcW w:w="501" w:type="pct"/>
            <w:tcBorders>
              <w:top w:val="nil"/>
              <w:bottom w:val="nil"/>
            </w:tcBorders>
          </w:tcPr>
          <w:p w:rsidR="00000000" w:rsidRDefault="00000000">
            <w:pPr>
              <w:pStyle w:val="a2"/>
              <w:tabs>
                <w:tab w:val="decimal" w:pos="587"/>
              </w:tabs>
              <w:spacing w:line="280" w:lineRule="exact"/>
            </w:pPr>
            <w:r>
              <w:t>0.1</w:t>
            </w:r>
          </w:p>
        </w:tc>
        <w:tc>
          <w:tcPr>
            <w:tcW w:w="502" w:type="pct"/>
            <w:tcBorders>
              <w:top w:val="nil"/>
              <w:bottom w:val="nil"/>
            </w:tcBorders>
          </w:tcPr>
          <w:p w:rsidR="00000000" w:rsidRDefault="00000000">
            <w:pPr>
              <w:pStyle w:val="a2"/>
              <w:tabs>
                <w:tab w:val="decimal" w:pos="587"/>
              </w:tabs>
              <w:spacing w:line="280" w:lineRule="exact"/>
            </w:pPr>
            <w:r>
              <w:t>0.1</w:t>
            </w:r>
          </w:p>
        </w:tc>
        <w:tc>
          <w:tcPr>
            <w:tcW w:w="549" w:type="pct"/>
            <w:tcBorders>
              <w:top w:val="nil"/>
              <w:bottom w:val="nil"/>
            </w:tcBorders>
          </w:tcPr>
          <w:p w:rsidR="00000000" w:rsidRDefault="00000000">
            <w:pPr>
              <w:pStyle w:val="a2"/>
              <w:tabs>
                <w:tab w:val="decimal" w:pos="587"/>
              </w:tabs>
              <w:spacing w:line="280" w:lineRule="exact"/>
            </w:pPr>
            <w:r>
              <w:t>0.3</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after="180" w:line="280" w:lineRule="exact"/>
              <w:ind w:right="-402"/>
              <w:rPr>
                <w:rFonts w:hint="eastAsia"/>
              </w:rPr>
            </w:pPr>
            <w:r>
              <w:rPr>
                <w:rFonts w:hint="eastAsia"/>
              </w:rPr>
              <w:t>土耳其语</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2" w:type="pct"/>
            <w:tcBorders>
              <w:top w:val="nil"/>
              <w:bottom w:val="nil"/>
            </w:tcBorders>
          </w:tcPr>
          <w:p w:rsidR="00000000" w:rsidRDefault="00000000">
            <w:pPr>
              <w:pStyle w:val="a2"/>
              <w:tabs>
                <w:tab w:val="decimal" w:pos="587"/>
              </w:tabs>
              <w:spacing w:after="180" w:line="280" w:lineRule="exact"/>
            </w:pPr>
            <w:r>
              <w:t>-</w:t>
            </w:r>
          </w:p>
        </w:tc>
        <w:tc>
          <w:tcPr>
            <w:tcW w:w="501" w:type="pct"/>
            <w:tcBorders>
              <w:top w:val="nil"/>
              <w:bottom w:val="nil"/>
            </w:tcBorders>
          </w:tcPr>
          <w:p w:rsidR="00000000" w:rsidRDefault="00000000">
            <w:pPr>
              <w:pStyle w:val="a2"/>
              <w:tabs>
                <w:tab w:val="decimal" w:pos="587"/>
              </w:tabs>
              <w:spacing w:after="180" w:line="280" w:lineRule="exact"/>
            </w:pPr>
            <w:r>
              <w:t>-</w:t>
            </w:r>
          </w:p>
        </w:tc>
        <w:tc>
          <w:tcPr>
            <w:tcW w:w="502" w:type="pct"/>
            <w:tcBorders>
              <w:top w:val="nil"/>
              <w:bottom w:val="nil"/>
            </w:tcBorders>
          </w:tcPr>
          <w:p w:rsidR="00000000" w:rsidRDefault="00000000">
            <w:pPr>
              <w:pStyle w:val="a2"/>
              <w:tabs>
                <w:tab w:val="decimal" w:pos="587"/>
              </w:tabs>
              <w:spacing w:after="180" w:line="280" w:lineRule="exact"/>
            </w:pPr>
            <w:r>
              <w:t>-</w:t>
            </w:r>
          </w:p>
        </w:tc>
        <w:tc>
          <w:tcPr>
            <w:tcW w:w="501" w:type="pct"/>
            <w:tcBorders>
              <w:top w:val="nil"/>
              <w:bottom w:val="nil"/>
            </w:tcBorders>
          </w:tcPr>
          <w:p w:rsidR="00000000" w:rsidRDefault="00000000">
            <w:pPr>
              <w:pStyle w:val="a2"/>
              <w:tabs>
                <w:tab w:val="decimal" w:pos="587"/>
              </w:tabs>
              <w:spacing w:after="180" w:line="280" w:lineRule="exact"/>
            </w:pPr>
            <w:r>
              <w:t>0.1</w:t>
            </w:r>
          </w:p>
        </w:tc>
        <w:tc>
          <w:tcPr>
            <w:tcW w:w="502" w:type="pct"/>
            <w:tcBorders>
              <w:top w:val="nil"/>
              <w:bottom w:val="nil"/>
            </w:tcBorders>
          </w:tcPr>
          <w:p w:rsidR="00000000" w:rsidRDefault="00000000">
            <w:pPr>
              <w:pStyle w:val="a2"/>
              <w:tabs>
                <w:tab w:val="decimal" w:pos="587"/>
              </w:tabs>
              <w:spacing w:after="180" w:line="280" w:lineRule="exact"/>
            </w:pPr>
            <w:r>
              <w:t>0.2</w:t>
            </w:r>
          </w:p>
        </w:tc>
        <w:tc>
          <w:tcPr>
            <w:tcW w:w="549" w:type="pct"/>
            <w:tcBorders>
              <w:top w:val="nil"/>
              <w:bottom w:val="nil"/>
            </w:tcBorders>
          </w:tcPr>
          <w:p w:rsidR="00000000" w:rsidRDefault="00000000">
            <w:pPr>
              <w:pStyle w:val="a2"/>
              <w:tabs>
                <w:tab w:val="decimal" w:pos="587"/>
              </w:tabs>
              <w:spacing w:after="180" w:line="280" w:lineRule="exact"/>
            </w:pPr>
            <w:r>
              <w:t>-</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3"/>
              <w:rPr>
                <w:spacing w:val="-2"/>
              </w:rPr>
            </w:pPr>
            <w:r>
              <w:rPr>
                <w:rFonts w:hint="eastAsia"/>
                <w:spacing w:val="-2"/>
              </w:rPr>
              <w:t>把母语作为一门功</w:t>
            </w:r>
            <w:r>
              <w:rPr>
                <w:spacing w:val="-2"/>
              </w:rPr>
              <w:br/>
            </w:r>
            <w:r>
              <w:rPr>
                <w:rFonts w:hint="eastAsia"/>
                <w:spacing w:val="-2"/>
              </w:rPr>
              <w:t>课学习的学生总数：</w:t>
            </w:r>
          </w:p>
        </w:tc>
        <w:tc>
          <w:tcPr>
            <w:tcW w:w="501" w:type="pct"/>
            <w:tcBorders>
              <w:top w:val="nil"/>
              <w:bottom w:val="nil"/>
            </w:tcBorders>
          </w:tcPr>
          <w:p w:rsidR="00000000" w:rsidRDefault="00000000">
            <w:pPr>
              <w:pStyle w:val="a2"/>
              <w:tabs>
                <w:tab w:val="decimal" w:pos="587"/>
              </w:tabs>
              <w:spacing w:after="180" w:line="280" w:lineRule="exact"/>
            </w:pPr>
          </w:p>
        </w:tc>
        <w:tc>
          <w:tcPr>
            <w:tcW w:w="501" w:type="pct"/>
            <w:tcBorders>
              <w:top w:val="nil"/>
              <w:bottom w:val="nil"/>
            </w:tcBorders>
          </w:tcPr>
          <w:p w:rsidR="00000000" w:rsidRDefault="00000000">
            <w:pPr>
              <w:pStyle w:val="a2"/>
              <w:tabs>
                <w:tab w:val="decimal" w:pos="587"/>
              </w:tabs>
              <w:spacing w:after="180" w:line="280" w:lineRule="exact"/>
            </w:pPr>
          </w:p>
        </w:tc>
        <w:tc>
          <w:tcPr>
            <w:tcW w:w="502" w:type="pct"/>
            <w:tcBorders>
              <w:top w:val="nil"/>
              <w:bottom w:val="nil"/>
            </w:tcBorders>
          </w:tcPr>
          <w:p w:rsidR="00000000" w:rsidRDefault="00000000">
            <w:pPr>
              <w:pStyle w:val="a2"/>
              <w:tabs>
                <w:tab w:val="decimal" w:pos="587"/>
              </w:tabs>
              <w:spacing w:after="180" w:line="280" w:lineRule="exact"/>
            </w:pPr>
          </w:p>
        </w:tc>
        <w:tc>
          <w:tcPr>
            <w:tcW w:w="501" w:type="pct"/>
            <w:tcBorders>
              <w:top w:val="nil"/>
              <w:bottom w:val="nil"/>
            </w:tcBorders>
          </w:tcPr>
          <w:p w:rsidR="00000000" w:rsidRDefault="00000000">
            <w:pPr>
              <w:pStyle w:val="a2"/>
              <w:tabs>
                <w:tab w:val="decimal" w:pos="587"/>
              </w:tabs>
              <w:spacing w:after="180" w:line="280" w:lineRule="exact"/>
            </w:pPr>
          </w:p>
        </w:tc>
        <w:tc>
          <w:tcPr>
            <w:tcW w:w="502" w:type="pct"/>
            <w:tcBorders>
              <w:top w:val="nil"/>
              <w:bottom w:val="nil"/>
            </w:tcBorders>
          </w:tcPr>
          <w:p w:rsidR="00000000" w:rsidRDefault="00000000">
            <w:pPr>
              <w:pStyle w:val="a2"/>
              <w:tabs>
                <w:tab w:val="decimal" w:pos="587"/>
              </w:tabs>
              <w:spacing w:after="180" w:line="280" w:lineRule="exact"/>
            </w:pPr>
          </w:p>
        </w:tc>
        <w:tc>
          <w:tcPr>
            <w:tcW w:w="501" w:type="pct"/>
            <w:tcBorders>
              <w:top w:val="nil"/>
              <w:bottom w:val="nil"/>
            </w:tcBorders>
          </w:tcPr>
          <w:p w:rsidR="00000000" w:rsidRDefault="00000000">
            <w:pPr>
              <w:pStyle w:val="a2"/>
              <w:tabs>
                <w:tab w:val="decimal" w:pos="587"/>
              </w:tabs>
              <w:spacing w:after="180" w:line="280" w:lineRule="exact"/>
            </w:pPr>
          </w:p>
        </w:tc>
        <w:tc>
          <w:tcPr>
            <w:tcW w:w="502" w:type="pct"/>
            <w:tcBorders>
              <w:top w:val="nil"/>
              <w:bottom w:val="nil"/>
            </w:tcBorders>
          </w:tcPr>
          <w:p w:rsidR="00000000" w:rsidRDefault="00000000">
            <w:pPr>
              <w:pStyle w:val="a2"/>
              <w:tabs>
                <w:tab w:val="decimal" w:pos="587"/>
              </w:tabs>
              <w:spacing w:after="180" w:line="280" w:lineRule="exact"/>
            </w:pPr>
          </w:p>
        </w:tc>
        <w:tc>
          <w:tcPr>
            <w:tcW w:w="549" w:type="pct"/>
            <w:tcBorders>
              <w:top w:val="nil"/>
              <w:bottom w:val="nil"/>
            </w:tcBorders>
          </w:tcPr>
          <w:p w:rsidR="00000000" w:rsidRDefault="00000000">
            <w:pPr>
              <w:pStyle w:val="a2"/>
              <w:tabs>
                <w:tab w:val="decimal" w:pos="587"/>
              </w:tabs>
              <w:spacing w:after="180" w:line="280" w:lineRule="exact"/>
            </w:pP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3"/>
              <w:rPr>
                <w:rFonts w:hint="eastAsia"/>
              </w:rPr>
            </w:pPr>
            <w:r>
              <w:t>Gagauz</w:t>
            </w:r>
            <w:r>
              <w:rPr>
                <w:rFonts w:hint="eastAsia"/>
              </w:rPr>
              <w:t>语</w:t>
            </w:r>
          </w:p>
        </w:tc>
        <w:tc>
          <w:tcPr>
            <w:tcW w:w="501" w:type="pct"/>
            <w:tcBorders>
              <w:top w:val="nil"/>
              <w:bottom w:val="nil"/>
            </w:tcBorders>
          </w:tcPr>
          <w:p w:rsidR="00000000" w:rsidRDefault="00000000">
            <w:pPr>
              <w:pStyle w:val="a2"/>
              <w:tabs>
                <w:tab w:val="decimal" w:pos="587"/>
              </w:tabs>
              <w:spacing w:line="280" w:lineRule="exact"/>
            </w:pPr>
            <w:r>
              <w:t>25.7</w:t>
            </w:r>
          </w:p>
        </w:tc>
        <w:tc>
          <w:tcPr>
            <w:tcW w:w="501" w:type="pct"/>
            <w:tcBorders>
              <w:top w:val="nil"/>
              <w:bottom w:val="nil"/>
            </w:tcBorders>
          </w:tcPr>
          <w:p w:rsidR="00000000" w:rsidRDefault="00000000">
            <w:pPr>
              <w:pStyle w:val="a2"/>
              <w:tabs>
                <w:tab w:val="decimal" w:pos="587"/>
              </w:tabs>
              <w:spacing w:line="280" w:lineRule="exact"/>
            </w:pPr>
            <w:r>
              <w:t>19.9</w:t>
            </w:r>
          </w:p>
        </w:tc>
        <w:tc>
          <w:tcPr>
            <w:tcW w:w="502" w:type="pct"/>
            <w:tcBorders>
              <w:top w:val="nil"/>
              <w:bottom w:val="nil"/>
            </w:tcBorders>
          </w:tcPr>
          <w:p w:rsidR="00000000" w:rsidRDefault="00000000">
            <w:pPr>
              <w:pStyle w:val="a2"/>
              <w:tabs>
                <w:tab w:val="decimal" w:pos="587"/>
              </w:tabs>
              <w:spacing w:line="280" w:lineRule="exact"/>
            </w:pPr>
            <w:r>
              <w:t>31.3</w:t>
            </w:r>
          </w:p>
        </w:tc>
        <w:tc>
          <w:tcPr>
            <w:tcW w:w="501" w:type="pct"/>
            <w:tcBorders>
              <w:top w:val="nil"/>
              <w:bottom w:val="nil"/>
            </w:tcBorders>
          </w:tcPr>
          <w:p w:rsidR="00000000" w:rsidRDefault="00000000">
            <w:pPr>
              <w:pStyle w:val="a2"/>
              <w:tabs>
                <w:tab w:val="decimal" w:pos="587"/>
              </w:tabs>
              <w:spacing w:line="280" w:lineRule="exact"/>
            </w:pPr>
            <w:r>
              <w:t>29.2</w:t>
            </w:r>
          </w:p>
        </w:tc>
        <w:tc>
          <w:tcPr>
            <w:tcW w:w="502" w:type="pct"/>
            <w:tcBorders>
              <w:top w:val="nil"/>
              <w:bottom w:val="nil"/>
            </w:tcBorders>
          </w:tcPr>
          <w:p w:rsidR="00000000" w:rsidRDefault="00000000">
            <w:pPr>
              <w:pStyle w:val="a2"/>
              <w:tabs>
                <w:tab w:val="decimal" w:pos="587"/>
              </w:tabs>
              <w:spacing w:line="280" w:lineRule="exact"/>
            </w:pPr>
            <w:r>
              <w:t>32.1</w:t>
            </w:r>
          </w:p>
        </w:tc>
        <w:tc>
          <w:tcPr>
            <w:tcW w:w="501" w:type="pct"/>
            <w:tcBorders>
              <w:top w:val="nil"/>
              <w:bottom w:val="nil"/>
            </w:tcBorders>
          </w:tcPr>
          <w:p w:rsidR="00000000" w:rsidRDefault="00000000">
            <w:pPr>
              <w:pStyle w:val="a2"/>
              <w:tabs>
                <w:tab w:val="decimal" w:pos="587"/>
              </w:tabs>
              <w:spacing w:line="280" w:lineRule="exact"/>
            </w:pPr>
            <w:r>
              <w:t>31.8</w:t>
            </w:r>
          </w:p>
        </w:tc>
        <w:tc>
          <w:tcPr>
            <w:tcW w:w="502" w:type="pct"/>
            <w:tcBorders>
              <w:top w:val="nil"/>
              <w:bottom w:val="nil"/>
            </w:tcBorders>
          </w:tcPr>
          <w:p w:rsidR="00000000" w:rsidRDefault="00000000">
            <w:pPr>
              <w:pStyle w:val="a2"/>
              <w:tabs>
                <w:tab w:val="decimal" w:pos="587"/>
              </w:tabs>
              <w:spacing w:line="280" w:lineRule="exact"/>
            </w:pPr>
            <w:r>
              <w:t>32.2</w:t>
            </w:r>
          </w:p>
        </w:tc>
        <w:tc>
          <w:tcPr>
            <w:tcW w:w="549" w:type="pct"/>
            <w:tcBorders>
              <w:top w:val="nil"/>
              <w:bottom w:val="nil"/>
            </w:tcBorders>
          </w:tcPr>
          <w:p w:rsidR="00000000" w:rsidRDefault="00000000">
            <w:pPr>
              <w:pStyle w:val="a2"/>
              <w:tabs>
                <w:tab w:val="decimal" w:pos="587"/>
              </w:tabs>
              <w:spacing w:line="280" w:lineRule="exact"/>
            </w:pPr>
            <w:r>
              <w:t>27.3</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2"/>
              <w:rPr>
                <w:rFonts w:hint="eastAsia"/>
              </w:rPr>
            </w:pPr>
            <w:r>
              <w:rPr>
                <w:rFonts w:hint="eastAsia"/>
              </w:rPr>
              <w:t>保加利亚语</w:t>
            </w:r>
          </w:p>
        </w:tc>
        <w:tc>
          <w:tcPr>
            <w:tcW w:w="501" w:type="pct"/>
            <w:tcBorders>
              <w:top w:val="nil"/>
              <w:bottom w:val="nil"/>
            </w:tcBorders>
          </w:tcPr>
          <w:p w:rsidR="00000000" w:rsidRDefault="00000000">
            <w:pPr>
              <w:pStyle w:val="a2"/>
              <w:tabs>
                <w:tab w:val="decimal" w:pos="587"/>
              </w:tabs>
              <w:spacing w:line="280" w:lineRule="exact"/>
            </w:pPr>
            <w:r>
              <w:t>6.9</w:t>
            </w:r>
          </w:p>
        </w:tc>
        <w:tc>
          <w:tcPr>
            <w:tcW w:w="501" w:type="pct"/>
            <w:tcBorders>
              <w:top w:val="nil"/>
              <w:bottom w:val="nil"/>
            </w:tcBorders>
          </w:tcPr>
          <w:p w:rsidR="00000000" w:rsidRDefault="00000000">
            <w:pPr>
              <w:pStyle w:val="a2"/>
              <w:tabs>
                <w:tab w:val="decimal" w:pos="587"/>
              </w:tabs>
              <w:spacing w:line="280" w:lineRule="exact"/>
            </w:pPr>
            <w:r>
              <w:t>6.1</w:t>
            </w:r>
          </w:p>
        </w:tc>
        <w:tc>
          <w:tcPr>
            <w:tcW w:w="502" w:type="pct"/>
            <w:tcBorders>
              <w:top w:val="nil"/>
              <w:bottom w:val="nil"/>
            </w:tcBorders>
          </w:tcPr>
          <w:p w:rsidR="00000000" w:rsidRDefault="00000000">
            <w:pPr>
              <w:pStyle w:val="a2"/>
              <w:tabs>
                <w:tab w:val="decimal" w:pos="587"/>
              </w:tabs>
              <w:spacing w:line="280" w:lineRule="exact"/>
            </w:pPr>
            <w:r>
              <w:t>6.8</w:t>
            </w:r>
          </w:p>
        </w:tc>
        <w:tc>
          <w:tcPr>
            <w:tcW w:w="501" w:type="pct"/>
            <w:tcBorders>
              <w:top w:val="nil"/>
              <w:bottom w:val="nil"/>
            </w:tcBorders>
          </w:tcPr>
          <w:p w:rsidR="00000000" w:rsidRDefault="00000000">
            <w:pPr>
              <w:pStyle w:val="a2"/>
              <w:tabs>
                <w:tab w:val="decimal" w:pos="587"/>
              </w:tabs>
              <w:spacing w:line="280" w:lineRule="exact"/>
            </w:pPr>
            <w:r>
              <w:t>7.1</w:t>
            </w:r>
          </w:p>
        </w:tc>
        <w:tc>
          <w:tcPr>
            <w:tcW w:w="502" w:type="pct"/>
            <w:tcBorders>
              <w:top w:val="nil"/>
              <w:bottom w:val="nil"/>
            </w:tcBorders>
          </w:tcPr>
          <w:p w:rsidR="00000000" w:rsidRDefault="00000000">
            <w:pPr>
              <w:pStyle w:val="a2"/>
              <w:tabs>
                <w:tab w:val="decimal" w:pos="587"/>
              </w:tabs>
              <w:spacing w:line="280" w:lineRule="exact"/>
            </w:pPr>
            <w:r>
              <w:t>7.8</w:t>
            </w:r>
          </w:p>
        </w:tc>
        <w:tc>
          <w:tcPr>
            <w:tcW w:w="501" w:type="pct"/>
            <w:tcBorders>
              <w:top w:val="nil"/>
              <w:bottom w:val="nil"/>
            </w:tcBorders>
          </w:tcPr>
          <w:p w:rsidR="00000000" w:rsidRDefault="00000000">
            <w:pPr>
              <w:pStyle w:val="a2"/>
              <w:tabs>
                <w:tab w:val="decimal" w:pos="587"/>
              </w:tabs>
              <w:spacing w:line="280" w:lineRule="exact"/>
            </w:pPr>
            <w:r>
              <w:t>8.3</w:t>
            </w:r>
          </w:p>
        </w:tc>
        <w:tc>
          <w:tcPr>
            <w:tcW w:w="502" w:type="pct"/>
            <w:tcBorders>
              <w:top w:val="nil"/>
              <w:bottom w:val="nil"/>
            </w:tcBorders>
          </w:tcPr>
          <w:p w:rsidR="00000000" w:rsidRDefault="00000000">
            <w:pPr>
              <w:pStyle w:val="a2"/>
              <w:tabs>
                <w:tab w:val="decimal" w:pos="587"/>
              </w:tabs>
              <w:spacing w:line="280" w:lineRule="exact"/>
            </w:pPr>
            <w:r>
              <w:t>7.8</w:t>
            </w:r>
          </w:p>
        </w:tc>
        <w:tc>
          <w:tcPr>
            <w:tcW w:w="549" w:type="pct"/>
            <w:tcBorders>
              <w:top w:val="nil"/>
              <w:bottom w:val="nil"/>
            </w:tcBorders>
          </w:tcPr>
          <w:p w:rsidR="00000000" w:rsidRDefault="00000000">
            <w:pPr>
              <w:pStyle w:val="a2"/>
              <w:tabs>
                <w:tab w:val="decimal" w:pos="587"/>
              </w:tabs>
              <w:spacing w:line="280" w:lineRule="exact"/>
            </w:pPr>
            <w:r>
              <w:t>7.5</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after="180" w:line="280" w:lineRule="exact"/>
              <w:ind w:right="-402"/>
              <w:rPr>
                <w:rFonts w:hint="eastAsia"/>
              </w:rPr>
            </w:pPr>
            <w:r>
              <w:rPr>
                <w:rFonts w:hint="eastAsia"/>
              </w:rPr>
              <w:t>乌克兰语</w:t>
            </w:r>
          </w:p>
        </w:tc>
        <w:tc>
          <w:tcPr>
            <w:tcW w:w="501" w:type="pct"/>
            <w:tcBorders>
              <w:top w:val="nil"/>
              <w:bottom w:val="nil"/>
            </w:tcBorders>
          </w:tcPr>
          <w:p w:rsidR="00000000" w:rsidRDefault="00000000">
            <w:pPr>
              <w:pStyle w:val="a2"/>
              <w:tabs>
                <w:tab w:val="decimal" w:pos="587"/>
              </w:tabs>
              <w:spacing w:after="180" w:line="280" w:lineRule="exact"/>
            </w:pPr>
            <w:r>
              <w:t>1.3</w:t>
            </w:r>
          </w:p>
        </w:tc>
        <w:tc>
          <w:tcPr>
            <w:tcW w:w="501" w:type="pct"/>
            <w:tcBorders>
              <w:top w:val="nil"/>
              <w:bottom w:val="nil"/>
            </w:tcBorders>
          </w:tcPr>
          <w:p w:rsidR="00000000" w:rsidRDefault="00000000">
            <w:pPr>
              <w:pStyle w:val="a2"/>
              <w:tabs>
                <w:tab w:val="decimal" w:pos="587"/>
              </w:tabs>
              <w:spacing w:after="180" w:line="280" w:lineRule="exact"/>
            </w:pPr>
            <w:r>
              <w:t>0.6</w:t>
            </w:r>
          </w:p>
        </w:tc>
        <w:tc>
          <w:tcPr>
            <w:tcW w:w="502" w:type="pct"/>
            <w:tcBorders>
              <w:top w:val="nil"/>
              <w:bottom w:val="nil"/>
            </w:tcBorders>
          </w:tcPr>
          <w:p w:rsidR="00000000" w:rsidRDefault="00000000">
            <w:pPr>
              <w:pStyle w:val="a2"/>
              <w:tabs>
                <w:tab w:val="decimal" w:pos="587"/>
              </w:tabs>
              <w:spacing w:after="180" w:line="280" w:lineRule="exact"/>
            </w:pPr>
            <w:r>
              <w:t>1.3</w:t>
            </w:r>
          </w:p>
        </w:tc>
        <w:tc>
          <w:tcPr>
            <w:tcW w:w="501" w:type="pct"/>
            <w:tcBorders>
              <w:top w:val="nil"/>
              <w:bottom w:val="nil"/>
            </w:tcBorders>
          </w:tcPr>
          <w:p w:rsidR="00000000" w:rsidRDefault="00000000">
            <w:pPr>
              <w:pStyle w:val="a2"/>
              <w:tabs>
                <w:tab w:val="decimal" w:pos="587"/>
              </w:tabs>
              <w:spacing w:after="180" w:line="280" w:lineRule="exact"/>
            </w:pPr>
            <w:r>
              <w:t>1.8</w:t>
            </w:r>
          </w:p>
        </w:tc>
        <w:tc>
          <w:tcPr>
            <w:tcW w:w="502" w:type="pct"/>
            <w:tcBorders>
              <w:top w:val="nil"/>
              <w:bottom w:val="nil"/>
            </w:tcBorders>
          </w:tcPr>
          <w:p w:rsidR="00000000" w:rsidRDefault="00000000">
            <w:pPr>
              <w:pStyle w:val="a2"/>
              <w:tabs>
                <w:tab w:val="decimal" w:pos="587"/>
              </w:tabs>
              <w:spacing w:after="180" w:line="280" w:lineRule="exact"/>
            </w:pPr>
            <w:r>
              <w:t>2.4</w:t>
            </w:r>
          </w:p>
        </w:tc>
        <w:tc>
          <w:tcPr>
            <w:tcW w:w="501" w:type="pct"/>
            <w:tcBorders>
              <w:top w:val="nil"/>
              <w:bottom w:val="nil"/>
            </w:tcBorders>
          </w:tcPr>
          <w:p w:rsidR="00000000" w:rsidRDefault="00000000">
            <w:pPr>
              <w:pStyle w:val="a2"/>
              <w:tabs>
                <w:tab w:val="decimal" w:pos="587"/>
              </w:tabs>
              <w:spacing w:after="180" w:line="280" w:lineRule="exact"/>
            </w:pPr>
            <w:r>
              <w:t>2.9</w:t>
            </w:r>
          </w:p>
        </w:tc>
        <w:tc>
          <w:tcPr>
            <w:tcW w:w="502" w:type="pct"/>
            <w:tcBorders>
              <w:top w:val="nil"/>
              <w:bottom w:val="nil"/>
            </w:tcBorders>
          </w:tcPr>
          <w:p w:rsidR="00000000" w:rsidRDefault="00000000">
            <w:pPr>
              <w:pStyle w:val="a2"/>
              <w:tabs>
                <w:tab w:val="decimal" w:pos="587"/>
              </w:tabs>
              <w:spacing w:after="180" w:line="280" w:lineRule="exact"/>
            </w:pPr>
            <w:r>
              <w:t>2.3</w:t>
            </w:r>
          </w:p>
        </w:tc>
        <w:tc>
          <w:tcPr>
            <w:tcW w:w="549" w:type="pct"/>
            <w:tcBorders>
              <w:top w:val="nil"/>
              <w:bottom w:val="nil"/>
            </w:tcBorders>
          </w:tcPr>
          <w:p w:rsidR="00000000" w:rsidRDefault="00000000">
            <w:pPr>
              <w:pStyle w:val="a2"/>
              <w:tabs>
                <w:tab w:val="decimal" w:pos="587"/>
              </w:tabs>
              <w:spacing w:after="180" w:line="280" w:lineRule="exact"/>
            </w:pPr>
            <w:r>
              <w:t>5.9</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2"/>
              <w:rPr>
                <w:rFonts w:hint="eastAsia"/>
              </w:rPr>
            </w:pPr>
            <w:r>
              <w:rPr>
                <w:rFonts w:hint="eastAsia"/>
              </w:rPr>
              <w:t>波兰语</w:t>
            </w:r>
          </w:p>
        </w:tc>
        <w:tc>
          <w:tcPr>
            <w:tcW w:w="501" w:type="pct"/>
            <w:tcBorders>
              <w:top w:val="nil"/>
              <w:bottom w:val="nil"/>
            </w:tcBorders>
          </w:tcPr>
          <w:p w:rsidR="00000000" w:rsidRDefault="00000000">
            <w:pPr>
              <w:pStyle w:val="a2"/>
              <w:tabs>
                <w:tab w:val="decimal" w:pos="587"/>
              </w:tabs>
              <w:spacing w:line="280" w:lineRule="exact"/>
            </w:pPr>
            <w:r>
              <w:t>0.02</w:t>
            </w:r>
          </w:p>
        </w:tc>
        <w:tc>
          <w:tcPr>
            <w:tcW w:w="501" w:type="pct"/>
            <w:tcBorders>
              <w:top w:val="nil"/>
              <w:bottom w:val="nil"/>
            </w:tcBorders>
          </w:tcPr>
          <w:p w:rsidR="00000000" w:rsidRDefault="00000000">
            <w:pPr>
              <w:pStyle w:val="a2"/>
              <w:tabs>
                <w:tab w:val="decimal" w:pos="587"/>
              </w:tabs>
              <w:spacing w:line="280" w:lineRule="exact"/>
            </w:pPr>
            <w:r>
              <w:t>0.03</w:t>
            </w:r>
          </w:p>
        </w:tc>
        <w:tc>
          <w:tcPr>
            <w:tcW w:w="502" w:type="pct"/>
            <w:tcBorders>
              <w:top w:val="nil"/>
              <w:bottom w:val="nil"/>
            </w:tcBorders>
          </w:tcPr>
          <w:p w:rsidR="00000000" w:rsidRDefault="00000000">
            <w:pPr>
              <w:pStyle w:val="a2"/>
              <w:tabs>
                <w:tab w:val="decimal" w:pos="587"/>
              </w:tabs>
              <w:spacing w:line="280" w:lineRule="exact"/>
            </w:pPr>
            <w:r>
              <w:t>0.04</w:t>
            </w:r>
          </w:p>
        </w:tc>
        <w:tc>
          <w:tcPr>
            <w:tcW w:w="501" w:type="pct"/>
            <w:tcBorders>
              <w:top w:val="nil"/>
              <w:bottom w:val="nil"/>
            </w:tcBorders>
          </w:tcPr>
          <w:p w:rsidR="00000000" w:rsidRDefault="00000000">
            <w:pPr>
              <w:pStyle w:val="a2"/>
              <w:tabs>
                <w:tab w:val="decimal" w:pos="587"/>
              </w:tabs>
              <w:spacing w:line="280" w:lineRule="exact"/>
            </w:pPr>
            <w:r>
              <w:t>0.06</w:t>
            </w:r>
          </w:p>
        </w:tc>
        <w:tc>
          <w:tcPr>
            <w:tcW w:w="502" w:type="pct"/>
            <w:tcBorders>
              <w:top w:val="nil"/>
              <w:bottom w:val="nil"/>
            </w:tcBorders>
          </w:tcPr>
          <w:p w:rsidR="00000000" w:rsidRDefault="00000000">
            <w:pPr>
              <w:pStyle w:val="a2"/>
              <w:tabs>
                <w:tab w:val="decimal" w:pos="587"/>
              </w:tabs>
              <w:spacing w:line="280" w:lineRule="exact"/>
            </w:pPr>
            <w:r>
              <w:t>0.06</w:t>
            </w:r>
          </w:p>
        </w:tc>
        <w:tc>
          <w:tcPr>
            <w:tcW w:w="501" w:type="pct"/>
            <w:tcBorders>
              <w:top w:val="nil"/>
              <w:bottom w:val="nil"/>
            </w:tcBorders>
          </w:tcPr>
          <w:p w:rsidR="00000000" w:rsidRDefault="00000000">
            <w:pPr>
              <w:pStyle w:val="a2"/>
              <w:tabs>
                <w:tab w:val="decimal" w:pos="587"/>
              </w:tabs>
              <w:spacing w:line="280" w:lineRule="exact"/>
            </w:pPr>
            <w:r>
              <w:t>0.04</w:t>
            </w:r>
          </w:p>
        </w:tc>
        <w:tc>
          <w:tcPr>
            <w:tcW w:w="502" w:type="pct"/>
            <w:tcBorders>
              <w:top w:val="nil"/>
              <w:bottom w:val="nil"/>
            </w:tcBorders>
          </w:tcPr>
          <w:p w:rsidR="00000000" w:rsidRDefault="00000000">
            <w:pPr>
              <w:pStyle w:val="a2"/>
              <w:tabs>
                <w:tab w:val="decimal" w:pos="587"/>
              </w:tabs>
              <w:spacing w:line="280" w:lineRule="exact"/>
            </w:pPr>
            <w:r>
              <w:t>0.1</w:t>
            </w:r>
          </w:p>
        </w:tc>
        <w:tc>
          <w:tcPr>
            <w:tcW w:w="549" w:type="pct"/>
            <w:tcBorders>
              <w:top w:val="nil"/>
              <w:bottom w:val="nil"/>
            </w:tcBorders>
          </w:tcPr>
          <w:p w:rsidR="00000000" w:rsidRDefault="00000000">
            <w:pPr>
              <w:pStyle w:val="a2"/>
              <w:tabs>
                <w:tab w:val="decimal" w:pos="587"/>
              </w:tabs>
              <w:spacing w:line="280" w:lineRule="exact"/>
            </w:pPr>
            <w:r>
              <w:t>0.1</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2"/>
              <w:rPr>
                <w:rFonts w:hint="eastAsia"/>
              </w:rPr>
            </w:pPr>
            <w:r>
              <w:rPr>
                <w:rFonts w:hint="eastAsia"/>
              </w:rPr>
              <w:t>德语</w:t>
            </w:r>
          </w:p>
        </w:tc>
        <w:tc>
          <w:tcPr>
            <w:tcW w:w="501" w:type="pct"/>
            <w:tcBorders>
              <w:top w:val="nil"/>
              <w:bottom w:val="nil"/>
            </w:tcBorders>
          </w:tcPr>
          <w:p w:rsidR="00000000" w:rsidRDefault="00000000">
            <w:pPr>
              <w:pStyle w:val="a2"/>
              <w:tabs>
                <w:tab w:val="decimal" w:pos="587"/>
              </w:tabs>
              <w:spacing w:line="280" w:lineRule="exact"/>
            </w:pPr>
            <w:r>
              <w:t>-</w:t>
            </w:r>
          </w:p>
        </w:tc>
        <w:tc>
          <w:tcPr>
            <w:tcW w:w="501" w:type="pct"/>
            <w:tcBorders>
              <w:top w:val="nil"/>
              <w:bottom w:val="nil"/>
            </w:tcBorders>
          </w:tcPr>
          <w:p w:rsidR="00000000" w:rsidRDefault="00000000">
            <w:pPr>
              <w:pStyle w:val="a2"/>
              <w:tabs>
                <w:tab w:val="decimal" w:pos="587"/>
              </w:tabs>
              <w:spacing w:line="280" w:lineRule="exact"/>
            </w:pPr>
            <w:r>
              <w:t>0.05</w:t>
            </w:r>
          </w:p>
        </w:tc>
        <w:tc>
          <w:tcPr>
            <w:tcW w:w="502" w:type="pct"/>
            <w:tcBorders>
              <w:top w:val="nil"/>
              <w:bottom w:val="nil"/>
            </w:tcBorders>
          </w:tcPr>
          <w:p w:rsidR="00000000" w:rsidRDefault="00000000">
            <w:pPr>
              <w:pStyle w:val="a2"/>
              <w:tabs>
                <w:tab w:val="decimal" w:pos="587"/>
              </w:tabs>
              <w:spacing w:line="280" w:lineRule="exact"/>
            </w:pPr>
            <w:r>
              <w:t>0.1</w:t>
            </w:r>
          </w:p>
        </w:tc>
        <w:tc>
          <w:tcPr>
            <w:tcW w:w="501" w:type="pct"/>
            <w:tcBorders>
              <w:top w:val="nil"/>
              <w:bottom w:val="nil"/>
            </w:tcBorders>
          </w:tcPr>
          <w:p w:rsidR="00000000" w:rsidRDefault="00000000">
            <w:pPr>
              <w:pStyle w:val="a2"/>
              <w:tabs>
                <w:tab w:val="decimal" w:pos="587"/>
              </w:tabs>
              <w:spacing w:line="280" w:lineRule="exact"/>
            </w:pPr>
            <w:r>
              <w:t>0.4</w:t>
            </w:r>
          </w:p>
        </w:tc>
        <w:tc>
          <w:tcPr>
            <w:tcW w:w="502" w:type="pct"/>
            <w:tcBorders>
              <w:top w:val="nil"/>
              <w:bottom w:val="nil"/>
            </w:tcBorders>
          </w:tcPr>
          <w:p w:rsidR="00000000" w:rsidRDefault="00000000">
            <w:pPr>
              <w:pStyle w:val="a2"/>
              <w:tabs>
                <w:tab w:val="decimal" w:pos="587"/>
              </w:tabs>
              <w:spacing w:line="280" w:lineRule="exact"/>
            </w:pPr>
            <w:r>
              <w:t>0.5</w:t>
            </w:r>
          </w:p>
        </w:tc>
        <w:tc>
          <w:tcPr>
            <w:tcW w:w="501" w:type="pct"/>
            <w:tcBorders>
              <w:top w:val="nil"/>
              <w:bottom w:val="nil"/>
            </w:tcBorders>
          </w:tcPr>
          <w:p w:rsidR="00000000" w:rsidRDefault="00000000">
            <w:pPr>
              <w:pStyle w:val="a2"/>
              <w:tabs>
                <w:tab w:val="decimal" w:pos="587"/>
              </w:tabs>
              <w:spacing w:line="280" w:lineRule="exact"/>
            </w:pPr>
            <w:r>
              <w:t>0.1</w:t>
            </w:r>
          </w:p>
        </w:tc>
        <w:tc>
          <w:tcPr>
            <w:tcW w:w="502" w:type="pct"/>
            <w:tcBorders>
              <w:top w:val="nil"/>
              <w:bottom w:val="nil"/>
            </w:tcBorders>
          </w:tcPr>
          <w:p w:rsidR="00000000" w:rsidRDefault="00000000">
            <w:pPr>
              <w:pStyle w:val="a2"/>
              <w:tabs>
                <w:tab w:val="decimal" w:pos="587"/>
              </w:tabs>
              <w:spacing w:line="280" w:lineRule="exact"/>
            </w:pPr>
            <w:r>
              <w:t>0.1</w:t>
            </w:r>
          </w:p>
        </w:tc>
        <w:tc>
          <w:tcPr>
            <w:tcW w:w="549" w:type="pct"/>
            <w:tcBorders>
              <w:top w:val="nil"/>
              <w:bottom w:val="nil"/>
            </w:tcBorders>
          </w:tcPr>
          <w:p w:rsidR="00000000" w:rsidRDefault="00000000">
            <w:pPr>
              <w:pStyle w:val="a2"/>
              <w:tabs>
                <w:tab w:val="decimal" w:pos="587"/>
              </w:tabs>
              <w:spacing w:line="280" w:lineRule="exact"/>
            </w:pPr>
            <w:r>
              <w:t>5.3</w:t>
            </w:r>
          </w:p>
        </w:tc>
      </w:tr>
      <w:tr w:rsidR="00000000">
        <w:tblPrEx>
          <w:tblCellMar>
            <w:top w:w="0" w:type="dxa"/>
            <w:bottom w:w="0" w:type="dxa"/>
          </w:tblCellMar>
        </w:tblPrEx>
        <w:trPr>
          <w:cantSplit/>
        </w:trPr>
        <w:tc>
          <w:tcPr>
            <w:tcW w:w="942" w:type="pct"/>
            <w:tcBorders>
              <w:top w:val="nil"/>
              <w:bottom w:val="nil"/>
            </w:tcBorders>
          </w:tcPr>
          <w:p w:rsidR="00000000" w:rsidRDefault="00000000">
            <w:pPr>
              <w:pStyle w:val="a2"/>
              <w:tabs>
                <w:tab w:val="decimal" w:pos="428"/>
              </w:tabs>
              <w:spacing w:line="280" w:lineRule="exact"/>
              <w:ind w:right="-402"/>
              <w:rPr>
                <w:rFonts w:hint="eastAsia"/>
              </w:rPr>
            </w:pPr>
            <w:r>
              <w:rPr>
                <w:rFonts w:hint="eastAsia"/>
              </w:rPr>
              <w:t>犹太语</w:t>
            </w:r>
          </w:p>
        </w:tc>
        <w:tc>
          <w:tcPr>
            <w:tcW w:w="501" w:type="pct"/>
            <w:tcBorders>
              <w:top w:val="nil"/>
              <w:bottom w:val="nil"/>
            </w:tcBorders>
          </w:tcPr>
          <w:p w:rsidR="00000000" w:rsidRDefault="00000000">
            <w:pPr>
              <w:pStyle w:val="a2"/>
              <w:tabs>
                <w:tab w:val="decimal" w:pos="587"/>
              </w:tabs>
              <w:spacing w:line="280" w:lineRule="exact"/>
            </w:pPr>
            <w:r>
              <w:t>0.4</w:t>
            </w:r>
          </w:p>
        </w:tc>
        <w:tc>
          <w:tcPr>
            <w:tcW w:w="501" w:type="pct"/>
            <w:tcBorders>
              <w:top w:val="nil"/>
              <w:bottom w:val="nil"/>
            </w:tcBorders>
          </w:tcPr>
          <w:p w:rsidR="00000000" w:rsidRDefault="00000000">
            <w:pPr>
              <w:pStyle w:val="a2"/>
              <w:tabs>
                <w:tab w:val="decimal" w:pos="587"/>
              </w:tabs>
              <w:spacing w:line="280" w:lineRule="exact"/>
            </w:pPr>
            <w:r>
              <w:t>0.5</w:t>
            </w:r>
          </w:p>
        </w:tc>
        <w:tc>
          <w:tcPr>
            <w:tcW w:w="502" w:type="pct"/>
            <w:tcBorders>
              <w:top w:val="nil"/>
              <w:bottom w:val="nil"/>
            </w:tcBorders>
          </w:tcPr>
          <w:p w:rsidR="00000000" w:rsidRDefault="00000000">
            <w:pPr>
              <w:pStyle w:val="a2"/>
              <w:tabs>
                <w:tab w:val="decimal" w:pos="587"/>
              </w:tabs>
              <w:spacing w:line="280" w:lineRule="exact"/>
            </w:pPr>
            <w:r>
              <w:t>0.5</w:t>
            </w:r>
          </w:p>
        </w:tc>
        <w:tc>
          <w:tcPr>
            <w:tcW w:w="501" w:type="pct"/>
            <w:tcBorders>
              <w:top w:val="nil"/>
              <w:bottom w:val="nil"/>
            </w:tcBorders>
          </w:tcPr>
          <w:p w:rsidR="00000000" w:rsidRDefault="00000000">
            <w:pPr>
              <w:pStyle w:val="a2"/>
              <w:tabs>
                <w:tab w:val="decimal" w:pos="587"/>
              </w:tabs>
              <w:spacing w:line="280" w:lineRule="exact"/>
            </w:pPr>
            <w:r>
              <w:t>0.3</w:t>
            </w:r>
          </w:p>
        </w:tc>
        <w:tc>
          <w:tcPr>
            <w:tcW w:w="502" w:type="pct"/>
            <w:tcBorders>
              <w:top w:val="nil"/>
              <w:bottom w:val="nil"/>
            </w:tcBorders>
          </w:tcPr>
          <w:p w:rsidR="00000000" w:rsidRDefault="00000000">
            <w:pPr>
              <w:pStyle w:val="a2"/>
              <w:tabs>
                <w:tab w:val="decimal" w:pos="587"/>
              </w:tabs>
              <w:spacing w:line="280" w:lineRule="exact"/>
            </w:pPr>
            <w:r>
              <w:t>0.5</w:t>
            </w:r>
          </w:p>
        </w:tc>
        <w:tc>
          <w:tcPr>
            <w:tcW w:w="501" w:type="pct"/>
            <w:tcBorders>
              <w:top w:val="nil"/>
              <w:bottom w:val="nil"/>
            </w:tcBorders>
          </w:tcPr>
          <w:p w:rsidR="00000000" w:rsidRDefault="00000000">
            <w:pPr>
              <w:pStyle w:val="a2"/>
              <w:tabs>
                <w:tab w:val="decimal" w:pos="587"/>
              </w:tabs>
              <w:spacing w:line="280" w:lineRule="exact"/>
            </w:pPr>
            <w:r>
              <w:t>0.6</w:t>
            </w:r>
          </w:p>
        </w:tc>
        <w:tc>
          <w:tcPr>
            <w:tcW w:w="502" w:type="pct"/>
            <w:tcBorders>
              <w:top w:val="nil"/>
              <w:bottom w:val="nil"/>
            </w:tcBorders>
          </w:tcPr>
          <w:p w:rsidR="00000000" w:rsidRDefault="00000000">
            <w:pPr>
              <w:pStyle w:val="a2"/>
              <w:tabs>
                <w:tab w:val="decimal" w:pos="587"/>
              </w:tabs>
              <w:spacing w:line="280" w:lineRule="exact"/>
            </w:pPr>
            <w:r>
              <w:t>0.6</w:t>
            </w:r>
          </w:p>
        </w:tc>
        <w:tc>
          <w:tcPr>
            <w:tcW w:w="549" w:type="pct"/>
            <w:tcBorders>
              <w:top w:val="nil"/>
              <w:bottom w:val="nil"/>
            </w:tcBorders>
          </w:tcPr>
          <w:p w:rsidR="00000000" w:rsidRDefault="00000000">
            <w:pPr>
              <w:pStyle w:val="a2"/>
              <w:tabs>
                <w:tab w:val="decimal" w:pos="587"/>
              </w:tabs>
              <w:spacing w:line="280" w:lineRule="exact"/>
            </w:pPr>
            <w:r>
              <w:t>0.7</w:t>
            </w:r>
          </w:p>
        </w:tc>
      </w:tr>
      <w:tr w:rsidR="00000000">
        <w:tblPrEx>
          <w:tblCellMar>
            <w:top w:w="0" w:type="dxa"/>
            <w:bottom w:w="0" w:type="dxa"/>
          </w:tblCellMar>
        </w:tblPrEx>
        <w:trPr>
          <w:cantSplit/>
        </w:trPr>
        <w:tc>
          <w:tcPr>
            <w:tcW w:w="942" w:type="pct"/>
            <w:tcBorders>
              <w:top w:val="nil"/>
            </w:tcBorders>
          </w:tcPr>
          <w:p w:rsidR="00000000" w:rsidRDefault="00000000">
            <w:pPr>
              <w:pStyle w:val="a2"/>
              <w:tabs>
                <w:tab w:val="decimal" w:pos="428"/>
              </w:tabs>
              <w:spacing w:after="120" w:line="280" w:lineRule="exact"/>
              <w:ind w:right="-402"/>
              <w:rPr>
                <w:rFonts w:hint="eastAsia"/>
              </w:rPr>
            </w:pPr>
            <w:r>
              <w:rPr>
                <w:rFonts w:hint="eastAsia"/>
              </w:rPr>
              <w:t>土耳其语</w:t>
            </w:r>
          </w:p>
        </w:tc>
        <w:tc>
          <w:tcPr>
            <w:tcW w:w="501" w:type="pct"/>
            <w:tcBorders>
              <w:top w:val="nil"/>
            </w:tcBorders>
          </w:tcPr>
          <w:p w:rsidR="00000000" w:rsidRDefault="00000000">
            <w:pPr>
              <w:pStyle w:val="a2"/>
              <w:tabs>
                <w:tab w:val="decimal" w:pos="587"/>
              </w:tabs>
              <w:spacing w:after="120" w:line="280" w:lineRule="exact"/>
            </w:pPr>
            <w:r>
              <w:t>-</w:t>
            </w:r>
          </w:p>
        </w:tc>
        <w:tc>
          <w:tcPr>
            <w:tcW w:w="501" w:type="pct"/>
            <w:tcBorders>
              <w:top w:val="nil"/>
            </w:tcBorders>
          </w:tcPr>
          <w:p w:rsidR="00000000" w:rsidRDefault="00000000">
            <w:pPr>
              <w:pStyle w:val="a2"/>
              <w:tabs>
                <w:tab w:val="decimal" w:pos="587"/>
              </w:tabs>
              <w:spacing w:after="120" w:line="280" w:lineRule="exact"/>
            </w:pPr>
            <w:r>
              <w:t>-</w:t>
            </w:r>
          </w:p>
        </w:tc>
        <w:tc>
          <w:tcPr>
            <w:tcW w:w="502" w:type="pct"/>
            <w:tcBorders>
              <w:top w:val="nil"/>
            </w:tcBorders>
          </w:tcPr>
          <w:p w:rsidR="00000000" w:rsidRDefault="00000000">
            <w:pPr>
              <w:pStyle w:val="a2"/>
              <w:tabs>
                <w:tab w:val="decimal" w:pos="587"/>
              </w:tabs>
              <w:spacing w:after="120" w:line="280" w:lineRule="exact"/>
            </w:pPr>
            <w:r>
              <w:t>-</w:t>
            </w:r>
          </w:p>
        </w:tc>
        <w:tc>
          <w:tcPr>
            <w:tcW w:w="501" w:type="pct"/>
            <w:tcBorders>
              <w:top w:val="nil"/>
            </w:tcBorders>
          </w:tcPr>
          <w:p w:rsidR="00000000" w:rsidRDefault="00000000">
            <w:pPr>
              <w:pStyle w:val="a2"/>
              <w:tabs>
                <w:tab w:val="decimal" w:pos="587"/>
              </w:tabs>
              <w:spacing w:after="120" w:line="280" w:lineRule="exact"/>
            </w:pPr>
            <w:r>
              <w:t>-</w:t>
            </w:r>
          </w:p>
        </w:tc>
        <w:tc>
          <w:tcPr>
            <w:tcW w:w="502" w:type="pct"/>
            <w:tcBorders>
              <w:top w:val="nil"/>
            </w:tcBorders>
          </w:tcPr>
          <w:p w:rsidR="00000000" w:rsidRDefault="00000000">
            <w:pPr>
              <w:pStyle w:val="a2"/>
              <w:tabs>
                <w:tab w:val="decimal" w:pos="587"/>
              </w:tabs>
              <w:spacing w:after="120" w:line="280" w:lineRule="exact"/>
            </w:pPr>
            <w:r>
              <w:t>-</w:t>
            </w:r>
          </w:p>
        </w:tc>
        <w:tc>
          <w:tcPr>
            <w:tcW w:w="501" w:type="pct"/>
            <w:tcBorders>
              <w:top w:val="nil"/>
            </w:tcBorders>
          </w:tcPr>
          <w:p w:rsidR="00000000" w:rsidRDefault="00000000">
            <w:pPr>
              <w:pStyle w:val="a2"/>
              <w:tabs>
                <w:tab w:val="decimal" w:pos="587"/>
              </w:tabs>
              <w:spacing w:after="120" w:line="280" w:lineRule="exact"/>
            </w:pPr>
            <w:r>
              <w:t>0.1</w:t>
            </w:r>
          </w:p>
        </w:tc>
        <w:tc>
          <w:tcPr>
            <w:tcW w:w="502" w:type="pct"/>
            <w:tcBorders>
              <w:top w:val="nil"/>
            </w:tcBorders>
          </w:tcPr>
          <w:p w:rsidR="00000000" w:rsidRDefault="00000000">
            <w:pPr>
              <w:pStyle w:val="a2"/>
              <w:tabs>
                <w:tab w:val="decimal" w:pos="587"/>
              </w:tabs>
              <w:spacing w:after="120" w:line="280" w:lineRule="exact"/>
            </w:pPr>
            <w:r>
              <w:t>-</w:t>
            </w:r>
          </w:p>
        </w:tc>
        <w:tc>
          <w:tcPr>
            <w:tcW w:w="549" w:type="pct"/>
            <w:tcBorders>
              <w:top w:val="nil"/>
            </w:tcBorders>
          </w:tcPr>
          <w:p w:rsidR="00000000" w:rsidRDefault="00000000">
            <w:pPr>
              <w:pStyle w:val="a2"/>
              <w:tabs>
                <w:tab w:val="decimal" w:pos="587"/>
              </w:tabs>
              <w:spacing w:after="120" w:line="280" w:lineRule="exact"/>
            </w:pPr>
            <w:r>
              <w:t>-</w:t>
            </w:r>
          </w:p>
        </w:tc>
      </w:tr>
    </w:tbl>
    <w:p w:rsidR="00000000" w:rsidRDefault="00000000">
      <w:pPr>
        <w:spacing w:before="120"/>
        <w:rPr>
          <w:rFonts w:eastAsia="KaiTi_GB2312"/>
          <w:spacing w:val="0"/>
          <w:sz w:val="22"/>
        </w:rPr>
      </w:pPr>
      <w:r>
        <w:rPr>
          <w:rFonts w:hint="eastAsia"/>
        </w:rPr>
        <w:tab/>
      </w:r>
      <w:r>
        <w:rPr>
          <w:rFonts w:eastAsia="KaiTi_GB2312" w:hint="eastAsia"/>
          <w:spacing w:val="0"/>
          <w:sz w:val="22"/>
          <w:u w:val="single"/>
        </w:rPr>
        <w:t>资料来源</w:t>
      </w:r>
      <w:r>
        <w:rPr>
          <w:rFonts w:eastAsia="KaiTi_GB2312" w:hint="eastAsia"/>
          <w:spacing w:val="0"/>
          <w:sz w:val="22"/>
        </w:rPr>
        <w:t>：统计和社会分析局。</w:t>
      </w:r>
    </w:p>
    <w:p w:rsidR="00000000" w:rsidRDefault="00000000">
      <w:pPr>
        <w:spacing w:before="120"/>
        <w:rPr>
          <w:rFonts w:hint="eastAsia"/>
        </w:rPr>
      </w:pPr>
      <w:r>
        <w:rPr>
          <w:rFonts w:eastAsia="KaiTi_GB2312"/>
          <w:spacing w:val="0"/>
          <w:sz w:val="22"/>
        </w:rPr>
        <w:tab/>
      </w:r>
      <w:r>
        <w:rPr>
          <w:rFonts w:hint="eastAsia"/>
        </w:rPr>
        <w:t>583.</w:t>
      </w:r>
      <w:r>
        <w:t xml:space="preserve">  </w:t>
      </w:r>
      <w:r>
        <w:rPr>
          <w:rFonts w:hint="eastAsia"/>
        </w:rPr>
        <w:t>国家保证所有儿童，不分民族，享有学习官方语言的平等权利。少数民族儿童应母国的邀请，并在其母国驻摩尔多瓦代表处的支助下，有机会访问这些国家，了解其历史、文化、传统和本民族语言。</w:t>
      </w:r>
    </w:p>
    <w:p w:rsidR="00000000" w:rsidRDefault="00000000">
      <w:pPr>
        <w:rPr>
          <w:rFonts w:hint="eastAsia"/>
        </w:rPr>
      </w:pPr>
      <w:r>
        <w:rPr>
          <w:rFonts w:hint="eastAsia"/>
        </w:rPr>
        <w:tab/>
        <w:t xml:space="preserve">584.  </w:t>
      </w:r>
      <w:r>
        <w:rPr>
          <w:rFonts w:hint="eastAsia"/>
        </w:rPr>
        <w:t>摩尔多瓦共和国通过了一套总统令和政府决定，处理国家支持少数民族发展自己的文化并学习自己的语言的问题，因此建立了少数民族的幼儿园、学校和高中。少数民族也有机会学习官方语言。藏有俄语、乌克兰语、保加利亚语、</w:t>
      </w:r>
      <w:r>
        <w:t>Gagauz</w:t>
      </w:r>
      <w:r>
        <w:rPr>
          <w:rFonts w:hint="eastAsia"/>
        </w:rPr>
        <w:t>语、意第绪语</w:t>
      </w:r>
      <w:r>
        <w:rPr>
          <w:rFonts w:hint="eastAsia"/>
          <w:lang w:val="fr-CH"/>
        </w:rPr>
        <w:t>、</w:t>
      </w:r>
      <w:r>
        <w:rPr>
          <w:rFonts w:hint="eastAsia"/>
        </w:rPr>
        <w:t>希伯来语和白俄罗斯语图书的图书馆对外开放。用少数民族语言出版和制作报纸以及广播和电视节目。还帮助少数民族以及民族文化组织的代表与他们的母国建立长期联系。</w:t>
      </w:r>
    </w:p>
    <w:p w:rsidR="00000000" w:rsidRDefault="00000000">
      <w:pPr>
        <w:rPr>
          <w:rFonts w:hint="eastAsia"/>
        </w:rPr>
      </w:pPr>
      <w:r>
        <w:rPr>
          <w:rFonts w:hint="eastAsia"/>
        </w:rPr>
        <w:tab/>
        <w:t xml:space="preserve">585.  </w:t>
      </w:r>
      <w:r>
        <w:rPr>
          <w:rFonts w:hint="eastAsia"/>
        </w:rPr>
        <w:t>民族关系和语言使用局负责宣传关于民族事务的国家政策。该局代表多数民族及其共同居住的少数民族的利益，保证使用官方语言和少数民族语言，向国内民族文化团体的法定活动提供支持，向定居国外的摩尔多瓦人提供支持。</w:t>
      </w:r>
    </w:p>
    <w:p w:rsidR="00000000" w:rsidRDefault="00000000">
      <w:pPr>
        <w:spacing w:after="320"/>
        <w:rPr>
          <w:rFonts w:hint="eastAsia"/>
        </w:rPr>
      </w:pPr>
      <w:r>
        <w:rPr>
          <w:rFonts w:hint="eastAsia"/>
        </w:rPr>
        <w:tab/>
        <w:t>586.  1993</w:t>
      </w:r>
      <w:r>
        <w:rPr>
          <w:rFonts w:hint="eastAsia"/>
        </w:rPr>
        <w:t>年</w:t>
      </w:r>
      <w:r>
        <w:rPr>
          <w:rFonts w:hint="eastAsia"/>
        </w:rPr>
        <w:t>2</w:t>
      </w:r>
      <w:r>
        <w:rPr>
          <w:rFonts w:hint="eastAsia"/>
        </w:rPr>
        <w:t>月</w:t>
      </w:r>
      <w:r>
        <w:rPr>
          <w:rFonts w:hint="eastAsia"/>
        </w:rPr>
        <w:t>5</w:t>
      </w:r>
      <w:r>
        <w:rPr>
          <w:rFonts w:hint="eastAsia"/>
        </w:rPr>
        <w:t>日的第</w:t>
      </w:r>
      <w:r>
        <w:rPr>
          <w:rFonts w:hint="eastAsia"/>
        </w:rPr>
        <w:t>5</w:t>
      </w:r>
      <w:r>
        <w:rPr>
          <w:rFonts w:hint="eastAsia"/>
        </w:rPr>
        <w:t>号总统令创建了民族宫。各主要民族文化组织都在民族宫设有办事处。在民族宫举办重要的展览和活动。儿童优秀美术作品展通常在这里举行。庆祝圣诞节和保加利亚、</w:t>
      </w:r>
      <w:r>
        <w:t>Gagauz</w:t>
      </w:r>
      <w:r>
        <w:rPr>
          <w:rFonts w:hint="eastAsia"/>
        </w:rPr>
        <w:t>、俄罗斯、乌克兰等文化的民族节日，并在国际儿童节那一天举行民族节，已成为民族关系和语言使用局一年一度的传统。</w:t>
      </w:r>
    </w:p>
    <w:p w:rsidR="00000000" w:rsidRDefault="00000000">
      <w:pPr>
        <w:pStyle w:val="Heading4"/>
        <w:rPr>
          <w:rFonts w:hint="eastAsia"/>
        </w:rPr>
      </w:pPr>
      <w:r>
        <w:rPr>
          <w:rFonts w:hint="eastAsia"/>
        </w:rPr>
        <w:t>文化活动</w:t>
      </w:r>
    </w:p>
    <w:p w:rsidR="00000000" w:rsidRDefault="00000000">
      <w:pPr>
        <w:rPr>
          <w:rFonts w:hint="eastAsia"/>
        </w:rPr>
      </w:pPr>
      <w:r>
        <w:rPr>
          <w:rFonts w:hint="eastAsia"/>
        </w:rPr>
        <w:tab/>
        <w:t xml:space="preserve">587.  </w:t>
      </w:r>
      <w:r>
        <w:rPr>
          <w:rFonts w:hint="eastAsia"/>
        </w:rPr>
        <w:t>国家广播电台儿童和青少年编辑部制作了一系列节目，宣传并促进尊重儿童权利。电台与儿童权利信息和文件中心合作，播放了学校和高中关于这一话题的一些连载评论。制作了题为“我们也有权利”的一系列节目，给儿童提供了向儿童基金会和中央政府机构反映有关其权利问题的机会。在国际儿童节那天，编辑部制作了题为“儿童改变世界”的节目，内容包括：</w:t>
      </w:r>
    </w:p>
    <w:p w:rsidR="00000000" w:rsidRDefault="00000000">
      <w:pPr>
        <w:pStyle w:val="a0"/>
        <w:ind w:left="1540"/>
        <w:rPr>
          <w:rFonts w:hint="eastAsia"/>
        </w:rPr>
      </w:pPr>
      <w:r>
        <w:rPr>
          <w:rFonts w:hint="eastAsia"/>
        </w:rPr>
        <w:t>采访总统；</w:t>
      </w:r>
    </w:p>
    <w:p w:rsidR="00000000" w:rsidRDefault="00000000">
      <w:pPr>
        <w:pStyle w:val="a0"/>
        <w:ind w:left="1540"/>
        <w:rPr>
          <w:rFonts w:hint="eastAsia"/>
        </w:rPr>
      </w:pPr>
      <w:r>
        <w:rPr>
          <w:rFonts w:hint="eastAsia"/>
        </w:rPr>
        <w:t>向从事教育、卫生和社会援助工作的公务员提出一些儿童权利的问题；</w:t>
      </w:r>
    </w:p>
    <w:p w:rsidR="00000000" w:rsidRDefault="00000000">
      <w:pPr>
        <w:pStyle w:val="a0"/>
        <w:ind w:left="1540"/>
        <w:rPr>
          <w:rFonts w:hint="eastAsia"/>
        </w:rPr>
      </w:pPr>
      <w:r>
        <w:rPr>
          <w:rFonts w:hint="eastAsia"/>
        </w:rPr>
        <w:t>“梦想成真”</w:t>
      </w:r>
      <w:r>
        <w:rPr>
          <w:rFonts w:hint="eastAsia"/>
          <w:spacing w:val="-50"/>
        </w:rPr>
        <w:t>―</w:t>
      </w:r>
      <w:r>
        <w:rPr>
          <w:rFonts w:hint="eastAsia"/>
        </w:rPr>
        <w:t>―儿童梦想国家的未来，梦想他们当了总统、总理、部长等等以后要改变的事情。</w:t>
      </w:r>
    </w:p>
    <w:p w:rsidR="00000000" w:rsidRDefault="00000000">
      <w:pPr>
        <w:rPr>
          <w:rFonts w:hint="eastAsia"/>
        </w:rPr>
      </w:pPr>
      <w:r>
        <w:rPr>
          <w:rFonts w:hint="eastAsia"/>
        </w:rPr>
        <w:tab/>
      </w:r>
      <w:r>
        <w:rPr>
          <w:rFonts w:hint="eastAsia"/>
        </w:rPr>
        <w:t>编辑部还与儿童权利信息和文件中心合作，在国家歌剧院上演了以儿童有权拥有家庭为内容的剧作“</w:t>
      </w:r>
      <w:r>
        <w:t>Ghiocel</w:t>
      </w:r>
      <w:r>
        <w:rPr>
          <w:rFonts w:hint="eastAsia"/>
        </w:rPr>
        <w:t>历险记”。</w:t>
      </w:r>
    </w:p>
    <w:p w:rsidR="00000000" w:rsidRDefault="00000000">
      <w:pPr>
        <w:rPr>
          <w:rFonts w:hint="eastAsia"/>
        </w:rPr>
      </w:pPr>
      <w:r>
        <w:rPr>
          <w:rFonts w:hint="eastAsia"/>
        </w:rPr>
        <w:tab/>
        <w:t>588.  6</w:t>
      </w:r>
      <w:r>
        <w:rPr>
          <w:rFonts w:hint="eastAsia"/>
        </w:rPr>
        <w:t>月</w:t>
      </w:r>
      <w:r>
        <w:rPr>
          <w:rFonts w:hint="eastAsia"/>
        </w:rPr>
        <w:t>1</w:t>
      </w:r>
      <w:r>
        <w:rPr>
          <w:rFonts w:hint="eastAsia"/>
        </w:rPr>
        <w:t>日在广播局举行了共和国儿童节庆祝活动：“童年，甜蜜的梦”。这一年有近</w:t>
      </w:r>
      <w:r>
        <w:rPr>
          <w:rFonts w:hint="eastAsia"/>
        </w:rPr>
        <w:t>500</w:t>
      </w:r>
      <w:r>
        <w:rPr>
          <w:rFonts w:hint="eastAsia"/>
        </w:rPr>
        <w:t>名儿童参加了庆祝活动。在这场电视直播的演出中间启动了慈善活动“我们在一起能做得更多”。这一活动的目的是为残疾儿童购买轮椅筹集资金。活动持续了半年时间，是与儿童基金会和残疾儿童康复中心合作组织的。</w:t>
      </w:r>
    </w:p>
    <w:p w:rsidR="00000000" w:rsidRDefault="00000000">
      <w:pPr>
        <w:rPr>
          <w:rFonts w:hint="eastAsia"/>
        </w:rPr>
      </w:pPr>
      <w:r>
        <w:rPr>
          <w:rFonts w:hint="eastAsia"/>
        </w:rPr>
        <w:tab/>
        <w:t xml:space="preserve">589.  </w:t>
      </w:r>
      <w:r>
        <w:rPr>
          <w:rFonts w:hint="eastAsia"/>
        </w:rPr>
        <w:t>在摩尔多瓦定期出版许多儿童和青少年期刊：</w:t>
      </w:r>
    </w:p>
    <w:p w:rsidR="00000000" w:rsidRDefault="00000000">
      <w:pPr>
        <w:numPr>
          <w:ilvl w:val="0"/>
          <w:numId w:val="585"/>
        </w:numPr>
        <w:rPr>
          <w:rFonts w:hint="eastAsia"/>
        </w:rPr>
      </w:pPr>
      <w:r>
        <w:rPr>
          <w:rFonts w:hint="eastAsia"/>
        </w:rPr>
        <w:t>“</w:t>
      </w:r>
      <w:r>
        <w:rPr>
          <w:rFonts w:hint="eastAsia"/>
        </w:rPr>
        <w:t xml:space="preserve"> </w:t>
      </w:r>
      <w:r>
        <w:t>Florile dalbe</w:t>
      </w:r>
      <w:r>
        <w:rPr>
          <w:rFonts w:hint="eastAsia"/>
        </w:rPr>
        <w:t>”是一本儿童和青少年周刊，内容包括学校活动、教育问题以及在创作中心、图书馆、音乐和美术学校及兴趣俱乐部的课外活动；</w:t>
      </w:r>
    </w:p>
    <w:p w:rsidR="00000000" w:rsidRDefault="00000000">
      <w:pPr>
        <w:numPr>
          <w:ilvl w:val="0"/>
          <w:numId w:val="585"/>
        </w:numPr>
        <w:rPr>
          <w:rFonts w:hint="eastAsia"/>
        </w:rPr>
      </w:pPr>
      <w:r>
        <w:rPr>
          <w:rFonts w:hint="eastAsia"/>
        </w:rPr>
        <w:t>“</w:t>
      </w:r>
      <w:r>
        <w:t>Noi</w:t>
      </w:r>
      <w:r>
        <w:rPr>
          <w:rFonts w:hint="eastAsia"/>
        </w:rPr>
        <w:t>”是一本青少年文学月刊；</w:t>
      </w:r>
    </w:p>
    <w:p w:rsidR="00000000" w:rsidRDefault="00000000">
      <w:pPr>
        <w:numPr>
          <w:ilvl w:val="0"/>
          <w:numId w:val="585"/>
        </w:numPr>
        <w:rPr>
          <w:rFonts w:hint="eastAsia"/>
        </w:rPr>
      </w:pPr>
      <w:r>
        <w:rPr>
          <w:rFonts w:hint="eastAsia"/>
        </w:rPr>
        <w:t>“</w:t>
      </w:r>
      <w:r>
        <w:t>Alunelul</w:t>
      </w:r>
      <w:r>
        <w:rPr>
          <w:rFonts w:hint="eastAsia"/>
        </w:rPr>
        <w:t>”是一本学龄前儿童杂志；</w:t>
      </w:r>
    </w:p>
    <w:p w:rsidR="00000000" w:rsidRDefault="00000000">
      <w:pPr>
        <w:numPr>
          <w:ilvl w:val="0"/>
          <w:numId w:val="585"/>
        </w:numPr>
        <w:rPr>
          <w:rFonts w:hint="eastAsia"/>
        </w:rPr>
      </w:pPr>
      <w:r>
        <w:rPr>
          <w:rFonts w:hint="eastAsia"/>
        </w:rPr>
        <w:t>“</w:t>
      </w:r>
      <w:r>
        <w:rPr>
          <w:rFonts w:hint="eastAsia"/>
        </w:rPr>
        <w:t>A</w:t>
      </w:r>
      <w:r>
        <w:rPr>
          <w:rFonts w:hint="eastAsia"/>
        </w:rPr>
        <w:t>”是一本儿童和青少年的图画杂志，出版者是一家私人公司；</w:t>
      </w:r>
    </w:p>
    <w:p w:rsidR="00000000" w:rsidRDefault="00000000">
      <w:pPr>
        <w:numPr>
          <w:ilvl w:val="0"/>
          <w:numId w:val="585"/>
        </w:numPr>
        <w:rPr>
          <w:rFonts w:hint="eastAsia"/>
        </w:rPr>
      </w:pPr>
      <w:r>
        <w:rPr>
          <w:rFonts w:hint="eastAsia"/>
        </w:rPr>
        <w:t>“</w:t>
      </w:r>
      <w:r>
        <w:t>2 ore plus 3 iezi</w:t>
      </w:r>
      <w:r>
        <w:rPr>
          <w:rFonts w:hint="eastAsia"/>
        </w:rPr>
        <w:t>”由基希讷乌文化局、“</w:t>
      </w:r>
      <w:r>
        <w:t>Noi</w:t>
      </w:r>
      <w:r>
        <w:rPr>
          <w:rFonts w:hint="eastAsia"/>
        </w:rPr>
        <w:t>”协会和“</w:t>
      </w:r>
      <w:r>
        <w:t>Abecelus</w:t>
      </w:r>
      <w:r>
        <w:rPr>
          <w:rFonts w:hint="eastAsia"/>
        </w:rPr>
        <w:t>”出版社出版。</w:t>
      </w:r>
    </w:p>
    <w:p w:rsidR="00000000" w:rsidRDefault="00000000">
      <w:pPr>
        <w:rPr>
          <w:rFonts w:hint="eastAsia"/>
        </w:rPr>
      </w:pPr>
      <w:r>
        <w:rPr>
          <w:rFonts w:hint="eastAsia"/>
        </w:rPr>
        <w:tab/>
        <w:t xml:space="preserve">590.  </w:t>
      </w:r>
      <w:r>
        <w:rPr>
          <w:rFonts w:hint="eastAsia"/>
        </w:rPr>
        <w:t>高中的学生也制作杂志和报纸。例如，“</w:t>
      </w:r>
      <w:r>
        <w:t>Ion Creanga</w:t>
      </w:r>
      <w:r>
        <w:rPr>
          <w:rFonts w:hint="eastAsia"/>
        </w:rPr>
        <w:t>”学校创办“</w:t>
      </w:r>
      <w:r>
        <w:t>Creanga verde</w:t>
      </w:r>
      <w:r>
        <w:rPr>
          <w:rFonts w:hint="eastAsia"/>
        </w:rPr>
        <w:t>”杂志，“</w:t>
      </w:r>
      <w:r>
        <w:t>Dante Alighere</w:t>
      </w:r>
      <w:r>
        <w:rPr>
          <w:rFonts w:hint="eastAsia"/>
        </w:rPr>
        <w:t>”学校创办“</w:t>
      </w:r>
      <w:r>
        <w:rPr>
          <w:rFonts w:hint="eastAsia"/>
        </w:rPr>
        <w:t>Dante</w:t>
      </w:r>
      <w:r>
        <w:rPr>
          <w:rFonts w:hint="eastAsia"/>
        </w:rPr>
        <w:t>”杂志。</w:t>
      </w:r>
    </w:p>
    <w:p w:rsidR="00000000" w:rsidRDefault="00000000">
      <w:pPr>
        <w:spacing w:after="320"/>
        <w:rPr>
          <w:rFonts w:hint="eastAsia"/>
        </w:rPr>
      </w:pPr>
      <w:r>
        <w:rPr>
          <w:rFonts w:hint="eastAsia"/>
        </w:rPr>
        <w:tab/>
        <w:t xml:space="preserve">591.  </w:t>
      </w:r>
      <w:r>
        <w:rPr>
          <w:rFonts w:hint="eastAsia"/>
        </w:rPr>
        <w:t>国家电视台还播放以培养青少年人才为目的的节目。</w:t>
      </w:r>
    </w:p>
    <w:p w:rsidR="00000000" w:rsidRDefault="00000000">
      <w:pPr>
        <w:pStyle w:val="Heading3"/>
        <w:rPr>
          <w:rFonts w:hint="eastAsia"/>
        </w:rPr>
      </w:pPr>
      <w:r>
        <w:rPr>
          <w:rFonts w:hint="eastAsia"/>
        </w:rPr>
        <w:t>第</w:t>
      </w:r>
      <w:r>
        <w:rPr>
          <w:rFonts w:hint="eastAsia"/>
        </w:rPr>
        <w:t xml:space="preserve"> </w:t>
      </w:r>
      <w:r>
        <w:rPr>
          <w:rFonts w:hint="eastAsia"/>
        </w:rPr>
        <w:t>十四</w:t>
      </w:r>
      <w:r>
        <w:rPr>
          <w:rFonts w:hint="eastAsia"/>
        </w:rPr>
        <w:t xml:space="preserve"> </w:t>
      </w:r>
      <w:r>
        <w:rPr>
          <w:rFonts w:hint="eastAsia"/>
        </w:rPr>
        <w:t>条</w:t>
      </w:r>
    </w:p>
    <w:p w:rsidR="00000000" w:rsidRDefault="00000000">
      <w:pPr>
        <w:rPr>
          <w:rFonts w:hint="eastAsia"/>
        </w:rPr>
      </w:pPr>
      <w:r>
        <w:rPr>
          <w:rFonts w:hint="eastAsia"/>
        </w:rPr>
        <w:tab/>
        <w:t xml:space="preserve">592.  </w:t>
      </w:r>
      <w:r>
        <w:rPr>
          <w:rFonts w:hint="eastAsia"/>
        </w:rPr>
        <w:t>见上述第</w:t>
      </w:r>
      <w:r>
        <w:rPr>
          <w:rFonts w:hint="eastAsia"/>
        </w:rPr>
        <w:t>13</w:t>
      </w:r>
      <w:r>
        <w:rPr>
          <w:rFonts w:hint="eastAsia"/>
        </w:rPr>
        <w:t>条。</w:t>
      </w:r>
    </w:p>
    <w:p w:rsidR="00000000" w:rsidRDefault="00000000">
      <w:pPr>
        <w:pStyle w:val="Heading3"/>
        <w:rPr>
          <w:rFonts w:hint="eastAsia"/>
        </w:rPr>
      </w:pPr>
      <w:r>
        <w:rPr>
          <w:rFonts w:hint="eastAsia"/>
        </w:rPr>
        <w:t>第</w:t>
      </w:r>
      <w:r>
        <w:rPr>
          <w:rFonts w:hint="eastAsia"/>
        </w:rPr>
        <w:t xml:space="preserve"> </w:t>
      </w:r>
      <w:r>
        <w:rPr>
          <w:rFonts w:hint="eastAsia"/>
        </w:rPr>
        <w:t>十五</w:t>
      </w:r>
      <w:r>
        <w:rPr>
          <w:rFonts w:hint="eastAsia"/>
        </w:rPr>
        <w:t xml:space="preserve"> </w:t>
      </w:r>
      <w:r>
        <w:rPr>
          <w:rFonts w:hint="eastAsia"/>
        </w:rPr>
        <w:t>条</w:t>
      </w:r>
    </w:p>
    <w:p w:rsidR="00000000" w:rsidRDefault="00000000">
      <w:pPr>
        <w:rPr>
          <w:rFonts w:ascii="SimSun" w:hint="eastAsia"/>
        </w:rPr>
      </w:pPr>
      <w:r>
        <w:rPr>
          <w:rFonts w:hint="eastAsia"/>
        </w:rPr>
        <w:tab/>
        <w:t xml:space="preserve">593.  </w:t>
      </w:r>
      <w:r>
        <w:rPr>
          <w:rFonts w:hint="eastAsia"/>
        </w:rPr>
        <w:t>《摩尔多瓦</w:t>
      </w:r>
      <w:r>
        <w:rPr>
          <w:rFonts w:ascii="SimSun" w:hint="eastAsia"/>
        </w:rPr>
        <w:t>共和国宪法》保证人人享有包括自由创作艺术和科学作品在内的创作权利(第33条第1款)。这类创作活动不受审查。</w:t>
      </w:r>
    </w:p>
    <w:p w:rsidR="00000000" w:rsidRDefault="00000000">
      <w:pPr>
        <w:rPr>
          <w:rFonts w:hint="eastAsia"/>
        </w:rPr>
      </w:pPr>
      <w:r>
        <w:rPr>
          <w:rFonts w:hint="eastAsia"/>
        </w:rPr>
        <w:tab/>
        <w:t xml:space="preserve">594.  </w:t>
      </w:r>
      <w:r>
        <w:rPr>
          <w:rFonts w:hint="eastAsia"/>
        </w:rPr>
        <w:t>“</w:t>
      </w:r>
      <w:r>
        <w:rPr>
          <w:rFonts w:hint="eastAsia"/>
        </w:rPr>
        <w:t>1997/1998</w:t>
      </w:r>
      <w:r>
        <w:rPr>
          <w:rFonts w:hint="eastAsia"/>
        </w:rPr>
        <w:t>年度摩尔多瓦共和国发展和保护文化艺术”政府方案的前题和目的是：建立新的管理方式，合理利用人的潜力和物质及资金来源，避免不合理损失和成本，最大限度地使职员参与组织创造性活动。这一方案被延长至</w:t>
      </w:r>
      <w:r>
        <w:rPr>
          <w:rFonts w:hint="eastAsia"/>
        </w:rPr>
        <w:t>2000</w:t>
      </w:r>
      <w:r>
        <w:rPr>
          <w:rFonts w:hint="eastAsia"/>
        </w:rPr>
        <w:t>年，之后又补充实施了一项直至</w:t>
      </w:r>
      <w:r>
        <w:rPr>
          <w:rFonts w:hint="eastAsia"/>
        </w:rPr>
        <w:t>2005</w:t>
      </w:r>
      <w:r>
        <w:rPr>
          <w:rFonts w:hint="eastAsia"/>
        </w:rPr>
        <w:t>年的丰富的经济战略工程，其中规定了文化战略要点。</w:t>
      </w:r>
    </w:p>
    <w:p w:rsidR="00000000" w:rsidRDefault="00000000">
      <w:pPr>
        <w:rPr>
          <w:rFonts w:hint="eastAsia"/>
        </w:rPr>
      </w:pPr>
      <w:r>
        <w:rPr>
          <w:rFonts w:hint="eastAsia"/>
        </w:rPr>
        <w:tab/>
        <w:t xml:space="preserve">595.  </w:t>
      </w:r>
      <w:r>
        <w:rPr>
          <w:rFonts w:hint="eastAsia"/>
        </w:rPr>
        <w:t>《宪法》第</w:t>
      </w:r>
      <w:r>
        <w:rPr>
          <w:rFonts w:hint="eastAsia"/>
        </w:rPr>
        <w:t>33</w:t>
      </w:r>
      <w:r>
        <w:rPr>
          <w:rFonts w:hint="eastAsia"/>
        </w:rPr>
        <w:t>条第</w:t>
      </w:r>
      <w:r>
        <w:rPr>
          <w:rFonts w:hint="eastAsia"/>
        </w:rPr>
        <w:t>2</w:t>
      </w:r>
      <w:r>
        <w:rPr>
          <w:rFonts w:hint="eastAsia"/>
        </w:rPr>
        <w:t>款规定，“国家支持保护、发展和宣传民族及世界的文化和科学成就”。《宪法》也保证思想和言论自由。</w:t>
      </w:r>
      <w:r>
        <w:rPr>
          <w:rFonts w:hint="eastAsia"/>
        </w:rPr>
        <w:t>1999</w:t>
      </w:r>
      <w:r>
        <w:rPr>
          <w:rFonts w:hint="eastAsia"/>
        </w:rPr>
        <w:t>年</w:t>
      </w:r>
      <w:r>
        <w:rPr>
          <w:rFonts w:hint="eastAsia"/>
        </w:rPr>
        <w:t>5</w:t>
      </w:r>
      <w:r>
        <w:rPr>
          <w:rFonts w:hint="eastAsia"/>
        </w:rPr>
        <w:t>月</w:t>
      </w:r>
      <w:r>
        <w:rPr>
          <w:rFonts w:hint="eastAsia"/>
        </w:rPr>
        <w:t>27</w:t>
      </w:r>
      <w:r>
        <w:rPr>
          <w:rFonts w:hint="eastAsia"/>
        </w:rPr>
        <w:t>日通过的《文化法》详细阐述了文化活动的指导准则，其主要目标如下：</w:t>
      </w:r>
    </w:p>
    <w:p w:rsidR="00000000" w:rsidRDefault="00000000">
      <w:pPr>
        <w:numPr>
          <w:ilvl w:val="0"/>
          <w:numId w:val="586"/>
        </w:numPr>
        <w:rPr>
          <w:rFonts w:hint="eastAsia"/>
        </w:rPr>
      </w:pPr>
      <w:r>
        <w:rPr>
          <w:rFonts w:hint="eastAsia"/>
        </w:rPr>
        <w:t>保证并保护公民进行文化活动的宪法权利；</w:t>
      </w:r>
    </w:p>
    <w:p w:rsidR="00000000" w:rsidRDefault="00000000">
      <w:pPr>
        <w:numPr>
          <w:ilvl w:val="0"/>
          <w:numId w:val="586"/>
        </w:numPr>
        <w:rPr>
          <w:rFonts w:hint="eastAsia"/>
        </w:rPr>
      </w:pPr>
      <w:r>
        <w:rPr>
          <w:rFonts w:hint="eastAsia"/>
        </w:rPr>
        <w:t>确立国家文化政策的基本原则以及作为保证文化自由发展之基础的法律准则。</w:t>
      </w:r>
    </w:p>
    <w:p w:rsidR="00000000" w:rsidRDefault="00000000">
      <w:pPr>
        <w:rPr>
          <w:rFonts w:hint="eastAsia"/>
        </w:rPr>
      </w:pPr>
      <w:r>
        <w:rPr>
          <w:rFonts w:hint="eastAsia"/>
        </w:rPr>
        <w:tab/>
        <w:t xml:space="preserve">596.  </w:t>
      </w:r>
      <w:r>
        <w:rPr>
          <w:rFonts w:hint="eastAsia"/>
        </w:rPr>
        <w:t>这部法律实施的领域是文学、戏剧、音乐、美术、建筑、电影、广播、电视、摄影、设计、马戏、传统艺术、博物馆、档案馆、图书馆、出版、科学研究、文化旅游等等。</w:t>
      </w:r>
    </w:p>
    <w:p w:rsidR="00000000" w:rsidRDefault="00000000">
      <w:pPr>
        <w:rPr>
          <w:rFonts w:hint="eastAsia"/>
        </w:rPr>
      </w:pPr>
      <w:r>
        <w:rPr>
          <w:rFonts w:hint="eastAsia"/>
        </w:rPr>
        <w:tab/>
        <w:t>597.  1993</w:t>
      </w:r>
      <w:r>
        <w:rPr>
          <w:rFonts w:hint="eastAsia"/>
        </w:rPr>
        <w:t>年</w:t>
      </w:r>
      <w:r>
        <w:rPr>
          <w:rFonts w:hint="eastAsia"/>
        </w:rPr>
        <w:t>6</w:t>
      </w:r>
      <w:r>
        <w:rPr>
          <w:rFonts w:hint="eastAsia"/>
        </w:rPr>
        <w:t>月</w:t>
      </w:r>
      <w:r>
        <w:rPr>
          <w:rFonts w:hint="eastAsia"/>
        </w:rPr>
        <w:t>22</w:t>
      </w:r>
      <w:r>
        <w:rPr>
          <w:rFonts w:hint="eastAsia"/>
        </w:rPr>
        <w:t>日的第</w:t>
      </w:r>
      <w:r>
        <w:rPr>
          <w:rFonts w:hint="eastAsia"/>
        </w:rPr>
        <w:t>1530</w:t>
      </w:r>
      <w:r>
        <w:t>-XII</w:t>
      </w:r>
      <w:r>
        <w:rPr>
          <w:rFonts w:hint="eastAsia"/>
        </w:rPr>
        <w:t>号《纪念碑保护法》规定了作为文化和自然遗产组成部分的纪念碑的法律地位。在由主管部门摩尔多瓦共和国文化部和附属机构以及独立专家等进行调查的基础上，按照上述法律第</w:t>
      </w:r>
      <w:r>
        <w:rPr>
          <w:rFonts w:hint="eastAsia"/>
        </w:rPr>
        <w:t>4</w:t>
      </w:r>
      <w:r>
        <w:rPr>
          <w:rFonts w:hint="eastAsia"/>
        </w:rPr>
        <w:t>条的规定，对纪念碑登记造册。</w:t>
      </w:r>
    </w:p>
    <w:p w:rsidR="00000000" w:rsidRDefault="00000000">
      <w:pPr>
        <w:rPr>
          <w:rFonts w:hint="eastAsia"/>
        </w:rPr>
      </w:pPr>
      <w:r>
        <w:rPr>
          <w:rFonts w:hint="eastAsia"/>
        </w:rPr>
        <w:tab/>
        <w:t>598.  1992</w:t>
      </w:r>
      <w:r>
        <w:rPr>
          <w:rFonts w:hint="eastAsia"/>
        </w:rPr>
        <w:t>年</w:t>
      </w:r>
      <w:r>
        <w:rPr>
          <w:rFonts w:hint="eastAsia"/>
        </w:rPr>
        <w:t>1</w:t>
      </w:r>
      <w:r>
        <w:rPr>
          <w:rFonts w:hint="eastAsia"/>
        </w:rPr>
        <w:t>月</w:t>
      </w:r>
      <w:r>
        <w:rPr>
          <w:rFonts w:hint="eastAsia"/>
        </w:rPr>
        <w:t>22</w:t>
      </w:r>
      <w:r>
        <w:rPr>
          <w:rFonts w:hint="eastAsia"/>
        </w:rPr>
        <w:t>日的第</w:t>
      </w:r>
      <w:r>
        <w:rPr>
          <w:rFonts w:hint="eastAsia"/>
        </w:rPr>
        <w:t>880</w:t>
      </w:r>
      <w:r>
        <w:t>-XII</w:t>
      </w:r>
      <w:r>
        <w:rPr>
          <w:rFonts w:hint="eastAsia"/>
        </w:rPr>
        <w:t>号《摩尔多瓦共和国档案资料法》确定了开展摩尔多瓦共和国档案资料相关活动的基本原则。根据该法第</w:t>
      </w:r>
      <w:r>
        <w:rPr>
          <w:rFonts w:hint="eastAsia"/>
        </w:rPr>
        <w:t>4</w:t>
      </w:r>
      <w:r>
        <w:rPr>
          <w:rFonts w:hint="eastAsia"/>
        </w:rPr>
        <w:t>条，共和国档案资料包括国家档案资料，公共档案资料，个人档案资料，过去被带到国外、目前由外国的政府机构、公共组织或者个人拥有的文件和档案。按照上述法律第</w:t>
      </w:r>
      <w:r>
        <w:rPr>
          <w:rFonts w:hint="eastAsia"/>
        </w:rPr>
        <w:t>19</w:t>
      </w:r>
      <w:r>
        <w:rPr>
          <w:rFonts w:hint="eastAsia"/>
        </w:rPr>
        <w:t>条的规定，属于摩尔多瓦共和国档案资料的文件应由国家保存归档。</w:t>
      </w:r>
    </w:p>
    <w:p w:rsidR="00000000" w:rsidRDefault="00000000">
      <w:pPr>
        <w:rPr>
          <w:rFonts w:hint="eastAsia"/>
        </w:rPr>
      </w:pPr>
      <w:r>
        <w:rPr>
          <w:rFonts w:hint="eastAsia"/>
        </w:rPr>
        <w:tab/>
        <w:t>599.  1994</w:t>
      </w:r>
      <w:r>
        <w:rPr>
          <w:rFonts w:hint="eastAsia"/>
        </w:rPr>
        <w:t>年</w:t>
      </w:r>
      <w:r>
        <w:rPr>
          <w:rFonts w:hint="eastAsia"/>
        </w:rPr>
        <w:t>11</w:t>
      </w:r>
      <w:r>
        <w:rPr>
          <w:rFonts w:hint="eastAsia"/>
        </w:rPr>
        <w:t>月</w:t>
      </w:r>
      <w:r>
        <w:rPr>
          <w:rFonts w:hint="eastAsia"/>
        </w:rPr>
        <w:t>16</w:t>
      </w:r>
      <w:r>
        <w:rPr>
          <w:rFonts w:hint="eastAsia"/>
        </w:rPr>
        <w:t>日的第</w:t>
      </w:r>
      <w:r>
        <w:rPr>
          <w:rFonts w:hint="eastAsia"/>
        </w:rPr>
        <w:t>286</w:t>
      </w:r>
      <w:r>
        <w:t>-XII</w:t>
      </w:r>
      <w:r>
        <w:rPr>
          <w:rFonts w:hint="eastAsia"/>
        </w:rPr>
        <w:t>号《图书馆法》确定了图书馆在摩尔多瓦的法律地位。根据第</w:t>
      </w:r>
      <w:r>
        <w:rPr>
          <w:rFonts w:hint="eastAsia"/>
        </w:rPr>
        <w:t>3</w:t>
      </w:r>
      <w:r>
        <w:rPr>
          <w:rFonts w:hint="eastAsia"/>
        </w:rPr>
        <w:t>条的规定，图书馆办馆原则是面向公众、不参与政治和专业自主。</w:t>
      </w:r>
    </w:p>
    <w:p w:rsidR="00000000" w:rsidRDefault="00000000">
      <w:pPr>
        <w:rPr>
          <w:rFonts w:hint="eastAsia"/>
        </w:rPr>
      </w:pPr>
      <w:r>
        <w:rPr>
          <w:rFonts w:hint="eastAsia"/>
        </w:rPr>
        <w:tab/>
        <w:t xml:space="preserve">600.  </w:t>
      </w:r>
      <w:r>
        <w:rPr>
          <w:rFonts w:hint="eastAsia"/>
        </w:rPr>
        <w:t>文化事业的主要资金来源是文化事业统一预算，由国家预算和各地方预算组成。</w:t>
      </w:r>
    </w:p>
    <w:p w:rsidR="00000000" w:rsidRDefault="00000000">
      <w:pPr>
        <w:rPr>
          <w:rFonts w:hint="eastAsia"/>
        </w:rPr>
      </w:pPr>
      <w:r>
        <w:rPr>
          <w:rFonts w:hint="eastAsia"/>
        </w:rPr>
        <w:tab/>
        <w:t>601.  1995</w:t>
      </w:r>
      <w:r>
        <w:rPr>
          <w:rFonts w:hint="eastAsia"/>
        </w:rPr>
        <w:t>年，国家预算对文化事业的拨款是</w:t>
      </w:r>
      <w:r>
        <w:rPr>
          <w:rFonts w:hint="eastAsia"/>
        </w:rPr>
        <w:t>1,960</w:t>
      </w:r>
      <w:r>
        <w:rPr>
          <w:rFonts w:hint="eastAsia"/>
        </w:rPr>
        <w:t>万列依，</w:t>
      </w:r>
      <w:r>
        <w:rPr>
          <w:rFonts w:hint="eastAsia"/>
        </w:rPr>
        <w:t>1996</w:t>
      </w:r>
      <w:r>
        <w:rPr>
          <w:rFonts w:hint="eastAsia"/>
        </w:rPr>
        <w:t>年为</w:t>
      </w:r>
      <w:r>
        <w:rPr>
          <w:rFonts w:hint="eastAsia"/>
        </w:rPr>
        <w:t>2,270</w:t>
      </w:r>
      <w:r>
        <w:rPr>
          <w:rFonts w:hint="eastAsia"/>
        </w:rPr>
        <w:t>万列依，</w:t>
      </w:r>
      <w:r>
        <w:rPr>
          <w:rFonts w:hint="eastAsia"/>
        </w:rPr>
        <w:t>1997</w:t>
      </w:r>
      <w:r>
        <w:rPr>
          <w:rFonts w:hint="eastAsia"/>
        </w:rPr>
        <w:t>年为</w:t>
      </w:r>
      <w:r>
        <w:rPr>
          <w:rFonts w:hint="eastAsia"/>
        </w:rPr>
        <w:t>2,020</w:t>
      </w:r>
      <w:r>
        <w:rPr>
          <w:rFonts w:hint="eastAsia"/>
        </w:rPr>
        <w:t>万列依，</w:t>
      </w:r>
      <w:r>
        <w:rPr>
          <w:rFonts w:hint="eastAsia"/>
        </w:rPr>
        <w:t>1998</w:t>
      </w:r>
      <w:r>
        <w:rPr>
          <w:rFonts w:hint="eastAsia"/>
        </w:rPr>
        <w:t>年为</w:t>
      </w:r>
      <w:r>
        <w:rPr>
          <w:rFonts w:hint="eastAsia"/>
        </w:rPr>
        <w:t>2,100</w:t>
      </w:r>
      <w:r>
        <w:rPr>
          <w:rFonts w:hint="eastAsia"/>
        </w:rPr>
        <w:t>万列依，分别占当年国内生产总值的</w:t>
      </w:r>
      <w:r>
        <w:rPr>
          <w:rFonts w:hint="eastAsia"/>
        </w:rPr>
        <w:t>0.25%</w:t>
      </w:r>
      <w:r>
        <w:rPr>
          <w:rFonts w:hint="eastAsia"/>
        </w:rPr>
        <w:t>、</w:t>
      </w:r>
      <w:r>
        <w:rPr>
          <w:rFonts w:hint="eastAsia"/>
        </w:rPr>
        <w:t>0.25%</w:t>
      </w:r>
      <w:r>
        <w:rPr>
          <w:rFonts w:hint="eastAsia"/>
        </w:rPr>
        <w:t>、</w:t>
      </w:r>
      <w:r>
        <w:rPr>
          <w:rFonts w:hint="eastAsia"/>
        </w:rPr>
        <w:t>0.23%</w:t>
      </w:r>
      <w:r>
        <w:rPr>
          <w:rFonts w:hint="eastAsia"/>
        </w:rPr>
        <w:t>和</w:t>
      </w:r>
      <w:r>
        <w:rPr>
          <w:rFonts w:hint="eastAsia"/>
        </w:rPr>
        <w:t>0.18%</w:t>
      </w:r>
      <w:r>
        <w:rPr>
          <w:rFonts w:hint="eastAsia"/>
        </w:rPr>
        <w:t>。</w:t>
      </w:r>
    </w:p>
    <w:p w:rsidR="00000000" w:rsidRDefault="00000000">
      <w:pPr>
        <w:rPr>
          <w:rFonts w:hint="eastAsia"/>
        </w:rPr>
      </w:pPr>
      <w:r>
        <w:rPr>
          <w:rFonts w:hint="eastAsia"/>
        </w:rPr>
        <w:tab/>
        <w:t xml:space="preserve">602.  </w:t>
      </w:r>
      <w:r>
        <w:rPr>
          <w:rFonts w:hint="eastAsia"/>
        </w:rPr>
        <w:t>上面的数字显示中央和地方财政拨款呈现下降的趋势。这导致发展、维护并促进国家文化宝库的事业出现财政危机。为改善这一状况，主要的国家文化机构与地方机构都拓宽了预算外资金来源。</w:t>
      </w:r>
    </w:p>
    <w:p w:rsidR="00000000" w:rsidRDefault="00000000">
      <w:pPr>
        <w:rPr>
          <w:rFonts w:hint="eastAsia"/>
        </w:rPr>
      </w:pPr>
      <w:r>
        <w:rPr>
          <w:rFonts w:hint="eastAsia"/>
        </w:rPr>
        <w:tab/>
        <w:t xml:space="preserve">603.  </w:t>
      </w:r>
      <w:r>
        <w:rPr>
          <w:rFonts w:hint="eastAsia"/>
        </w:rPr>
        <w:t>直到</w:t>
      </w:r>
      <w:r>
        <w:rPr>
          <w:rFonts w:hint="eastAsia"/>
        </w:rPr>
        <w:t>1995</w:t>
      </w:r>
      <w:r>
        <w:rPr>
          <w:rFonts w:hint="eastAsia"/>
        </w:rPr>
        <w:t>年，只有博物馆有来自旅游和展览门票收入的</w:t>
      </w:r>
      <w:r>
        <w:rPr>
          <w:rFonts w:hint="eastAsia"/>
        </w:rPr>
        <w:t>(</w:t>
      </w:r>
      <w:r>
        <w:rPr>
          <w:rFonts w:hint="eastAsia"/>
        </w:rPr>
        <w:t>少量</w:t>
      </w:r>
      <w:r>
        <w:rPr>
          <w:rFonts w:hint="eastAsia"/>
        </w:rPr>
        <w:t>)</w:t>
      </w:r>
      <w:r>
        <w:rPr>
          <w:rFonts w:hint="eastAsia"/>
        </w:rPr>
        <w:t>预算外资金来源。从</w:t>
      </w:r>
      <w:r>
        <w:rPr>
          <w:rFonts w:hint="eastAsia"/>
        </w:rPr>
        <w:t>1995</w:t>
      </w:r>
      <w:r>
        <w:rPr>
          <w:rFonts w:hint="eastAsia"/>
        </w:rPr>
        <w:t>年以来，各机构拓宽了预算外资金来源，在原有的基础上增加了来源，如：艺术教育机构收取学费，向艺术作品和电影提供专门知识的收费；出租各类文化机构的房产。</w:t>
      </w:r>
    </w:p>
    <w:p w:rsidR="00000000" w:rsidRDefault="00000000">
      <w:pPr>
        <w:rPr>
          <w:rFonts w:hint="eastAsia"/>
        </w:rPr>
      </w:pPr>
      <w:r>
        <w:rPr>
          <w:rFonts w:hint="eastAsia"/>
        </w:rPr>
        <w:tab/>
        <w:t>604.  1999</w:t>
      </w:r>
      <w:r>
        <w:rPr>
          <w:rFonts w:hint="eastAsia"/>
        </w:rPr>
        <w:t>年，文化部附属机构收到经济实体、法律实体和组织以赞助和赠与形式提供的经批准的补贴总额</w:t>
      </w:r>
      <w:r>
        <w:rPr>
          <w:rFonts w:hint="eastAsia"/>
        </w:rPr>
        <w:t>317,000</w:t>
      </w:r>
      <w:r>
        <w:rPr>
          <w:rFonts w:hint="eastAsia"/>
        </w:rPr>
        <w:t>列依，占全部预算外资金的</w:t>
      </w:r>
      <w:r>
        <w:rPr>
          <w:rFonts w:hint="eastAsia"/>
        </w:rPr>
        <w:t>7.5%</w:t>
      </w:r>
      <w:r>
        <w:rPr>
          <w:rFonts w:hint="eastAsia"/>
        </w:rPr>
        <w:t>，是国家预算负担开支的</w:t>
      </w:r>
      <w:r>
        <w:rPr>
          <w:rFonts w:hint="eastAsia"/>
        </w:rPr>
        <w:t>1.7%</w:t>
      </w:r>
      <w:r>
        <w:rPr>
          <w:rFonts w:hint="eastAsia"/>
        </w:rPr>
        <w:t>。今天，在文化和艺术教育机构全部开支中，预算外资金总额已超过</w:t>
      </w:r>
      <w:r>
        <w:rPr>
          <w:rFonts w:hint="eastAsia"/>
        </w:rPr>
        <w:t>400</w:t>
      </w:r>
      <w:r>
        <w:rPr>
          <w:rFonts w:hint="eastAsia"/>
        </w:rPr>
        <w:t>万列依。</w:t>
      </w:r>
    </w:p>
    <w:p w:rsidR="00000000" w:rsidRDefault="00000000">
      <w:pPr>
        <w:rPr>
          <w:rFonts w:hint="eastAsia"/>
        </w:rPr>
      </w:pPr>
      <w:r>
        <w:rPr>
          <w:rFonts w:hint="eastAsia"/>
        </w:rPr>
        <w:tab/>
        <w:t xml:space="preserve">605.  </w:t>
      </w:r>
      <w:r>
        <w:rPr>
          <w:rFonts w:hint="eastAsia"/>
        </w:rPr>
        <w:t>摩尔多瓦共和国有一部《赞助法》。</w:t>
      </w:r>
      <w:r>
        <w:rPr>
          <w:rFonts w:hint="eastAsia"/>
        </w:rPr>
        <w:t>1998</w:t>
      </w:r>
      <w:r>
        <w:rPr>
          <w:rFonts w:hint="eastAsia"/>
        </w:rPr>
        <w:t>年，本国赞助人向文化机构，主要是出版和表演业，资助了</w:t>
      </w:r>
      <w:r>
        <w:rPr>
          <w:rFonts w:hint="eastAsia"/>
        </w:rPr>
        <w:t>380</w:t>
      </w:r>
      <w:r>
        <w:rPr>
          <w:rFonts w:hint="eastAsia"/>
        </w:rPr>
        <w:t>万列依。最初的公共基金会通过提供奖学金，留学补助和参加节日、比赛和展览赞助，主要对青年人才提供支持。</w:t>
      </w:r>
    </w:p>
    <w:p w:rsidR="00000000" w:rsidRDefault="00000000">
      <w:pPr>
        <w:rPr>
          <w:rFonts w:hint="eastAsia"/>
        </w:rPr>
      </w:pPr>
      <w:r>
        <w:rPr>
          <w:rFonts w:hint="eastAsia"/>
        </w:rPr>
        <w:tab/>
        <w:t xml:space="preserve">606.  </w:t>
      </w:r>
      <w:r>
        <w:rPr>
          <w:rFonts w:hint="eastAsia"/>
        </w:rPr>
        <w:t>在</w:t>
      </w:r>
      <w:r>
        <w:rPr>
          <w:rFonts w:hint="eastAsia"/>
        </w:rPr>
        <w:t>1990</w:t>
      </w:r>
      <w:r>
        <w:rPr>
          <w:rFonts w:hint="eastAsia"/>
        </w:rPr>
        <w:t>年代初，摩尔多瓦共和国已经有了一套发达的文化基础设施，包括：</w:t>
      </w:r>
    </w:p>
    <w:p w:rsidR="00000000" w:rsidRDefault="00000000">
      <w:pPr>
        <w:numPr>
          <w:ilvl w:val="0"/>
          <w:numId w:val="587"/>
        </w:numPr>
        <w:rPr>
          <w:rFonts w:hint="eastAsia"/>
        </w:rPr>
      </w:pPr>
      <w:r>
        <w:rPr>
          <w:rFonts w:hint="eastAsia"/>
        </w:rPr>
        <w:t>一个包括特殊、艺术和普通教育机构的网络；</w:t>
      </w:r>
    </w:p>
    <w:p w:rsidR="00000000" w:rsidRDefault="00000000">
      <w:pPr>
        <w:numPr>
          <w:ilvl w:val="0"/>
          <w:numId w:val="587"/>
        </w:numPr>
        <w:rPr>
          <w:rFonts w:hint="eastAsia"/>
        </w:rPr>
      </w:pPr>
      <w:r>
        <w:rPr>
          <w:rFonts w:hint="eastAsia"/>
        </w:rPr>
        <w:t>一个培训广泛的文化专业人才的体系；</w:t>
      </w:r>
    </w:p>
    <w:p w:rsidR="00000000" w:rsidRDefault="00000000">
      <w:pPr>
        <w:numPr>
          <w:ilvl w:val="0"/>
          <w:numId w:val="587"/>
        </w:numPr>
        <w:rPr>
          <w:rFonts w:hint="eastAsia"/>
        </w:rPr>
      </w:pPr>
      <w:r>
        <w:rPr>
          <w:rFonts w:hint="eastAsia"/>
        </w:rPr>
        <w:t>一个表演网络；</w:t>
      </w:r>
    </w:p>
    <w:p w:rsidR="00000000" w:rsidRDefault="00000000">
      <w:pPr>
        <w:numPr>
          <w:ilvl w:val="0"/>
          <w:numId w:val="587"/>
        </w:numPr>
        <w:rPr>
          <w:rFonts w:hint="eastAsia"/>
        </w:rPr>
      </w:pPr>
      <w:r>
        <w:rPr>
          <w:rFonts w:hint="eastAsia"/>
        </w:rPr>
        <w:t>一个博物馆、音乐厅和展览厅网络；</w:t>
      </w:r>
    </w:p>
    <w:p w:rsidR="00000000" w:rsidRDefault="00000000">
      <w:pPr>
        <w:numPr>
          <w:ilvl w:val="0"/>
          <w:numId w:val="587"/>
        </w:numPr>
        <w:rPr>
          <w:rFonts w:hint="eastAsia"/>
        </w:rPr>
      </w:pPr>
      <w:r>
        <w:rPr>
          <w:rFonts w:hint="eastAsia"/>
        </w:rPr>
        <w:t>一个发达的图书馆系统；</w:t>
      </w:r>
    </w:p>
    <w:p w:rsidR="00000000" w:rsidRDefault="00000000">
      <w:pPr>
        <w:numPr>
          <w:ilvl w:val="0"/>
          <w:numId w:val="587"/>
        </w:numPr>
        <w:rPr>
          <w:rFonts w:hint="eastAsia"/>
        </w:rPr>
      </w:pPr>
      <w:r>
        <w:rPr>
          <w:rFonts w:hint="eastAsia"/>
        </w:rPr>
        <w:t>一个出版印刷业的制作和发行体系；</w:t>
      </w:r>
    </w:p>
    <w:p w:rsidR="00000000" w:rsidRDefault="00000000">
      <w:pPr>
        <w:numPr>
          <w:ilvl w:val="0"/>
          <w:numId w:val="587"/>
        </w:numPr>
        <w:rPr>
          <w:rFonts w:hint="eastAsia"/>
        </w:rPr>
      </w:pPr>
      <w:r>
        <w:rPr>
          <w:rFonts w:hint="eastAsia"/>
        </w:rPr>
        <w:t>一个地方文化机构网络；</w:t>
      </w:r>
    </w:p>
    <w:p w:rsidR="00000000" w:rsidRDefault="00000000">
      <w:pPr>
        <w:numPr>
          <w:ilvl w:val="0"/>
          <w:numId w:val="587"/>
        </w:numPr>
        <w:rPr>
          <w:rFonts w:hint="eastAsia"/>
        </w:rPr>
      </w:pPr>
      <w:r>
        <w:rPr>
          <w:rFonts w:hint="eastAsia"/>
        </w:rPr>
        <w:t>一个工会文化机构网络；</w:t>
      </w:r>
    </w:p>
    <w:p w:rsidR="00000000" w:rsidRDefault="00000000">
      <w:pPr>
        <w:numPr>
          <w:ilvl w:val="0"/>
          <w:numId w:val="587"/>
        </w:numPr>
        <w:rPr>
          <w:rFonts w:hint="eastAsia"/>
        </w:rPr>
      </w:pPr>
      <w:r>
        <w:rPr>
          <w:rFonts w:hint="eastAsia"/>
        </w:rPr>
        <w:t>电影制作业和电影发行体系；</w:t>
      </w:r>
    </w:p>
    <w:p w:rsidR="00000000" w:rsidRDefault="00000000">
      <w:pPr>
        <w:rPr>
          <w:rFonts w:hint="eastAsia"/>
        </w:rPr>
      </w:pPr>
      <w:r>
        <w:rPr>
          <w:rFonts w:hint="eastAsia"/>
        </w:rPr>
        <w:tab/>
        <w:t xml:space="preserve">607.  </w:t>
      </w:r>
      <w:r>
        <w:rPr>
          <w:rFonts w:hint="eastAsia"/>
        </w:rPr>
        <w:t>从</w:t>
      </w:r>
      <w:r>
        <w:rPr>
          <w:rFonts w:hint="eastAsia"/>
        </w:rPr>
        <w:t>1999</w:t>
      </w:r>
      <w:r>
        <w:rPr>
          <w:rFonts w:hint="eastAsia"/>
        </w:rPr>
        <w:t>年以来，摩尔多瓦共和国共有</w:t>
      </w:r>
      <w:r>
        <w:rPr>
          <w:rFonts w:hint="eastAsia"/>
        </w:rPr>
        <w:t>70</w:t>
      </w:r>
      <w:r>
        <w:rPr>
          <w:rFonts w:hint="eastAsia"/>
        </w:rPr>
        <w:t>个博物馆、</w:t>
      </w:r>
      <w:r>
        <w:rPr>
          <w:rFonts w:hint="eastAsia"/>
        </w:rPr>
        <w:t>3</w:t>
      </w:r>
      <w:r>
        <w:rPr>
          <w:rFonts w:hint="eastAsia"/>
        </w:rPr>
        <w:t>个文化中心、</w:t>
      </w:r>
      <w:r>
        <w:rPr>
          <w:rFonts w:hint="eastAsia"/>
        </w:rPr>
        <w:t>13</w:t>
      </w:r>
      <w:r>
        <w:rPr>
          <w:rFonts w:hint="eastAsia"/>
        </w:rPr>
        <w:t>个剧院</w:t>
      </w:r>
      <w:r>
        <w:rPr>
          <w:rFonts w:hint="eastAsia"/>
        </w:rPr>
        <w:t>(</w:t>
      </w:r>
      <w:r>
        <w:rPr>
          <w:rFonts w:hint="eastAsia"/>
        </w:rPr>
        <w:t>全部</w:t>
      </w:r>
      <w:r>
        <w:rPr>
          <w:rFonts w:hint="eastAsia"/>
        </w:rPr>
        <w:t>)</w:t>
      </w:r>
      <w:r>
        <w:rPr>
          <w:rFonts w:hint="eastAsia"/>
        </w:rPr>
        <w:t>、</w:t>
      </w:r>
      <w:r>
        <w:rPr>
          <w:rFonts w:hint="eastAsia"/>
        </w:rPr>
        <w:t>2</w:t>
      </w:r>
      <w:r>
        <w:rPr>
          <w:rFonts w:hint="eastAsia"/>
        </w:rPr>
        <w:t>个电影院、</w:t>
      </w:r>
      <w:r>
        <w:rPr>
          <w:rFonts w:hint="eastAsia"/>
        </w:rPr>
        <w:t>12</w:t>
      </w:r>
      <w:r>
        <w:rPr>
          <w:rFonts w:hint="eastAsia"/>
        </w:rPr>
        <w:t>个录像放映场、</w:t>
      </w:r>
      <w:r>
        <w:rPr>
          <w:rFonts w:hint="eastAsia"/>
        </w:rPr>
        <w:t>1,439</w:t>
      </w:r>
      <w:r>
        <w:rPr>
          <w:rFonts w:hint="eastAsia"/>
        </w:rPr>
        <w:t>个公共图书馆、</w:t>
      </w:r>
      <w:r>
        <w:rPr>
          <w:rFonts w:hint="eastAsia"/>
        </w:rPr>
        <w:t>128</w:t>
      </w:r>
      <w:r>
        <w:rPr>
          <w:rFonts w:hint="eastAsia"/>
        </w:rPr>
        <w:t>个艺术教育机构、</w:t>
      </w:r>
      <w:r>
        <w:rPr>
          <w:rFonts w:hint="eastAsia"/>
        </w:rPr>
        <w:t>11</w:t>
      </w:r>
      <w:r>
        <w:rPr>
          <w:rFonts w:hint="eastAsia"/>
        </w:rPr>
        <w:t>个创作艺术家联盟和协会在开展活动。</w:t>
      </w:r>
    </w:p>
    <w:p w:rsidR="00000000" w:rsidRDefault="00000000">
      <w:pPr>
        <w:rPr>
          <w:rFonts w:hint="eastAsia"/>
        </w:rPr>
      </w:pPr>
      <w:r>
        <w:rPr>
          <w:rFonts w:hint="eastAsia"/>
        </w:rPr>
        <w:tab/>
        <w:t xml:space="preserve">608.  </w:t>
      </w:r>
      <w:r>
        <w:rPr>
          <w:rFonts w:hint="eastAsia"/>
        </w:rPr>
        <w:t>《文化法》第</w:t>
      </w:r>
      <w:r>
        <w:rPr>
          <w:rFonts w:hint="eastAsia"/>
        </w:rPr>
        <w:t>17</w:t>
      </w:r>
      <w:r>
        <w:rPr>
          <w:rFonts w:hint="eastAsia"/>
        </w:rPr>
        <w:t>条规定了保存、保护和利用国家文化遗产的专门条件。禁止将民族文化遗产项目私有化。此外，根据该法第</w:t>
      </w:r>
      <w:r>
        <w:rPr>
          <w:rFonts w:hint="eastAsia"/>
        </w:rPr>
        <w:t>6</w:t>
      </w:r>
      <w:r>
        <w:rPr>
          <w:rFonts w:hint="eastAsia"/>
        </w:rPr>
        <w:t>条的规定，政府创办国家文化发展和保护项目。</w:t>
      </w:r>
    </w:p>
    <w:p w:rsidR="00000000" w:rsidRDefault="00000000">
      <w:pPr>
        <w:rPr>
          <w:rFonts w:hint="eastAsia"/>
        </w:rPr>
      </w:pPr>
      <w:r>
        <w:rPr>
          <w:rFonts w:hint="eastAsia"/>
        </w:rPr>
        <w:tab/>
        <w:t xml:space="preserve">609.  </w:t>
      </w:r>
      <w:r>
        <w:rPr>
          <w:rFonts w:hint="eastAsia"/>
        </w:rPr>
        <w:t>从</w:t>
      </w:r>
      <w:r>
        <w:rPr>
          <w:rFonts w:hint="eastAsia"/>
        </w:rPr>
        <w:t>1994</w:t>
      </w:r>
      <w:r>
        <w:rPr>
          <w:rFonts w:hint="eastAsia"/>
        </w:rPr>
        <w:t>年以来，负责保护固定文化遗产的当局由于资金来源不足，没有修复一座纪念碑。</w:t>
      </w:r>
    </w:p>
    <w:p w:rsidR="00000000" w:rsidRDefault="00000000">
      <w:pPr>
        <w:rPr>
          <w:rFonts w:hint="eastAsia"/>
        </w:rPr>
      </w:pPr>
      <w:r>
        <w:rPr>
          <w:rFonts w:hint="eastAsia"/>
        </w:rPr>
        <w:tab/>
        <w:t xml:space="preserve">610.  </w:t>
      </w:r>
      <w:r>
        <w:rPr>
          <w:rFonts w:hint="eastAsia"/>
        </w:rPr>
        <w:t>统计数据表明，在</w:t>
      </w:r>
      <w:r>
        <w:rPr>
          <w:rFonts w:hint="eastAsia"/>
        </w:rPr>
        <w:t>1990</w:t>
      </w:r>
      <w:r>
        <w:rPr>
          <w:rFonts w:hint="eastAsia"/>
        </w:rPr>
        <w:t>至</w:t>
      </w:r>
      <w:r>
        <w:rPr>
          <w:rFonts w:hint="eastAsia"/>
        </w:rPr>
        <w:t>1998</w:t>
      </w:r>
      <w:r>
        <w:rPr>
          <w:rFonts w:hint="eastAsia"/>
        </w:rPr>
        <w:t>年间，该国艺术学校的学生总数下降了</w:t>
      </w:r>
      <w:r>
        <w:rPr>
          <w:rFonts w:hint="eastAsia"/>
        </w:rPr>
        <w:t>63.2%</w:t>
      </w:r>
      <w:r>
        <w:rPr>
          <w:rFonts w:hint="eastAsia"/>
        </w:rPr>
        <w:t>。文化机构在承受经济危机带来的后果。</w:t>
      </w:r>
      <w:r>
        <w:rPr>
          <w:rFonts w:hint="eastAsia"/>
        </w:rPr>
        <w:t>1998</w:t>
      </w:r>
      <w:r>
        <w:rPr>
          <w:rFonts w:hint="eastAsia"/>
        </w:rPr>
        <w:t>年，文化机构的全部房地产遗产中只有</w:t>
      </w:r>
      <w:r>
        <w:rPr>
          <w:rFonts w:hint="eastAsia"/>
        </w:rPr>
        <w:t>44%</w:t>
      </w:r>
      <w:r>
        <w:rPr>
          <w:rFonts w:hint="eastAsia"/>
        </w:rPr>
        <w:t>达到令人满意的标准。</w:t>
      </w:r>
    </w:p>
    <w:p w:rsidR="00000000" w:rsidRDefault="00000000">
      <w:pPr>
        <w:rPr>
          <w:rFonts w:hint="eastAsia"/>
        </w:rPr>
      </w:pPr>
      <w:r>
        <w:rPr>
          <w:rFonts w:hint="eastAsia"/>
        </w:rPr>
        <w:tab/>
        <w:t>611.  1999</w:t>
      </w:r>
      <w:r>
        <w:rPr>
          <w:rFonts w:hint="eastAsia"/>
        </w:rPr>
        <w:t>年</w:t>
      </w:r>
      <w:r>
        <w:rPr>
          <w:rFonts w:hint="eastAsia"/>
        </w:rPr>
        <w:t>7</w:t>
      </w:r>
      <w:r>
        <w:rPr>
          <w:rFonts w:hint="eastAsia"/>
        </w:rPr>
        <w:t>月</w:t>
      </w:r>
      <w:r>
        <w:rPr>
          <w:rFonts w:hint="eastAsia"/>
        </w:rPr>
        <w:t>29</w:t>
      </w:r>
      <w:r>
        <w:rPr>
          <w:rFonts w:hint="eastAsia"/>
        </w:rPr>
        <w:t>日的《国家研究与发展政策法》保证科学进步。国家通过</w:t>
      </w:r>
      <w:r>
        <w:rPr>
          <w:rFonts w:hint="eastAsia"/>
        </w:rPr>
        <w:t>1995</w:t>
      </w:r>
      <w:r>
        <w:rPr>
          <w:rFonts w:hint="eastAsia"/>
        </w:rPr>
        <w:t>年</w:t>
      </w:r>
      <w:r>
        <w:rPr>
          <w:rFonts w:hint="eastAsia"/>
        </w:rPr>
        <w:t>5</w:t>
      </w:r>
      <w:r>
        <w:rPr>
          <w:rFonts w:hint="eastAsia"/>
        </w:rPr>
        <w:t>月</w:t>
      </w:r>
      <w:r>
        <w:rPr>
          <w:rFonts w:hint="eastAsia"/>
        </w:rPr>
        <w:t>18</w:t>
      </w:r>
      <w:r>
        <w:rPr>
          <w:rFonts w:hint="eastAsia"/>
        </w:rPr>
        <w:t>日的《专利法》、</w:t>
      </w:r>
      <w:r>
        <w:rPr>
          <w:rFonts w:hint="eastAsia"/>
        </w:rPr>
        <w:t>1995</w:t>
      </w:r>
      <w:r>
        <w:rPr>
          <w:rFonts w:hint="eastAsia"/>
        </w:rPr>
        <w:t>年</w:t>
      </w:r>
      <w:r>
        <w:rPr>
          <w:rFonts w:hint="eastAsia"/>
        </w:rPr>
        <w:t>9</w:t>
      </w:r>
      <w:r>
        <w:rPr>
          <w:rFonts w:hint="eastAsia"/>
        </w:rPr>
        <w:t>月</w:t>
      </w:r>
      <w:r>
        <w:rPr>
          <w:rFonts w:hint="eastAsia"/>
        </w:rPr>
        <w:t>22</w:t>
      </w:r>
      <w:r>
        <w:rPr>
          <w:rFonts w:hint="eastAsia"/>
        </w:rPr>
        <w:t>日的《商标和产品名称法》以及</w:t>
      </w:r>
      <w:r>
        <w:rPr>
          <w:rFonts w:hint="eastAsia"/>
        </w:rPr>
        <w:t>1993</w:t>
      </w:r>
      <w:r>
        <w:rPr>
          <w:rFonts w:hint="eastAsia"/>
        </w:rPr>
        <w:t>年</w:t>
      </w:r>
      <w:r>
        <w:rPr>
          <w:rFonts w:hint="eastAsia"/>
        </w:rPr>
        <w:t>7</w:t>
      </w:r>
      <w:r>
        <w:rPr>
          <w:rFonts w:hint="eastAsia"/>
        </w:rPr>
        <w:t>月</w:t>
      </w:r>
      <w:r>
        <w:rPr>
          <w:rFonts w:hint="eastAsia"/>
        </w:rPr>
        <w:t>26</w:t>
      </w:r>
      <w:r>
        <w:rPr>
          <w:rFonts w:hint="eastAsia"/>
        </w:rPr>
        <w:t>日的摩尔多瓦共和国工业产权保护暂行条例，保护作为科学进步基础的发明创造。《国家研究与发展政策法》规定，科学成就是国家、福利以及生活质量可持续发展的基础。</w:t>
      </w:r>
    </w:p>
    <w:p w:rsidR="00000000" w:rsidRDefault="00000000">
      <w:pPr>
        <w:rPr>
          <w:rFonts w:hint="eastAsia"/>
        </w:rPr>
      </w:pPr>
      <w:r>
        <w:rPr>
          <w:rFonts w:hint="eastAsia"/>
        </w:rPr>
        <w:tab/>
        <w:t xml:space="preserve">612.  </w:t>
      </w:r>
      <w:r>
        <w:rPr>
          <w:rFonts w:hint="eastAsia"/>
        </w:rPr>
        <w:t>上述法律第</w:t>
      </w:r>
      <w:r>
        <w:rPr>
          <w:rFonts w:hint="eastAsia"/>
        </w:rPr>
        <w:t>24</w:t>
      </w:r>
      <w:r>
        <w:rPr>
          <w:rFonts w:hint="eastAsia"/>
        </w:rPr>
        <w:t>条确保信息的获取，包括开发一个国内外研究的数据库，购买有关参考文献，获取国际数据库。</w:t>
      </w:r>
    </w:p>
    <w:p w:rsidR="00000000" w:rsidRDefault="00000000">
      <w:pPr>
        <w:rPr>
          <w:rFonts w:hint="eastAsia"/>
        </w:rPr>
      </w:pPr>
      <w:r>
        <w:rPr>
          <w:rFonts w:hint="eastAsia"/>
        </w:rPr>
        <w:tab/>
        <w:t xml:space="preserve">613.  </w:t>
      </w:r>
      <w:r>
        <w:rPr>
          <w:rFonts w:hint="eastAsia"/>
        </w:rPr>
        <w:t>同一部法律的第</w:t>
      </w:r>
      <w:r>
        <w:rPr>
          <w:rFonts w:hint="eastAsia"/>
        </w:rPr>
        <w:t>4</w:t>
      </w:r>
      <w:r>
        <w:rPr>
          <w:rFonts w:hint="eastAsia"/>
        </w:rPr>
        <w:t>条规定了人口卫生保健原则；因此，有害生命或者健康的科学成就不能应用。可能危害人体健康是拒绝专利申请的一条原因。</w:t>
      </w:r>
    </w:p>
    <w:p w:rsidR="00000000" w:rsidRDefault="00000000">
      <w:pPr>
        <w:rPr>
          <w:rFonts w:hint="eastAsia"/>
        </w:rPr>
      </w:pPr>
      <w:r>
        <w:rPr>
          <w:rFonts w:hint="eastAsia"/>
        </w:rPr>
        <w:tab/>
        <w:t xml:space="preserve">614.  </w:t>
      </w:r>
      <w:r>
        <w:rPr>
          <w:rFonts w:hint="eastAsia"/>
        </w:rPr>
        <w:t>《文化法》第三章中载有如下陈述，人权是文化活动的一项优先内容，不受政府或其他组织的限制。</w:t>
      </w:r>
    </w:p>
    <w:p w:rsidR="00000000" w:rsidRDefault="00000000">
      <w:pPr>
        <w:rPr>
          <w:rFonts w:hint="eastAsia"/>
        </w:rPr>
      </w:pPr>
      <w:r>
        <w:rPr>
          <w:rFonts w:hint="eastAsia"/>
        </w:rPr>
        <w:tab/>
        <w:t xml:space="preserve">615.  </w:t>
      </w:r>
      <w:r>
        <w:rPr>
          <w:rFonts w:hint="eastAsia"/>
        </w:rPr>
        <w:t>作者的权利受到《摩尔多瓦共和国宪法》，《民法》以及</w:t>
      </w:r>
      <w:r>
        <w:rPr>
          <w:rFonts w:hint="eastAsia"/>
        </w:rPr>
        <w:t>1993</w:t>
      </w:r>
      <w:r>
        <w:rPr>
          <w:rFonts w:hint="eastAsia"/>
        </w:rPr>
        <w:t>年</w:t>
      </w:r>
      <w:r>
        <w:rPr>
          <w:rFonts w:hint="eastAsia"/>
        </w:rPr>
        <w:t>11</w:t>
      </w:r>
      <w:r>
        <w:rPr>
          <w:rFonts w:hint="eastAsia"/>
        </w:rPr>
        <w:t>月</w:t>
      </w:r>
      <w:r>
        <w:rPr>
          <w:rFonts w:hint="eastAsia"/>
        </w:rPr>
        <w:t>23</w:t>
      </w:r>
      <w:r>
        <w:rPr>
          <w:rFonts w:hint="eastAsia"/>
        </w:rPr>
        <w:t>日的《版权及其相关权利法》的保护。该法第</w:t>
      </w:r>
      <w:r>
        <w:rPr>
          <w:rFonts w:hint="eastAsia"/>
        </w:rPr>
        <w:t>4</w:t>
      </w:r>
      <w:r>
        <w:rPr>
          <w:rFonts w:hint="eastAsia"/>
        </w:rPr>
        <w:t>条规定保护文学、艺术和科学领域的智力创作的版权。版权的取得和使用并不一定要通过注册或其他专门程序。版权包括世袭性的权利</w:t>
      </w:r>
      <w:r>
        <w:rPr>
          <w:rFonts w:hint="eastAsia"/>
        </w:rPr>
        <w:t>(</w:t>
      </w:r>
      <w:r>
        <w:rPr>
          <w:rFonts w:hint="eastAsia"/>
        </w:rPr>
        <w:t>经济的</w:t>
      </w:r>
      <w:r>
        <w:rPr>
          <w:rFonts w:hint="eastAsia"/>
        </w:rPr>
        <w:t>)</w:t>
      </w:r>
      <w:r>
        <w:rPr>
          <w:rFonts w:hint="eastAsia"/>
        </w:rPr>
        <w:t>和非世袭性的权利</w:t>
      </w:r>
      <w:r>
        <w:rPr>
          <w:rFonts w:hint="eastAsia"/>
        </w:rPr>
        <w:t>(</w:t>
      </w:r>
      <w:r>
        <w:rPr>
          <w:rFonts w:hint="eastAsia"/>
        </w:rPr>
        <w:t>本人的和精神的</w:t>
      </w:r>
      <w:r>
        <w:rPr>
          <w:rFonts w:hint="eastAsia"/>
        </w:rPr>
        <w:t>)</w:t>
      </w:r>
      <w:r>
        <w:rPr>
          <w:rFonts w:hint="eastAsia"/>
        </w:rPr>
        <w:t>。《宪法》第</w:t>
      </w:r>
      <w:r>
        <w:rPr>
          <w:rFonts w:hint="eastAsia"/>
        </w:rPr>
        <w:t>33</w:t>
      </w:r>
      <w:r>
        <w:rPr>
          <w:rFonts w:hint="eastAsia"/>
        </w:rPr>
        <w:t>条保证对知识产权的权利。</w:t>
      </w:r>
    </w:p>
    <w:p w:rsidR="00000000" w:rsidRDefault="00000000">
      <w:pPr>
        <w:rPr>
          <w:rFonts w:hint="eastAsia"/>
        </w:rPr>
      </w:pPr>
      <w:r>
        <w:rPr>
          <w:rFonts w:hint="eastAsia"/>
        </w:rPr>
        <w:tab/>
        <w:t xml:space="preserve">616.  </w:t>
      </w:r>
      <w:r>
        <w:rPr>
          <w:rFonts w:hint="eastAsia"/>
        </w:rPr>
        <w:t>议会通过了保护版权的一套法规：</w:t>
      </w:r>
      <w:r>
        <w:rPr>
          <w:rFonts w:hint="eastAsia"/>
        </w:rPr>
        <w:t>1994</w:t>
      </w:r>
      <w:r>
        <w:rPr>
          <w:rFonts w:hint="eastAsia"/>
        </w:rPr>
        <w:t>年</w:t>
      </w:r>
      <w:r>
        <w:rPr>
          <w:rFonts w:hint="eastAsia"/>
        </w:rPr>
        <w:t>11</w:t>
      </w:r>
      <w:r>
        <w:rPr>
          <w:rFonts w:hint="eastAsia"/>
        </w:rPr>
        <w:t>月</w:t>
      </w:r>
      <w:r>
        <w:rPr>
          <w:rFonts w:hint="eastAsia"/>
        </w:rPr>
        <w:t>23</w:t>
      </w:r>
      <w:r>
        <w:rPr>
          <w:rFonts w:hint="eastAsia"/>
        </w:rPr>
        <w:t>日的第</w:t>
      </w:r>
      <w:r>
        <w:rPr>
          <w:rFonts w:hint="eastAsia"/>
        </w:rPr>
        <w:t>293</w:t>
      </w:r>
      <w:r>
        <w:t>-XIII</w:t>
      </w:r>
      <w:r>
        <w:rPr>
          <w:rFonts w:hint="eastAsia"/>
        </w:rPr>
        <w:t>号《版权及其相关权利法》；</w:t>
      </w:r>
      <w:r>
        <w:rPr>
          <w:rFonts w:hint="eastAsia"/>
        </w:rPr>
        <w:t>1995</w:t>
      </w:r>
      <w:r>
        <w:rPr>
          <w:rFonts w:hint="eastAsia"/>
        </w:rPr>
        <w:t>年</w:t>
      </w:r>
      <w:r>
        <w:rPr>
          <w:rFonts w:hint="eastAsia"/>
        </w:rPr>
        <w:t>5</w:t>
      </w:r>
      <w:r>
        <w:rPr>
          <w:rFonts w:hint="eastAsia"/>
        </w:rPr>
        <w:t>月</w:t>
      </w:r>
      <w:r>
        <w:rPr>
          <w:rFonts w:hint="eastAsia"/>
        </w:rPr>
        <w:t>18</w:t>
      </w:r>
      <w:r>
        <w:rPr>
          <w:rFonts w:hint="eastAsia"/>
        </w:rPr>
        <w:t>日的第</w:t>
      </w:r>
      <w:r>
        <w:rPr>
          <w:rFonts w:hint="eastAsia"/>
        </w:rPr>
        <w:t>461</w:t>
      </w:r>
      <w:r>
        <w:t>-XIII</w:t>
      </w:r>
      <w:r>
        <w:rPr>
          <w:rFonts w:hint="eastAsia"/>
        </w:rPr>
        <w:t>号《专利法》；</w:t>
      </w:r>
      <w:r>
        <w:rPr>
          <w:rFonts w:hint="eastAsia"/>
        </w:rPr>
        <w:t>1996</w:t>
      </w:r>
      <w:r>
        <w:rPr>
          <w:rFonts w:hint="eastAsia"/>
        </w:rPr>
        <w:t>年</w:t>
      </w:r>
      <w:r>
        <w:rPr>
          <w:rFonts w:hint="eastAsia"/>
        </w:rPr>
        <w:t>10</w:t>
      </w:r>
      <w:r>
        <w:rPr>
          <w:rFonts w:hint="eastAsia"/>
        </w:rPr>
        <w:t>月</w:t>
      </w:r>
      <w:r>
        <w:rPr>
          <w:rFonts w:hint="eastAsia"/>
        </w:rPr>
        <w:t>15</w:t>
      </w:r>
      <w:r>
        <w:rPr>
          <w:rFonts w:hint="eastAsia"/>
        </w:rPr>
        <w:t>日的第</w:t>
      </w:r>
      <w:r>
        <w:rPr>
          <w:rFonts w:hint="eastAsia"/>
        </w:rPr>
        <w:t>991</w:t>
      </w:r>
      <w:r>
        <w:t>-XIII</w:t>
      </w:r>
      <w:r>
        <w:rPr>
          <w:rFonts w:hint="eastAsia"/>
        </w:rPr>
        <w:t>号《工业草图、图案和计划保护法》。</w:t>
      </w:r>
    </w:p>
    <w:p w:rsidR="00000000" w:rsidRDefault="00000000">
      <w:pPr>
        <w:rPr>
          <w:rFonts w:hint="eastAsia"/>
        </w:rPr>
      </w:pPr>
      <w:r>
        <w:rPr>
          <w:rFonts w:hint="eastAsia"/>
        </w:rPr>
        <w:tab/>
        <w:t xml:space="preserve">617.  </w:t>
      </w:r>
      <w:r>
        <w:rPr>
          <w:rFonts w:hint="eastAsia"/>
        </w:rPr>
        <w:t>“</w:t>
      </w:r>
      <w:r>
        <w:rPr>
          <w:rFonts w:hint="eastAsia"/>
        </w:rPr>
        <w:t>1997/1998</w:t>
      </w:r>
      <w:r>
        <w:rPr>
          <w:rFonts w:hint="eastAsia"/>
        </w:rPr>
        <w:t>年度摩尔多瓦共和国发展和保护文化艺术”政府方案的前题目的是：新的管理条件，为避免不合理损失和成本，合理利用有潜力和物质及资金来源，最大限度地使职员参与组织创造性活动。该方案被延长至</w:t>
      </w:r>
      <w:r>
        <w:rPr>
          <w:rFonts w:hint="eastAsia"/>
        </w:rPr>
        <w:t>2000</w:t>
      </w:r>
      <w:r>
        <w:rPr>
          <w:rFonts w:hint="eastAsia"/>
        </w:rPr>
        <w:t>年，并对其增补了一部概述了文化战略直到</w:t>
      </w:r>
      <w:r>
        <w:rPr>
          <w:rFonts w:hint="eastAsia"/>
        </w:rPr>
        <w:t>2005</w:t>
      </w:r>
      <w:r>
        <w:rPr>
          <w:rFonts w:hint="eastAsia"/>
        </w:rPr>
        <w:t>年的丰富的经济战略工程。</w:t>
      </w:r>
    </w:p>
    <w:p w:rsidR="00000000" w:rsidRDefault="00000000">
      <w:pPr>
        <w:rPr>
          <w:rFonts w:hint="eastAsia"/>
        </w:rPr>
      </w:pPr>
      <w:r>
        <w:rPr>
          <w:rFonts w:hint="eastAsia"/>
        </w:rPr>
        <w:tab/>
        <w:t xml:space="preserve">618.  </w:t>
      </w:r>
      <w:r>
        <w:rPr>
          <w:rFonts w:hint="eastAsia"/>
        </w:rPr>
        <w:t>文化部关于通过民族文化提升本国国际形象的工作以对摩尔多瓦共和国与其他国家和国际机构的文化合作进行实质性改革为中心，并考虑国家主要趋势，外交政策利益以及经济政治转型期的特点。参与制订、协调并签属了</w:t>
      </w:r>
      <w:r>
        <w:rPr>
          <w:rFonts w:hint="eastAsia"/>
        </w:rPr>
        <w:t>18</w:t>
      </w:r>
      <w:r>
        <w:rPr>
          <w:rFonts w:hint="eastAsia"/>
        </w:rPr>
        <w:t>个关于文化事务的国际条约。这为文化活动的开展建立了法律框架。</w:t>
      </w:r>
    </w:p>
    <w:p w:rsidR="00000000" w:rsidRDefault="00000000">
      <w:pPr>
        <w:rPr>
          <w:rFonts w:hint="eastAsia"/>
        </w:rPr>
      </w:pPr>
      <w:r>
        <w:rPr>
          <w:rFonts w:hint="eastAsia"/>
        </w:rPr>
        <w:tab/>
        <w:t xml:space="preserve">619.  </w:t>
      </w:r>
      <w:r>
        <w:rPr>
          <w:rFonts w:hint="eastAsia"/>
        </w:rPr>
        <w:t>近几年来取得了以下成就：主要艺术公司向国外宣传我国的文化价值观，为提升国家在世界上的形象创造了有利条件：国家歌剧院</w:t>
      </w:r>
      <w:r>
        <w:rPr>
          <w:rFonts w:hint="eastAsia"/>
        </w:rPr>
        <w:t>(</w:t>
      </w:r>
      <w:r>
        <w:rPr>
          <w:rFonts w:hint="eastAsia"/>
        </w:rPr>
        <w:t>西班牙、意大利、英国、荷兰</w:t>
      </w:r>
      <w:r>
        <w:rPr>
          <w:rFonts w:hint="eastAsia"/>
        </w:rPr>
        <w:t>)</w:t>
      </w:r>
      <w:r>
        <w:rPr>
          <w:rFonts w:hint="eastAsia"/>
        </w:rPr>
        <w:t>，教会合唱班“</w:t>
      </w:r>
      <w:r>
        <w:rPr>
          <w:rFonts w:hint="eastAsia"/>
        </w:rPr>
        <w:t>D</w:t>
      </w:r>
      <w:r>
        <w:t>oina</w:t>
      </w:r>
      <w:r>
        <w:rPr>
          <w:rFonts w:hint="eastAsia"/>
        </w:rPr>
        <w:t>”</w:t>
      </w:r>
      <w:r>
        <w:rPr>
          <w:rFonts w:hint="eastAsia"/>
        </w:rPr>
        <w:t>(</w:t>
      </w:r>
      <w:r>
        <w:rPr>
          <w:rFonts w:hint="eastAsia"/>
        </w:rPr>
        <w:t>意大利</w:t>
      </w:r>
      <w:r>
        <w:rPr>
          <w:rFonts w:hint="eastAsia"/>
        </w:rPr>
        <w:t>)</w:t>
      </w:r>
      <w:r>
        <w:rPr>
          <w:rFonts w:hint="eastAsia"/>
        </w:rPr>
        <w:t>，国家剧院和“</w:t>
      </w:r>
      <w:r>
        <w:t>Eugene Ionesco</w:t>
      </w:r>
      <w:r>
        <w:rPr>
          <w:rFonts w:hint="eastAsia"/>
        </w:rPr>
        <w:t>”剧院</w:t>
      </w:r>
      <w:r>
        <w:rPr>
          <w:rFonts w:hint="eastAsia"/>
        </w:rPr>
        <w:t>(</w:t>
      </w:r>
      <w:r>
        <w:rPr>
          <w:rFonts w:hint="eastAsia"/>
        </w:rPr>
        <w:t>法国，日本</w:t>
      </w:r>
      <w:r>
        <w:rPr>
          <w:rFonts w:hint="eastAsia"/>
        </w:rPr>
        <w:t>)</w:t>
      </w:r>
      <w:r>
        <w:rPr>
          <w:rFonts w:hint="eastAsia"/>
        </w:rPr>
        <w:t>，“</w:t>
      </w:r>
      <w:r>
        <w:t>Ars poetica</w:t>
      </w:r>
      <w:r>
        <w:rPr>
          <w:rFonts w:hint="eastAsia"/>
        </w:rPr>
        <w:t>”</w:t>
      </w:r>
      <w:r>
        <w:rPr>
          <w:rFonts w:hint="eastAsia"/>
        </w:rPr>
        <w:t>(</w:t>
      </w:r>
      <w:r>
        <w:rPr>
          <w:rFonts w:hint="eastAsia"/>
        </w:rPr>
        <w:t>希腊、中国、意大利</w:t>
      </w:r>
      <w:r>
        <w:rPr>
          <w:rFonts w:hint="eastAsia"/>
        </w:rPr>
        <w:t>)</w:t>
      </w:r>
      <w:r>
        <w:rPr>
          <w:rFonts w:hint="eastAsia"/>
        </w:rPr>
        <w:t>，“</w:t>
      </w:r>
      <w:r>
        <w:t>Joc</w:t>
      </w:r>
      <w:r>
        <w:rPr>
          <w:rFonts w:hint="eastAsia"/>
        </w:rPr>
        <w:t>”</w:t>
      </w:r>
      <w:r>
        <w:rPr>
          <w:rFonts w:hint="eastAsia"/>
        </w:rPr>
        <w:t>(</w:t>
      </w:r>
      <w:r>
        <w:rPr>
          <w:rFonts w:hint="eastAsia"/>
        </w:rPr>
        <w:t>土耳其、以色列、中国</w:t>
      </w:r>
      <w:r>
        <w:rPr>
          <w:rFonts w:hint="eastAsia"/>
        </w:rPr>
        <w:t>)</w:t>
      </w:r>
      <w:r>
        <w:rPr>
          <w:rFonts w:hint="eastAsia"/>
        </w:rPr>
        <w:t>等等。一项重要成就是</w:t>
      </w:r>
      <w:r>
        <w:rPr>
          <w:rFonts w:hint="eastAsia"/>
        </w:rPr>
        <w:t>2000</w:t>
      </w:r>
      <w:r>
        <w:rPr>
          <w:rFonts w:hint="eastAsia"/>
        </w:rPr>
        <w:t>年汉诺威国际博览会上的国家日文化节目。近年来，摩尔多瓦共和国与其邻国，尤其是罗马尼亚，加强了文化交流。摩尔多瓦共和国与罗马尼亚每年更新的合作议定书中的版权原则的执行，取得了积极成果，例如，共同组织了一系列文化活动。</w:t>
      </w:r>
    </w:p>
    <w:p w:rsidR="00000000" w:rsidRDefault="00000000">
      <w:pPr>
        <w:rPr>
          <w:rFonts w:hint="eastAsia"/>
        </w:rPr>
      </w:pPr>
      <w:r>
        <w:rPr>
          <w:rFonts w:hint="eastAsia"/>
        </w:rPr>
        <w:tab/>
        <w:t xml:space="preserve">620.  </w:t>
      </w:r>
      <w:r>
        <w:rPr>
          <w:rFonts w:hint="eastAsia"/>
        </w:rPr>
        <w:t>在对中华人民共和国的正式访问期间，提出了涉及多个领域的互利合作建议，包括允许中国学生来我国的艺术教育机构留学的想法。东欧法语国家专家会议审查了针对非洲和亚洲法语国家学生的类似建议。这上述两项建议被认为很有意义，法语国家国际组织文化技术合作局的管理人员承诺将研究向来自南方国家的讲法语的学生提供奖学金的建议。</w:t>
      </w:r>
    </w:p>
    <w:p w:rsidR="00000000" w:rsidRDefault="00000000">
      <w:pPr>
        <w:rPr>
          <w:rFonts w:hint="eastAsia"/>
        </w:rPr>
      </w:pPr>
      <w:r>
        <w:rPr>
          <w:rFonts w:hint="eastAsia"/>
        </w:rPr>
        <w:tab/>
        <w:t xml:space="preserve">621.  </w:t>
      </w:r>
      <w:r>
        <w:rPr>
          <w:rFonts w:hint="eastAsia"/>
        </w:rPr>
        <w:t>根据摩尔多瓦</w:t>
      </w:r>
      <w:r>
        <w:rPr>
          <w:rFonts w:hint="eastAsia"/>
          <w:spacing w:val="-50"/>
        </w:rPr>
        <w:t>―</w:t>
      </w:r>
      <w:r>
        <w:rPr>
          <w:rFonts w:hint="eastAsia"/>
        </w:rPr>
        <w:t>―德国混合委员会的议定书，以及</w:t>
      </w:r>
      <w:r>
        <w:rPr>
          <w:rFonts w:hint="eastAsia"/>
        </w:rPr>
        <w:t>2000/2001</w:t>
      </w:r>
      <w:r>
        <w:rPr>
          <w:rFonts w:hint="eastAsia"/>
        </w:rPr>
        <w:t>年度法语国家国际组织文化技术合作局行动方案的讨论情况，为与德国和法语地区的出版社合作出版创造了条件。</w:t>
      </w:r>
    </w:p>
    <w:p w:rsidR="00000000" w:rsidRDefault="00000000">
      <w:pPr>
        <w:rPr>
          <w:rFonts w:hint="eastAsia"/>
        </w:rPr>
      </w:pPr>
      <w:r>
        <w:rPr>
          <w:rFonts w:hint="eastAsia"/>
        </w:rPr>
        <w:tab/>
        <w:t xml:space="preserve">622.  </w:t>
      </w:r>
      <w:r>
        <w:rPr>
          <w:rFonts w:hint="eastAsia"/>
        </w:rPr>
        <w:t>作为与法语联合学院合作的一项成果，摩尔多瓦的图书馆仅</w:t>
      </w:r>
      <w:r>
        <w:rPr>
          <w:rFonts w:hint="eastAsia"/>
        </w:rPr>
        <w:t>1999</w:t>
      </w:r>
      <w:r>
        <w:rPr>
          <w:rFonts w:hint="eastAsia"/>
        </w:rPr>
        <w:t>年一年就收到了</w:t>
      </w:r>
      <w:r>
        <w:rPr>
          <w:rFonts w:hint="eastAsia"/>
        </w:rPr>
        <w:t>6,000</w:t>
      </w:r>
      <w:r>
        <w:rPr>
          <w:rFonts w:hint="eastAsia"/>
        </w:rPr>
        <w:t>本法文图书的捐赠。根据与公共资料图书馆</w:t>
      </w:r>
      <w:r>
        <w:rPr>
          <w:rFonts w:hint="eastAsia"/>
        </w:rPr>
        <w:t>(</w:t>
      </w:r>
      <w:r>
        <w:rPr>
          <w:rFonts w:hint="eastAsia"/>
        </w:rPr>
        <w:t>乔治·蓬皮杜中心</w:t>
      </w:r>
      <w:r>
        <w:rPr>
          <w:rFonts w:hint="eastAsia"/>
        </w:rPr>
        <w:t>)</w:t>
      </w:r>
      <w:r>
        <w:rPr>
          <w:rFonts w:hint="eastAsia"/>
        </w:rPr>
        <w:t>的一项协定，摩尔多瓦的图书馆可以从该机构获得文学作品的捐赠。</w:t>
      </w:r>
    </w:p>
    <w:p w:rsidR="00000000" w:rsidRDefault="00000000">
      <w:pPr>
        <w:rPr>
          <w:rFonts w:hint="eastAsia"/>
        </w:rPr>
      </w:pPr>
      <w:r>
        <w:rPr>
          <w:rFonts w:hint="eastAsia"/>
        </w:rPr>
        <w:tab/>
        <w:t xml:space="preserve">623.  </w:t>
      </w:r>
      <w:r>
        <w:rPr>
          <w:rFonts w:hint="eastAsia"/>
        </w:rPr>
        <w:t>国际合作的重点是：协调摩尔多瓦与欧洲联盟成员国的文化政策；加强与西欧和中欧国家的双边关系；参加欧洲理事会中欧洲国家文化政策的比较项目和研究</w:t>
      </w:r>
      <w:r>
        <w:rPr>
          <w:rFonts w:hint="eastAsia"/>
        </w:rPr>
        <w:t>(</w:t>
      </w:r>
      <w:r>
        <w:rPr>
          <w:rFonts w:hint="eastAsia"/>
        </w:rPr>
        <w:t>包括摩尔多瓦共和国参加中东欧国家的“以开放的方式并从战略角度开展文化事业”工程</w:t>
      </w:r>
      <w:r>
        <w:rPr>
          <w:rFonts w:hint="eastAsia"/>
        </w:rPr>
        <w:t>)</w:t>
      </w:r>
      <w:r>
        <w:rPr>
          <w:rFonts w:hint="eastAsia"/>
        </w:rPr>
        <w:t>；与罗马尼亚、乌克兰、其他感兴趣的欧洲国家和教科文组织等伙伴共同参与文化遗产区域性研究和开发。</w:t>
      </w:r>
    </w:p>
    <w:p w:rsidR="00000000" w:rsidRDefault="00000000">
      <w:pPr>
        <w:rPr>
          <w:rFonts w:hint="eastAsia"/>
        </w:rPr>
      </w:pPr>
      <w:r>
        <w:rPr>
          <w:rFonts w:hint="eastAsia"/>
        </w:rPr>
        <w:tab/>
        <w:t xml:space="preserve">624.  </w:t>
      </w:r>
      <w:r>
        <w:rPr>
          <w:rFonts w:hint="eastAsia"/>
        </w:rPr>
        <w:t>使民族文化价值观与欧洲价值观相吻合，并使之融入世界文化的这一目标使我们扩大了与日本、美利坚合众国、比利时、挪威、西班牙等国的文化关系。文化部也增加了与国际方案的合作，如开发署、对独立国家联合体国家技术援助计划、拉丁联合会、法语联合学院、索罗斯基金会等等。例如，与开发署合作开发了国家旅游战略，与索罗斯基金会合作组织了“集权后社会中的认同危机”研讨会，在拉丁联合会和法语联合学院的支助下组织了大幅摄影作品展“欧洲文化的诞生”。</w:t>
      </w:r>
    </w:p>
    <w:p w:rsidR="00000000" w:rsidRDefault="00000000">
      <w:pPr>
        <w:rPr>
          <w:rFonts w:hint="eastAsia"/>
        </w:rPr>
      </w:pPr>
      <w:r>
        <w:rPr>
          <w:rFonts w:hint="eastAsia"/>
        </w:rPr>
        <w:tab/>
        <w:t xml:space="preserve">625.  </w:t>
      </w:r>
      <w:r>
        <w:rPr>
          <w:rFonts w:hint="eastAsia"/>
        </w:rPr>
        <w:t>文化部没有一个详尽的统计数据库，但是相对其可用资金而言，艺术人士参与国际会议、研讨会、研究会的比例较高。原因是在共和国境内开办的各类国际组织、机构和方案的支助。</w:t>
      </w:r>
    </w:p>
    <w:p w:rsidR="00000000" w:rsidRDefault="00000000">
      <w:pPr>
        <w:rPr>
          <w:rFonts w:hint="eastAsia"/>
        </w:rPr>
      </w:pPr>
      <w:r>
        <w:rPr>
          <w:rFonts w:hint="eastAsia"/>
        </w:rPr>
        <w:tab/>
        <w:t xml:space="preserve">626.  </w:t>
      </w:r>
      <w:r>
        <w:rPr>
          <w:rFonts w:hint="eastAsia"/>
        </w:rPr>
        <w:t>根据“</w:t>
      </w:r>
      <w:r>
        <w:rPr>
          <w:rFonts w:hint="eastAsia"/>
        </w:rPr>
        <w:t>1997</w:t>
      </w:r>
      <w:r>
        <w:rPr>
          <w:rFonts w:hint="eastAsia"/>
        </w:rPr>
        <w:t>至</w:t>
      </w:r>
      <w:r>
        <w:rPr>
          <w:rFonts w:hint="eastAsia"/>
        </w:rPr>
        <w:t>1998</w:t>
      </w:r>
      <w:r>
        <w:rPr>
          <w:rFonts w:hint="eastAsia"/>
        </w:rPr>
        <w:t>年摩尔多瓦共和国发展和保护文化艺术”国家方案第</w:t>
      </w:r>
      <w:r>
        <w:rPr>
          <w:rFonts w:hint="eastAsia"/>
        </w:rPr>
        <w:t>4</w:t>
      </w:r>
      <w:r>
        <w:rPr>
          <w:rFonts w:hint="eastAsia"/>
        </w:rPr>
        <w:t>条的规定，艺术文化领域的合作是国家政策的一项重点。</w:t>
      </w:r>
    </w:p>
    <w:p w:rsidR="00000000" w:rsidRDefault="00000000">
      <w:pPr>
        <w:rPr>
          <w:rFonts w:hint="eastAsia"/>
        </w:rPr>
      </w:pPr>
      <w:r>
        <w:rPr>
          <w:rFonts w:hint="eastAsia"/>
        </w:rPr>
        <w:tab/>
        <w:t xml:space="preserve">627.  </w:t>
      </w:r>
      <w:r>
        <w:rPr>
          <w:rFonts w:hint="eastAsia"/>
        </w:rPr>
        <w:t>摩尔多瓦共和国是以下国际文书的缔约国：</w:t>
      </w:r>
    </w:p>
    <w:p w:rsidR="00000000" w:rsidRDefault="00000000">
      <w:pPr>
        <w:pStyle w:val="ae"/>
        <w:rPr>
          <w:rFonts w:hint="eastAsia"/>
        </w:rPr>
      </w:pPr>
      <w:r>
        <w:rPr>
          <w:rFonts w:hint="eastAsia"/>
        </w:rPr>
        <w:t>1952</w:t>
      </w:r>
      <w:r>
        <w:rPr>
          <w:rFonts w:hint="eastAsia"/>
        </w:rPr>
        <w:t>年</w:t>
      </w:r>
      <w:r>
        <w:rPr>
          <w:rFonts w:hint="eastAsia"/>
        </w:rPr>
        <w:t>9</w:t>
      </w:r>
      <w:r>
        <w:rPr>
          <w:rFonts w:hint="eastAsia"/>
        </w:rPr>
        <w:t>月</w:t>
      </w:r>
      <w:r>
        <w:rPr>
          <w:rFonts w:hint="eastAsia"/>
        </w:rPr>
        <w:t>6</w:t>
      </w:r>
      <w:r>
        <w:rPr>
          <w:rFonts w:hint="eastAsia"/>
        </w:rPr>
        <w:t>日在日内瓦签定的《世界版权公约》</w:t>
      </w:r>
      <w:r>
        <w:rPr>
          <w:rFonts w:hint="eastAsia"/>
        </w:rPr>
        <w:t>(1973</w:t>
      </w:r>
      <w:r>
        <w:rPr>
          <w:rFonts w:hint="eastAsia"/>
        </w:rPr>
        <w:t>年</w:t>
      </w:r>
      <w:r>
        <w:rPr>
          <w:rFonts w:hint="eastAsia"/>
        </w:rPr>
        <w:t>5</w:t>
      </w:r>
      <w:r>
        <w:rPr>
          <w:rFonts w:hint="eastAsia"/>
        </w:rPr>
        <w:t>月</w:t>
      </w:r>
      <w:r>
        <w:rPr>
          <w:rFonts w:hint="eastAsia"/>
        </w:rPr>
        <w:t>27</w:t>
      </w:r>
      <w:r>
        <w:rPr>
          <w:rFonts w:hint="eastAsia"/>
        </w:rPr>
        <w:t>日起在摩尔多瓦共和国生效</w:t>
      </w:r>
      <w:r>
        <w:rPr>
          <w:rFonts w:hint="eastAsia"/>
        </w:rPr>
        <w:t>)</w:t>
      </w:r>
      <w:r>
        <w:rPr>
          <w:rFonts w:hint="eastAsia"/>
        </w:rPr>
        <w:t>；</w:t>
      </w:r>
    </w:p>
    <w:p w:rsidR="00000000" w:rsidRDefault="00000000">
      <w:pPr>
        <w:pStyle w:val="ae"/>
        <w:rPr>
          <w:rFonts w:hint="eastAsia"/>
        </w:rPr>
      </w:pPr>
      <w:r>
        <w:rPr>
          <w:rFonts w:hint="eastAsia"/>
          <w:spacing w:val="2"/>
        </w:rPr>
        <w:t>1967</w:t>
      </w:r>
      <w:r>
        <w:rPr>
          <w:rFonts w:hint="eastAsia"/>
          <w:spacing w:val="2"/>
        </w:rPr>
        <w:t>年</w:t>
      </w:r>
      <w:r>
        <w:rPr>
          <w:rFonts w:hint="eastAsia"/>
          <w:spacing w:val="2"/>
        </w:rPr>
        <w:t>7</w:t>
      </w:r>
      <w:r>
        <w:rPr>
          <w:rFonts w:hint="eastAsia"/>
          <w:spacing w:val="2"/>
        </w:rPr>
        <w:t>月</w:t>
      </w:r>
      <w:r>
        <w:rPr>
          <w:rFonts w:hint="eastAsia"/>
          <w:spacing w:val="2"/>
        </w:rPr>
        <w:t>14</w:t>
      </w:r>
      <w:r>
        <w:rPr>
          <w:rFonts w:hint="eastAsia"/>
          <w:spacing w:val="2"/>
        </w:rPr>
        <w:t>日在斯德哥尔摩签定的《建立世界知识产权组织公约》</w:t>
      </w:r>
      <w:r>
        <w:rPr>
          <w:rFonts w:hint="eastAsia"/>
        </w:rPr>
        <w:t>；</w:t>
      </w:r>
    </w:p>
    <w:p w:rsidR="00000000" w:rsidRDefault="00000000">
      <w:pPr>
        <w:pStyle w:val="ae"/>
        <w:rPr>
          <w:rFonts w:hint="eastAsia"/>
          <w:spacing w:val="0"/>
        </w:rPr>
      </w:pPr>
      <w:r>
        <w:rPr>
          <w:rFonts w:hint="eastAsia"/>
          <w:spacing w:val="0"/>
        </w:rPr>
        <w:t>1883</w:t>
      </w:r>
      <w:r>
        <w:rPr>
          <w:rFonts w:hint="eastAsia"/>
          <w:spacing w:val="0"/>
        </w:rPr>
        <w:t>年</w:t>
      </w:r>
      <w:r>
        <w:rPr>
          <w:rFonts w:hint="eastAsia"/>
          <w:spacing w:val="0"/>
        </w:rPr>
        <w:t>3</w:t>
      </w:r>
      <w:r>
        <w:rPr>
          <w:rFonts w:hint="eastAsia"/>
          <w:spacing w:val="0"/>
        </w:rPr>
        <w:t>月</w:t>
      </w:r>
      <w:r>
        <w:rPr>
          <w:rFonts w:hint="eastAsia"/>
          <w:spacing w:val="0"/>
        </w:rPr>
        <w:t>20</w:t>
      </w:r>
      <w:r>
        <w:rPr>
          <w:rFonts w:hint="eastAsia"/>
          <w:spacing w:val="0"/>
        </w:rPr>
        <w:t>日签定、并于</w:t>
      </w:r>
      <w:r>
        <w:rPr>
          <w:rFonts w:hint="eastAsia"/>
          <w:spacing w:val="0"/>
        </w:rPr>
        <w:t>1979</w:t>
      </w:r>
      <w:r>
        <w:rPr>
          <w:rFonts w:hint="eastAsia"/>
          <w:spacing w:val="0"/>
        </w:rPr>
        <w:t>年修订的《保护工业产权巴黎公约》；</w:t>
      </w:r>
    </w:p>
    <w:p w:rsidR="00000000" w:rsidRDefault="00000000">
      <w:pPr>
        <w:pStyle w:val="ae"/>
        <w:rPr>
          <w:rFonts w:hint="eastAsia"/>
        </w:rPr>
      </w:pPr>
      <w:r>
        <w:rPr>
          <w:rFonts w:hint="eastAsia"/>
        </w:rPr>
        <w:t>1970</w:t>
      </w:r>
      <w:r>
        <w:rPr>
          <w:rFonts w:hint="eastAsia"/>
        </w:rPr>
        <w:t>年</w:t>
      </w:r>
      <w:r>
        <w:rPr>
          <w:rFonts w:hint="eastAsia"/>
        </w:rPr>
        <w:t>6</w:t>
      </w:r>
      <w:r>
        <w:rPr>
          <w:rFonts w:hint="eastAsia"/>
        </w:rPr>
        <w:t>月</w:t>
      </w:r>
      <w:r>
        <w:rPr>
          <w:rFonts w:hint="eastAsia"/>
        </w:rPr>
        <w:t>19</w:t>
      </w:r>
      <w:r>
        <w:rPr>
          <w:rFonts w:hint="eastAsia"/>
        </w:rPr>
        <w:t>日在华盛顿签定的《专利合作条约》；</w:t>
      </w:r>
    </w:p>
    <w:p w:rsidR="00000000" w:rsidRDefault="00000000">
      <w:pPr>
        <w:pStyle w:val="ae"/>
        <w:spacing w:after="320"/>
        <w:rPr>
          <w:rFonts w:hint="eastAsia"/>
        </w:rPr>
      </w:pPr>
      <w:r>
        <w:rPr>
          <w:rFonts w:hint="eastAsia"/>
        </w:rPr>
        <w:t>1886</w:t>
      </w:r>
      <w:r>
        <w:rPr>
          <w:rFonts w:hint="eastAsia"/>
        </w:rPr>
        <w:t>年</w:t>
      </w:r>
      <w:r>
        <w:rPr>
          <w:rFonts w:hint="eastAsia"/>
        </w:rPr>
        <w:t>9</w:t>
      </w:r>
      <w:r>
        <w:rPr>
          <w:rFonts w:hint="eastAsia"/>
        </w:rPr>
        <w:t>月</w:t>
      </w:r>
      <w:r>
        <w:rPr>
          <w:rFonts w:hint="eastAsia"/>
        </w:rPr>
        <w:t>9</w:t>
      </w:r>
      <w:r>
        <w:rPr>
          <w:rFonts w:hint="eastAsia"/>
        </w:rPr>
        <w:t>日通过的《伯尔尼保护文学和艺术品公约》以及</w:t>
      </w:r>
      <w:r>
        <w:rPr>
          <w:rFonts w:hint="eastAsia"/>
        </w:rPr>
        <w:t>1971</w:t>
      </w:r>
      <w:r>
        <w:rPr>
          <w:rFonts w:hint="eastAsia"/>
        </w:rPr>
        <w:t>年</w:t>
      </w:r>
      <w:r>
        <w:rPr>
          <w:rFonts w:hint="eastAsia"/>
        </w:rPr>
        <w:t>7</w:t>
      </w:r>
      <w:r>
        <w:rPr>
          <w:rFonts w:hint="eastAsia"/>
        </w:rPr>
        <w:t>月</w:t>
      </w:r>
      <w:r>
        <w:rPr>
          <w:rFonts w:hint="eastAsia"/>
        </w:rPr>
        <w:t>24</w:t>
      </w:r>
      <w:r>
        <w:rPr>
          <w:rFonts w:hint="eastAsia"/>
        </w:rPr>
        <w:t>日的《巴黎法案》。</w:t>
      </w:r>
    </w:p>
    <w:p w:rsidR="00000000" w:rsidRDefault="00000000">
      <w:pPr>
        <w:rPr>
          <w:rFonts w:hint="eastAsia"/>
        </w:rPr>
      </w:pPr>
      <w:r>
        <w:rPr>
          <w:rFonts w:hint="eastAsia"/>
        </w:rPr>
        <w:tab/>
      </w:r>
      <w:r>
        <w:rPr>
          <w:rFonts w:ascii="Time New Roman" w:eastAsia="SimHei" w:hAnsi="Time New Roman" w:hint="eastAsia"/>
        </w:rPr>
        <w:t>参考书目</w:t>
      </w:r>
      <w:r>
        <w:rPr>
          <w:rFonts w:hint="eastAsia"/>
        </w:rPr>
        <w:t>：本报告利用了以下政府机构的文件和统计数据：经济和改革部，外交部，财政部，劳动、社会保障和家庭部，卫生部，教育和科学部，文化部，统计和社会分析局，国家宗教事务局。其他参考来源是摩尔多瓦人权中心以及开发署、教科文组织和难民署驻摩尔多瓦的办事处。</w:t>
      </w: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default" r:id="rId14"/>
      <w:pgSz w:w="11906" w:h="16838" w:code="9"/>
      <w:pgMar w:top="1985" w:right="851" w:bottom="1985" w:left="1701" w:header="794" w:footer="158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napToGrid/>
        <w:lang w:eastAsia="zh-TW"/>
      </w:rPr>
      <w:pict>
        <v:shapetype id="_x0000_t202" coordsize="21600,21600" o:spt="202" path="m,l,21600r21600,l21600,xe">
          <v:stroke joinstyle="miter"/>
          <v:path gradientshapeok="t" o:connecttype="rect"/>
        </v:shapetype>
        <v:shape id="_x0000_s1044" type="#_x0000_t202" style="position:absolute;left:0;text-align:left;margin-left:643.5pt;margin-top:-103.4pt;width:45.5pt;height:99pt;z-index:7" strokecolor="white">
          <v:textbox style="layout-flow:vertical">
            <w:txbxContent>
              <w:p w:rsidR="00000000" w:rsidRDefault="00000000">
                <w:pPr>
                  <w:rPr>
                    <w:sz w:val="20"/>
                  </w:rPr>
                </w:pPr>
                <w:r>
                  <w:rPr>
                    <w:sz w:val="20"/>
                  </w:rPr>
                  <w:t>E/1990/5/Add.52</w:t>
                </w:r>
              </w:p>
              <w:p w:rsidR="00000000" w:rsidRDefault="00000000">
                <w:r>
                  <w:rPr>
                    <w:sz w:val="2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-41191 (C)</w:t>
          </w:r>
        </w:p>
      </w:tc>
      <w:tc>
        <w:tcPr>
          <w:tcW w:w="1050" w:type="dxa"/>
        </w:tcPr>
        <w:p w:rsidR="00000000" w:rsidRDefault="00000000">
          <w:pPr>
            <w:pStyle w:val="Footer"/>
            <w:rPr>
              <w:rFonts w:hint="eastAsia"/>
            </w:rPr>
          </w:pPr>
          <w:r>
            <w:t>30100</w:t>
          </w:r>
          <w:r>
            <w:rPr>
              <w:rFonts w:hint="eastAsia"/>
            </w:rPr>
            <w:t>3</w:t>
          </w:r>
        </w:p>
      </w:tc>
      <w:tc>
        <w:tcPr>
          <w:tcW w:w="6061" w:type="dxa"/>
        </w:tcPr>
        <w:p w:rsidR="00000000" w:rsidRDefault="00000000">
          <w:pPr>
            <w:pStyle w:val="Footer"/>
            <w:rPr>
              <w:rFonts w:hint="eastAsia"/>
            </w:rPr>
          </w:pPr>
          <w:r>
            <w:t>27110</w:t>
          </w:r>
          <w:r>
            <w:rPr>
              <w:rFonts w:hint="eastAsia"/>
            </w:rPr>
            <w:t>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rPr>
        <w:t>摩尔多瓦按照关于缔约国的初次报告的准则提交的资料载于核心文件</w:t>
      </w:r>
      <w:r>
        <w:rPr>
          <w:rFonts w:hint="eastAsia"/>
        </w:rPr>
        <w:t>(HRI/CORE/1/</w:t>
      </w:r>
      <w:r>
        <w:t>Add.1</w:t>
      </w:r>
      <w:r>
        <w:rPr>
          <w:rFonts w:hint="eastAsia"/>
        </w:rPr>
        <w:t>14)</w:t>
      </w:r>
      <w:r>
        <w:rPr>
          <w:rFonts w:hint="eastAsia"/>
        </w:rPr>
        <w:t>。</w:t>
      </w:r>
    </w:p>
    <w:p w:rsidR="00000000" w:rsidRDefault="00000000">
      <w:pPr>
        <w:pStyle w:val="FootnoteText"/>
        <w:spacing w:before="180"/>
        <w:rPr>
          <w:rFonts w:hint="eastAsia"/>
        </w:rPr>
      </w:pPr>
      <w:r>
        <w:rPr>
          <w:rFonts w:hint="eastAsia"/>
        </w:rPr>
        <w:t>本报告提及的附件可到秘书处查阅。</w:t>
      </w:r>
    </w:p>
    <w:p w:rsidR="00000000" w:rsidRDefault="00000000">
      <w:pPr>
        <w:pStyle w:val="FootnoteText"/>
        <w:rPr>
          <w:rFonts w:hint="eastAsia"/>
        </w:rPr>
      </w:pPr>
    </w:p>
  </w:footnote>
  <w:footnote w:id="2">
    <w:p w:rsidR="00000000" w:rsidRDefault="00000000">
      <w:pPr>
        <w:pStyle w:val="FootnoteText"/>
        <w:rPr>
          <w:b/>
          <w:bCs/>
        </w:rPr>
      </w:pPr>
      <w:r>
        <w:rPr>
          <w:rStyle w:val="FootnoteReference"/>
          <w:b w:val="0"/>
          <w:bCs/>
        </w:rPr>
        <w:t>*</w:t>
      </w:r>
      <w:r>
        <w:rPr>
          <w:b/>
          <w:bCs/>
        </w:rPr>
        <w:t xml:space="preserve"> </w:t>
      </w:r>
      <w:r>
        <w:rPr>
          <w:b/>
          <w:bCs/>
        </w:rPr>
        <w:tab/>
      </w:r>
      <w:r>
        <w:rPr>
          <w:rFonts w:hint="eastAsia"/>
        </w:rPr>
        <w:t>上述数据不包括涅斯特鲁河左岸的情况。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E/1990/5/Add.52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E/1990/5/Add.52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8;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6;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1pt;margin-top:2.8pt;width:149.5pt;height:108pt;z-index:6" strokecolor="white">
          <v:textbox style="mso-next-textbox:#_x0000_s1031">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E/1990/5/Add.52</w:t>
                </w:r>
              </w:p>
              <w:p w:rsidR="00000000" w:rsidRDefault="00000000">
                <w:pPr>
                  <w:pStyle w:val="Header"/>
                </w:pPr>
                <w:r>
                  <w:t>14 April 2003</w:t>
                </w:r>
              </w:p>
              <w:p w:rsidR="00000000" w:rsidRDefault="00000000">
                <w:pPr>
                  <w:pStyle w:val="Header"/>
                </w:pPr>
                <w:r>
                  <w:t>CHINESE</w:t>
                </w:r>
              </w:p>
              <w:p w:rsidR="00000000" w:rsidRDefault="00000000">
                <w:pPr>
                  <w:pStyle w:val="Header"/>
                </w:pPr>
                <w:r>
                  <w:t>Original:</w:t>
                </w:r>
                <w:r>
                  <w:tab/>
                  <w:t>ENGLISH</w: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4;mso-position-horizontal-relative:page;mso-position-vertical-relative:page" o:allowincell="f" filled="f" stroked="f" strokeweight="0">
          <v:textbox style="mso-next-textbox:#_x0000_s1030"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5;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47" type="#_x0000_t202" style="position:absolute;left:0;text-align:left;margin-left:656.5pt;margin-top:36.35pt;width:45.5pt;height:108pt;z-index:8" strokecolor="white">
          <v:textbox style="layout-flow:vertical">
            <w:txbxContent>
              <w:p w:rsidR="00000000" w:rsidRDefault="00000000">
                <w:pPr>
                  <w:rPr>
                    <w:sz w:val="20"/>
                  </w:rPr>
                </w:pPr>
                <w:r>
                  <w:rPr>
                    <w:sz w:val="20"/>
                  </w:rPr>
                  <w:t>E/1990/5/Add.52</w:t>
                </w:r>
              </w:p>
              <w:p w:rsidR="00000000" w:rsidRDefault="00000000">
                <w:r>
                  <w:rPr>
                    <w:sz w:val="2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E/1990/5/Add.52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88A88CC"/>
    <w:lvl w:ilvl="0">
      <w:numFmt w:val="decimal"/>
      <w:lvlText w:val="*"/>
      <w:lvlJc w:val="left"/>
    </w:lvl>
  </w:abstractNum>
  <w:abstractNum w:abstractNumId="11">
    <w:nsid w:val="00073E07"/>
    <w:multiLevelType w:val="hybridMultilevel"/>
    <w:tmpl w:val="AFEA2CA0"/>
    <w:lvl w:ilvl="0" w:tplc="56AEEA94">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2">
    <w:nsid w:val="002F467D"/>
    <w:multiLevelType w:val="hybridMultilevel"/>
    <w:tmpl w:val="EA928FA8"/>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13">
    <w:nsid w:val="00514A49"/>
    <w:multiLevelType w:val="hybridMultilevel"/>
    <w:tmpl w:val="32F2FB90"/>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00AB4C4E"/>
    <w:multiLevelType w:val="hybridMultilevel"/>
    <w:tmpl w:val="BBC6418E"/>
    <w:lvl w:ilvl="0" w:tplc="1BF4B15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5">
    <w:nsid w:val="00BB4143"/>
    <w:multiLevelType w:val="hybridMultilevel"/>
    <w:tmpl w:val="D43A323C"/>
    <w:lvl w:ilvl="0" w:tplc="3D5AFECC">
      <w:start w:val="1"/>
      <w:numFmt w:val="chineseCountingThousand"/>
      <w:lvlRestart w:val="0"/>
      <w:lvlText w:val="(%1)"/>
      <w:lvlJc w:val="right"/>
      <w:pPr>
        <w:tabs>
          <w:tab w:val="num" w:pos="3091"/>
        </w:tabs>
        <w:ind w:left="3091" w:hanging="170"/>
      </w:pPr>
      <w:rPr>
        <w:rFonts w:ascii="Times New Roman" w:hAnsi="Times New Roman" w:hint="eastAsia"/>
        <w:sz w:val="20"/>
      </w:rPr>
    </w:lvl>
    <w:lvl w:ilvl="1" w:tplc="04090019" w:tentative="1">
      <w:start w:val="1"/>
      <w:numFmt w:val="ideographTraditional"/>
      <w:lvlText w:val="%2、"/>
      <w:lvlJc w:val="left"/>
      <w:pPr>
        <w:tabs>
          <w:tab w:val="num" w:pos="2520"/>
        </w:tabs>
        <w:ind w:left="2520" w:hanging="480"/>
      </w:pPr>
    </w:lvl>
    <w:lvl w:ilvl="2" w:tplc="0409001B" w:tentative="1">
      <w:start w:val="1"/>
      <w:numFmt w:val="lowerRoman"/>
      <w:lvlText w:val="%3."/>
      <w:lvlJc w:val="right"/>
      <w:pPr>
        <w:tabs>
          <w:tab w:val="num" w:pos="3000"/>
        </w:tabs>
        <w:ind w:left="3000" w:hanging="480"/>
      </w:pPr>
    </w:lvl>
    <w:lvl w:ilvl="3" w:tplc="0409000F" w:tentative="1">
      <w:start w:val="1"/>
      <w:numFmt w:val="decimal"/>
      <w:lvlText w:val="%4."/>
      <w:lvlJc w:val="left"/>
      <w:pPr>
        <w:tabs>
          <w:tab w:val="num" w:pos="3480"/>
        </w:tabs>
        <w:ind w:left="3480" w:hanging="480"/>
      </w:pPr>
    </w:lvl>
    <w:lvl w:ilvl="4" w:tplc="04090019" w:tentative="1">
      <w:start w:val="1"/>
      <w:numFmt w:val="ideographTraditional"/>
      <w:lvlText w:val="%5、"/>
      <w:lvlJc w:val="left"/>
      <w:pPr>
        <w:tabs>
          <w:tab w:val="num" w:pos="3960"/>
        </w:tabs>
        <w:ind w:left="3960" w:hanging="480"/>
      </w:pPr>
    </w:lvl>
    <w:lvl w:ilvl="5" w:tplc="0409001B" w:tentative="1">
      <w:start w:val="1"/>
      <w:numFmt w:val="lowerRoman"/>
      <w:lvlText w:val="%6."/>
      <w:lvlJc w:val="right"/>
      <w:pPr>
        <w:tabs>
          <w:tab w:val="num" w:pos="4440"/>
        </w:tabs>
        <w:ind w:left="4440" w:hanging="480"/>
      </w:pPr>
    </w:lvl>
    <w:lvl w:ilvl="6" w:tplc="0409000F" w:tentative="1">
      <w:start w:val="1"/>
      <w:numFmt w:val="decimal"/>
      <w:lvlText w:val="%7."/>
      <w:lvlJc w:val="left"/>
      <w:pPr>
        <w:tabs>
          <w:tab w:val="num" w:pos="4920"/>
        </w:tabs>
        <w:ind w:left="4920" w:hanging="480"/>
      </w:pPr>
    </w:lvl>
    <w:lvl w:ilvl="7" w:tplc="04090019" w:tentative="1">
      <w:start w:val="1"/>
      <w:numFmt w:val="ideographTraditional"/>
      <w:lvlText w:val="%8、"/>
      <w:lvlJc w:val="left"/>
      <w:pPr>
        <w:tabs>
          <w:tab w:val="num" w:pos="5400"/>
        </w:tabs>
        <w:ind w:left="5400" w:hanging="480"/>
      </w:pPr>
    </w:lvl>
    <w:lvl w:ilvl="8" w:tplc="0409001B" w:tentative="1">
      <w:start w:val="1"/>
      <w:numFmt w:val="lowerRoman"/>
      <w:lvlText w:val="%9."/>
      <w:lvlJc w:val="right"/>
      <w:pPr>
        <w:tabs>
          <w:tab w:val="num" w:pos="5880"/>
        </w:tabs>
        <w:ind w:left="5880" w:hanging="480"/>
      </w:pPr>
    </w:lvl>
  </w:abstractNum>
  <w:abstractNum w:abstractNumId="16">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00DB0DF2"/>
    <w:multiLevelType w:val="hybridMultilevel"/>
    <w:tmpl w:val="165419AC"/>
    <w:lvl w:ilvl="0" w:tplc="805A9FC6">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8">
    <w:nsid w:val="00EF09F6"/>
    <w:multiLevelType w:val="hybridMultilevel"/>
    <w:tmpl w:val="541ADCA4"/>
    <w:lvl w:ilvl="0" w:tplc="50D46698">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9">
    <w:nsid w:val="01332585"/>
    <w:multiLevelType w:val="hybridMultilevel"/>
    <w:tmpl w:val="28EE994E"/>
    <w:lvl w:ilvl="0" w:tplc="74E85E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013457AF"/>
    <w:multiLevelType w:val="hybridMultilevel"/>
    <w:tmpl w:val="684ED444"/>
    <w:lvl w:ilvl="0" w:tplc="1FAEC542">
      <w:start w:val="1"/>
      <w:numFmt w:val="lowerRoman"/>
      <w:lvlText w:val="(%1)"/>
      <w:lvlJc w:val="left"/>
      <w:pPr>
        <w:tabs>
          <w:tab w:val="num" w:pos="1080"/>
        </w:tabs>
        <w:ind w:left="1080" w:hanging="720"/>
      </w:pPr>
      <w:rPr>
        <w:rFonts w:hint="default"/>
      </w:rPr>
    </w:lvl>
    <w:lvl w:ilvl="1" w:tplc="B70CB99A">
      <w:start w:val="1"/>
      <w:numFmt w:val="decimal"/>
      <w:lvlText w:val="%2)"/>
      <w:lvlJc w:val="left"/>
      <w:pPr>
        <w:tabs>
          <w:tab w:val="num" w:pos="1440"/>
        </w:tabs>
        <w:ind w:left="1440" w:hanging="360"/>
      </w:pPr>
      <w:rPr>
        <w:rFonts w:hint="default"/>
      </w:rPr>
    </w:lvl>
    <w:lvl w:ilvl="2" w:tplc="CFCE86F4">
      <w:start w:val="1"/>
      <w:numFmt w:val="decimal"/>
      <w:lvlText w:val="(%3)"/>
      <w:lvlJc w:val="left"/>
      <w:pPr>
        <w:tabs>
          <w:tab w:val="num" w:pos="2340"/>
        </w:tabs>
        <w:ind w:left="2340" w:hanging="360"/>
      </w:pPr>
      <w:rPr>
        <w:rFonts w:hint="default"/>
      </w:r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1">
    <w:nsid w:val="014D1C2E"/>
    <w:multiLevelType w:val="hybridMultilevel"/>
    <w:tmpl w:val="739A6E6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nsid w:val="01C05691"/>
    <w:multiLevelType w:val="singleLevel"/>
    <w:tmpl w:val="36084DBE"/>
    <w:lvl w:ilvl="0">
      <w:start w:val="1"/>
      <w:numFmt w:val="decimal"/>
      <w:lvlText w:val="%1."/>
      <w:lvlJc w:val="left"/>
      <w:pPr>
        <w:tabs>
          <w:tab w:val="num" w:pos="1440"/>
        </w:tabs>
        <w:ind w:left="1440" w:hanging="720"/>
      </w:pPr>
    </w:lvl>
  </w:abstractNum>
  <w:abstractNum w:abstractNumId="23">
    <w:nsid w:val="02E953C6"/>
    <w:multiLevelType w:val="hybridMultilevel"/>
    <w:tmpl w:val="F1C24866"/>
    <w:lvl w:ilvl="0" w:tplc="655E5C9A">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4">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5">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03503952"/>
    <w:multiLevelType w:val="singleLevel"/>
    <w:tmpl w:val="9676914A"/>
    <w:lvl w:ilvl="0">
      <w:start w:val="1"/>
      <w:numFmt w:val="lowerLetter"/>
      <w:lvlText w:val="%1)"/>
      <w:legacy w:legacy="1" w:legacySpace="0" w:legacyIndent="360"/>
      <w:lvlJc w:val="left"/>
      <w:pPr>
        <w:ind w:left="927" w:hanging="360"/>
      </w:pPr>
    </w:lvl>
  </w:abstractNum>
  <w:abstractNum w:abstractNumId="27">
    <w:nsid w:val="03882B40"/>
    <w:multiLevelType w:val="singleLevel"/>
    <w:tmpl w:val="E7B0FF52"/>
    <w:lvl w:ilvl="0">
      <w:start w:val="6"/>
      <w:numFmt w:val="decimal"/>
      <w:lvlText w:val="%1)"/>
      <w:legacy w:legacy="1" w:legacySpace="0" w:legacyIndent="420"/>
      <w:lvlJc w:val="left"/>
      <w:pPr>
        <w:ind w:left="987" w:hanging="420"/>
      </w:pPr>
    </w:lvl>
  </w:abstractNum>
  <w:abstractNum w:abstractNumId="28">
    <w:nsid w:val="03D11747"/>
    <w:multiLevelType w:val="hybridMultilevel"/>
    <w:tmpl w:val="525E3EE4"/>
    <w:lvl w:ilvl="0" w:tplc="74E85E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045314EA"/>
    <w:multiLevelType w:val="hybridMultilevel"/>
    <w:tmpl w:val="ED022D5A"/>
    <w:lvl w:ilvl="0" w:tplc="EB4EC99C">
      <w:start w:val="7"/>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0">
    <w:nsid w:val="045C6F64"/>
    <w:multiLevelType w:val="hybridMultilevel"/>
    <w:tmpl w:val="1A162EAE"/>
    <w:lvl w:ilvl="0" w:tplc="FE244A6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04653CE9"/>
    <w:multiLevelType w:val="hybridMultilevel"/>
    <w:tmpl w:val="D092052E"/>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2">
    <w:nsid w:val="057631E1"/>
    <w:multiLevelType w:val="hybridMultilevel"/>
    <w:tmpl w:val="B762D2A8"/>
    <w:lvl w:ilvl="0" w:tplc="2D50A184">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3">
    <w:nsid w:val="05814465"/>
    <w:multiLevelType w:val="singleLevel"/>
    <w:tmpl w:val="9676914A"/>
    <w:lvl w:ilvl="0">
      <w:start w:val="1"/>
      <w:numFmt w:val="lowerLetter"/>
      <w:lvlText w:val="%1)"/>
      <w:legacy w:legacy="1" w:legacySpace="0" w:legacyIndent="360"/>
      <w:lvlJc w:val="left"/>
      <w:pPr>
        <w:ind w:left="927" w:hanging="360"/>
      </w:pPr>
    </w:lvl>
  </w:abstractNum>
  <w:abstractNum w:abstractNumId="34">
    <w:nsid w:val="061A51E3"/>
    <w:multiLevelType w:val="singleLevel"/>
    <w:tmpl w:val="9676914A"/>
    <w:lvl w:ilvl="0">
      <w:start w:val="1"/>
      <w:numFmt w:val="lowerLetter"/>
      <w:lvlText w:val="%1)"/>
      <w:legacy w:legacy="1" w:legacySpace="0" w:legacyIndent="360"/>
      <w:lvlJc w:val="left"/>
      <w:pPr>
        <w:ind w:left="360" w:hanging="360"/>
      </w:pPr>
    </w:lvl>
  </w:abstractNum>
  <w:abstractNum w:abstractNumId="35">
    <w:nsid w:val="06F64BA8"/>
    <w:multiLevelType w:val="hybridMultilevel"/>
    <w:tmpl w:val="51745860"/>
    <w:lvl w:ilvl="0" w:tplc="EEB8A102">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6">
    <w:nsid w:val="07045773"/>
    <w:multiLevelType w:val="hybridMultilevel"/>
    <w:tmpl w:val="65D0679A"/>
    <w:lvl w:ilvl="0" w:tplc="D242DA04">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7">
    <w:nsid w:val="07225CE4"/>
    <w:multiLevelType w:val="singleLevel"/>
    <w:tmpl w:val="E8407814"/>
    <w:lvl w:ilvl="0">
      <w:start w:val="1"/>
      <w:numFmt w:val="decimal"/>
      <w:lvlText w:val="%1)"/>
      <w:legacy w:legacy="1" w:legacySpace="0" w:legacyIndent="420"/>
      <w:lvlJc w:val="left"/>
      <w:pPr>
        <w:ind w:left="993" w:hanging="420"/>
      </w:pPr>
    </w:lvl>
  </w:abstractNum>
  <w:abstractNum w:abstractNumId="38">
    <w:nsid w:val="073B1CB3"/>
    <w:multiLevelType w:val="hybridMultilevel"/>
    <w:tmpl w:val="8E4C7ED6"/>
    <w:lvl w:ilvl="0" w:tplc="9D60FA0E">
      <w:start w:val="1"/>
      <w:numFmt w:val="lowerLetter"/>
      <w:lvlRestart w:val="0"/>
      <w:lvlText w:val="(%1)"/>
      <w:lvlJc w:val="right"/>
      <w:pPr>
        <w:tabs>
          <w:tab w:val="num" w:pos="3061"/>
        </w:tabs>
        <w:ind w:left="3061" w:hanging="227"/>
      </w:pPr>
      <w:rPr>
        <w:rFonts w:ascii="Times New Roman" w:hAnsi="Times New Roman"/>
        <w:b w:val="0"/>
        <w:i w:val="0"/>
        <w:sz w:val="24"/>
      </w:rPr>
    </w:lvl>
    <w:lvl w:ilvl="1" w:tplc="04090019" w:tentative="1">
      <w:start w:val="1"/>
      <w:numFmt w:val="ideographTraditional"/>
      <w:lvlText w:val="%2、"/>
      <w:lvlJc w:val="left"/>
      <w:pPr>
        <w:tabs>
          <w:tab w:val="num" w:pos="2490"/>
        </w:tabs>
        <w:ind w:left="2490" w:hanging="480"/>
      </w:pPr>
    </w:lvl>
    <w:lvl w:ilvl="2" w:tplc="0409001B" w:tentative="1">
      <w:start w:val="1"/>
      <w:numFmt w:val="lowerRoman"/>
      <w:lvlText w:val="%3."/>
      <w:lvlJc w:val="right"/>
      <w:pPr>
        <w:tabs>
          <w:tab w:val="num" w:pos="2970"/>
        </w:tabs>
        <w:ind w:left="2970" w:hanging="480"/>
      </w:pPr>
    </w:lvl>
    <w:lvl w:ilvl="3" w:tplc="0409000F">
      <w:start w:val="1"/>
      <w:numFmt w:val="decimal"/>
      <w:lvlText w:val="%4."/>
      <w:lvlJc w:val="left"/>
      <w:pPr>
        <w:tabs>
          <w:tab w:val="num" w:pos="3450"/>
        </w:tabs>
        <w:ind w:left="3450" w:hanging="480"/>
      </w:pPr>
    </w:lvl>
    <w:lvl w:ilvl="4" w:tplc="04090019" w:tentative="1">
      <w:start w:val="1"/>
      <w:numFmt w:val="ideographTraditional"/>
      <w:lvlText w:val="%5、"/>
      <w:lvlJc w:val="left"/>
      <w:pPr>
        <w:tabs>
          <w:tab w:val="num" w:pos="3930"/>
        </w:tabs>
        <w:ind w:left="3930" w:hanging="480"/>
      </w:pPr>
    </w:lvl>
    <w:lvl w:ilvl="5" w:tplc="0409001B" w:tentative="1">
      <w:start w:val="1"/>
      <w:numFmt w:val="lowerRoman"/>
      <w:lvlText w:val="%6."/>
      <w:lvlJc w:val="right"/>
      <w:pPr>
        <w:tabs>
          <w:tab w:val="num" w:pos="4410"/>
        </w:tabs>
        <w:ind w:left="4410" w:hanging="480"/>
      </w:pPr>
    </w:lvl>
    <w:lvl w:ilvl="6" w:tplc="0409000F" w:tentative="1">
      <w:start w:val="1"/>
      <w:numFmt w:val="decimal"/>
      <w:lvlText w:val="%7."/>
      <w:lvlJc w:val="left"/>
      <w:pPr>
        <w:tabs>
          <w:tab w:val="num" w:pos="4890"/>
        </w:tabs>
        <w:ind w:left="4890" w:hanging="480"/>
      </w:pPr>
    </w:lvl>
    <w:lvl w:ilvl="7" w:tplc="04090019" w:tentative="1">
      <w:start w:val="1"/>
      <w:numFmt w:val="ideographTraditional"/>
      <w:lvlText w:val="%8、"/>
      <w:lvlJc w:val="left"/>
      <w:pPr>
        <w:tabs>
          <w:tab w:val="num" w:pos="5370"/>
        </w:tabs>
        <w:ind w:left="5370" w:hanging="480"/>
      </w:pPr>
    </w:lvl>
    <w:lvl w:ilvl="8" w:tplc="0409001B" w:tentative="1">
      <w:start w:val="1"/>
      <w:numFmt w:val="lowerRoman"/>
      <w:lvlText w:val="%9."/>
      <w:lvlJc w:val="right"/>
      <w:pPr>
        <w:tabs>
          <w:tab w:val="num" w:pos="5850"/>
        </w:tabs>
        <w:ind w:left="5850" w:hanging="480"/>
      </w:pPr>
    </w:lvl>
  </w:abstractNum>
  <w:abstractNum w:abstractNumId="39">
    <w:nsid w:val="07A20222"/>
    <w:multiLevelType w:val="hybridMultilevel"/>
    <w:tmpl w:val="EC1A4F8A"/>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07AF7B54"/>
    <w:multiLevelType w:val="hybridMultilevel"/>
    <w:tmpl w:val="0E064568"/>
    <w:lvl w:ilvl="0" w:tplc="A52C1662">
      <w:start w:val="1"/>
      <w:numFmt w:val="decimal"/>
      <w:lvlText w:val="(%1)"/>
      <w:lvlJc w:val="left"/>
      <w:pPr>
        <w:tabs>
          <w:tab w:val="num" w:pos="927"/>
        </w:tabs>
        <w:ind w:left="0" w:firstLine="567"/>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1">
    <w:nsid w:val="082C3449"/>
    <w:multiLevelType w:val="hybridMultilevel"/>
    <w:tmpl w:val="48BA8302"/>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44E69930">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085C5DA9"/>
    <w:multiLevelType w:val="hybridMultilevel"/>
    <w:tmpl w:val="CDDAD4D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08705C9F"/>
    <w:multiLevelType w:val="singleLevel"/>
    <w:tmpl w:val="D87CC2E4"/>
    <w:lvl w:ilvl="0">
      <w:start w:val="3"/>
      <w:numFmt w:val="decimal"/>
      <w:lvlText w:val="(%1)"/>
      <w:legacy w:legacy="1" w:legacySpace="0" w:legacyIndent="360"/>
      <w:lvlJc w:val="left"/>
      <w:pPr>
        <w:ind w:left="1080" w:hanging="360"/>
      </w:pPr>
    </w:lvl>
  </w:abstractNum>
  <w:abstractNum w:abstractNumId="44">
    <w:nsid w:val="08723163"/>
    <w:multiLevelType w:val="hybridMultilevel"/>
    <w:tmpl w:val="D6C2644E"/>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089E44C2"/>
    <w:multiLevelType w:val="hybridMultilevel"/>
    <w:tmpl w:val="2536D33E"/>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08CE72D2"/>
    <w:multiLevelType w:val="singleLevel"/>
    <w:tmpl w:val="0409000F"/>
    <w:lvl w:ilvl="0">
      <w:start w:val="1"/>
      <w:numFmt w:val="decimal"/>
      <w:lvlText w:val="%1."/>
      <w:lvlJc w:val="left"/>
      <w:pPr>
        <w:tabs>
          <w:tab w:val="num" w:pos="360"/>
        </w:tabs>
        <w:ind w:left="360" w:hanging="360"/>
      </w:pPr>
    </w:lvl>
  </w:abstractNum>
  <w:abstractNum w:abstractNumId="47">
    <w:nsid w:val="090A682E"/>
    <w:multiLevelType w:val="hybridMultilevel"/>
    <w:tmpl w:val="02CA5A50"/>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9">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0">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09F10360"/>
    <w:multiLevelType w:val="hybridMultilevel"/>
    <w:tmpl w:val="D53284CE"/>
    <w:lvl w:ilvl="0" w:tplc="A9B4F32E">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2">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0A8F337F"/>
    <w:multiLevelType w:val="singleLevel"/>
    <w:tmpl w:val="9676914A"/>
    <w:lvl w:ilvl="0">
      <w:start w:val="1"/>
      <w:numFmt w:val="lowerLetter"/>
      <w:lvlText w:val="%1)"/>
      <w:legacy w:legacy="1" w:legacySpace="0" w:legacyIndent="360"/>
      <w:lvlJc w:val="left"/>
      <w:pPr>
        <w:ind w:left="1080" w:hanging="360"/>
      </w:pPr>
    </w:lvl>
  </w:abstractNum>
  <w:abstractNum w:abstractNumId="54">
    <w:nsid w:val="0AB9199B"/>
    <w:multiLevelType w:val="hybridMultilevel"/>
    <w:tmpl w:val="4A9C999E"/>
    <w:lvl w:ilvl="0" w:tplc="E68C22EA">
      <w:start w:val="1"/>
      <w:numFmt w:val="lowerLetter"/>
      <w:lvlText w:val="(%1)"/>
      <w:lvlJc w:val="left"/>
      <w:pPr>
        <w:tabs>
          <w:tab w:val="num" w:pos="930"/>
        </w:tabs>
        <w:ind w:left="930" w:hanging="363"/>
      </w:pPr>
      <w:rPr>
        <w:rFonts w:hint="default"/>
      </w:rPr>
    </w:lvl>
    <w:lvl w:ilvl="1" w:tplc="04180019" w:tentative="1">
      <w:start w:val="1"/>
      <w:numFmt w:val="lowerLetter"/>
      <w:lvlText w:val="%2."/>
      <w:lvlJc w:val="left"/>
      <w:pPr>
        <w:tabs>
          <w:tab w:val="num" w:pos="1650"/>
        </w:tabs>
        <w:ind w:left="1650" w:hanging="360"/>
      </w:pPr>
    </w:lvl>
    <w:lvl w:ilvl="2" w:tplc="0418001B" w:tentative="1">
      <w:start w:val="1"/>
      <w:numFmt w:val="lowerRoman"/>
      <w:lvlText w:val="%3."/>
      <w:lvlJc w:val="right"/>
      <w:pPr>
        <w:tabs>
          <w:tab w:val="num" w:pos="2370"/>
        </w:tabs>
        <w:ind w:left="2370" w:hanging="180"/>
      </w:pPr>
    </w:lvl>
    <w:lvl w:ilvl="3" w:tplc="0418000F" w:tentative="1">
      <w:start w:val="1"/>
      <w:numFmt w:val="decimal"/>
      <w:lvlText w:val="%4."/>
      <w:lvlJc w:val="left"/>
      <w:pPr>
        <w:tabs>
          <w:tab w:val="num" w:pos="3090"/>
        </w:tabs>
        <w:ind w:left="3090" w:hanging="360"/>
      </w:pPr>
    </w:lvl>
    <w:lvl w:ilvl="4" w:tplc="04180019" w:tentative="1">
      <w:start w:val="1"/>
      <w:numFmt w:val="lowerLetter"/>
      <w:lvlText w:val="%5."/>
      <w:lvlJc w:val="left"/>
      <w:pPr>
        <w:tabs>
          <w:tab w:val="num" w:pos="3810"/>
        </w:tabs>
        <w:ind w:left="3810" w:hanging="360"/>
      </w:pPr>
    </w:lvl>
    <w:lvl w:ilvl="5" w:tplc="0418001B" w:tentative="1">
      <w:start w:val="1"/>
      <w:numFmt w:val="lowerRoman"/>
      <w:lvlText w:val="%6."/>
      <w:lvlJc w:val="right"/>
      <w:pPr>
        <w:tabs>
          <w:tab w:val="num" w:pos="4530"/>
        </w:tabs>
        <w:ind w:left="4530" w:hanging="180"/>
      </w:pPr>
    </w:lvl>
    <w:lvl w:ilvl="6" w:tplc="0418000F" w:tentative="1">
      <w:start w:val="1"/>
      <w:numFmt w:val="decimal"/>
      <w:lvlText w:val="%7."/>
      <w:lvlJc w:val="left"/>
      <w:pPr>
        <w:tabs>
          <w:tab w:val="num" w:pos="5250"/>
        </w:tabs>
        <w:ind w:left="5250" w:hanging="360"/>
      </w:pPr>
    </w:lvl>
    <w:lvl w:ilvl="7" w:tplc="04180019" w:tentative="1">
      <w:start w:val="1"/>
      <w:numFmt w:val="lowerLetter"/>
      <w:lvlText w:val="%8."/>
      <w:lvlJc w:val="left"/>
      <w:pPr>
        <w:tabs>
          <w:tab w:val="num" w:pos="5970"/>
        </w:tabs>
        <w:ind w:left="5970" w:hanging="360"/>
      </w:pPr>
    </w:lvl>
    <w:lvl w:ilvl="8" w:tplc="0418001B" w:tentative="1">
      <w:start w:val="1"/>
      <w:numFmt w:val="lowerRoman"/>
      <w:lvlText w:val="%9."/>
      <w:lvlJc w:val="right"/>
      <w:pPr>
        <w:tabs>
          <w:tab w:val="num" w:pos="6690"/>
        </w:tabs>
        <w:ind w:left="6690" w:hanging="180"/>
      </w:pPr>
    </w:lvl>
  </w:abstractNum>
  <w:abstractNum w:abstractNumId="55">
    <w:nsid w:val="0AC26C62"/>
    <w:multiLevelType w:val="singleLevel"/>
    <w:tmpl w:val="561E0F3E"/>
    <w:lvl w:ilvl="0">
      <w:start w:val="1"/>
      <w:numFmt w:val="decimal"/>
      <w:lvlText w:val="%1."/>
      <w:lvlJc w:val="left"/>
      <w:pPr>
        <w:tabs>
          <w:tab w:val="num" w:pos="720"/>
        </w:tabs>
        <w:ind w:left="720" w:hanging="720"/>
      </w:pPr>
    </w:lvl>
  </w:abstractNum>
  <w:abstractNum w:abstractNumId="56">
    <w:nsid w:val="0B8D4677"/>
    <w:multiLevelType w:val="hybridMultilevel"/>
    <w:tmpl w:val="BD7CC6AA"/>
    <w:lvl w:ilvl="0" w:tplc="363ABCDC">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7">
    <w:nsid w:val="0BBA2027"/>
    <w:multiLevelType w:val="hybridMultilevel"/>
    <w:tmpl w:val="7912105C"/>
    <w:lvl w:ilvl="0" w:tplc="B43CD9D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nsid w:val="0BBC4F09"/>
    <w:multiLevelType w:val="hybridMultilevel"/>
    <w:tmpl w:val="9D3801EE"/>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CBA61B94">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61">
    <w:nsid w:val="0D06614C"/>
    <w:multiLevelType w:val="hybridMultilevel"/>
    <w:tmpl w:val="7A126850"/>
    <w:lvl w:ilvl="0" w:tplc="E6A85C3C">
      <w:start w:val="5"/>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6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0DCA2D2A"/>
    <w:multiLevelType w:val="hybridMultilevel"/>
    <w:tmpl w:val="F064BCEC"/>
    <w:lvl w:ilvl="0" w:tplc="7B724D18">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64">
    <w:nsid w:val="0E76018B"/>
    <w:multiLevelType w:val="hybridMultilevel"/>
    <w:tmpl w:val="5F3E47B8"/>
    <w:lvl w:ilvl="0" w:tplc="7F2E78BC">
      <w:start w:val="1"/>
      <w:numFmt w:val="lowerRoman"/>
      <w:lvlText w:val="(%1)"/>
      <w:lvlJc w:val="left"/>
      <w:pPr>
        <w:tabs>
          <w:tab w:val="num" w:pos="1587"/>
        </w:tabs>
        <w:ind w:left="1587" w:hanging="10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65">
    <w:nsid w:val="0EA73F93"/>
    <w:multiLevelType w:val="hybridMultilevel"/>
    <w:tmpl w:val="B87E3BFC"/>
    <w:lvl w:ilvl="0" w:tplc="61FA2444">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6">
    <w:nsid w:val="0F362AFA"/>
    <w:multiLevelType w:val="multilevel"/>
    <w:tmpl w:val="5D58824E"/>
    <w:lvl w:ilvl="0">
      <w:start w:val="1"/>
      <w:numFmt w:val="decimal"/>
      <w:lvlText w:val="(%1)"/>
      <w:lvlJc w:val="left"/>
      <w:pPr>
        <w:tabs>
          <w:tab w:val="num" w:pos="927"/>
        </w:tabs>
        <w:ind w:left="0" w:firstLine="567"/>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0FBB2C84"/>
    <w:multiLevelType w:val="singleLevel"/>
    <w:tmpl w:val="E8407814"/>
    <w:lvl w:ilvl="0">
      <w:start w:val="1"/>
      <w:numFmt w:val="decimal"/>
      <w:lvlText w:val="%1)"/>
      <w:legacy w:legacy="1" w:legacySpace="0" w:legacyIndent="420"/>
      <w:lvlJc w:val="left"/>
      <w:pPr>
        <w:ind w:left="987" w:hanging="420"/>
      </w:pPr>
    </w:lvl>
  </w:abstractNum>
  <w:abstractNum w:abstractNumId="69">
    <w:nsid w:val="0FF02E9F"/>
    <w:multiLevelType w:val="hybridMultilevel"/>
    <w:tmpl w:val="83863764"/>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10B479E6"/>
    <w:multiLevelType w:val="hybridMultilevel"/>
    <w:tmpl w:val="666CDD7A"/>
    <w:lvl w:ilvl="0" w:tplc="EED88274">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10EF4FC7"/>
    <w:multiLevelType w:val="hybridMultilevel"/>
    <w:tmpl w:val="07FCB98A"/>
    <w:lvl w:ilvl="0" w:tplc="04090015">
      <w:start w:val="1"/>
      <w:numFmt w:val="upperLetter"/>
      <w:lvlText w:val="%1."/>
      <w:lvlJc w:val="left"/>
      <w:pPr>
        <w:tabs>
          <w:tab w:val="num" w:pos="720"/>
        </w:tabs>
        <w:ind w:left="720" w:hanging="360"/>
      </w:pPr>
      <w:rPr>
        <w:rFonts w:hint="default"/>
      </w:rPr>
    </w:lvl>
    <w:lvl w:ilvl="1" w:tplc="F956F578">
      <w:start w:val="6"/>
      <w:numFmt w:val="decimal"/>
      <w:lvlText w:val="%2."/>
      <w:lvlJc w:val="left"/>
      <w:pPr>
        <w:tabs>
          <w:tab w:val="num" w:pos="360"/>
        </w:tabs>
        <w:ind w:left="0" w:firstLine="0"/>
      </w:pPr>
      <w:rPr>
        <w:rFonts w:hint="default"/>
      </w:rPr>
    </w:lvl>
    <w:lvl w:ilvl="2" w:tplc="0409001B">
      <w:start w:val="1"/>
      <w:numFmt w:val="lowerRoman"/>
      <w:lvlText w:val="%3."/>
      <w:lvlJc w:val="right"/>
      <w:pPr>
        <w:tabs>
          <w:tab w:val="num" w:pos="2160"/>
        </w:tabs>
        <w:ind w:left="2160" w:hanging="180"/>
      </w:pPr>
    </w:lvl>
    <w:lvl w:ilvl="3" w:tplc="6EB481B0">
      <w:start w:val="4"/>
      <w:numFmt w:val="lowerLetter"/>
      <w:lvlText w:val="(%4)"/>
      <w:lvlJc w:val="left"/>
      <w:pPr>
        <w:tabs>
          <w:tab w:val="num" w:pos="3990"/>
        </w:tabs>
        <w:ind w:left="3990" w:hanging="147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11120070"/>
    <w:multiLevelType w:val="singleLevel"/>
    <w:tmpl w:val="D87CC2E4"/>
    <w:lvl w:ilvl="0">
      <w:start w:val="1"/>
      <w:numFmt w:val="decimal"/>
      <w:lvlText w:val="(%1)"/>
      <w:legacy w:legacy="1" w:legacySpace="0" w:legacyIndent="360"/>
      <w:lvlJc w:val="left"/>
      <w:pPr>
        <w:ind w:left="360" w:hanging="360"/>
      </w:pPr>
    </w:lvl>
  </w:abstractNum>
  <w:abstractNum w:abstractNumId="74">
    <w:nsid w:val="11285B6E"/>
    <w:multiLevelType w:val="singleLevel"/>
    <w:tmpl w:val="D87CC2E4"/>
    <w:lvl w:ilvl="0">
      <w:start w:val="2"/>
      <w:numFmt w:val="decimal"/>
      <w:lvlText w:val="(%1)"/>
      <w:legacy w:legacy="1" w:legacySpace="0" w:legacyIndent="360"/>
      <w:lvlJc w:val="left"/>
      <w:pPr>
        <w:ind w:left="927" w:hanging="360"/>
      </w:pPr>
    </w:lvl>
  </w:abstractNum>
  <w:abstractNum w:abstractNumId="75">
    <w:nsid w:val="11853E2A"/>
    <w:multiLevelType w:val="singleLevel"/>
    <w:tmpl w:val="2CA2A02A"/>
    <w:lvl w:ilvl="0">
      <w:start w:val="1"/>
      <w:numFmt w:val="decimal"/>
      <w:lvlText w:val="%1."/>
      <w:legacy w:legacy="1" w:legacySpace="0" w:legacyIndent="360"/>
      <w:lvlJc w:val="left"/>
      <w:pPr>
        <w:ind w:left="1211" w:hanging="360"/>
      </w:pPr>
    </w:lvl>
  </w:abstractNum>
  <w:abstractNum w:abstractNumId="76">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77">
    <w:nsid w:val="12241718"/>
    <w:multiLevelType w:val="hybridMultilevel"/>
    <w:tmpl w:val="4B021904"/>
    <w:lvl w:ilvl="0" w:tplc="62F23E8A">
      <w:start w:val="1"/>
      <w:numFmt w:val="chineseCountingThousand"/>
      <w:lvlRestart w:val="0"/>
      <w:lvlText w:val="(%1)"/>
      <w:lvlJc w:val="right"/>
      <w:pPr>
        <w:tabs>
          <w:tab w:val="num" w:pos="2070"/>
        </w:tabs>
        <w:ind w:left="2070" w:hanging="170"/>
      </w:pPr>
      <w:rPr>
        <w:rFonts w:ascii="Times New Roman" w:hAnsi="Times New Roman"/>
        <w:sz w:val="20"/>
      </w:rPr>
    </w:lvl>
    <w:lvl w:ilvl="1" w:tplc="2132E9DA">
      <w:start w:val="1"/>
      <w:numFmt w:val="lowerLetter"/>
      <w:lvlRestart w:val="0"/>
      <w:lvlText w:val="(%2)"/>
      <w:lvlJc w:val="right"/>
      <w:pPr>
        <w:tabs>
          <w:tab w:val="num" w:pos="1246"/>
        </w:tabs>
        <w:ind w:left="1246" w:hanging="227"/>
      </w:pPr>
      <w:rPr>
        <w:rFonts w:ascii="Times New Roman" w:hAnsi="Times New Roman" w:hint="eastAsia"/>
        <w:b w:val="0"/>
        <w:i w:val="0"/>
        <w:sz w:val="24"/>
      </w:rPr>
    </w:lvl>
    <w:lvl w:ilvl="2" w:tplc="0409001B" w:tentative="1">
      <w:start w:val="1"/>
      <w:numFmt w:val="lowerRoman"/>
      <w:lvlText w:val="%3."/>
      <w:lvlJc w:val="right"/>
      <w:pPr>
        <w:tabs>
          <w:tab w:val="num" w:pos="1979"/>
        </w:tabs>
        <w:ind w:left="1979" w:hanging="480"/>
      </w:pPr>
    </w:lvl>
    <w:lvl w:ilvl="3" w:tplc="0409000F" w:tentative="1">
      <w:start w:val="1"/>
      <w:numFmt w:val="decimal"/>
      <w:lvlText w:val="%4."/>
      <w:lvlJc w:val="left"/>
      <w:pPr>
        <w:tabs>
          <w:tab w:val="num" w:pos="2459"/>
        </w:tabs>
        <w:ind w:left="2459" w:hanging="480"/>
      </w:pPr>
    </w:lvl>
    <w:lvl w:ilvl="4" w:tplc="04090019" w:tentative="1">
      <w:start w:val="1"/>
      <w:numFmt w:val="ideographTraditional"/>
      <w:lvlText w:val="%5、"/>
      <w:lvlJc w:val="left"/>
      <w:pPr>
        <w:tabs>
          <w:tab w:val="num" w:pos="2939"/>
        </w:tabs>
        <w:ind w:left="2939" w:hanging="480"/>
      </w:pPr>
    </w:lvl>
    <w:lvl w:ilvl="5" w:tplc="0409001B" w:tentative="1">
      <w:start w:val="1"/>
      <w:numFmt w:val="lowerRoman"/>
      <w:lvlText w:val="%6."/>
      <w:lvlJc w:val="right"/>
      <w:pPr>
        <w:tabs>
          <w:tab w:val="num" w:pos="3419"/>
        </w:tabs>
        <w:ind w:left="3419" w:hanging="480"/>
      </w:pPr>
    </w:lvl>
    <w:lvl w:ilvl="6" w:tplc="0409000F" w:tentative="1">
      <w:start w:val="1"/>
      <w:numFmt w:val="decimal"/>
      <w:lvlText w:val="%7."/>
      <w:lvlJc w:val="left"/>
      <w:pPr>
        <w:tabs>
          <w:tab w:val="num" w:pos="3899"/>
        </w:tabs>
        <w:ind w:left="3899" w:hanging="480"/>
      </w:pPr>
    </w:lvl>
    <w:lvl w:ilvl="7" w:tplc="04090019" w:tentative="1">
      <w:start w:val="1"/>
      <w:numFmt w:val="ideographTraditional"/>
      <w:lvlText w:val="%8、"/>
      <w:lvlJc w:val="left"/>
      <w:pPr>
        <w:tabs>
          <w:tab w:val="num" w:pos="4379"/>
        </w:tabs>
        <w:ind w:left="4379" w:hanging="480"/>
      </w:pPr>
    </w:lvl>
    <w:lvl w:ilvl="8" w:tplc="0409001B" w:tentative="1">
      <w:start w:val="1"/>
      <w:numFmt w:val="lowerRoman"/>
      <w:lvlText w:val="%9."/>
      <w:lvlJc w:val="right"/>
      <w:pPr>
        <w:tabs>
          <w:tab w:val="num" w:pos="4859"/>
        </w:tabs>
        <w:ind w:left="4859" w:hanging="480"/>
      </w:pPr>
    </w:lvl>
  </w:abstractNum>
  <w:abstractNum w:abstractNumId="78">
    <w:nsid w:val="122D7430"/>
    <w:multiLevelType w:val="singleLevel"/>
    <w:tmpl w:val="49E6666A"/>
    <w:lvl w:ilvl="0">
      <w:start w:val="2"/>
      <w:numFmt w:val="decimal"/>
      <w:lvlText w:val="%1."/>
      <w:legacy w:legacy="1" w:legacySpace="0" w:legacyIndent="927"/>
      <w:lvlJc w:val="left"/>
      <w:pPr>
        <w:ind w:left="1494" w:hanging="927"/>
      </w:pPr>
    </w:lvl>
  </w:abstractNum>
  <w:abstractNum w:abstractNumId="7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80">
    <w:nsid w:val="12A86581"/>
    <w:multiLevelType w:val="hybridMultilevel"/>
    <w:tmpl w:val="B17EB782"/>
    <w:lvl w:ilvl="0" w:tplc="FE244A6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nsid w:val="12F62128"/>
    <w:multiLevelType w:val="hybridMultilevel"/>
    <w:tmpl w:val="4EB86BB8"/>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130F53B7"/>
    <w:multiLevelType w:val="hybridMultilevel"/>
    <w:tmpl w:val="D01A2EA2"/>
    <w:lvl w:ilvl="0" w:tplc="9D60FA0E">
      <w:start w:val="1"/>
      <w:numFmt w:val="lowerLetter"/>
      <w:lvlRestart w:val="0"/>
      <w:lvlText w:val="(%1)"/>
      <w:lvlJc w:val="right"/>
      <w:pPr>
        <w:tabs>
          <w:tab w:val="num" w:pos="2571"/>
        </w:tabs>
        <w:ind w:left="2571" w:hanging="227"/>
      </w:pPr>
      <w:rPr>
        <w:rFonts w:ascii="Times New Roman" w:hAnsi="Times New Roman"/>
        <w:b w:val="0"/>
        <w:i w:val="0"/>
        <w:sz w:val="24"/>
      </w:rPr>
    </w:lvl>
    <w:lvl w:ilvl="1" w:tplc="04090019" w:tentative="1">
      <w:start w:val="1"/>
      <w:numFmt w:val="ideographTraditional"/>
      <w:lvlText w:val="%2、"/>
      <w:lvlJc w:val="left"/>
      <w:pPr>
        <w:tabs>
          <w:tab w:val="num" w:pos="2000"/>
        </w:tabs>
        <w:ind w:left="2000" w:hanging="480"/>
      </w:pPr>
    </w:lvl>
    <w:lvl w:ilvl="2" w:tplc="0409001B">
      <w:start w:val="1"/>
      <w:numFmt w:val="lowerRoman"/>
      <w:lvlText w:val="%3."/>
      <w:lvlJc w:val="right"/>
      <w:pPr>
        <w:tabs>
          <w:tab w:val="num" w:pos="2480"/>
        </w:tabs>
        <w:ind w:left="2480" w:hanging="480"/>
      </w:p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83">
    <w:nsid w:val="1368224E"/>
    <w:multiLevelType w:val="hybridMultilevel"/>
    <w:tmpl w:val="95C07F40"/>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nsid w:val="141A4E4E"/>
    <w:multiLevelType w:val="hybridMultilevel"/>
    <w:tmpl w:val="CC1E0E9A"/>
    <w:lvl w:ilvl="0" w:tplc="B1B886CC">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85">
    <w:nsid w:val="142F125D"/>
    <w:multiLevelType w:val="hybridMultilevel"/>
    <w:tmpl w:val="3664EB32"/>
    <w:lvl w:ilvl="0" w:tplc="16A8940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nsid w:val="146804BF"/>
    <w:multiLevelType w:val="hybridMultilevel"/>
    <w:tmpl w:val="6846B718"/>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nsid w:val="14C32759"/>
    <w:multiLevelType w:val="singleLevel"/>
    <w:tmpl w:val="D87CC2E4"/>
    <w:lvl w:ilvl="0">
      <w:start w:val="2"/>
      <w:numFmt w:val="decimal"/>
      <w:lvlText w:val="(%1)"/>
      <w:legacy w:legacy="1" w:legacySpace="0" w:legacyIndent="360"/>
      <w:lvlJc w:val="left"/>
      <w:pPr>
        <w:ind w:left="927" w:hanging="360"/>
      </w:pPr>
    </w:lvl>
  </w:abstractNum>
  <w:abstractNum w:abstractNumId="88">
    <w:nsid w:val="14C508D1"/>
    <w:multiLevelType w:val="singleLevel"/>
    <w:tmpl w:val="E8407814"/>
    <w:lvl w:ilvl="0">
      <w:start w:val="4"/>
      <w:numFmt w:val="decimal"/>
      <w:lvlText w:val="%1)"/>
      <w:legacy w:legacy="1" w:legacySpace="0" w:legacyIndent="420"/>
      <w:lvlJc w:val="left"/>
      <w:pPr>
        <w:ind w:left="987" w:hanging="420"/>
      </w:pPr>
    </w:lvl>
  </w:abstractNum>
  <w:abstractNum w:abstractNumId="89">
    <w:nsid w:val="14F53666"/>
    <w:multiLevelType w:val="hybridMultilevel"/>
    <w:tmpl w:val="E9E8305E"/>
    <w:lvl w:ilvl="0" w:tplc="281AF080">
      <w:start w:val="9"/>
      <w:numFmt w:val="lowerLetter"/>
      <w:lvlText w:val="(%1)"/>
      <w:lvlJc w:val="left"/>
      <w:pPr>
        <w:tabs>
          <w:tab w:val="num" w:pos="1005"/>
        </w:tabs>
        <w:ind w:left="1005" w:hanging="360"/>
      </w:pPr>
      <w:rPr>
        <w:rFonts w:hint="default"/>
      </w:rPr>
    </w:lvl>
    <w:lvl w:ilvl="1" w:tplc="04180019" w:tentative="1">
      <w:start w:val="1"/>
      <w:numFmt w:val="lowerLetter"/>
      <w:lvlText w:val="%2."/>
      <w:lvlJc w:val="left"/>
      <w:pPr>
        <w:tabs>
          <w:tab w:val="num" w:pos="1725"/>
        </w:tabs>
        <w:ind w:left="1725" w:hanging="360"/>
      </w:pPr>
    </w:lvl>
    <w:lvl w:ilvl="2" w:tplc="0418001B" w:tentative="1">
      <w:start w:val="1"/>
      <w:numFmt w:val="lowerRoman"/>
      <w:lvlText w:val="%3."/>
      <w:lvlJc w:val="right"/>
      <w:pPr>
        <w:tabs>
          <w:tab w:val="num" w:pos="2445"/>
        </w:tabs>
        <w:ind w:left="2445" w:hanging="180"/>
      </w:pPr>
    </w:lvl>
    <w:lvl w:ilvl="3" w:tplc="0418000F" w:tentative="1">
      <w:start w:val="1"/>
      <w:numFmt w:val="decimal"/>
      <w:lvlText w:val="%4."/>
      <w:lvlJc w:val="left"/>
      <w:pPr>
        <w:tabs>
          <w:tab w:val="num" w:pos="3165"/>
        </w:tabs>
        <w:ind w:left="3165" w:hanging="360"/>
      </w:pPr>
    </w:lvl>
    <w:lvl w:ilvl="4" w:tplc="04180019" w:tentative="1">
      <w:start w:val="1"/>
      <w:numFmt w:val="lowerLetter"/>
      <w:lvlText w:val="%5."/>
      <w:lvlJc w:val="left"/>
      <w:pPr>
        <w:tabs>
          <w:tab w:val="num" w:pos="3885"/>
        </w:tabs>
        <w:ind w:left="3885" w:hanging="360"/>
      </w:pPr>
    </w:lvl>
    <w:lvl w:ilvl="5" w:tplc="0418001B" w:tentative="1">
      <w:start w:val="1"/>
      <w:numFmt w:val="lowerRoman"/>
      <w:lvlText w:val="%6."/>
      <w:lvlJc w:val="right"/>
      <w:pPr>
        <w:tabs>
          <w:tab w:val="num" w:pos="4605"/>
        </w:tabs>
        <w:ind w:left="4605" w:hanging="180"/>
      </w:pPr>
    </w:lvl>
    <w:lvl w:ilvl="6" w:tplc="0418000F" w:tentative="1">
      <w:start w:val="1"/>
      <w:numFmt w:val="decimal"/>
      <w:lvlText w:val="%7."/>
      <w:lvlJc w:val="left"/>
      <w:pPr>
        <w:tabs>
          <w:tab w:val="num" w:pos="5325"/>
        </w:tabs>
        <w:ind w:left="5325" w:hanging="360"/>
      </w:pPr>
    </w:lvl>
    <w:lvl w:ilvl="7" w:tplc="04180019" w:tentative="1">
      <w:start w:val="1"/>
      <w:numFmt w:val="lowerLetter"/>
      <w:lvlText w:val="%8."/>
      <w:lvlJc w:val="left"/>
      <w:pPr>
        <w:tabs>
          <w:tab w:val="num" w:pos="6045"/>
        </w:tabs>
        <w:ind w:left="6045" w:hanging="360"/>
      </w:pPr>
    </w:lvl>
    <w:lvl w:ilvl="8" w:tplc="0418001B" w:tentative="1">
      <w:start w:val="1"/>
      <w:numFmt w:val="lowerRoman"/>
      <w:lvlText w:val="%9."/>
      <w:lvlJc w:val="right"/>
      <w:pPr>
        <w:tabs>
          <w:tab w:val="num" w:pos="6765"/>
        </w:tabs>
        <w:ind w:left="6765" w:hanging="180"/>
      </w:pPr>
    </w:lvl>
  </w:abstractNum>
  <w:abstractNum w:abstractNumId="90">
    <w:nsid w:val="165B6262"/>
    <w:multiLevelType w:val="hybridMultilevel"/>
    <w:tmpl w:val="25406420"/>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169E5449"/>
    <w:multiLevelType w:val="singleLevel"/>
    <w:tmpl w:val="E8407814"/>
    <w:lvl w:ilvl="0">
      <w:start w:val="1"/>
      <w:numFmt w:val="decimal"/>
      <w:lvlText w:val="%1)"/>
      <w:legacy w:legacy="1" w:legacySpace="0" w:legacyIndent="420"/>
      <w:lvlJc w:val="left"/>
      <w:pPr>
        <w:ind w:left="420" w:hanging="420"/>
      </w:pPr>
    </w:lvl>
  </w:abstractNum>
  <w:abstractNum w:abstractNumId="93">
    <w:nsid w:val="16C652F5"/>
    <w:multiLevelType w:val="hybridMultilevel"/>
    <w:tmpl w:val="FBDA73B2"/>
    <w:lvl w:ilvl="0" w:tplc="BB566DA0">
      <w:start w:val="8"/>
      <w:numFmt w:val="lowerRoman"/>
      <w:lvlText w:val="(%1)"/>
      <w:lvlJc w:val="left"/>
      <w:pPr>
        <w:tabs>
          <w:tab w:val="num" w:pos="1440"/>
        </w:tabs>
        <w:ind w:left="1440" w:hanging="72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94">
    <w:nsid w:val="16C65ED0"/>
    <w:multiLevelType w:val="hybridMultilevel"/>
    <w:tmpl w:val="35545358"/>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95">
    <w:nsid w:val="16FF76B6"/>
    <w:multiLevelType w:val="hybridMultilevel"/>
    <w:tmpl w:val="00E012E4"/>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nsid w:val="170C549E"/>
    <w:multiLevelType w:val="singleLevel"/>
    <w:tmpl w:val="01325DD6"/>
    <w:lvl w:ilvl="0">
      <w:start w:val="1"/>
      <w:numFmt w:val="lowerLetter"/>
      <w:lvlText w:val="(%1)"/>
      <w:lvlJc w:val="left"/>
      <w:pPr>
        <w:tabs>
          <w:tab w:val="num" w:pos="720"/>
        </w:tabs>
        <w:ind w:left="720" w:hanging="720"/>
      </w:pPr>
    </w:lvl>
  </w:abstractNum>
  <w:abstractNum w:abstractNumId="97">
    <w:nsid w:val="17280283"/>
    <w:multiLevelType w:val="hybridMultilevel"/>
    <w:tmpl w:val="32D8F05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8">
    <w:nsid w:val="173B5BD9"/>
    <w:multiLevelType w:val="hybridMultilevel"/>
    <w:tmpl w:val="B05657A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176E042D"/>
    <w:multiLevelType w:val="hybridMultilevel"/>
    <w:tmpl w:val="46CC964E"/>
    <w:lvl w:ilvl="0" w:tplc="2E02744E">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00">
    <w:nsid w:val="177513AE"/>
    <w:multiLevelType w:val="hybridMultilevel"/>
    <w:tmpl w:val="3B7C6906"/>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CBA61B94">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nsid w:val="178F00A3"/>
    <w:multiLevelType w:val="singleLevel"/>
    <w:tmpl w:val="E8407814"/>
    <w:lvl w:ilvl="0">
      <w:start w:val="1"/>
      <w:numFmt w:val="decimal"/>
      <w:lvlText w:val="%1)"/>
      <w:legacy w:legacy="1" w:legacySpace="0" w:legacyIndent="420"/>
      <w:lvlJc w:val="left"/>
      <w:pPr>
        <w:ind w:left="987" w:hanging="420"/>
      </w:pPr>
    </w:lvl>
  </w:abstractNum>
  <w:abstractNum w:abstractNumId="102">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180A759F"/>
    <w:multiLevelType w:val="hybridMultilevel"/>
    <w:tmpl w:val="307C7EAE"/>
    <w:lvl w:ilvl="0" w:tplc="98BCD6C0">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04">
    <w:nsid w:val="18356F03"/>
    <w:multiLevelType w:val="hybridMultilevel"/>
    <w:tmpl w:val="FD24EB6A"/>
    <w:lvl w:ilvl="0" w:tplc="E6A85C3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05">
    <w:nsid w:val="1836036B"/>
    <w:multiLevelType w:val="hybridMultilevel"/>
    <w:tmpl w:val="AB86DCC4"/>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nsid w:val="183E2820"/>
    <w:multiLevelType w:val="hybridMultilevel"/>
    <w:tmpl w:val="66F67B0E"/>
    <w:lvl w:ilvl="0" w:tplc="5BF08BDE">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07">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08">
    <w:nsid w:val="18442E97"/>
    <w:multiLevelType w:val="hybridMultilevel"/>
    <w:tmpl w:val="2EB43EC0"/>
    <w:lvl w:ilvl="0" w:tplc="B43CD9D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nsid w:val="18844048"/>
    <w:multiLevelType w:val="singleLevel"/>
    <w:tmpl w:val="9676914A"/>
    <w:lvl w:ilvl="0">
      <w:start w:val="1"/>
      <w:numFmt w:val="lowerLetter"/>
      <w:lvlText w:val="%1)"/>
      <w:legacy w:legacy="1" w:legacySpace="0" w:legacyIndent="360"/>
      <w:lvlJc w:val="left"/>
      <w:pPr>
        <w:ind w:left="360" w:hanging="360"/>
      </w:pPr>
    </w:lvl>
  </w:abstractNum>
  <w:abstractNum w:abstractNumId="110">
    <w:nsid w:val="18CE407A"/>
    <w:multiLevelType w:val="hybridMultilevel"/>
    <w:tmpl w:val="A104BED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nsid w:val="1916110C"/>
    <w:multiLevelType w:val="singleLevel"/>
    <w:tmpl w:val="7A1A9290"/>
    <w:lvl w:ilvl="0">
      <w:start w:val="1"/>
      <w:numFmt w:val="decimal"/>
      <w:lvlText w:val="(%1)"/>
      <w:legacy w:legacy="1" w:legacySpace="0" w:legacyIndent="567"/>
      <w:lvlJc w:val="left"/>
      <w:pPr>
        <w:ind w:left="1134" w:hanging="567"/>
      </w:pPr>
    </w:lvl>
  </w:abstractNum>
  <w:abstractNum w:abstractNumId="112">
    <w:nsid w:val="1A0453DD"/>
    <w:multiLevelType w:val="hybridMultilevel"/>
    <w:tmpl w:val="14C88A00"/>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nsid w:val="1B1F3905"/>
    <w:multiLevelType w:val="hybridMultilevel"/>
    <w:tmpl w:val="82DA559E"/>
    <w:lvl w:ilvl="0" w:tplc="E5685998">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14">
    <w:nsid w:val="1B2B7986"/>
    <w:multiLevelType w:val="hybridMultilevel"/>
    <w:tmpl w:val="D38A084C"/>
    <w:lvl w:ilvl="0" w:tplc="16C4B6A8">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15">
    <w:nsid w:val="1BB36822"/>
    <w:multiLevelType w:val="hybridMultilevel"/>
    <w:tmpl w:val="3B2C78E2"/>
    <w:lvl w:ilvl="0" w:tplc="3D5AFECC">
      <w:start w:val="1"/>
      <w:numFmt w:val="chineseCountingThousand"/>
      <w:lvlRestart w:val="0"/>
      <w:lvlText w:val="(%1)"/>
      <w:lvlJc w:val="right"/>
      <w:pPr>
        <w:tabs>
          <w:tab w:val="num" w:pos="3091"/>
        </w:tabs>
        <w:ind w:left="3091" w:hanging="170"/>
      </w:pPr>
      <w:rPr>
        <w:rFonts w:ascii="Times New Roman" w:hAnsi="Times New Roman" w:hint="eastAsia"/>
        <w:sz w:val="20"/>
      </w:rPr>
    </w:lvl>
    <w:lvl w:ilvl="1" w:tplc="FD5C65A6">
      <w:start w:val="5"/>
      <w:numFmt w:val="lowerLetter"/>
      <w:lvlRestart w:val="0"/>
      <w:lvlText w:val="(%2)"/>
      <w:lvlJc w:val="right"/>
      <w:pPr>
        <w:tabs>
          <w:tab w:val="num" w:pos="2267"/>
        </w:tabs>
        <w:ind w:left="2267" w:hanging="227"/>
      </w:pPr>
      <w:rPr>
        <w:rFonts w:ascii="Times New Roman" w:hAnsi="Times New Roman" w:hint="eastAsia"/>
        <w:b w:val="0"/>
        <w:i w:val="0"/>
        <w:sz w:val="24"/>
      </w:rPr>
    </w:lvl>
    <w:lvl w:ilvl="2" w:tplc="0409001B" w:tentative="1">
      <w:start w:val="1"/>
      <w:numFmt w:val="lowerRoman"/>
      <w:lvlText w:val="%3."/>
      <w:lvlJc w:val="right"/>
      <w:pPr>
        <w:tabs>
          <w:tab w:val="num" w:pos="3000"/>
        </w:tabs>
        <w:ind w:left="3000" w:hanging="480"/>
      </w:pPr>
    </w:lvl>
    <w:lvl w:ilvl="3" w:tplc="0409000F" w:tentative="1">
      <w:start w:val="1"/>
      <w:numFmt w:val="decimal"/>
      <w:lvlText w:val="%4."/>
      <w:lvlJc w:val="left"/>
      <w:pPr>
        <w:tabs>
          <w:tab w:val="num" w:pos="3480"/>
        </w:tabs>
        <w:ind w:left="3480" w:hanging="480"/>
      </w:pPr>
    </w:lvl>
    <w:lvl w:ilvl="4" w:tplc="04090019" w:tentative="1">
      <w:start w:val="1"/>
      <w:numFmt w:val="ideographTraditional"/>
      <w:lvlText w:val="%5、"/>
      <w:lvlJc w:val="left"/>
      <w:pPr>
        <w:tabs>
          <w:tab w:val="num" w:pos="3960"/>
        </w:tabs>
        <w:ind w:left="3960" w:hanging="480"/>
      </w:pPr>
    </w:lvl>
    <w:lvl w:ilvl="5" w:tplc="0409001B" w:tentative="1">
      <w:start w:val="1"/>
      <w:numFmt w:val="lowerRoman"/>
      <w:lvlText w:val="%6."/>
      <w:lvlJc w:val="right"/>
      <w:pPr>
        <w:tabs>
          <w:tab w:val="num" w:pos="4440"/>
        </w:tabs>
        <w:ind w:left="4440" w:hanging="480"/>
      </w:pPr>
    </w:lvl>
    <w:lvl w:ilvl="6" w:tplc="0409000F" w:tentative="1">
      <w:start w:val="1"/>
      <w:numFmt w:val="decimal"/>
      <w:lvlText w:val="%7."/>
      <w:lvlJc w:val="left"/>
      <w:pPr>
        <w:tabs>
          <w:tab w:val="num" w:pos="4920"/>
        </w:tabs>
        <w:ind w:left="4920" w:hanging="480"/>
      </w:pPr>
    </w:lvl>
    <w:lvl w:ilvl="7" w:tplc="04090019" w:tentative="1">
      <w:start w:val="1"/>
      <w:numFmt w:val="ideographTraditional"/>
      <w:lvlText w:val="%8、"/>
      <w:lvlJc w:val="left"/>
      <w:pPr>
        <w:tabs>
          <w:tab w:val="num" w:pos="5400"/>
        </w:tabs>
        <w:ind w:left="5400" w:hanging="480"/>
      </w:pPr>
    </w:lvl>
    <w:lvl w:ilvl="8" w:tplc="0409001B" w:tentative="1">
      <w:start w:val="1"/>
      <w:numFmt w:val="lowerRoman"/>
      <w:lvlText w:val="%9."/>
      <w:lvlJc w:val="right"/>
      <w:pPr>
        <w:tabs>
          <w:tab w:val="num" w:pos="5880"/>
        </w:tabs>
        <w:ind w:left="5880" w:hanging="480"/>
      </w:pPr>
    </w:lvl>
  </w:abstractNum>
  <w:abstractNum w:abstractNumId="116">
    <w:nsid w:val="1BE27027"/>
    <w:multiLevelType w:val="hybridMultilevel"/>
    <w:tmpl w:val="689C8BD6"/>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17">
    <w:nsid w:val="1BF83D7E"/>
    <w:multiLevelType w:val="hybridMultilevel"/>
    <w:tmpl w:val="7DACCB64"/>
    <w:lvl w:ilvl="0" w:tplc="A52C1662">
      <w:start w:val="1"/>
      <w:numFmt w:val="decimal"/>
      <w:lvlText w:val="(%1)"/>
      <w:lvlJc w:val="left"/>
      <w:pPr>
        <w:tabs>
          <w:tab w:val="num" w:pos="1494"/>
        </w:tabs>
        <w:ind w:left="567" w:firstLine="567"/>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118">
    <w:nsid w:val="1C837AE9"/>
    <w:multiLevelType w:val="hybridMultilevel"/>
    <w:tmpl w:val="BB00A40C"/>
    <w:lvl w:ilvl="0" w:tplc="F7B6C02A">
      <w:start w:val="1"/>
      <w:numFmt w:val="decimal"/>
      <w:lvlText w:val="(%1)"/>
      <w:lvlJc w:val="left"/>
      <w:pPr>
        <w:tabs>
          <w:tab w:val="num" w:pos="1110"/>
        </w:tabs>
        <w:ind w:left="1110" w:hanging="39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19">
    <w:nsid w:val="1CA112FC"/>
    <w:multiLevelType w:val="singleLevel"/>
    <w:tmpl w:val="071ACD4E"/>
    <w:lvl w:ilvl="0">
      <w:start w:val="1"/>
      <w:numFmt w:val="decimal"/>
      <w:lvlText w:val="(%1)"/>
      <w:legacy w:legacy="1" w:legacySpace="0" w:legacyIndent="1110"/>
      <w:lvlJc w:val="left"/>
      <w:pPr>
        <w:ind w:left="1830" w:hanging="1110"/>
      </w:pPr>
    </w:lvl>
  </w:abstractNum>
  <w:abstractNum w:abstractNumId="120">
    <w:nsid w:val="1CB328D8"/>
    <w:multiLevelType w:val="hybridMultilevel"/>
    <w:tmpl w:val="5450F266"/>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44E69930">
      <w:start w:val="1"/>
      <w:numFmt w:val="chineseCountingThousand"/>
      <w:lvlRestart w:val="0"/>
      <w:lvlText w:val="(%2)"/>
      <w:lvlJc w:val="right"/>
      <w:pPr>
        <w:tabs>
          <w:tab w:val="num" w:pos="-144"/>
        </w:tabs>
        <w:ind w:left="-144" w:hanging="170"/>
      </w:pPr>
      <w:rPr>
        <w:rFonts w:ascii="Times New Roman" w:hAnsi="Times New Roman"/>
        <w:sz w:val="20"/>
      </w:r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121">
    <w:nsid w:val="1D2251A7"/>
    <w:multiLevelType w:val="hybridMultilevel"/>
    <w:tmpl w:val="674404A2"/>
    <w:lvl w:ilvl="0" w:tplc="62F23E8A">
      <w:start w:val="1"/>
      <w:numFmt w:val="chineseCountingThousand"/>
      <w:lvlRestart w:val="0"/>
      <w:lvlText w:val="(%1)"/>
      <w:lvlJc w:val="right"/>
      <w:pPr>
        <w:tabs>
          <w:tab w:val="num" w:pos="2070"/>
        </w:tabs>
        <w:ind w:left="2070" w:hanging="170"/>
      </w:pPr>
      <w:rPr>
        <w:rFonts w:ascii="Times New Roman" w:hAnsi="Times New Roman"/>
        <w:sz w:val="20"/>
      </w:rPr>
    </w:lvl>
    <w:lvl w:ilvl="1" w:tplc="62F23E8A">
      <w:start w:val="1"/>
      <w:numFmt w:val="chineseCountingThousand"/>
      <w:lvlRestart w:val="0"/>
      <w:lvlText w:val="(%2)"/>
      <w:lvlJc w:val="right"/>
      <w:pPr>
        <w:tabs>
          <w:tab w:val="num" w:pos="1189"/>
        </w:tabs>
        <w:ind w:left="1189" w:hanging="170"/>
      </w:pPr>
      <w:rPr>
        <w:rFonts w:ascii="Times New Roman" w:hAnsi="Times New Roman"/>
        <w:sz w:val="20"/>
      </w:rPr>
    </w:lvl>
    <w:lvl w:ilvl="2" w:tplc="0409001B" w:tentative="1">
      <w:start w:val="1"/>
      <w:numFmt w:val="lowerRoman"/>
      <w:lvlText w:val="%3."/>
      <w:lvlJc w:val="right"/>
      <w:pPr>
        <w:tabs>
          <w:tab w:val="num" w:pos="1979"/>
        </w:tabs>
        <w:ind w:left="1979" w:hanging="480"/>
      </w:pPr>
    </w:lvl>
    <w:lvl w:ilvl="3" w:tplc="0409000F" w:tentative="1">
      <w:start w:val="1"/>
      <w:numFmt w:val="decimal"/>
      <w:lvlText w:val="%4."/>
      <w:lvlJc w:val="left"/>
      <w:pPr>
        <w:tabs>
          <w:tab w:val="num" w:pos="2459"/>
        </w:tabs>
        <w:ind w:left="2459" w:hanging="480"/>
      </w:pPr>
    </w:lvl>
    <w:lvl w:ilvl="4" w:tplc="04090019" w:tentative="1">
      <w:start w:val="1"/>
      <w:numFmt w:val="ideographTraditional"/>
      <w:lvlText w:val="%5、"/>
      <w:lvlJc w:val="left"/>
      <w:pPr>
        <w:tabs>
          <w:tab w:val="num" w:pos="2939"/>
        </w:tabs>
        <w:ind w:left="2939" w:hanging="480"/>
      </w:pPr>
    </w:lvl>
    <w:lvl w:ilvl="5" w:tplc="0409001B" w:tentative="1">
      <w:start w:val="1"/>
      <w:numFmt w:val="lowerRoman"/>
      <w:lvlText w:val="%6."/>
      <w:lvlJc w:val="right"/>
      <w:pPr>
        <w:tabs>
          <w:tab w:val="num" w:pos="3419"/>
        </w:tabs>
        <w:ind w:left="3419" w:hanging="480"/>
      </w:pPr>
    </w:lvl>
    <w:lvl w:ilvl="6" w:tplc="0409000F" w:tentative="1">
      <w:start w:val="1"/>
      <w:numFmt w:val="decimal"/>
      <w:lvlText w:val="%7."/>
      <w:lvlJc w:val="left"/>
      <w:pPr>
        <w:tabs>
          <w:tab w:val="num" w:pos="3899"/>
        </w:tabs>
        <w:ind w:left="3899" w:hanging="480"/>
      </w:pPr>
    </w:lvl>
    <w:lvl w:ilvl="7" w:tplc="04090019" w:tentative="1">
      <w:start w:val="1"/>
      <w:numFmt w:val="ideographTraditional"/>
      <w:lvlText w:val="%8、"/>
      <w:lvlJc w:val="left"/>
      <w:pPr>
        <w:tabs>
          <w:tab w:val="num" w:pos="4379"/>
        </w:tabs>
        <w:ind w:left="4379" w:hanging="480"/>
      </w:pPr>
    </w:lvl>
    <w:lvl w:ilvl="8" w:tplc="0409001B" w:tentative="1">
      <w:start w:val="1"/>
      <w:numFmt w:val="lowerRoman"/>
      <w:lvlText w:val="%9."/>
      <w:lvlJc w:val="right"/>
      <w:pPr>
        <w:tabs>
          <w:tab w:val="num" w:pos="4859"/>
        </w:tabs>
        <w:ind w:left="4859" w:hanging="480"/>
      </w:pPr>
    </w:lvl>
  </w:abstractNum>
  <w:abstractNum w:abstractNumId="122">
    <w:nsid w:val="1D377BAD"/>
    <w:multiLevelType w:val="hybridMultilevel"/>
    <w:tmpl w:val="95822414"/>
    <w:lvl w:ilvl="0" w:tplc="46604E9E">
      <w:start w:val="2"/>
      <w:numFmt w:val="lowerRoman"/>
      <w:lvlText w:val="(%1)"/>
      <w:lvlJc w:val="left"/>
      <w:pPr>
        <w:tabs>
          <w:tab w:val="num" w:pos="1854"/>
        </w:tabs>
        <w:ind w:left="1854" w:hanging="720"/>
      </w:pPr>
      <w:rPr>
        <w:rFonts w:hint="default"/>
      </w:rPr>
    </w:lvl>
    <w:lvl w:ilvl="1" w:tplc="8CECD1E2">
      <w:start w:val="3"/>
      <w:numFmt w:val="upperRoman"/>
      <w:lvlText w:val="(%2)"/>
      <w:lvlJc w:val="left"/>
      <w:pPr>
        <w:tabs>
          <w:tab w:val="num" w:pos="2574"/>
        </w:tabs>
        <w:ind w:left="2574" w:hanging="720"/>
      </w:pPr>
      <w:rPr>
        <w:rFonts w:hint="default"/>
      </w:rPr>
    </w:lvl>
    <w:lvl w:ilvl="2" w:tplc="0418001B" w:tentative="1">
      <w:start w:val="1"/>
      <w:numFmt w:val="lowerRoman"/>
      <w:lvlText w:val="%3."/>
      <w:lvlJc w:val="right"/>
      <w:pPr>
        <w:tabs>
          <w:tab w:val="num" w:pos="2934"/>
        </w:tabs>
        <w:ind w:left="2934" w:hanging="180"/>
      </w:pPr>
    </w:lvl>
    <w:lvl w:ilvl="3" w:tplc="0418000F" w:tentative="1">
      <w:start w:val="1"/>
      <w:numFmt w:val="decimal"/>
      <w:lvlText w:val="%4."/>
      <w:lvlJc w:val="left"/>
      <w:pPr>
        <w:tabs>
          <w:tab w:val="num" w:pos="3654"/>
        </w:tabs>
        <w:ind w:left="3654" w:hanging="360"/>
      </w:pPr>
    </w:lvl>
    <w:lvl w:ilvl="4" w:tplc="04180019" w:tentative="1">
      <w:start w:val="1"/>
      <w:numFmt w:val="lowerLetter"/>
      <w:lvlText w:val="%5."/>
      <w:lvlJc w:val="left"/>
      <w:pPr>
        <w:tabs>
          <w:tab w:val="num" w:pos="4374"/>
        </w:tabs>
        <w:ind w:left="4374" w:hanging="360"/>
      </w:pPr>
    </w:lvl>
    <w:lvl w:ilvl="5" w:tplc="0418001B" w:tentative="1">
      <w:start w:val="1"/>
      <w:numFmt w:val="lowerRoman"/>
      <w:lvlText w:val="%6."/>
      <w:lvlJc w:val="right"/>
      <w:pPr>
        <w:tabs>
          <w:tab w:val="num" w:pos="5094"/>
        </w:tabs>
        <w:ind w:left="5094" w:hanging="180"/>
      </w:pPr>
    </w:lvl>
    <w:lvl w:ilvl="6" w:tplc="0418000F" w:tentative="1">
      <w:start w:val="1"/>
      <w:numFmt w:val="decimal"/>
      <w:lvlText w:val="%7."/>
      <w:lvlJc w:val="left"/>
      <w:pPr>
        <w:tabs>
          <w:tab w:val="num" w:pos="5814"/>
        </w:tabs>
        <w:ind w:left="5814" w:hanging="360"/>
      </w:pPr>
    </w:lvl>
    <w:lvl w:ilvl="7" w:tplc="04180019" w:tentative="1">
      <w:start w:val="1"/>
      <w:numFmt w:val="lowerLetter"/>
      <w:lvlText w:val="%8."/>
      <w:lvlJc w:val="left"/>
      <w:pPr>
        <w:tabs>
          <w:tab w:val="num" w:pos="6534"/>
        </w:tabs>
        <w:ind w:left="6534" w:hanging="360"/>
      </w:pPr>
    </w:lvl>
    <w:lvl w:ilvl="8" w:tplc="0418001B" w:tentative="1">
      <w:start w:val="1"/>
      <w:numFmt w:val="lowerRoman"/>
      <w:lvlText w:val="%9."/>
      <w:lvlJc w:val="right"/>
      <w:pPr>
        <w:tabs>
          <w:tab w:val="num" w:pos="7254"/>
        </w:tabs>
        <w:ind w:left="7254" w:hanging="180"/>
      </w:pPr>
    </w:lvl>
  </w:abstractNum>
  <w:abstractNum w:abstractNumId="123">
    <w:nsid w:val="1D3B0F01"/>
    <w:multiLevelType w:val="singleLevel"/>
    <w:tmpl w:val="9676914A"/>
    <w:lvl w:ilvl="0">
      <w:start w:val="1"/>
      <w:numFmt w:val="lowerLetter"/>
      <w:lvlText w:val="%1)"/>
      <w:legacy w:legacy="1" w:legacySpace="0" w:legacyIndent="360"/>
      <w:lvlJc w:val="left"/>
      <w:pPr>
        <w:ind w:left="1080" w:hanging="360"/>
      </w:pPr>
    </w:lvl>
  </w:abstractNum>
  <w:abstractNum w:abstractNumId="124">
    <w:nsid w:val="1D4638A7"/>
    <w:multiLevelType w:val="hybridMultilevel"/>
    <w:tmpl w:val="5C56CA4C"/>
    <w:lvl w:ilvl="0" w:tplc="74E85EE4">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125">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26">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7">
    <w:nsid w:val="1DED3426"/>
    <w:multiLevelType w:val="singleLevel"/>
    <w:tmpl w:val="9FC84E80"/>
    <w:lvl w:ilvl="0">
      <w:start w:val="5"/>
      <w:numFmt w:val="decimal"/>
      <w:lvlText w:val="(%1)"/>
      <w:legacy w:legacy="1" w:legacySpace="0" w:legacyIndent="360"/>
      <w:lvlJc w:val="left"/>
      <w:pPr>
        <w:ind w:left="927" w:hanging="360"/>
      </w:pPr>
    </w:lvl>
  </w:abstractNum>
  <w:abstractNum w:abstractNumId="128">
    <w:nsid w:val="1F454F08"/>
    <w:multiLevelType w:val="hybridMultilevel"/>
    <w:tmpl w:val="55504C74"/>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nsid w:val="1F5A79B3"/>
    <w:multiLevelType w:val="hybridMultilevel"/>
    <w:tmpl w:val="3C3642AC"/>
    <w:lvl w:ilvl="0" w:tplc="6270F810">
      <w:start w:val="1"/>
      <w:numFmt w:val="lowerLetter"/>
      <w:lvlText w:val="（%1）"/>
      <w:lvlJc w:val="left"/>
      <w:pPr>
        <w:tabs>
          <w:tab w:val="num" w:pos="1230"/>
        </w:tabs>
        <w:ind w:left="1230" w:hanging="72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30">
    <w:nsid w:val="1F617AFA"/>
    <w:multiLevelType w:val="hybridMultilevel"/>
    <w:tmpl w:val="53542038"/>
    <w:lvl w:ilvl="0" w:tplc="888A88CC">
      <w:start w:val="1"/>
      <w:numFmt w:val="bullet"/>
      <w:lvlText w:val=""/>
      <w:legacy w:legacy="1" w:legacySpace="0" w:legacyIndent="-567"/>
      <w:lvlJc w:val="left"/>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1">
    <w:nsid w:val="1FC15738"/>
    <w:multiLevelType w:val="singleLevel"/>
    <w:tmpl w:val="9676914A"/>
    <w:lvl w:ilvl="0">
      <w:start w:val="1"/>
      <w:numFmt w:val="lowerLetter"/>
      <w:lvlText w:val="%1)"/>
      <w:legacy w:legacy="1" w:legacySpace="0" w:legacyIndent="360"/>
      <w:lvlJc w:val="left"/>
      <w:pPr>
        <w:ind w:left="1211" w:hanging="360"/>
      </w:pPr>
    </w:lvl>
  </w:abstractNum>
  <w:abstractNum w:abstractNumId="132">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33">
    <w:nsid w:val="2019080B"/>
    <w:multiLevelType w:val="hybridMultilevel"/>
    <w:tmpl w:val="757A3304"/>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nsid w:val="2022779A"/>
    <w:multiLevelType w:val="hybridMultilevel"/>
    <w:tmpl w:val="56AA501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0273A16"/>
    <w:multiLevelType w:val="hybridMultilevel"/>
    <w:tmpl w:val="FD6E2D54"/>
    <w:lvl w:ilvl="0" w:tplc="15AE0AAE">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36">
    <w:nsid w:val="2051082F"/>
    <w:multiLevelType w:val="hybridMultilevel"/>
    <w:tmpl w:val="AC2478A2"/>
    <w:lvl w:ilvl="0" w:tplc="56FEE05C">
      <w:start w:val="1"/>
      <w:numFmt w:val="decimal"/>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37">
    <w:nsid w:val="20BB4F61"/>
    <w:multiLevelType w:val="hybridMultilevel"/>
    <w:tmpl w:val="F9280ADC"/>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nsid w:val="20C1369B"/>
    <w:multiLevelType w:val="singleLevel"/>
    <w:tmpl w:val="9676914A"/>
    <w:lvl w:ilvl="0">
      <w:start w:val="1"/>
      <w:numFmt w:val="lowerLetter"/>
      <w:lvlText w:val="%1)"/>
      <w:legacy w:legacy="1" w:legacySpace="0" w:legacyIndent="360"/>
      <w:lvlJc w:val="left"/>
      <w:pPr>
        <w:ind w:left="1080" w:hanging="360"/>
      </w:pPr>
    </w:lvl>
  </w:abstractNum>
  <w:abstractNum w:abstractNumId="139">
    <w:nsid w:val="216A2494"/>
    <w:multiLevelType w:val="hybridMultilevel"/>
    <w:tmpl w:val="755A9FFE"/>
    <w:lvl w:ilvl="0" w:tplc="26142284">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40">
    <w:nsid w:val="21E8699C"/>
    <w:multiLevelType w:val="multilevel"/>
    <w:tmpl w:val="90FC7CB2"/>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4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142">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23373589"/>
    <w:multiLevelType w:val="singleLevel"/>
    <w:tmpl w:val="9676914A"/>
    <w:lvl w:ilvl="0">
      <w:start w:val="1"/>
      <w:numFmt w:val="lowerLetter"/>
      <w:lvlText w:val="%1)"/>
      <w:legacy w:legacy="1" w:legacySpace="0" w:legacyIndent="360"/>
      <w:lvlJc w:val="left"/>
      <w:pPr>
        <w:ind w:left="927" w:hanging="360"/>
      </w:pPr>
    </w:lvl>
  </w:abstractNum>
  <w:abstractNum w:abstractNumId="144">
    <w:nsid w:val="23A652F4"/>
    <w:multiLevelType w:val="hybridMultilevel"/>
    <w:tmpl w:val="8E6091C8"/>
    <w:lvl w:ilvl="0" w:tplc="CECCFAFE">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45">
    <w:nsid w:val="23BA4B59"/>
    <w:multiLevelType w:val="hybridMultilevel"/>
    <w:tmpl w:val="AC969FD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nsid w:val="23BD4735"/>
    <w:multiLevelType w:val="multilevel"/>
    <w:tmpl w:val="13AE82BE"/>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47">
    <w:nsid w:val="23CC00A1"/>
    <w:multiLevelType w:val="hybridMultilevel"/>
    <w:tmpl w:val="879013CC"/>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8">
    <w:nsid w:val="24063E15"/>
    <w:multiLevelType w:val="hybridMultilevel"/>
    <w:tmpl w:val="F00225BC"/>
    <w:lvl w:ilvl="0" w:tplc="A7946884">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49">
    <w:nsid w:val="241E5E27"/>
    <w:multiLevelType w:val="hybridMultilevel"/>
    <w:tmpl w:val="7AEE7B6E"/>
    <w:lvl w:ilvl="0" w:tplc="74E85E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nsid w:val="24854A67"/>
    <w:multiLevelType w:val="singleLevel"/>
    <w:tmpl w:val="E8407814"/>
    <w:lvl w:ilvl="0">
      <w:start w:val="3"/>
      <w:numFmt w:val="decimal"/>
      <w:lvlText w:val="%1)"/>
      <w:legacy w:legacy="1" w:legacySpace="0" w:legacyIndent="420"/>
      <w:lvlJc w:val="left"/>
      <w:pPr>
        <w:ind w:left="987" w:hanging="420"/>
      </w:pPr>
    </w:lvl>
  </w:abstractNum>
  <w:abstractNum w:abstractNumId="151">
    <w:nsid w:val="2540349B"/>
    <w:multiLevelType w:val="singleLevel"/>
    <w:tmpl w:val="9676914A"/>
    <w:lvl w:ilvl="0">
      <w:start w:val="1"/>
      <w:numFmt w:val="lowerLetter"/>
      <w:lvlText w:val="%1)"/>
      <w:legacy w:legacy="1" w:legacySpace="0" w:legacyIndent="360"/>
      <w:lvlJc w:val="left"/>
      <w:pPr>
        <w:ind w:left="1080" w:hanging="360"/>
      </w:pPr>
    </w:lvl>
  </w:abstractNum>
  <w:abstractNum w:abstractNumId="152">
    <w:nsid w:val="2589422C"/>
    <w:multiLevelType w:val="hybridMultilevel"/>
    <w:tmpl w:val="84C2740C"/>
    <w:lvl w:ilvl="0" w:tplc="E2A8F2A0">
      <w:start w:val="1"/>
      <w:numFmt w:val="lowerLetter"/>
      <w:lvlText w:val="（%1）"/>
      <w:lvlJc w:val="left"/>
      <w:pPr>
        <w:tabs>
          <w:tab w:val="num" w:pos="1230"/>
        </w:tabs>
        <w:ind w:left="1230" w:hanging="72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3">
    <w:nsid w:val="25987B3E"/>
    <w:multiLevelType w:val="hybridMultilevel"/>
    <w:tmpl w:val="89AE3B7E"/>
    <w:lvl w:ilvl="0" w:tplc="80A6FD50">
      <w:start w:val="1"/>
      <w:numFmt w:val="lowerLetter"/>
      <w:lvlText w:val="（%1）"/>
      <w:lvlJc w:val="left"/>
      <w:pPr>
        <w:tabs>
          <w:tab w:val="num" w:pos="1230"/>
        </w:tabs>
        <w:ind w:left="1230" w:hanging="72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15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6">
    <w:nsid w:val="26A549AF"/>
    <w:multiLevelType w:val="hybridMultilevel"/>
    <w:tmpl w:val="DE76004E"/>
    <w:lvl w:ilvl="0" w:tplc="E22EA54C">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7">
    <w:nsid w:val="284061CD"/>
    <w:multiLevelType w:val="hybridMultilevel"/>
    <w:tmpl w:val="87DEDEC0"/>
    <w:lvl w:ilvl="0" w:tplc="04E65946">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0409001B">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58">
    <w:nsid w:val="28504763"/>
    <w:multiLevelType w:val="hybridMultilevel"/>
    <w:tmpl w:val="BCC8CA1A"/>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
    <w:nsid w:val="291C54A3"/>
    <w:multiLevelType w:val="hybridMultilevel"/>
    <w:tmpl w:val="5F92D35E"/>
    <w:lvl w:ilvl="0" w:tplc="04180001">
      <w:start w:val="1"/>
      <w:numFmt w:val="bullet"/>
      <w:lvlText w:val=""/>
      <w:lvlJc w:val="left"/>
      <w:pPr>
        <w:tabs>
          <w:tab w:val="num" w:pos="927"/>
        </w:tabs>
        <w:ind w:left="927" w:hanging="360"/>
      </w:pPr>
      <w:rPr>
        <w:rFonts w:ascii="Symbol" w:hAnsi="Symbol" w:hint="default"/>
      </w:rPr>
    </w:lvl>
    <w:lvl w:ilvl="1" w:tplc="04180003" w:tentative="1">
      <w:start w:val="1"/>
      <w:numFmt w:val="bullet"/>
      <w:lvlText w:val="o"/>
      <w:lvlJc w:val="left"/>
      <w:pPr>
        <w:tabs>
          <w:tab w:val="num" w:pos="1647"/>
        </w:tabs>
        <w:ind w:left="1647" w:hanging="360"/>
      </w:pPr>
      <w:rPr>
        <w:rFonts w:ascii="Courier New" w:hAnsi="Courier New" w:hint="default"/>
      </w:rPr>
    </w:lvl>
    <w:lvl w:ilvl="2" w:tplc="04180005" w:tentative="1">
      <w:start w:val="1"/>
      <w:numFmt w:val="bullet"/>
      <w:lvlText w:val=""/>
      <w:lvlJc w:val="left"/>
      <w:pPr>
        <w:tabs>
          <w:tab w:val="num" w:pos="2367"/>
        </w:tabs>
        <w:ind w:left="2367" w:hanging="360"/>
      </w:pPr>
      <w:rPr>
        <w:rFonts w:ascii="Wingdings" w:hAnsi="Wingdings" w:hint="default"/>
      </w:rPr>
    </w:lvl>
    <w:lvl w:ilvl="3" w:tplc="04180001" w:tentative="1">
      <w:start w:val="1"/>
      <w:numFmt w:val="bullet"/>
      <w:lvlText w:val=""/>
      <w:lvlJc w:val="left"/>
      <w:pPr>
        <w:tabs>
          <w:tab w:val="num" w:pos="3087"/>
        </w:tabs>
        <w:ind w:left="3087" w:hanging="360"/>
      </w:pPr>
      <w:rPr>
        <w:rFonts w:ascii="Symbol" w:hAnsi="Symbol" w:hint="default"/>
      </w:rPr>
    </w:lvl>
    <w:lvl w:ilvl="4" w:tplc="04180003" w:tentative="1">
      <w:start w:val="1"/>
      <w:numFmt w:val="bullet"/>
      <w:lvlText w:val="o"/>
      <w:lvlJc w:val="left"/>
      <w:pPr>
        <w:tabs>
          <w:tab w:val="num" w:pos="3807"/>
        </w:tabs>
        <w:ind w:left="3807" w:hanging="360"/>
      </w:pPr>
      <w:rPr>
        <w:rFonts w:ascii="Courier New" w:hAnsi="Courier New" w:hint="default"/>
      </w:rPr>
    </w:lvl>
    <w:lvl w:ilvl="5" w:tplc="04180005" w:tentative="1">
      <w:start w:val="1"/>
      <w:numFmt w:val="bullet"/>
      <w:lvlText w:val=""/>
      <w:lvlJc w:val="left"/>
      <w:pPr>
        <w:tabs>
          <w:tab w:val="num" w:pos="4527"/>
        </w:tabs>
        <w:ind w:left="4527" w:hanging="360"/>
      </w:pPr>
      <w:rPr>
        <w:rFonts w:ascii="Wingdings" w:hAnsi="Wingdings" w:hint="default"/>
      </w:rPr>
    </w:lvl>
    <w:lvl w:ilvl="6" w:tplc="04180001" w:tentative="1">
      <w:start w:val="1"/>
      <w:numFmt w:val="bullet"/>
      <w:lvlText w:val=""/>
      <w:lvlJc w:val="left"/>
      <w:pPr>
        <w:tabs>
          <w:tab w:val="num" w:pos="5247"/>
        </w:tabs>
        <w:ind w:left="5247" w:hanging="360"/>
      </w:pPr>
      <w:rPr>
        <w:rFonts w:ascii="Symbol" w:hAnsi="Symbol" w:hint="default"/>
      </w:rPr>
    </w:lvl>
    <w:lvl w:ilvl="7" w:tplc="04180003" w:tentative="1">
      <w:start w:val="1"/>
      <w:numFmt w:val="bullet"/>
      <w:lvlText w:val="o"/>
      <w:lvlJc w:val="left"/>
      <w:pPr>
        <w:tabs>
          <w:tab w:val="num" w:pos="5967"/>
        </w:tabs>
        <w:ind w:left="5967" w:hanging="360"/>
      </w:pPr>
      <w:rPr>
        <w:rFonts w:ascii="Courier New" w:hAnsi="Courier New" w:hint="default"/>
      </w:rPr>
    </w:lvl>
    <w:lvl w:ilvl="8" w:tplc="04180005" w:tentative="1">
      <w:start w:val="1"/>
      <w:numFmt w:val="bullet"/>
      <w:lvlText w:val=""/>
      <w:lvlJc w:val="left"/>
      <w:pPr>
        <w:tabs>
          <w:tab w:val="num" w:pos="6687"/>
        </w:tabs>
        <w:ind w:left="6687" w:hanging="360"/>
      </w:pPr>
      <w:rPr>
        <w:rFonts w:ascii="Wingdings" w:hAnsi="Wingdings" w:hint="default"/>
      </w:rPr>
    </w:lvl>
  </w:abstractNum>
  <w:abstractNum w:abstractNumId="160">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1">
    <w:nsid w:val="2A3979B8"/>
    <w:multiLevelType w:val="hybridMultilevel"/>
    <w:tmpl w:val="A33A91F6"/>
    <w:lvl w:ilvl="0" w:tplc="16A8940A">
      <w:start w:val="1"/>
      <w:numFmt w:val="lowerLetter"/>
      <w:lvlRestart w:val="0"/>
      <w:lvlText w:val="(%1)"/>
      <w:lvlJc w:val="right"/>
      <w:pPr>
        <w:tabs>
          <w:tab w:val="num" w:pos="-18329"/>
        </w:tabs>
        <w:ind w:left="-18329" w:hanging="227"/>
      </w:pPr>
      <w:rPr>
        <w:rFonts w:ascii="Times New Roman" w:hAnsi="Times New Roman"/>
        <w:b w:val="0"/>
        <w:i w:val="0"/>
        <w:sz w:val="24"/>
      </w:rPr>
    </w:lvl>
    <w:lvl w:ilvl="1" w:tplc="04090019" w:tentative="1">
      <w:start w:val="1"/>
      <w:numFmt w:val="ideographTraditional"/>
      <w:lvlText w:val="%2、"/>
      <w:lvlJc w:val="left"/>
      <w:pPr>
        <w:tabs>
          <w:tab w:val="num" w:pos="-18900"/>
        </w:tabs>
        <w:ind w:left="-18900" w:hanging="480"/>
      </w:pPr>
    </w:lvl>
    <w:lvl w:ilvl="2" w:tplc="0409001B" w:tentative="1">
      <w:start w:val="1"/>
      <w:numFmt w:val="lowerRoman"/>
      <w:lvlText w:val="%3."/>
      <w:lvlJc w:val="right"/>
      <w:pPr>
        <w:tabs>
          <w:tab w:val="num" w:pos="-18420"/>
        </w:tabs>
        <w:ind w:left="-18420" w:hanging="480"/>
      </w:pPr>
    </w:lvl>
    <w:lvl w:ilvl="3" w:tplc="0409000F" w:tentative="1">
      <w:start w:val="1"/>
      <w:numFmt w:val="decimal"/>
      <w:lvlText w:val="%4."/>
      <w:lvlJc w:val="left"/>
      <w:pPr>
        <w:tabs>
          <w:tab w:val="num" w:pos="-17940"/>
        </w:tabs>
        <w:ind w:left="-17940" w:hanging="480"/>
      </w:pPr>
    </w:lvl>
    <w:lvl w:ilvl="4" w:tplc="04090019" w:tentative="1">
      <w:start w:val="1"/>
      <w:numFmt w:val="ideographTraditional"/>
      <w:lvlText w:val="%5、"/>
      <w:lvlJc w:val="left"/>
      <w:pPr>
        <w:tabs>
          <w:tab w:val="num" w:pos="-17460"/>
        </w:tabs>
        <w:ind w:left="-17460" w:hanging="480"/>
      </w:pPr>
    </w:lvl>
    <w:lvl w:ilvl="5" w:tplc="0409001B" w:tentative="1">
      <w:start w:val="1"/>
      <w:numFmt w:val="lowerRoman"/>
      <w:lvlText w:val="%6."/>
      <w:lvlJc w:val="right"/>
      <w:pPr>
        <w:tabs>
          <w:tab w:val="num" w:pos="-16980"/>
        </w:tabs>
        <w:ind w:left="-16980" w:hanging="480"/>
      </w:pPr>
    </w:lvl>
    <w:lvl w:ilvl="6" w:tplc="0409000F" w:tentative="1">
      <w:start w:val="1"/>
      <w:numFmt w:val="decimal"/>
      <w:lvlText w:val="%7."/>
      <w:lvlJc w:val="left"/>
      <w:pPr>
        <w:tabs>
          <w:tab w:val="num" w:pos="-16500"/>
        </w:tabs>
        <w:ind w:left="-16500" w:hanging="480"/>
      </w:pPr>
    </w:lvl>
    <w:lvl w:ilvl="7" w:tplc="04090019" w:tentative="1">
      <w:start w:val="1"/>
      <w:numFmt w:val="ideographTraditional"/>
      <w:lvlText w:val="%8、"/>
      <w:lvlJc w:val="left"/>
      <w:pPr>
        <w:tabs>
          <w:tab w:val="num" w:pos="-16020"/>
        </w:tabs>
        <w:ind w:left="-16020" w:hanging="480"/>
      </w:pPr>
    </w:lvl>
    <w:lvl w:ilvl="8" w:tplc="0409001B" w:tentative="1">
      <w:start w:val="1"/>
      <w:numFmt w:val="lowerRoman"/>
      <w:lvlText w:val="%9."/>
      <w:lvlJc w:val="right"/>
      <w:pPr>
        <w:tabs>
          <w:tab w:val="num" w:pos="-15540"/>
        </w:tabs>
        <w:ind w:left="-15540" w:hanging="480"/>
      </w:pPr>
    </w:lvl>
  </w:abstractNum>
  <w:abstractNum w:abstractNumId="162">
    <w:nsid w:val="2AC63B1F"/>
    <w:multiLevelType w:val="singleLevel"/>
    <w:tmpl w:val="D87CC2E4"/>
    <w:lvl w:ilvl="0">
      <w:start w:val="3"/>
      <w:numFmt w:val="decimal"/>
      <w:lvlText w:val="(%1)"/>
      <w:legacy w:legacy="1" w:legacySpace="0" w:legacyIndent="360"/>
      <w:lvlJc w:val="left"/>
      <w:pPr>
        <w:ind w:left="1080" w:hanging="360"/>
      </w:pPr>
    </w:lvl>
  </w:abstractNum>
  <w:abstractNum w:abstractNumId="163">
    <w:nsid w:val="2B26166A"/>
    <w:multiLevelType w:val="hybridMultilevel"/>
    <w:tmpl w:val="077C61B4"/>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44E69930">
      <w:start w:val="1"/>
      <w:numFmt w:val="chineseCountingThousand"/>
      <w:lvlRestart w:val="0"/>
      <w:lvlText w:val="(%2)"/>
      <w:lvlJc w:val="right"/>
      <w:pPr>
        <w:tabs>
          <w:tab w:val="num" w:pos="-144"/>
        </w:tabs>
        <w:ind w:left="-144" w:hanging="170"/>
      </w:pPr>
      <w:rPr>
        <w:rFonts w:ascii="Times New Roman" w:hAnsi="Times New Roman"/>
        <w:sz w:val="20"/>
      </w:r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164">
    <w:nsid w:val="2B3F49C6"/>
    <w:multiLevelType w:val="singleLevel"/>
    <w:tmpl w:val="AAECBA32"/>
    <w:lvl w:ilvl="0">
      <w:start w:val="1"/>
      <w:numFmt w:val="lowerRoman"/>
      <w:pStyle w:val="Rom2"/>
      <w:lvlText w:val="(%1)"/>
      <w:lvlJc w:val="right"/>
      <w:pPr>
        <w:tabs>
          <w:tab w:val="num" w:pos="2160"/>
        </w:tabs>
        <w:ind w:left="2160" w:hanging="516"/>
      </w:pPr>
      <w:rPr>
        <w:rFonts w:hint="default"/>
      </w:rPr>
    </w:lvl>
  </w:abstractNum>
  <w:abstractNum w:abstractNumId="165">
    <w:nsid w:val="2B547529"/>
    <w:multiLevelType w:val="singleLevel"/>
    <w:tmpl w:val="E8407814"/>
    <w:lvl w:ilvl="0">
      <w:start w:val="1"/>
      <w:numFmt w:val="decimal"/>
      <w:lvlText w:val="%1)"/>
      <w:legacy w:legacy="1" w:legacySpace="0" w:legacyIndent="420"/>
      <w:lvlJc w:val="left"/>
      <w:pPr>
        <w:ind w:left="987" w:hanging="420"/>
      </w:pPr>
    </w:lvl>
  </w:abstractNum>
  <w:abstractNum w:abstractNumId="166">
    <w:nsid w:val="2BB0272F"/>
    <w:multiLevelType w:val="singleLevel"/>
    <w:tmpl w:val="9676914A"/>
    <w:lvl w:ilvl="0">
      <w:start w:val="1"/>
      <w:numFmt w:val="lowerLetter"/>
      <w:lvlText w:val="%1)"/>
      <w:legacy w:legacy="1" w:legacySpace="0" w:legacyIndent="360"/>
      <w:lvlJc w:val="left"/>
      <w:pPr>
        <w:ind w:left="927" w:hanging="360"/>
      </w:pPr>
    </w:lvl>
  </w:abstractNum>
  <w:abstractNum w:abstractNumId="167">
    <w:nsid w:val="2BBD2BFC"/>
    <w:multiLevelType w:val="singleLevel"/>
    <w:tmpl w:val="2CC28248"/>
    <w:lvl w:ilvl="0">
      <w:start w:val="1"/>
      <w:numFmt w:val="decimal"/>
      <w:lvlText w:val="%1."/>
      <w:legacy w:legacy="1" w:legacySpace="0" w:legacyIndent="1080"/>
      <w:lvlJc w:val="left"/>
      <w:pPr>
        <w:ind w:left="1647" w:hanging="1080"/>
      </w:pPr>
    </w:lvl>
  </w:abstractNum>
  <w:abstractNum w:abstractNumId="168">
    <w:nsid w:val="2BC72196"/>
    <w:multiLevelType w:val="hybridMultilevel"/>
    <w:tmpl w:val="82CA1DC0"/>
    <w:lvl w:ilvl="0" w:tplc="2EB2D282">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69">
    <w:nsid w:val="2C296680"/>
    <w:multiLevelType w:val="hybridMultilevel"/>
    <w:tmpl w:val="3692CDDE"/>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
    <w:nsid w:val="2C5C01DA"/>
    <w:multiLevelType w:val="hybridMultilevel"/>
    <w:tmpl w:val="B6B01BCA"/>
    <w:lvl w:ilvl="0" w:tplc="11E6FD00">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71">
    <w:nsid w:val="2D2D4F22"/>
    <w:multiLevelType w:val="singleLevel"/>
    <w:tmpl w:val="13DE7C0A"/>
    <w:lvl w:ilvl="0">
      <w:start w:val="1"/>
      <w:numFmt w:val="decimal"/>
      <w:lvlText w:val="2.%1 "/>
      <w:legacy w:legacy="1" w:legacySpace="0" w:legacyIndent="360"/>
      <w:lvlJc w:val="left"/>
      <w:pPr>
        <w:ind w:left="1069" w:hanging="360"/>
      </w:pPr>
      <w:rPr>
        <w:b/>
        <w:sz w:val="28"/>
      </w:rPr>
    </w:lvl>
  </w:abstractNum>
  <w:abstractNum w:abstractNumId="172">
    <w:nsid w:val="2D611C19"/>
    <w:multiLevelType w:val="hybridMultilevel"/>
    <w:tmpl w:val="93BCFF88"/>
    <w:lvl w:ilvl="0" w:tplc="D21E5314">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73">
    <w:nsid w:val="2D710543"/>
    <w:multiLevelType w:val="hybridMultilevel"/>
    <w:tmpl w:val="79BEDD66"/>
    <w:lvl w:ilvl="0" w:tplc="43127240">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74">
    <w:nsid w:val="2D821C24"/>
    <w:multiLevelType w:val="hybridMultilevel"/>
    <w:tmpl w:val="7DEEAD2C"/>
    <w:lvl w:ilvl="0" w:tplc="969ECA54">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75">
    <w:nsid w:val="2DC517F1"/>
    <w:multiLevelType w:val="hybridMultilevel"/>
    <w:tmpl w:val="5E44C43A"/>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CBA61B94">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6">
    <w:nsid w:val="2DCB07DD"/>
    <w:multiLevelType w:val="hybridMultilevel"/>
    <w:tmpl w:val="81B8152E"/>
    <w:lvl w:ilvl="0" w:tplc="91F4B000">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77">
    <w:nsid w:val="2E022D70"/>
    <w:multiLevelType w:val="singleLevel"/>
    <w:tmpl w:val="E8407814"/>
    <w:lvl w:ilvl="0">
      <w:start w:val="1"/>
      <w:numFmt w:val="decimal"/>
      <w:lvlText w:val="%1)"/>
      <w:legacy w:legacy="1" w:legacySpace="0" w:legacyIndent="420"/>
      <w:lvlJc w:val="left"/>
      <w:pPr>
        <w:ind w:left="987" w:hanging="420"/>
      </w:pPr>
    </w:lvl>
  </w:abstractNum>
  <w:abstractNum w:abstractNumId="178">
    <w:nsid w:val="2E66472B"/>
    <w:multiLevelType w:val="singleLevel"/>
    <w:tmpl w:val="E8407814"/>
    <w:lvl w:ilvl="0">
      <w:start w:val="1"/>
      <w:numFmt w:val="decimal"/>
      <w:lvlText w:val="%1)"/>
      <w:legacy w:legacy="1" w:legacySpace="0" w:legacyIndent="420"/>
      <w:lvlJc w:val="left"/>
      <w:pPr>
        <w:ind w:left="987" w:hanging="420"/>
      </w:pPr>
    </w:lvl>
  </w:abstractNum>
  <w:abstractNum w:abstractNumId="179">
    <w:nsid w:val="2E983971"/>
    <w:multiLevelType w:val="hybridMultilevel"/>
    <w:tmpl w:val="CF80EE6C"/>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0">
    <w:nsid w:val="2EAB153A"/>
    <w:multiLevelType w:val="singleLevel"/>
    <w:tmpl w:val="9676914A"/>
    <w:lvl w:ilvl="0">
      <w:start w:val="1"/>
      <w:numFmt w:val="lowerLetter"/>
      <w:lvlText w:val="%1)"/>
      <w:legacy w:legacy="1" w:legacySpace="0" w:legacyIndent="360"/>
      <w:lvlJc w:val="left"/>
      <w:pPr>
        <w:ind w:left="927" w:hanging="360"/>
      </w:pPr>
    </w:lvl>
  </w:abstractNum>
  <w:abstractNum w:abstractNumId="181">
    <w:nsid w:val="2EAD6A26"/>
    <w:multiLevelType w:val="singleLevel"/>
    <w:tmpl w:val="9676914A"/>
    <w:lvl w:ilvl="0">
      <w:start w:val="4"/>
      <w:numFmt w:val="lowerLetter"/>
      <w:lvlText w:val="%1)"/>
      <w:legacy w:legacy="1" w:legacySpace="0" w:legacyIndent="360"/>
      <w:lvlJc w:val="left"/>
      <w:pPr>
        <w:ind w:left="927" w:hanging="360"/>
      </w:pPr>
    </w:lvl>
  </w:abstractNum>
  <w:abstractNum w:abstractNumId="182">
    <w:nsid w:val="2EEB1F9B"/>
    <w:multiLevelType w:val="hybridMultilevel"/>
    <w:tmpl w:val="8780A966"/>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183">
    <w:nsid w:val="2FF628C4"/>
    <w:multiLevelType w:val="hybridMultilevel"/>
    <w:tmpl w:val="4358E6FC"/>
    <w:lvl w:ilvl="0" w:tplc="975E9DE8">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84">
    <w:nsid w:val="2FFF0230"/>
    <w:multiLevelType w:val="multilevel"/>
    <w:tmpl w:val="7226ACD0"/>
    <w:lvl w:ilvl="0">
      <w:start w:val="4"/>
      <w:numFmt w:val="decimal"/>
      <w:lvlText w:val="(%1)"/>
      <w:legacy w:legacy="1" w:legacySpace="0" w:legacyIndent="360"/>
      <w:lvlJc w:val="left"/>
      <w:pPr>
        <w:ind w:left="927" w:hanging="360"/>
      </w:p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Roman"/>
      <w:lvlText w:val="(%4)"/>
      <w:lvlJc w:val="left"/>
      <w:pPr>
        <w:tabs>
          <w:tab w:val="num" w:pos="3435"/>
        </w:tabs>
        <w:ind w:left="3435" w:hanging="915"/>
      </w:pPr>
      <w:rPr>
        <w:rFonts w:hint="default"/>
      </w:rPr>
    </w:lvl>
    <w:lvl w:ilvl="4">
      <w:start w:val="1"/>
      <w:numFmt w:val="decimal"/>
      <w:lvlText w:val="%5."/>
      <w:lvlJc w:val="left"/>
      <w:pPr>
        <w:tabs>
          <w:tab w:val="num" w:pos="4095"/>
        </w:tabs>
        <w:ind w:left="4095" w:hanging="855"/>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5">
    <w:nsid w:val="302A75A7"/>
    <w:multiLevelType w:val="singleLevel"/>
    <w:tmpl w:val="3496DD40"/>
    <w:lvl w:ilvl="0">
      <w:start w:val="1"/>
      <w:numFmt w:val="decimal"/>
      <w:lvlText w:val="(%1)"/>
      <w:lvlJc w:val="left"/>
      <w:pPr>
        <w:tabs>
          <w:tab w:val="num" w:pos="1440"/>
        </w:tabs>
        <w:ind w:left="1440" w:hanging="720"/>
      </w:pPr>
    </w:lvl>
  </w:abstractNum>
  <w:abstractNum w:abstractNumId="186">
    <w:nsid w:val="3054408A"/>
    <w:multiLevelType w:val="singleLevel"/>
    <w:tmpl w:val="D87CC2E4"/>
    <w:lvl w:ilvl="0">
      <w:start w:val="1"/>
      <w:numFmt w:val="decimal"/>
      <w:lvlText w:val="(%1)"/>
      <w:legacy w:legacy="1" w:legacySpace="0" w:legacyIndent="360"/>
      <w:lvlJc w:val="left"/>
      <w:pPr>
        <w:ind w:left="927" w:hanging="360"/>
      </w:pPr>
    </w:lvl>
  </w:abstractNum>
  <w:abstractNum w:abstractNumId="187">
    <w:nsid w:val="311F25BA"/>
    <w:multiLevelType w:val="hybridMultilevel"/>
    <w:tmpl w:val="4AEE10EA"/>
    <w:lvl w:ilvl="0" w:tplc="CF2C4994">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88">
    <w:nsid w:val="31DA28FE"/>
    <w:multiLevelType w:val="hybridMultilevel"/>
    <w:tmpl w:val="56AA501A"/>
    <w:lvl w:ilvl="0" w:tplc="433849D2">
      <w:start w:val="1"/>
      <w:numFmt w:val="bullet"/>
      <w:lvlText w:val=""/>
      <w:lvlJc w:val="left"/>
      <w:pPr>
        <w:tabs>
          <w:tab w:val="num" w:pos="1154"/>
        </w:tabs>
        <w:ind w:left="357" w:firstLine="43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190">
    <w:nsid w:val="32E662B3"/>
    <w:multiLevelType w:val="hybridMultilevel"/>
    <w:tmpl w:val="7A545D60"/>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44E69930">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nsid w:val="32EC34FB"/>
    <w:multiLevelType w:val="singleLevel"/>
    <w:tmpl w:val="9676914A"/>
    <w:lvl w:ilvl="0">
      <w:start w:val="1"/>
      <w:numFmt w:val="lowerLetter"/>
      <w:lvlText w:val="%1)"/>
      <w:legacy w:legacy="1" w:legacySpace="0" w:legacyIndent="360"/>
      <w:lvlJc w:val="left"/>
      <w:pPr>
        <w:ind w:left="927" w:hanging="360"/>
      </w:pPr>
    </w:lvl>
  </w:abstractNum>
  <w:abstractNum w:abstractNumId="192">
    <w:nsid w:val="33283A25"/>
    <w:multiLevelType w:val="hybridMultilevel"/>
    <w:tmpl w:val="B6464F66"/>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
    <w:nsid w:val="333C445A"/>
    <w:multiLevelType w:val="hybridMultilevel"/>
    <w:tmpl w:val="65EEC5E2"/>
    <w:lvl w:ilvl="0" w:tplc="C9DA4548">
      <w:start w:val="500"/>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94">
    <w:nsid w:val="338F3771"/>
    <w:multiLevelType w:val="hybridMultilevel"/>
    <w:tmpl w:val="69D2F6D6"/>
    <w:lvl w:ilvl="0" w:tplc="74E85E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5">
    <w:nsid w:val="33BB5029"/>
    <w:multiLevelType w:val="hybridMultilevel"/>
    <w:tmpl w:val="E862B802"/>
    <w:lvl w:ilvl="0" w:tplc="E0C8EC6E">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96">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197">
    <w:nsid w:val="33E62FD4"/>
    <w:multiLevelType w:val="hybridMultilevel"/>
    <w:tmpl w:val="1C1A57C4"/>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8">
    <w:nsid w:val="33F630CB"/>
    <w:multiLevelType w:val="hybridMultilevel"/>
    <w:tmpl w:val="E2685C9A"/>
    <w:lvl w:ilvl="0" w:tplc="AD169140">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99">
    <w:nsid w:val="341B1C64"/>
    <w:multiLevelType w:val="multilevel"/>
    <w:tmpl w:val="23C6B406"/>
    <w:lvl w:ilvl="0">
      <w:start w:val="2"/>
      <w:numFmt w:val="decimal"/>
      <w:lvlText w:val="(%1)"/>
      <w:legacy w:legacy="1" w:legacySpace="0" w:legacyIndent="360"/>
      <w:lvlJc w:val="left"/>
      <w:pPr>
        <w:ind w:left="927" w:hanging="360"/>
      </w:p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01">
    <w:nsid w:val="34695986"/>
    <w:multiLevelType w:val="hybridMultilevel"/>
    <w:tmpl w:val="316C8048"/>
    <w:lvl w:ilvl="0" w:tplc="FDC61F9E">
      <w:start w:val="2"/>
      <w:numFmt w:val="lowerRoman"/>
      <w:lvlText w:val="(%1)"/>
      <w:lvlJc w:val="left"/>
      <w:pPr>
        <w:tabs>
          <w:tab w:val="num" w:pos="1854"/>
        </w:tabs>
        <w:ind w:left="1854" w:hanging="720"/>
      </w:pPr>
      <w:rPr>
        <w:rFonts w:hint="default"/>
      </w:rPr>
    </w:lvl>
    <w:lvl w:ilvl="1" w:tplc="04180019" w:tentative="1">
      <w:start w:val="1"/>
      <w:numFmt w:val="lowerLetter"/>
      <w:lvlText w:val="%2."/>
      <w:lvlJc w:val="left"/>
      <w:pPr>
        <w:tabs>
          <w:tab w:val="num" w:pos="2214"/>
        </w:tabs>
        <w:ind w:left="2214" w:hanging="360"/>
      </w:pPr>
    </w:lvl>
    <w:lvl w:ilvl="2" w:tplc="0418001B" w:tentative="1">
      <w:start w:val="1"/>
      <w:numFmt w:val="lowerRoman"/>
      <w:lvlText w:val="%3."/>
      <w:lvlJc w:val="right"/>
      <w:pPr>
        <w:tabs>
          <w:tab w:val="num" w:pos="2934"/>
        </w:tabs>
        <w:ind w:left="2934" w:hanging="180"/>
      </w:pPr>
    </w:lvl>
    <w:lvl w:ilvl="3" w:tplc="0418000F" w:tentative="1">
      <w:start w:val="1"/>
      <w:numFmt w:val="decimal"/>
      <w:lvlText w:val="%4."/>
      <w:lvlJc w:val="left"/>
      <w:pPr>
        <w:tabs>
          <w:tab w:val="num" w:pos="3654"/>
        </w:tabs>
        <w:ind w:left="3654" w:hanging="360"/>
      </w:pPr>
    </w:lvl>
    <w:lvl w:ilvl="4" w:tplc="04180019" w:tentative="1">
      <w:start w:val="1"/>
      <w:numFmt w:val="lowerLetter"/>
      <w:lvlText w:val="%5."/>
      <w:lvlJc w:val="left"/>
      <w:pPr>
        <w:tabs>
          <w:tab w:val="num" w:pos="4374"/>
        </w:tabs>
        <w:ind w:left="4374" w:hanging="360"/>
      </w:pPr>
    </w:lvl>
    <w:lvl w:ilvl="5" w:tplc="0418001B" w:tentative="1">
      <w:start w:val="1"/>
      <w:numFmt w:val="lowerRoman"/>
      <w:lvlText w:val="%6."/>
      <w:lvlJc w:val="right"/>
      <w:pPr>
        <w:tabs>
          <w:tab w:val="num" w:pos="5094"/>
        </w:tabs>
        <w:ind w:left="5094" w:hanging="180"/>
      </w:pPr>
    </w:lvl>
    <w:lvl w:ilvl="6" w:tplc="0418000F" w:tentative="1">
      <w:start w:val="1"/>
      <w:numFmt w:val="decimal"/>
      <w:lvlText w:val="%7."/>
      <w:lvlJc w:val="left"/>
      <w:pPr>
        <w:tabs>
          <w:tab w:val="num" w:pos="5814"/>
        </w:tabs>
        <w:ind w:left="5814" w:hanging="360"/>
      </w:pPr>
    </w:lvl>
    <w:lvl w:ilvl="7" w:tplc="04180019" w:tentative="1">
      <w:start w:val="1"/>
      <w:numFmt w:val="lowerLetter"/>
      <w:lvlText w:val="%8."/>
      <w:lvlJc w:val="left"/>
      <w:pPr>
        <w:tabs>
          <w:tab w:val="num" w:pos="6534"/>
        </w:tabs>
        <w:ind w:left="6534" w:hanging="360"/>
      </w:pPr>
    </w:lvl>
    <w:lvl w:ilvl="8" w:tplc="0418001B" w:tentative="1">
      <w:start w:val="1"/>
      <w:numFmt w:val="lowerRoman"/>
      <w:lvlText w:val="%9."/>
      <w:lvlJc w:val="right"/>
      <w:pPr>
        <w:tabs>
          <w:tab w:val="num" w:pos="7254"/>
        </w:tabs>
        <w:ind w:left="7254" w:hanging="180"/>
      </w:pPr>
    </w:lvl>
  </w:abstractNum>
  <w:abstractNum w:abstractNumId="202">
    <w:nsid w:val="34962ACE"/>
    <w:multiLevelType w:val="hybridMultilevel"/>
    <w:tmpl w:val="C7988E88"/>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03">
    <w:nsid w:val="3503750F"/>
    <w:multiLevelType w:val="hybridMultilevel"/>
    <w:tmpl w:val="A4E431C0"/>
    <w:lvl w:ilvl="0" w:tplc="B98CD93E">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04">
    <w:nsid w:val="352D36DC"/>
    <w:multiLevelType w:val="hybridMultilevel"/>
    <w:tmpl w:val="9BDE09A6"/>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5">
    <w:nsid w:val="358317CD"/>
    <w:multiLevelType w:val="hybridMultilevel"/>
    <w:tmpl w:val="821E3BE0"/>
    <w:lvl w:ilvl="0" w:tplc="0E0AEDE2">
      <w:start w:val="1"/>
      <w:numFmt w:val="lowerLetter"/>
      <w:lvlText w:val="(%1)"/>
      <w:lvlJc w:val="left"/>
      <w:pPr>
        <w:tabs>
          <w:tab w:val="num" w:pos="1471"/>
        </w:tabs>
        <w:ind w:left="1471" w:hanging="45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06">
    <w:nsid w:val="35AE05C7"/>
    <w:multiLevelType w:val="singleLevel"/>
    <w:tmpl w:val="9676914A"/>
    <w:lvl w:ilvl="0">
      <w:start w:val="3"/>
      <w:numFmt w:val="lowerLetter"/>
      <w:lvlText w:val="%1)"/>
      <w:legacy w:legacy="1" w:legacySpace="0" w:legacyIndent="360"/>
      <w:lvlJc w:val="left"/>
      <w:pPr>
        <w:ind w:left="927" w:hanging="360"/>
      </w:pPr>
    </w:lvl>
  </w:abstractNum>
  <w:abstractNum w:abstractNumId="207">
    <w:nsid w:val="35FD6BA9"/>
    <w:multiLevelType w:val="hybridMultilevel"/>
    <w:tmpl w:val="F19A46C6"/>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8">
    <w:nsid w:val="36255761"/>
    <w:multiLevelType w:val="singleLevel"/>
    <w:tmpl w:val="0409000F"/>
    <w:lvl w:ilvl="0">
      <w:start w:val="1"/>
      <w:numFmt w:val="decimal"/>
      <w:lvlText w:val="%1."/>
      <w:lvlJc w:val="left"/>
      <w:pPr>
        <w:tabs>
          <w:tab w:val="num" w:pos="360"/>
        </w:tabs>
        <w:ind w:left="360" w:hanging="360"/>
      </w:pPr>
    </w:lvl>
  </w:abstractNum>
  <w:abstractNum w:abstractNumId="209">
    <w:nsid w:val="366B6FE2"/>
    <w:multiLevelType w:val="hybridMultilevel"/>
    <w:tmpl w:val="6AF8125E"/>
    <w:lvl w:ilvl="0" w:tplc="EEAE331E">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0">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1">
    <w:nsid w:val="37601695"/>
    <w:multiLevelType w:val="hybridMultilevel"/>
    <w:tmpl w:val="60C0440E"/>
    <w:lvl w:ilvl="0" w:tplc="3C82B356">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2">
    <w:nsid w:val="376858A6"/>
    <w:multiLevelType w:val="hybridMultilevel"/>
    <w:tmpl w:val="E620E23A"/>
    <w:lvl w:ilvl="0" w:tplc="09429BA8">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3">
    <w:nsid w:val="37723E11"/>
    <w:multiLevelType w:val="hybridMultilevel"/>
    <w:tmpl w:val="4522C07E"/>
    <w:lvl w:ilvl="0" w:tplc="783E7D74">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4">
    <w:nsid w:val="37736D8B"/>
    <w:multiLevelType w:val="singleLevel"/>
    <w:tmpl w:val="62FE2056"/>
    <w:lvl w:ilvl="0">
      <w:start w:val="1"/>
      <w:numFmt w:val="decimal"/>
      <w:lvlText w:val="%1."/>
      <w:legacy w:legacy="1" w:legacySpace="0" w:legacyIndent="927"/>
      <w:lvlJc w:val="left"/>
      <w:pPr>
        <w:ind w:left="1494" w:hanging="927"/>
      </w:pPr>
    </w:lvl>
  </w:abstractNum>
  <w:abstractNum w:abstractNumId="215">
    <w:nsid w:val="37FF002F"/>
    <w:multiLevelType w:val="hybridMultilevel"/>
    <w:tmpl w:val="16A282F0"/>
    <w:lvl w:ilvl="0" w:tplc="8196FFF6">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16">
    <w:nsid w:val="38401DB1"/>
    <w:multiLevelType w:val="hybridMultilevel"/>
    <w:tmpl w:val="81C25FC4"/>
    <w:lvl w:ilvl="0" w:tplc="16A8940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7">
    <w:nsid w:val="38833123"/>
    <w:multiLevelType w:val="hybridMultilevel"/>
    <w:tmpl w:val="73506580"/>
    <w:lvl w:ilvl="0" w:tplc="9C2CEECA">
      <w:start w:val="1"/>
      <w:numFmt w:val="lowerRoman"/>
      <w:lvlText w:val="(%1)"/>
      <w:lvlJc w:val="left"/>
      <w:pPr>
        <w:tabs>
          <w:tab w:val="num" w:pos="1557"/>
        </w:tabs>
        <w:ind w:left="1557" w:hanging="99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218">
    <w:nsid w:val="38BE16DF"/>
    <w:multiLevelType w:val="hybridMultilevel"/>
    <w:tmpl w:val="5BFA1012"/>
    <w:lvl w:ilvl="0" w:tplc="9D60FA0E">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9">
    <w:nsid w:val="391B0A47"/>
    <w:multiLevelType w:val="hybridMultilevel"/>
    <w:tmpl w:val="D78C9830"/>
    <w:lvl w:ilvl="0" w:tplc="B43CD9DE">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0409001B">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20">
    <w:nsid w:val="39343C87"/>
    <w:multiLevelType w:val="singleLevel"/>
    <w:tmpl w:val="9676914A"/>
    <w:lvl w:ilvl="0">
      <w:start w:val="1"/>
      <w:numFmt w:val="lowerLetter"/>
      <w:lvlText w:val="%1)"/>
      <w:legacy w:legacy="1" w:legacySpace="0" w:legacyIndent="360"/>
      <w:lvlJc w:val="left"/>
      <w:pPr>
        <w:ind w:left="927" w:hanging="360"/>
      </w:pPr>
    </w:lvl>
  </w:abstractNum>
  <w:abstractNum w:abstractNumId="221">
    <w:nsid w:val="39523B5A"/>
    <w:multiLevelType w:val="hybridMultilevel"/>
    <w:tmpl w:val="50BA7530"/>
    <w:lvl w:ilvl="0" w:tplc="9D60FA0E">
      <w:start w:val="1"/>
      <w:numFmt w:val="lowerLetter"/>
      <w:lvlRestart w:val="0"/>
      <w:lvlText w:val="(%1)"/>
      <w:lvlJc w:val="right"/>
      <w:pPr>
        <w:tabs>
          <w:tab w:val="num" w:pos="2571"/>
        </w:tabs>
        <w:ind w:left="2571" w:hanging="227"/>
      </w:pPr>
      <w:rPr>
        <w:rFonts w:ascii="Times New Roman" w:hAnsi="Times New Roman"/>
        <w:b w:val="0"/>
        <w:i w:val="0"/>
        <w:sz w:val="24"/>
      </w:rPr>
    </w:lvl>
    <w:lvl w:ilvl="1" w:tplc="04090019" w:tentative="1">
      <w:start w:val="1"/>
      <w:numFmt w:val="ideographTraditional"/>
      <w:lvlText w:val="%2、"/>
      <w:lvlJc w:val="left"/>
      <w:pPr>
        <w:tabs>
          <w:tab w:val="num" w:pos="2000"/>
        </w:tabs>
        <w:ind w:left="2000" w:hanging="480"/>
      </w:pPr>
    </w:lvl>
    <w:lvl w:ilvl="2" w:tplc="0409001B">
      <w:start w:val="1"/>
      <w:numFmt w:val="lowerRoman"/>
      <w:lvlText w:val="%3."/>
      <w:lvlJc w:val="right"/>
      <w:pPr>
        <w:tabs>
          <w:tab w:val="num" w:pos="2480"/>
        </w:tabs>
        <w:ind w:left="2480" w:hanging="480"/>
      </w:p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222">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23">
    <w:nsid w:val="399125BF"/>
    <w:multiLevelType w:val="hybridMultilevel"/>
    <w:tmpl w:val="88522490"/>
    <w:lvl w:ilvl="0" w:tplc="04E6594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4">
    <w:nsid w:val="39AB0EE5"/>
    <w:multiLevelType w:val="hybridMultilevel"/>
    <w:tmpl w:val="4DC055A0"/>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5">
    <w:nsid w:val="39D43214"/>
    <w:multiLevelType w:val="hybridMultilevel"/>
    <w:tmpl w:val="6A548BEE"/>
    <w:lvl w:ilvl="0" w:tplc="357E78EC">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26">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27">
    <w:nsid w:val="3A06461F"/>
    <w:multiLevelType w:val="hybridMultilevel"/>
    <w:tmpl w:val="A57AAF3E"/>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8">
    <w:nsid w:val="3A093DFA"/>
    <w:multiLevelType w:val="hybridMultilevel"/>
    <w:tmpl w:val="B018372E"/>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CBA61B94">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9">
    <w:nsid w:val="3A132EAC"/>
    <w:multiLevelType w:val="hybridMultilevel"/>
    <w:tmpl w:val="68E8F522"/>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231">
    <w:nsid w:val="3A2D07A7"/>
    <w:multiLevelType w:val="hybridMultilevel"/>
    <w:tmpl w:val="5E6CE1C0"/>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2">
    <w:nsid w:val="3A503E24"/>
    <w:multiLevelType w:val="hybridMultilevel"/>
    <w:tmpl w:val="46B8966E"/>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33">
    <w:nsid w:val="3A5A540F"/>
    <w:multiLevelType w:val="hybridMultilevel"/>
    <w:tmpl w:val="F2402556"/>
    <w:lvl w:ilvl="0" w:tplc="91504D68">
      <w:start w:val="1"/>
      <w:numFmt w:val="decimal"/>
      <w:lvlText w:val="(%1)"/>
      <w:lvlJc w:val="center"/>
      <w:pPr>
        <w:tabs>
          <w:tab w:val="num" w:pos="1494"/>
        </w:tabs>
        <w:ind w:left="1134" w:firstLine="0"/>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234">
    <w:nsid w:val="3A626FA7"/>
    <w:multiLevelType w:val="singleLevel"/>
    <w:tmpl w:val="33940418"/>
    <w:lvl w:ilvl="0">
      <w:start w:val="2"/>
      <w:numFmt w:val="decimal"/>
      <w:lvlText w:val="(%1)"/>
      <w:legacy w:legacy="1" w:legacySpace="0" w:legacyIndent="1110"/>
      <w:lvlJc w:val="left"/>
      <w:pPr>
        <w:ind w:left="1830" w:hanging="1110"/>
      </w:pPr>
    </w:lvl>
  </w:abstractNum>
  <w:abstractNum w:abstractNumId="235">
    <w:nsid w:val="3B1147D8"/>
    <w:multiLevelType w:val="hybridMultilevel"/>
    <w:tmpl w:val="88F222EA"/>
    <w:lvl w:ilvl="0" w:tplc="47C83DEA">
      <w:start w:val="1"/>
      <w:numFmt w:val="lowerLetter"/>
      <w:lvlText w:val="(%1)"/>
      <w:lvlJc w:val="left"/>
      <w:pPr>
        <w:tabs>
          <w:tab w:val="num" w:pos="1396"/>
        </w:tabs>
        <w:ind w:left="1396" w:hanging="37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36">
    <w:nsid w:val="3B5A2FF8"/>
    <w:multiLevelType w:val="hybridMultilevel"/>
    <w:tmpl w:val="A776E7E2"/>
    <w:lvl w:ilvl="0" w:tplc="EC18E268">
      <w:start w:val="1"/>
      <w:numFmt w:val="lowerRoman"/>
      <w:lvlText w:val="(%1)"/>
      <w:lvlJc w:val="left"/>
      <w:pPr>
        <w:tabs>
          <w:tab w:val="num" w:pos="1287"/>
        </w:tabs>
        <w:ind w:left="1287" w:hanging="720"/>
      </w:pPr>
      <w:rPr>
        <w:rFonts w:hint="default"/>
      </w:rPr>
    </w:lvl>
    <w:lvl w:ilvl="1" w:tplc="07F82EAA">
      <w:start w:val="1"/>
      <w:numFmt w:val="lowerLetter"/>
      <w:lvlText w:val="(%2)"/>
      <w:lvlJc w:val="left"/>
      <w:pPr>
        <w:tabs>
          <w:tab w:val="num" w:pos="1647"/>
        </w:tabs>
        <w:ind w:left="1647" w:hanging="360"/>
      </w:pPr>
      <w:rPr>
        <w:rFonts w:hint="default"/>
      </w:rPr>
    </w:lvl>
    <w:lvl w:ilvl="2" w:tplc="53A2EDD8">
      <w:start w:val="14"/>
      <w:numFmt w:val="decimal"/>
      <w:lvlText w:val="(%3)"/>
      <w:lvlJc w:val="left"/>
      <w:pPr>
        <w:tabs>
          <w:tab w:val="num" w:pos="2637"/>
        </w:tabs>
        <w:ind w:left="2637" w:hanging="450"/>
      </w:pPr>
      <w:rPr>
        <w:rFonts w:hint="default"/>
      </w:r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237">
    <w:nsid w:val="3B904E3E"/>
    <w:multiLevelType w:val="hybridMultilevel"/>
    <w:tmpl w:val="EBBE582E"/>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8">
    <w:nsid w:val="3BF43C6B"/>
    <w:multiLevelType w:val="hybridMultilevel"/>
    <w:tmpl w:val="504E5398"/>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9">
    <w:nsid w:val="3C316A16"/>
    <w:multiLevelType w:val="hybridMultilevel"/>
    <w:tmpl w:val="76B8DCAC"/>
    <w:lvl w:ilvl="0" w:tplc="51EE69A6">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40">
    <w:nsid w:val="3C34604B"/>
    <w:multiLevelType w:val="hybridMultilevel"/>
    <w:tmpl w:val="B3764EBA"/>
    <w:lvl w:ilvl="0" w:tplc="0B5ACAF6">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4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2">
    <w:nsid w:val="3D3853B8"/>
    <w:multiLevelType w:val="singleLevel"/>
    <w:tmpl w:val="9676914A"/>
    <w:lvl w:ilvl="0">
      <w:start w:val="1"/>
      <w:numFmt w:val="lowerLetter"/>
      <w:lvlText w:val="%1)"/>
      <w:legacy w:legacy="1" w:legacySpace="0" w:legacyIndent="360"/>
      <w:lvlJc w:val="left"/>
      <w:pPr>
        <w:ind w:left="927" w:hanging="360"/>
      </w:pPr>
    </w:lvl>
  </w:abstractNum>
  <w:abstractNum w:abstractNumId="243">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244">
    <w:nsid w:val="3D441906"/>
    <w:multiLevelType w:val="hybridMultilevel"/>
    <w:tmpl w:val="608A2046"/>
    <w:lvl w:ilvl="0" w:tplc="2132E9DA">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245">
    <w:nsid w:val="3D505CA9"/>
    <w:multiLevelType w:val="hybridMultilevel"/>
    <w:tmpl w:val="4C467686"/>
    <w:lvl w:ilvl="0" w:tplc="E600318C">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46">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7">
    <w:nsid w:val="3D9A73DA"/>
    <w:multiLevelType w:val="singleLevel"/>
    <w:tmpl w:val="9676914A"/>
    <w:lvl w:ilvl="0">
      <w:start w:val="1"/>
      <w:numFmt w:val="lowerLetter"/>
      <w:lvlText w:val="%1)"/>
      <w:legacy w:legacy="1" w:legacySpace="0" w:legacyIndent="360"/>
      <w:lvlJc w:val="left"/>
      <w:pPr>
        <w:ind w:left="927" w:hanging="360"/>
      </w:pPr>
    </w:lvl>
  </w:abstractNum>
  <w:abstractNum w:abstractNumId="248">
    <w:nsid w:val="3E0471B1"/>
    <w:multiLevelType w:val="singleLevel"/>
    <w:tmpl w:val="D87CC2E4"/>
    <w:lvl w:ilvl="0">
      <w:start w:val="1"/>
      <w:numFmt w:val="decimal"/>
      <w:lvlText w:val="(%1)"/>
      <w:legacy w:legacy="1" w:legacySpace="0" w:legacyIndent="360"/>
      <w:lvlJc w:val="left"/>
      <w:pPr>
        <w:ind w:left="927" w:hanging="360"/>
      </w:pPr>
    </w:lvl>
  </w:abstractNum>
  <w:abstractNum w:abstractNumId="249">
    <w:nsid w:val="3E0E5324"/>
    <w:multiLevelType w:val="hybridMultilevel"/>
    <w:tmpl w:val="C896DFFC"/>
    <w:lvl w:ilvl="0" w:tplc="8200DE1C">
      <w:start w:val="1"/>
      <w:numFmt w:val="bullet"/>
      <w:lvlRestart w:val="0"/>
      <w:lvlText w:val="–"/>
      <w:lvlJc w:val="left"/>
      <w:pPr>
        <w:tabs>
          <w:tab w:val="num" w:pos="420"/>
        </w:tabs>
        <w:ind w:left="1951" w:hanging="511"/>
      </w:pPr>
      <w:rPr>
        <w:rFonts w:ascii="Wingdings" w:hAnsi="Wingdings" w:hint="default"/>
      </w:rPr>
    </w:lvl>
    <w:lvl w:ilvl="1" w:tplc="04090003" w:tentative="1">
      <w:start w:val="1"/>
      <w:numFmt w:val="bullet"/>
      <w:lvlText w:val=""/>
      <w:lvlJc w:val="left"/>
      <w:pPr>
        <w:tabs>
          <w:tab w:val="num" w:pos="1380"/>
        </w:tabs>
        <w:ind w:left="1380" w:hanging="480"/>
      </w:pPr>
      <w:rPr>
        <w:rFonts w:ascii="Wingdings" w:hAnsi="Wingdings" w:hint="default"/>
      </w:rPr>
    </w:lvl>
    <w:lvl w:ilvl="2" w:tplc="04090005" w:tentative="1">
      <w:start w:val="1"/>
      <w:numFmt w:val="bullet"/>
      <w:lvlText w:val=""/>
      <w:lvlJc w:val="left"/>
      <w:pPr>
        <w:tabs>
          <w:tab w:val="num" w:pos="1860"/>
        </w:tabs>
        <w:ind w:left="1860" w:hanging="480"/>
      </w:pPr>
      <w:rPr>
        <w:rFonts w:ascii="Wingdings" w:hAnsi="Wingdings" w:hint="default"/>
      </w:rPr>
    </w:lvl>
    <w:lvl w:ilvl="3" w:tplc="04090001" w:tentative="1">
      <w:start w:val="1"/>
      <w:numFmt w:val="bullet"/>
      <w:lvlText w:val=""/>
      <w:lvlJc w:val="left"/>
      <w:pPr>
        <w:tabs>
          <w:tab w:val="num" w:pos="2340"/>
        </w:tabs>
        <w:ind w:left="2340" w:hanging="480"/>
      </w:pPr>
      <w:rPr>
        <w:rFonts w:ascii="Wingdings" w:hAnsi="Wingdings" w:hint="default"/>
      </w:rPr>
    </w:lvl>
    <w:lvl w:ilvl="4" w:tplc="04090003" w:tentative="1">
      <w:start w:val="1"/>
      <w:numFmt w:val="bullet"/>
      <w:lvlText w:val=""/>
      <w:lvlJc w:val="left"/>
      <w:pPr>
        <w:tabs>
          <w:tab w:val="num" w:pos="2820"/>
        </w:tabs>
        <w:ind w:left="2820" w:hanging="480"/>
      </w:pPr>
      <w:rPr>
        <w:rFonts w:ascii="Wingdings" w:hAnsi="Wingdings" w:hint="default"/>
      </w:rPr>
    </w:lvl>
    <w:lvl w:ilvl="5" w:tplc="04090005" w:tentative="1">
      <w:start w:val="1"/>
      <w:numFmt w:val="bullet"/>
      <w:lvlText w:val=""/>
      <w:lvlJc w:val="left"/>
      <w:pPr>
        <w:tabs>
          <w:tab w:val="num" w:pos="3300"/>
        </w:tabs>
        <w:ind w:left="3300" w:hanging="480"/>
      </w:pPr>
      <w:rPr>
        <w:rFonts w:ascii="Wingdings" w:hAnsi="Wingdings" w:hint="default"/>
      </w:rPr>
    </w:lvl>
    <w:lvl w:ilvl="6" w:tplc="04090001" w:tentative="1">
      <w:start w:val="1"/>
      <w:numFmt w:val="bullet"/>
      <w:lvlText w:val=""/>
      <w:lvlJc w:val="left"/>
      <w:pPr>
        <w:tabs>
          <w:tab w:val="num" w:pos="3780"/>
        </w:tabs>
        <w:ind w:left="3780" w:hanging="480"/>
      </w:pPr>
      <w:rPr>
        <w:rFonts w:ascii="Wingdings" w:hAnsi="Wingdings" w:hint="default"/>
      </w:rPr>
    </w:lvl>
    <w:lvl w:ilvl="7" w:tplc="04090003" w:tentative="1">
      <w:start w:val="1"/>
      <w:numFmt w:val="bullet"/>
      <w:lvlText w:val=""/>
      <w:lvlJc w:val="left"/>
      <w:pPr>
        <w:tabs>
          <w:tab w:val="num" w:pos="4260"/>
        </w:tabs>
        <w:ind w:left="4260" w:hanging="480"/>
      </w:pPr>
      <w:rPr>
        <w:rFonts w:ascii="Wingdings" w:hAnsi="Wingdings" w:hint="default"/>
      </w:rPr>
    </w:lvl>
    <w:lvl w:ilvl="8" w:tplc="04090005" w:tentative="1">
      <w:start w:val="1"/>
      <w:numFmt w:val="bullet"/>
      <w:lvlText w:val=""/>
      <w:lvlJc w:val="left"/>
      <w:pPr>
        <w:tabs>
          <w:tab w:val="num" w:pos="4740"/>
        </w:tabs>
        <w:ind w:left="4740" w:hanging="480"/>
      </w:pPr>
      <w:rPr>
        <w:rFonts w:ascii="Wingdings" w:hAnsi="Wingdings" w:hint="default"/>
      </w:rPr>
    </w:lvl>
  </w:abstractNum>
  <w:abstractNum w:abstractNumId="250">
    <w:nsid w:val="3EA91BF8"/>
    <w:multiLevelType w:val="singleLevel"/>
    <w:tmpl w:val="E8407814"/>
    <w:lvl w:ilvl="0">
      <w:start w:val="2"/>
      <w:numFmt w:val="decimal"/>
      <w:lvlText w:val="%1)"/>
      <w:legacy w:legacy="1" w:legacySpace="0" w:legacyIndent="420"/>
      <w:lvlJc w:val="left"/>
      <w:pPr>
        <w:ind w:left="987" w:hanging="420"/>
      </w:pPr>
    </w:lvl>
  </w:abstractNum>
  <w:abstractNum w:abstractNumId="251">
    <w:nsid w:val="3EE767F9"/>
    <w:multiLevelType w:val="hybridMultilevel"/>
    <w:tmpl w:val="1216378A"/>
    <w:lvl w:ilvl="0" w:tplc="9C2CEECA">
      <w:start w:val="1"/>
      <w:numFmt w:val="lowerRoman"/>
      <w:lvlText w:val="(%1)"/>
      <w:lvlJc w:val="left"/>
      <w:pPr>
        <w:tabs>
          <w:tab w:val="num" w:pos="2124"/>
        </w:tabs>
        <w:ind w:left="2124" w:hanging="990"/>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252">
    <w:nsid w:val="3F415A55"/>
    <w:multiLevelType w:val="hybridMultilevel"/>
    <w:tmpl w:val="FAAE8A6E"/>
    <w:lvl w:ilvl="0" w:tplc="BA40B7F0">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53">
    <w:nsid w:val="40221049"/>
    <w:multiLevelType w:val="singleLevel"/>
    <w:tmpl w:val="04D4B0C4"/>
    <w:lvl w:ilvl="0">
      <w:start w:val="1"/>
      <w:numFmt w:val="decimal"/>
      <w:lvlText w:val="%1."/>
      <w:lvlJc w:val="left"/>
      <w:pPr>
        <w:tabs>
          <w:tab w:val="num" w:pos="360"/>
        </w:tabs>
        <w:ind w:left="360" w:hanging="360"/>
      </w:pPr>
    </w:lvl>
  </w:abstractNum>
  <w:abstractNum w:abstractNumId="254">
    <w:nsid w:val="402345CD"/>
    <w:multiLevelType w:val="hybridMultilevel"/>
    <w:tmpl w:val="08CCD92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5">
    <w:nsid w:val="403E3C5D"/>
    <w:multiLevelType w:val="hybridMultilevel"/>
    <w:tmpl w:val="DFA2EBE8"/>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56">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257">
    <w:nsid w:val="409D12BC"/>
    <w:multiLevelType w:val="hybridMultilevel"/>
    <w:tmpl w:val="418AAB80"/>
    <w:lvl w:ilvl="0" w:tplc="BF9C747C">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58">
    <w:nsid w:val="40BF2D29"/>
    <w:multiLevelType w:val="hybridMultilevel"/>
    <w:tmpl w:val="7C9A99C8"/>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9">
    <w:nsid w:val="40D16362"/>
    <w:multiLevelType w:val="singleLevel"/>
    <w:tmpl w:val="296A44A4"/>
    <w:lvl w:ilvl="0">
      <w:start w:val="3"/>
      <w:numFmt w:val="upperRoman"/>
      <w:lvlText w:val="%1."/>
      <w:legacy w:legacy="1" w:legacySpace="0" w:legacyIndent="720"/>
      <w:lvlJc w:val="left"/>
      <w:pPr>
        <w:ind w:left="1004" w:hanging="720"/>
      </w:pPr>
    </w:lvl>
  </w:abstractNum>
  <w:abstractNum w:abstractNumId="260">
    <w:nsid w:val="4103401B"/>
    <w:multiLevelType w:val="hybridMultilevel"/>
    <w:tmpl w:val="3B907A9E"/>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1">
    <w:nsid w:val="41680230"/>
    <w:multiLevelType w:val="hybridMultilevel"/>
    <w:tmpl w:val="56AA501A"/>
    <w:lvl w:ilvl="0" w:tplc="09484D3E">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416C1433"/>
    <w:multiLevelType w:val="singleLevel"/>
    <w:tmpl w:val="9676914A"/>
    <w:lvl w:ilvl="0">
      <w:start w:val="2"/>
      <w:numFmt w:val="lowerLetter"/>
      <w:lvlText w:val="%1)"/>
      <w:legacy w:legacy="1" w:legacySpace="0" w:legacyIndent="360"/>
      <w:lvlJc w:val="left"/>
      <w:pPr>
        <w:ind w:left="927" w:hanging="360"/>
      </w:pPr>
    </w:lvl>
  </w:abstractNum>
  <w:abstractNum w:abstractNumId="263">
    <w:nsid w:val="41812160"/>
    <w:multiLevelType w:val="hybridMultilevel"/>
    <w:tmpl w:val="551C7F78"/>
    <w:lvl w:ilvl="0" w:tplc="9D60FA0E">
      <w:start w:val="1"/>
      <w:numFmt w:val="lowerLetter"/>
      <w:lvlRestart w:val="0"/>
      <w:lvlText w:val="(%1)"/>
      <w:lvlJc w:val="right"/>
      <w:pPr>
        <w:tabs>
          <w:tab w:val="num" w:pos="2581"/>
        </w:tabs>
        <w:ind w:left="2581" w:hanging="227"/>
      </w:pPr>
      <w:rPr>
        <w:rFonts w:ascii="Times New Roman" w:hAnsi="Times New Roman"/>
        <w:b w:val="0"/>
        <w:i w:val="0"/>
        <w:sz w:val="24"/>
      </w:rPr>
    </w:lvl>
    <w:lvl w:ilvl="1" w:tplc="04090019" w:tentative="1">
      <w:start w:val="1"/>
      <w:numFmt w:val="ideographTraditional"/>
      <w:lvlText w:val="%2、"/>
      <w:lvlJc w:val="left"/>
      <w:pPr>
        <w:tabs>
          <w:tab w:val="num" w:pos="2010"/>
        </w:tabs>
        <w:ind w:left="2010" w:hanging="480"/>
      </w:pPr>
    </w:lvl>
    <w:lvl w:ilvl="2" w:tplc="0409001B">
      <w:start w:val="1"/>
      <w:numFmt w:val="lowerRoman"/>
      <w:lvlText w:val="%3."/>
      <w:lvlJc w:val="right"/>
      <w:pPr>
        <w:tabs>
          <w:tab w:val="num" w:pos="2490"/>
        </w:tabs>
        <w:ind w:left="2490" w:hanging="480"/>
      </w:pPr>
    </w:lvl>
    <w:lvl w:ilvl="3" w:tplc="0409000F" w:tentative="1">
      <w:start w:val="1"/>
      <w:numFmt w:val="decimal"/>
      <w:lvlText w:val="%4."/>
      <w:lvlJc w:val="left"/>
      <w:pPr>
        <w:tabs>
          <w:tab w:val="num" w:pos="2970"/>
        </w:tabs>
        <w:ind w:left="2970" w:hanging="480"/>
      </w:pPr>
    </w:lvl>
    <w:lvl w:ilvl="4" w:tplc="04090019" w:tentative="1">
      <w:start w:val="1"/>
      <w:numFmt w:val="ideographTraditional"/>
      <w:lvlText w:val="%5、"/>
      <w:lvlJc w:val="left"/>
      <w:pPr>
        <w:tabs>
          <w:tab w:val="num" w:pos="3450"/>
        </w:tabs>
        <w:ind w:left="3450" w:hanging="480"/>
      </w:pPr>
    </w:lvl>
    <w:lvl w:ilvl="5" w:tplc="0409001B" w:tentative="1">
      <w:start w:val="1"/>
      <w:numFmt w:val="lowerRoman"/>
      <w:lvlText w:val="%6."/>
      <w:lvlJc w:val="right"/>
      <w:pPr>
        <w:tabs>
          <w:tab w:val="num" w:pos="3930"/>
        </w:tabs>
        <w:ind w:left="3930" w:hanging="480"/>
      </w:pPr>
    </w:lvl>
    <w:lvl w:ilvl="6" w:tplc="0409000F" w:tentative="1">
      <w:start w:val="1"/>
      <w:numFmt w:val="decimal"/>
      <w:lvlText w:val="%7."/>
      <w:lvlJc w:val="left"/>
      <w:pPr>
        <w:tabs>
          <w:tab w:val="num" w:pos="4410"/>
        </w:tabs>
        <w:ind w:left="4410" w:hanging="480"/>
      </w:pPr>
    </w:lvl>
    <w:lvl w:ilvl="7" w:tplc="04090019" w:tentative="1">
      <w:start w:val="1"/>
      <w:numFmt w:val="ideographTraditional"/>
      <w:lvlText w:val="%8、"/>
      <w:lvlJc w:val="left"/>
      <w:pPr>
        <w:tabs>
          <w:tab w:val="num" w:pos="4890"/>
        </w:tabs>
        <w:ind w:left="4890" w:hanging="480"/>
      </w:pPr>
    </w:lvl>
    <w:lvl w:ilvl="8" w:tplc="0409001B" w:tentative="1">
      <w:start w:val="1"/>
      <w:numFmt w:val="lowerRoman"/>
      <w:lvlText w:val="%9."/>
      <w:lvlJc w:val="right"/>
      <w:pPr>
        <w:tabs>
          <w:tab w:val="num" w:pos="5370"/>
        </w:tabs>
        <w:ind w:left="5370" w:hanging="480"/>
      </w:pPr>
    </w:lvl>
  </w:abstractNum>
  <w:abstractNum w:abstractNumId="264">
    <w:nsid w:val="41C021C8"/>
    <w:multiLevelType w:val="singleLevel"/>
    <w:tmpl w:val="420E9E64"/>
    <w:lvl w:ilvl="0">
      <w:start w:val="4"/>
      <w:numFmt w:val="upperRoman"/>
      <w:lvlText w:val="%1.1."/>
      <w:legacy w:legacy="1" w:legacySpace="0" w:legacyIndent="720"/>
      <w:lvlJc w:val="left"/>
      <w:pPr>
        <w:ind w:left="1004" w:hanging="720"/>
      </w:pPr>
    </w:lvl>
  </w:abstractNum>
  <w:abstractNum w:abstractNumId="265">
    <w:nsid w:val="42463578"/>
    <w:multiLevelType w:val="singleLevel"/>
    <w:tmpl w:val="E8407814"/>
    <w:lvl w:ilvl="0">
      <w:start w:val="1"/>
      <w:numFmt w:val="decimal"/>
      <w:lvlText w:val="%1)"/>
      <w:legacy w:legacy="1" w:legacySpace="0" w:legacyIndent="420"/>
      <w:lvlJc w:val="left"/>
      <w:pPr>
        <w:ind w:left="987" w:hanging="420"/>
      </w:pPr>
    </w:lvl>
  </w:abstractNum>
  <w:abstractNum w:abstractNumId="266">
    <w:nsid w:val="42D11477"/>
    <w:multiLevelType w:val="singleLevel"/>
    <w:tmpl w:val="D87CC2E4"/>
    <w:lvl w:ilvl="0">
      <w:start w:val="1"/>
      <w:numFmt w:val="decimal"/>
      <w:lvlText w:val="(%1)"/>
      <w:legacy w:legacy="1" w:legacySpace="0" w:legacyIndent="360"/>
      <w:lvlJc w:val="left"/>
      <w:pPr>
        <w:ind w:left="927" w:hanging="360"/>
      </w:pPr>
    </w:lvl>
  </w:abstractNum>
  <w:abstractNum w:abstractNumId="267">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268">
    <w:nsid w:val="43DA4BD3"/>
    <w:multiLevelType w:val="hybridMultilevel"/>
    <w:tmpl w:val="64720986"/>
    <w:lvl w:ilvl="0" w:tplc="DFB01E80">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69">
    <w:nsid w:val="43EA3D5C"/>
    <w:multiLevelType w:val="hybridMultilevel"/>
    <w:tmpl w:val="665C5558"/>
    <w:lvl w:ilvl="0" w:tplc="B43CD9D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0">
    <w:nsid w:val="43EE49EA"/>
    <w:multiLevelType w:val="hybridMultilevel"/>
    <w:tmpl w:val="C37AB976"/>
    <w:lvl w:ilvl="0" w:tplc="2132E9DA">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271">
    <w:nsid w:val="442508D1"/>
    <w:multiLevelType w:val="hybridMultilevel"/>
    <w:tmpl w:val="BC687754"/>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2">
    <w:nsid w:val="444963AA"/>
    <w:multiLevelType w:val="hybridMultilevel"/>
    <w:tmpl w:val="8ACE630A"/>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3">
    <w:nsid w:val="448F67CD"/>
    <w:multiLevelType w:val="singleLevel"/>
    <w:tmpl w:val="9676914A"/>
    <w:lvl w:ilvl="0">
      <w:start w:val="2"/>
      <w:numFmt w:val="lowerLetter"/>
      <w:lvlText w:val="%1)"/>
      <w:legacy w:legacy="1" w:legacySpace="0" w:legacyIndent="360"/>
      <w:lvlJc w:val="left"/>
      <w:pPr>
        <w:ind w:left="927" w:hanging="360"/>
      </w:pPr>
    </w:lvl>
  </w:abstractNum>
  <w:abstractNum w:abstractNumId="274">
    <w:nsid w:val="4496646D"/>
    <w:multiLevelType w:val="hybridMultilevel"/>
    <w:tmpl w:val="11D67DC8"/>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5">
    <w:nsid w:val="44B927AC"/>
    <w:multiLevelType w:val="singleLevel"/>
    <w:tmpl w:val="9676914A"/>
    <w:lvl w:ilvl="0">
      <w:start w:val="1"/>
      <w:numFmt w:val="lowerLetter"/>
      <w:lvlText w:val="%1)"/>
      <w:legacy w:legacy="1" w:legacySpace="0" w:legacyIndent="360"/>
      <w:lvlJc w:val="left"/>
      <w:pPr>
        <w:ind w:left="1080" w:hanging="360"/>
      </w:pPr>
    </w:lvl>
  </w:abstractNum>
  <w:abstractNum w:abstractNumId="276">
    <w:nsid w:val="44F400AA"/>
    <w:multiLevelType w:val="hybridMultilevel"/>
    <w:tmpl w:val="360E2CFA"/>
    <w:lvl w:ilvl="0" w:tplc="9D60FA0E">
      <w:start w:val="1"/>
      <w:numFmt w:val="lowerLetter"/>
      <w:lvlRestart w:val="0"/>
      <w:lvlText w:val="(%1)"/>
      <w:lvlJc w:val="right"/>
      <w:pPr>
        <w:tabs>
          <w:tab w:val="num" w:pos="2571"/>
        </w:tabs>
        <w:ind w:left="2571" w:hanging="227"/>
      </w:pPr>
      <w:rPr>
        <w:rFonts w:ascii="Times New Roman" w:hAnsi="Times New Roman"/>
        <w:b w:val="0"/>
        <w:i w:val="0"/>
        <w:sz w:val="24"/>
      </w:rPr>
    </w:lvl>
    <w:lvl w:ilvl="1" w:tplc="04090019" w:tentative="1">
      <w:start w:val="1"/>
      <w:numFmt w:val="ideographTraditional"/>
      <w:lvlText w:val="%2、"/>
      <w:lvlJc w:val="left"/>
      <w:pPr>
        <w:tabs>
          <w:tab w:val="num" w:pos="2000"/>
        </w:tabs>
        <w:ind w:left="2000" w:hanging="480"/>
      </w:pPr>
    </w:lvl>
    <w:lvl w:ilvl="2" w:tplc="0409001B">
      <w:start w:val="1"/>
      <w:numFmt w:val="lowerRoman"/>
      <w:lvlText w:val="%3."/>
      <w:lvlJc w:val="right"/>
      <w:pPr>
        <w:tabs>
          <w:tab w:val="num" w:pos="2480"/>
        </w:tabs>
        <w:ind w:left="2480" w:hanging="480"/>
      </w:p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277">
    <w:nsid w:val="452D144C"/>
    <w:multiLevelType w:val="singleLevel"/>
    <w:tmpl w:val="7C4C0A7C"/>
    <w:lvl w:ilvl="0">
      <w:start w:val="1"/>
      <w:numFmt w:val="decimal"/>
      <w:lvlText w:val="(%1)"/>
      <w:lvlJc w:val="left"/>
      <w:pPr>
        <w:tabs>
          <w:tab w:val="num" w:pos="720"/>
        </w:tabs>
        <w:ind w:left="720" w:hanging="720"/>
      </w:pPr>
    </w:lvl>
  </w:abstractNum>
  <w:abstractNum w:abstractNumId="278">
    <w:nsid w:val="45D95006"/>
    <w:multiLevelType w:val="hybridMultilevel"/>
    <w:tmpl w:val="8514CA3C"/>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9">
    <w:nsid w:val="465159B7"/>
    <w:multiLevelType w:val="singleLevel"/>
    <w:tmpl w:val="9676914A"/>
    <w:lvl w:ilvl="0">
      <w:start w:val="1"/>
      <w:numFmt w:val="lowerLetter"/>
      <w:lvlText w:val="%1)"/>
      <w:legacy w:legacy="1" w:legacySpace="0" w:legacyIndent="360"/>
      <w:lvlJc w:val="left"/>
      <w:pPr>
        <w:ind w:left="2007" w:hanging="360"/>
      </w:pPr>
    </w:lvl>
  </w:abstractNum>
  <w:abstractNum w:abstractNumId="280">
    <w:nsid w:val="46614A87"/>
    <w:multiLevelType w:val="hybridMultilevel"/>
    <w:tmpl w:val="A19AF7CE"/>
    <w:lvl w:ilvl="0" w:tplc="4074F3B8">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81">
    <w:nsid w:val="466426F8"/>
    <w:multiLevelType w:val="hybridMultilevel"/>
    <w:tmpl w:val="5B60FB32"/>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2">
    <w:nsid w:val="469338A5"/>
    <w:multiLevelType w:val="singleLevel"/>
    <w:tmpl w:val="9676914A"/>
    <w:lvl w:ilvl="0">
      <w:start w:val="1"/>
      <w:numFmt w:val="lowerLetter"/>
      <w:lvlText w:val="%1)"/>
      <w:legacy w:legacy="1" w:legacySpace="0" w:legacyIndent="360"/>
      <w:lvlJc w:val="left"/>
      <w:pPr>
        <w:ind w:left="1494" w:hanging="360"/>
      </w:pPr>
    </w:lvl>
  </w:abstractNum>
  <w:abstractNum w:abstractNumId="283">
    <w:nsid w:val="4739131E"/>
    <w:multiLevelType w:val="hybridMultilevel"/>
    <w:tmpl w:val="58169F98"/>
    <w:lvl w:ilvl="0" w:tplc="FFF4BDA8">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84">
    <w:nsid w:val="476F3CA9"/>
    <w:multiLevelType w:val="hybridMultilevel"/>
    <w:tmpl w:val="A8FC444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5">
    <w:nsid w:val="47716E35"/>
    <w:multiLevelType w:val="singleLevel"/>
    <w:tmpl w:val="7F3E0412"/>
    <w:lvl w:ilvl="0">
      <w:start w:val="1"/>
      <w:numFmt w:val="lowerLetter"/>
      <w:lvlText w:val="%1."/>
      <w:legacy w:legacy="1" w:legacySpace="0" w:legacyIndent="1077"/>
      <w:lvlJc w:val="left"/>
      <w:pPr>
        <w:ind w:left="1794" w:hanging="1077"/>
      </w:pPr>
    </w:lvl>
  </w:abstractNum>
  <w:abstractNum w:abstractNumId="286">
    <w:nsid w:val="47844AC0"/>
    <w:multiLevelType w:val="hybridMultilevel"/>
    <w:tmpl w:val="FEDA96F4"/>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8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28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9">
    <w:nsid w:val="47DF0104"/>
    <w:multiLevelType w:val="hybridMultilevel"/>
    <w:tmpl w:val="62C6C794"/>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nsid w:val="47DF6974"/>
    <w:multiLevelType w:val="singleLevel"/>
    <w:tmpl w:val="D87CC2E4"/>
    <w:lvl w:ilvl="0">
      <w:start w:val="1"/>
      <w:numFmt w:val="decimal"/>
      <w:lvlText w:val="(%1)"/>
      <w:legacy w:legacy="1" w:legacySpace="0" w:legacyIndent="360"/>
      <w:lvlJc w:val="left"/>
      <w:pPr>
        <w:ind w:left="720" w:hanging="360"/>
      </w:pPr>
    </w:lvl>
  </w:abstractNum>
  <w:abstractNum w:abstractNumId="291">
    <w:nsid w:val="48343DA0"/>
    <w:multiLevelType w:val="hybridMultilevel"/>
    <w:tmpl w:val="A9D285B4"/>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292">
    <w:nsid w:val="484240BA"/>
    <w:multiLevelType w:val="hybridMultilevel"/>
    <w:tmpl w:val="CF2685B4"/>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4">
    <w:nsid w:val="48802932"/>
    <w:multiLevelType w:val="hybridMultilevel"/>
    <w:tmpl w:val="C318E754"/>
    <w:lvl w:ilvl="0" w:tplc="B7C44EA0">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29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6">
    <w:nsid w:val="48BD334B"/>
    <w:multiLevelType w:val="singleLevel"/>
    <w:tmpl w:val="9676914A"/>
    <w:lvl w:ilvl="0">
      <w:start w:val="1"/>
      <w:numFmt w:val="lowerLetter"/>
      <w:lvlText w:val="%1)"/>
      <w:legacy w:legacy="1" w:legacySpace="0" w:legacyIndent="360"/>
      <w:lvlJc w:val="left"/>
      <w:pPr>
        <w:ind w:left="927" w:hanging="360"/>
      </w:pPr>
    </w:lvl>
  </w:abstractNum>
  <w:abstractNum w:abstractNumId="297">
    <w:nsid w:val="48BE54C0"/>
    <w:multiLevelType w:val="hybridMultilevel"/>
    <w:tmpl w:val="0B90D446"/>
    <w:lvl w:ilvl="0" w:tplc="2132E9DA">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298">
    <w:nsid w:val="48CD31F2"/>
    <w:multiLevelType w:val="hybridMultilevel"/>
    <w:tmpl w:val="A10E247E"/>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CBA61B94">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9">
    <w:nsid w:val="48FA550C"/>
    <w:multiLevelType w:val="hybridMultilevel"/>
    <w:tmpl w:val="C69E3D26"/>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1">
    <w:nsid w:val="4A206ACD"/>
    <w:multiLevelType w:val="multilevel"/>
    <w:tmpl w:val="684ED444"/>
    <w:lvl w:ilvl="0">
      <w:start w:val="1"/>
      <w:numFmt w:val="low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2">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3">
    <w:nsid w:val="4AA020BE"/>
    <w:multiLevelType w:val="singleLevel"/>
    <w:tmpl w:val="D87CC2E4"/>
    <w:lvl w:ilvl="0">
      <w:start w:val="1"/>
      <w:numFmt w:val="decimal"/>
      <w:lvlText w:val="(%1)"/>
      <w:legacy w:legacy="1" w:legacySpace="0" w:legacyIndent="360"/>
      <w:lvlJc w:val="left"/>
      <w:pPr>
        <w:ind w:left="1080" w:hanging="360"/>
      </w:pPr>
    </w:lvl>
  </w:abstractNum>
  <w:abstractNum w:abstractNumId="304">
    <w:nsid w:val="4ACA6BA7"/>
    <w:multiLevelType w:val="hybridMultilevel"/>
    <w:tmpl w:val="69066430"/>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5">
    <w:nsid w:val="4B01239F"/>
    <w:multiLevelType w:val="singleLevel"/>
    <w:tmpl w:val="9676914A"/>
    <w:lvl w:ilvl="0">
      <w:start w:val="1"/>
      <w:numFmt w:val="lowerLetter"/>
      <w:lvlText w:val="%1)"/>
      <w:legacy w:legacy="1" w:legacySpace="0" w:legacyIndent="360"/>
      <w:lvlJc w:val="left"/>
      <w:pPr>
        <w:ind w:left="927" w:hanging="360"/>
      </w:pPr>
    </w:lvl>
  </w:abstractNum>
  <w:abstractNum w:abstractNumId="306">
    <w:nsid w:val="4BE01EF5"/>
    <w:multiLevelType w:val="hybridMultilevel"/>
    <w:tmpl w:val="8ACC5816"/>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44E69930">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7">
    <w:nsid w:val="4C0803CB"/>
    <w:multiLevelType w:val="hybridMultilevel"/>
    <w:tmpl w:val="377C2206"/>
    <w:lvl w:ilvl="0" w:tplc="A37C3896">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08">
    <w:nsid w:val="4C680368"/>
    <w:multiLevelType w:val="hybridMultilevel"/>
    <w:tmpl w:val="196A6DFA"/>
    <w:lvl w:ilvl="0" w:tplc="FEACCC0A">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09">
    <w:nsid w:val="4C6F0317"/>
    <w:multiLevelType w:val="hybridMultilevel"/>
    <w:tmpl w:val="70A2713C"/>
    <w:lvl w:ilvl="0" w:tplc="2AA8D86E">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10">
    <w:nsid w:val="4CB9235F"/>
    <w:multiLevelType w:val="singleLevel"/>
    <w:tmpl w:val="9676914A"/>
    <w:lvl w:ilvl="0">
      <w:start w:val="1"/>
      <w:numFmt w:val="lowerLetter"/>
      <w:lvlText w:val="%1)"/>
      <w:legacy w:legacy="1" w:legacySpace="0" w:legacyIndent="360"/>
      <w:lvlJc w:val="left"/>
      <w:pPr>
        <w:ind w:left="927" w:hanging="360"/>
      </w:pPr>
    </w:lvl>
  </w:abstractNum>
  <w:abstractNum w:abstractNumId="311">
    <w:nsid w:val="4CE9491E"/>
    <w:multiLevelType w:val="hybridMultilevel"/>
    <w:tmpl w:val="772E8BDC"/>
    <w:lvl w:ilvl="0" w:tplc="DFB01E80">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1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313">
    <w:nsid w:val="4D296116"/>
    <w:multiLevelType w:val="hybridMultilevel"/>
    <w:tmpl w:val="189219D6"/>
    <w:lvl w:ilvl="0" w:tplc="BAAC018E">
      <w:start w:val="1"/>
      <w:numFmt w:val="decimal"/>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14">
    <w:nsid w:val="4D3C3C60"/>
    <w:multiLevelType w:val="hybridMultilevel"/>
    <w:tmpl w:val="3BAA6F30"/>
    <w:lvl w:ilvl="0" w:tplc="A54612CA">
      <w:start w:val="100"/>
      <w:numFmt w:val="lowerRoman"/>
      <w:lvlText w:val="(%1)"/>
      <w:lvlJc w:val="left"/>
      <w:pPr>
        <w:tabs>
          <w:tab w:val="num" w:pos="2007"/>
        </w:tabs>
        <w:ind w:left="2007" w:hanging="720"/>
      </w:pPr>
      <w:rPr>
        <w:rFonts w:hint="default"/>
      </w:rPr>
    </w:lvl>
    <w:lvl w:ilvl="1" w:tplc="04180019" w:tentative="1">
      <w:start w:val="1"/>
      <w:numFmt w:val="lowerLetter"/>
      <w:lvlText w:val="%2."/>
      <w:lvlJc w:val="left"/>
      <w:pPr>
        <w:tabs>
          <w:tab w:val="num" w:pos="2367"/>
        </w:tabs>
        <w:ind w:left="2367" w:hanging="360"/>
      </w:pPr>
    </w:lvl>
    <w:lvl w:ilvl="2" w:tplc="0418001B" w:tentative="1">
      <w:start w:val="1"/>
      <w:numFmt w:val="lowerRoman"/>
      <w:lvlText w:val="%3."/>
      <w:lvlJc w:val="right"/>
      <w:pPr>
        <w:tabs>
          <w:tab w:val="num" w:pos="3087"/>
        </w:tabs>
        <w:ind w:left="3087" w:hanging="180"/>
      </w:pPr>
    </w:lvl>
    <w:lvl w:ilvl="3" w:tplc="0418000F" w:tentative="1">
      <w:start w:val="1"/>
      <w:numFmt w:val="decimal"/>
      <w:lvlText w:val="%4."/>
      <w:lvlJc w:val="left"/>
      <w:pPr>
        <w:tabs>
          <w:tab w:val="num" w:pos="3807"/>
        </w:tabs>
        <w:ind w:left="3807" w:hanging="360"/>
      </w:pPr>
    </w:lvl>
    <w:lvl w:ilvl="4" w:tplc="04180019" w:tentative="1">
      <w:start w:val="1"/>
      <w:numFmt w:val="lowerLetter"/>
      <w:lvlText w:val="%5."/>
      <w:lvlJc w:val="left"/>
      <w:pPr>
        <w:tabs>
          <w:tab w:val="num" w:pos="4527"/>
        </w:tabs>
        <w:ind w:left="4527" w:hanging="360"/>
      </w:pPr>
    </w:lvl>
    <w:lvl w:ilvl="5" w:tplc="0418001B" w:tentative="1">
      <w:start w:val="1"/>
      <w:numFmt w:val="lowerRoman"/>
      <w:lvlText w:val="%6."/>
      <w:lvlJc w:val="right"/>
      <w:pPr>
        <w:tabs>
          <w:tab w:val="num" w:pos="5247"/>
        </w:tabs>
        <w:ind w:left="5247" w:hanging="180"/>
      </w:pPr>
    </w:lvl>
    <w:lvl w:ilvl="6" w:tplc="0418000F" w:tentative="1">
      <w:start w:val="1"/>
      <w:numFmt w:val="decimal"/>
      <w:lvlText w:val="%7."/>
      <w:lvlJc w:val="left"/>
      <w:pPr>
        <w:tabs>
          <w:tab w:val="num" w:pos="5967"/>
        </w:tabs>
        <w:ind w:left="5967" w:hanging="360"/>
      </w:pPr>
    </w:lvl>
    <w:lvl w:ilvl="7" w:tplc="04180019" w:tentative="1">
      <w:start w:val="1"/>
      <w:numFmt w:val="lowerLetter"/>
      <w:lvlText w:val="%8."/>
      <w:lvlJc w:val="left"/>
      <w:pPr>
        <w:tabs>
          <w:tab w:val="num" w:pos="6687"/>
        </w:tabs>
        <w:ind w:left="6687" w:hanging="360"/>
      </w:pPr>
    </w:lvl>
    <w:lvl w:ilvl="8" w:tplc="0418001B" w:tentative="1">
      <w:start w:val="1"/>
      <w:numFmt w:val="lowerRoman"/>
      <w:lvlText w:val="%9."/>
      <w:lvlJc w:val="right"/>
      <w:pPr>
        <w:tabs>
          <w:tab w:val="num" w:pos="7407"/>
        </w:tabs>
        <w:ind w:left="7407" w:hanging="180"/>
      </w:pPr>
    </w:lvl>
  </w:abstractNum>
  <w:abstractNum w:abstractNumId="315">
    <w:nsid w:val="4D5200AA"/>
    <w:multiLevelType w:val="hybridMultilevel"/>
    <w:tmpl w:val="726E53CE"/>
    <w:lvl w:ilvl="0" w:tplc="B43CD9DE">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834C6FCC">
      <w:start w:val="1"/>
      <w:numFmt w:val="chineseCountingThousand"/>
      <w:lvlRestart w:val="0"/>
      <w:lvlText w:val="(%3)"/>
      <w:lvlJc w:val="right"/>
      <w:pPr>
        <w:tabs>
          <w:tab w:val="num" w:pos="2151"/>
        </w:tabs>
        <w:ind w:left="2151" w:hanging="170"/>
      </w:pPr>
      <w:rPr>
        <w:rFonts w:ascii="Times New Roman" w:hAnsi="Times New Roman"/>
        <w:sz w:val="20"/>
      </w:r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16">
    <w:nsid w:val="4D7A7EF3"/>
    <w:multiLevelType w:val="singleLevel"/>
    <w:tmpl w:val="296A44A4"/>
    <w:lvl w:ilvl="0">
      <w:start w:val="1"/>
      <w:numFmt w:val="upperRoman"/>
      <w:lvlText w:val="%1."/>
      <w:legacy w:legacy="1" w:legacySpace="0" w:legacyIndent="720"/>
      <w:lvlJc w:val="left"/>
      <w:pPr>
        <w:ind w:left="1004" w:hanging="720"/>
      </w:pPr>
    </w:lvl>
  </w:abstractNum>
  <w:abstractNum w:abstractNumId="317">
    <w:nsid w:val="4D7C5A20"/>
    <w:multiLevelType w:val="singleLevel"/>
    <w:tmpl w:val="9676914A"/>
    <w:lvl w:ilvl="0">
      <w:start w:val="1"/>
      <w:numFmt w:val="lowerLetter"/>
      <w:lvlText w:val="%1)"/>
      <w:legacy w:legacy="1" w:legacySpace="0" w:legacyIndent="360"/>
      <w:lvlJc w:val="left"/>
      <w:pPr>
        <w:ind w:left="927" w:hanging="360"/>
      </w:pPr>
    </w:lvl>
  </w:abstractNum>
  <w:abstractNum w:abstractNumId="318">
    <w:nsid w:val="4D8A7FB1"/>
    <w:multiLevelType w:val="hybridMultilevel"/>
    <w:tmpl w:val="C896DFFC"/>
    <w:lvl w:ilvl="0" w:tplc="74207FF6">
      <w:start w:val="1"/>
      <w:numFmt w:val="bullet"/>
      <w:lvlRestart w:val="0"/>
      <w:lvlText w:val="–"/>
      <w:lvlJc w:val="left"/>
      <w:pPr>
        <w:tabs>
          <w:tab w:val="num" w:pos="420"/>
        </w:tabs>
        <w:ind w:left="1951" w:hanging="511"/>
      </w:pPr>
      <w:rPr>
        <w:rFonts w:ascii="SimSun" w:eastAsia="SimSun" w:hAnsi="Wingdings" w:hint="eastAsia"/>
      </w:rPr>
    </w:lvl>
    <w:lvl w:ilvl="1" w:tplc="04090003" w:tentative="1">
      <w:start w:val="1"/>
      <w:numFmt w:val="bullet"/>
      <w:lvlText w:val=""/>
      <w:lvlJc w:val="left"/>
      <w:pPr>
        <w:tabs>
          <w:tab w:val="num" w:pos="1380"/>
        </w:tabs>
        <w:ind w:left="1380" w:hanging="480"/>
      </w:pPr>
      <w:rPr>
        <w:rFonts w:ascii="Wingdings" w:hAnsi="Wingdings" w:hint="default"/>
      </w:rPr>
    </w:lvl>
    <w:lvl w:ilvl="2" w:tplc="04090005" w:tentative="1">
      <w:start w:val="1"/>
      <w:numFmt w:val="bullet"/>
      <w:lvlText w:val=""/>
      <w:lvlJc w:val="left"/>
      <w:pPr>
        <w:tabs>
          <w:tab w:val="num" w:pos="1860"/>
        </w:tabs>
        <w:ind w:left="1860" w:hanging="480"/>
      </w:pPr>
      <w:rPr>
        <w:rFonts w:ascii="Wingdings" w:hAnsi="Wingdings" w:hint="default"/>
      </w:rPr>
    </w:lvl>
    <w:lvl w:ilvl="3" w:tplc="04090001" w:tentative="1">
      <w:start w:val="1"/>
      <w:numFmt w:val="bullet"/>
      <w:lvlText w:val=""/>
      <w:lvlJc w:val="left"/>
      <w:pPr>
        <w:tabs>
          <w:tab w:val="num" w:pos="2340"/>
        </w:tabs>
        <w:ind w:left="2340" w:hanging="480"/>
      </w:pPr>
      <w:rPr>
        <w:rFonts w:ascii="Wingdings" w:hAnsi="Wingdings" w:hint="default"/>
      </w:rPr>
    </w:lvl>
    <w:lvl w:ilvl="4" w:tplc="04090003" w:tentative="1">
      <w:start w:val="1"/>
      <w:numFmt w:val="bullet"/>
      <w:lvlText w:val=""/>
      <w:lvlJc w:val="left"/>
      <w:pPr>
        <w:tabs>
          <w:tab w:val="num" w:pos="2820"/>
        </w:tabs>
        <w:ind w:left="2820" w:hanging="480"/>
      </w:pPr>
      <w:rPr>
        <w:rFonts w:ascii="Wingdings" w:hAnsi="Wingdings" w:hint="default"/>
      </w:rPr>
    </w:lvl>
    <w:lvl w:ilvl="5" w:tplc="04090005" w:tentative="1">
      <w:start w:val="1"/>
      <w:numFmt w:val="bullet"/>
      <w:lvlText w:val=""/>
      <w:lvlJc w:val="left"/>
      <w:pPr>
        <w:tabs>
          <w:tab w:val="num" w:pos="3300"/>
        </w:tabs>
        <w:ind w:left="3300" w:hanging="480"/>
      </w:pPr>
      <w:rPr>
        <w:rFonts w:ascii="Wingdings" w:hAnsi="Wingdings" w:hint="default"/>
      </w:rPr>
    </w:lvl>
    <w:lvl w:ilvl="6" w:tplc="04090001" w:tentative="1">
      <w:start w:val="1"/>
      <w:numFmt w:val="bullet"/>
      <w:lvlText w:val=""/>
      <w:lvlJc w:val="left"/>
      <w:pPr>
        <w:tabs>
          <w:tab w:val="num" w:pos="3780"/>
        </w:tabs>
        <w:ind w:left="3780" w:hanging="480"/>
      </w:pPr>
      <w:rPr>
        <w:rFonts w:ascii="Wingdings" w:hAnsi="Wingdings" w:hint="default"/>
      </w:rPr>
    </w:lvl>
    <w:lvl w:ilvl="7" w:tplc="04090003" w:tentative="1">
      <w:start w:val="1"/>
      <w:numFmt w:val="bullet"/>
      <w:lvlText w:val=""/>
      <w:lvlJc w:val="left"/>
      <w:pPr>
        <w:tabs>
          <w:tab w:val="num" w:pos="4260"/>
        </w:tabs>
        <w:ind w:left="4260" w:hanging="480"/>
      </w:pPr>
      <w:rPr>
        <w:rFonts w:ascii="Wingdings" w:hAnsi="Wingdings" w:hint="default"/>
      </w:rPr>
    </w:lvl>
    <w:lvl w:ilvl="8" w:tplc="04090005" w:tentative="1">
      <w:start w:val="1"/>
      <w:numFmt w:val="bullet"/>
      <w:lvlText w:val=""/>
      <w:lvlJc w:val="left"/>
      <w:pPr>
        <w:tabs>
          <w:tab w:val="num" w:pos="4740"/>
        </w:tabs>
        <w:ind w:left="4740" w:hanging="480"/>
      </w:pPr>
      <w:rPr>
        <w:rFonts w:ascii="Wingdings" w:hAnsi="Wingdings" w:hint="default"/>
      </w:rPr>
    </w:lvl>
  </w:abstractNum>
  <w:abstractNum w:abstractNumId="319">
    <w:nsid w:val="4DB43E9B"/>
    <w:multiLevelType w:val="hybridMultilevel"/>
    <w:tmpl w:val="29C01D72"/>
    <w:lvl w:ilvl="0" w:tplc="B1464436">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20">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321">
    <w:nsid w:val="4DEC0FC4"/>
    <w:multiLevelType w:val="hybridMultilevel"/>
    <w:tmpl w:val="143EDBA2"/>
    <w:lvl w:ilvl="0" w:tplc="B43CD9DE">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ideographTraditional"/>
      <w:lvlText w:val="%2、"/>
      <w:lvlJc w:val="left"/>
      <w:pPr>
        <w:tabs>
          <w:tab w:val="num" w:pos="1981"/>
        </w:tabs>
        <w:ind w:left="1981" w:hanging="480"/>
      </w:pPr>
    </w:lvl>
    <w:lvl w:ilvl="2" w:tplc="0409001B">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22">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323">
    <w:nsid w:val="4EA96413"/>
    <w:multiLevelType w:val="hybridMultilevel"/>
    <w:tmpl w:val="F8ECF7E2"/>
    <w:lvl w:ilvl="0" w:tplc="0418000F">
      <w:start w:val="1"/>
      <w:numFmt w:val="decimal"/>
      <w:lvlText w:val="%1."/>
      <w:lvlJc w:val="left"/>
      <w:pPr>
        <w:tabs>
          <w:tab w:val="num" w:pos="1287"/>
        </w:tabs>
        <w:ind w:left="1287" w:hanging="360"/>
      </w:p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324">
    <w:nsid w:val="4EC77B66"/>
    <w:multiLevelType w:val="singleLevel"/>
    <w:tmpl w:val="D87CC2E4"/>
    <w:lvl w:ilvl="0">
      <w:start w:val="1"/>
      <w:numFmt w:val="decimal"/>
      <w:lvlText w:val="(%1)"/>
      <w:legacy w:legacy="1" w:legacySpace="0" w:legacyIndent="360"/>
      <w:lvlJc w:val="left"/>
      <w:pPr>
        <w:ind w:left="927" w:hanging="360"/>
      </w:pPr>
    </w:lvl>
  </w:abstractNum>
  <w:abstractNum w:abstractNumId="325">
    <w:nsid w:val="4EFA2598"/>
    <w:multiLevelType w:val="singleLevel"/>
    <w:tmpl w:val="0409000F"/>
    <w:lvl w:ilvl="0">
      <w:start w:val="1"/>
      <w:numFmt w:val="decimal"/>
      <w:lvlText w:val="%1."/>
      <w:lvlJc w:val="left"/>
      <w:pPr>
        <w:tabs>
          <w:tab w:val="num" w:pos="360"/>
        </w:tabs>
        <w:ind w:left="360" w:hanging="360"/>
      </w:pPr>
    </w:lvl>
  </w:abstractNum>
  <w:abstractNum w:abstractNumId="326">
    <w:nsid w:val="4F152C78"/>
    <w:multiLevelType w:val="hybridMultilevel"/>
    <w:tmpl w:val="7F44B570"/>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7">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8">
    <w:nsid w:val="4F7334AF"/>
    <w:multiLevelType w:val="hybridMultilevel"/>
    <w:tmpl w:val="B50C0238"/>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29">
    <w:nsid w:val="4FA65597"/>
    <w:multiLevelType w:val="singleLevel"/>
    <w:tmpl w:val="D87CC2E4"/>
    <w:lvl w:ilvl="0">
      <w:start w:val="1"/>
      <w:numFmt w:val="decimal"/>
      <w:lvlText w:val="(%1)"/>
      <w:legacy w:legacy="1" w:legacySpace="0" w:legacyIndent="360"/>
      <w:lvlJc w:val="left"/>
      <w:pPr>
        <w:ind w:left="1080" w:hanging="360"/>
      </w:pPr>
    </w:lvl>
  </w:abstractNum>
  <w:abstractNum w:abstractNumId="330">
    <w:nsid w:val="4FB93821"/>
    <w:multiLevelType w:val="singleLevel"/>
    <w:tmpl w:val="62FE2056"/>
    <w:lvl w:ilvl="0">
      <w:start w:val="1"/>
      <w:numFmt w:val="decimal"/>
      <w:lvlText w:val="%1."/>
      <w:legacy w:legacy="1" w:legacySpace="0" w:legacyIndent="927"/>
      <w:lvlJc w:val="left"/>
      <w:pPr>
        <w:ind w:left="1494" w:hanging="927"/>
      </w:pPr>
    </w:lvl>
  </w:abstractNum>
  <w:abstractNum w:abstractNumId="331">
    <w:nsid w:val="4FD726B4"/>
    <w:multiLevelType w:val="singleLevel"/>
    <w:tmpl w:val="10FA9C3A"/>
    <w:lvl w:ilvl="0">
      <w:start w:val="3"/>
      <w:numFmt w:val="upperRoman"/>
      <w:lvlText w:val="%1.1."/>
      <w:legacy w:legacy="1" w:legacySpace="0" w:legacyIndent="720"/>
      <w:lvlJc w:val="left"/>
      <w:pPr>
        <w:ind w:left="1004" w:hanging="720"/>
      </w:pPr>
    </w:lvl>
  </w:abstractNum>
  <w:abstractNum w:abstractNumId="332">
    <w:nsid w:val="50132B4C"/>
    <w:multiLevelType w:val="hybridMultilevel"/>
    <w:tmpl w:val="7974BC70"/>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3">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334">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335">
    <w:nsid w:val="50D82920"/>
    <w:multiLevelType w:val="hybridMultilevel"/>
    <w:tmpl w:val="E1E22A0C"/>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6">
    <w:nsid w:val="50E947C6"/>
    <w:multiLevelType w:val="hybridMultilevel"/>
    <w:tmpl w:val="6B6A5728"/>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44E69930">
      <w:start w:val="1"/>
      <w:numFmt w:val="chineseCountingThousand"/>
      <w:lvlRestart w:val="0"/>
      <w:lvlText w:val="(%2)"/>
      <w:lvlJc w:val="right"/>
      <w:pPr>
        <w:tabs>
          <w:tab w:val="num" w:pos="-144"/>
        </w:tabs>
        <w:ind w:left="-144" w:hanging="170"/>
      </w:pPr>
      <w:rPr>
        <w:rFonts w:ascii="Times New Roman" w:hAnsi="Times New Roman"/>
        <w:sz w:val="20"/>
      </w:r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3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33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339">
    <w:nsid w:val="52596C38"/>
    <w:multiLevelType w:val="hybridMultilevel"/>
    <w:tmpl w:val="1D76B080"/>
    <w:lvl w:ilvl="0" w:tplc="EF9242B8">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40">
    <w:nsid w:val="52997C65"/>
    <w:multiLevelType w:val="singleLevel"/>
    <w:tmpl w:val="9676914A"/>
    <w:lvl w:ilvl="0">
      <w:start w:val="1"/>
      <w:numFmt w:val="lowerLetter"/>
      <w:lvlText w:val="%1)"/>
      <w:legacy w:legacy="1" w:legacySpace="0" w:legacyIndent="360"/>
      <w:lvlJc w:val="left"/>
      <w:pPr>
        <w:ind w:left="927" w:hanging="360"/>
      </w:pPr>
    </w:lvl>
  </w:abstractNum>
  <w:abstractNum w:abstractNumId="341">
    <w:nsid w:val="529E38F0"/>
    <w:multiLevelType w:val="hybridMultilevel"/>
    <w:tmpl w:val="0AE65BAE"/>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2">
    <w:nsid w:val="52BA70BC"/>
    <w:multiLevelType w:val="hybridMultilevel"/>
    <w:tmpl w:val="AF24AAD0"/>
    <w:lvl w:ilvl="0" w:tplc="891A43AC">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43">
    <w:nsid w:val="52C2248A"/>
    <w:multiLevelType w:val="hybridMultilevel"/>
    <w:tmpl w:val="0E32D0A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CBA61B94">
      <w:start w:val="1"/>
      <w:numFmt w:val="chineseCountingThousand"/>
      <w:lvlRestart w:val="0"/>
      <w:lvlText w:val="(%2)"/>
      <w:lvlJc w:val="right"/>
      <w:pPr>
        <w:tabs>
          <w:tab w:val="num" w:pos="650"/>
        </w:tabs>
        <w:ind w:left="650" w:hanging="170"/>
      </w:pPr>
      <w:rPr>
        <w:rFonts w:ascii="Times New Roman" w:hAnsi="Times New Roman"/>
        <w:sz w:val="20"/>
      </w:rPr>
    </w:lvl>
    <w:lvl w:ilvl="2" w:tplc="9D60FA0E">
      <w:start w:val="1"/>
      <w:numFmt w:val="lowerLetter"/>
      <w:lvlRestart w:val="0"/>
      <w:lvlText w:val="(%3)"/>
      <w:lvlJc w:val="right"/>
      <w:pPr>
        <w:tabs>
          <w:tab w:val="num" w:pos="1187"/>
        </w:tabs>
        <w:ind w:left="1187" w:hanging="227"/>
      </w:pPr>
      <w:rPr>
        <w:rFonts w:ascii="Times New Roman" w:hAnsi="Times New Roman"/>
        <w:b w:val="0"/>
        <w:i w:val="0"/>
        <w:sz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4">
    <w:nsid w:val="53010D35"/>
    <w:multiLevelType w:val="hybridMultilevel"/>
    <w:tmpl w:val="CA18B2A8"/>
    <w:lvl w:ilvl="0" w:tplc="E1C01B90">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45">
    <w:nsid w:val="53570A56"/>
    <w:multiLevelType w:val="hybridMultilevel"/>
    <w:tmpl w:val="658E6EC4"/>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346">
    <w:nsid w:val="53F649EF"/>
    <w:multiLevelType w:val="hybridMultilevel"/>
    <w:tmpl w:val="651446AE"/>
    <w:lvl w:ilvl="0" w:tplc="01B8489E">
      <w:start w:val="1"/>
      <w:numFmt w:val="lowerLetter"/>
      <w:lvlText w:val="(%1)"/>
      <w:lvlJc w:val="left"/>
      <w:pPr>
        <w:tabs>
          <w:tab w:val="num" w:pos="1527"/>
        </w:tabs>
        <w:ind w:left="1527" w:hanging="9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47">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348">
    <w:nsid w:val="546206FD"/>
    <w:multiLevelType w:val="hybridMultilevel"/>
    <w:tmpl w:val="DDD8562C"/>
    <w:lvl w:ilvl="0" w:tplc="FD2405D4">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49">
    <w:nsid w:val="547C6D00"/>
    <w:multiLevelType w:val="singleLevel"/>
    <w:tmpl w:val="EAC878CE"/>
    <w:lvl w:ilvl="0">
      <w:start w:val="1"/>
      <w:numFmt w:val="lowerLetter"/>
      <w:lvlText w:val="%1."/>
      <w:legacy w:legacy="1" w:legacySpace="0" w:legacyIndent="1636"/>
      <w:lvlJc w:val="left"/>
      <w:pPr>
        <w:ind w:left="2487" w:hanging="1636"/>
      </w:pPr>
    </w:lvl>
  </w:abstractNum>
  <w:abstractNum w:abstractNumId="350">
    <w:nsid w:val="54CE2854"/>
    <w:multiLevelType w:val="hybridMultilevel"/>
    <w:tmpl w:val="BBF656B4"/>
    <w:lvl w:ilvl="0" w:tplc="9D60FA0E">
      <w:start w:val="1"/>
      <w:numFmt w:val="lowerLetter"/>
      <w:lvlRestart w:val="0"/>
      <w:lvlText w:val="(%1)"/>
      <w:lvlJc w:val="right"/>
      <w:pPr>
        <w:tabs>
          <w:tab w:val="num" w:pos="2571"/>
        </w:tabs>
        <w:ind w:left="2571" w:hanging="227"/>
      </w:pPr>
      <w:rPr>
        <w:rFonts w:ascii="Times New Roman" w:hAnsi="Times New Roman"/>
        <w:b w:val="0"/>
        <w:i w:val="0"/>
        <w:sz w:val="24"/>
      </w:rPr>
    </w:lvl>
    <w:lvl w:ilvl="1" w:tplc="04090019" w:tentative="1">
      <w:start w:val="1"/>
      <w:numFmt w:val="ideographTraditional"/>
      <w:lvlText w:val="%2、"/>
      <w:lvlJc w:val="left"/>
      <w:pPr>
        <w:tabs>
          <w:tab w:val="num" w:pos="2000"/>
        </w:tabs>
        <w:ind w:left="2000" w:hanging="480"/>
      </w:pPr>
    </w:lvl>
    <w:lvl w:ilvl="2" w:tplc="0409001B">
      <w:start w:val="1"/>
      <w:numFmt w:val="lowerRoman"/>
      <w:lvlText w:val="%3."/>
      <w:lvlJc w:val="right"/>
      <w:pPr>
        <w:tabs>
          <w:tab w:val="num" w:pos="2480"/>
        </w:tabs>
        <w:ind w:left="2480" w:hanging="480"/>
      </w:p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351">
    <w:nsid w:val="54E35505"/>
    <w:multiLevelType w:val="hybridMultilevel"/>
    <w:tmpl w:val="EDCA0AE4"/>
    <w:lvl w:ilvl="0" w:tplc="2132E9DA">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352">
    <w:nsid w:val="54E77246"/>
    <w:multiLevelType w:val="hybridMultilevel"/>
    <w:tmpl w:val="57BC6290"/>
    <w:lvl w:ilvl="0" w:tplc="834C6FCC">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3">
    <w:nsid w:val="55282097"/>
    <w:multiLevelType w:val="hybridMultilevel"/>
    <w:tmpl w:val="C570DA56"/>
    <w:lvl w:ilvl="0" w:tplc="3112E51A">
      <w:start w:val="2"/>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54">
    <w:nsid w:val="556E2CA7"/>
    <w:multiLevelType w:val="hybridMultilevel"/>
    <w:tmpl w:val="E26CDA1C"/>
    <w:lvl w:ilvl="0" w:tplc="AE64B1C8">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55">
    <w:nsid w:val="55C353DD"/>
    <w:multiLevelType w:val="hybridMultilevel"/>
    <w:tmpl w:val="F60E031E"/>
    <w:lvl w:ilvl="0" w:tplc="74E85EE4">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356">
    <w:nsid w:val="5619457F"/>
    <w:multiLevelType w:val="hybridMultilevel"/>
    <w:tmpl w:val="14AC473C"/>
    <w:lvl w:ilvl="0" w:tplc="D1C650D2">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57">
    <w:nsid w:val="56694894"/>
    <w:multiLevelType w:val="hybridMultilevel"/>
    <w:tmpl w:val="2A960DC6"/>
    <w:lvl w:ilvl="0" w:tplc="FE244A6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8">
    <w:nsid w:val="569C6A2F"/>
    <w:multiLevelType w:val="hybridMultilevel"/>
    <w:tmpl w:val="CA8882C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9">
    <w:nsid w:val="56AD044B"/>
    <w:multiLevelType w:val="hybridMultilevel"/>
    <w:tmpl w:val="BC8CC834"/>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0">
    <w:nsid w:val="56C03D3F"/>
    <w:multiLevelType w:val="hybridMultilevel"/>
    <w:tmpl w:val="A94C5736"/>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1">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362">
    <w:nsid w:val="57581CEE"/>
    <w:multiLevelType w:val="hybridMultilevel"/>
    <w:tmpl w:val="D6D66A3A"/>
    <w:lvl w:ilvl="0" w:tplc="6DF81B40">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63">
    <w:nsid w:val="579C526C"/>
    <w:multiLevelType w:val="hybridMultilevel"/>
    <w:tmpl w:val="9162D554"/>
    <w:lvl w:ilvl="0" w:tplc="74E85EE4">
      <w:start w:val="1"/>
      <w:numFmt w:val="lowerLetter"/>
      <w:lvlRestart w:val="0"/>
      <w:lvlText w:val="(%1)"/>
      <w:lvlJc w:val="right"/>
      <w:pPr>
        <w:tabs>
          <w:tab w:val="num" w:pos="2070"/>
        </w:tabs>
        <w:ind w:left="2070" w:hanging="227"/>
      </w:pPr>
      <w:rPr>
        <w:rFonts w:ascii="Times New Roman" w:hAnsi="Times New Roman" w:hint="eastAsia"/>
        <w:b w:val="0"/>
        <w:i w:val="0"/>
        <w:sz w:val="24"/>
      </w:rPr>
    </w:lvl>
    <w:lvl w:ilvl="1" w:tplc="04090019" w:tentative="1">
      <w:start w:val="1"/>
      <w:numFmt w:val="ideographTraditional"/>
      <w:lvlText w:val="%2、"/>
      <w:lvlJc w:val="left"/>
      <w:pPr>
        <w:tabs>
          <w:tab w:val="num" w:pos="1499"/>
        </w:tabs>
        <w:ind w:left="1499" w:hanging="480"/>
      </w:pPr>
    </w:lvl>
    <w:lvl w:ilvl="2" w:tplc="0409001B" w:tentative="1">
      <w:start w:val="1"/>
      <w:numFmt w:val="lowerRoman"/>
      <w:lvlText w:val="%3."/>
      <w:lvlJc w:val="right"/>
      <w:pPr>
        <w:tabs>
          <w:tab w:val="num" w:pos="1979"/>
        </w:tabs>
        <w:ind w:left="1979" w:hanging="480"/>
      </w:pPr>
    </w:lvl>
    <w:lvl w:ilvl="3" w:tplc="0409000F" w:tentative="1">
      <w:start w:val="1"/>
      <w:numFmt w:val="decimal"/>
      <w:lvlText w:val="%4."/>
      <w:lvlJc w:val="left"/>
      <w:pPr>
        <w:tabs>
          <w:tab w:val="num" w:pos="2459"/>
        </w:tabs>
        <w:ind w:left="2459" w:hanging="480"/>
      </w:pPr>
    </w:lvl>
    <w:lvl w:ilvl="4" w:tplc="04090019" w:tentative="1">
      <w:start w:val="1"/>
      <w:numFmt w:val="ideographTraditional"/>
      <w:lvlText w:val="%5、"/>
      <w:lvlJc w:val="left"/>
      <w:pPr>
        <w:tabs>
          <w:tab w:val="num" w:pos="2939"/>
        </w:tabs>
        <w:ind w:left="2939" w:hanging="480"/>
      </w:pPr>
    </w:lvl>
    <w:lvl w:ilvl="5" w:tplc="0409001B" w:tentative="1">
      <w:start w:val="1"/>
      <w:numFmt w:val="lowerRoman"/>
      <w:lvlText w:val="%6."/>
      <w:lvlJc w:val="right"/>
      <w:pPr>
        <w:tabs>
          <w:tab w:val="num" w:pos="3419"/>
        </w:tabs>
        <w:ind w:left="3419" w:hanging="480"/>
      </w:pPr>
    </w:lvl>
    <w:lvl w:ilvl="6" w:tplc="0409000F" w:tentative="1">
      <w:start w:val="1"/>
      <w:numFmt w:val="decimal"/>
      <w:lvlText w:val="%7."/>
      <w:lvlJc w:val="left"/>
      <w:pPr>
        <w:tabs>
          <w:tab w:val="num" w:pos="3899"/>
        </w:tabs>
        <w:ind w:left="3899" w:hanging="480"/>
      </w:pPr>
    </w:lvl>
    <w:lvl w:ilvl="7" w:tplc="04090019" w:tentative="1">
      <w:start w:val="1"/>
      <w:numFmt w:val="ideographTraditional"/>
      <w:lvlText w:val="%8、"/>
      <w:lvlJc w:val="left"/>
      <w:pPr>
        <w:tabs>
          <w:tab w:val="num" w:pos="4379"/>
        </w:tabs>
        <w:ind w:left="4379" w:hanging="480"/>
      </w:pPr>
    </w:lvl>
    <w:lvl w:ilvl="8" w:tplc="0409001B" w:tentative="1">
      <w:start w:val="1"/>
      <w:numFmt w:val="lowerRoman"/>
      <w:lvlText w:val="%9."/>
      <w:lvlJc w:val="right"/>
      <w:pPr>
        <w:tabs>
          <w:tab w:val="num" w:pos="4859"/>
        </w:tabs>
        <w:ind w:left="4859" w:hanging="480"/>
      </w:pPr>
    </w:lvl>
  </w:abstractNum>
  <w:abstractNum w:abstractNumId="364">
    <w:nsid w:val="57E8318B"/>
    <w:multiLevelType w:val="hybridMultilevel"/>
    <w:tmpl w:val="B4E64F00"/>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5">
    <w:nsid w:val="581F615F"/>
    <w:multiLevelType w:val="hybridMultilevel"/>
    <w:tmpl w:val="83D4F2D2"/>
    <w:lvl w:ilvl="0" w:tplc="74E85EE4">
      <w:start w:val="1"/>
      <w:numFmt w:val="lowerLetter"/>
      <w:lvlRestart w:val="0"/>
      <w:lvlText w:val="(%1)"/>
      <w:lvlJc w:val="right"/>
      <w:pPr>
        <w:tabs>
          <w:tab w:val="num" w:pos="2070"/>
        </w:tabs>
        <w:ind w:left="2070" w:hanging="227"/>
      </w:pPr>
      <w:rPr>
        <w:rFonts w:ascii="Times New Roman" w:hAnsi="Times New Roman" w:hint="eastAsia"/>
        <w:b w:val="0"/>
        <w:i w:val="0"/>
        <w:sz w:val="24"/>
      </w:rPr>
    </w:lvl>
    <w:lvl w:ilvl="1" w:tplc="04090019">
      <w:start w:val="1"/>
      <w:numFmt w:val="ideographTraditional"/>
      <w:lvlText w:val="%2、"/>
      <w:lvlJc w:val="left"/>
      <w:pPr>
        <w:tabs>
          <w:tab w:val="num" w:pos="1499"/>
        </w:tabs>
        <w:ind w:left="1499" w:hanging="480"/>
      </w:pPr>
    </w:lvl>
    <w:lvl w:ilvl="2" w:tplc="0409001B" w:tentative="1">
      <w:start w:val="1"/>
      <w:numFmt w:val="lowerRoman"/>
      <w:lvlText w:val="%3."/>
      <w:lvlJc w:val="right"/>
      <w:pPr>
        <w:tabs>
          <w:tab w:val="num" w:pos="1979"/>
        </w:tabs>
        <w:ind w:left="1979" w:hanging="480"/>
      </w:pPr>
    </w:lvl>
    <w:lvl w:ilvl="3" w:tplc="0409000F" w:tentative="1">
      <w:start w:val="1"/>
      <w:numFmt w:val="decimal"/>
      <w:lvlText w:val="%4."/>
      <w:lvlJc w:val="left"/>
      <w:pPr>
        <w:tabs>
          <w:tab w:val="num" w:pos="2459"/>
        </w:tabs>
        <w:ind w:left="2459" w:hanging="480"/>
      </w:pPr>
    </w:lvl>
    <w:lvl w:ilvl="4" w:tplc="04090019" w:tentative="1">
      <w:start w:val="1"/>
      <w:numFmt w:val="ideographTraditional"/>
      <w:lvlText w:val="%5、"/>
      <w:lvlJc w:val="left"/>
      <w:pPr>
        <w:tabs>
          <w:tab w:val="num" w:pos="2939"/>
        </w:tabs>
        <w:ind w:left="2939" w:hanging="480"/>
      </w:pPr>
    </w:lvl>
    <w:lvl w:ilvl="5" w:tplc="0409001B" w:tentative="1">
      <w:start w:val="1"/>
      <w:numFmt w:val="lowerRoman"/>
      <w:lvlText w:val="%6."/>
      <w:lvlJc w:val="right"/>
      <w:pPr>
        <w:tabs>
          <w:tab w:val="num" w:pos="3419"/>
        </w:tabs>
        <w:ind w:left="3419" w:hanging="480"/>
      </w:pPr>
    </w:lvl>
    <w:lvl w:ilvl="6" w:tplc="0409000F" w:tentative="1">
      <w:start w:val="1"/>
      <w:numFmt w:val="decimal"/>
      <w:lvlText w:val="%7."/>
      <w:lvlJc w:val="left"/>
      <w:pPr>
        <w:tabs>
          <w:tab w:val="num" w:pos="3899"/>
        </w:tabs>
        <w:ind w:left="3899" w:hanging="480"/>
      </w:pPr>
    </w:lvl>
    <w:lvl w:ilvl="7" w:tplc="04090019" w:tentative="1">
      <w:start w:val="1"/>
      <w:numFmt w:val="ideographTraditional"/>
      <w:lvlText w:val="%8、"/>
      <w:lvlJc w:val="left"/>
      <w:pPr>
        <w:tabs>
          <w:tab w:val="num" w:pos="4379"/>
        </w:tabs>
        <w:ind w:left="4379" w:hanging="480"/>
      </w:pPr>
    </w:lvl>
    <w:lvl w:ilvl="8" w:tplc="0409001B" w:tentative="1">
      <w:start w:val="1"/>
      <w:numFmt w:val="lowerRoman"/>
      <w:lvlText w:val="%9."/>
      <w:lvlJc w:val="right"/>
      <w:pPr>
        <w:tabs>
          <w:tab w:val="num" w:pos="4859"/>
        </w:tabs>
        <w:ind w:left="4859" w:hanging="480"/>
      </w:pPr>
    </w:lvl>
  </w:abstractNum>
  <w:abstractNum w:abstractNumId="366">
    <w:nsid w:val="58DC466B"/>
    <w:multiLevelType w:val="hybridMultilevel"/>
    <w:tmpl w:val="53704F5E"/>
    <w:lvl w:ilvl="0" w:tplc="2EFA8CF0">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67">
    <w:nsid w:val="58FB6F76"/>
    <w:multiLevelType w:val="hybridMultilevel"/>
    <w:tmpl w:val="90FEF1D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8">
    <w:nsid w:val="591D6CB9"/>
    <w:multiLevelType w:val="hybridMultilevel"/>
    <w:tmpl w:val="8140EDC8"/>
    <w:lvl w:ilvl="0" w:tplc="B43CD9D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9">
    <w:nsid w:val="594032AF"/>
    <w:multiLevelType w:val="hybridMultilevel"/>
    <w:tmpl w:val="3320AED8"/>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1">
    <w:nsid w:val="59A677EB"/>
    <w:multiLevelType w:val="hybridMultilevel"/>
    <w:tmpl w:val="3676A612"/>
    <w:lvl w:ilvl="0" w:tplc="1A463F00">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72">
    <w:nsid w:val="59BA7C90"/>
    <w:multiLevelType w:val="hybridMultilevel"/>
    <w:tmpl w:val="0C48697C"/>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3">
    <w:nsid w:val="59F83A0F"/>
    <w:multiLevelType w:val="hybridMultilevel"/>
    <w:tmpl w:val="288E30D0"/>
    <w:lvl w:ilvl="0" w:tplc="AFCE1B22">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74">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375">
    <w:nsid w:val="5ACD3AB7"/>
    <w:multiLevelType w:val="singleLevel"/>
    <w:tmpl w:val="9676914A"/>
    <w:lvl w:ilvl="0">
      <w:start w:val="1"/>
      <w:numFmt w:val="lowerLetter"/>
      <w:lvlText w:val="%1)"/>
      <w:legacy w:legacy="1" w:legacySpace="0" w:legacyIndent="360"/>
      <w:lvlJc w:val="left"/>
      <w:pPr>
        <w:ind w:left="1080" w:hanging="360"/>
      </w:pPr>
    </w:lvl>
  </w:abstractNum>
  <w:abstractNum w:abstractNumId="37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7">
    <w:nsid w:val="5B2F6D1C"/>
    <w:multiLevelType w:val="hybridMultilevel"/>
    <w:tmpl w:val="4184F274"/>
    <w:lvl w:ilvl="0" w:tplc="9D60FA0E">
      <w:start w:val="1"/>
      <w:numFmt w:val="lowerLetter"/>
      <w:lvlRestart w:val="0"/>
      <w:lvlText w:val="(%1)"/>
      <w:lvlJc w:val="right"/>
      <w:pPr>
        <w:tabs>
          <w:tab w:val="num" w:pos="2571"/>
        </w:tabs>
        <w:ind w:left="2571" w:hanging="227"/>
      </w:pPr>
      <w:rPr>
        <w:rFonts w:ascii="Times New Roman" w:hAnsi="Times New Roman"/>
        <w:b w:val="0"/>
        <w:i w:val="0"/>
        <w:sz w:val="24"/>
      </w:rPr>
    </w:lvl>
    <w:lvl w:ilvl="1" w:tplc="04090019" w:tentative="1">
      <w:start w:val="1"/>
      <w:numFmt w:val="ideographTraditional"/>
      <w:lvlText w:val="%2、"/>
      <w:lvlJc w:val="left"/>
      <w:pPr>
        <w:tabs>
          <w:tab w:val="num" w:pos="2000"/>
        </w:tabs>
        <w:ind w:left="2000" w:hanging="480"/>
      </w:pPr>
    </w:lvl>
    <w:lvl w:ilvl="2" w:tplc="0409001B">
      <w:start w:val="1"/>
      <w:numFmt w:val="lowerRoman"/>
      <w:lvlText w:val="%3."/>
      <w:lvlJc w:val="right"/>
      <w:pPr>
        <w:tabs>
          <w:tab w:val="num" w:pos="2480"/>
        </w:tabs>
        <w:ind w:left="2480" w:hanging="480"/>
      </w:pPr>
    </w:lvl>
    <w:lvl w:ilvl="3" w:tplc="0409000F" w:tentative="1">
      <w:start w:val="1"/>
      <w:numFmt w:val="decimal"/>
      <w:lvlText w:val="%4."/>
      <w:lvlJc w:val="left"/>
      <w:pPr>
        <w:tabs>
          <w:tab w:val="num" w:pos="2960"/>
        </w:tabs>
        <w:ind w:left="2960" w:hanging="480"/>
      </w:pPr>
    </w:lvl>
    <w:lvl w:ilvl="4" w:tplc="04090019" w:tentative="1">
      <w:start w:val="1"/>
      <w:numFmt w:val="ideographTraditional"/>
      <w:lvlText w:val="%5、"/>
      <w:lvlJc w:val="left"/>
      <w:pPr>
        <w:tabs>
          <w:tab w:val="num" w:pos="3440"/>
        </w:tabs>
        <w:ind w:left="3440" w:hanging="480"/>
      </w:pPr>
    </w:lvl>
    <w:lvl w:ilvl="5" w:tplc="0409001B" w:tentative="1">
      <w:start w:val="1"/>
      <w:numFmt w:val="lowerRoman"/>
      <w:lvlText w:val="%6."/>
      <w:lvlJc w:val="right"/>
      <w:pPr>
        <w:tabs>
          <w:tab w:val="num" w:pos="3920"/>
        </w:tabs>
        <w:ind w:left="3920" w:hanging="480"/>
      </w:pPr>
    </w:lvl>
    <w:lvl w:ilvl="6" w:tplc="0409000F" w:tentative="1">
      <w:start w:val="1"/>
      <w:numFmt w:val="decimal"/>
      <w:lvlText w:val="%7."/>
      <w:lvlJc w:val="left"/>
      <w:pPr>
        <w:tabs>
          <w:tab w:val="num" w:pos="4400"/>
        </w:tabs>
        <w:ind w:left="4400" w:hanging="480"/>
      </w:pPr>
    </w:lvl>
    <w:lvl w:ilvl="7" w:tplc="04090019" w:tentative="1">
      <w:start w:val="1"/>
      <w:numFmt w:val="ideographTraditional"/>
      <w:lvlText w:val="%8、"/>
      <w:lvlJc w:val="left"/>
      <w:pPr>
        <w:tabs>
          <w:tab w:val="num" w:pos="4880"/>
        </w:tabs>
        <w:ind w:left="4880" w:hanging="480"/>
      </w:pPr>
    </w:lvl>
    <w:lvl w:ilvl="8" w:tplc="0409001B" w:tentative="1">
      <w:start w:val="1"/>
      <w:numFmt w:val="lowerRoman"/>
      <w:lvlText w:val="%9."/>
      <w:lvlJc w:val="right"/>
      <w:pPr>
        <w:tabs>
          <w:tab w:val="num" w:pos="5360"/>
        </w:tabs>
        <w:ind w:left="5360" w:hanging="480"/>
      </w:pPr>
    </w:lvl>
  </w:abstractNum>
  <w:abstractNum w:abstractNumId="378">
    <w:nsid w:val="5B4F26D5"/>
    <w:multiLevelType w:val="hybridMultilevel"/>
    <w:tmpl w:val="0680A7EC"/>
    <w:lvl w:ilvl="0" w:tplc="74E85E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9">
    <w:nsid w:val="5B563050"/>
    <w:multiLevelType w:val="hybridMultilevel"/>
    <w:tmpl w:val="70DE525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0">
    <w:nsid w:val="5B742A5E"/>
    <w:multiLevelType w:val="hybridMultilevel"/>
    <w:tmpl w:val="3DB4A224"/>
    <w:lvl w:ilvl="0" w:tplc="74E85EE4">
      <w:start w:val="1"/>
      <w:numFmt w:val="lowerLetter"/>
      <w:lvlRestart w:val="0"/>
      <w:lvlText w:val="(%1)"/>
      <w:lvlJc w:val="right"/>
      <w:pPr>
        <w:tabs>
          <w:tab w:val="num" w:pos="2070"/>
        </w:tabs>
        <w:ind w:left="2070" w:hanging="227"/>
      </w:pPr>
      <w:rPr>
        <w:rFonts w:ascii="Times New Roman" w:hAnsi="Times New Roman" w:hint="eastAsia"/>
        <w:b w:val="0"/>
        <w:i w:val="0"/>
        <w:sz w:val="24"/>
      </w:rPr>
    </w:lvl>
    <w:lvl w:ilvl="1" w:tplc="04090019">
      <w:start w:val="1"/>
      <w:numFmt w:val="ideographTraditional"/>
      <w:lvlText w:val="%2、"/>
      <w:lvlJc w:val="left"/>
      <w:pPr>
        <w:tabs>
          <w:tab w:val="num" w:pos="1499"/>
        </w:tabs>
        <w:ind w:left="1499" w:hanging="480"/>
      </w:pPr>
    </w:lvl>
    <w:lvl w:ilvl="2" w:tplc="0409001B" w:tentative="1">
      <w:start w:val="1"/>
      <w:numFmt w:val="lowerRoman"/>
      <w:lvlText w:val="%3."/>
      <w:lvlJc w:val="right"/>
      <w:pPr>
        <w:tabs>
          <w:tab w:val="num" w:pos="1979"/>
        </w:tabs>
        <w:ind w:left="1979" w:hanging="480"/>
      </w:pPr>
    </w:lvl>
    <w:lvl w:ilvl="3" w:tplc="0409000F" w:tentative="1">
      <w:start w:val="1"/>
      <w:numFmt w:val="decimal"/>
      <w:lvlText w:val="%4."/>
      <w:lvlJc w:val="left"/>
      <w:pPr>
        <w:tabs>
          <w:tab w:val="num" w:pos="2459"/>
        </w:tabs>
        <w:ind w:left="2459" w:hanging="480"/>
      </w:pPr>
    </w:lvl>
    <w:lvl w:ilvl="4" w:tplc="04090019" w:tentative="1">
      <w:start w:val="1"/>
      <w:numFmt w:val="ideographTraditional"/>
      <w:lvlText w:val="%5、"/>
      <w:lvlJc w:val="left"/>
      <w:pPr>
        <w:tabs>
          <w:tab w:val="num" w:pos="2939"/>
        </w:tabs>
        <w:ind w:left="2939" w:hanging="480"/>
      </w:pPr>
    </w:lvl>
    <w:lvl w:ilvl="5" w:tplc="0409001B" w:tentative="1">
      <w:start w:val="1"/>
      <w:numFmt w:val="lowerRoman"/>
      <w:lvlText w:val="%6."/>
      <w:lvlJc w:val="right"/>
      <w:pPr>
        <w:tabs>
          <w:tab w:val="num" w:pos="3419"/>
        </w:tabs>
        <w:ind w:left="3419" w:hanging="480"/>
      </w:pPr>
    </w:lvl>
    <w:lvl w:ilvl="6" w:tplc="0409000F" w:tentative="1">
      <w:start w:val="1"/>
      <w:numFmt w:val="decimal"/>
      <w:lvlText w:val="%7."/>
      <w:lvlJc w:val="left"/>
      <w:pPr>
        <w:tabs>
          <w:tab w:val="num" w:pos="3899"/>
        </w:tabs>
        <w:ind w:left="3899" w:hanging="480"/>
      </w:pPr>
    </w:lvl>
    <w:lvl w:ilvl="7" w:tplc="04090019" w:tentative="1">
      <w:start w:val="1"/>
      <w:numFmt w:val="ideographTraditional"/>
      <w:lvlText w:val="%8、"/>
      <w:lvlJc w:val="left"/>
      <w:pPr>
        <w:tabs>
          <w:tab w:val="num" w:pos="4379"/>
        </w:tabs>
        <w:ind w:left="4379" w:hanging="480"/>
      </w:pPr>
    </w:lvl>
    <w:lvl w:ilvl="8" w:tplc="0409001B" w:tentative="1">
      <w:start w:val="1"/>
      <w:numFmt w:val="lowerRoman"/>
      <w:lvlText w:val="%9."/>
      <w:lvlJc w:val="right"/>
      <w:pPr>
        <w:tabs>
          <w:tab w:val="num" w:pos="4859"/>
        </w:tabs>
        <w:ind w:left="4859" w:hanging="480"/>
      </w:pPr>
    </w:lvl>
  </w:abstractNum>
  <w:abstractNum w:abstractNumId="381">
    <w:nsid w:val="5BA62C91"/>
    <w:multiLevelType w:val="hybridMultilevel"/>
    <w:tmpl w:val="FB8AA652"/>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82">
    <w:nsid w:val="5BCD001B"/>
    <w:multiLevelType w:val="hybridMultilevel"/>
    <w:tmpl w:val="95AA4660"/>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384">
    <w:nsid w:val="5C446ACB"/>
    <w:multiLevelType w:val="hybridMultilevel"/>
    <w:tmpl w:val="53D4404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85">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7">
    <w:nsid w:val="5CD92A2F"/>
    <w:multiLevelType w:val="hybridMultilevel"/>
    <w:tmpl w:val="2EA02512"/>
    <w:lvl w:ilvl="0" w:tplc="74E85E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8">
    <w:nsid w:val="5D606CE1"/>
    <w:multiLevelType w:val="singleLevel"/>
    <w:tmpl w:val="99B4283A"/>
    <w:lvl w:ilvl="0">
      <w:start w:val="1"/>
      <w:numFmt w:val="decimal"/>
      <w:lvlText w:val="(%1) "/>
      <w:legacy w:legacy="1" w:legacySpace="0" w:legacyIndent="360"/>
      <w:lvlJc w:val="left"/>
      <w:pPr>
        <w:ind w:left="1080" w:hanging="360"/>
      </w:pPr>
      <w:rPr>
        <w:b/>
        <w:sz w:val="24"/>
      </w:rPr>
    </w:lvl>
  </w:abstractNum>
  <w:abstractNum w:abstractNumId="389">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0">
    <w:nsid w:val="5D693C31"/>
    <w:multiLevelType w:val="hybridMultilevel"/>
    <w:tmpl w:val="D094739A"/>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1">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392">
    <w:nsid w:val="5E9A7FB0"/>
    <w:multiLevelType w:val="singleLevel"/>
    <w:tmpl w:val="9676914A"/>
    <w:lvl w:ilvl="0">
      <w:start w:val="4"/>
      <w:numFmt w:val="lowerLetter"/>
      <w:lvlText w:val="%1)"/>
      <w:legacy w:legacy="1" w:legacySpace="0" w:legacyIndent="360"/>
      <w:lvlJc w:val="left"/>
      <w:pPr>
        <w:ind w:left="927" w:hanging="360"/>
      </w:pPr>
    </w:lvl>
  </w:abstractNum>
  <w:abstractNum w:abstractNumId="393">
    <w:nsid w:val="5ECB6527"/>
    <w:multiLevelType w:val="hybridMultilevel"/>
    <w:tmpl w:val="99387182"/>
    <w:lvl w:ilvl="0" w:tplc="9312C714">
      <w:start w:val="24"/>
      <w:numFmt w:val="decimal"/>
      <w:lvlText w:val="%1."/>
      <w:lvlJc w:val="left"/>
      <w:pPr>
        <w:tabs>
          <w:tab w:val="num" w:pos="360"/>
        </w:tabs>
        <w:ind w:left="0" w:firstLine="0"/>
      </w:pPr>
      <w:rPr>
        <w:rFonts w:hint="default"/>
      </w:rPr>
    </w:lvl>
    <w:lvl w:ilvl="1" w:tplc="EB4A007C">
      <w:start w:val="60"/>
      <w:numFmt w:val="decimal"/>
      <w:lvlText w:val="%2."/>
      <w:lvlJc w:val="left"/>
      <w:pPr>
        <w:tabs>
          <w:tab w:val="num" w:pos="360"/>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4">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395">
    <w:nsid w:val="5F307CB2"/>
    <w:multiLevelType w:val="singleLevel"/>
    <w:tmpl w:val="9676914A"/>
    <w:lvl w:ilvl="0">
      <w:start w:val="3"/>
      <w:numFmt w:val="lowerLetter"/>
      <w:lvlText w:val="%1)"/>
      <w:legacy w:legacy="1" w:legacySpace="0" w:legacyIndent="360"/>
      <w:lvlJc w:val="left"/>
      <w:pPr>
        <w:ind w:left="927" w:hanging="360"/>
      </w:pPr>
    </w:lvl>
  </w:abstractNum>
  <w:abstractNum w:abstractNumId="396">
    <w:nsid w:val="5F935D65"/>
    <w:multiLevelType w:val="hybridMultilevel"/>
    <w:tmpl w:val="4DB68D50"/>
    <w:lvl w:ilvl="0" w:tplc="B43CD9D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7">
    <w:nsid w:val="5F9B1A3A"/>
    <w:multiLevelType w:val="hybridMultilevel"/>
    <w:tmpl w:val="92EE2208"/>
    <w:lvl w:ilvl="0" w:tplc="D2849250">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398">
    <w:nsid w:val="600571C9"/>
    <w:multiLevelType w:val="hybridMultilevel"/>
    <w:tmpl w:val="031A561C"/>
    <w:lvl w:ilvl="0" w:tplc="9D60FA0E">
      <w:start w:val="1"/>
      <w:numFmt w:val="lowerLetter"/>
      <w:lvlRestart w:val="0"/>
      <w:lvlText w:val="(%1)"/>
      <w:lvlJc w:val="right"/>
      <w:pPr>
        <w:tabs>
          <w:tab w:val="num" w:pos="3061"/>
        </w:tabs>
        <w:ind w:left="3061" w:hanging="227"/>
      </w:pPr>
      <w:rPr>
        <w:rFonts w:ascii="Times New Roman" w:hAnsi="Times New Roman"/>
        <w:b w:val="0"/>
        <w:i w:val="0"/>
        <w:sz w:val="24"/>
      </w:rPr>
    </w:lvl>
    <w:lvl w:ilvl="1" w:tplc="04090019" w:tentative="1">
      <w:start w:val="1"/>
      <w:numFmt w:val="ideographTraditional"/>
      <w:lvlText w:val="%2、"/>
      <w:lvlJc w:val="left"/>
      <w:pPr>
        <w:tabs>
          <w:tab w:val="num" w:pos="2490"/>
        </w:tabs>
        <w:ind w:left="2490" w:hanging="480"/>
      </w:pPr>
    </w:lvl>
    <w:lvl w:ilvl="2" w:tplc="0409001B" w:tentative="1">
      <w:start w:val="1"/>
      <w:numFmt w:val="lowerRoman"/>
      <w:lvlText w:val="%3."/>
      <w:lvlJc w:val="right"/>
      <w:pPr>
        <w:tabs>
          <w:tab w:val="num" w:pos="2970"/>
        </w:tabs>
        <w:ind w:left="2970" w:hanging="480"/>
      </w:pPr>
    </w:lvl>
    <w:lvl w:ilvl="3" w:tplc="0409000F">
      <w:start w:val="1"/>
      <w:numFmt w:val="decimal"/>
      <w:lvlText w:val="%4."/>
      <w:lvlJc w:val="left"/>
      <w:pPr>
        <w:tabs>
          <w:tab w:val="num" w:pos="3450"/>
        </w:tabs>
        <w:ind w:left="3450" w:hanging="480"/>
      </w:pPr>
    </w:lvl>
    <w:lvl w:ilvl="4" w:tplc="04090019" w:tentative="1">
      <w:start w:val="1"/>
      <w:numFmt w:val="ideographTraditional"/>
      <w:lvlText w:val="%5、"/>
      <w:lvlJc w:val="left"/>
      <w:pPr>
        <w:tabs>
          <w:tab w:val="num" w:pos="3930"/>
        </w:tabs>
        <w:ind w:left="3930" w:hanging="480"/>
      </w:pPr>
    </w:lvl>
    <w:lvl w:ilvl="5" w:tplc="0409001B" w:tentative="1">
      <w:start w:val="1"/>
      <w:numFmt w:val="lowerRoman"/>
      <w:lvlText w:val="%6."/>
      <w:lvlJc w:val="right"/>
      <w:pPr>
        <w:tabs>
          <w:tab w:val="num" w:pos="4410"/>
        </w:tabs>
        <w:ind w:left="4410" w:hanging="480"/>
      </w:pPr>
    </w:lvl>
    <w:lvl w:ilvl="6" w:tplc="0409000F" w:tentative="1">
      <w:start w:val="1"/>
      <w:numFmt w:val="decimal"/>
      <w:lvlText w:val="%7."/>
      <w:lvlJc w:val="left"/>
      <w:pPr>
        <w:tabs>
          <w:tab w:val="num" w:pos="4890"/>
        </w:tabs>
        <w:ind w:left="4890" w:hanging="480"/>
      </w:pPr>
    </w:lvl>
    <w:lvl w:ilvl="7" w:tplc="04090019" w:tentative="1">
      <w:start w:val="1"/>
      <w:numFmt w:val="ideographTraditional"/>
      <w:lvlText w:val="%8、"/>
      <w:lvlJc w:val="left"/>
      <w:pPr>
        <w:tabs>
          <w:tab w:val="num" w:pos="5370"/>
        </w:tabs>
        <w:ind w:left="5370" w:hanging="480"/>
      </w:pPr>
    </w:lvl>
    <w:lvl w:ilvl="8" w:tplc="0409001B" w:tentative="1">
      <w:start w:val="1"/>
      <w:numFmt w:val="lowerRoman"/>
      <w:lvlText w:val="%9."/>
      <w:lvlJc w:val="right"/>
      <w:pPr>
        <w:tabs>
          <w:tab w:val="num" w:pos="5850"/>
        </w:tabs>
        <w:ind w:left="5850" w:hanging="480"/>
      </w:pPr>
    </w:lvl>
  </w:abstractNum>
  <w:abstractNum w:abstractNumId="399">
    <w:nsid w:val="602F2FB5"/>
    <w:multiLevelType w:val="hybridMultilevel"/>
    <w:tmpl w:val="D1681398"/>
    <w:lvl w:ilvl="0" w:tplc="B43CD9D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0">
    <w:nsid w:val="603D4293"/>
    <w:multiLevelType w:val="hybridMultilevel"/>
    <w:tmpl w:val="8AF8F1E6"/>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1">
    <w:nsid w:val="609F6F5E"/>
    <w:multiLevelType w:val="hybridMultilevel"/>
    <w:tmpl w:val="5B0A1F8C"/>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2">
    <w:nsid w:val="60B96D78"/>
    <w:multiLevelType w:val="hybridMultilevel"/>
    <w:tmpl w:val="C3FADDB4"/>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3">
    <w:nsid w:val="613E5F0D"/>
    <w:multiLevelType w:val="hybridMultilevel"/>
    <w:tmpl w:val="864230A0"/>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04">
    <w:nsid w:val="6194332E"/>
    <w:multiLevelType w:val="hybridMultilevel"/>
    <w:tmpl w:val="16B0DB66"/>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520AC084">
      <w:start w:val="1"/>
      <w:numFmt w:val="lowerLetter"/>
      <w:lvlText w:val="(%2)"/>
      <w:lvlJc w:val="left"/>
      <w:pPr>
        <w:tabs>
          <w:tab w:val="num" w:pos="46"/>
        </w:tabs>
        <w:ind w:left="46" w:hanging="360"/>
      </w:pPr>
      <w:rPr>
        <w:rFonts w:hint="default"/>
      </w:r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05">
    <w:nsid w:val="62133E9F"/>
    <w:multiLevelType w:val="hybridMultilevel"/>
    <w:tmpl w:val="49F6B6C6"/>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6">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7">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408">
    <w:nsid w:val="62D67353"/>
    <w:multiLevelType w:val="hybridMultilevel"/>
    <w:tmpl w:val="4A3C4538"/>
    <w:lvl w:ilvl="0" w:tplc="58786ADE">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09">
    <w:nsid w:val="63FC7E42"/>
    <w:multiLevelType w:val="singleLevel"/>
    <w:tmpl w:val="9676914A"/>
    <w:lvl w:ilvl="0">
      <w:start w:val="1"/>
      <w:numFmt w:val="lowerLetter"/>
      <w:lvlText w:val="%1)"/>
      <w:legacy w:legacy="1" w:legacySpace="0" w:legacyIndent="360"/>
      <w:lvlJc w:val="left"/>
      <w:pPr>
        <w:ind w:left="927" w:hanging="360"/>
      </w:pPr>
    </w:lvl>
  </w:abstractNum>
  <w:abstractNum w:abstractNumId="41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411">
    <w:nsid w:val="64A67050"/>
    <w:multiLevelType w:val="hybridMultilevel"/>
    <w:tmpl w:val="D834D3EA"/>
    <w:lvl w:ilvl="0" w:tplc="9FC4B4CE">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12">
    <w:nsid w:val="64AA0A56"/>
    <w:multiLevelType w:val="hybridMultilevel"/>
    <w:tmpl w:val="7A50CFAE"/>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13">
    <w:nsid w:val="64D51161"/>
    <w:multiLevelType w:val="hybridMultilevel"/>
    <w:tmpl w:val="28C46E24"/>
    <w:lvl w:ilvl="0" w:tplc="15D8860E">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14">
    <w:nsid w:val="65177A4A"/>
    <w:multiLevelType w:val="hybridMultilevel"/>
    <w:tmpl w:val="D74C023C"/>
    <w:lvl w:ilvl="0" w:tplc="9B3CD1D0">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15">
    <w:nsid w:val="652917F9"/>
    <w:multiLevelType w:val="hybridMultilevel"/>
    <w:tmpl w:val="326E24A0"/>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336AD6C">
      <w:start w:val="1"/>
      <w:numFmt w:val="lowerRoman"/>
      <w:lvlText w:val="（%2）"/>
      <w:lvlJc w:val="left"/>
      <w:pPr>
        <w:tabs>
          <w:tab w:val="num" w:pos="2070"/>
        </w:tabs>
        <w:ind w:left="2070" w:hanging="1080"/>
      </w:pPr>
      <w:rPr>
        <w:rFonts w:hint="default"/>
      </w:rPr>
    </w:lvl>
    <w:lvl w:ilvl="2" w:tplc="5580A9B0">
      <w:start w:val="1"/>
      <w:numFmt w:val="taiwaneseCountingThousand"/>
      <w:lvlText w:val="（%3）"/>
      <w:lvlJc w:val="left"/>
      <w:pPr>
        <w:tabs>
          <w:tab w:val="num" w:pos="2490"/>
        </w:tabs>
        <w:ind w:left="2490" w:hanging="1020"/>
      </w:pPr>
      <w:rPr>
        <w:rFonts w:hint="eastAsia"/>
      </w:r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16">
    <w:nsid w:val="65D15DFE"/>
    <w:multiLevelType w:val="singleLevel"/>
    <w:tmpl w:val="475E6D3C"/>
    <w:lvl w:ilvl="0">
      <w:start w:val="1"/>
      <w:numFmt w:val="decimal"/>
      <w:lvlText w:val="%1."/>
      <w:lvlJc w:val="left"/>
      <w:pPr>
        <w:tabs>
          <w:tab w:val="num" w:pos="360"/>
        </w:tabs>
        <w:ind w:left="360" w:hanging="360"/>
      </w:pPr>
    </w:lvl>
  </w:abstractNum>
  <w:abstractNum w:abstractNumId="417">
    <w:nsid w:val="65DF6175"/>
    <w:multiLevelType w:val="hybridMultilevel"/>
    <w:tmpl w:val="90EC469C"/>
    <w:lvl w:ilvl="0" w:tplc="73ECB6F0">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18">
    <w:nsid w:val="664364D5"/>
    <w:multiLevelType w:val="hybridMultilevel"/>
    <w:tmpl w:val="24A4202C"/>
    <w:lvl w:ilvl="0" w:tplc="2EFA8DFA">
      <w:start w:val="2"/>
      <w:numFmt w:val="lowerLetter"/>
      <w:lvlText w:val="(%1)"/>
      <w:lvlJc w:val="left"/>
      <w:pPr>
        <w:tabs>
          <w:tab w:val="num" w:pos="1047"/>
        </w:tabs>
        <w:ind w:left="1047" w:hanging="48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19">
    <w:nsid w:val="668C4A4F"/>
    <w:multiLevelType w:val="hybridMultilevel"/>
    <w:tmpl w:val="1AAA2A8C"/>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20">
    <w:nsid w:val="6697008A"/>
    <w:multiLevelType w:val="hybridMultilevel"/>
    <w:tmpl w:val="DD8E391E"/>
    <w:lvl w:ilvl="0" w:tplc="15ACAB0E">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21">
    <w:nsid w:val="66D001F6"/>
    <w:multiLevelType w:val="hybridMultilevel"/>
    <w:tmpl w:val="5E069BA0"/>
    <w:lvl w:ilvl="0" w:tplc="47560482">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22">
    <w:nsid w:val="678473AD"/>
    <w:multiLevelType w:val="hybridMultilevel"/>
    <w:tmpl w:val="2A02180E"/>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3">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424">
    <w:nsid w:val="67B27551"/>
    <w:multiLevelType w:val="hybridMultilevel"/>
    <w:tmpl w:val="C706D266"/>
    <w:lvl w:ilvl="0" w:tplc="888A88CC">
      <w:start w:val="1"/>
      <w:numFmt w:val="bullet"/>
      <w:lvlText w:val=""/>
      <w:legacy w:legacy="1" w:legacySpace="0" w:legacyIndent="-567"/>
      <w:lvlJc w:val="left"/>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5">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6">
    <w:nsid w:val="683040CE"/>
    <w:multiLevelType w:val="hybridMultilevel"/>
    <w:tmpl w:val="5B8804A6"/>
    <w:lvl w:ilvl="0" w:tplc="F2622BC4">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2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428">
    <w:nsid w:val="68B81FF6"/>
    <w:multiLevelType w:val="hybridMultilevel"/>
    <w:tmpl w:val="D5B2AC1E"/>
    <w:lvl w:ilvl="0" w:tplc="0418000F">
      <w:start w:val="1"/>
      <w:numFmt w:val="decimal"/>
      <w:lvlText w:val="%1."/>
      <w:lvlJc w:val="left"/>
      <w:pPr>
        <w:tabs>
          <w:tab w:val="num" w:pos="1287"/>
        </w:tabs>
        <w:ind w:left="1287" w:hanging="360"/>
      </w:p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429">
    <w:nsid w:val="69C61FD1"/>
    <w:multiLevelType w:val="singleLevel"/>
    <w:tmpl w:val="9676914A"/>
    <w:lvl w:ilvl="0">
      <w:start w:val="1"/>
      <w:numFmt w:val="lowerLetter"/>
      <w:lvlText w:val="%1)"/>
      <w:legacy w:legacy="1" w:legacySpace="0" w:legacyIndent="360"/>
      <w:lvlJc w:val="left"/>
      <w:pPr>
        <w:ind w:left="1211" w:hanging="360"/>
      </w:pPr>
    </w:lvl>
  </w:abstractNum>
  <w:abstractNum w:abstractNumId="43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431">
    <w:nsid w:val="6A7A0650"/>
    <w:multiLevelType w:val="hybridMultilevel"/>
    <w:tmpl w:val="AF1E8242"/>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2">
    <w:nsid w:val="6AAE6E56"/>
    <w:multiLevelType w:val="hybridMultilevel"/>
    <w:tmpl w:val="450C55EA"/>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3">
    <w:nsid w:val="6AC554AD"/>
    <w:multiLevelType w:val="hybridMultilevel"/>
    <w:tmpl w:val="28882CC0"/>
    <w:lvl w:ilvl="0" w:tplc="B81A2EEA">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34">
    <w:nsid w:val="6B364259"/>
    <w:multiLevelType w:val="hybridMultilevel"/>
    <w:tmpl w:val="26981432"/>
    <w:lvl w:ilvl="0" w:tplc="44362656">
      <w:start w:val="1"/>
      <w:numFmt w:val="decimal"/>
      <w:lvlText w:val="%1."/>
      <w:lvlJc w:val="left"/>
      <w:pPr>
        <w:tabs>
          <w:tab w:val="num" w:pos="1069"/>
        </w:tabs>
        <w:ind w:left="1069" w:hanging="360"/>
      </w:pPr>
      <w:rPr>
        <w:rFonts w:hint="default"/>
      </w:rPr>
    </w:lvl>
    <w:lvl w:ilvl="1" w:tplc="04180019" w:tentative="1">
      <w:start w:val="1"/>
      <w:numFmt w:val="lowerLetter"/>
      <w:lvlText w:val="%2."/>
      <w:lvlJc w:val="left"/>
      <w:pPr>
        <w:tabs>
          <w:tab w:val="num" w:pos="1789"/>
        </w:tabs>
        <w:ind w:left="1789" w:hanging="360"/>
      </w:pPr>
    </w:lvl>
    <w:lvl w:ilvl="2" w:tplc="0418001B" w:tentative="1">
      <w:start w:val="1"/>
      <w:numFmt w:val="lowerRoman"/>
      <w:lvlText w:val="%3."/>
      <w:lvlJc w:val="right"/>
      <w:pPr>
        <w:tabs>
          <w:tab w:val="num" w:pos="2509"/>
        </w:tabs>
        <w:ind w:left="2509" w:hanging="180"/>
      </w:pPr>
    </w:lvl>
    <w:lvl w:ilvl="3" w:tplc="0418000F" w:tentative="1">
      <w:start w:val="1"/>
      <w:numFmt w:val="decimal"/>
      <w:lvlText w:val="%4."/>
      <w:lvlJc w:val="left"/>
      <w:pPr>
        <w:tabs>
          <w:tab w:val="num" w:pos="3229"/>
        </w:tabs>
        <w:ind w:left="3229" w:hanging="360"/>
      </w:pPr>
    </w:lvl>
    <w:lvl w:ilvl="4" w:tplc="04180019" w:tentative="1">
      <w:start w:val="1"/>
      <w:numFmt w:val="lowerLetter"/>
      <w:lvlText w:val="%5."/>
      <w:lvlJc w:val="left"/>
      <w:pPr>
        <w:tabs>
          <w:tab w:val="num" w:pos="3949"/>
        </w:tabs>
        <w:ind w:left="3949" w:hanging="360"/>
      </w:pPr>
    </w:lvl>
    <w:lvl w:ilvl="5" w:tplc="0418001B" w:tentative="1">
      <w:start w:val="1"/>
      <w:numFmt w:val="lowerRoman"/>
      <w:lvlText w:val="%6."/>
      <w:lvlJc w:val="right"/>
      <w:pPr>
        <w:tabs>
          <w:tab w:val="num" w:pos="4669"/>
        </w:tabs>
        <w:ind w:left="4669" w:hanging="180"/>
      </w:pPr>
    </w:lvl>
    <w:lvl w:ilvl="6" w:tplc="0418000F" w:tentative="1">
      <w:start w:val="1"/>
      <w:numFmt w:val="decimal"/>
      <w:lvlText w:val="%7."/>
      <w:lvlJc w:val="left"/>
      <w:pPr>
        <w:tabs>
          <w:tab w:val="num" w:pos="5389"/>
        </w:tabs>
        <w:ind w:left="5389" w:hanging="360"/>
      </w:pPr>
    </w:lvl>
    <w:lvl w:ilvl="7" w:tplc="04180019" w:tentative="1">
      <w:start w:val="1"/>
      <w:numFmt w:val="lowerLetter"/>
      <w:lvlText w:val="%8."/>
      <w:lvlJc w:val="left"/>
      <w:pPr>
        <w:tabs>
          <w:tab w:val="num" w:pos="6109"/>
        </w:tabs>
        <w:ind w:left="6109" w:hanging="360"/>
      </w:pPr>
    </w:lvl>
    <w:lvl w:ilvl="8" w:tplc="0418001B" w:tentative="1">
      <w:start w:val="1"/>
      <w:numFmt w:val="lowerRoman"/>
      <w:lvlText w:val="%9."/>
      <w:lvlJc w:val="right"/>
      <w:pPr>
        <w:tabs>
          <w:tab w:val="num" w:pos="6829"/>
        </w:tabs>
        <w:ind w:left="6829" w:hanging="180"/>
      </w:pPr>
    </w:lvl>
  </w:abstractNum>
  <w:abstractNum w:abstractNumId="435">
    <w:nsid w:val="6B7129C7"/>
    <w:multiLevelType w:val="singleLevel"/>
    <w:tmpl w:val="D87CC2E4"/>
    <w:lvl w:ilvl="0">
      <w:start w:val="1"/>
      <w:numFmt w:val="decimal"/>
      <w:lvlText w:val="(%1)"/>
      <w:legacy w:legacy="1" w:legacySpace="0" w:legacyIndent="360"/>
      <w:lvlJc w:val="left"/>
      <w:pPr>
        <w:ind w:left="927" w:hanging="360"/>
      </w:pPr>
    </w:lvl>
  </w:abstractNum>
  <w:abstractNum w:abstractNumId="436">
    <w:nsid w:val="6B7D5C7D"/>
    <w:multiLevelType w:val="hybridMultilevel"/>
    <w:tmpl w:val="33944462"/>
    <w:lvl w:ilvl="0" w:tplc="AE1E5FAC">
      <w:start w:val="1"/>
      <w:numFmt w:val="lowerLetter"/>
      <w:lvlText w:val="（%1）"/>
      <w:lvlJc w:val="left"/>
      <w:pPr>
        <w:tabs>
          <w:tab w:val="num" w:pos="1230"/>
        </w:tabs>
        <w:ind w:left="1230" w:hanging="720"/>
      </w:pPr>
      <w:rPr>
        <w:rFonts w:hint="default"/>
      </w:rPr>
    </w:lvl>
    <w:lvl w:ilvl="1" w:tplc="D6FAC388">
      <w:start w:val="434"/>
      <w:numFmt w:val="bullet"/>
      <w:lvlText w:val="-"/>
      <w:lvlJc w:val="left"/>
      <w:pPr>
        <w:tabs>
          <w:tab w:val="num" w:pos="1350"/>
        </w:tabs>
        <w:ind w:left="1350" w:hanging="360"/>
      </w:pPr>
      <w:rPr>
        <w:rFonts w:ascii="Times New Roman" w:eastAsia="SimSun" w:hAnsi="Times New Roman" w:cs="Times New Roman" w:hint="default"/>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37">
    <w:nsid w:val="6BEE644D"/>
    <w:multiLevelType w:val="hybridMultilevel"/>
    <w:tmpl w:val="C6C2A108"/>
    <w:lvl w:ilvl="0" w:tplc="DA58F692">
      <w:start w:val="1"/>
      <w:numFmt w:val="lowerLetter"/>
      <w:lvlText w:val="(%1)"/>
      <w:lvlJc w:val="left"/>
      <w:pPr>
        <w:tabs>
          <w:tab w:val="num" w:pos="1396"/>
        </w:tabs>
        <w:ind w:left="1396" w:hanging="37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38">
    <w:nsid w:val="6C11117A"/>
    <w:multiLevelType w:val="singleLevel"/>
    <w:tmpl w:val="45320906"/>
    <w:lvl w:ilvl="0">
      <w:start w:val="1"/>
      <w:numFmt w:val="lowerLetter"/>
      <w:lvlText w:val="%1."/>
      <w:legacy w:legacy="1" w:legacySpace="0" w:legacyIndent="1444"/>
      <w:lvlJc w:val="left"/>
      <w:pPr>
        <w:ind w:left="2528" w:hanging="1444"/>
      </w:pPr>
    </w:lvl>
  </w:abstractNum>
  <w:abstractNum w:abstractNumId="439">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0">
    <w:nsid w:val="6CBD62C8"/>
    <w:multiLevelType w:val="hybridMultilevel"/>
    <w:tmpl w:val="125C9BAA"/>
    <w:lvl w:ilvl="0" w:tplc="F54E49EA">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41">
    <w:nsid w:val="6CDD2579"/>
    <w:multiLevelType w:val="hybridMultilevel"/>
    <w:tmpl w:val="E6389FAE"/>
    <w:lvl w:ilvl="0" w:tplc="E0A81CCA">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42">
    <w:nsid w:val="6D1E5620"/>
    <w:multiLevelType w:val="hybridMultilevel"/>
    <w:tmpl w:val="494C7972"/>
    <w:lvl w:ilvl="0" w:tplc="657CB1B6">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43">
    <w:nsid w:val="6D7160E7"/>
    <w:multiLevelType w:val="singleLevel"/>
    <w:tmpl w:val="D87CC2E4"/>
    <w:lvl w:ilvl="0">
      <w:start w:val="3"/>
      <w:numFmt w:val="decimal"/>
      <w:lvlText w:val="(%1)"/>
      <w:legacy w:legacy="1" w:legacySpace="0" w:legacyIndent="360"/>
      <w:lvlJc w:val="left"/>
      <w:pPr>
        <w:ind w:left="927" w:hanging="360"/>
      </w:pPr>
    </w:lvl>
  </w:abstractNum>
  <w:abstractNum w:abstractNumId="444">
    <w:nsid w:val="6D7C7CDA"/>
    <w:multiLevelType w:val="hybridMultilevel"/>
    <w:tmpl w:val="2E303E72"/>
    <w:lvl w:ilvl="0" w:tplc="74E85EE4">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445">
    <w:nsid w:val="6DB75A23"/>
    <w:multiLevelType w:val="singleLevel"/>
    <w:tmpl w:val="D87CC2E4"/>
    <w:lvl w:ilvl="0">
      <w:start w:val="1"/>
      <w:numFmt w:val="decimal"/>
      <w:lvlText w:val="(%1)"/>
      <w:legacy w:legacy="1" w:legacySpace="0" w:legacyIndent="360"/>
      <w:lvlJc w:val="left"/>
      <w:pPr>
        <w:ind w:left="1080" w:hanging="360"/>
      </w:pPr>
    </w:lvl>
  </w:abstractNum>
  <w:abstractNum w:abstractNumId="446">
    <w:nsid w:val="6DD12905"/>
    <w:multiLevelType w:val="hybridMultilevel"/>
    <w:tmpl w:val="E4F63BFE"/>
    <w:lvl w:ilvl="0" w:tplc="74E85EE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7">
    <w:nsid w:val="6E2959E7"/>
    <w:multiLevelType w:val="singleLevel"/>
    <w:tmpl w:val="9676914A"/>
    <w:lvl w:ilvl="0">
      <w:start w:val="1"/>
      <w:numFmt w:val="lowerLetter"/>
      <w:lvlText w:val="%1)"/>
      <w:legacy w:legacy="1" w:legacySpace="0" w:legacyIndent="360"/>
      <w:lvlJc w:val="left"/>
      <w:pPr>
        <w:ind w:left="720" w:hanging="360"/>
      </w:pPr>
    </w:lvl>
  </w:abstractNum>
  <w:abstractNum w:abstractNumId="448">
    <w:nsid w:val="6E45280C"/>
    <w:multiLevelType w:val="hybridMultilevel"/>
    <w:tmpl w:val="0038BEB0"/>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9">
    <w:nsid w:val="6E630ECC"/>
    <w:multiLevelType w:val="singleLevel"/>
    <w:tmpl w:val="9676914A"/>
    <w:lvl w:ilvl="0">
      <w:start w:val="1"/>
      <w:numFmt w:val="lowerLetter"/>
      <w:lvlText w:val="%1)"/>
      <w:legacy w:legacy="1" w:legacySpace="0" w:legacyIndent="360"/>
      <w:lvlJc w:val="left"/>
      <w:pPr>
        <w:ind w:left="927" w:hanging="360"/>
      </w:pPr>
    </w:lvl>
  </w:abstractNum>
  <w:abstractNum w:abstractNumId="450">
    <w:nsid w:val="6EDB083C"/>
    <w:multiLevelType w:val="hybridMultilevel"/>
    <w:tmpl w:val="E64C9D4C"/>
    <w:lvl w:ilvl="0" w:tplc="072EB266">
      <w:start w:val="8"/>
      <w:numFmt w:val="lowerRoman"/>
      <w:lvlText w:val="(%1)"/>
      <w:lvlJc w:val="left"/>
      <w:pPr>
        <w:tabs>
          <w:tab w:val="num" w:pos="1287"/>
        </w:tabs>
        <w:ind w:left="1287" w:hanging="720"/>
      </w:pPr>
      <w:rPr>
        <w:rFonts w:hint="default"/>
      </w:rPr>
    </w:lvl>
    <w:lvl w:ilvl="1" w:tplc="FD7C0A84">
      <w:start w:val="6"/>
      <w:numFmt w:val="decimal"/>
      <w:lvlText w:val="(%2)"/>
      <w:lvlJc w:val="left"/>
      <w:pPr>
        <w:tabs>
          <w:tab w:val="num" w:pos="1647"/>
        </w:tabs>
        <w:ind w:left="1647" w:hanging="360"/>
      </w:pPr>
      <w:rPr>
        <w:rFonts w:hint="default"/>
      </w:rPr>
    </w:lvl>
    <w:lvl w:ilvl="2" w:tplc="13D88DD2">
      <w:start w:val="14"/>
      <w:numFmt w:val="lowerLetter"/>
      <w:lvlText w:val="(%3)"/>
      <w:lvlJc w:val="left"/>
      <w:pPr>
        <w:tabs>
          <w:tab w:val="num" w:pos="2547"/>
        </w:tabs>
        <w:ind w:left="2547" w:hanging="360"/>
      </w:pPr>
      <w:rPr>
        <w:rFonts w:hint="default"/>
      </w:r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51">
    <w:nsid w:val="6F0609E4"/>
    <w:multiLevelType w:val="hybridMultilevel"/>
    <w:tmpl w:val="56AA501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2">
    <w:nsid w:val="6FA9012D"/>
    <w:multiLevelType w:val="hybridMultilevel"/>
    <w:tmpl w:val="85663F18"/>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3">
    <w:nsid w:val="6FEB5A01"/>
    <w:multiLevelType w:val="singleLevel"/>
    <w:tmpl w:val="E8407814"/>
    <w:lvl w:ilvl="0">
      <w:start w:val="3"/>
      <w:numFmt w:val="decimal"/>
      <w:lvlText w:val="%1)"/>
      <w:legacy w:legacy="1" w:legacySpace="0" w:legacyIndent="420"/>
      <w:lvlJc w:val="left"/>
      <w:pPr>
        <w:ind w:left="987" w:hanging="420"/>
      </w:pPr>
    </w:lvl>
  </w:abstractNum>
  <w:abstractNum w:abstractNumId="454">
    <w:nsid w:val="7084512C"/>
    <w:multiLevelType w:val="hybridMultilevel"/>
    <w:tmpl w:val="FA3C696A"/>
    <w:lvl w:ilvl="0" w:tplc="A9CA2F9C">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55">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6">
    <w:nsid w:val="70A41071"/>
    <w:multiLevelType w:val="hybridMultilevel"/>
    <w:tmpl w:val="4B4C1EBC"/>
    <w:lvl w:ilvl="0" w:tplc="BB506D4A">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57">
    <w:nsid w:val="70AD6FD9"/>
    <w:multiLevelType w:val="singleLevel"/>
    <w:tmpl w:val="5B402C16"/>
    <w:lvl w:ilvl="0">
      <w:start w:val="7"/>
      <w:numFmt w:val="decimal"/>
      <w:lvlText w:val="%1)"/>
      <w:legacy w:legacy="1" w:legacySpace="0" w:legacyIndent="420"/>
      <w:lvlJc w:val="left"/>
      <w:pPr>
        <w:ind w:left="420" w:hanging="420"/>
      </w:pPr>
    </w:lvl>
  </w:abstractNum>
  <w:abstractNum w:abstractNumId="458">
    <w:nsid w:val="70B8205D"/>
    <w:multiLevelType w:val="hybridMultilevel"/>
    <w:tmpl w:val="4D646F9E"/>
    <w:lvl w:ilvl="0" w:tplc="820CAA00">
      <w:start w:val="1"/>
      <w:numFmt w:val="lowerLetter"/>
      <w:lvlText w:val="(%1)"/>
      <w:lvlJc w:val="left"/>
      <w:pPr>
        <w:tabs>
          <w:tab w:val="num" w:pos="1456"/>
        </w:tabs>
        <w:ind w:left="1456" w:hanging="435"/>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59">
    <w:nsid w:val="713679AC"/>
    <w:multiLevelType w:val="hybridMultilevel"/>
    <w:tmpl w:val="FEF6D394"/>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60">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1">
    <w:nsid w:val="71E53B90"/>
    <w:multiLevelType w:val="hybridMultilevel"/>
    <w:tmpl w:val="513AA742"/>
    <w:lvl w:ilvl="0" w:tplc="64581BA0">
      <w:start w:val="1"/>
      <w:numFmt w:val="lowerLetter"/>
      <w:lvlText w:val="(%1)"/>
      <w:lvlJc w:val="left"/>
      <w:pPr>
        <w:tabs>
          <w:tab w:val="num" w:pos="930"/>
        </w:tabs>
        <w:ind w:left="930" w:hanging="360"/>
      </w:pPr>
      <w:rPr>
        <w:rFonts w:hint="default"/>
      </w:rPr>
    </w:lvl>
    <w:lvl w:ilvl="1" w:tplc="07E8A402">
      <w:start w:val="1"/>
      <w:numFmt w:val="lowerRoman"/>
      <w:lvlText w:val="(%2)"/>
      <w:lvlJc w:val="left"/>
      <w:pPr>
        <w:tabs>
          <w:tab w:val="num" w:pos="2010"/>
        </w:tabs>
        <w:ind w:left="2010" w:hanging="720"/>
      </w:pPr>
      <w:rPr>
        <w:rFonts w:hint="default"/>
      </w:rPr>
    </w:lvl>
    <w:lvl w:ilvl="2" w:tplc="0418001B" w:tentative="1">
      <w:start w:val="1"/>
      <w:numFmt w:val="lowerRoman"/>
      <w:lvlText w:val="%3."/>
      <w:lvlJc w:val="right"/>
      <w:pPr>
        <w:tabs>
          <w:tab w:val="num" w:pos="2370"/>
        </w:tabs>
        <w:ind w:left="2370" w:hanging="180"/>
      </w:pPr>
    </w:lvl>
    <w:lvl w:ilvl="3" w:tplc="0418000F" w:tentative="1">
      <w:start w:val="1"/>
      <w:numFmt w:val="decimal"/>
      <w:lvlText w:val="%4."/>
      <w:lvlJc w:val="left"/>
      <w:pPr>
        <w:tabs>
          <w:tab w:val="num" w:pos="3090"/>
        </w:tabs>
        <w:ind w:left="3090" w:hanging="360"/>
      </w:pPr>
    </w:lvl>
    <w:lvl w:ilvl="4" w:tplc="04180019" w:tentative="1">
      <w:start w:val="1"/>
      <w:numFmt w:val="lowerLetter"/>
      <w:lvlText w:val="%5."/>
      <w:lvlJc w:val="left"/>
      <w:pPr>
        <w:tabs>
          <w:tab w:val="num" w:pos="3810"/>
        </w:tabs>
        <w:ind w:left="3810" w:hanging="360"/>
      </w:pPr>
    </w:lvl>
    <w:lvl w:ilvl="5" w:tplc="0418001B" w:tentative="1">
      <w:start w:val="1"/>
      <w:numFmt w:val="lowerRoman"/>
      <w:lvlText w:val="%6."/>
      <w:lvlJc w:val="right"/>
      <w:pPr>
        <w:tabs>
          <w:tab w:val="num" w:pos="4530"/>
        </w:tabs>
        <w:ind w:left="4530" w:hanging="180"/>
      </w:pPr>
    </w:lvl>
    <w:lvl w:ilvl="6" w:tplc="0418000F" w:tentative="1">
      <w:start w:val="1"/>
      <w:numFmt w:val="decimal"/>
      <w:lvlText w:val="%7."/>
      <w:lvlJc w:val="left"/>
      <w:pPr>
        <w:tabs>
          <w:tab w:val="num" w:pos="5250"/>
        </w:tabs>
        <w:ind w:left="5250" w:hanging="360"/>
      </w:pPr>
    </w:lvl>
    <w:lvl w:ilvl="7" w:tplc="04180019" w:tentative="1">
      <w:start w:val="1"/>
      <w:numFmt w:val="lowerLetter"/>
      <w:lvlText w:val="%8."/>
      <w:lvlJc w:val="left"/>
      <w:pPr>
        <w:tabs>
          <w:tab w:val="num" w:pos="5970"/>
        </w:tabs>
        <w:ind w:left="5970" w:hanging="360"/>
      </w:pPr>
    </w:lvl>
    <w:lvl w:ilvl="8" w:tplc="0418001B" w:tentative="1">
      <w:start w:val="1"/>
      <w:numFmt w:val="lowerRoman"/>
      <w:lvlText w:val="%9."/>
      <w:lvlJc w:val="right"/>
      <w:pPr>
        <w:tabs>
          <w:tab w:val="num" w:pos="6690"/>
        </w:tabs>
        <w:ind w:left="6690" w:hanging="180"/>
      </w:pPr>
    </w:lvl>
  </w:abstractNum>
  <w:abstractNum w:abstractNumId="462">
    <w:nsid w:val="72197716"/>
    <w:multiLevelType w:val="singleLevel"/>
    <w:tmpl w:val="D35E5D40"/>
    <w:lvl w:ilvl="0">
      <w:start w:val="4"/>
      <w:numFmt w:val="upperRoman"/>
      <w:lvlText w:val="%1.2."/>
      <w:legacy w:legacy="1" w:legacySpace="0" w:legacyIndent="720"/>
      <w:lvlJc w:val="left"/>
      <w:pPr>
        <w:ind w:left="1004" w:hanging="720"/>
      </w:pPr>
    </w:lvl>
  </w:abstractNum>
  <w:abstractNum w:abstractNumId="463">
    <w:nsid w:val="724761A7"/>
    <w:multiLevelType w:val="hybridMultilevel"/>
    <w:tmpl w:val="113A4558"/>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4">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5">
    <w:nsid w:val="72F27B39"/>
    <w:multiLevelType w:val="hybridMultilevel"/>
    <w:tmpl w:val="2EB2BC2A"/>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6">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7">
    <w:nsid w:val="73F26D27"/>
    <w:multiLevelType w:val="hybridMultilevel"/>
    <w:tmpl w:val="9DF44842"/>
    <w:lvl w:ilvl="0" w:tplc="9D60FA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8">
    <w:nsid w:val="74064DF3"/>
    <w:multiLevelType w:val="singleLevel"/>
    <w:tmpl w:val="E8407814"/>
    <w:lvl w:ilvl="0">
      <w:start w:val="3"/>
      <w:numFmt w:val="decimal"/>
      <w:lvlText w:val="%1)"/>
      <w:legacy w:legacy="1" w:legacySpace="0" w:legacyIndent="420"/>
      <w:lvlJc w:val="left"/>
      <w:pPr>
        <w:ind w:left="987" w:hanging="420"/>
      </w:pPr>
    </w:lvl>
  </w:abstractNum>
  <w:abstractNum w:abstractNumId="469">
    <w:nsid w:val="744C4713"/>
    <w:multiLevelType w:val="hybridMultilevel"/>
    <w:tmpl w:val="6A4C66E2"/>
    <w:lvl w:ilvl="0" w:tplc="E6A85C3C">
      <w:start w:val="4"/>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70">
    <w:nsid w:val="74B75F14"/>
    <w:multiLevelType w:val="singleLevel"/>
    <w:tmpl w:val="A40CF6EE"/>
    <w:lvl w:ilvl="0">
      <w:start w:val="1"/>
      <w:numFmt w:val="lowerLetter"/>
      <w:lvlText w:val="%1)"/>
      <w:legacy w:legacy="1" w:legacySpace="0" w:legacyIndent="1080"/>
      <w:lvlJc w:val="left"/>
      <w:pPr>
        <w:ind w:left="1156" w:hanging="1080"/>
      </w:pPr>
    </w:lvl>
  </w:abstractNum>
  <w:abstractNum w:abstractNumId="4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472">
    <w:nsid w:val="74DF668F"/>
    <w:multiLevelType w:val="hybridMultilevel"/>
    <w:tmpl w:val="DE2A8EEA"/>
    <w:lvl w:ilvl="0" w:tplc="68502C38">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73">
    <w:nsid w:val="750816CF"/>
    <w:multiLevelType w:val="hybridMultilevel"/>
    <w:tmpl w:val="4E58FF82"/>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4">
    <w:nsid w:val="750C3172"/>
    <w:multiLevelType w:val="hybridMultilevel"/>
    <w:tmpl w:val="96BAD070"/>
    <w:lvl w:ilvl="0" w:tplc="E2825190">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75">
    <w:nsid w:val="7517458A"/>
    <w:multiLevelType w:val="hybridMultilevel"/>
    <w:tmpl w:val="180498B8"/>
    <w:lvl w:ilvl="0" w:tplc="D73E0340">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76">
    <w:nsid w:val="75452011"/>
    <w:multiLevelType w:val="hybridMultilevel"/>
    <w:tmpl w:val="034CD55C"/>
    <w:lvl w:ilvl="0" w:tplc="DD6E736A">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77">
    <w:nsid w:val="760916B5"/>
    <w:multiLevelType w:val="hybridMultilevel"/>
    <w:tmpl w:val="C0307202"/>
    <w:lvl w:ilvl="0" w:tplc="2132E9DA">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478">
    <w:nsid w:val="760A1D05"/>
    <w:multiLevelType w:val="hybridMultilevel"/>
    <w:tmpl w:val="E0969490"/>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9">
    <w:nsid w:val="767F3314"/>
    <w:multiLevelType w:val="singleLevel"/>
    <w:tmpl w:val="D87CC2E4"/>
    <w:lvl w:ilvl="0">
      <w:start w:val="1"/>
      <w:numFmt w:val="decimal"/>
      <w:lvlText w:val="(%1)"/>
      <w:legacy w:legacy="1" w:legacySpace="0" w:legacyIndent="360"/>
      <w:lvlJc w:val="left"/>
      <w:pPr>
        <w:ind w:left="1080" w:hanging="360"/>
      </w:pPr>
    </w:lvl>
  </w:abstractNum>
  <w:abstractNum w:abstractNumId="480">
    <w:nsid w:val="76BC56A2"/>
    <w:multiLevelType w:val="hybridMultilevel"/>
    <w:tmpl w:val="547EFE2E"/>
    <w:lvl w:ilvl="0" w:tplc="E6A85C3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8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2">
    <w:nsid w:val="774442B7"/>
    <w:multiLevelType w:val="hybridMultilevel"/>
    <w:tmpl w:val="75BAED6C"/>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8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4">
    <w:nsid w:val="77C45A1A"/>
    <w:multiLevelType w:val="singleLevel"/>
    <w:tmpl w:val="E8407814"/>
    <w:lvl w:ilvl="0">
      <w:start w:val="1"/>
      <w:numFmt w:val="decimal"/>
      <w:lvlText w:val="%1)"/>
      <w:legacy w:legacy="1" w:legacySpace="0" w:legacyIndent="420"/>
      <w:lvlJc w:val="left"/>
      <w:pPr>
        <w:ind w:left="987" w:hanging="420"/>
      </w:pPr>
    </w:lvl>
  </w:abstractNum>
  <w:abstractNum w:abstractNumId="485">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486">
    <w:nsid w:val="78A65D08"/>
    <w:multiLevelType w:val="hybridMultilevel"/>
    <w:tmpl w:val="8F10063C"/>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7">
    <w:nsid w:val="78AD4C6C"/>
    <w:multiLevelType w:val="hybridMultilevel"/>
    <w:tmpl w:val="BE0209E4"/>
    <w:lvl w:ilvl="0" w:tplc="83A0134C">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488">
    <w:nsid w:val="78BE57C4"/>
    <w:multiLevelType w:val="singleLevel"/>
    <w:tmpl w:val="D87CC2E4"/>
    <w:lvl w:ilvl="0">
      <w:start w:val="2"/>
      <w:numFmt w:val="decimal"/>
      <w:lvlText w:val="(%1)"/>
      <w:legacy w:legacy="1" w:legacySpace="0" w:legacyIndent="360"/>
      <w:lvlJc w:val="left"/>
      <w:pPr>
        <w:ind w:left="927" w:hanging="360"/>
      </w:pPr>
    </w:lvl>
  </w:abstractNum>
  <w:abstractNum w:abstractNumId="489">
    <w:nsid w:val="78D01271"/>
    <w:multiLevelType w:val="hybridMultilevel"/>
    <w:tmpl w:val="37C83B5E"/>
    <w:lvl w:ilvl="0" w:tplc="E6A85C3C">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90">
    <w:nsid w:val="78EA7612"/>
    <w:multiLevelType w:val="hybridMultilevel"/>
    <w:tmpl w:val="67BE40B8"/>
    <w:lvl w:ilvl="0" w:tplc="35E876FE">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91">
    <w:nsid w:val="79952333"/>
    <w:multiLevelType w:val="hybridMultilevel"/>
    <w:tmpl w:val="0A7CAE04"/>
    <w:lvl w:ilvl="0" w:tplc="722EDD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2">
    <w:nsid w:val="79E214CA"/>
    <w:multiLevelType w:val="hybridMultilevel"/>
    <w:tmpl w:val="A18E54AE"/>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493">
    <w:nsid w:val="7ACA643D"/>
    <w:multiLevelType w:val="singleLevel"/>
    <w:tmpl w:val="0409000F"/>
    <w:lvl w:ilvl="0">
      <w:start w:val="1"/>
      <w:numFmt w:val="decimal"/>
      <w:lvlText w:val="%1."/>
      <w:lvlJc w:val="left"/>
      <w:pPr>
        <w:tabs>
          <w:tab w:val="num" w:pos="360"/>
        </w:tabs>
        <w:ind w:left="360" w:hanging="360"/>
      </w:pPr>
    </w:lvl>
  </w:abstractNum>
  <w:abstractNum w:abstractNumId="49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495">
    <w:nsid w:val="7AEB4CCA"/>
    <w:multiLevelType w:val="hybridMultilevel"/>
    <w:tmpl w:val="4962BDA4"/>
    <w:lvl w:ilvl="0" w:tplc="74E85EE4">
      <w:start w:val="1"/>
      <w:numFmt w:val="lowerLetter"/>
      <w:lvlRestart w:val="0"/>
      <w:lvlText w:val="(%1)"/>
      <w:lvlJc w:val="right"/>
      <w:pPr>
        <w:tabs>
          <w:tab w:val="num" w:pos="2127"/>
        </w:tabs>
        <w:ind w:left="2127" w:hanging="227"/>
      </w:pPr>
      <w:rPr>
        <w:rFonts w:ascii="Times New Roman" w:hAnsi="Times New Roman" w:hint="eastAsia"/>
        <w:b w:val="0"/>
        <w:i w:val="0"/>
        <w:sz w:val="24"/>
      </w:rPr>
    </w:lvl>
    <w:lvl w:ilvl="1" w:tplc="04090019" w:tentative="1">
      <w:start w:val="1"/>
      <w:numFmt w:val="ideographTraditional"/>
      <w:lvlText w:val="%2、"/>
      <w:lvlJc w:val="left"/>
      <w:pPr>
        <w:tabs>
          <w:tab w:val="num" w:pos="1556"/>
        </w:tabs>
        <w:ind w:left="1556" w:hanging="480"/>
      </w:pPr>
    </w:lvl>
    <w:lvl w:ilvl="2" w:tplc="0409001B" w:tentative="1">
      <w:start w:val="1"/>
      <w:numFmt w:val="lowerRoman"/>
      <w:lvlText w:val="%3."/>
      <w:lvlJc w:val="right"/>
      <w:pPr>
        <w:tabs>
          <w:tab w:val="num" w:pos="2036"/>
        </w:tabs>
        <w:ind w:left="2036" w:hanging="480"/>
      </w:pPr>
    </w:lvl>
    <w:lvl w:ilvl="3" w:tplc="0409000F" w:tentative="1">
      <w:start w:val="1"/>
      <w:numFmt w:val="decimal"/>
      <w:lvlText w:val="%4."/>
      <w:lvlJc w:val="left"/>
      <w:pPr>
        <w:tabs>
          <w:tab w:val="num" w:pos="2516"/>
        </w:tabs>
        <w:ind w:left="2516" w:hanging="480"/>
      </w:pPr>
    </w:lvl>
    <w:lvl w:ilvl="4" w:tplc="04090019" w:tentative="1">
      <w:start w:val="1"/>
      <w:numFmt w:val="ideographTraditional"/>
      <w:lvlText w:val="%5、"/>
      <w:lvlJc w:val="left"/>
      <w:pPr>
        <w:tabs>
          <w:tab w:val="num" w:pos="2996"/>
        </w:tabs>
        <w:ind w:left="2996" w:hanging="480"/>
      </w:pPr>
    </w:lvl>
    <w:lvl w:ilvl="5" w:tplc="0409001B" w:tentative="1">
      <w:start w:val="1"/>
      <w:numFmt w:val="lowerRoman"/>
      <w:lvlText w:val="%6."/>
      <w:lvlJc w:val="right"/>
      <w:pPr>
        <w:tabs>
          <w:tab w:val="num" w:pos="3476"/>
        </w:tabs>
        <w:ind w:left="3476" w:hanging="480"/>
      </w:pPr>
    </w:lvl>
    <w:lvl w:ilvl="6" w:tplc="0409000F" w:tentative="1">
      <w:start w:val="1"/>
      <w:numFmt w:val="decimal"/>
      <w:lvlText w:val="%7."/>
      <w:lvlJc w:val="left"/>
      <w:pPr>
        <w:tabs>
          <w:tab w:val="num" w:pos="3956"/>
        </w:tabs>
        <w:ind w:left="3956" w:hanging="480"/>
      </w:pPr>
    </w:lvl>
    <w:lvl w:ilvl="7" w:tplc="04090019" w:tentative="1">
      <w:start w:val="1"/>
      <w:numFmt w:val="ideographTraditional"/>
      <w:lvlText w:val="%8、"/>
      <w:lvlJc w:val="left"/>
      <w:pPr>
        <w:tabs>
          <w:tab w:val="num" w:pos="4436"/>
        </w:tabs>
        <w:ind w:left="4436" w:hanging="480"/>
      </w:pPr>
    </w:lvl>
    <w:lvl w:ilvl="8" w:tplc="0409001B" w:tentative="1">
      <w:start w:val="1"/>
      <w:numFmt w:val="lowerRoman"/>
      <w:lvlText w:val="%9."/>
      <w:lvlJc w:val="right"/>
      <w:pPr>
        <w:tabs>
          <w:tab w:val="num" w:pos="4916"/>
        </w:tabs>
        <w:ind w:left="4916" w:hanging="480"/>
      </w:pPr>
    </w:lvl>
  </w:abstractNum>
  <w:abstractNum w:abstractNumId="496">
    <w:nsid w:val="7B1E142C"/>
    <w:multiLevelType w:val="hybridMultilevel"/>
    <w:tmpl w:val="63763622"/>
    <w:lvl w:ilvl="0" w:tplc="DEECB3B2">
      <w:start w:val="1"/>
      <w:numFmt w:val="lowerLetter"/>
      <w:lvlText w:val="(%1)"/>
      <w:lvlJc w:val="left"/>
      <w:pPr>
        <w:tabs>
          <w:tab w:val="num" w:pos="1512"/>
        </w:tabs>
        <w:ind w:left="1512" w:hanging="945"/>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97">
    <w:nsid w:val="7B6B7B39"/>
    <w:multiLevelType w:val="hybridMultilevel"/>
    <w:tmpl w:val="3800A634"/>
    <w:lvl w:ilvl="0" w:tplc="9D60FA0E">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98">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499">
    <w:nsid w:val="7B8F75F7"/>
    <w:multiLevelType w:val="hybridMultilevel"/>
    <w:tmpl w:val="CA7A5EFA"/>
    <w:lvl w:ilvl="0" w:tplc="04180001">
      <w:start w:val="1"/>
      <w:numFmt w:val="bullet"/>
      <w:lvlText w:val=""/>
      <w:lvlJc w:val="left"/>
      <w:pPr>
        <w:tabs>
          <w:tab w:val="num" w:pos="1080"/>
        </w:tabs>
        <w:ind w:left="1080" w:hanging="360"/>
      </w:pPr>
      <w:rPr>
        <w:rFonts w:ascii="Symbol" w:hAnsi="Symbol" w:hint="default"/>
      </w:rPr>
    </w:lvl>
    <w:lvl w:ilvl="1" w:tplc="04180003" w:tentative="1">
      <w:start w:val="1"/>
      <w:numFmt w:val="bullet"/>
      <w:lvlText w:val="o"/>
      <w:lvlJc w:val="left"/>
      <w:pPr>
        <w:tabs>
          <w:tab w:val="num" w:pos="1800"/>
        </w:tabs>
        <w:ind w:left="1800" w:hanging="360"/>
      </w:pPr>
      <w:rPr>
        <w:rFonts w:ascii="Courier New" w:hAnsi="Courier New" w:hint="default"/>
      </w:rPr>
    </w:lvl>
    <w:lvl w:ilvl="2" w:tplc="04180005" w:tentative="1">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500">
    <w:nsid w:val="7C7D2027"/>
    <w:multiLevelType w:val="hybridMultilevel"/>
    <w:tmpl w:val="65A85144"/>
    <w:lvl w:ilvl="0" w:tplc="44E6993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44E69930">
      <w:start w:val="1"/>
      <w:numFmt w:val="chineseCountingThousand"/>
      <w:lvlRestart w:val="0"/>
      <w:lvlText w:val="(%3)"/>
      <w:lvlJc w:val="right"/>
      <w:pPr>
        <w:tabs>
          <w:tab w:val="num" w:pos="1130"/>
        </w:tabs>
        <w:ind w:left="1130" w:hanging="170"/>
      </w:pPr>
      <w:rPr>
        <w:rFonts w:ascii="Times New Roman" w:hAnsi="Times New Roman"/>
        <w:sz w:val="2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502">
    <w:nsid w:val="7CF47739"/>
    <w:multiLevelType w:val="singleLevel"/>
    <w:tmpl w:val="48044DDA"/>
    <w:lvl w:ilvl="0">
      <w:start w:val="2"/>
      <w:numFmt w:val="decimal"/>
      <w:lvlText w:val="2.2.%1 "/>
      <w:legacy w:legacy="1" w:legacySpace="0" w:legacyIndent="360"/>
      <w:lvlJc w:val="left"/>
      <w:pPr>
        <w:ind w:left="1069" w:hanging="360"/>
      </w:pPr>
      <w:rPr>
        <w:b/>
        <w:sz w:val="28"/>
      </w:rPr>
    </w:lvl>
  </w:abstractNum>
  <w:abstractNum w:abstractNumId="503">
    <w:nsid w:val="7D4500B9"/>
    <w:multiLevelType w:val="hybridMultilevel"/>
    <w:tmpl w:val="C5F8712E"/>
    <w:lvl w:ilvl="0" w:tplc="975E9DE8">
      <w:start w:val="1"/>
      <w:numFmt w:val="lowerLetter"/>
      <w:lvlRestart w:val="0"/>
      <w:lvlText w:val="(%1)"/>
      <w:lvlJc w:val="right"/>
      <w:pPr>
        <w:tabs>
          <w:tab w:val="num" w:pos="737"/>
        </w:tabs>
        <w:ind w:left="737" w:hanging="227"/>
      </w:pPr>
      <w:rPr>
        <w:rFonts w:ascii="Times New Roman" w:hAnsi="Times New Roman" w:hint="eastAsia"/>
        <w:b w:val="0"/>
        <w:i w:val="0"/>
        <w:sz w:val="24"/>
      </w:rPr>
    </w:lvl>
    <w:lvl w:ilvl="1" w:tplc="04090019" w:tentative="1">
      <w:start w:val="1"/>
      <w:numFmt w:val="ideographTraditional"/>
      <w:lvlText w:val="%2、"/>
      <w:lvlJc w:val="left"/>
      <w:pPr>
        <w:tabs>
          <w:tab w:val="num" w:pos="166"/>
        </w:tabs>
        <w:ind w:left="166" w:hanging="480"/>
      </w:pPr>
    </w:lvl>
    <w:lvl w:ilvl="2" w:tplc="0409001B" w:tentative="1">
      <w:start w:val="1"/>
      <w:numFmt w:val="lowerRoman"/>
      <w:lvlText w:val="%3."/>
      <w:lvlJc w:val="right"/>
      <w:pPr>
        <w:tabs>
          <w:tab w:val="num" w:pos="646"/>
        </w:tabs>
        <w:ind w:left="646" w:hanging="480"/>
      </w:pPr>
    </w:lvl>
    <w:lvl w:ilvl="3" w:tplc="0409000F" w:tentative="1">
      <w:start w:val="1"/>
      <w:numFmt w:val="decimal"/>
      <w:lvlText w:val="%4."/>
      <w:lvlJc w:val="left"/>
      <w:pPr>
        <w:tabs>
          <w:tab w:val="num" w:pos="1126"/>
        </w:tabs>
        <w:ind w:left="1126" w:hanging="480"/>
      </w:pPr>
    </w:lvl>
    <w:lvl w:ilvl="4" w:tplc="04090019" w:tentative="1">
      <w:start w:val="1"/>
      <w:numFmt w:val="ideographTraditional"/>
      <w:lvlText w:val="%5、"/>
      <w:lvlJc w:val="left"/>
      <w:pPr>
        <w:tabs>
          <w:tab w:val="num" w:pos="1606"/>
        </w:tabs>
        <w:ind w:left="1606" w:hanging="480"/>
      </w:pPr>
    </w:lvl>
    <w:lvl w:ilvl="5" w:tplc="0409001B" w:tentative="1">
      <w:start w:val="1"/>
      <w:numFmt w:val="lowerRoman"/>
      <w:lvlText w:val="%6."/>
      <w:lvlJc w:val="right"/>
      <w:pPr>
        <w:tabs>
          <w:tab w:val="num" w:pos="2086"/>
        </w:tabs>
        <w:ind w:left="2086" w:hanging="480"/>
      </w:pPr>
    </w:lvl>
    <w:lvl w:ilvl="6" w:tplc="0409000F" w:tentative="1">
      <w:start w:val="1"/>
      <w:numFmt w:val="decimal"/>
      <w:lvlText w:val="%7."/>
      <w:lvlJc w:val="left"/>
      <w:pPr>
        <w:tabs>
          <w:tab w:val="num" w:pos="2566"/>
        </w:tabs>
        <w:ind w:left="2566" w:hanging="480"/>
      </w:pPr>
    </w:lvl>
    <w:lvl w:ilvl="7" w:tplc="04090019" w:tentative="1">
      <w:start w:val="1"/>
      <w:numFmt w:val="ideographTraditional"/>
      <w:lvlText w:val="%8、"/>
      <w:lvlJc w:val="left"/>
      <w:pPr>
        <w:tabs>
          <w:tab w:val="num" w:pos="3046"/>
        </w:tabs>
        <w:ind w:left="3046" w:hanging="480"/>
      </w:pPr>
    </w:lvl>
    <w:lvl w:ilvl="8" w:tplc="0409001B" w:tentative="1">
      <w:start w:val="1"/>
      <w:numFmt w:val="lowerRoman"/>
      <w:lvlText w:val="%9."/>
      <w:lvlJc w:val="right"/>
      <w:pPr>
        <w:tabs>
          <w:tab w:val="num" w:pos="3526"/>
        </w:tabs>
        <w:ind w:left="3526" w:hanging="480"/>
      </w:pPr>
    </w:lvl>
  </w:abstractNum>
  <w:abstractNum w:abstractNumId="504">
    <w:nsid w:val="7D5D3B0B"/>
    <w:multiLevelType w:val="singleLevel"/>
    <w:tmpl w:val="CB5C20D6"/>
    <w:lvl w:ilvl="0">
      <w:start w:val="2"/>
      <w:numFmt w:val="decimal"/>
      <w:lvlText w:val="2.%1 "/>
      <w:legacy w:legacy="1" w:legacySpace="0" w:legacyIndent="360"/>
      <w:lvlJc w:val="left"/>
      <w:pPr>
        <w:ind w:left="1069" w:hanging="360"/>
      </w:pPr>
      <w:rPr>
        <w:b/>
        <w:sz w:val="32"/>
        <w:u w:val="single"/>
      </w:rPr>
    </w:lvl>
  </w:abstractNum>
  <w:abstractNum w:abstractNumId="505">
    <w:nsid w:val="7D8817BD"/>
    <w:multiLevelType w:val="singleLevel"/>
    <w:tmpl w:val="9676914A"/>
    <w:lvl w:ilvl="0">
      <w:start w:val="1"/>
      <w:numFmt w:val="lowerLetter"/>
      <w:lvlText w:val="%1)"/>
      <w:legacy w:legacy="1" w:legacySpace="0" w:legacyIndent="360"/>
      <w:lvlJc w:val="left"/>
      <w:pPr>
        <w:ind w:left="927" w:hanging="360"/>
      </w:pPr>
    </w:lvl>
  </w:abstractNum>
  <w:abstractNum w:abstractNumId="506">
    <w:nsid w:val="7DA333C6"/>
    <w:multiLevelType w:val="hybridMultilevel"/>
    <w:tmpl w:val="E88A8444"/>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507">
    <w:nsid w:val="7DBF6B58"/>
    <w:multiLevelType w:val="singleLevel"/>
    <w:tmpl w:val="0409000F"/>
    <w:lvl w:ilvl="0">
      <w:start w:val="1"/>
      <w:numFmt w:val="decimal"/>
      <w:lvlText w:val="%1."/>
      <w:lvlJc w:val="left"/>
      <w:pPr>
        <w:tabs>
          <w:tab w:val="num" w:pos="360"/>
        </w:tabs>
        <w:ind w:left="360" w:hanging="360"/>
      </w:pPr>
    </w:lvl>
  </w:abstractNum>
  <w:abstractNum w:abstractNumId="508">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9">
    <w:nsid w:val="7E2B7C23"/>
    <w:multiLevelType w:val="hybridMultilevel"/>
    <w:tmpl w:val="CE68190A"/>
    <w:lvl w:ilvl="0" w:tplc="A4B8A418">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510">
    <w:nsid w:val="7E4210FD"/>
    <w:multiLevelType w:val="singleLevel"/>
    <w:tmpl w:val="62FE2056"/>
    <w:lvl w:ilvl="0">
      <w:start w:val="1"/>
      <w:numFmt w:val="decimal"/>
      <w:lvlText w:val="%1."/>
      <w:legacy w:legacy="1" w:legacySpace="0" w:legacyIndent="927"/>
      <w:lvlJc w:val="left"/>
      <w:pPr>
        <w:ind w:left="1494" w:hanging="927"/>
      </w:pPr>
    </w:lvl>
  </w:abstractNum>
  <w:abstractNum w:abstractNumId="511">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512">
    <w:nsid w:val="7E991715"/>
    <w:multiLevelType w:val="hybridMultilevel"/>
    <w:tmpl w:val="47C0EA14"/>
    <w:lvl w:ilvl="0" w:tplc="975E9DE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3">
    <w:nsid w:val="7EA7330A"/>
    <w:multiLevelType w:val="hybridMultilevel"/>
    <w:tmpl w:val="A636DEB2"/>
    <w:lvl w:ilvl="0" w:tplc="37AC237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4">
    <w:nsid w:val="7EB36200"/>
    <w:multiLevelType w:val="hybridMultilevel"/>
    <w:tmpl w:val="3CDAE9B0"/>
    <w:lvl w:ilvl="0" w:tplc="CD04A096">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515">
    <w:nsid w:val="7F0C39B7"/>
    <w:multiLevelType w:val="hybridMultilevel"/>
    <w:tmpl w:val="D0F6F682"/>
    <w:lvl w:ilvl="0" w:tplc="91504D68">
      <w:start w:val="1"/>
      <w:numFmt w:val="decimal"/>
      <w:lvlText w:val="(%1)"/>
      <w:lvlJc w:val="center"/>
      <w:pPr>
        <w:tabs>
          <w:tab w:val="num" w:pos="927"/>
        </w:tabs>
        <w:ind w:left="567" w:firstLine="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516">
    <w:nsid w:val="7FDC72EC"/>
    <w:multiLevelType w:val="singleLevel"/>
    <w:tmpl w:val="D87CC2E4"/>
    <w:lvl w:ilvl="0">
      <w:start w:val="4"/>
      <w:numFmt w:val="decimal"/>
      <w:lvlText w:val="(%1)"/>
      <w:legacy w:legacy="1" w:legacySpace="0" w:legacyIndent="360"/>
      <w:lvlJc w:val="left"/>
      <w:pPr>
        <w:ind w:left="927" w:hanging="360"/>
      </w:pPr>
    </w:lvl>
  </w:abstractNum>
  <w:abstractNum w:abstractNumId="517">
    <w:nsid w:val="7FE53F69"/>
    <w:multiLevelType w:val="singleLevel"/>
    <w:tmpl w:val="E6E8EB3E"/>
    <w:lvl w:ilvl="0">
      <w:start w:val="3"/>
      <w:numFmt w:val="decimal"/>
      <w:lvlText w:val="(%1)"/>
      <w:legacy w:legacy="1" w:legacySpace="0" w:legacyIndent="567"/>
      <w:lvlJc w:val="left"/>
      <w:pPr>
        <w:ind w:left="1134" w:hanging="567"/>
      </w:pPr>
    </w:lvl>
  </w:abstractNum>
  <w:num w:numId="1">
    <w:abstractNumId w:val="334"/>
  </w:num>
  <w:num w:numId="2">
    <w:abstractNumId w:val="226"/>
  </w:num>
  <w:num w:numId="3">
    <w:abstractNumId w:val="189"/>
  </w:num>
  <w:num w:numId="4">
    <w:abstractNumId w:val="196"/>
  </w:num>
  <w:num w:numId="5">
    <w:abstractNumId w:val="483"/>
  </w:num>
  <w:num w:numId="6">
    <w:abstractNumId w:val="16"/>
  </w:num>
  <w:num w:numId="7">
    <w:abstractNumId w:val="300"/>
  </w:num>
  <w:num w:numId="8">
    <w:abstractNumId w:val="155"/>
  </w:num>
  <w:num w:numId="9">
    <w:abstractNumId w:val="62"/>
  </w:num>
  <w:num w:numId="10">
    <w:abstractNumId w:val="91"/>
  </w:num>
  <w:num w:numId="11">
    <w:abstractNumId w:val="455"/>
  </w:num>
  <w:num w:numId="12">
    <w:abstractNumId w:val="125"/>
  </w:num>
  <w:num w:numId="13">
    <w:abstractNumId w:val="471"/>
  </w:num>
  <w:num w:numId="14">
    <w:abstractNumId w:val="322"/>
  </w:num>
  <w:num w:numId="15">
    <w:abstractNumId w:val="337"/>
  </w:num>
  <w:num w:numId="16">
    <w:abstractNumId w:val="49"/>
  </w:num>
  <w:num w:numId="17">
    <w:abstractNumId w:val="508"/>
  </w:num>
  <w:num w:numId="18">
    <w:abstractNumId w:val="439"/>
  </w:num>
  <w:num w:numId="19">
    <w:abstractNumId w:val="425"/>
  </w:num>
  <w:num w:numId="20">
    <w:abstractNumId w:val="52"/>
  </w:num>
  <w:num w:numId="21">
    <w:abstractNumId w:val="333"/>
  </w:num>
  <w:num w:numId="22">
    <w:abstractNumId w:val="347"/>
  </w:num>
  <w:num w:numId="23">
    <w:abstractNumId w:val="494"/>
  </w:num>
  <w:num w:numId="24">
    <w:abstractNumId w:val="391"/>
  </w:num>
  <w:num w:numId="25">
    <w:abstractNumId w:val="386"/>
  </w:num>
  <w:num w:numId="26">
    <w:abstractNumId w:val="293"/>
  </w:num>
  <w:num w:numId="27">
    <w:abstractNumId w:val="70"/>
  </w:num>
  <w:num w:numId="28">
    <w:abstractNumId w:val="60"/>
  </w:num>
  <w:num w:numId="29">
    <w:abstractNumId w:val="511"/>
  </w:num>
  <w:num w:numId="30">
    <w:abstractNumId w:val="24"/>
  </w:num>
  <w:num w:numId="31">
    <w:abstractNumId w:val="107"/>
  </w:num>
  <w:num w:numId="32">
    <w:abstractNumId w:val="466"/>
  </w:num>
  <w:num w:numId="33">
    <w:abstractNumId w:val="160"/>
  </w:num>
  <w:num w:numId="34">
    <w:abstractNumId w:val="423"/>
  </w:num>
  <w:num w:numId="35">
    <w:abstractNumId w:val="410"/>
  </w:num>
  <w:num w:numId="36">
    <w:abstractNumId w:val="230"/>
  </w:num>
  <w:num w:numId="37">
    <w:abstractNumId w:val="361"/>
  </w:num>
  <w:num w:numId="38">
    <w:abstractNumId w:val="385"/>
  </w:num>
  <w:num w:numId="39">
    <w:abstractNumId w:val="460"/>
  </w:num>
  <w:num w:numId="40">
    <w:abstractNumId w:val="50"/>
  </w:num>
  <w:num w:numId="41">
    <w:abstractNumId w:val="210"/>
  </w:num>
  <w:num w:numId="42">
    <w:abstractNumId w:val="498"/>
  </w:num>
  <w:num w:numId="43">
    <w:abstractNumId w:val="383"/>
  </w:num>
  <w:num w:numId="44">
    <w:abstractNumId w:val="427"/>
  </w:num>
  <w:num w:numId="45">
    <w:abstractNumId w:val="154"/>
  </w:num>
  <w:num w:numId="46">
    <w:abstractNumId w:val="222"/>
  </w:num>
  <w:num w:numId="47">
    <w:abstractNumId w:val="79"/>
  </w:num>
  <w:num w:numId="48">
    <w:abstractNumId w:val="394"/>
  </w:num>
  <w:num w:numId="49">
    <w:abstractNumId w:val="370"/>
  </w:num>
  <w:num w:numId="50">
    <w:abstractNumId w:val="246"/>
  </w:num>
  <w:num w:numId="51">
    <w:abstractNumId w:val="102"/>
  </w:num>
  <w:num w:numId="52">
    <w:abstractNumId w:val="374"/>
  </w:num>
  <w:num w:numId="53">
    <w:abstractNumId w:val="76"/>
  </w:num>
  <w:num w:numId="54">
    <w:abstractNumId w:val="243"/>
  </w:num>
  <w:num w:numId="55">
    <w:abstractNumId w:val="312"/>
  </w:num>
  <w:num w:numId="56">
    <w:abstractNumId w:val="485"/>
  </w:num>
  <w:num w:numId="57">
    <w:abstractNumId w:val="338"/>
  </w:num>
  <w:num w:numId="58">
    <w:abstractNumId w:val="256"/>
  </w:num>
  <w:num w:numId="59">
    <w:abstractNumId w:val="200"/>
  </w:num>
  <w:num w:numId="60">
    <w:abstractNumId w:val="48"/>
  </w:num>
  <w:num w:numId="61">
    <w:abstractNumId w:val="320"/>
  </w:num>
  <w:num w:numId="62">
    <w:abstractNumId w:val="132"/>
  </w:num>
  <w:num w:numId="63">
    <w:abstractNumId w:val="407"/>
  </w:num>
  <w:num w:numId="64">
    <w:abstractNumId w:val="406"/>
  </w:num>
  <w:num w:numId="65">
    <w:abstractNumId w:val="25"/>
  </w:num>
  <w:num w:numId="66">
    <w:abstractNumId w:val="327"/>
  </w:num>
  <w:num w:numId="67">
    <w:abstractNumId w:val="126"/>
  </w:num>
  <w:num w:numId="68">
    <w:abstractNumId w:val="302"/>
  </w:num>
  <w:num w:numId="69">
    <w:abstractNumId w:val="67"/>
  </w:num>
  <w:num w:numId="70">
    <w:abstractNumId w:val="389"/>
  </w:num>
  <w:num w:numId="71">
    <w:abstractNumId w:val="288"/>
  </w:num>
  <w:num w:numId="72">
    <w:abstractNumId w:val="464"/>
  </w:num>
  <w:num w:numId="73">
    <w:abstractNumId w:val="430"/>
  </w:num>
  <w:num w:numId="74">
    <w:abstractNumId w:val="141"/>
  </w:num>
  <w:num w:numId="75">
    <w:abstractNumId w:val="267"/>
  </w:num>
  <w:num w:numId="76">
    <w:abstractNumId w:val="287"/>
  </w:num>
  <w:num w:numId="77">
    <w:abstractNumId w:val="142"/>
  </w:num>
  <w:num w:numId="78">
    <w:abstractNumId w:val="481"/>
  </w:num>
  <w:num w:numId="79">
    <w:abstractNumId w:val="513"/>
  </w:num>
  <w:num w:numId="80">
    <w:abstractNumId w:val="51"/>
  </w:num>
  <w:num w:numId="81">
    <w:abstractNumId w:val="77"/>
  </w:num>
  <w:num w:numId="82">
    <w:abstractNumId w:val="121"/>
  </w:num>
  <w:num w:numId="83">
    <w:abstractNumId w:val="495"/>
  </w:num>
  <w:num w:numId="84">
    <w:abstractNumId w:val="380"/>
  </w:num>
  <w:num w:numId="85">
    <w:abstractNumId w:val="355"/>
  </w:num>
  <w:num w:numId="86">
    <w:abstractNumId w:val="446"/>
  </w:num>
  <w:num w:numId="87">
    <w:abstractNumId w:val="444"/>
  </w:num>
  <w:num w:numId="88">
    <w:abstractNumId w:val="28"/>
  </w:num>
  <w:num w:numId="89">
    <w:abstractNumId w:val="124"/>
  </w:num>
  <w:num w:numId="90">
    <w:abstractNumId w:val="149"/>
  </w:num>
  <w:num w:numId="91">
    <w:abstractNumId w:val="363"/>
  </w:num>
  <w:num w:numId="92">
    <w:abstractNumId w:val="378"/>
  </w:num>
  <w:num w:numId="93">
    <w:abstractNumId w:val="365"/>
  </w:num>
  <w:num w:numId="94">
    <w:abstractNumId w:val="19"/>
  </w:num>
  <w:num w:numId="95">
    <w:abstractNumId w:val="387"/>
  </w:num>
  <w:num w:numId="96">
    <w:abstractNumId w:val="194"/>
  </w:num>
  <w:num w:numId="97">
    <w:abstractNumId w:val="270"/>
  </w:num>
  <w:num w:numId="98">
    <w:abstractNumId w:val="244"/>
  </w:num>
  <w:num w:numId="99">
    <w:abstractNumId w:val="297"/>
  </w:num>
  <w:num w:numId="100">
    <w:abstractNumId w:val="157"/>
  </w:num>
  <w:num w:numId="101">
    <w:abstractNumId w:val="487"/>
  </w:num>
  <w:num w:numId="102">
    <w:abstractNumId w:val="441"/>
  </w:num>
  <w:num w:numId="103">
    <w:abstractNumId w:val="195"/>
  </w:num>
  <w:num w:numId="104">
    <w:abstractNumId w:val="362"/>
  </w:num>
  <w:num w:numId="105">
    <w:abstractNumId w:val="420"/>
  </w:num>
  <w:num w:numId="106">
    <w:abstractNumId w:val="307"/>
  </w:num>
  <w:num w:numId="107">
    <w:abstractNumId w:val="344"/>
  </w:num>
  <w:num w:numId="108">
    <w:abstractNumId w:val="174"/>
  </w:num>
  <w:num w:numId="109">
    <w:abstractNumId w:val="168"/>
  </w:num>
  <w:num w:numId="110">
    <w:abstractNumId w:val="426"/>
  </w:num>
  <w:num w:numId="111">
    <w:abstractNumId w:val="408"/>
  </w:num>
  <w:num w:numId="112">
    <w:abstractNumId w:val="173"/>
  </w:num>
  <w:num w:numId="113">
    <w:abstractNumId w:val="135"/>
  </w:num>
  <w:num w:numId="114">
    <w:abstractNumId w:val="198"/>
  </w:num>
  <w:num w:numId="115">
    <w:abstractNumId w:val="433"/>
  </w:num>
  <w:num w:numId="116">
    <w:abstractNumId w:val="103"/>
  </w:num>
  <w:num w:numId="117">
    <w:abstractNumId w:val="144"/>
  </w:num>
  <w:num w:numId="118">
    <w:abstractNumId w:val="63"/>
  </w:num>
  <w:num w:numId="119">
    <w:abstractNumId w:val="148"/>
  </w:num>
  <w:num w:numId="120">
    <w:abstractNumId w:val="458"/>
  </w:num>
  <w:num w:numId="121">
    <w:abstractNumId w:val="245"/>
  </w:num>
  <w:num w:numId="122">
    <w:abstractNumId w:val="294"/>
  </w:num>
  <w:num w:numId="123">
    <w:abstractNumId w:val="501"/>
  </w:num>
  <w:num w:numId="124">
    <w:abstractNumId w:val="164"/>
  </w:num>
  <w:num w:numId="125">
    <w:abstractNumId w:val="46"/>
  </w:num>
  <w:num w:numId="126">
    <w:abstractNumId w:val="208"/>
  </w:num>
  <w:num w:numId="127">
    <w:abstractNumId w:val="253"/>
  </w:num>
  <w:num w:numId="128">
    <w:abstractNumId w:val="493"/>
  </w:num>
  <w:num w:numId="129">
    <w:abstractNumId w:val="325"/>
  </w:num>
  <w:num w:numId="130">
    <w:abstractNumId w:val="507"/>
  </w:num>
  <w:num w:numId="131">
    <w:abstractNumId w:val="295"/>
  </w:num>
  <w:num w:numId="132">
    <w:abstractNumId w:val="416"/>
  </w:num>
  <w:num w:numId="133">
    <w:abstractNumId w:val="241"/>
  </w:num>
  <w:num w:numId="134">
    <w:abstractNumId w:val="0"/>
  </w:num>
  <w:num w:numId="135">
    <w:abstractNumId w:val="1"/>
  </w:num>
  <w:num w:numId="136">
    <w:abstractNumId w:val="185"/>
  </w:num>
  <w:num w:numId="137">
    <w:abstractNumId w:val="22"/>
  </w:num>
  <w:num w:numId="138">
    <w:abstractNumId w:val="96"/>
  </w:num>
  <w:num w:numId="139">
    <w:abstractNumId w:val="55"/>
  </w:num>
  <w:num w:numId="140">
    <w:abstractNumId w:val="277"/>
  </w:num>
  <w:num w:numId="141">
    <w:abstractNumId w:val="376"/>
  </w:num>
  <w:num w:numId="142">
    <w:abstractNumId w:val="2"/>
  </w:num>
  <w:num w:numId="143">
    <w:abstractNumId w:val="3"/>
  </w:num>
  <w:num w:numId="144">
    <w:abstractNumId w:val="8"/>
  </w:num>
  <w:num w:numId="145">
    <w:abstractNumId w:val="9"/>
  </w:num>
  <w:num w:numId="146">
    <w:abstractNumId w:val="7"/>
  </w:num>
  <w:num w:numId="147">
    <w:abstractNumId w:val="6"/>
  </w:num>
  <w:num w:numId="148">
    <w:abstractNumId w:val="5"/>
  </w:num>
  <w:num w:numId="149">
    <w:abstractNumId w:val="4"/>
  </w:num>
  <w:num w:numId="150">
    <w:abstractNumId w:val="59"/>
  </w:num>
  <w:num w:numId="151">
    <w:abstractNumId w:val="10"/>
    <w:lvlOverride w:ilvl="0">
      <w:lvl w:ilvl="0">
        <w:start w:val="1"/>
        <w:numFmt w:val="bullet"/>
        <w:lvlText w:val=""/>
        <w:legacy w:legacy="1" w:legacySpace="0" w:legacyIndent="-567"/>
        <w:lvlJc w:val="left"/>
        <w:rPr>
          <w:rFonts w:ascii="Symbol" w:hAnsi="Symbol" w:hint="default"/>
        </w:rPr>
      </w:lvl>
    </w:lvlOverride>
  </w:num>
  <w:num w:numId="152">
    <w:abstractNumId w:val="10"/>
    <w:lvlOverride w:ilvl="0">
      <w:lvl w:ilvl="0">
        <w:start w:val="1"/>
        <w:numFmt w:val="bullet"/>
        <w:lvlText w:val=""/>
        <w:legacy w:legacy="1" w:legacySpace="0" w:legacyIndent="360"/>
        <w:lvlJc w:val="left"/>
        <w:pPr>
          <w:ind w:left="1069" w:hanging="360"/>
        </w:pPr>
        <w:rPr>
          <w:rFonts w:ascii="Symbol" w:hAnsi="Symbol" w:hint="default"/>
        </w:rPr>
      </w:lvl>
    </w:lvlOverride>
  </w:num>
  <w:num w:numId="153">
    <w:abstractNumId w:val="171"/>
  </w:num>
  <w:num w:numId="154">
    <w:abstractNumId w:val="10"/>
    <w:lvlOverride w:ilvl="0">
      <w:lvl w:ilvl="0">
        <w:start w:val="1"/>
        <w:numFmt w:val="bullet"/>
        <w:lvlText w:val=""/>
        <w:legacy w:legacy="1" w:legacySpace="0" w:legacyIndent="-709"/>
        <w:lvlJc w:val="left"/>
        <w:pPr>
          <w:ind w:left="0" w:firstLine="709"/>
        </w:pPr>
        <w:rPr>
          <w:rFonts w:ascii="Symbol" w:hAnsi="Symbol" w:hint="default"/>
        </w:rPr>
      </w:lvl>
    </w:lvlOverride>
  </w:num>
  <w:num w:numId="155">
    <w:abstractNumId w:val="504"/>
  </w:num>
  <w:num w:numId="156">
    <w:abstractNumId w:val="502"/>
  </w:num>
  <w:num w:numId="1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58">
    <w:abstractNumId w:val="73"/>
  </w:num>
  <w:num w:numId="159">
    <w:abstractNumId w:val="10"/>
    <w:lvlOverride w:ilvl="0">
      <w:lvl w:ilvl="0">
        <w:start w:val="2"/>
        <w:numFmt w:val="bullet"/>
        <w:lvlText w:val="-"/>
        <w:legacy w:legacy="1" w:legacySpace="0" w:legacyIndent="-491"/>
        <w:lvlJc w:val="left"/>
      </w:lvl>
    </w:lvlOverride>
  </w:num>
  <w:num w:numId="160">
    <w:abstractNumId w:val="109"/>
  </w:num>
  <w:num w:numId="161">
    <w:abstractNumId w:val="109"/>
    <w:lvlOverride w:ilvl="0">
      <w:lvl w:ilvl="0">
        <w:start w:val="2"/>
        <w:numFmt w:val="lowerLetter"/>
        <w:lvlText w:val="%1)"/>
        <w:legacy w:legacy="1" w:legacySpace="0" w:legacyIndent="360"/>
        <w:lvlJc w:val="left"/>
        <w:pPr>
          <w:ind w:left="360" w:hanging="360"/>
        </w:pPr>
      </w:lvl>
    </w:lvlOverride>
  </w:num>
  <w:num w:numId="162">
    <w:abstractNumId w:val="111"/>
  </w:num>
  <w:num w:numId="163">
    <w:abstractNumId w:val="111"/>
    <w:lvlOverride w:ilvl="0">
      <w:lvl w:ilvl="0">
        <w:start w:val="2"/>
        <w:numFmt w:val="decimal"/>
        <w:lvlText w:val="(%1)"/>
        <w:legacy w:legacy="1" w:legacySpace="0" w:legacyIndent="567"/>
        <w:lvlJc w:val="left"/>
        <w:pPr>
          <w:ind w:left="1134" w:hanging="567"/>
        </w:pPr>
      </w:lvl>
    </w:lvlOverride>
  </w:num>
  <w:num w:numId="164">
    <w:abstractNumId w:val="75"/>
  </w:num>
  <w:num w:numId="165">
    <w:abstractNumId w:val="75"/>
    <w:lvlOverride w:ilvl="0">
      <w:lvl w:ilvl="0">
        <w:start w:val="2"/>
        <w:numFmt w:val="decimal"/>
        <w:lvlText w:val="%1."/>
        <w:legacy w:legacy="1" w:legacySpace="0" w:legacyIndent="360"/>
        <w:lvlJc w:val="left"/>
        <w:pPr>
          <w:ind w:left="1211" w:hanging="360"/>
        </w:pPr>
      </w:lvl>
    </w:lvlOverride>
  </w:num>
  <w:num w:numId="166">
    <w:abstractNumId w:val="33"/>
  </w:num>
  <w:num w:numId="167">
    <w:abstractNumId w:val="33"/>
    <w:lvlOverride w:ilvl="0">
      <w:lvl w:ilvl="0">
        <w:start w:val="2"/>
        <w:numFmt w:val="lowerLetter"/>
        <w:lvlText w:val="%1)"/>
        <w:legacy w:legacy="1" w:legacySpace="0" w:legacyIndent="360"/>
        <w:lvlJc w:val="left"/>
        <w:pPr>
          <w:ind w:left="927" w:hanging="360"/>
        </w:pPr>
      </w:lvl>
    </w:lvlOverride>
  </w:num>
  <w:num w:numId="168">
    <w:abstractNumId w:val="68"/>
  </w:num>
  <w:num w:numId="169">
    <w:abstractNumId w:val="68"/>
    <w:lvlOverride w:ilvl="0">
      <w:lvl w:ilvl="0">
        <w:start w:val="2"/>
        <w:numFmt w:val="decimal"/>
        <w:lvlText w:val="%1)"/>
        <w:legacy w:legacy="1" w:legacySpace="0" w:legacyIndent="420"/>
        <w:lvlJc w:val="left"/>
        <w:pPr>
          <w:ind w:left="987" w:hanging="420"/>
        </w:pPr>
      </w:lvl>
    </w:lvlOverride>
  </w:num>
  <w:num w:numId="170">
    <w:abstractNumId w:val="53"/>
  </w:num>
  <w:num w:numId="171">
    <w:abstractNumId w:val="53"/>
    <w:lvlOverride w:ilvl="0">
      <w:lvl w:ilvl="0">
        <w:start w:val="2"/>
        <w:numFmt w:val="lowerLetter"/>
        <w:lvlText w:val="%1)"/>
        <w:legacy w:legacy="1" w:legacySpace="0" w:legacyIndent="360"/>
        <w:lvlJc w:val="left"/>
        <w:pPr>
          <w:ind w:left="1080" w:hanging="360"/>
        </w:pPr>
      </w:lvl>
    </w:lvlOverride>
  </w:num>
  <w:num w:numId="172">
    <w:abstractNumId w:val="27"/>
  </w:num>
  <w:num w:numId="173">
    <w:abstractNumId w:val="310"/>
  </w:num>
  <w:num w:numId="174">
    <w:abstractNumId w:val="310"/>
    <w:lvlOverride w:ilvl="0">
      <w:lvl w:ilvl="0">
        <w:start w:val="2"/>
        <w:numFmt w:val="lowerLetter"/>
        <w:lvlText w:val="%1)"/>
        <w:legacy w:legacy="1" w:legacySpace="0" w:legacyIndent="360"/>
        <w:lvlJc w:val="left"/>
        <w:pPr>
          <w:ind w:left="927" w:hanging="360"/>
        </w:pPr>
      </w:lvl>
    </w:lvlOverride>
  </w:num>
  <w:num w:numId="175">
    <w:abstractNumId w:val="457"/>
  </w:num>
  <w:num w:numId="176">
    <w:abstractNumId w:val="303"/>
  </w:num>
  <w:num w:numId="177">
    <w:abstractNumId w:val="303"/>
    <w:lvlOverride w:ilvl="0">
      <w:lvl w:ilvl="0">
        <w:start w:val="2"/>
        <w:numFmt w:val="decimal"/>
        <w:lvlText w:val="(%1)"/>
        <w:legacy w:legacy="1" w:legacySpace="0" w:legacyIndent="360"/>
        <w:lvlJc w:val="left"/>
        <w:pPr>
          <w:ind w:left="1080" w:hanging="360"/>
        </w:pPr>
      </w:lvl>
    </w:lvlOverride>
  </w:num>
  <w:num w:numId="178">
    <w:abstractNumId w:val="329"/>
  </w:num>
  <w:num w:numId="179">
    <w:abstractNumId w:val="329"/>
    <w:lvlOverride w:ilvl="0">
      <w:lvl w:ilvl="0">
        <w:start w:val="2"/>
        <w:numFmt w:val="decimal"/>
        <w:lvlText w:val="(%1)"/>
        <w:legacy w:legacy="1" w:legacySpace="0" w:legacyIndent="360"/>
        <w:lvlJc w:val="left"/>
        <w:pPr>
          <w:ind w:left="1080" w:hanging="360"/>
        </w:pPr>
      </w:lvl>
    </w:lvlOverride>
  </w:num>
  <w:num w:numId="180">
    <w:abstractNumId w:val="279"/>
  </w:num>
  <w:num w:numId="181">
    <w:abstractNumId w:val="279"/>
    <w:lvlOverride w:ilvl="0">
      <w:lvl w:ilvl="0">
        <w:start w:val="2"/>
        <w:numFmt w:val="lowerLetter"/>
        <w:lvlText w:val="%1)"/>
        <w:legacy w:legacy="1" w:legacySpace="0" w:legacyIndent="360"/>
        <w:lvlJc w:val="left"/>
        <w:pPr>
          <w:ind w:left="2007" w:hanging="360"/>
        </w:pPr>
      </w:lvl>
    </w:lvlOverride>
  </w:num>
  <w:num w:numId="182">
    <w:abstractNumId w:val="119"/>
  </w:num>
  <w:num w:numId="183">
    <w:abstractNumId w:val="375"/>
  </w:num>
  <w:num w:numId="184">
    <w:abstractNumId w:val="375"/>
    <w:lvlOverride w:ilvl="0">
      <w:lvl w:ilvl="0">
        <w:start w:val="2"/>
        <w:numFmt w:val="lowerLetter"/>
        <w:lvlText w:val="%1)"/>
        <w:legacy w:legacy="1" w:legacySpace="0" w:legacyIndent="360"/>
        <w:lvlJc w:val="left"/>
        <w:pPr>
          <w:ind w:left="1080" w:hanging="360"/>
        </w:pPr>
      </w:lvl>
    </w:lvlOverride>
  </w:num>
  <w:num w:numId="185">
    <w:abstractNumId w:val="234"/>
  </w:num>
  <w:num w:numId="186">
    <w:abstractNumId w:val="234"/>
    <w:lvlOverride w:ilvl="0">
      <w:lvl w:ilvl="0">
        <w:start w:val="3"/>
        <w:numFmt w:val="decimal"/>
        <w:lvlText w:val="(%1)"/>
        <w:legacy w:legacy="1" w:legacySpace="0" w:legacyIndent="1110"/>
        <w:lvlJc w:val="left"/>
        <w:pPr>
          <w:ind w:left="1830" w:hanging="1110"/>
        </w:pPr>
      </w:lvl>
    </w:lvlOverride>
  </w:num>
  <w:num w:numId="187">
    <w:abstractNumId w:val="151"/>
  </w:num>
  <w:num w:numId="188">
    <w:abstractNumId w:val="151"/>
    <w:lvlOverride w:ilvl="0">
      <w:lvl w:ilvl="0">
        <w:start w:val="2"/>
        <w:numFmt w:val="lowerLetter"/>
        <w:lvlText w:val="%1)"/>
        <w:legacy w:legacy="1" w:legacySpace="0" w:legacyIndent="360"/>
        <w:lvlJc w:val="left"/>
        <w:pPr>
          <w:ind w:left="1080" w:hanging="360"/>
        </w:pPr>
      </w:lvl>
    </w:lvlOverride>
  </w:num>
  <w:num w:numId="189">
    <w:abstractNumId w:val="138"/>
  </w:num>
  <w:num w:numId="190">
    <w:abstractNumId w:val="138"/>
    <w:lvlOverride w:ilvl="0">
      <w:lvl w:ilvl="0">
        <w:start w:val="2"/>
        <w:numFmt w:val="lowerLetter"/>
        <w:lvlText w:val="%1)"/>
        <w:legacy w:legacy="1" w:legacySpace="0" w:legacyIndent="360"/>
        <w:lvlJc w:val="left"/>
        <w:pPr>
          <w:ind w:left="1080" w:hanging="360"/>
        </w:pPr>
      </w:lvl>
    </w:lvlOverride>
  </w:num>
  <w:num w:numId="191">
    <w:abstractNumId w:val="266"/>
  </w:num>
  <w:num w:numId="192">
    <w:abstractNumId w:val="266"/>
    <w:lvlOverride w:ilvl="0">
      <w:lvl w:ilvl="0">
        <w:start w:val="2"/>
        <w:numFmt w:val="decimal"/>
        <w:lvlText w:val="(%1)"/>
        <w:legacy w:legacy="1" w:legacySpace="0" w:legacyIndent="360"/>
        <w:lvlJc w:val="left"/>
        <w:pPr>
          <w:ind w:left="1080" w:hanging="360"/>
        </w:pPr>
      </w:lvl>
    </w:lvlOverride>
  </w:num>
  <w:num w:numId="193">
    <w:abstractNumId w:val="282"/>
  </w:num>
  <w:num w:numId="194">
    <w:abstractNumId w:val="282"/>
    <w:lvlOverride w:ilvl="0">
      <w:lvl w:ilvl="0">
        <w:start w:val="2"/>
        <w:numFmt w:val="lowerLetter"/>
        <w:lvlText w:val="%1)"/>
        <w:legacy w:legacy="1" w:legacySpace="0" w:legacyIndent="360"/>
        <w:lvlJc w:val="left"/>
        <w:pPr>
          <w:ind w:left="1494" w:hanging="360"/>
        </w:pPr>
      </w:lvl>
    </w:lvlOverride>
  </w:num>
  <w:num w:numId="195">
    <w:abstractNumId w:val="162"/>
  </w:num>
  <w:num w:numId="196">
    <w:abstractNumId w:val="479"/>
  </w:num>
  <w:num w:numId="197">
    <w:abstractNumId w:val="479"/>
    <w:lvlOverride w:ilvl="0">
      <w:lvl w:ilvl="0">
        <w:start w:val="2"/>
        <w:numFmt w:val="decimal"/>
        <w:lvlText w:val="(%1)"/>
        <w:legacy w:legacy="1" w:legacySpace="0" w:legacyIndent="360"/>
        <w:lvlJc w:val="left"/>
        <w:pPr>
          <w:ind w:left="1080" w:hanging="360"/>
        </w:pPr>
      </w:lvl>
    </w:lvlOverride>
  </w:num>
  <w:num w:numId="198">
    <w:abstractNumId w:val="445"/>
  </w:num>
  <w:num w:numId="199">
    <w:abstractNumId w:val="445"/>
    <w:lvlOverride w:ilvl="0">
      <w:lvl w:ilvl="0">
        <w:start w:val="2"/>
        <w:numFmt w:val="decimal"/>
        <w:lvlText w:val="(%1)"/>
        <w:legacy w:legacy="1" w:legacySpace="0" w:legacyIndent="360"/>
        <w:lvlJc w:val="left"/>
        <w:pPr>
          <w:ind w:left="1080" w:hanging="360"/>
        </w:pPr>
      </w:lvl>
    </w:lvlOverride>
  </w:num>
  <w:num w:numId="200">
    <w:abstractNumId w:val="443"/>
  </w:num>
  <w:num w:numId="201">
    <w:abstractNumId w:val="443"/>
    <w:lvlOverride w:ilvl="0">
      <w:lvl w:ilvl="0">
        <w:start w:val="4"/>
        <w:numFmt w:val="decimal"/>
        <w:lvlText w:val="(%1)"/>
        <w:legacy w:legacy="1" w:legacySpace="0" w:legacyIndent="360"/>
        <w:lvlJc w:val="left"/>
        <w:pPr>
          <w:ind w:left="927" w:hanging="360"/>
        </w:pPr>
      </w:lvl>
    </w:lvlOverride>
  </w:num>
  <w:num w:numId="202">
    <w:abstractNumId w:val="247"/>
  </w:num>
  <w:num w:numId="203">
    <w:abstractNumId w:val="247"/>
    <w:lvlOverride w:ilvl="0">
      <w:lvl w:ilvl="0">
        <w:start w:val="2"/>
        <w:numFmt w:val="lowerLetter"/>
        <w:lvlText w:val="%1)"/>
        <w:legacy w:legacy="1" w:legacySpace="0" w:legacyIndent="360"/>
        <w:lvlJc w:val="left"/>
        <w:pPr>
          <w:ind w:left="927" w:hanging="360"/>
        </w:pPr>
      </w:lvl>
    </w:lvlOverride>
  </w:num>
  <w:num w:numId="204">
    <w:abstractNumId w:val="516"/>
  </w:num>
  <w:num w:numId="205">
    <w:abstractNumId w:val="87"/>
  </w:num>
  <w:num w:numId="206">
    <w:abstractNumId w:val="43"/>
  </w:num>
  <w:num w:numId="207">
    <w:abstractNumId w:val="290"/>
  </w:num>
  <w:num w:numId="208">
    <w:abstractNumId w:val="74"/>
  </w:num>
  <w:num w:numId="209">
    <w:abstractNumId w:val="324"/>
  </w:num>
  <w:num w:numId="210">
    <w:abstractNumId w:val="324"/>
    <w:lvlOverride w:ilvl="0">
      <w:lvl w:ilvl="0">
        <w:start w:val="2"/>
        <w:numFmt w:val="decimal"/>
        <w:lvlText w:val="(%1)"/>
        <w:legacy w:legacy="1" w:legacySpace="0" w:legacyIndent="360"/>
        <w:lvlJc w:val="left"/>
        <w:pPr>
          <w:ind w:left="927" w:hanging="360"/>
        </w:pPr>
      </w:lvl>
    </w:lvlOverride>
  </w:num>
  <w:num w:numId="211">
    <w:abstractNumId w:val="248"/>
  </w:num>
  <w:num w:numId="212">
    <w:abstractNumId w:val="248"/>
    <w:lvlOverride w:ilvl="0">
      <w:lvl w:ilvl="0">
        <w:start w:val="2"/>
        <w:numFmt w:val="decimal"/>
        <w:lvlText w:val="(%1)"/>
        <w:legacy w:legacy="1" w:legacySpace="0" w:legacyIndent="360"/>
        <w:lvlJc w:val="left"/>
        <w:pPr>
          <w:ind w:left="927" w:hanging="360"/>
        </w:pPr>
      </w:lvl>
    </w:lvlOverride>
  </w:num>
  <w:num w:numId="213">
    <w:abstractNumId w:val="127"/>
  </w:num>
  <w:num w:numId="214">
    <w:abstractNumId w:val="127"/>
    <w:lvlOverride w:ilvl="0">
      <w:lvl w:ilvl="0">
        <w:start w:val="6"/>
        <w:numFmt w:val="decimal"/>
        <w:lvlText w:val="(%1)"/>
        <w:legacy w:legacy="1" w:legacySpace="0" w:legacyIndent="360"/>
        <w:lvlJc w:val="left"/>
        <w:pPr>
          <w:ind w:left="927" w:hanging="360"/>
        </w:pPr>
      </w:lvl>
    </w:lvlOverride>
  </w:num>
  <w:num w:numId="215">
    <w:abstractNumId w:val="435"/>
  </w:num>
  <w:num w:numId="216">
    <w:abstractNumId w:val="296"/>
  </w:num>
  <w:num w:numId="217">
    <w:abstractNumId w:val="296"/>
    <w:lvlOverride w:ilvl="0">
      <w:lvl w:ilvl="0">
        <w:start w:val="2"/>
        <w:numFmt w:val="lowerLetter"/>
        <w:lvlText w:val="%1)"/>
        <w:legacy w:legacy="1" w:legacySpace="0" w:legacyIndent="360"/>
        <w:lvlJc w:val="left"/>
        <w:pPr>
          <w:ind w:left="927" w:hanging="360"/>
        </w:pPr>
      </w:lvl>
    </w:lvlOverride>
  </w:num>
  <w:num w:numId="218">
    <w:abstractNumId w:val="488"/>
  </w:num>
  <w:num w:numId="219">
    <w:abstractNumId w:val="488"/>
    <w:lvlOverride w:ilvl="0">
      <w:lvl w:ilvl="0">
        <w:start w:val="3"/>
        <w:numFmt w:val="decimal"/>
        <w:lvlText w:val="(%1)"/>
        <w:legacy w:legacy="1" w:legacySpace="0" w:legacyIndent="360"/>
        <w:lvlJc w:val="left"/>
        <w:pPr>
          <w:ind w:left="927" w:hanging="360"/>
        </w:pPr>
      </w:lvl>
    </w:lvlOverride>
  </w:num>
  <w:num w:numId="220">
    <w:abstractNumId w:val="186"/>
  </w:num>
  <w:num w:numId="221">
    <w:abstractNumId w:val="275"/>
  </w:num>
  <w:num w:numId="222">
    <w:abstractNumId w:val="275"/>
    <w:lvlOverride w:ilvl="0">
      <w:lvl w:ilvl="0">
        <w:start w:val="2"/>
        <w:numFmt w:val="lowerLetter"/>
        <w:lvlText w:val="%1)"/>
        <w:legacy w:legacy="1" w:legacySpace="0" w:legacyIndent="360"/>
        <w:lvlJc w:val="left"/>
        <w:pPr>
          <w:ind w:left="1080" w:hanging="360"/>
        </w:pPr>
      </w:lvl>
    </w:lvlOverride>
  </w:num>
  <w:num w:numId="223">
    <w:abstractNumId w:val="184"/>
  </w:num>
  <w:num w:numId="224">
    <w:abstractNumId w:val="220"/>
  </w:num>
  <w:num w:numId="225">
    <w:abstractNumId w:val="220"/>
    <w:lvlOverride w:ilvl="0">
      <w:lvl w:ilvl="0">
        <w:start w:val="2"/>
        <w:numFmt w:val="lowerLetter"/>
        <w:lvlText w:val="%1)"/>
        <w:legacy w:legacy="1" w:legacySpace="0" w:legacyIndent="360"/>
        <w:lvlJc w:val="left"/>
        <w:pPr>
          <w:ind w:left="927" w:hanging="360"/>
        </w:pPr>
      </w:lvl>
    </w:lvlOverride>
  </w:num>
  <w:num w:numId="226">
    <w:abstractNumId w:val="199"/>
  </w:num>
  <w:num w:numId="227">
    <w:abstractNumId w:val="123"/>
  </w:num>
  <w:num w:numId="228">
    <w:abstractNumId w:val="123"/>
    <w:lvlOverride w:ilvl="0">
      <w:lvl w:ilvl="0">
        <w:start w:val="2"/>
        <w:numFmt w:val="lowerLetter"/>
        <w:lvlText w:val="%1)"/>
        <w:legacy w:legacy="1" w:legacySpace="0" w:legacyIndent="360"/>
        <w:lvlJc w:val="left"/>
        <w:pPr>
          <w:ind w:left="1080" w:hanging="360"/>
        </w:pPr>
      </w:lvl>
    </w:lvlOverride>
  </w:num>
  <w:num w:numId="229">
    <w:abstractNumId w:val="517"/>
  </w:num>
  <w:num w:numId="230">
    <w:abstractNumId w:val="517"/>
    <w:lvlOverride w:ilvl="0">
      <w:lvl w:ilvl="0">
        <w:start w:val="4"/>
        <w:numFmt w:val="decimal"/>
        <w:lvlText w:val="(%1)"/>
        <w:legacy w:legacy="1" w:legacySpace="0" w:legacyIndent="567"/>
        <w:lvlJc w:val="left"/>
        <w:pPr>
          <w:ind w:left="1134" w:hanging="567"/>
        </w:pPr>
      </w:lvl>
    </w:lvlOverride>
  </w:num>
  <w:num w:numId="231">
    <w:abstractNumId w:val="191"/>
  </w:num>
  <w:num w:numId="232">
    <w:abstractNumId w:val="191"/>
    <w:lvlOverride w:ilvl="0">
      <w:lvl w:ilvl="0">
        <w:start w:val="2"/>
        <w:numFmt w:val="lowerLetter"/>
        <w:lvlText w:val="%1)"/>
        <w:legacy w:legacy="1" w:legacySpace="0" w:legacyIndent="360"/>
        <w:lvlJc w:val="left"/>
        <w:pPr>
          <w:ind w:left="927" w:hanging="360"/>
        </w:pPr>
      </w:lvl>
    </w:lvlOverride>
  </w:num>
  <w:num w:numId="233">
    <w:abstractNumId w:val="180"/>
  </w:num>
  <w:num w:numId="234">
    <w:abstractNumId w:val="180"/>
    <w:lvlOverride w:ilvl="0">
      <w:lvl w:ilvl="0">
        <w:start w:val="2"/>
        <w:numFmt w:val="lowerLetter"/>
        <w:lvlText w:val="%1)"/>
        <w:legacy w:legacy="1" w:legacySpace="0" w:legacyIndent="360"/>
        <w:lvlJc w:val="left"/>
        <w:pPr>
          <w:ind w:left="927" w:hanging="360"/>
        </w:pPr>
      </w:lvl>
    </w:lvlOverride>
  </w:num>
  <w:num w:numId="235">
    <w:abstractNumId w:val="449"/>
  </w:num>
  <w:num w:numId="236">
    <w:abstractNumId w:val="449"/>
    <w:lvlOverride w:ilvl="0">
      <w:lvl w:ilvl="0">
        <w:start w:val="2"/>
        <w:numFmt w:val="lowerLetter"/>
        <w:lvlText w:val="%1)"/>
        <w:legacy w:legacy="1" w:legacySpace="0" w:legacyIndent="360"/>
        <w:lvlJc w:val="left"/>
        <w:pPr>
          <w:ind w:left="927" w:hanging="360"/>
        </w:pPr>
      </w:lvl>
    </w:lvlOverride>
  </w:num>
  <w:num w:numId="237">
    <w:abstractNumId w:val="484"/>
  </w:num>
  <w:num w:numId="238">
    <w:abstractNumId w:val="484"/>
    <w:lvlOverride w:ilvl="0">
      <w:lvl w:ilvl="0">
        <w:start w:val="2"/>
        <w:numFmt w:val="decimal"/>
        <w:lvlText w:val="%1)"/>
        <w:legacy w:legacy="1" w:legacySpace="0" w:legacyIndent="420"/>
        <w:lvlJc w:val="left"/>
        <w:pPr>
          <w:ind w:left="987" w:hanging="420"/>
        </w:pPr>
      </w:lvl>
    </w:lvlOverride>
  </w:num>
  <w:num w:numId="239">
    <w:abstractNumId w:val="101"/>
  </w:num>
  <w:num w:numId="240">
    <w:abstractNumId w:val="101"/>
    <w:lvlOverride w:ilvl="0">
      <w:lvl w:ilvl="0">
        <w:start w:val="2"/>
        <w:numFmt w:val="decimal"/>
        <w:lvlText w:val="%1)"/>
        <w:legacy w:legacy="1" w:legacySpace="0" w:legacyIndent="420"/>
        <w:lvlJc w:val="left"/>
        <w:pPr>
          <w:ind w:left="987" w:hanging="420"/>
        </w:pPr>
      </w:lvl>
    </w:lvlOverride>
  </w:num>
  <w:num w:numId="241">
    <w:abstractNumId w:val="166"/>
  </w:num>
  <w:num w:numId="242">
    <w:abstractNumId w:val="166"/>
    <w:lvlOverride w:ilvl="0">
      <w:lvl w:ilvl="0">
        <w:start w:val="2"/>
        <w:numFmt w:val="lowerLetter"/>
        <w:lvlText w:val="%1)"/>
        <w:legacy w:legacy="1" w:legacySpace="0" w:legacyIndent="360"/>
        <w:lvlJc w:val="left"/>
        <w:pPr>
          <w:ind w:left="927" w:hanging="360"/>
        </w:pPr>
      </w:lvl>
    </w:lvlOverride>
  </w:num>
  <w:num w:numId="243">
    <w:abstractNumId w:val="143"/>
  </w:num>
  <w:num w:numId="244">
    <w:abstractNumId w:val="143"/>
    <w:lvlOverride w:ilvl="0">
      <w:lvl w:ilvl="0">
        <w:start w:val="2"/>
        <w:numFmt w:val="lowerLetter"/>
        <w:lvlText w:val="%1)"/>
        <w:legacy w:legacy="1" w:legacySpace="0" w:legacyIndent="360"/>
        <w:lvlJc w:val="left"/>
        <w:pPr>
          <w:ind w:left="927" w:hanging="360"/>
        </w:pPr>
      </w:lvl>
    </w:lvlOverride>
  </w:num>
  <w:num w:numId="245">
    <w:abstractNumId w:val="214"/>
  </w:num>
  <w:num w:numId="246">
    <w:abstractNumId w:val="409"/>
  </w:num>
  <w:num w:numId="247">
    <w:abstractNumId w:val="409"/>
    <w:lvlOverride w:ilvl="0">
      <w:lvl w:ilvl="0">
        <w:start w:val="2"/>
        <w:numFmt w:val="lowerLetter"/>
        <w:lvlText w:val="%1)"/>
        <w:legacy w:legacy="1" w:legacySpace="0" w:legacyIndent="360"/>
        <w:lvlJc w:val="left"/>
        <w:pPr>
          <w:ind w:left="927" w:hanging="360"/>
        </w:pPr>
      </w:lvl>
    </w:lvlOverride>
  </w:num>
  <w:num w:numId="248">
    <w:abstractNumId w:val="78"/>
  </w:num>
  <w:num w:numId="249">
    <w:abstractNumId w:val="178"/>
  </w:num>
  <w:num w:numId="250">
    <w:abstractNumId w:val="178"/>
    <w:lvlOverride w:ilvl="0">
      <w:lvl w:ilvl="0">
        <w:start w:val="2"/>
        <w:numFmt w:val="decimal"/>
        <w:lvlText w:val="%1)"/>
        <w:legacy w:legacy="1" w:legacySpace="0" w:legacyIndent="420"/>
        <w:lvlJc w:val="left"/>
        <w:pPr>
          <w:ind w:left="987" w:hanging="420"/>
        </w:pPr>
      </w:lvl>
    </w:lvlOverride>
  </w:num>
  <w:num w:numId="251">
    <w:abstractNumId w:val="250"/>
  </w:num>
  <w:num w:numId="252">
    <w:abstractNumId w:val="242"/>
  </w:num>
  <w:num w:numId="253">
    <w:abstractNumId w:val="242"/>
    <w:lvlOverride w:ilvl="0">
      <w:lvl w:ilvl="0">
        <w:start w:val="2"/>
        <w:numFmt w:val="lowerLetter"/>
        <w:lvlText w:val="%1)"/>
        <w:legacy w:legacy="1" w:legacySpace="0" w:legacyIndent="360"/>
        <w:lvlJc w:val="left"/>
        <w:pPr>
          <w:ind w:left="927" w:hanging="360"/>
        </w:pPr>
      </w:lvl>
    </w:lvlOverride>
  </w:num>
  <w:num w:numId="254">
    <w:abstractNumId w:val="177"/>
  </w:num>
  <w:num w:numId="255">
    <w:abstractNumId w:val="177"/>
    <w:lvlOverride w:ilvl="0">
      <w:lvl w:ilvl="0">
        <w:start w:val="2"/>
        <w:numFmt w:val="decimal"/>
        <w:lvlText w:val="%1)"/>
        <w:legacy w:legacy="1" w:legacySpace="0" w:legacyIndent="420"/>
        <w:lvlJc w:val="left"/>
        <w:pPr>
          <w:ind w:left="987" w:hanging="420"/>
        </w:pPr>
      </w:lvl>
    </w:lvlOverride>
  </w:num>
  <w:num w:numId="256">
    <w:abstractNumId w:val="505"/>
  </w:num>
  <w:num w:numId="257">
    <w:abstractNumId w:val="273"/>
  </w:num>
  <w:num w:numId="258">
    <w:abstractNumId w:val="206"/>
  </w:num>
  <w:num w:numId="259">
    <w:abstractNumId w:val="181"/>
  </w:num>
  <w:num w:numId="260">
    <w:abstractNumId w:val="150"/>
  </w:num>
  <w:num w:numId="261">
    <w:abstractNumId w:val="26"/>
  </w:num>
  <w:num w:numId="262">
    <w:abstractNumId w:val="26"/>
    <w:lvlOverride w:ilvl="0">
      <w:lvl w:ilvl="0">
        <w:start w:val="2"/>
        <w:numFmt w:val="lowerLetter"/>
        <w:lvlText w:val="%1)"/>
        <w:legacy w:legacy="1" w:legacySpace="0" w:legacyIndent="360"/>
        <w:lvlJc w:val="left"/>
        <w:pPr>
          <w:ind w:left="927" w:hanging="360"/>
        </w:pPr>
      </w:lvl>
    </w:lvlOverride>
  </w:num>
  <w:num w:numId="263">
    <w:abstractNumId w:val="453"/>
  </w:num>
  <w:num w:numId="264">
    <w:abstractNumId w:val="66"/>
  </w:num>
  <w:num w:numId="265">
    <w:abstractNumId w:val="66"/>
    <w:lvlOverride w:ilvl="0">
      <w:lvl w:ilvl="0">
        <w:start w:val="2"/>
        <w:numFmt w:val="decimal"/>
        <w:lvlText w:val="%1)"/>
        <w:legacy w:legacy="1" w:legacySpace="0" w:legacyIndent="420"/>
        <w:lvlJc w:val="left"/>
        <w:pPr>
          <w:ind w:left="987" w:hanging="420"/>
        </w:pPr>
      </w:lvl>
    </w:lvlOverride>
  </w:num>
  <w:num w:numId="266">
    <w:abstractNumId w:val="305"/>
  </w:num>
  <w:num w:numId="267">
    <w:abstractNumId w:val="305"/>
    <w:lvlOverride w:ilvl="0">
      <w:lvl w:ilvl="0">
        <w:start w:val="2"/>
        <w:numFmt w:val="lowerLetter"/>
        <w:lvlText w:val="%1)"/>
        <w:legacy w:legacy="1" w:legacySpace="0" w:legacyIndent="360"/>
        <w:lvlJc w:val="left"/>
        <w:pPr>
          <w:ind w:left="927" w:hanging="360"/>
        </w:pPr>
      </w:lvl>
    </w:lvlOverride>
  </w:num>
  <w:num w:numId="268">
    <w:abstractNumId w:val="88"/>
  </w:num>
  <w:num w:numId="269">
    <w:abstractNumId w:val="88"/>
    <w:lvlOverride w:ilvl="0">
      <w:lvl w:ilvl="0">
        <w:start w:val="5"/>
        <w:numFmt w:val="decimal"/>
        <w:lvlText w:val="%1)"/>
        <w:legacy w:legacy="1" w:legacySpace="0" w:legacyIndent="420"/>
        <w:lvlJc w:val="left"/>
        <w:pPr>
          <w:ind w:left="987" w:hanging="420"/>
        </w:pPr>
      </w:lvl>
    </w:lvlOverride>
  </w:num>
  <w:num w:numId="270">
    <w:abstractNumId w:val="165"/>
  </w:num>
  <w:num w:numId="271">
    <w:abstractNumId w:val="165"/>
    <w:lvlOverride w:ilvl="0">
      <w:lvl w:ilvl="0">
        <w:start w:val="2"/>
        <w:numFmt w:val="decimal"/>
        <w:lvlText w:val="%1)"/>
        <w:legacy w:legacy="1" w:legacySpace="0" w:legacyIndent="420"/>
        <w:lvlJc w:val="left"/>
        <w:pPr>
          <w:ind w:left="987" w:hanging="420"/>
        </w:pPr>
      </w:lvl>
    </w:lvlOverride>
  </w:num>
  <w:num w:numId="272">
    <w:abstractNumId w:val="330"/>
  </w:num>
  <w:num w:numId="273">
    <w:abstractNumId w:val="330"/>
    <w:lvlOverride w:ilvl="0">
      <w:lvl w:ilvl="0">
        <w:start w:val="2"/>
        <w:numFmt w:val="decimal"/>
        <w:lvlText w:val="%1."/>
        <w:legacy w:legacy="1" w:legacySpace="0" w:legacyIndent="927"/>
        <w:lvlJc w:val="left"/>
        <w:pPr>
          <w:ind w:left="1494" w:hanging="927"/>
        </w:pPr>
      </w:lvl>
    </w:lvlOverride>
  </w:num>
  <w:num w:numId="274">
    <w:abstractNumId w:val="10"/>
    <w:lvlOverride w:ilvl="0">
      <w:lvl w:ilvl="0">
        <w:start w:val="1"/>
        <w:numFmt w:val="bullet"/>
        <w:lvlText w:val=""/>
        <w:legacy w:legacy="1" w:legacySpace="0" w:legacyIndent="360"/>
        <w:lvlJc w:val="left"/>
        <w:pPr>
          <w:ind w:left="927" w:hanging="360"/>
        </w:pPr>
        <w:rPr>
          <w:rFonts w:ascii="Wingdings" w:hAnsi="Wingdings" w:hint="default"/>
        </w:rPr>
      </w:lvl>
    </w:lvlOverride>
  </w:num>
  <w:num w:numId="275">
    <w:abstractNumId w:val="317"/>
  </w:num>
  <w:num w:numId="276">
    <w:abstractNumId w:val="317"/>
    <w:lvlOverride w:ilvl="0">
      <w:lvl w:ilvl="0">
        <w:start w:val="2"/>
        <w:numFmt w:val="lowerLetter"/>
        <w:lvlText w:val="%1)"/>
        <w:legacy w:legacy="1" w:legacySpace="0" w:legacyIndent="360"/>
        <w:lvlJc w:val="left"/>
        <w:pPr>
          <w:ind w:left="927" w:hanging="360"/>
        </w:pPr>
      </w:lvl>
    </w:lvlOverride>
  </w:num>
  <w:num w:numId="277">
    <w:abstractNumId w:val="34"/>
  </w:num>
  <w:num w:numId="278">
    <w:abstractNumId w:val="34"/>
    <w:lvlOverride w:ilvl="0">
      <w:lvl w:ilvl="0">
        <w:start w:val="2"/>
        <w:numFmt w:val="lowerLetter"/>
        <w:lvlText w:val="%1)"/>
        <w:legacy w:legacy="1" w:legacySpace="0" w:legacyIndent="360"/>
        <w:lvlJc w:val="left"/>
        <w:pPr>
          <w:ind w:left="360" w:hanging="360"/>
        </w:pPr>
      </w:lvl>
    </w:lvlOverride>
  </w:num>
  <w:num w:numId="279">
    <w:abstractNumId w:val="447"/>
  </w:num>
  <w:num w:numId="280">
    <w:abstractNumId w:val="262"/>
  </w:num>
  <w:num w:numId="281">
    <w:abstractNumId w:val="395"/>
  </w:num>
  <w:num w:numId="282">
    <w:abstractNumId w:val="392"/>
  </w:num>
  <w:num w:numId="283">
    <w:abstractNumId w:val="470"/>
  </w:num>
  <w:num w:numId="284">
    <w:abstractNumId w:val="470"/>
    <w:lvlOverride w:ilvl="0">
      <w:lvl w:ilvl="0">
        <w:start w:val="2"/>
        <w:numFmt w:val="lowerLetter"/>
        <w:lvlText w:val="%1)"/>
        <w:legacy w:legacy="1" w:legacySpace="0" w:legacyIndent="1080"/>
        <w:lvlJc w:val="left"/>
        <w:pPr>
          <w:ind w:left="1156" w:hanging="1080"/>
        </w:pPr>
      </w:lvl>
    </w:lvlOverride>
  </w:num>
  <w:num w:numId="285">
    <w:abstractNumId w:val="340"/>
  </w:num>
  <w:num w:numId="286">
    <w:abstractNumId w:val="340"/>
    <w:lvlOverride w:ilvl="0">
      <w:lvl w:ilvl="0">
        <w:start w:val="2"/>
        <w:numFmt w:val="lowerLetter"/>
        <w:lvlText w:val="%1)"/>
        <w:legacy w:legacy="1" w:legacySpace="0" w:legacyIndent="360"/>
        <w:lvlJc w:val="left"/>
        <w:pPr>
          <w:ind w:left="927" w:hanging="360"/>
        </w:pPr>
      </w:lvl>
    </w:lvlOverride>
  </w:num>
  <w:num w:numId="287">
    <w:abstractNumId w:val="265"/>
  </w:num>
  <w:num w:numId="288">
    <w:abstractNumId w:val="265"/>
    <w:lvlOverride w:ilvl="0">
      <w:lvl w:ilvl="0">
        <w:start w:val="2"/>
        <w:numFmt w:val="decimal"/>
        <w:lvlText w:val="%1)"/>
        <w:legacy w:legacy="1" w:legacySpace="0" w:legacyIndent="420"/>
        <w:lvlJc w:val="left"/>
        <w:pPr>
          <w:ind w:left="987" w:hanging="420"/>
        </w:pPr>
      </w:lvl>
    </w:lvlOverride>
  </w:num>
  <w:num w:numId="289">
    <w:abstractNumId w:val="131"/>
  </w:num>
  <w:num w:numId="290">
    <w:abstractNumId w:val="131"/>
    <w:lvlOverride w:ilvl="0">
      <w:lvl w:ilvl="0">
        <w:start w:val="2"/>
        <w:numFmt w:val="lowerLetter"/>
        <w:lvlText w:val="%1)"/>
        <w:legacy w:legacy="1" w:legacySpace="0" w:legacyIndent="360"/>
        <w:lvlJc w:val="left"/>
        <w:pPr>
          <w:ind w:left="1211" w:hanging="360"/>
        </w:pPr>
      </w:lvl>
    </w:lvlOverride>
  </w:num>
  <w:num w:numId="291">
    <w:abstractNumId w:val="468"/>
  </w:num>
  <w:num w:numId="292">
    <w:abstractNumId w:val="468"/>
    <w:lvlOverride w:ilvl="0">
      <w:lvl w:ilvl="0">
        <w:start w:val="4"/>
        <w:numFmt w:val="decimal"/>
        <w:lvlText w:val="%1)"/>
        <w:legacy w:legacy="1" w:legacySpace="0" w:legacyIndent="420"/>
        <w:lvlJc w:val="left"/>
        <w:pPr>
          <w:ind w:left="987" w:hanging="420"/>
        </w:pPr>
      </w:lvl>
    </w:lvlOverride>
  </w:num>
  <w:num w:numId="293">
    <w:abstractNumId w:val="438"/>
  </w:num>
  <w:num w:numId="294">
    <w:abstractNumId w:val="438"/>
    <w:lvlOverride w:ilvl="0">
      <w:lvl w:ilvl="0">
        <w:start w:val="2"/>
        <w:numFmt w:val="lowerLetter"/>
        <w:lvlText w:val="%1."/>
        <w:legacy w:legacy="1" w:legacySpace="0" w:legacyIndent="1444"/>
        <w:lvlJc w:val="left"/>
        <w:pPr>
          <w:ind w:left="2528" w:hanging="1444"/>
        </w:pPr>
      </w:lvl>
    </w:lvlOverride>
  </w:num>
  <w:num w:numId="295">
    <w:abstractNumId w:val="285"/>
  </w:num>
  <w:num w:numId="296">
    <w:abstractNumId w:val="285"/>
    <w:lvlOverride w:ilvl="0">
      <w:lvl w:ilvl="0">
        <w:start w:val="2"/>
        <w:numFmt w:val="lowerLetter"/>
        <w:lvlText w:val="%1."/>
        <w:legacy w:legacy="1" w:legacySpace="0" w:legacyIndent="1077"/>
        <w:lvlJc w:val="left"/>
        <w:pPr>
          <w:ind w:left="1794" w:hanging="1077"/>
        </w:pPr>
      </w:lvl>
    </w:lvlOverride>
  </w:num>
  <w:num w:numId="297">
    <w:abstractNumId w:val="349"/>
  </w:num>
  <w:num w:numId="298">
    <w:abstractNumId w:val="349"/>
    <w:lvlOverride w:ilvl="0">
      <w:lvl w:ilvl="0">
        <w:start w:val="2"/>
        <w:numFmt w:val="lowerLetter"/>
        <w:lvlText w:val="%1."/>
        <w:legacy w:legacy="1" w:legacySpace="0" w:legacyIndent="1636"/>
        <w:lvlJc w:val="left"/>
        <w:pPr>
          <w:ind w:left="2487" w:hanging="1636"/>
        </w:pPr>
      </w:lvl>
    </w:lvlOverride>
  </w:num>
  <w:num w:numId="299">
    <w:abstractNumId w:val="10"/>
    <w:lvlOverride w:ilvl="0">
      <w:lvl w:ilvl="0">
        <w:start w:val="1"/>
        <w:numFmt w:val="bullet"/>
        <w:lvlText w:val=""/>
        <w:legacy w:legacy="1" w:legacySpace="0" w:legacyIndent="360"/>
        <w:lvlJc w:val="left"/>
        <w:pPr>
          <w:ind w:left="927" w:hanging="360"/>
        </w:pPr>
        <w:rPr>
          <w:rFonts w:ascii="Symbol" w:hAnsi="Symbol" w:hint="default"/>
        </w:rPr>
      </w:lvl>
    </w:lvlOverride>
  </w:num>
  <w:num w:numId="300">
    <w:abstractNumId w:val="10"/>
    <w:lvlOverride w:ilvl="0">
      <w:lvl w:ilvl="0">
        <w:start w:val="1"/>
        <w:numFmt w:val="bullet"/>
        <w:lvlText w:val=""/>
        <w:legacy w:legacy="1" w:legacySpace="0" w:legacyIndent="360"/>
        <w:lvlJc w:val="left"/>
        <w:pPr>
          <w:ind w:left="785" w:hanging="360"/>
        </w:pPr>
        <w:rPr>
          <w:rFonts w:ascii="Wingdings" w:hAnsi="Wingdings" w:hint="default"/>
        </w:rPr>
      </w:lvl>
    </w:lvlOverride>
  </w:num>
  <w:num w:numId="301">
    <w:abstractNumId w:val="37"/>
  </w:num>
  <w:num w:numId="302">
    <w:abstractNumId w:val="37"/>
    <w:lvlOverride w:ilvl="0">
      <w:lvl w:ilvl="0">
        <w:start w:val="2"/>
        <w:numFmt w:val="decimal"/>
        <w:lvlText w:val="%1)"/>
        <w:legacy w:legacy="1" w:legacySpace="0" w:legacyIndent="420"/>
        <w:lvlJc w:val="left"/>
        <w:pPr>
          <w:ind w:left="993" w:hanging="420"/>
        </w:pPr>
      </w:lvl>
    </w:lvlOverride>
  </w:num>
  <w:num w:numId="303">
    <w:abstractNumId w:val="92"/>
  </w:num>
  <w:num w:numId="304">
    <w:abstractNumId w:val="92"/>
    <w:lvlOverride w:ilvl="0">
      <w:lvl w:ilvl="0">
        <w:start w:val="2"/>
        <w:numFmt w:val="decimal"/>
        <w:lvlText w:val="%1)"/>
        <w:legacy w:legacy="1" w:legacySpace="0" w:legacyIndent="420"/>
        <w:lvlJc w:val="left"/>
        <w:pPr>
          <w:ind w:left="420" w:hanging="420"/>
        </w:pPr>
      </w:lvl>
    </w:lvlOverride>
  </w:num>
  <w:num w:numId="305">
    <w:abstractNumId w:val="510"/>
  </w:num>
  <w:num w:numId="306">
    <w:abstractNumId w:val="10"/>
    <w:lvlOverride w:ilvl="0">
      <w:lvl w:ilvl="0">
        <w:start w:val="1"/>
        <w:numFmt w:val="bullet"/>
        <w:lvlText w:val="-"/>
        <w:legacy w:legacy="1" w:legacySpace="0" w:legacyIndent="360"/>
        <w:lvlJc w:val="left"/>
        <w:pPr>
          <w:ind w:left="360" w:hanging="360"/>
        </w:pPr>
      </w:lvl>
    </w:lvlOverride>
  </w:num>
  <w:num w:numId="307">
    <w:abstractNumId w:val="10"/>
    <w:lvlOverride w:ilvl="0">
      <w:lvl w:ilvl="0">
        <w:start w:val="9"/>
        <w:numFmt w:val="bullet"/>
        <w:lvlText w:val="-"/>
        <w:legacy w:legacy="1" w:legacySpace="0" w:legacyIndent="435"/>
        <w:lvlJc w:val="left"/>
        <w:pPr>
          <w:ind w:left="510" w:hanging="435"/>
        </w:pPr>
      </w:lvl>
    </w:lvlOverride>
  </w:num>
  <w:num w:numId="308">
    <w:abstractNumId w:val="167"/>
  </w:num>
  <w:num w:numId="309">
    <w:abstractNumId w:val="316"/>
  </w:num>
  <w:num w:numId="310">
    <w:abstractNumId w:val="316"/>
    <w:lvlOverride w:ilvl="0">
      <w:lvl w:ilvl="0">
        <w:start w:val="2"/>
        <w:numFmt w:val="upperRoman"/>
        <w:lvlText w:val="%1."/>
        <w:legacy w:legacy="1" w:legacySpace="0" w:legacyIndent="720"/>
        <w:lvlJc w:val="left"/>
        <w:pPr>
          <w:ind w:left="1004" w:hanging="720"/>
        </w:pPr>
      </w:lvl>
    </w:lvlOverride>
  </w:num>
  <w:num w:numId="311">
    <w:abstractNumId w:val="331"/>
  </w:num>
  <w:num w:numId="312">
    <w:abstractNumId w:val="429"/>
  </w:num>
  <w:num w:numId="313">
    <w:abstractNumId w:val="429"/>
    <w:lvlOverride w:ilvl="0">
      <w:lvl w:ilvl="0">
        <w:start w:val="2"/>
        <w:numFmt w:val="lowerLetter"/>
        <w:lvlText w:val="%1)"/>
        <w:legacy w:legacy="1" w:legacySpace="0" w:legacyIndent="360"/>
        <w:lvlJc w:val="left"/>
        <w:pPr>
          <w:ind w:left="1211" w:hanging="360"/>
        </w:pPr>
      </w:lvl>
    </w:lvlOverride>
  </w:num>
  <w:num w:numId="314">
    <w:abstractNumId w:val="259"/>
  </w:num>
  <w:num w:numId="315">
    <w:abstractNumId w:val="259"/>
    <w:lvlOverride w:ilvl="0">
      <w:lvl w:ilvl="0">
        <w:start w:val="4"/>
        <w:numFmt w:val="upperRoman"/>
        <w:lvlText w:val="%1."/>
        <w:legacy w:legacy="1" w:legacySpace="0" w:legacyIndent="720"/>
        <w:lvlJc w:val="left"/>
        <w:pPr>
          <w:ind w:left="1004" w:hanging="720"/>
        </w:pPr>
      </w:lvl>
    </w:lvlOverride>
  </w:num>
  <w:num w:numId="316">
    <w:abstractNumId w:val="264"/>
  </w:num>
  <w:num w:numId="317">
    <w:abstractNumId w:val="462"/>
  </w:num>
  <w:num w:numId="318">
    <w:abstractNumId w:val="388"/>
  </w:num>
  <w:num w:numId="319">
    <w:abstractNumId w:val="130"/>
  </w:num>
  <w:num w:numId="320">
    <w:abstractNumId w:val="424"/>
  </w:num>
  <w:num w:numId="321">
    <w:abstractNumId w:val="146"/>
  </w:num>
  <w:num w:numId="322">
    <w:abstractNumId w:val="140"/>
  </w:num>
  <w:num w:numId="323">
    <w:abstractNumId w:val="323"/>
  </w:num>
  <w:num w:numId="324">
    <w:abstractNumId w:val="384"/>
  </w:num>
  <w:num w:numId="325">
    <w:abstractNumId w:val="21"/>
  </w:num>
  <w:num w:numId="326">
    <w:abstractNumId w:val="367"/>
  </w:num>
  <w:num w:numId="327">
    <w:abstractNumId w:val="97"/>
  </w:num>
  <w:num w:numId="328">
    <w:abstractNumId w:val="475"/>
  </w:num>
  <w:num w:numId="329">
    <w:abstractNumId w:val="353"/>
  </w:num>
  <w:num w:numId="330">
    <w:abstractNumId w:val="308"/>
  </w:num>
  <w:num w:numId="331">
    <w:abstractNumId w:val="239"/>
  </w:num>
  <w:num w:numId="332">
    <w:abstractNumId w:val="136"/>
  </w:num>
  <w:num w:numId="333">
    <w:abstractNumId w:val="29"/>
  </w:num>
  <w:num w:numId="334">
    <w:abstractNumId w:val="93"/>
  </w:num>
  <w:num w:numId="335">
    <w:abstractNumId w:val="450"/>
  </w:num>
  <w:num w:numId="336">
    <w:abstractNumId w:val="472"/>
  </w:num>
  <w:num w:numId="337">
    <w:abstractNumId w:val="193"/>
  </w:num>
  <w:num w:numId="338">
    <w:abstractNumId w:val="118"/>
  </w:num>
  <w:num w:numId="339">
    <w:abstractNumId w:val="499"/>
  </w:num>
  <w:num w:numId="340">
    <w:abstractNumId w:val="236"/>
  </w:num>
  <w:num w:numId="341">
    <w:abstractNumId w:val="314"/>
  </w:num>
  <w:num w:numId="342">
    <w:abstractNumId w:val="496"/>
  </w:num>
  <w:num w:numId="343">
    <w:abstractNumId w:val="11"/>
  </w:num>
  <w:num w:numId="344">
    <w:abstractNumId w:val="346"/>
  </w:num>
  <w:num w:numId="345">
    <w:abstractNumId w:val="20"/>
  </w:num>
  <w:num w:numId="346">
    <w:abstractNumId w:val="506"/>
  </w:num>
  <w:num w:numId="347">
    <w:abstractNumId w:val="381"/>
  </w:num>
  <w:num w:numId="348">
    <w:abstractNumId w:val="116"/>
  </w:num>
  <w:num w:numId="349">
    <w:abstractNumId w:val="89"/>
  </w:num>
  <w:num w:numId="350">
    <w:abstractNumId w:val="40"/>
  </w:num>
  <w:num w:numId="351">
    <w:abstractNumId w:val="117"/>
  </w:num>
  <w:num w:numId="352">
    <w:abstractNumId w:val="515"/>
  </w:num>
  <w:num w:numId="353">
    <w:abstractNumId w:val="233"/>
  </w:num>
  <w:num w:numId="354">
    <w:abstractNumId w:val="64"/>
  </w:num>
  <w:num w:numId="355">
    <w:abstractNumId w:val="217"/>
  </w:num>
  <w:num w:numId="356">
    <w:abstractNumId w:val="251"/>
  </w:num>
  <w:num w:numId="357">
    <w:abstractNumId w:val="106"/>
  </w:num>
  <w:num w:numId="358">
    <w:abstractNumId w:val="54"/>
  </w:num>
  <w:num w:numId="359">
    <w:abstractNumId w:val="461"/>
  </w:num>
  <w:num w:numId="360">
    <w:abstractNumId w:val="159"/>
  </w:num>
  <w:num w:numId="361">
    <w:abstractNumId w:val="301"/>
  </w:num>
  <w:num w:numId="362">
    <w:abstractNumId w:val="428"/>
  </w:num>
  <w:num w:numId="363">
    <w:abstractNumId w:val="14"/>
  </w:num>
  <w:num w:numId="364">
    <w:abstractNumId w:val="104"/>
  </w:num>
  <w:num w:numId="365">
    <w:abstractNumId w:val="480"/>
  </w:num>
  <w:num w:numId="366">
    <w:abstractNumId w:val="122"/>
  </w:num>
  <w:num w:numId="367">
    <w:abstractNumId w:val="201"/>
  </w:num>
  <w:num w:numId="368">
    <w:abstractNumId w:val="434"/>
  </w:num>
  <w:num w:numId="369">
    <w:abstractNumId w:val="61"/>
  </w:num>
  <w:num w:numId="370">
    <w:abstractNumId w:val="283"/>
  </w:num>
  <w:num w:numId="371">
    <w:abstractNumId w:val="489"/>
  </w:num>
  <w:num w:numId="372">
    <w:abstractNumId w:val="469"/>
  </w:num>
  <w:num w:numId="373">
    <w:abstractNumId w:val="418"/>
  </w:num>
  <w:num w:numId="374">
    <w:abstractNumId w:val="313"/>
  </w:num>
  <w:num w:numId="375">
    <w:abstractNumId w:val="71"/>
  </w:num>
  <w:num w:numId="376">
    <w:abstractNumId w:val="72"/>
  </w:num>
  <w:num w:numId="377">
    <w:abstractNumId w:val="393"/>
  </w:num>
  <w:num w:numId="378">
    <w:abstractNumId w:val="164"/>
    <w:lvlOverride w:ilvl="0">
      <w:startOverride w:val="1"/>
    </w:lvlOverride>
  </w:num>
  <w:num w:numId="379">
    <w:abstractNumId w:val="501"/>
    <w:lvlOverride w:ilvl="0">
      <w:startOverride w:val="1"/>
    </w:lvlOverride>
  </w:num>
  <w:num w:numId="380">
    <w:abstractNumId w:val="451"/>
  </w:num>
  <w:num w:numId="381">
    <w:abstractNumId w:val="261"/>
  </w:num>
  <w:num w:numId="382">
    <w:abstractNumId w:val="134"/>
  </w:num>
  <w:num w:numId="383">
    <w:abstractNumId w:val="188"/>
  </w:num>
  <w:num w:numId="384">
    <w:abstractNumId w:val="232"/>
  </w:num>
  <w:num w:numId="385">
    <w:abstractNumId w:val="284"/>
  </w:num>
  <w:num w:numId="386">
    <w:abstractNumId w:val="514"/>
  </w:num>
  <w:num w:numId="387">
    <w:abstractNumId w:val="342"/>
  </w:num>
  <w:num w:numId="388">
    <w:abstractNumId w:val="215"/>
  </w:num>
  <w:num w:numId="389">
    <w:abstractNumId w:val="413"/>
  </w:num>
  <w:num w:numId="390">
    <w:abstractNumId w:val="440"/>
  </w:num>
  <w:num w:numId="391">
    <w:abstractNumId w:val="235"/>
  </w:num>
  <w:num w:numId="392">
    <w:abstractNumId w:val="437"/>
  </w:num>
  <w:num w:numId="393">
    <w:abstractNumId w:val="170"/>
  </w:num>
  <w:num w:numId="394">
    <w:abstractNumId w:val="225"/>
  </w:num>
  <w:num w:numId="395">
    <w:abstractNumId w:val="309"/>
  </w:num>
  <w:num w:numId="396">
    <w:abstractNumId w:val="203"/>
  </w:num>
  <w:num w:numId="397">
    <w:abstractNumId w:val="509"/>
  </w:num>
  <w:num w:numId="398">
    <w:abstractNumId w:val="35"/>
  </w:num>
  <w:num w:numId="399">
    <w:abstractNumId w:val="454"/>
  </w:num>
  <w:num w:numId="400">
    <w:abstractNumId w:val="205"/>
  </w:num>
  <w:num w:numId="401">
    <w:abstractNumId w:val="223"/>
  </w:num>
  <w:num w:numId="402">
    <w:abstractNumId w:val="99"/>
  </w:num>
  <w:num w:numId="403">
    <w:abstractNumId w:val="373"/>
  </w:num>
  <w:num w:numId="404">
    <w:abstractNumId w:val="18"/>
  </w:num>
  <w:num w:numId="405">
    <w:abstractNumId w:val="17"/>
  </w:num>
  <w:num w:numId="406">
    <w:abstractNumId w:val="397"/>
  </w:num>
  <w:num w:numId="407">
    <w:abstractNumId w:val="421"/>
  </w:num>
  <w:num w:numId="408">
    <w:abstractNumId w:val="292"/>
  </w:num>
  <w:num w:numId="409">
    <w:abstractNumId w:val="379"/>
  </w:num>
  <w:num w:numId="410">
    <w:abstractNumId w:val="289"/>
  </w:num>
  <w:num w:numId="411">
    <w:abstractNumId w:val="86"/>
  </w:num>
  <w:num w:numId="412">
    <w:abstractNumId w:val="358"/>
  </w:num>
  <w:num w:numId="413">
    <w:abstractNumId w:val="422"/>
  </w:num>
  <w:num w:numId="414">
    <w:abstractNumId w:val="110"/>
  </w:num>
  <w:num w:numId="415">
    <w:abstractNumId w:val="58"/>
  </w:num>
  <w:num w:numId="416">
    <w:abstractNumId w:val="15"/>
  </w:num>
  <w:num w:numId="417">
    <w:abstractNumId w:val="360"/>
  </w:num>
  <w:num w:numId="418">
    <w:abstractNumId w:val="38"/>
  </w:num>
  <w:num w:numId="419">
    <w:abstractNumId w:val="218"/>
  </w:num>
  <w:num w:numId="420">
    <w:abstractNumId w:val="401"/>
  </w:num>
  <w:num w:numId="421">
    <w:abstractNumId w:val="398"/>
  </w:num>
  <w:num w:numId="422">
    <w:abstractNumId w:val="463"/>
  </w:num>
  <w:num w:numId="423">
    <w:abstractNumId w:val="400"/>
  </w:num>
  <w:num w:numId="424">
    <w:abstractNumId w:val="359"/>
  </w:num>
  <w:num w:numId="425">
    <w:abstractNumId w:val="497"/>
  </w:num>
  <w:num w:numId="426">
    <w:abstractNumId w:val="298"/>
  </w:num>
  <w:num w:numId="427">
    <w:abstractNumId w:val="377"/>
  </w:num>
  <w:num w:numId="428">
    <w:abstractNumId w:val="42"/>
  </w:num>
  <w:num w:numId="429">
    <w:abstractNumId w:val="82"/>
  </w:num>
  <w:num w:numId="430">
    <w:abstractNumId w:val="254"/>
  </w:num>
  <w:num w:numId="431">
    <w:abstractNumId w:val="343"/>
  </w:num>
  <w:num w:numId="432">
    <w:abstractNumId w:val="192"/>
  </w:num>
  <w:num w:numId="433">
    <w:abstractNumId w:val="263"/>
  </w:num>
  <w:num w:numId="434">
    <w:abstractNumId w:val="326"/>
  </w:num>
  <w:num w:numId="435">
    <w:abstractNumId w:val="105"/>
  </w:num>
  <w:num w:numId="436">
    <w:abstractNumId w:val="467"/>
  </w:num>
  <w:num w:numId="437">
    <w:abstractNumId w:val="224"/>
  </w:num>
  <w:num w:numId="438">
    <w:abstractNumId w:val="169"/>
  </w:num>
  <w:num w:numId="439">
    <w:abstractNumId w:val="228"/>
  </w:num>
  <w:num w:numId="440">
    <w:abstractNumId w:val="98"/>
  </w:num>
  <w:num w:numId="441">
    <w:abstractNumId w:val="221"/>
  </w:num>
  <w:num w:numId="442">
    <w:abstractNumId w:val="133"/>
  </w:num>
  <w:num w:numId="443">
    <w:abstractNumId w:val="276"/>
  </w:num>
  <w:num w:numId="444">
    <w:abstractNumId w:val="13"/>
  </w:num>
  <w:num w:numId="445">
    <w:abstractNumId w:val="179"/>
  </w:num>
  <w:num w:numId="446">
    <w:abstractNumId w:val="95"/>
  </w:num>
  <w:num w:numId="447">
    <w:abstractNumId w:val="100"/>
  </w:num>
  <w:num w:numId="448">
    <w:abstractNumId w:val="350"/>
  </w:num>
  <w:num w:numId="449">
    <w:abstractNumId w:val="364"/>
  </w:num>
  <w:num w:numId="450">
    <w:abstractNumId w:val="128"/>
  </w:num>
  <w:num w:numId="451">
    <w:abstractNumId w:val="299"/>
  </w:num>
  <w:num w:numId="452">
    <w:abstractNumId w:val="90"/>
  </w:num>
  <w:num w:numId="453">
    <w:abstractNumId w:val="231"/>
  </w:num>
  <w:num w:numId="454">
    <w:abstractNumId w:val="145"/>
  </w:num>
  <w:num w:numId="455">
    <w:abstractNumId w:val="372"/>
  </w:num>
  <w:num w:numId="456">
    <w:abstractNumId w:val="83"/>
  </w:num>
  <w:num w:numId="457">
    <w:abstractNumId w:val="175"/>
  </w:num>
  <w:num w:numId="458">
    <w:abstractNumId w:val="272"/>
  </w:num>
  <w:num w:numId="459">
    <w:abstractNumId w:val="158"/>
  </w:num>
  <w:num w:numId="460">
    <w:abstractNumId w:val="351"/>
  </w:num>
  <w:num w:numId="461">
    <w:abstractNumId w:val="115"/>
  </w:num>
  <w:num w:numId="462">
    <w:abstractNumId w:val="477"/>
  </w:num>
  <w:num w:numId="463">
    <w:abstractNumId w:val="415"/>
  </w:num>
  <w:num w:numId="464">
    <w:abstractNumId w:val="319"/>
  </w:num>
  <w:num w:numId="465">
    <w:abstractNumId w:val="36"/>
  </w:num>
  <w:num w:numId="466">
    <w:abstractNumId w:val="65"/>
  </w:num>
  <w:num w:numId="467">
    <w:abstractNumId w:val="240"/>
  </w:num>
  <w:num w:numId="468">
    <w:abstractNumId w:val="339"/>
  </w:num>
  <w:num w:numId="469">
    <w:abstractNumId w:val="371"/>
  </w:num>
  <w:num w:numId="470">
    <w:abstractNumId w:val="209"/>
  </w:num>
  <w:num w:numId="471">
    <w:abstractNumId w:val="56"/>
  </w:num>
  <w:num w:numId="472">
    <w:abstractNumId w:val="442"/>
  </w:num>
  <w:num w:numId="473">
    <w:abstractNumId w:val="213"/>
  </w:num>
  <w:num w:numId="474">
    <w:abstractNumId w:val="156"/>
  </w:num>
  <w:num w:numId="475">
    <w:abstractNumId w:val="476"/>
  </w:num>
  <w:num w:numId="476">
    <w:abstractNumId w:val="348"/>
  </w:num>
  <w:num w:numId="477">
    <w:abstractNumId w:val="84"/>
  </w:num>
  <w:num w:numId="478">
    <w:abstractNumId w:val="257"/>
  </w:num>
  <w:num w:numId="479">
    <w:abstractNumId w:val="417"/>
  </w:num>
  <w:num w:numId="480">
    <w:abstractNumId w:val="414"/>
  </w:num>
  <w:num w:numId="481">
    <w:abstractNumId w:val="23"/>
  </w:num>
  <w:num w:numId="482">
    <w:abstractNumId w:val="474"/>
  </w:num>
  <w:num w:numId="483">
    <w:abstractNumId w:val="129"/>
  </w:num>
  <w:num w:numId="484">
    <w:abstractNumId w:val="153"/>
  </w:num>
  <w:num w:numId="485">
    <w:abstractNumId w:val="354"/>
  </w:num>
  <w:num w:numId="486">
    <w:abstractNumId w:val="490"/>
  </w:num>
  <w:num w:numId="487">
    <w:abstractNumId w:val="152"/>
  </w:num>
  <w:num w:numId="488">
    <w:abstractNumId w:val="212"/>
  </w:num>
  <w:num w:numId="489">
    <w:abstractNumId w:val="176"/>
  </w:num>
  <w:num w:numId="490">
    <w:abstractNumId w:val="456"/>
  </w:num>
  <w:num w:numId="491">
    <w:abstractNumId w:val="252"/>
  </w:num>
  <w:num w:numId="492">
    <w:abstractNumId w:val="356"/>
  </w:num>
  <w:num w:numId="493">
    <w:abstractNumId w:val="436"/>
  </w:num>
  <w:num w:numId="494">
    <w:abstractNumId w:val="187"/>
  </w:num>
  <w:num w:numId="495">
    <w:abstractNumId w:val="114"/>
  </w:num>
  <w:num w:numId="496">
    <w:abstractNumId w:val="366"/>
  </w:num>
  <w:num w:numId="497">
    <w:abstractNumId w:val="139"/>
  </w:num>
  <w:num w:numId="498">
    <w:abstractNumId w:val="211"/>
  </w:num>
  <w:num w:numId="499">
    <w:abstractNumId w:val="411"/>
  </w:num>
  <w:num w:numId="500">
    <w:abstractNumId w:val="280"/>
  </w:num>
  <w:num w:numId="501">
    <w:abstractNumId w:val="172"/>
  </w:num>
  <w:num w:numId="502">
    <w:abstractNumId w:val="113"/>
  </w:num>
  <w:num w:numId="503">
    <w:abstractNumId w:val="32"/>
  </w:num>
  <w:num w:numId="504">
    <w:abstractNumId w:val="500"/>
  </w:num>
  <w:num w:numId="505">
    <w:abstractNumId w:val="202"/>
  </w:num>
  <w:num w:numId="506">
    <w:abstractNumId w:val="291"/>
  </w:num>
  <w:num w:numId="507">
    <w:abstractNumId w:val="419"/>
  </w:num>
  <w:num w:numId="508">
    <w:abstractNumId w:val="268"/>
  </w:num>
  <w:num w:numId="509">
    <w:abstractNumId w:val="328"/>
  </w:num>
  <w:num w:numId="510">
    <w:abstractNumId w:val="286"/>
  </w:num>
  <w:num w:numId="511">
    <w:abstractNumId w:val="255"/>
  </w:num>
  <w:num w:numId="512">
    <w:abstractNumId w:val="336"/>
  </w:num>
  <w:num w:numId="513">
    <w:abstractNumId w:val="12"/>
  </w:num>
  <w:num w:numId="514">
    <w:abstractNumId w:val="403"/>
  </w:num>
  <w:num w:numId="515">
    <w:abstractNumId w:val="404"/>
  </w:num>
  <w:num w:numId="516">
    <w:abstractNumId w:val="182"/>
  </w:num>
  <w:num w:numId="517">
    <w:abstractNumId w:val="94"/>
  </w:num>
  <w:num w:numId="518">
    <w:abstractNumId w:val="412"/>
  </w:num>
  <w:num w:numId="519">
    <w:abstractNumId w:val="492"/>
  </w:num>
  <w:num w:numId="520">
    <w:abstractNumId w:val="503"/>
  </w:num>
  <w:num w:numId="521">
    <w:abstractNumId w:val="183"/>
  </w:num>
  <w:num w:numId="522">
    <w:abstractNumId w:val="120"/>
  </w:num>
  <w:num w:numId="523">
    <w:abstractNumId w:val="465"/>
  </w:num>
  <w:num w:numId="524">
    <w:abstractNumId w:val="31"/>
  </w:num>
  <w:num w:numId="525">
    <w:abstractNumId w:val="112"/>
  </w:num>
  <w:num w:numId="526">
    <w:abstractNumId w:val="345"/>
  </w:num>
  <w:num w:numId="527">
    <w:abstractNumId w:val="478"/>
  </w:num>
  <w:num w:numId="528">
    <w:abstractNumId w:val="482"/>
  </w:num>
  <w:num w:numId="529">
    <w:abstractNumId w:val="448"/>
  </w:num>
  <w:num w:numId="530">
    <w:abstractNumId w:val="459"/>
  </w:num>
  <w:num w:numId="531">
    <w:abstractNumId w:val="163"/>
  </w:num>
  <w:num w:numId="532">
    <w:abstractNumId w:val="405"/>
  </w:num>
  <w:num w:numId="533">
    <w:abstractNumId w:val="147"/>
  </w:num>
  <w:num w:numId="534">
    <w:abstractNumId w:val="382"/>
  </w:num>
  <w:num w:numId="535">
    <w:abstractNumId w:val="81"/>
  </w:num>
  <w:num w:numId="536">
    <w:abstractNumId w:val="41"/>
  </w:num>
  <w:num w:numId="537">
    <w:abstractNumId w:val="258"/>
  </w:num>
  <w:num w:numId="538">
    <w:abstractNumId w:val="47"/>
  </w:num>
  <w:num w:numId="539">
    <w:abstractNumId w:val="45"/>
  </w:num>
  <w:num w:numId="540">
    <w:abstractNumId w:val="304"/>
  </w:num>
  <w:num w:numId="541">
    <w:abstractNumId w:val="512"/>
  </w:num>
  <w:num w:numId="542">
    <w:abstractNumId w:val="341"/>
  </w:num>
  <w:num w:numId="543">
    <w:abstractNumId w:val="281"/>
  </w:num>
  <w:num w:numId="544">
    <w:abstractNumId w:val="197"/>
  </w:num>
  <w:num w:numId="545">
    <w:abstractNumId w:val="190"/>
  </w:num>
  <w:num w:numId="546">
    <w:abstractNumId w:val="369"/>
  </w:num>
  <w:num w:numId="547">
    <w:abstractNumId w:val="44"/>
  </w:num>
  <w:num w:numId="548">
    <w:abstractNumId w:val="207"/>
  </w:num>
  <w:num w:numId="549">
    <w:abstractNumId w:val="278"/>
  </w:num>
  <w:num w:numId="550">
    <w:abstractNumId w:val="473"/>
  </w:num>
  <w:num w:numId="551">
    <w:abstractNumId w:val="402"/>
  </w:num>
  <w:num w:numId="552">
    <w:abstractNumId w:val="452"/>
  </w:num>
  <w:num w:numId="553">
    <w:abstractNumId w:val="431"/>
  </w:num>
  <w:num w:numId="554">
    <w:abstractNumId w:val="306"/>
  </w:num>
  <w:num w:numId="555">
    <w:abstractNumId w:val="335"/>
  </w:num>
  <w:num w:numId="556">
    <w:abstractNumId w:val="204"/>
  </w:num>
  <w:num w:numId="557">
    <w:abstractNumId w:val="332"/>
  </w:num>
  <w:num w:numId="558">
    <w:abstractNumId w:val="390"/>
  </w:num>
  <w:num w:numId="559">
    <w:abstractNumId w:val="137"/>
  </w:num>
  <w:num w:numId="560">
    <w:abstractNumId w:val="39"/>
  </w:num>
  <w:num w:numId="561">
    <w:abstractNumId w:val="432"/>
  </w:num>
  <w:num w:numId="562">
    <w:abstractNumId w:val="249"/>
  </w:num>
  <w:num w:numId="563">
    <w:abstractNumId w:val="318"/>
  </w:num>
  <w:num w:numId="564">
    <w:abstractNumId w:val="311"/>
  </w:num>
  <w:num w:numId="565">
    <w:abstractNumId w:val="260"/>
  </w:num>
  <w:num w:numId="566">
    <w:abstractNumId w:val="69"/>
  </w:num>
  <w:num w:numId="567">
    <w:abstractNumId w:val="237"/>
  </w:num>
  <w:num w:numId="568">
    <w:abstractNumId w:val="238"/>
  </w:num>
  <w:num w:numId="569">
    <w:abstractNumId w:val="274"/>
  </w:num>
  <w:num w:numId="570">
    <w:abstractNumId w:val="491"/>
  </w:num>
  <w:num w:numId="571">
    <w:abstractNumId w:val="227"/>
  </w:num>
  <w:num w:numId="572">
    <w:abstractNumId w:val="271"/>
  </w:num>
  <w:num w:numId="573">
    <w:abstractNumId w:val="229"/>
  </w:num>
  <w:num w:numId="574">
    <w:abstractNumId w:val="352"/>
  </w:num>
  <w:num w:numId="575">
    <w:abstractNumId w:val="486"/>
  </w:num>
  <w:num w:numId="576">
    <w:abstractNumId w:val="396"/>
  </w:num>
  <w:num w:numId="577">
    <w:abstractNumId w:val="368"/>
  </w:num>
  <w:num w:numId="578">
    <w:abstractNumId w:val="399"/>
  </w:num>
  <w:num w:numId="579">
    <w:abstractNumId w:val="108"/>
  </w:num>
  <w:num w:numId="580">
    <w:abstractNumId w:val="321"/>
  </w:num>
  <w:num w:numId="581">
    <w:abstractNumId w:val="269"/>
  </w:num>
  <w:num w:numId="582">
    <w:abstractNumId w:val="315"/>
  </w:num>
  <w:num w:numId="583">
    <w:abstractNumId w:val="219"/>
  </w:num>
  <w:num w:numId="584">
    <w:abstractNumId w:val="57"/>
  </w:num>
  <w:num w:numId="585">
    <w:abstractNumId w:val="357"/>
  </w:num>
  <w:num w:numId="586">
    <w:abstractNumId w:val="80"/>
  </w:num>
  <w:num w:numId="587">
    <w:abstractNumId w:val="30"/>
  </w:num>
  <w:num w:numId="588">
    <w:abstractNumId w:val="161"/>
  </w:num>
  <w:num w:numId="589">
    <w:abstractNumId w:val="85"/>
  </w:num>
  <w:num w:numId="590">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colormenu v:ext="edit" strokecolor="white"/>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Rom1">
    <w:name w:val="Rom1"/>
    <w:basedOn w:val="Normal"/>
    <w:pPr>
      <w:numPr>
        <w:numId w:val="123"/>
      </w:numPr>
      <w:tabs>
        <w:tab w:val="num" w:pos="720"/>
      </w:tabs>
      <w:overflowPunct/>
      <w:adjustRightInd/>
      <w:snapToGrid/>
      <w:spacing w:after="240" w:line="240" w:lineRule="auto"/>
      <w:jc w:val="left"/>
    </w:pPr>
    <w:rPr>
      <w:rFonts w:eastAsia="PMingLiU"/>
      <w:snapToGrid/>
      <w:spacing w:val="0"/>
      <w:lang w:val="en-GB" w:eastAsia="en-US"/>
    </w:rPr>
  </w:style>
  <w:style w:type="paragraph" w:customStyle="1" w:styleId="Rom2">
    <w:name w:val="Rom2"/>
    <w:basedOn w:val="Normal"/>
    <w:pPr>
      <w:numPr>
        <w:numId w:val="124"/>
      </w:numPr>
      <w:overflowPunct/>
      <w:adjustRightInd/>
      <w:snapToGrid/>
      <w:spacing w:after="240" w:line="240" w:lineRule="auto"/>
      <w:jc w:val="left"/>
    </w:pPr>
    <w:rPr>
      <w:rFonts w:eastAsia="PMingLiU"/>
      <w:snapToGrid/>
      <w:spacing w:val="0"/>
      <w:lang w:val="en-GB" w:eastAsia="en-US"/>
    </w:rPr>
  </w:style>
  <w:style w:type="paragraph" w:customStyle="1" w:styleId="ParaNo">
    <w:name w:val="ParaNo."/>
    <w:basedOn w:val="Normal"/>
    <w:pPr>
      <w:numPr>
        <w:numId w:val="133"/>
      </w:numPr>
      <w:tabs>
        <w:tab w:val="left" w:pos="737"/>
        <w:tab w:val="num" w:pos="1492"/>
      </w:tabs>
      <w:overflowPunct/>
      <w:adjustRightInd/>
      <w:snapToGrid/>
      <w:spacing w:after="240" w:line="240" w:lineRule="auto"/>
      <w:jc w:val="left"/>
    </w:pPr>
    <w:rPr>
      <w:rFonts w:eastAsia="PMingLiU"/>
      <w:snapToGrid/>
      <w:spacing w:val="0"/>
      <w:lang w:val="fr-CH" w:eastAsia="en-US"/>
    </w:rPr>
  </w:style>
  <w:style w:type="paragraph" w:customStyle="1" w:styleId="cdL1">
    <w:name w:val="cdL1"/>
    <w:basedOn w:val="Normal"/>
    <w:pPr>
      <w:widowControl w:val="0"/>
      <w:tabs>
        <w:tab w:val="left" w:pos="510"/>
      </w:tabs>
    </w:pPr>
    <w:rPr>
      <w:snapToGrid/>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19946</Words>
  <Characters>113694</Characters>
  <Application>Microsoft Office Word</Application>
  <DocSecurity>4</DocSecurity>
  <Lines>947</Lines>
  <Paragraphs>227</Paragraphs>
  <ScaleCrop>false</ScaleCrop>
  <HeadingPairs>
    <vt:vector size="4" baseType="variant">
      <vt:variant>
        <vt:lpstr>题目</vt:lpstr>
      </vt:variant>
      <vt:variant>
        <vt:i4>1</vt:i4>
      </vt:variant>
      <vt:variant>
        <vt:lpstr>标题</vt:lpstr>
      </vt:variant>
      <vt:variant>
        <vt:i4>49</vt:i4>
      </vt:variant>
    </vt:vector>
  </HeadingPairs>
  <TitlesOfParts>
    <vt:vector size="50" baseType="lpstr">
      <vt:lpstr>2003年实质性会议</vt:lpstr>
      <vt:lpstr>    《经济、社会、文化权利国际公约》执行情况</vt:lpstr>
      <vt:lpstr>        缔约国根据《公约》第16条 和第17条提交的初次报告</vt:lpstr>
      <vt:lpstr>        增   编</vt:lpstr>
      <vt:lpstr>    摩尔多瓦共和国 *</vt:lpstr>
      <vt:lpstr>        表格清单</vt:lpstr>
      <vt:lpstr>    一、概  况</vt:lpstr>
      <vt:lpstr>        表 1.  城市人口和人口增长情况</vt:lpstr>
      <vt:lpstr>        表 2.  人类发展指标</vt:lpstr>
      <vt:lpstr>        表 3.  人类发展概况</vt:lpstr>
      <vt:lpstr>        表 4.  人口概况</vt:lpstr>
      <vt:lpstr>        表 5.  人类发展指数</vt:lpstr>
      <vt:lpstr>        表 6.  主要人口指标</vt:lpstr>
      <vt:lpstr>    二、保护人权的政治结构和总体立法制度</vt:lpstr>
      <vt:lpstr>        A.  简要历史、概述</vt:lpstr>
      <vt:lpstr>        B.  信息和宣传</vt:lpstr>
      <vt:lpstr>    三、《公约》具体条款的执行情况</vt:lpstr>
      <vt:lpstr>        第 一 条</vt:lpstr>
      <vt:lpstr>        表 7.  1999年自然资源开发和环境保护主要指标</vt:lpstr>
      <vt:lpstr>        第 二 条</vt:lpstr>
      <vt:lpstr>        表8.  社会发展的主要指数</vt:lpstr>
      <vt:lpstr>        第 三 条</vt:lpstr>
      <vt:lpstr>        第 四 条</vt:lpstr>
      <vt:lpstr>        第 五 条</vt:lpstr>
      <vt:lpstr>        第 六 条</vt:lpstr>
      <vt:lpstr>        表9.  2000年1月至9月劳务交易所登记的出缺情况</vt:lpstr>
      <vt:lpstr>        表10.  1991至2000年摩尔多瓦共和国失业变更情况， 所采取的社会保护措施</vt:lpstr>
      <vt:lpstr>        表11.  按照经济部门重新分配的劳动力</vt:lpstr>
      <vt:lpstr>        表12.  1995至1999年摩尔多瓦共和国的就业结构</vt:lpstr>
      <vt:lpstr>        第 七 条</vt:lpstr>
      <vt:lpstr>        表 13.  工资级别</vt:lpstr>
      <vt:lpstr>        表 14.  对照最低消费预算列出的最低工资演化情况数据</vt:lpstr>
      <vt:lpstr>        表 15.  按财产所有权形式列出的人员报酬情况</vt:lpstr>
      <vt:lpstr>        表 16.  1994年至1999年月平均工资的演变情况 (列依)</vt:lpstr>
      <vt:lpstr>        表 17.  1995年至1996年工伤事故受害者的人数</vt:lpstr>
      <vt:lpstr>        第 八 条</vt:lpstr>
      <vt:lpstr>        第 九 条</vt:lpstr>
      <vt:lpstr>        表18.  退休年龄，1999-2008</vt:lpstr>
      <vt:lpstr>        表19.  有5个或更多子女的母亲的退休年龄</vt:lpstr>
      <vt:lpstr>        表 20.  在危险和困难条件下工作的人的退休年龄</vt:lpstr>
      <vt:lpstr>        表 21.  必要的缴款期限</vt:lpstr>
      <vt:lpstr>        表22  残疾时的年龄和缴款期限</vt:lpstr>
      <vt:lpstr>        表 23.  缴纳保险款额的比率 (占工资基金的百分比)</vt:lpstr>
      <vt:lpstr>        表24.  养恤金保障情况，1992-2000</vt:lpstr>
      <vt:lpstr>        表25  领取养恤金和补充金额的人</vt:lpstr>
      <vt:lpstr>        表 26.  劳动、社会保障和家庭部</vt:lpstr>
      <vt:lpstr>        表27.  残疾人社会保护方案</vt:lpstr>
      <vt:lpstr>        表28.  1996-1997年国家劳动保护方案</vt:lpstr>
      <vt:lpstr>        表29.  1998-2001年国家加强劳动保护方案</vt:lpstr>
      <vt:lpstr>        第 十 条</vt:lpstr>
    </vt:vector>
  </TitlesOfParts>
  <Company>Chinese Unit - GE</Company>
  <LinksUpToDate>false</LinksUpToDate>
  <CharactersWithSpaces>139624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2003年实质性会议</dc:title>
  <dc:subject/>
  <dc:creator>Chen</dc:creator>
  <cp:keywords/>
  <dc:description>经济及社会理事会</dc:description>
  <cp:lastModifiedBy>Chen</cp:lastModifiedBy>
  <cp:revision>2</cp:revision>
  <cp:lastPrinted>2003-11-27T13:46:00Z</cp:lastPrinted>
  <dcterms:created xsi:type="dcterms:W3CDTF">2003-11-27T13:48:00Z</dcterms:created>
  <dcterms:modified xsi:type="dcterms:W3CDTF">2003-11-27T13:48:00Z</dcterms:modified>
  <cp:category>E</cp:category>
</cp:coreProperties>
</file>