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10D" w:rsidRPr="00F06531" w:rsidRDefault="0057210D" w:rsidP="0057210D">
      <w:pPr>
        <w:pStyle w:val="NormalSchedule"/>
        <w:spacing w:line="240" w:lineRule="auto"/>
        <w:rPr>
          <w:sz w:val="6"/>
        </w:rPr>
        <w:sectPr w:rsidR="0057210D" w:rsidRPr="00F06531" w:rsidSect="001B424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F06531" w:rsidRDefault="00F06531" w:rsidP="00F06531">
      <w:pPr>
        <w:pStyle w:val="H1"/>
      </w:pPr>
      <w:r>
        <w:t>Comité de los Derechos del Niño</w:t>
      </w:r>
    </w:p>
    <w:p w:rsidR="00F06531" w:rsidRPr="00F06531" w:rsidRDefault="00F06531" w:rsidP="00F065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54° período de sesiones</w:t>
      </w:r>
    </w:p>
    <w:p w:rsidR="0057210D" w:rsidRPr="00F06531" w:rsidRDefault="0057210D" w:rsidP="0057210D">
      <w:pPr>
        <w:spacing w:line="240" w:lineRule="auto"/>
        <w:rPr>
          <w:sz w:val="12"/>
        </w:rPr>
      </w:pPr>
    </w:p>
    <w:p w:rsidR="0057210D" w:rsidRPr="00F06531" w:rsidRDefault="0057210D" w:rsidP="0057210D">
      <w:pPr>
        <w:pStyle w:val="H23"/>
      </w:pPr>
      <w:r w:rsidRPr="00F06531">
        <w:t xml:space="preserve">Acta resumida </w:t>
      </w:r>
      <w:r w:rsidR="00F06531">
        <w:t xml:space="preserve">(parcial)** </w:t>
      </w:r>
      <w:r w:rsidRPr="00F06531">
        <w:t>de la 1541ª sesión</w:t>
      </w:r>
    </w:p>
    <w:p w:rsidR="0057210D" w:rsidRPr="00F06531" w:rsidRDefault="0057210D" w:rsidP="0057210D">
      <w:r w:rsidRPr="00F06531">
        <w:t xml:space="preserve">Celebrada en </w:t>
      </w:r>
      <w:r w:rsidR="00F06531">
        <w:t>el Palais Wilson, Ginebra, el viernes 11 de junio de 2010, a las 15.00 horas</w:t>
      </w:r>
    </w:p>
    <w:p w:rsidR="0057210D" w:rsidRPr="00F06531" w:rsidRDefault="0057210D" w:rsidP="0057210D">
      <w:pPr>
        <w:spacing w:line="120" w:lineRule="exact"/>
        <w:rPr>
          <w:sz w:val="10"/>
        </w:rPr>
      </w:pPr>
    </w:p>
    <w:p w:rsidR="0057210D" w:rsidRPr="00F06531" w:rsidRDefault="0057210D" w:rsidP="0057210D">
      <w:pPr>
        <w:tabs>
          <w:tab w:val="right" w:pos="950"/>
          <w:tab w:val="left" w:pos="1267"/>
          <w:tab w:val="right" w:leader="dot" w:pos="8568"/>
        </w:tabs>
        <w:ind w:right="1267"/>
      </w:pPr>
      <w:r w:rsidRPr="00F06531">
        <w:rPr>
          <w:i/>
        </w:rPr>
        <w:t>President</w:t>
      </w:r>
      <w:r w:rsidR="00F06531">
        <w:rPr>
          <w:i/>
        </w:rPr>
        <w:t>a</w:t>
      </w:r>
      <w:r w:rsidRPr="00F06531">
        <w:rPr>
          <w:i/>
        </w:rPr>
        <w:t>:</w:t>
      </w:r>
      <w:r w:rsidRPr="00F06531">
        <w:tab/>
      </w:r>
      <w:r w:rsidR="00F06531">
        <w:t>Sra. Lee</w:t>
      </w:r>
    </w:p>
    <w:p w:rsidR="0057210D" w:rsidRPr="00F06531" w:rsidRDefault="0057210D" w:rsidP="0057210D">
      <w:pPr>
        <w:tabs>
          <w:tab w:val="right" w:pos="950"/>
          <w:tab w:val="left" w:pos="1267"/>
          <w:tab w:val="right" w:leader="dot" w:pos="8568"/>
        </w:tabs>
        <w:spacing w:line="120" w:lineRule="exact"/>
        <w:ind w:right="1267"/>
        <w:rPr>
          <w:sz w:val="10"/>
        </w:rPr>
      </w:pPr>
    </w:p>
    <w:p w:rsidR="0057210D" w:rsidRPr="00F06531" w:rsidRDefault="0057210D" w:rsidP="0057210D">
      <w:pPr>
        <w:tabs>
          <w:tab w:val="right" w:pos="950"/>
          <w:tab w:val="left" w:pos="1267"/>
          <w:tab w:val="right" w:leader="dot" w:pos="8568"/>
        </w:tabs>
        <w:spacing w:line="120" w:lineRule="exact"/>
        <w:ind w:right="1267"/>
        <w:rPr>
          <w:sz w:val="10"/>
        </w:rPr>
      </w:pPr>
    </w:p>
    <w:p w:rsidR="0057210D" w:rsidRPr="00F06531" w:rsidRDefault="0057210D" w:rsidP="0057210D">
      <w:pPr>
        <w:tabs>
          <w:tab w:val="right" w:pos="950"/>
          <w:tab w:val="left" w:pos="1267"/>
          <w:tab w:val="right" w:leader="dot" w:pos="8568"/>
        </w:tabs>
        <w:spacing w:line="120" w:lineRule="exact"/>
        <w:ind w:right="1267"/>
        <w:rPr>
          <w:sz w:val="10"/>
        </w:rPr>
      </w:pPr>
    </w:p>
    <w:p w:rsidR="0057210D" w:rsidRPr="00F06531" w:rsidRDefault="0057210D" w:rsidP="0057210D">
      <w:pPr>
        <w:pStyle w:val="HCh"/>
        <w:rPr>
          <w:b w:val="0"/>
        </w:rPr>
      </w:pPr>
      <w:r w:rsidRPr="00F06531">
        <w:rPr>
          <w:b w:val="0"/>
        </w:rPr>
        <w:t>Sumario</w:t>
      </w:r>
    </w:p>
    <w:p w:rsidR="0057210D" w:rsidRPr="00F06531" w:rsidRDefault="0057210D" w:rsidP="0057210D">
      <w:pPr>
        <w:pStyle w:val="HCh"/>
        <w:spacing w:line="240" w:lineRule="auto"/>
        <w:rPr>
          <w:b w:val="0"/>
          <w:sz w:val="12"/>
        </w:rPr>
      </w:pPr>
    </w:p>
    <w:p w:rsidR="00645DF2" w:rsidRDefault="00F06531" w:rsidP="0057210D">
      <w:pPr>
        <w:pStyle w:val="SingleTxt"/>
        <w:suppressAutoHyphens/>
        <w:jc w:val="left"/>
      </w:pPr>
      <w:r>
        <w:t>Aprobación del informe del Comité sobre su 54° período de sesiones</w:t>
      </w:r>
    </w:p>
    <w:p w:rsidR="00F06531" w:rsidRDefault="00F06531" w:rsidP="0057210D">
      <w:pPr>
        <w:pStyle w:val="SingleTxt"/>
        <w:suppressAutoHyphens/>
        <w:jc w:val="left"/>
      </w:pPr>
      <w:r>
        <w:t>Clausura del período de sesiones</w:t>
      </w:r>
    </w:p>
    <w:p w:rsidR="00F06531" w:rsidRDefault="00F06531" w:rsidP="0057210D">
      <w:pPr>
        <w:pStyle w:val="SingleTxt"/>
        <w:suppressAutoHyphens/>
        <w:jc w:val="left"/>
      </w:pPr>
    </w:p>
    <w:p w:rsidR="00F06531" w:rsidRPr="00F06531" w:rsidRDefault="00F06531" w:rsidP="00F06531">
      <w:pPr>
        <w:framePr w:w="9792" w:h="432" w:hSpace="180" w:wrap="around" w:vAnchor="page" w:hAnchor="page" w:x="1193" w:y="11463"/>
        <w:spacing w:line="240" w:lineRule="auto"/>
        <w:rPr>
          <w:sz w:val="10"/>
        </w:rPr>
      </w:pPr>
    </w:p>
    <w:p w:rsidR="00F06531" w:rsidRPr="00F06531" w:rsidRDefault="00F06531" w:rsidP="00F06531">
      <w:pPr>
        <w:framePr w:w="9792" w:h="432" w:hSpace="180" w:wrap="around" w:vAnchor="page" w:hAnchor="page" w:x="1193" w:y="11463"/>
        <w:spacing w:line="240" w:lineRule="auto"/>
        <w:rPr>
          <w:sz w:val="6"/>
        </w:rPr>
      </w:pPr>
      <w:r w:rsidRPr="00F06531">
        <w:rPr>
          <w:noProof/>
          <w:w w:val="100"/>
          <w:sz w:val="6"/>
          <w:lang w:val="en-US"/>
        </w:rPr>
        <w:pict>
          <v:line id="_x0000_s1028" style="position:absolute;z-index:1;mso-position-horizontal-relative:page" from="108pt,-1pt" to="180pt,-1pt" strokeweight=".25pt">
            <w10:wrap anchorx="page"/>
          </v:line>
        </w:pict>
      </w:r>
    </w:p>
    <w:p w:rsidR="00F06531" w:rsidRDefault="00F06531" w:rsidP="00F06531">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No se levantaron actas resumidas de las sesiones 1532 a 1540.</w:t>
      </w:r>
    </w:p>
    <w:p w:rsidR="00F06531" w:rsidRPr="00F06531" w:rsidRDefault="00F06531" w:rsidP="00F06531">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No se levantó acta resumida del resto de la sesión.</w:t>
      </w:r>
    </w:p>
    <w:p w:rsidR="00444813" w:rsidRDefault="00444813" w:rsidP="004448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Se </w:t>
      </w:r>
      <w:r w:rsidR="00F57BDF">
        <w:t xml:space="preserve">declara abierta </w:t>
      </w:r>
      <w:r>
        <w:t xml:space="preserve"> la segunda parte de la sesión a las 17.30 horas.</w:t>
      </w:r>
    </w:p>
    <w:p w:rsidR="00444813" w:rsidRPr="00444813" w:rsidRDefault="00444813" w:rsidP="00444813">
      <w:pPr>
        <w:pStyle w:val="SingleTxt"/>
        <w:spacing w:after="0" w:line="120" w:lineRule="exact"/>
        <w:rPr>
          <w:sz w:val="10"/>
        </w:rPr>
      </w:pPr>
    </w:p>
    <w:p w:rsidR="00444813" w:rsidRPr="00444813" w:rsidRDefault="00444813" w:rsidP="004448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Aprobación del informe del Comité sobre su 54º período de sesiones </w:t>
      </w:r>
      <w:r>
        <w:br/>
      </w:r>
      <w:r w:rsidRPr="00444813">
        <w:rPr>
          <w:b w:val="0"/>
        </w:rPr>
        <w:t>(CRC/C/54/3)</w:t>
      </w:r>
    </w:p>
    <w:p w:rsidR="00444813" w:rsidRPr="00444813" w:rsidRDefault="00444813" w:rsidP="00444813">
      <w:pPr>
        <w:pStyle w:val="SingleTxt"/>
        <w:spacing w:after="0" w:line="120" w:lineRule="exact"/>
        <w:rPr>
          <w:sz w:val="10"/>
        </w:rPr>
      </w:pPr>
    </w:p>
    <w:p w:rsidR="00444813" w:rsidRDefault="00444813" w:rsidP="00444813">
      <w:pPr>
        <w:pStyle w:val="SingleTxt"/>
        <w:numPr>
          <w:ilvl w:val="0"/>
          <w:numId w:val="6"/>
        </w:numPr>
        <w:tabs>
          <w:tab w:val="clear" w:pos="475"/>
          <w:tab w:val="num" w:pos="1742"/>
        </w:tabs>
        <w:suppressAutoHyphens/>
        <w:ind w:left="1267"/>
      </w:pPr>
      <w:r w:rsidRPr="00444813">
        <w:rPr>
          <w:b/>
        </w:rPr>
        <w:t>La Presidenta</w:t>
      </w:r>
      <w:r>
        <w:t xml:space="preserve"> dice que, en su 54º período de sesiones, el Comité examinó siete informes periódicos (Argentina, Bélgica, ex República Yugoslava de Macedonia, Granada, Japón, Nigeria y Túnez), presentados de conformidad con el artículo 44 de la Convención, y los informes iniciales de la Argentina, Colombia, la ex República Yugoslava de Macedonia, el Japón y Serbia, presentados de conformidad con el artículo 8 del Protocolo Facultativo relativo a la participación de los niños en los conflictos armados y con el artículo 12 del Protocolo Facultativo relativo a la venta de niños, la prostitución infantil y la utilización de niños en la pornografía.</w:t>
      </w:r>
    </w:p>
    <w:p w:rsidR="00444813" w:rsidRDefault="00444813" w:rsidP="00444813">
      <w:pPr>
        <w:pStyle w:val="SingleTxt"/>
        <w:numPr>
          <w:ilvl w:val="0"/>
          <w:numId w:val="6"/>
        </w:numPr>
        <w:tabs>
          <w:tab w:val="clear" w:pos="475"/>
          <w:tab w:val="num" w:pos="1742"/>
        </w:tabs>
        <w:suppressAutoHyphens/>
        <w:ind w:left="1267"/>
      </w:pPr>
      <w:r>
        <w:t>La oradora dice que, de no haber objeciones, entenderá que el Comité desea aprobar las observaciones finales sobre todos los informes que ha examinado.</w:t>
      </w:r>
    </w:p>
    <w:p w:rsidR="00444813" w:rsidRDefault="00444813" w:rsidP="00444813">
      <w:pPr>
        <w:pStyle w:val="SingleTxt"/>
        <w:numPr>
          <w:ilvl w:val="0"/>
          <w:numId w:val="6"/>
        </w:numPr>
        <w:tabs>
          <w:tab w:val="clear" w:pos="475"/>
          <w:tab w:val="num" w:pos="1742"/>
        </w:tabs>
        <w:suppressAutoHyphens/>
        <w:ind w:left="1267"/>
      </w:pPr>
      <w:r w:rsidRPr="00444813">
        <w:rPr>
          <w:i/>
        </w:rPr>
        <w:t>Así queda acordado</w:t>
      </w:r>
      <w:r>
        <w:t>.</w:t>
      </w:r>
    </w:p>
    <w:p w:rsidR="00444813" w:rsidRDefault="00444813" w:rsidP="00444813">
      <w:pPr>
        <w:pStyle w:val="SingleTxt"/>
        <w:numPr>
          <w:ilvl w:val="0"/>
          <w:numId w:val="6"/>
        </w:numPr>
        <w:tabs>
          <w:tab w:val="clear" w:pos="475"/>
          <w:tab w:val="num" w:pos="1742"/>
        </w:tabs>
        <w:suppressAutoHyphens/>
        <w:ind w:left="1267"/>
      </w:pPr>
      <w:r>
        <w:t>Debido a los efectos de la tormenta tropical Agatha, la delegación de Guatemala no pudo participar en el actual período de sesiones. Por consiguiente, el examen de los informes periódicos tercero y cuarto de Guatemala se pospuso hasta el 55º período de sesiones.</w:t>
      </w:r>
    </w:p>
    <w:p w:rsidR="00444813" w:rsidRDefault="00444813" w:rsidP="00444813">
      <w:pPr>
        <w:pStyle w:val="SingleTxt"/>
        <w:numPr>
          <w:ilvl w:val="0"/>
          <w:numId w:val="6"/>
        </w:numPr>
        <w:tabs>
          <w:tab w:val="clear" w:pos="475"/>
          <w:tab w:val="num" w:pos="1742"/>
        </w:tabs>
        <w:suppressAutoHyphens/>
        <w:ind w:left="1267"/>
      </w:pPr>
      <w:r>
        <w:t xml:space="preserve">El Comité está profundamente preocupado porque su labor se sigue interrumpiendo debido a que no recibe puntualmente las traducciones de los informes y las respuestas escritas de los Estados Partes. Además, esas demoras contribuyen a la pérdida de credibilidad de la Oficina del Alto Comisionado para los Derechos Humanos. No obstante, es interesante </w:t>
      </w:r>
      <w:r w:rsidR="00F57BDF">
        <w:t xml:space="preserve">observar </w:t>
      </w:r>
      <w:r>
        <w:t xml:space="preserve">que todos los documentos para el examen periódico universal sí se tradujeron. En el próximo período de sesiones, existe ya el riesgo de que se cree un problema diplomático si, </w:t>
      </w:r>
      <w:r w:rsidR="00F57BDF">
        <w:t xml:space="preserve">por </w:t>
      </w:r>
      <w:r>
        <w:t>contar con los documentos traducidos, el Comité se ve obligado a cancelar su examen de los informes de los Estados Partes. El Comité insta a todas las autoridades competentes a que pongan remedio a esta situación de inmediato.</w:t>
      </w:r>
    </w:p>
    <w:p w:rsidR="00444813" w:rsidRDefault="00444813" w:rsidP="00444813">
      <w:pPr>
        <w:pStyle w:val="SingleTxt"/>
        <w:numPr>
          <w:ilvl w:val="0"/>
          <w:numId w:val="6"/>
        </w:numPr>
        <w:tabs>
          <w:tab w:val="clear" w:pos="475"/>
          <w:tab w:val="num" w:pos="1742"/>
        </w:tabs>
        <w:suppressAutoHyphens/>
        <w:ind w:left="1267"/>
      </w:pPr>
      <w:r>
        <w:t>La oradora dice que, de no haber objeciones, entenderá que el Comité desea aprobar el informe sobre su 54º período de sesiones (CRC/C/54/3).</w:t>
      </w:r>
    </w:p>
    <w:p w:rsidR="00444813" w:rsidRDefault="00444813" w:rsidP="00444813">
      <w:pPr>
        <w:pStyle w:val="SingleTxt"/>
        <w:numPr>
          <w:ilvl w:val="0"/>
          <w:numId w:val="6"/>
        </w:numPr>
        <w:tabs>
          <w:tab w:val="clear" w:pos="475"/>
          <w:tab w:val="num" w:pos="1742"/>
        </w:tabs>
        <w:suppressAutoHyphens/>
        <w:ind w:left="1267"/>
      </w:pPr>
      <w:r w:rsidRPr="00444813">
        <w:rPr>
          <w:i/>
        </w:rPr>
        <w:t>Así queda acordado</w:t>
      </w:r>
      <w:r>
        <w:t>.</w:t>
      </w:r>
    </w:p>
    <w:p w:rsidR="00444813" w:rsidRDefault="00444813" w:rsidP="00444813">
      <w:pPr>
        <w:pStyle w:val="SingleTxt"/>
        <w:numPr>
          <w:ilvl w:val="0"/>
          <w:numId w:val="6"/>
        </w:numPr>
        <w:tabs>
          <w:tab w:val="clear" w:pos="475"/>
          <w:tab w:val="num" w:pos="1742"/>
        </w:tabs>
        <w:suppressAutoHyphens/>
        <w:ind w:left="1267"/>
      </w:pPr>
      <w:r w:rsidRPr="00444813">
        <w:rPr>
          <w:b/>
        </w:rPr>
        <w:t>El Sr. Krappmann</w:t>
      </w:r>
      <w:r>
        <w:t xml:space="preserve"> (Relator) señala que el Comité ha seguido trabajando en dos salas, debido a lo cual queda mucho menos tiempo para realizar otras actividades. De hecho, las deliberaciones sobre las 17 observaciones finales con frecuencia tuvieron que terminarse durante los recesos de almuerzo o en la noche.</w:t>
      </w:r>
    </w:p>
    <w:p w:rsidR="00444813" w:rsidRDefault="00444813" w:rsidP="00444813">
      <w:pPr>
        <w:pStyle w:val="SingleTxt"/>
        <w:numPr>
          <w:ilvl w:val="0"/>
          <w:numId w:val="6"/>
        </w:numPr>
        <w:tabs>
          <w:tab w:val="clear" w:pos="475"/>
          <w:tab w:val="num" w:pos="1742"/>
        </w:tabs>
        <w:suppressAutoHyphens/>
        <w:ind w:left="1267"/>
      </w:pPr>
      <w:r>
        <w:t>El Comité inició su trabajo con un retiro de dos días en Sion (Suiza), en el que examinó el nuevo proyecto de directrices sobre la presentación de los informes que se refieren concretamente a la Convención, así como un documento de una ONG que servirá de base para la observación general del Comité sobre el artículo 19 de la Convención.</w:t>
      </w:r>
    </w:p>
    <w:p w:rsidR="00444813" w:rsidRDefault="00444813" w:rsidP="009848D5">
      <w:pPr>
        <w:pStyle w:val="SingleTxt"/>
        <w:keepNext/>
        <w:keepLines/>
        <w:numPr>
          <w:ilvl w:val="0"/>
          <w:numId w:val="6"/>
        </w:numPr>
        <w:tabs>
          <w:tab w:val="clear" w:pos="475"/>
          <w:tab w:val="num" w:pos="1742"/>
        </w:tabs>
        <w:suppressAutoHyphens/>
        <w:ind w:left="1267"/>
      </w:pPr>
      <w:r>
        <w:t>El 5 de junio, numerosos miembros del Comité participaron en el seminario internacional sobre el derecho a la educación en el desarrollo profesional de los docentes, organizado por asociaciones Korczak de varios países, con la colaboración de la Misión Permanente de Polonia ante las Naciones Unidas en Ginebra en calidad de anfitriona.</w:t>
      </w:r>
    </w:p>
    <w:p w:rsidR="00444813" w:rsidRDefault="00444813" w:rsidP="00444813">
      <w:pPr>
        <w:pStyle w:val="SingleTxt"/>
        <w:numPr>
          <w:ilvl w:val="0"/>
          <w:numId w:val="6"/>
        </w:numPr>
        <w:tabs>
          <w:tab w:val="clear" w:pos="475"/>
          <w:tab w:val="num" w:pos="1742"/>
        </w:tabs>
        <w:suppressAutoHyphens/>
        <w:ind w:left="1267"/>
      </w:pPr>
      <w:r>
        <w:t>El Comité también celebró una reunión con miembros del Grupo de organizaciones no gubernamentales para la Convención sobre los Derechos del Niño, que reafirmó la importancia de una colaboración estrecha y logró acuerdos sobre varios aspectos concretos.</w:t>
      </w:r>
    </w:p>
    <w:p w:rsidR="00444813" w:rsidRDefault="00444813" w:rsidP="00444813">
      <w:pPr>
        <w:pStyle w:val="SingleTxt"/>
        <w:numPr>
          <w:ilvl w:val="0"/>
          <w:numId w:val="6"/>
        </w:numPr>
        <w:tabs>
          <w:tab w:val="clear" w:pos="475"/>
          <w:tab w:val="num" w:pos="1742"/>
        </w:tabs>
        <w:suppressAutoHyphens/>
        <w:ind w:left="1267"/>
      </w:pPr>
      <w:r>
        <w:t>La semana siguiente, el Comité se reunirá con miembros del grupo que elaboró un conjunto de indicadores sobre la base de la observación general núm. 7 del Comité, sobre la realización de los derechos del niño en la primera infancia. Ya concluyó un primer estudio piloto y se solicitará al Comité que considere la posibilidad de apoyar otros estudios e incorporar los indicadores en sus procedimientos de supervisión.</w:t>
      </w:r>
    </w:p>
    <w:p w:rsidR="00444813" w:rsidRPr="00444813" w:rsidRDefault="00444813" w:rsidP="00444813">
      <w:pPr>
        <w:pStyle w:val="SingleTxt"/>
        <w:spacing w:after="0" w:line="120" w:lineRule="exact"/>
        <w:rPr>
          <w:sz w:val="10"/>
        </w:rPr>
      </w:pPr>
    </w:p>
    <w:p w:rsidR="00444813" w:rsidRDefault="00444813" w:rsidP="004448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Clausura del período de sesiones</w:t>
      </w:r>
    </w:p>
    <w:p w:rsidR="00444813" w:rsidRPr="00444813" w:rsidRDefault="00444813" w:rsidP="00444813">
      <w:pPr>
        <w:pStyle w:val="SingleTxt"/>
        <w:spacing w:after="0" w:line="120" w:lineRule="exact"/>
        <w:rPr>
          <w:sz w:val="10"/>
        </w:rPr>
      </w:pPr>
    </w:p>
    <w:p w:rsidR="00444813" w:rsidRDefault="00444813" w:rsidP="00444813">
      <w:pPr>
        <w:pStyle w:val="SingleTxt"/>
        <w:numPr>
          <w:ilvl w:val="0"/>
          <w:numId w:val="6"/>
        </w:numPr>
        <w:tabs>
          <w:tab w:val="clear" w:pos="475"/>
          <w:tab w:val="num" w:pos="1742"/>
        </w:tabs>
        <w:suppressAutoHyphens/>
        <w:ind w:left="1267"/>
      </w:pPr>
      <w:r w:rsidRPr="00444813">
        <w:rPr>
          <w:b/>
        </w:rPr>
        <w:t>La Presidenta</w:t>
      </w:r>
      <w:r>
        <w:t xml:space="preserve"> declara clausurado el 54º período de sesiones del Comité de los Derechos del Niño.</w:t>
      </w:r>
    </w:p>
    <w:p w:rsidR="00F06531" w:rsidRDefault="00444813" w:rsidP="004448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El debate </w:t>
      </w:r>
      <w:r w:rsidR="00F57BDF">
        <w:t xml:space="preserve">abarcado por </w:t>
      </w:r>
      <w:r>
        <w:t>el acta concluye a las 17.40 horas.</w:t>
      </w:r>
    </w:p>
    <w:p w:rsidR="00444813" w:rsidRPr="00444813" w:rsidRDefault="00444813" w:rsidP="00444813">
      <w:pPr>
        <w:pStyle w:val="SingleTxt"/>
      </w:pPr>
    </w:p>
    <w:sectPr w:rsidR="00444813" w:rsidRPr="00444813" w:rsidSect="001B424D">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D65" w:rsidRDefault="00040D65" w:rsidP="0057210D">
      <w:pPr>
        <w:pStyle w:val="NormalSchedule"/>
      </w:pPr>
      <w:r>
        <w:separator/>
      </w:r>
    </w:p>
  </w:endnote>
  <w:endnote w:type="continuationSeparator" w:id="0">
    <w:p w:rsidR="00040D65" w:rsidRDefault="00040D65" w:rsidP="0057210D">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18FC" w:rsidTr="0057210D">
      <w:tblPrEx>
        <w:tblCellMar>
          <w:top w:w="0" w:type="dxa"/>
          <w:bottom w:w="0" w:type="dxa"/>
        </w:tblCellMar>
      </w:tblPrEx>
      <w:tc>
        <w:tcPr>
          <w:tcW w:w="5033" w:type="dxa"/>
          <w:shd w:val="clear" w:color="auto" w:fill="auto"/>
        </w:tcPr>
        <w:p w:rsidR="000118FC" w:rsidRPr="0057210D" w:rsidRDefault="000118FC" w:rsidP="0057210D">
          <w:pPr>
            <w:pStyle w:val="Footer"/>
            <w:jc w:val="right"/>
            <w:rPr>
              <w:b w:val="0"/>
              <w:w w:val="103"/>
              <w:sz w:val="14"/>
            </w:rPr>
          </w:pPr>
          <w:r>
            <w:rPr>
              <w:b w:val="0"/>
              <w:w w:val="103"/>
              <w:sz w:val="14"/>
            </w:rPr>
            <w:t>GE.10-42972</w:t>
          </w:r>
        </w:p>
      </w:tc>
      <w:tc>
        <w:tcPr>
          <w:tcW w:w="5033" w:type="dxa"/>
          <w:shd w:val="clear" w:color="auto" w:fill="auto"/>
        </w:tcPr>
        <w:p w:rsidR="000118FC" w:rsidRPr="0057210D" w:rsidRDefault="000118FC" w:rsidP="0057210D">
          <w:pPr>
            <w:pStyle w:val="Footer"/>
            <w:rPr>
              <w:w w:val="103"/>
            </w:rPr>
          </w:pPr>
          <w:r>
            <w:rPr>
              <w:w w:val="103"/>
            </w:rPr>
            <w:fldChar w:fldCharType="begin"/>
          </w:r>
          <w:r>
            <w:rPr>
              <w:w w:val="103"/>
            </w:rPr>
            <w:instrText xml:space="preserve"> PAGE  \* MERGEFORMAT </w:instrText>
          </w:r>
          <w:r>
            <w:rPr>
              <w:w w:val="103"/>
            </w:rPr>
            <w:fldChar w:fldCharType="separate"/>
          </w:r>
          <w:r w:rsidR="00E8103F">
            <w:rPr>
              <w:w w:val="103"/>
            </w:rPr>
            <w:t>2</w:t>
          </w:r>
          <w:r>
            <w:rPr>
              <w:w w:val="103"/>
            </w:rPr>
            <w:fldChar w:fldCharType="end"/>
          </w:r>
        </w:p>
      </w:tc>
    </w:tr>
  </w:tbl>
  <w:p w:rsidR="000118FC" w:rsidRPr="0057210D" w:rsidRDefault="000118FC" w:rsidP="005721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18FC" w:rsidTr="0057210D">
      <w:tblPrEx>
        <w:tblCellMar>
          <w:top w:w="0" w:type="dxa"/>
          <w:bottom w:w="0" w:type="dxa"/>
        </w:tblCellMar>
      </w:tblPrEx>
      <w:tc>
        <w:tcPr>
          <w:tcW w:w="5033" w:type="dxa"/>
          <w:shd w:val="clear" w:color="auto" w:fill="auto"/>
        </w:tcPr>
        <w:p w:rsidR="000118FC" w:rsidRPr="0057210D" w:rsidRDefault="000118FC" w:rsidP="0057210D">
          <w:pPr>
            <w:pStyle w:val="Footer"/>
            <w:jc w:val="right"/>
            <w:rPr>
              <w:w w:val="103"/>
            </w:rPr>
          </w:pPr>
          <w:r>
            <w:rPr>
              <w:w w:val="103"/>
            </w:rPr>
            <w:fldChar w:fldCharType="begin"/>
          </w:r>
          <w:r>
            <w:rPr>
              <w:w w:val="103"/>
            </w:rPr>
            <w:instrText xml:space="preserve"> PAGE  \* MERGEFORMAT </w:instrText>
          </w:r>
          <w:r>
            <w:rPr>
              <w:w w:val="103"/>
            </w:rPr>
            <w:fldChar w:fldCharType="separate"/>
          </w:r>
          <w:r w:rsidR="00E8103F">
            <w:rPr>
              <w:w w:val="103"/>
            </w:rPr>
            <w:t>3</w:t>
          </w:r>
          <w:r>
            <w:rPr>
              <w:w w:val="103"/>
            </w:rPr>
            <w:fldChar w:fldCharType="end"/>
          </w:r>
        </w:p>
      </w:tc>
      <w:tc>
        <w:tcPr>
          <w:tcW w:w="5033" w:type="dxa"/>
          <w:shd w:val="clear" w:color="auto" w:fill="auto"/>
        </w:tcPr>
        <w:p w:rsidR="000118FC" w:rsidRPr="0057210D" w:rsidRDefault="000118FC" w:rsidP="0057210D">
          <w:pPr>
            <w:pStyle w:val="Footer"/>
            <w:rPr>
              <w:b w:val="0"/>
              <w:w w:val="103"/>
              <w:sz w:val="14"/>
            </w:rPr>
          </w:pPr>
          <w:r>
            <w:rPr>
              <w:b w:val="0"/>
              <w:w w:val="103"/>
              <w:sz w:val="14"/>
            </w:rPr>
            <w:t>GE.10-42972</w:t>
          </w:r>
        </w:p>
      </w:tc>
    </w:tr>
  </w:tbl>
  <w:p w:rsidR="000118FC" w:rsidRPr="0057210D" w:rsidRDefault="000118FC" w:rsidP="005721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8FC" w:rsidRDefault="000118FC" w:rsidP="0057210D">
    <w:pPr>
      <w:pStyle w:val="Footer"/>
      <w:pBdr>
        <w:top w:val="single" w:sz="2" w:space="1" w:color="auto"/>
      </w:pBdr>
      <w:rPr>
        <w:sz w:val="2"/>
      </w:rPr>
    </w:pPr>
  </w:p>
  <w:p w:rsidR="000118FC" w:rsidRDefault="000118FC" w:rsidP="00F06531">
    <w:pPr>
      <w:pStyle w:val="FootnoteText"/>
      <w:spacing w:after="120"/>
      <w:ind w:left="1267" w:right="1267"/>
    </w:pPr>
    <w:r>
      <w:tab/>
      <w:t>La presente acta podrá ser objeto de correcciones.</w:t>
    </w:r>
  </w:p>
  <w:p w:rsidR="000118FC" w:rsidRDefault="000118FC" w:rsidP="00F06531">
    <w:pPr>
      <w:pStyle w:val="FootnoteText"/>
      <w:spacing w:after="120"/>
      <w:ind w:left="1267" w:right="1267"/>
    </w:pPr>
    <w:r>
      <w:tab/>
      <w:t xml:space="preserve">Las correcciones deberán redactarse en uno de los idiomas de trabajo. Deberán presentarse en forma de memorando, incorporarse en un ejemplar del acta y enviarse, </w:t>
    </w:r>
    <w:r w:rsidRPr="00F06531">
      <w:rPr>
        <w:i/>
      </w:rPr>
      <w:t>dentro del plazo de una semana a partir de la fecha del presente documento</w:t>
    </w:r>
    <w:r>
      <w:t>, a la Dependencia de Edición, oficina E.4108, Palacio de las Naciones, Ginebra.</w:t>
    </w:r>
  </w:p>
  <w:p w:rsidR="000118FC" w:rsidRDefault="000118FC" w:rsidP="00F06531">
    <w:pPr>
      <w:pStyle w:val="FootnoteText"/>
      <w:spacing w:after="120"/>
      <w:ind w:left="1267" w:right="1267"/>
    </w:pPr>
    <w:r>
      <w:tab/>
      <w:t>Las correcciones que se introduzcan en las actas de las sesiones públicas del Comité se reunirán en un documento único que se publicará poco después del período de sesiones.</w:t>
    </w:r>
  </w:p>
  <w:p w:rsidR="000118FC" w:rsidRPr="0057210D" w:rsidRDefault="000118FC" w:rsidP="0057210D">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0118FC">
      <w:tblPrEx>
        <w:tblCellMar>
          <w:top w:w="0" w:type="dxa"/>
          <w:bottom w:w="0" w:type="dxa"/>
        </w:tblCellMar>
      </w:tblPrEx>
      <w:tc>
        <w:tcPr>
          <w:tcW w:w="5033" w:type="dxa"/>
        </w:tcPr>
        <w:p w:rsidR="000118FC" w:rsidRDefault="000118FC" w:rsidP="0057210D">
          <w:pPr>
            <w:pStyle w:val="Footer"/>
            <w:spacing w:before="80" w:line="210" w:lineRule="exact"/>
            <w:rPr>
              <w:b w:val="0"/>
              <w:sz w:val="20"/>
            </w:rPr>
          </w:pPr>
          <w:r>
            <w:rPr>
              <w:b w:val="0"/>
              <w:sz w:val="20"/>
            </w:rPr>
            <w:t>NY.11-39621 (S)</w:t>
          </w:r>
        </w:p>
        <w:p w:rsidR="000118FC" w:rsidRPr="000118FC" w:rsidRDefault="000118FC" w:rsidP="0057210D">
          <w:pPr>
            <w:pStyle w:val="Footer"/>
            <w:spacing w:before="80" w:line="210" w:lineRule="exact"/>
            <w:rPr>
              <w:b w:val="0"/>
              <w:sz w:val="20"/>
            </w:rPr>
          </w:pPr>
          <w:r>
            <w:rPr>
              <w:b w:val="0"/>
              <w:sz w:val="20"/>
            </w:rPr>
            <w:t>GE.10-42972 (S)    280911    031011</w:t>
          </w:r>
        </w:p>
      </w:tc>
      <w:tc>
        <w:tcPr>
          <w:tcW w:w="5033" w:type="dxa"/>
        </w:tcPr>
        <w:p w:rsidR="000118FC" w:rsidRDefault="000118FC" w:rsidP="0057210D">
          <w:pPr>
            <w:pStyle w:val="Footer"/>
            <w:jc w:val="right"/>
            <w:rPr>
              <w:b w:val="0"/>
              <w:sz w:val="20"/>
            </w:rPr>
          </w:pPr>
          <w:r w:rsidRPr="0057210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118FC" w:rsidRPr="0057210D" w:rsidRDefault="000118FC" w:rsidP="005721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D65" w:rsidRDefault="00040D65" w:rsidP="0057210D">
      <w:pPr>
        <w:pStyle w:val="NormalSchedule"/>
      </w:pPr>
      <w:r>
        <w:separator/>
      </w:r>
    </w:p>
  </w:footnote>
  <w:footnote w:type="continuationSeparator" w:id="0">
    <w:p w:rsidR="00040D65" w:rsidRDefault="00040D65" w:rsidP="0057210D">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18FC" w:rsidTr="0057210D">
      <w:tblPrEx>
        <w:tblCellMar>
          <w:top w:w="0" w:type="dxa"/>
          <w:bottom w:w="0" w:type="dxa"/>
        </w:tblCellMar>
      </w:tblPrEx>
      <w:trPr>
        <w:trHeight w:hRule="exact" w:val="864"/>
      </w:trPr>
      <w:tc>
        <w:tcPr>
          <w:tcW w:w="4838" w:type="dxa"/>
          <w:shd w:val="clear" w:color="auto" w:fill="auto"/>
          <w:vAlign w:val="bottom"/>
        </w:tcPr>
        <w:p w:rsidR="000118FC" w:rsidRPr="0057210D" w:rsidRDefault="000118FC" w:rsidP="0057210D">
          <w:pPr>
            <w:pStyle w:val="Header"/>
            <w:spacing w:after="80"/>
            <w:rPr>
              <w:b/>
            </w:rPr>
          </w:pPr>
          <w:r>
            <w:rPr>
              <w:b/>
            </w:rPr>
            <w:fldChar w:fldCharType="begin"/>
          </w:r>
          <w:r>
            <w:rPr>
              <w:b/>
            </w:rPr>
            <w:instrText xml:space="preserve"> DOCVARIABLE "sss1" \* MERGEFORMAT </w:instrText>
          </w:r>
          <w:r>
            <w:rPr>
              <w:b/>
            </w:rPr>
            <w:fldChar w:fldCharType="separate"/>
          </w:r>
          <w:r>
            <w:rPr>
              <w:b/>
            </w:rPr>
            <w:t>CRC/C/SR.1541</w:t>
          </w:r>
          <w:r>
            <w:rPr>
              <w:b/>
            </w:rPr>
            <w:fldChar w:fldCharType="end"/>
          </w:r>
        </w:p>
      </w:tc>
      <w:tc>
        <w:tcPr>
          <w:tcW w:w="5033" w:type="dxa"/>
          <w:shd w:val="clear" w:color="auto" w:fill="auto"/>
          <w:vAlign w:val="bottom"/>
        </w:tcPr>
        <w:p w:rsidR="000118FC" w:rsidRDefault="000118FC" w:rsidP="0057210D">
          <w:pPr>
            <w:pStyle w:val="Header"/>
          </w:pPr>
        </w:p>
      </w:tc>
    </w:tr>
  </w:tbl>
  <w:p w:rsidR="000118FC" w:rsidRPr="0057210D" w:rsidRDefault="000118FC" w:rsidP="005721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18FC" w:rsidTr="0057210D">
      <w:tblPrEx>
        <w:tblCellMar>
          <w:top w:w="0" w:type="dxa"/>
          <w:bottom w:w="0" w:type="dxa"/>
        </w:tblCellMar>
      </w:tblPrEx>
      <w:trPr>
        <w:trHeight w:hRule="exact" w:val="864"/>
      </w:trPr>
      <w:tc>
        <w:tcPr>
          <w:tcW w:w="4838" w:type="dxa"/>
          <w:shd w:val="clear" w:color="auto" w:fill="auto"/>
          <w:vAlign w:val="bottom"/>
        </w:tcPr>
        <w:p w:rsidR="000118FC" w:rsidRDefault="000118FC" w:rsidP="0057210D">
          <w:pPr>
            <w:pStyle w:val="Header"/>
          </w:pPr>
        </w:p>
      </w:tc>
      <w:tc>
        <w:tcPr>
          <w:tcW w:w="5033" w:type="dxa"/>
          <w:shd w:val="clear" w:color="auto" w:fill="auto"/>
          <w:vAlign w:val="bottom"/>
        </w:tcPr>
        <w:p w:rsidR="000118FC" w:rsidRPr="0057210D" w:rsidRDefault="000118FC" w:rsidP="0057210D">
          <w:pPr>
            <w:pStyle w:val="Header"/>
            <w:spacing w:after="80"/>
            <w:jc w:val="right"/>
            <w:rPr>
              <w:b/>
            </w:rPr>
          </w:pPr>
          <w:r>
            <w:rPr>
              <w:b/>
            </w:rPr>
            <w:fldChar w:fldCharType="begin"/>
          </w:r>
          <w:r>
            <w:rPr>
              <w:b/>
            </w:rPr>
            <w:instrText xml:space="preserve"> DOCVARIABLE "sss1" \* MERGEFORMAT </w:instrText>
          </w:r>
          <w:r>
            <w:rPr>
              <w:b/>
            </w:rPr>
            <w:fldChar w:fldCharType="separate"/>
          </w:r>
          <w:r>
            <w:rPr>
              <w:b/>
            </w:rPr>
            <w:t>CRC/C/SR.1541</w:t>
          </w:r>
          <w:r>
            <w:rPr>
              <w:b/>
            </w:rPr>
            <w:fldChar w:fldCharType="end"/>
          </w:r>
        </w:p>
      </w:tc>
    </w:tr>
  </w:tbl>
  <w:p w:rsidR="000118FC" w:rsidRPr="0057210D" w:rsidRDefault="000118FC" w:rsidP="005721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118FC" w:rsidTr="0057210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18FC" w:rsidRDefault="000118FC" w:rsidP="0057210D">
          <w:pPr>
            <w:pStyle w:val="Header"/>
            <w:spacing w:after="120"/>
          </w:pPr>
        </w:p>
      </w:tc>
      <w:tc>
        <w:tcPr>
          <w:tcW w:w="2059" w:type="dxa"/>
          <w:tcBorders>
            <w:bottom w:val="single" w:sz="4" w:space="0" w:color="auto"/>
          </w:tcBorders>
          <w:shd w:val="clear" w:color="auto" w:fill="auto"/>
          <w:vAlign w:val="bottom"/>
        </w:tcPr>
        <w:p w:rsidR="000118FC" w:rsidRPr="0057210D" w:rsidRDefault="000118FC" w:rsidP="0057210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118FC" w:rsidRDefault="000118FC" w:rsidP="0057210D">
          <w:pPr>
            <w:pStyle w:val="Header"/>
            <w:spacing w:after="120"/>
          </w:pPr>
        </w:p>
      </w:tc>
      <w:tc>
        <w:tcPr>
          <w:tcW w:w="6523" w:type="dxa"/>
          <w:gridSpan w:val="3"/>
          <w:tcBorders>
            <w:bottom w:val="single" w:sz="4" w:space="0" w:color="auto"/>
          </w:tcBorders>
          <w:shd w:val="clear" w:color="auto" w:fill="auto"/>
          <w:vAlign w:val="bottom"/>
        </w:tcPr>
        <w:p w:rsidR="000118FC" w:rsidRPr="0057210D" w:rsidRDefault="000118FC" w:rsidP="0057210D">
          <w:pPr>
            <w:spacing w:after="80" w:line="240" w:lineRule="auto"/>
            <w:jc w:val="right"/>
            <w:rPr>
              <w:position w:val="-4"/>
            </w:rPr>
          </w:pPr>
          <w:r>
            <w:rPr>
              <w:position w:val="-4"/>
              <w:sz w:val="40"/>
            </w:rPr>
            <w:t>CRC</w:t>
          </w:r>
          <w:r>
            <w:rPr>
              <w:position w:val="-4"/>
            </w:rPr>
            <w:t>/C/SR.1541*</w:t>
          </w:r>
        </w:p>
      </w:tc>
    </w:tr>
    <w:tr w:rsidR="000118FC" w:rsidRPr="0057210D" w:rsidTr="0057210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18FC" w:rsidRDefault="000118FC" w:rsidP="005721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18FC" w:rsidRPr="0057210D" w:rsidRDefault="000118FC" w:rsidP="0057210D">
          <w:pPr>
            <w:pStyle w:val="Header"/>
            <w:spacing w:before="109"/>
          </w:pPr>
        </w:p>
      </w:tc>
      <w:tc>
        <w:tcPr>
          <w:tcW w:w="5227" w:type="dxa"/>
          <w:gridSpan w:val="3"/>
          <w:tcBorders>
            <w:top w:val="single" w:sz="4" w:space="0" w:color="auto"/>
            <w:bottom w:val="single" w:sz="12" w:space="0" w:color="auto"/>
          </w:tcBorders>
          <w:shd w:val="clear" w:color="auto" w:fill="auto"/>
        </w:tcPr>
        <w:p w:rsidR="000118FC" w:rsidRPr="0057210D" w:rsidRDefault="000118FC" w:rsidP="0057210D">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0118FC" w:rsidRPr="00F06531" w:rsidRDefault="000118FC" w:rsidP="0057210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118FC" w:rsidRDefault="000118FC" w:rsidP="0057210D">
          <w:pPr>
            <w:spacing w:before="240"/>
          </w:pPr>
          <w:r>
            <w:t>Distr. general</w:t>
          </w:r>
        </w:p>
        <w:p w:rsidR="000118FC" w:rsidRDefault="000118FC" w:rsidP="0057210D">
          <w:r>
            <w:t>3 de octubre de 2011</w:t>
          </w:r>
        </w:p>
        <w:p w:rsidR="000118FC" w:rsidRDefault="000118FC" w:rsidP="0057210D">
          <w:r>
            <w:t>Español</w:t>
          </w:r>
        </w:p>
        <w:p w:rsidR="000118FC" w:rsidRPr="0057210D" w:rsidRDefault="000118FC" w:rsidP="0057210D">
          <w:r>
            <w:t>Original: inglés</w:t>
          </w:r>
        </w:p>
      </w:tc>
    </w:tr>
  </w:tbl>
  <w:p w:rsidR="000118FC" w:rsidRPr="000118FC" w:rsidRDefault="000118FC" w:rsidP="0057210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E1FF8"/>
    <w:multiLevelType w:val="hybridMultilevel"/>
    <w:tmpl w:val="E4041324"/>
    <w:lvl w:ilvl="0" w:tplc="A52AC29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B546F21"/>
    <w:multiLevelType w:val="singleLevel"/>
    <w:tmpl w:val="175A451E"/>
    <w:lvl w:ilvl="0">
      <w:start w:val="1"/>
      <w:numFmt w:val="decimal"/>
      <w:lvlRestart w:val="0"/>
      <w:lvlText w:val="%1."/>
      <w:lvlJc w:val="left"/>
      <w:pPr>
        <w:tabs>
          <w:tab w:val="num" w:pos="475"/>
        </w:tabs>
        <w:ind w:left="0" w:firstLine="0"/>
      </w:pPr>
      <w:rPr>
        <w:rFonts w:cs="Times New Roman"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6F7CA6"/>
    <w:multiLevelType w:val="singleLevel"/>
    <w:tmpl w:val="175A451E"/>
    <w:lvl w:ilvl="0">
      <w:start w:val="1"/>
      <w:numFmt w:val="decimal"/>
      <w:lvlRestart w:val="0"/>
      <w:lvlText w:val="%1."/>
      <w:lvlJc w:val="left"/>
      <w:pPr>
        <w:tabs>
          <w:tab w:val="num" w:pos="475"/>
        </w:tabs>
        <w:ind w:left="0" w:firstLine="0"/>
      </w:pPr>
      <w:rPr>
        <w:rFonts w:cs="Times New Roman" w:hint="default"/>
        <w:spacing w:val="0"/>
        <w:w w:val="100"/>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21*"/>
    <w:docVar w:name="CreationDt" w:val="30/08/2011 17:18:36"/>
    <w:docVar w:name="DocCategory" w:val="SROthers"/>
    <w:docVar w:name="DocType" w:val="Final"/>
    <w:docVar w:name="FooterJN" w:val="11-39621"/>
    <w:docVar w:name="jobn" w:val="11-39621 (S)"/>
    <w:docVar w:name="jobnDT" w:val="11-39621 (S)   300811"/>
    <w:docVar w:name="jobnDTDT" w:val="11-39621 (S)   300811   300811"/>
    <w:docVar w:name="JobNo" w:val="1139621S"/>
    <w:docVar w:name="OandT" w:val="Nelly"/>
    <w:docVar w:name="sss1" w:val="CRC/C/SR.1541"/>
    <w:docVar w:name="sss2" w:val="-"/>
    <w:docVar w:name="Symbol1" w:val="CRC/C/SR.1541"/>
    <w:docVar w:name="Symbol2" w:val="-"/>
  </w:docVars>
  <w:rsids>
    <w:rsidRoot w:val="00172652"/>
    <w:rsid w:val="0000430F"/>
    <w:rsid w:val="000118FC"/>
    <w:rsid w:val="000271D6"/>
    <w:rsid w:val="00030FE1"/>
    <w:rsid w:val="000336E0"/>
    <w:rsid w:val="00040D65"/>
    <w:rsid w:val="00044517"/>
    <w:rsid w:val="000534EB"/>
    <w:rsid w:val="00061177"/>
    <w:rsid w:val="00067D9C"/>
    <w:rsid w:val="000806AC"/>
    <w:rsid w:val="000871C1"/>
    <w:rsid w:val="000A0C7C"/>
    <w:rsid w:val="000A1971"/>
    <w:rsid w:val="000B2A4E"/>
    <w:rsid w:val="000B750C"/>
    <w:rsid w:val="000C1009"/>
    <w:rsid w:val="000C4DCC"/>
    <w:rsid w:val="000D21E6"/>
    <w:rsid w:val="000D64ED"/>
    <w:rsid w:val="00102135"/>
    <w:rsid w:val="001109AD"/>
    <w:rsid w:val="001259AF"/>
    <w:rsid w:val="00143B7C"/>
    <w:rsid w:val="00152E53"/>
    <w:rsid w:val="00153EA2"/>
    <w:rsid w:val="001701FE"/>
    <w:rsid w:val="00170784"/>
    <w:rsid w:val="00172652"/>
    <w:rsid w:val="001A2E38"/>
    <w:rsid w:val="001A2FAC"/>
    <w:rsid w:val="001A72EA"/>
    <w:rsid w:val="001B2FC3"/>
    <w:rsid w:val="001B424D"/>
    <w:rsid w:val="001F22A4"/>
    <w:rsid w:val="001F74B0"/>
    <w:rsid w:val="00200A61"/>
    <w:rsid w:val="0022060C"/>
    <w:rsid w:val="0025615B"/>
    <w:rsid w:val="00265A54"/>
    <w:rsid w:val="00266F6B"/>
    <w:rsid w:val="002841B4"/>
    <w:rsid w:val="00297ED1"/>
    <w:rsid w:val="002B7407"/>
    <w:rsid w:val="002C345B"/>
    <w:rsid w:val="002C3E79"/>
    <w:rsid w:val="002D2DF8"/>
    <w:rsid w:val="002E1262"/>
    <w:rsid w:val="002F0A5D"/>
    <w:rsid w:val="002F0F9C"/>
    <w:rsid w:val="003359DE"/>
    <w:rsid w:val="003452B8"/>
    <w:rsid w:val="0037429E"/>
    <w:rsid w:val="00375801"/>
    <w:rsid w:val="00397636"/>
    <w:rsid w:val="003A5CE7"/>
    <w:rsid w:val="003B613E"/>
    <w:rsid w:val="003C12C7"/>
    <w:rsid w:val="003C473B"/>
    <w:rsid w:val="003C5008"/>
    <w:rsid w:val="003C67B3"/>
    <w:rsid w:val="003D2D4A"/>
    <w:rsid w:val="003F3C3C"/>
    <w:rsid w:val="00400307"/>
    <w:rsid w:val="00431501"/>
    <w:rsid w:val="00444813"/>
    <w:rsid w:val="004452B0"/>
    <w:rsid w:val="00460EF2"/>
    <w:rsid w:val="004713D8"/>
    <w:rsid w:val="004843EE"/>
    <w:rsid w:val="0049207E"/>
    <w:rsid w:val="004A7C6C"/>
    <w:rsid w:val="004C1BCD"/>
    <w:rsid w:val="004D6407"/>
    <w:rsid w:val="004D779E"/>
    <w:rsid w:val="004E26D2"/>
    <w:rsid w:val="004E757B"/>
    <w:rsid w:val="004F14EE"/>
    <w:rsid w:val="00507265"/>
    <w:rsid w:val="005130D6"/>
    <w:rsid w:val="00524C14"/>
    <w:rsid w:val="00534D37"/>
    <w:rsid w:val="00542A52"/>
    <w:rsid w:val="005434BC"/>
    <w:rsid w:val="00550243"/>
    <w:rsid w:val="0057210D"/>
    <w:rsid w:val="00587E23"/>
    <w:rsid w:val="00591A3A"/>
    <w:rsid w:val="00595DE1"/>
    <w:rsid w:val="005D3721"/>
    <w:rsid w:val="00612DA1"/>
    <w:rsid w:val="00616088"/>
    <w:rsid w:val="006169F5"/>
    <w:rsid w:val="00620953"/>
    <w:rsid w:val="00630CE1"/>
    <w:rsid w:val="00636DA1"/>
    <w:rsid w:val="00637AB0"/>
    <w:rsid w:val="00641130"/>
    <w:rsid w:val="00645DF2"/>
    <w:rsid w:val="006463C7"/>
    <w:rsid w:val="00664183"/>
    <w:rsid w:val="006655BE"/>
    <w:rsid w:val="00677487"/>
    <w:rsid w:val="00696921"/>
    <w:rsid w:val="006C6173"/>
    <w:rsid w:val="006D3321"/>
    <w:rsid w:val="006E0E95"/>
    <w:rsid w:val="006F36E2"/>
    <w:rsid w:val="0070602F"/>
    <w:rsid w:val="0074000F"/>
    <w:rsid w:val="00757F96"/>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4163"/>
    <w:rsid w:val="0083457C"/>
    <w:rsid w:val="008466A7"/>
    <w:rsid w:val="0088117B"/>
    <w:rsid w:val="008B5FC3"/>
    <w:rsid w:val="008D17EE"/>
    <w:rsid w:val="008D53A0"/>
    <w:rsid w:val="008E2B2E"/>
    <w:rsid w:val="008F3E8E"/>
    <w:rsid w:val="00913197"/>
    <w:rsid w:val="0091591F"/>
    <w:rsid w:val="0093190E"/>
    <w:rsid w:val="00932D43"/>
    <w:rsid w:val="00934B5B"/>
    <w:rsid w:val="00935AD9"/>
    <w:rsid w:val="00936752"/>
    <w:rsid w:val="009540A8"/>
    <w:rsid w:val="009848D5"/>
    <w:rsid w:val="00984E6C"/>
    <w:rsid w:val="00985300"/>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27D6"/>
    <w:rsid w:val="00A6761C"/>
    <w:rsid w:val="00A86FEA"/>
    <w:rsid w:val="00AA3804"/>
    <w:rsid w:val="00AB7836"/>
    <w:rsid w:val="00AD5D6A"/>
    <w:rsid w:val="00B151F5"/>
    <w:rsid w:val="00B3471E"/>
    <w:rsid w:val="00B34BCE"/>
    <w:rsid w:val="00BC7B5B"/>
    <w:rsid w:val="00BE2BF9"/>
    <w:rsid w:val="00C02367"/>
    <w:rsid w:val="00C13D38"/>
    <w:rsid w:val="00C72AD9"/>
    <w:rsid w:val="00C8131F"/>
    <w:rsid w:val="00C847F0"/>
    <w:rsid w:val="00C859E1"/>
    <w:rsid w:val="00C91CE9"/>
    <w:rsid w:val="00CB5C47"/>
    <w:rsid w:val="00CD4760"/>
    <w:rsid w:val="00CD57FF"/>
    <w:rsid w:val="00CE0045"/>
    <w:rsid w:val="00CE1381"/>
    <w:rsid w:val="00D00E8C"/>
    <w:rsid w:val="00D2412C"/>
    <w:rsid w:val="00D41068"/>
    <w:rsid w:val="00D727C1"/>
    <w:rsid w:val="00D75DCF"/>
    <w:rsid w:val="00DA7DFA"/>
    <w:rsid w:val="00DB5C37"/>
    <w:rsid w:val="00DE5F99"/>
    <w:rsid w:val="00E054C0"/>
    <w:rsid w:val="00E241A1"/>
    <w:rsid w:val="00E31D49"/>
    <w:rsid w:val="00E50390"/>
    <w:rsid w:val="00E51BC9"/>
    <w:rsid w:val="00E57A36"/>
    <w:rsid w:val="00E65BE8"/>
    <w:rsid w:val="00E8103F"/>
    <w:rsid w:val="00E84B10"/>
    <w:rsid w:val="00E875CB"/>
    <w:rsid w:val="00E932A5"/>
    <w:rsid w:val="00EB3BF0"/>
    <w:rsid w:val="00EC3D06"/>
    <w:rsid w:val="00ED1F10"/>
    <w:rsid w:val="00F061A0"/>
    <w:rsid w:val="00F06531"/>
    <w:rsid w:val="00F06B9B"/>
    <w:rsid w:val="00F249E4"/>
    <w:rsid w:val="00F274AF"/>
    <w:rsid w:val="00F33150"/>
    <w:rsid w:val="00F35B3D"/>
    <w:rsid w:val="00F417C6"/>
    <w:rsid w:val="00F43BEF"/>
    <w:rsid w:val="00F44608"/>
    <w:rsid w:val="00F44E91"/>
    <w:rsid w:val="00F47FCF"/>
    <w:rsid w:val="00F57BDF"/>
    <w:rsid w:val="00F920FD"/>
    <w:rsid w:val="00F92E1F"/>
    <w:rsid w:val="00FB01B2"/>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7210D"/>
  </w:style>
  <w:style w:type="paragraph" w:styleId="CommentSubject">
    <w:name w:val="annotation subject"/>
    <w:basedOn w:val="CommentText"/>
    <w:next w:val="CommentText"/>
    <w:semiHidden/>
    <w:rsid w:val="005721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715</Words>
  <Characters>3757</Characters>
  <Application>Microsoft Office Word</Application>
  <DocSecurity>4</DocSecurity>
  <Lines>68</Lines>
  <Paragraphs>13</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María de la Plaza</cp:lastModifiedBy>
  <cp:revision>2</cp:revision>
  <cp:lastPrinted>2011-09-27T18:17:00Z</cp:lastPrinted>
  <dcterms:created xsi:type="dcterms:W3CDTF">2011-10-03T10:13:00Z</dcterms:created>
  <dcterms:modified xsi:type="dcterms:W3CDTF">2011-10-03T10:13:00Z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1139621</vt:lpwstr>
  </property>
  <property fmtid="{D5CDD505-2E9C-101B-9397-08002B2CF9AE}" pid="3" name="Symbol1">
    <vt:lpwstr>CRC/C/SR.1541</vt:lpwstr>
  </property>
  <property fmtid="{D5CDD505-2E9C-101B-9397-08002B2CF9AE}" pid="4" name="Symbol2">
    <vt:lpwstr/>
  </property>
  <property fmtid="{D5CDD505-2E9C-101B-9397-08002B2CF9AE}" pid="5" name="Translator">
    <vt:lpwstr/>
  </property>
  <property fmtid="{D5CDD505-2E9C-101B-9397-08002B2CF9AE}" pid="6" name="Comment">
    <vt:lpwstr>báez/diego</vt:lpwstr>
  </property>
  <property fmtid="{D5CDD505-2E9C-101B-9397-08002B2CF9AE}" pid="7" name="DraftPages">
    <vt:lpwstr> 3</vt:lpwstr>
  </property>
  <property fmtid="{D5CDD505-2E9C-101B-9397-08002B2CF9AE}" pid="8" name="Operator">
    <vt:lpwstr>Nelly</vt:lpwstr>
  </property>
</Properties>
</file>