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47AFC0" w14:textId="77777777" w:rsidR="00302B04" w:rsidRDefault="00302B04" w:rsidP="00302B04">
      <w:pPr>
        <w:spacing w:line="240" w:lineRule="auto"/>
        <w:rPr>
          <w:sz w:val="2"/>
        </w:rPr>
        <w:sectPr w:rsidR="00302B04" w:rsidSect="00104B6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771E46EB" w14:textId="77777777" w:rsidR="00104B62" w:rsidRPr="00104B62" w:rsidRDefault="00104B62" w:rsidP="00104B6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104B62">
        <w:rPr>
          <w:lang w:val="fr-FR"/>
        </w:rPr>
        <w:t xml:space="preserve">Comité pour l’élimination de la discrimination à l’égard des femmes </w:t>
      </w:r>
    </w:p>
    <w:p w14:paraId="5F9394CA" w14:textId="77777777" w:rsidR="00104B62" w:rsidRPr="00104B62" w:rsidRDefault="00104B62" w:rsidP="00104B6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04B62">
        <w:rPr>
          <w:lang w:val="fr-FR"/>
        </w:rPr>
        <w:t>Groupe de travail d’avant-session</w:t>
      </w:r>
    </w:p>
    <w:p w14:paraId="3BBFE71E" w14:textId="77777777" w:rsidR="00104B62" w:rsidRPr="00104B62" w:rsidRDefault="00104B62" w:rsidP="00104B62">
      <w:pPr>
        <w:pStyle w:val="Session"/>
      </w:pPr>
      <w:r w:rsidRPr="00104B62">
        <w:t>Soixante-treizième session</w:t>
      </w:r>
    </w:p>
    <w:p w14:paraId="4C124CA7" w14:textId="77777777" w:rsidR="00104B62" w:rsidRPr="00104B62" w:rsidRDefault="00104B62" w:rsidP="00104B62">
      <w:pPr>
        <w:rPr>
          <w:lang w:val="fr-FR"/>
        </w:rPr>
      </w:pPr>
      <w:r w:rsidRPr="00104B62">
        <w:rPr>
          <w:lang w:val="fr-FR"/>
        </w:rPr>
        <w:t>12-16 novembre 2018</w:t>
      </w:r>
    </w:p>
    <w:p w14:paraId="1FA0E3AF" w14:textId="465BB380" w:rsidR="00104B62" w:rsidRPr="00104B62" w:rsidRDefault="00104B62" w:rsidP="00104B62">
      <w:pPr>
        <w:pStyle w:val="SingleTxt"/>
        <w:spacing w:after="0" w:line="120" w:lineRule="exact"/>
        <w:rPr>
          <w:sz w:val="10"/>
        </w:rPr>
      </w:pPr>
    </w:p>
    <w:p w14:paraId="47020453" w14:textId="336CC14A" w:rsidR="00104B62" w:rsidRPr="00104B62" w:rsidRDefault="00104B62" w:rsidP="00104B62">
      <w:pPr>
        <w:pStyle w:val="SingleTxt"/>
        <w:spacing w:after="0" w:line="120" w:lineRule="exact"/>
        <w:rPr>
          <w:sz w:val="10"/>
        </w:rPr>
      </w:pPr>
    </w:p>
    <w:p w14:paraId="6E400541" w14:textId="2916727F" w:rsidR="00104B62" w:rsidRPr="00104B62" w:rsidRDefault="00104B62" w:rsidP="00104B62">
      <w:pPr>
        <w:pStyle w:val="SingleTxt"/>
        <w:spacing w:after="0" w:line="120" w:lineRule="exact"/>
        <w:rPr>
          <w:sz w:val="10"/>
        </w:rPr>
      </w:pPr>
    </w:p>
    <w:p w14:paraId="14B02843" w14:textId="77777777" w:rsidR="00104B62" w:rsidRPr="00104B62" w:rsidRDefault="00104B62" w:rsidP="00104B62">
      <w:pPr>
        <w:pStyle w:val="TitleHCH"/>
        <w:tabs>
          <w:tab w:val="clear" w:pos="1742"/>
        </w:tabs>
        <w:ind w:left="1260" w:right="1290" w:firstLine="0"/>
        <w:rPr>
          <w:lang w:val="fr-FR"/>
        </w:rPr>
      </w:pPr>
      <w:r w:rsidRPr="00104B62">
        <w:rPr>
          <w:lang w:val="fr-FR"/>
        </w:rPr>
        <w:t>Examen des rapports soumis par les États parties en application de l’article 18 de la Convention sur l’élimination de toutes les formes de discrimination à l’égard des femmes</w:t>
      </w:r>
    </w:p>
    <w:p w14:paraId="45054A63" w14:textId="0A2964E4" w:rsidR="00104B62" w:rsidRPr="00104B62" w:rsidRDefault="00104B62" w:rsidP="00104B62">
      <w:pPr>
        <w:pStyle w:val="SingleTxt"/>
        <w:spacing w:after="0" w:line="120" w:lineRule="exact"/>
        <w:rPr>
          <w:sz w:val="10"/>
          <w:lang w:val="fr-FR"/>
        </w:rPr>
      </w:pPr>
    </w:p>
    <w:p w14:paraId="71103393" w14:textId="159789D0" w:rsidR="00104B62" w:rsidRPr="00104B62" w:rsidRDefault="00104B62" w:rsidP="00104B62">
      <w:pPr>
        <w:pStyle w:val="SingleTxt"/>
        <w:spacing w:after="0" w:line="120" w:lineRule="exact"/>
        <w:rPr>
          <w:sz w:val="10"/>
          <w:lang w:val="fr-FR"/>
        </w:rPr>
      </w:pPr>
    </w:p>
    <w:p w14:paraId="5E39E64D" w14:textId="00A55602" w:rsidR="00104B62" w:rsidRPr="00104B62" w:rsidRDefault="00104B62" w:rsidP="00104B62">
      <w:pPr>
        <w:pStyle w:val="TitleH1"/>
        <w:tabs>
          <w:tab w:val="clear" w:pos="1742"/>
        </w:tabs>
        <w:ind w:left="1260" w:right="0" w:firstLine="0"/>
        <w:rPr>
          <w:lang w:val="fr-FR"/>
        </w:rPr>
      </w:pPr>
      <w:r w:rsidRPr="00104B62">
        <w:rPr>
          <w:lang w:val="fr-FR"/>
        </w:rPr>
        <w:t>Rapport du groupe de travail d’avant-session</w:t>
      </w:r>
    </w:p>
    <w:p w14:paraId="6E44FD33" w14:textId="61E14398" w:rsidR="00104B62" w:rsidRPr="00104B62" w:rsidRDefault="00104B62" w:rsidP="00104B62">
      <w:pPr>
        <w:pStyle w:val="SingleTxt"/>
        <w:spacing w:after="0" w:line="120" w:lineRule="exact"/>
        <w:rPr>
          <w:sz w:val="10"/>
          <w:lang w:val="fr-FR"/>
        </w:rPr>
      </w:pPr>
    </w:p>
    <w:p w14:paraId="19EB1941" w14:textId="6B349B4B" w:rsidR="00104B62" w:rsidRPr="00104B62" w:rsidRDefault="00104B62" w:rsidP="00104B62">
      <w:pPr>
        <w:pStyle w:val="SingleTxt"/>
        <w:spacing w:after="0" w:line="120" w:lineRule="exact"/>
        <w:rPr>
          <w:sz w:val="10"/>
          <w:lang w:val="fr-FR"/>
        </w:rPr>
      </w:pPr>
    </w:p>
    <w:p w14:paraId="447BD8B8" w14:textId="77777777"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Le Comité pour l’élimination de la discrimination à l’égard des femmes a pour usage de réunir pour cinq jours un groupe de travail d’avant-session chargé d’établir des listes de points et de questions concernant les rapports initiaux et périodiques qu’il examinera à l’une de ses sessions futures.</w:t>
      </w:r>
    </w:p>
    <w:p w14:paraId="5E35D339" w14:textId="1B021D2E"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Le Comité a décidé que, pour sa soixante-treizième session, le groupe de travail d’avant-session se réunirait du 12 au 16 novembre 2018, immédiatement après sa soixante et onzième session, afin que les États parties disposent de suffisamment de temps pour soumettre par écrit leurs réponses aux listes de points et de questions et que ces réponses puissent être traduites en temps utile.</w:t>
      </w:r>
    </w:p>
    <w:p w14:paraId="51F51D61" w14:textId="3B26368B"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Les experts ci-après ont été nommés membres du groupe de travail d’avant-session et ont participé au débat</w:t>
      </w:r>
      <w:r>
        <w:rPr>
          <w:lang w:val="fr-FR"/>
        </w:rPr>
        <w:t> :</w:t>
      </w:r>
    </w:p>
    <w:p w14:paraId="4374ECC0" w14:textId="77777777" w:rsidR="00104B62" w:rsidRPr="00104B62" w:rsidRDefault="00104B62" w:rsidP="00104B62">
      <w:pPr>
        <w:pStyle w:val="SingleTxt"/>
        <w:rPr>
          <w:lang w:val="es-ES"/>
        </w:rPr>
      </w:pPr>
      <w:r w:rsidRPr="00104B62">
        <w:rPr>
          <w:lang w:val="fr-FR"/>
        </w:rPr>
        <w:tab/>
      </w:r>
      <w:r w:rsidRPr="00104B62">
        <w:rPr>
          <w:lang w:val="es-ES"/>
        </w:rPr>
        <w:t>Gladys Acosta Vargas</w:t>
      </w:r>
    </w:p>
    <w:p w14:paraId="77AB6BC5" w14:textId="77777777" w:rsidR="00104B62" w:rsidRPr="00104B62" w:rsidRDefault="00104B62" w:rsidP="00104B62">
      <w:pPr>
        <w:pStyle w:val="SingleTxt"/>
        <w:rPr>
          <w:lang w:val="es-ES"/>
        </w:rPr>
      </w:pPr>
      <w:r w:rsidRPr="00104B62">
        <w:rPr>
          <w:lang w:val="es-ES"/>
        </w:rPr>
        <w:tab/>
        <w:t>Esther Eghobamien-Mshelia</w:t>
      </w:r>
      <w:r w:rsidRPr="00104B62" w:rsidDel="009B1A60">
        <w:rPr>
          <w:lang w:val="es-ES"/>
        </w:rPr>
        <w:t xml:space="preserve"> </w:t>
      </w:r>
    </w:p>
    <w:p w14:paraId="06526599" w14:textId="77777777" w:rsidR="00104B62" w:rsidRPr="00104B62" w:rsidRDefault="00104B62" w:rsidP="00104B62">
      <w:pPr>
        <w:pStyle w:val="SingleTxt"/>
        <w:rPr>
          <w:lang w:val="es-ES"/>
        </w:rPr>
      </w:pPr>
      <w:r w:rsidRPr="00104B62">
        <w:rPr>
          <w:lang w:val="es-ES"/>
        </w:rPr>
        <w:tab/>
        <w:t>Lilian Hofmeister</w:t>
      </w:r>
    </w:p>
    <w:p w14:paraId="221049F8" w14:textId="77777777" w:rsidR="00104B62" w:rsidRPr="00104B62" w:rsidRDefault="00104B62" w:rsidP="00104B62">
      <w:pPr>
        <w:pStyle w:val="SingleTxt"/>
        <w:rPr>
          <w:lang w:val="es-ES"/>
        </w:rPr>
      </w:pPr>
      <w:r w:rsidRPr="00104B62">
        <w:rPr>
          <w:lang w:val="es-ES"/>
        </w:rPr>
        <w:tab/>
        <w:t>Dalia Leinarte</w:t>
      </w:r>
    </w:p>
    <w:p w14:paraId="65F26916" w14:textId="77777777" w:rsidR="00104B62" w:rsidRPr="00104B62" w:rsidRDefault="00104B62" w:rsidP="00104B62">
      <w:pPr>
        <w:pStyle w:val="SingleTxt"/>
        <w:rPr>
          <w:lang w:val="es-ES"/>
        </w:rPr>
      </w:pPr>
      <w:r w:rsidRPr="00104B62">
        <w:rPr>
          <w:lang w:val="es-ES"/>
        </w:rPr>
        <w:tab/>
        <w:t>Bandana Rana</w:t>
      </w:r>
    </w:p>
    <w:p w14:paraId="1FB66176" w14:textId="77777777"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Le groupe de travail d’avant session a élu M</w:t>
      </w:r>
      <w:r w:rsidRPr="00104B62">
        <w:rPr>
          <w:vertAlign w:val="superscript"/>
          <w:lang w:val="fr-FR"/>
        </w:rPr>
        <w:t>me</w:t>
      </w:r>
      <w:r w:rsidRPr="00104B62">
        <w:rPr>
          <w:lang w:val="fr-FR"/>
        </w:rPr>
        <w:t xml:space="preserve"> Acosta Vargas Présidente.</w:t>
      </w:r>
    </w:p>
    <w:p w14:paraId="32C5B7FF" w14:textId="6478EE66"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 xml:space="preserve">Le groupe de travail d’avant-session a établi des listes de points et de questions concernant les rapports de l’Autriche, de Bahreïn, de Cabo Verde, de la Côte d’Ivoire, du Guyana, du Mozambique, du Qatar et de la République démocratique du Congo. Pour ce faire, il s’est appuyé sur les décisions 49/IX, 59/IV et 64/II dans lesquelles le </w:t>
      </w:r>
      <w:r w:rsidRPr="00104B62">
        <w:rPr>
          <w:lang w:val="fr-FR"/>
        </w:rPr>
        <w:lastRenderedPageBreak/>
        <w:t>Comité a décidé de limiter les listes de points et de questions à 20 paragraphes et les listes de points établies avant la soumission des rapports à 25 paragraphes. Cela étant, en pratique, certaines listes de points et de questions contiennent exceptionnellement jusqu’à 23 paragraphes.</w:t>
      </w:r>
    </w:p>
    <w:p w14:paraId="66307A17" w14:textId="718D31F3"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Pour établir les listes de points et de questions, le groupe de travail d’avant-session disposait</w:t>
      </w:r>
      <w:r>
        <w:rPr>
          <w:lang w:val="fr-FR"/>
        </w:rPr>
        <w:t> :</w:t>
      </w:r>
      <w:r w:rsidRPr="00104B62">
        <w:rPr>
          <w:lang w:val="fr-FR"/>
        </w:rPr>
        <w:t xml:space="preserve"> des versions électroniques des rapports des États parties énumérés ci-dessus ainsi que de leurs documents de base, à l’exception de ceux de Bahreïn, de la Côte d’Ivoire, du Mozambique et du Qatar</w:t>
      </w:r>
      <w:r>
        <w:rPr>
          <w:lang w:val="fr-FR"/>
        </w:rPr>
        <w:t> ;</w:t>
      </w:r>
      <w:r w:rsidRPr="00104B62">
        <w:rPr>
          <w:lang w:val="fr-FR"/>
        </w:rPr>
        <w:t xml:space="preserve"> des recommandations générales adoptées par le Comité</w:t>
      </w:r>
      <w:r>
        <w:rPr>
          <w:lang w:val="fr-FR"/>
        </w:rPr>
        <w:t> ;</w:t>
      </w:r>
      <w:r w:rsidRPr="00104B62">
        <w:rPr>
          <w:lang w:val="fr-FR"/>
        </w:rPr>
        <w:t xml:space="preserve"> des projets de listes de points et de questions établis par le secrétariat</w:t>
      </w:r>
      <w:r>
        <w:rPr>
          <w:lang w:val="fr-FR"/>
        </w:rPr>
        <w:t> ;</w:t>
      </w:r>
      <w:r w:rsidRPr="00104B62">
        <w:rPr>
          <w:lang w:val="fr-FR"/>
        </w:rPr>
        <w:t xml:space="preserve"> d’autres informations, y compris les observations finales du Comité et d’autres organes conventionnels, le cas échéant. Il a par ailleurs prêté une attention particulière à la suite donnée par les États parties aux observations finales formulées par le Comité au sujet de leurs rapports précédents.</w:t>
      </w:r>
    </w:p>
    <w:p w14:paraId="6CC8B6FE" w14:textId="77777777"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Pour les États parties énumérés ci-dessus, le groupe de travail d’avant-session s’est appuyé sur des informations communiquées par écrit et oralement par des entités des Nations Unies et par des organisations non gouvernementales, ainsi que par des institutions nationales de défense des droits de l’homme.</w:t>
      </w:r>
    </w:p>
    <w:p w14:paraId="6B212B07" w14:textId="50C23994"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Les listes de points et de questions adoptées par le groupe de travail d’avant-session ont été transmises aux États parties concernés et figurent dans les documents suivants</w:t>
      </w:r>
      <w:r>
        <w:rPr>
          <w:lang w:val="fr-FR"/>
        </w:rPr>
        <w:t> :</w:t>
      </w:r>
    </w:p>
    <w:p w14:paraId="727C9603" w14:textId="08E504D8" w:rsidR="00104B62" w:rsidRPr="00104B62" w:rsidRDefault="00104B62" w:rsidP="00104B62">
      <w:pPr>
        <w:pStyle w:val="SingleTxt"/>
        <w:rPr>
          <w:lang w:val="fr-FR"/>
        </w:rPr>
      </w:pPr>
      <w:r w:rsidRPr="00104B62">
        <w:rPr>
          <w:lang w:val="fr-FR"/>
        </w:rPr>
        <w:tab/>
        <w:t>a)</w:t>
      </w:r>
      <w:r w:rsidRPr="00104B62">
        <w:rPr>
          <w:lang w:val="fr-FR"/>
        </w:rPr>
        <w:tab/>
        <w:t>Liste de points et de questions concernant le neuvième rapport périodique de l’Autriche (</w:t>
      </w:r>
      <w:hyperlink r:id="rId15" w:history="1">
        <w:r w:rsidRPr="00F75BF9">
          <w:rPr>
            <w:rStyle w:val="Hyperlink"/>
            <w:lang w:val="fr-FR"/>
          </w:rPr>
          <w:t>CEDAW/C/AUT/Q/9</w:t>
        </w:r>
      </w:hyperlink>
      <w:r w:rsidRPr="00104B62">
        <w:rPr>
          <w:lang w:val="fr-FR"/>
        </w:rPr>
        <w:t>)</w:t>
      </w:r>
      <w:r>
        <w:rPr>
          <w:lang w:val="fr-FR"/>
        </w:rPr>
        <w:t> ;</w:t>
      </w:r>
    </w:p>
    <w:p w14:paraId="3093F5A4" w14:textId="501B7A52" w:rsidR="00104B62" w:rsidRPr="00104B62" w:rsidRDefault="00104B62" w:rsidP="00104B62">
      <w:pPr>
        <w:pStyle w:val="SingleTxt"/>
        <w:rPr>
          <w:lang w:val="fr-FR"/>
        </w:rPr>
      </w:pPr>
      <w:r w:rsidRPr="00104B62">
        <w:rPr>
          <w:lang w:val="fr-FR"/>
        </w:rPr>
        <w:tab/>
        <w:t>b)</w:t>
      </w:r>
      <w:r w:rsidRPr="00104B62">
        <w:rPr>
          <w:lang w:val="fr-FR"/>
        </w:rPr>
        <w:tab/>
        <w:t>Liste de points et de questions concernant le quatrième rapport périodique de Bahreïn</w:t>
      </w:r>
      <w:r w:rsidR="00F75BF9">
        <w:rPr>
          <w:lang w:val="fr-FR"/>
        </w:rPr>
        <w:t xml:space="preserve"> </w:t>
      </w:r>
      <w:hyperlink r:id="rId16" w:history="1">
        <w:r w:rsidRPr="00F75BF9">
          <w:rPr>
            <w:rStyle w:val="Hyperlink"/>
            <w:lang w:val="fr-FR"/>
          </w:rPr>
          <w:t>(</w:t>
        </w:r>
        <w:r w:rsidRPr="00F75BF9">
          <w:rPr>
            <w:rStyle w:val="Hyperlink"/>
          </w:rPr>
          <w:t>CEDAW/C/BHR/Q/4</w:t>
        </w:r>
      </w:hyperlink>
      <w:r w:rsidRPr="00104B62">
        <w:rPr>
          <w:lang w:val="fr-FR"/>
        </w:rPr>
        <w:t>)</w:t>
      </w:r>
      <w:r>
        <w:rPr>
          <w:lang w:val="fr-FR"/>
        </w:rPr>
        <w:t> ;</w:t>
      </w:r>
    </w:p>
    <w:p w14:paraId="3743547E" w14:textId="0A2AE54A" w:rsidR="00104B62" w:rsidRPr="00104B62" w:rsidRDefault="00104B62" w:rsidP="00104B62">
      <w:pPr>
        <w:pStyle w:val="SingleTxt"/>
        <w:rPr>
          <w:lang w:val="fr-FR"/>
        </w:rPr>
      </w:pPr>
      <w:r w:rsidRPr="00104B62">
        <w:rPr>
          <w:lang w:val="fr-FR"/>
        </w:rPr>
        <w:tab/>
        <w:t>c)</w:t>
      </w:r>
      <w:r w:rsidRPr="00104B62">
        <w:rPr>
          <w:lang w:val="fr-FR"/>
        </w:rPr>
        <w:tab/>
        <w:t>Liste de points et de questions concernant le neuvième rapport périodique de Cabo Verde (</w:t>
      </w:r>
      <w:hyperlink r:id="rId17" w:history="1">
        <w:r w:rsidRPr="00F75BF9">
          <w:rPr>
            <w:rStyle w:val="Hyperlink"/>
          </w:rPr>
          <w:t>CEDAW/C/CPV/Q/9</w:t>
        </w:r>
      </w:hyperlink>
      <w:r w:rsidRPr="00104B62">
        <w:rPr>
          <w:lang w:val="fr-FR"/>
        </w:rPr>
        <w:t>)</w:t>
      </w:r>
      <w:r>
        <w:rPr>
          <w:lang w:val="fr-FR"/>
        </w:rPr>
        <w:t> ;</w:t>
      </w:r>
    </w:p>
    <w:p w14:paraId="2D0D3D4B" w14:textId="559A2FD5" w:rsidR="00104B62" w:rsidRPr="00104B62" w:rsidRDefault="00104B62" w:rsidP="00104B62">
      <w:pPr>
        <w:pStyle w:val="SingleTxt"/>
        <w:rPr>
          <w:lang w:val="fr-FR"/>
        </w:rPr>
      </w:pPr>
      <w:r w:rsidRPr="00104B62">
        <w:rPr>
          <w:lang w:val="fr-FR"/>
        </w:rPr>
        <w:tab/>
        <w:t>d)</w:t>
      </w:r>
      <w:r w:rsidRPr="00104B62">
        <w:rPr>
          <w:lang w:val="fr-FR"/>
        </w:rPr>
        <w:tab/>
        <w:t>Liste de points et de questions concernant le quatrième rapport périodique de la Côte d’Ivoire (</w:t>
      </w:r>
      <w:hyperlink r:id="rId18" w:history="1">
        <w:r w:rsidRPr="00F75BF9">
          <w:rPr>
            <w:rStyle w:val="Hyperlink"/>
          </w:rPr>
          <w:t>CEDAW/C/CIV/Q/4</w:t>
        </w:r>
      </w:hyperlink>
      <w:r w:rsidRPr="00104B62">
        <w:rPr>
          <w:lang w:val="fr-FR"/>
        </w:rPr>
        <w:t>)</w:t>
      </w:r>
      <w:r>
        <w:rPr>
          <w:lang w:val="fr-FR"/>
        </w:rPr>
        <w:t> ;</w:t>
      </w:r>
    </w:p>
    <w:p w14:paraId="6FF51FB7" w14:textId="3E26A75F" w:rsidR="00104B62" w:rsidRPr="00104B62" w:rsidRDefault="00104B62" w:rsidP="00104B62">
      <w:pPr>
        <w:pStyle w:val="SingleTxt"/>
        <w:rPr>
          <w:lang w:val="fr-FR"/>
        </w:rPr>
      </w:pPr>
      <w:r w:rsidRPr="00104B62">
        <w:rPr>
          <w:lang w:val="fr-FR"/>
        </w:rPr>
        <w:tab/>
        <w:t>e)</w:t>
      </w:r>
      <w:r w:rsidRPr="00104B62">
        <w:rPr>
          <w:lang w:val="fr-FR"/>
        </w:rPr>
        <w:tab/>
        <w:t>Liste de points et de questions concernant le huitième rapport périodique de la République démocratique du Congo (</w:t>
      </w:r>
      <w:hyperlink r:id="rId19" w:history="1">
        <w:r w:rsidRPr="00F75BF9">
          <w:rPr>
            <w:rStyle w:val="Hyperlink"/>
          </w:rPr>
          <w:t>CEDAW/C/COD/Q/8</w:t>
        </w:r>
      </w:hyperlink>
      <w:r w:rsidRPr="00104B62">
        <w:rPr>
          <w:lang w:val="fr-FR"/>
        </w:rPr>
        <w:t>)</w:t>
      </w:r>
      <w:r>
        <w:rPr>
          <w:lang w:val="fr-FR"/>
        </w:rPr>
        <w:t> ;</w:t>
      </w:r>
    </w:p>
    <w:p w14:paraId="29CE9589" w14:textId="52B3AD49" w:rsidR="00104B62" w:rsidRPr="00104B62" w:rsidRDefault="00104B62" w:rsidP="00104B62">
      <w:pPr>
        <w:pStyle w:val="SingleTxt"/>
        <w:rPr>
          <w:lang w:val="fr-FR"/>
        </w:rPr>
      </w:pPr>
      <w:r w:rsidRPr="00104B62">
        <w:rPr>
          <w:lang w:val="fr-FR"/>
        </w:rPr>
        <w:tab/>
        <w:t>f)</w:t>
      </w:r>
      <w:r w:rsidRPr="00104B62">
        <w:rPr>
          <w:lang w:val="fr-FR"/>
        </w:rPr>
        <w:tab/>
        <w:t>Liste de points et de questions concernant le neuvième rapport périodique du Guyana (</w:t>
      </w:r>
      <w:hyperlink r:id="rId20" w:history="1">
        <w:r w:rsidRPr="00F75BF9">
          <w:rPr>
            <w:rStyle w:val="Hyperlink"/>
          </w:rPr>
          <w:t>CEDAW/C/GUY/Q/9</w:t>
        </w:r>
      </w:hyperlink>
      <w:r w:rsidRPr="00104B62">
        <w:rPr>
          <w:lang w:val="fr-FR"/>
        </w:rPr>
        <w:t>)</w:t>
      </w:r>
      <w:r>
        <w:rPr>
          <w:lang w:val="fr-FR"/>
        </w:rPr>
        <w:t> ;</w:t>
      </w:r>
    </w:p>
    <w:p w14:paraId="754B6B87" w14:textId="6BE9DB14" w:rsidR="00104B62" w:rsidRPr="00104B62" w:rsidRDefault="00104B62" w:rsidP="00104B62">
      <w:pPr>
        <w:pStyle w:val="SingleTxt"/>
        <w:rPr>
          <w:lang w:val="fr-FR"/>
        </w:rPr>
      </w:pPr>
      <w:r w:rsidRPr="00104B62">
        <w:rPr>
          <w:lang w:val="fr-FR"/>
        </w:rPr>
        <w:tab/>
        <w:t>g)</w:t>
      </w:r>
      <w:r w:rsidRPr="00104B62">
        <w:rPr>
          <w:lang w:val="fr-FR"/>
        </w:rPr>
        <w:tab/>
        <w:t>Liste de points et de questions concernant le rapport valant troisième à cinquième rapports périodiques du Mozambique (</w:t>
      </w:r>
      <w:hyperlink r:id="rId21" w:history="1">
        <w:r w:rsidRPr="00F75BF9">
          <w:rPr>
            <w:rStyle w:val="Hyperlink"/>
          </w:rPr>
          <w:t>CEDAW/C/MOZ/Q/3-5</w:t>
        </w:r>
      </w:hyperlink>
      <w:r w:rsidRPr="00104B62">
        <w:rPr>
          <w:lang w:val="fr-FR"/>
        </w:rPr>
        <w:t>)</w:t>
      </w:r>
      <w:r>
        <w:rPr>
          <w:lang w:val="fr-FR"/>
        </w:rPr>
        <w:t> ;</w:t>
      </w:r>
    </w:p>
    <w:p w14:paraId="6969142D" w14:textId="1A9EC437" w:rsidR="00104B62" w:rsidRPr="00104B62" w:rsidRDefault="00104B62" w:rsidP="00104B62">
      <w:pPr>
        <w:pStyle w:val="SingleTxt"/>
        <w:rPr>
          <w:lang w:val="fr-FR"/>
        </w:rPr>
      </w:pPr>
      <w:r w:rsidRPr="00104B62">
        <w:rPr>
          <w:lang w:val="fr-FR"/>
        </w:rPr>
        <w:tab/>
        <w:t xml:space="preserve">h) </w:t>
      </w:r>
      <w:r w:rsidRPr="00104B62">
        <w:rPr>
          <w:lang w:val="fr-FR"/>
        </w:rPr>
        <w:tab/>
        <w:t>Liste de points et de questions concernant le deuxième rapport périodique du Qatar (</w:t>
      </w:r>
      <w:hyperlink r:id="rId22" w:history="1">
        <w:r w:rsidRPr="00F75BF9">
          <w:rPr>
            <w:rStyle w:val="Hyperlink"/>
            <w:lang w:val="fr-FR"/>
          </w:rPr>
          <w:t>CEDAW/C/QAT/Q/2</w:t>
        </w:r>
      </w:hyperlink>
      <w:r w:rsidRPr="00104B62">
        <w:rPr>
          <w:lang w:val="fr-FR"/>
        </w:rPr>
        <w:t>).</w:t>
      </w:r>
    </w:p>
    <w:p w14:paraId="7F37DF2E" w14:textId="32121156" w:rsidR="00104B62" w:rsidRPr="00104B62" w:rsidRDefault="00104B62" w:rsidP="00104B62">
      <w:pPr>
        <w:pStyle w:val="SingleTxt"/>
        <w:numPr>
          <w:ilvl w:val="0"/>
          <w:numId w:val="31"/>
        </w:numPr>
        <w:spacing w:line="240" w:lineRule="exact"/>
        <w:ind w:left="1267"/>
      </w:pPr>
      <w:r w:rsidRPr="00104B62">
        <w:t>Les listes de points établies avant la soumission du huitième rapport périodique de la République dominicaine (</w:t>
      </w:r>
      <w:hyperlink r:id="rId23" w:history="1">
        <w:r w:rsidRPr="00F75BF9">
          <w:rPr>
            <w:rStyle w:val="Hyperlink"/>
          </w:rPr>
          <w:t>CEDAW/C/DOM/QPR/8</w:t>
        </w:r>
      </w:hyperlink>
      <w:r w:rsidRPr="00104B62">
        <w:t xml:space="preserve">), du dixième rapport périodique de la Mongolie </w:t>
      </w:r>
      <w:r w:rsidR="00F75BF9">
        <w:rPr>
          <w:lang w:eastAsia="zh-CN"/>
        </w:rPr>
        <w:t>(</w:t>
      </w:r>
      <w:hyperlink r:id="rId24" w:history="1">
        <w:r w:rsidR="00F75BF9" w:rsidRPr="00E734D1">
          <w:rPr>
            <w:rStyle w:val="Hyperlink"/>
            <w:lang w:eastAsia="zh-CN"/>
          </w:rPr>
          <w:t>CEDAW/C/MNG/QPR/10</w:t>
        </w:r>
      </w:hyperlink>
      <w:r w:rsidR="00F75BF9">
        <w:rPr>
          <w:lang w:eastAsia="zh-CN"/>
        </w:rPr>
        <w:t xml:space="preserve">) </w:t>
      </w:r>
      <w:r w:rsidRPr="00104B62">
        <w:t xml:space="preserve">et du dixième rapport périodique du Panama </w:t>
      </w:r>
      <w:r w:rsidR="00F75BF9">
        <w:rPr>
          <w:lang w:eastAsia="zh-CN"/>
        </w:rPr>
        <w:t>(</w:t>
      </w:r>
      <w:hyperlink r:id="rId25" w:history="1">
        <w:r w:rsidR="00F75BF9" w:rsidRPr="00E734D1">
          <w:rPr>
            <w:rStyle w:val="Hyperlink"/>
            <w:lang w:eastAsia="zh-CN"/>
          </w:rPr>
          <w:t>CEDAW/C/PAN/QPR/8</w:t>
        </w:r>
      </w:hyperlink>
      <w:r w:rsidR="00F75BF9">
        <w:rPr>
          <w:lang w:eastAsia="zh-CN"/>
        </w:rPr>
        <w:t xml:space="preserve">) </w:t>
      </w:r>
      <w:r w:rsidRPr="00104B62">
        <w:t>seront soumises au Comité pour approbation à sa soixante-douzième session (18 février</w:t>
      </w:r>
      <w:r w:rsidR="005115B5">
        <w:t>-</w:t>
      </w:r>
      <w:r w:rsidRPr="00104B62">
        <w:t>8</w:t>
      </w:r>
      <w:r w:rsidR="005115B5">
        <w:t> </w:t>
      </w:r>
      <w:r w:rsidRPr="00104B62">
        <w:t>mars 2019), avant d’être communiquées aux États Membres.</w:t>
      </w:r>
    </w:p>
    <w:p w14:paraId="1D79E9F0" w14:textId="634FA14A" w:rsidR="00104B62" w:rsidRPr="00104B62" w:rsidRDefault="00104B62" w:rsidP="00104B62">
      <w:pPr>
        <w:pStyle w:val="SingleTxt"/>
        <w:numPr>
          <w:ilvl w:val="0"/>
          <w:numId w:val="31"/>
        </w:numPr>
        <w:tabs>
          <w:tab w:val="num" w:pos="2804"/>
        </w:tabs>
        <w:spacing w:line="240" w:lineRule="exact"/>
        <w:ind w:left="1267"/>
        <w:rPr>
          <w:lang w:val="fr-FR"/>
        </w:rPr>
      </w:pPr>
      <w:r w:rsidRPr="00104B62">
        <w:rPr>
          <w:lang w:val="fr-FR"/>
        </w:rPr>
        <w:t>Conformément aux décisions 22/IV, 25/II et 31/III du Comité, les listes de points et de questions ont porté sur des thèmes traités dans la Convention, ainsi que sur les liens entre ces thèmes et la cible 5.1 des objectifs de développement durable, à savoir</w:t>
      </w:r>
      <w:r>
        <w:rPr>
          <w:lang w:val="fr-FR"/>
        </w:rPr>
        <w:t> :</w:t>
      </w:r>
      <w:r w:rsidRPr="00104B62">
        <w:rPr>
          <w:lang w:val="fr-FR"/>
        </w:rPr>
        <w:t xml:space="preserve"> le cadre constitutionnel et législatif</w:t>
      </w:r>
      <w:r>
        <w:rPr>
          <w:lang w:val="fr-FR"/>
        </w:rPr>
        <w:t> ;</w:t>
      </w:r>
      <w:r w:rsidRPr="00104B62">
        <w:rPr>
          <w:lang w:val="fr-FR"/>
        </w:rPr>
        <w:t xml:space="preserve"> l’accès à la justice</w:t>
      </w:r>
      <w:r>
        <w:rPr>
          <w:lang w:val="fr-FR"/>
        </w:rPr>
        <w:t> ;</w:t>
      </w:r>
      <w:r w:rsidRPr="00104B62">
        <w:rPr>
          <w:lang w:val="fr-FR"/>
        </w:rPr>
        <w:t xml:space="preserve"> les femmes et la paix et la sécurité, le cas échéant</w:t>
      </w:r>
      <w:r>
        <w:rPr>
          <w:lang w:val="fr-FR"/>
        </w:rPr>
        <w:t> ;</w:t>
      </w:r>
      <w:r w:rsidRPr="00104B62">
        <w:rPr>
          <w:lang w:val="fr-FR"/>
        </w:rPr>
        <w:t xml:space="preserve"> le mécanisme national de promotion de la femme</w:t>
      </w:r>
      <w:r>
        <w:rPr>
          <w:lang w:val="fr-FR"/>
        </w:rPr>
        <w:t> ;</w:t>
      </w:r>
      <w:r w:rsidRPr="00104B62">
        <w:rPr>
          <w:lang w:val="fr-FR"/>
        </w:rPr>
        <w:t xml:space="preserve"> les mesures temporaires spéciales pour la promotion de la femme</w:t>
      </w:r>
      <w:r>
        <w:rPr>
          <w:lang w:val="fr-FR"/>
        </w:rPr>
        <w:t> ;</w:t>
      </w:r>
      <w:r w:rsidRPr="00104B62">
        <w:rPr>
          <w:lang w:val="fr-FR"/>
        </w:rPr>
        <w:t xml:space="preserve"> les stéréotypes et </w:t>
      </w:r>
      <w:r w:rsidRPr="00104B62">
        <w:rPr>
          <w:lang w:val="fr-FR"/>
        </w:rPr>
        <w:lastRenderedPageBreak/>
        <w:t>pratiques traditionnelles néfastes</w:t>
      </w:r>
      <w:r>
        <w:rPr>
          <w:lang w:val="fr-FR"/>
        </w:rPr>
        <w:t> ;</w:t>
      </w:r>
      <w:r w:rsidRPr="00104B62">
        <w:rPr>
          <w:lang w:val="fr-FR"/>
        </w:rPr>
        <w:t xml:space="preserve"> la violence sexiste à l’égard des femmes et des filles, y compris la violence familiale</w:t>
      </w:r>
      <w:r>
        <w:rPr>
          <w:lang w:val="fr-FR"/>
        </w:rPr>
        <w:t> ;</w:t>
      </w:r>
      <w:r w:rsidRPr="00104B62">
        <w:rPr>
          <w:lang w:val="fr-FR"/>
        </w:rPr>
        <w:t xml:space="preserve"> la traite des femmes et l’exploitation de la prostitution</w:t>
      </w:r>
      <w:r>
        <w:rPr>
          <w:lang w:val="fr-FR"/>
        </w:rPr>
        <w:t> ;</w:t>
      </w:r>
      <w:r w:rsidRPr="00104B62">
        <w:rPr>
          <w:lang w:val="fr-FR"/>
        </w:rPr>
        <w:t xml:space="preserve"> la participation des femmes à la vie politique et publique</w:t>
      </w:r>
      <w:r>
        <w:rPr>
          <w:lang w:val="fr-FR"/>
        </w:rPr>
        <w:t> ;</w:t>
      </w:r>
      <w:r w:rsidRPr="00104B62">
        <w:rPr>
          <w:lang w:val="fr-FR"/>
        </w:rPr>
        <w:t xml:space="preserve"> la nationalité</w:t>
      </w:r>
      <w:r>
        <w:rPr>
          <w:lang w:val="fr-FR"/>
        </w:rPr>
        <w:t> ;</w:t>
      </w:r>
      <w:r w:rsidRPr="00104B62">
        <w:rPr>
          <w:lang w:val="fr-FR"/>
        </w:rPr>
        <w:t xml:space="preserve"> l’éducation</w:t>
      </w:r>
      <w:r>
        <w:rPr>
          <w:lang w:val="fr-FR"/>
        </w:rPr>
        <w:t> ;</w:t>
      </w:r>
      <w:r w:rsidRPr="00104B62">
        <w:rPr>
          <w:lang w:val="fr-FR"/>
        </w:rPr>
        <w:t xml:space="preserve"> l’emploi</w:t>
      </w:r>
      <w:r>
        <w:rPr>
          <w:lang w:val="fr-FR"/>
        </w:rPr>
        <w:t> ;</w:t>
      </w:r>
      <w:r w:rsidRPr="00104B62">
        <w:rPr>
          <w:lang w:val="fr-FR"/>
        </w:rPr>
        <w:t xml:space="preserve"> la santé</w:t>
      </w:r>
      <w:r>
        <w:rPr>
          <w:lang w:val="fr-FR"/>
        </w:rPr>
        <w:t> ;</w:t>
      </w:r>
      <w:r w:rsidRPr="00104B62">
        <w:rPr>
          <w:lang w:val="fr-FR"/>
        </w:rPr>
        <w:t xml:space="preserve"> la vie économique et sociale</w:t>
      </w:r>
      <w:r>
        <w:rPr>
          <w:lang w:val="fr-FR"/>
        </w:rPr>
        <w:t> ;</w:t>
      </w:r>
      <w:r w:rsidRPr="00104B62">
        <w:rPr>
          <w:lang w:val="fr-FR"/>
        </w:rPr>
        <w:t xml:space="preserve"> la réduction des risques de catastrophe et les changements climatiques</w:t>
      </w:r>
      <w:r>
        <w:rPr>
          <w:lang w:val="fr-FR"/>
        </w:rPr>
        <w:t> ;</w:t>
      </w:r>
      <w:r w:rsidRPr="00104B62">
        <w:rPr>
          <w:lang w:val="fr-FR"/>
        </w:rPr>
        <w:t xml:space="preserve"> les femmes rurales</w:t>
      </w:r>
      <w:r>
        <w:rPr>
          <w:lang w:val="fr-FR"/>
        </w:rPr>
        <w:t> ;</w:t>
      </w:r>
      <w:r w:rsidRPr="00104B62">
        <w:rPr>
          <w:lang w:val="fr-FR"/>
        </w:rPr>
        <w:t xml:space="preserve"> la situation des personnes appartenant à des groupes défavorisés, notamment les femmes âgées, les femmes handicapées, les détenues, les femmes autochtones, les femmes appartenant à des minorités ethniques, les réfugiées et les migrantes, les lesbiennes, les bisexuelles, les transgenres et les personnes intersexes</w:t>
      </w:r>
      <w:r>
        <w:rPr>
          <w:lang w:val="fr-FR"/>
        </w:rPr>
        <w:t> ;</w:t>
      </w:r>
      <w:r w:rsidRPr="00104B62">
        <w:rPr>
          <w:lang w:val="fr-FR"/>
        </w:rPr>
        <w:t xml:space="preserve"> l’égalité devant la loi</w:t>
      </w:r>
      <w:r>
        <w:rPr>
          <w:lang w:val="fr-FR"/>
        </w:rPr>
        <w:t> ;</w:t>
      </w:r>
      <w:r w:rsidRPr="00104B62">
        <w:rPr>
          <w:lang w:val="fr-FR"/>
        </w:rPr>
        <w:t xml:space="preserve"> l’égalité dans le mariage et les rapports familiaux.</w:t>
      </w:r>
    </w:p>
    <w:bookmarkStart w:id="1" w:name="_GoBack"/>
    <w:bookmarkEnd w:id="1"/>
    <w:p w14:paraId="3B4121C3" w14:textId="70FF294B" w:rsidR="00104B62" w:rsidRPr="00104B62" w:rsidRDefault="00104B62" w:rsidP="00104B6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7E0156A" wp14:editId="2898CA3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203F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4B62" w:rsidRPr="00104B62" w:rsidSect="00104B6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8T16:09:00Z" w:initials="Start">
    <w:p w14:paraId="441D9D47" w14:textId="77777777" w:rsidR="00302B04" w:rsidRPr="00104B62" w:rsidRDefault="00302B04">
      <w:pPr>
        <w:pStyle w:val="CommentText"/>
        <w:rPr>
          <w:lang w:val="en-US"/>
        </w:rPr>
      </w:pPr>
      <w:r>
        <w:fldChar w:fldCharType="begin"/>
      </w:r>
      <w:r w:rsidRPr="00104B62">
        <w:rPr>
          <w:rStyle w:val="CommentReference"/>
          <w:lang w:val="en-US"/>
        </w:rPr>
        <w:instrText xml:space="preserve"> </w:instrText>
      </w:r>
      <w:r w:rsidRPr="00104B62">
        <w:rPr>
          <w:lang w:val="en-US"/>
        </w:rPr>
        <w:instrText>PAGE \# "'Page: '#'</w:instrText>
      </w:r>
      <w:r w:rsidRPr="00104B62">
        <w:rPr>
          <w:lang w:val="en-US"/>
        </w:rPr>
        <w:br/>
        <w:instrText>'"</w:instrText>
      </w:r>
      <w:r w:rsidRPr="00104B62">
        <w:rPr>
          <w:rStyle w:val="CommentReference"/>
          <w:lang w:val="en-US"/>
        </w:rPr>
        <w:instrText xml:space="preserve"> </w:instrText>
      </w:r>
      <w:r>
        <w:fldChar w:fldCharType="end"/>
      </w:r>
      <w:r>
        <w:rPr>
          <w:rStyle w:val="CommentReference"/>
        </w:rPr>
        <w:annotationRef/>
      </w:r>
      <w:r w:rsidRPr="00104B62">
        <w:rPr>
          <w:lang w:val="en-US"/>
        </w:rPr>
        <w:t>&lt;&lt;ODS JOB NO&gt;&gt;N1839129F&lt;&lt;ODS JOB NO&gt;&gt;</w:t>
      </w:r>
    </w:p>
    <w:p w14:paraId="3F2783C9" w14:textId="77777777" w:rsidR="00302B04" w:rsidRDefault="00302B04">
      <w:pPr>
        <w:pStyle w:val="CommentText"/>
      </w:pPr>
      <w:r>
        <w:t>&lt;&lt;ODS DOC SYMBOL1&gt;&gt;CEDAW/C/PSWG/73/1&lt;&lt;ODS DOC SYMBOL1&gt;&gt;</w:t>
      </w:r>
    </w:p>
    <w:p w14:paraId="69F78B70" w14:textId="77777777" w:rsidR="00302B04" w:rsidRDefault="00302B0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F78B7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68B9E" w14:textId="77777777" w:rsidR="001D7177" w:rsidRDefault="001D7177" w:rsidP="00101B18">
      <w:pPr>
        <w:spacing w:line="240" w:lineRule="auto"/>
      </w:pPr>
      <w:r>
        <w:separator/>
      </w:r>
    </w:p>
  </w:endnote>
  <w:endnote w:type="continuationSeparator" w:id="0">
    <w:p w14:paraId="7E30E7B5" w14:textId="77777777" w:rsidR="001D7177" w:rsidRDefault="001D717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B04" w14:paraId="4CF44321" w14:textId="77777777" w:rsidTr="00302B04">
      <w:tc>
        <w:tcPr>
          <w:tcW w:w="4920" w:type="dxa"/>
          <w:shd w:val="clear" w:color="auto" w:fill="auto"/>
        </w:tcPr>
        <w:p w14:paraId="22B66AB0" w14:textId="13271EA1" w:rsidR="00302B04" w:rsidRPr="00302B04" w:rsidRDefault="00302B04" w:rsidP="00302B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CAA">
            <w:rPr>
              <w:b w:val="0"/>
              <w:w w:val="103"/>
              <w:sz w:val="14"/>
            </w:rPr>
            <w:t>18-19865</w:t>
          </w:r>
          <w:r>
            <w:rPr>
              <w:b w:val="0"/>
              <w:w w:val="103"/>
              <w:sz w:val="14"/>
            </w:rPr>
            <w:fldChar w:fldCharType="end"/>
          </w:r>
        </w:p>
      </w:tc>
      <w:tc>
        <w:tcPr>
          <w:tcW w:w="4920" w:type="dxa"/>
          <w:shd w:val="clear" w:color="auto" w:fill="auto"/>
        </w:tcPr>
        <w:p w14:paraId="4B27B269" w14:textId="77777777" w:rsidR="00302B04" w:rsidRPr="00302B04" w:rsidRDefault="00302B04" w:rsidP="00302B0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1C032C9" w14:textId="77777777" w:rsidR="00302B04" w:rsidRPr="00302B04" w:rsidRDefault="00302B04" w:rsidP="00302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2B04" w14:paraId="54873B5F" w14:textId="77777777" w:rsidTr="00302B04">
      <w:tc>
        <w:tcPr>
          <w:tcW w:w="4920" w:type="dxa"/>
          <w:shd w:val="clear" w:color="auto" w:fill="auto"/>
        </w:tcPr>
        <w:p w14:paraId="4028840A" w14:textId="77777777" w:rsidR="00302B04" w:rsidRPr="00302B04" w:rsidRDefault="00302B04" w:rsidP="00302B0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D5E44ED" w14:textId="3AA19756" w:rsidR="00302B04" w:rsidRPr="00302B04" w:rsidRDefault="00302B04" w:rsidP="00302B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0CAA">
            <w:rPr>
              <w:b w:val="0"/>
              <w:w w:val="103"/>
              <w:sz w:val="14"/>
            </w:rPr>
            <w:t>18-19865</w:t>
          </w:r>
          <w:r>
            <w:rPr>
              <w:b w:val="0"/>
              <w:w w:val="103"/>
              <w:sz w:val="14"/>
            </w:rPr>
            <w:fldChar w:fldCharType="end"/>
          </w:r>
        </w:p>
      </w:tc>
    </w:tr>
  </w:tbl>
  <w:p w14:paraId="62FD8E57" w14:textId="77777777" w:rsidR="00302B04" w:rsidRPr="00302B04" w:rsidRDefault="00302B04" w:rsidP="00302B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A7F6A" w14:textId="77777777" w:rsidR="00302B04" w:rsidRDefault="00302B04">
    <w:pPr>
      <w:pStyle w:val="Footer"/>
    </w:pPr>
    <w:r>
      <w:rPr>
        <w:noProof/>
      </w:rPr>
      <w:drawing>
        <wp:anchor distT="0" distB="0" distL="114300" distR="114300" simplePos="0" relativeHeight="251658240" behindDoc="0" locked="0" layoutInCell="1" allowOverlap="1" wp14:anchorId="0596ACC2" wp14:editId="006E4EC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3/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3/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02B04" w14:paraId="76D522E6" w14:textId="77777777" w:rsidTr="00302B04">
      <w:tc>
        <w:tcPr>
          <w:tcW w:w="3758" w:type="dxa"/>
        </w:tcPr>
        <w:p w14:paraId="0B4709AF" w14:textId="42458126" w:rsidR="00302B04" w:rsidRDefault="00302B04" w:rsidP="00302B0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90CAA">
            <w:rPr>
              <w:b w:val="0"/>
              <w:sz w:val="20"/>
            </w:rPr>
            <w:t>18-19865 (F)</w:t>
          </w:r>
          <w:r>
            <w:rPr>
              <w:b w:val="0"/>
              <w:sz w:val="20"/>
            </w:rPr>
            <w:fldChar w:fldCharType="end"/>
          </w:r>
          <w:r w:rsidR="00104B62">
            <w:rPr>
              <w:b w:val="0"/>
              <w:sz w:val="20"/>
            </w:rPr>
            <w:t xml:space="preserve">    19</w:t>
          </w:r>
          <w:r>
            <w:rPr>
              <w:b w:val="0"/>
              <w:sz w:val="20"/>
            </w:rPr>
            <w:t>1218    281218</w:t>
          </w:r>
        </w:p>
        <w:p w14:paraId="3F4B41EF" w14:textId="483F6007" w:rsidR="00302B04" w:rsidRPr="00302B04" w:rsidRDefault="00302B04" w:rsidP="00302B0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90CAA">
            <w:rPr>
              <w:rFonts w:ascii="Barcode 3 of 9 by request" w:hAnsi="Barcode 3 of 9 by request"/>
              <w:spacing w:val="0"/>
              <w:w w:val="100"/>
              <w:sz w:val="24"/>
            </w:rPr>
            <w:t>*1819865*</w:t>
          </w:r>
          <w:r>
            <w:rPr>
              <w:rFonts w:ascii="Barcode 3 of 9 by request" w:hAnsi="Barcode 3 of 9 by request"/>
              <w:spacing w:val="0"/>
              <w:w w:val="100"/>
              <w:sz w:val="24"/>
            </w:rPr>
            <w:fldChar w:fldCharType="end"/>
          </w:r>
        </w:p>
      </w:tc>
      <w:tc>
        <w:tcPr>
          <w:tcW w:w="4920" w:type="dxa"/>
        </w:tcPr>
        <w:p w14:paraId="452D52FA" w14:textId="77777777" w:rsidR="00302B04" w:rsidRDefault="00302B04" w:rsidP="00302B04">
          <w:pPr>
            <w:pStyle w:val="Footer"/>
            <w:spacing w:line="240" w:lineRule="atLeast"/>
            <w:jc w:val="right"/>
            <w:rPr>
              <w:b w:val="0"/>
              <w:sz w:val="20"/>
            </w:rPr>
          </w:pPr>
          <w:r>
            <w:rPr>
              <w:b w:val="0"/>
              <w:noProof/>
              <w:sz w:val="20"/>
            </w:rPr>
            <w:drawing>
              <wp:inline distT="0" distB="0" distL="0" distR="0" wp14:anchorId="22D08933" wp14:editId="352C34C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9A8C8D7" w14:textId="77777777" w:rsidR="00302B04" w:rsidRPr="00302B04" w:rsidRDefault="00302B04" w:rsidP="00302B0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538510" w14:textId="77777777" w:rsidR="001D7177" w:rsidRDefault="001D7177" w:rsidP="00101B18">
      <w:pPr>
        <w:spacing w:line="240" w:lineRule="auto"/>
      </w:pPr>
      <w:r>
        <w:separator/>
      </w:r>
    </w:p>
  </w:footnote>
  <w:footnote w:type="continuationSeparator" w:id="0">
    <w:p w14:paraId="40C0A289" w14:textId="77777777" w:rsidR="001D7177" w:rsidRDefault="001D7177"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2B04" w14:paraId="6F321A52" w14:textId="77777777" w:rsidTr="00302B04">
      <w:trPr>
        <w:trHeight w:hRule="exact" w:val="864"/>
      </w:trPr>
      <w:tc>
        <w:tcPr>
          <w:tcW w:w="4920" w:type="dxa"/>
          <w:shd w:val="clear" w:color="auto" w:fill="auto"/>
          <w:vAlign w:val="bottom"/>
        </w:tcPr>
        <w:p w14:paraId="76859CC8" w14:textId="1195D658" w:rsidR="00302B04" w:rsidRPr="00302B04" w:rsidRDefault="00302B04" w:rsidP="00302B0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90CAA">
            <w:rPr>
              <w:b/>
              <w:color w:val="000000"/>
            </w:rPr>
            <w:t>CEDAW/C/PSWG/73/1</w:t>
          </w:r>
          <w:r>
            <w:rPr>
              <w:b/>
              <w:color w:val="000000"/>
            </w:rPr>
            <w:fldChar w:fldCharType="end"/>
          </w:r>
        </w:p>
      </w:tc>
      <w:tc>
        <w:tcPr>
          <w:tcW w:w="4920" w:type="dxa"/>
          <w:shd w:val="clear" w:color="auto" w:fill="auto"/>
          <w:vAlign w:val="bottom"/>
        </w:tcPr>
        <w:p w14:paraId="7EDC944C" w14:textId="77777777" w:rsidR="00302B04" w:rsidRDefault="00302B04" w:rsidP="00302B04">
          <w:pPr>
            <w:pStyle w:val="Header"/>
          </w:pPr>
        </w:p>
      </w:tc>
    </w:tr>
  </w:tbl>
  <w:p w14:paraId="7028BF96" w14:textId="77777777" w:rsidR="00302B04" w:rsidRPr="00302B04" w:rsidRDefault="00302B04" w:rsidP="00302B0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2B04" w14:paraId="13B416E0" w14:textId="77777777" w:rsidTr="00302B04">
      <w:trPr>
        <w:trHeight w:hRule="exact" w:val="864"/>
      </w:trPr>
      <w:tc>
        <w:tcPr>
          <w:tcW w:w="4920" w:type="dxa"/>
          <w:shd w:val="clear" w:color="auto" w:fill="auto"/>
          <w:vAlign w:val="bottom"/>
        </w:tcPr>
        <w:p w14:paraId="5E536800" w14:textId="77777777" w:rsidR="00302B04" w:rsidRDefault="00302B04" w:rsidP="00302B04">
          <w:pPr>
            <w:pStyle w:val="Header"/>
          </w:pPr>
        </w:p>
      </w:tc>
      <w:tc>
        <w:tcPr>
          <w:tcW w:w="4920" w:type="dxa"/>
          <w:shd w:val="clear" w:color="auto" w:fill="auto"/>
          <w:vAlign w:val="bottom"/>
        </w:tcPr>
        <w:p w14:paraId="40C9AB0E" w14:textId="65474826" w:rsidR="00302B04" w:rsidRPr="00302B04" w:rsidRDefault="00302B04" w:rsidP="00302B0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90CAA">
            <w:rPr>
              <w:b/>
              <w:color w:val="000000"/>
            </w:rPr>
            <w:t>CEDAW/C/PSWG/73/1</w:t>
          </w:r>
          <w:r>
            <w:rPr>
              <w:b/>
              <w:color w:val="000000"/>
            </w:rPr>
            <w:fldChar w:fldCharType="end"/>
          </w:r>
        </w:p>
      </w:tc>
    </w:tr>
  </w:tbl>
  <w:p w14:paraId="7EDE3A3B" w14:textId="77777777" w:rsidR="00302B04" w:rsidRPr="00302B04" w:rsidRDefault="00302B04" w:rsidP="00302B0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02B04" w14:paraId="046A5794" w14:textId="77777777" w:rsidTr="00302B04">
      <w:trPr>
        <w:trHeight w:hRule="exact" w:val="864"/>
      </w:trPr>
      <w:tc>
        <w:tcPr>
          <w:tcW w:w="1267" w:type="dxa"/>
          <w:tcBorders>
            <w:bottom w:val="single" w:sz="4" w:space="0" w:color="auto"/>
          </w:tcBorders>
          <w:shd w:val="clear" w:color="auto" w:fill="auto"/>
          <w:vAlign w:val="bottom"/>
        </w:tcPr>
        <w:p w14:paraId="2B7D556B" w14:textId="77777777" w:rsidR="00302B04" w:rsidRDefault="00302B04" w:rsidP="00302B04">
          <w:pPr>
            <w:pStyle w:val="Header"/>
            <w:spacing w:after="120"/>
          </w:pPr>
        </w:p>
      </w:tc>
      <w:tc>
        <w:tcPr>
          <w:tcW w:w="2059" w:type="dxa"/>
          <w:tcBorders>
            <w:bottom w:val="single" w:sz="4" w:space="0" w:color="auto"/>
          </w:tcBorders>
          <w:shd w:val="clear" w:color="auto" w:fill="auto"/>
          <w:vAlign w:val="bottom"/>
        </w:tcPr>
        <w:p w14:paraId="0242BEB2" w14:textId="77777777" w:rsidR="00302B04" w:rsidRPr="00302B04" w:rsidRDefault="00302B04" w:rsidP="00302B0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59A5774" w14:textId="77777777" w:rsidR="00302B04" w:rsidRDefault="00302B04" w:rsidP="00302B04">
          <w:pPr>
            <w:pStyle w:val="Header"/>
            <w:spacing w:after="120"/>
          </w:pPr>
        </w:p>
      </w:tc>
      <w:tc>
        <w:tcPr>
          <w:tcW w:w="6466" w:type="dxa"/>
          <w:gridSpan w:val="3"/>
          <w:tcBorders>
            <w:bottom w:val="single" w:sz="4" w:space="0" w:color="auto"/>
          </w:tcBorders>
          <w:shd w:val="clear" w:color="auto" w:fill="auto"/>
          <w:vAlign w:val="bottom"/>
        </w:tcPr>
        <w:p w14:paraId="1D19DE1A" w14:textId="77777777" w:rsidR="00302B04" w:rsidRPr="00302B04" w:rsidRDefault="00302B04" w:rsidP="00302B04">
          <w:pPr>
            <w:spacing w:after="80" w:line="240" w:lineRule="auto"/>
            <w:jc w:val="right"/>
            <w:rPr>
              <w:position w:val="-4"/>
            </w:rPr>
          </w:pPr>
          <w:r>
            <w:rPr>
              <w:position w:val="-4"/>
              <w:sz w:val="40"/>
            </w:rPr>
            <w:t>CEDAW</w:t>
          </w:r>
          <w:r>
            <w:rPr>
              <w:position w:val="-4"/>
            </w:rPr>
            <w:t>/C/PSWG/73/1</w:t>
          </w:r>
        </w:p>
      </w:tc>
    </w:tr>
    <w:tr w:rsidR="00302B04" w:rsidRPr="00302B04" w14:paraId="1C75BA0A" w14:textId="77777777" w:rsidTr="00302B04">
      <w:trPr>
        <w:trHeight w:hRule="exact" w:val="2880"/>
      </w:trPr>
      <w:tc>
        <w:tcPr>
          <w:tcW w:w="1267" w:type="dxa"/>
          <w:tcBorders>
            <w:top w:val="single" w:sz="4" w:space="0" w:color="auto"/>
            <w:bottom w:val="single" w:sz="12" w:space="0" w:color="auto"/>
          </w:tcBorders>
          <w:shd w:val="clear" w:color="auto" w:fill="auto"/>
        </w:tcPr>
        <w:p w14:paraId="7EAE6ADB" w14:textId="77777777" w:rsidR="00302B04" w:rsidRPr="00302B04" w:rsidRDefault="00302B04" w:rsidP="00302B04">
          <w:pPr>
            <w:pStyle w:val="Header"/>
            <w:spacing w:before="120" w:line="240" w:lineRule="auto"/>
            <w:ind w:left="-72"/>
            <w:jc w:val="center"/>
          </w:pPr>
          <w:r>
            <w:t xml:space="preserve">  </w:t>
          </w:r>
          <w:r>
            <w:rPr>
              <w:noProof/>
            </w:rPr>
            <w:drawing>
              <wp:inline distT="0" distB="0" distL="0" distR="0" wp14:anchorId="7470C00B" wp14:editId="2484615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464634" w14:textId="77777777" w:rsidR="00302B04" w:rsidRPr="00302B04" w:rsidRDefault="00302B04" w:rsidP="00302B0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6FFE913" w14:textId="77777777" w:rsidR="00302B04" w:rsidRPr="00104B62" w:rsidRDefault="00302B04" w:rsidP="00302B04">
          <w:pPr>
            <w:pStyle w:val="Header"/>
            <w:spacing w:before="109"/>
            <w:rPr>
              <w:lang w:val="fr-CA"/>
            </w:rPr>
          </w:pPr>
        </w:p>
      </w:tc>
      <w:tc>
        <w:tcPr>
          <w:tcW w:w="3110" w:type="dxa"/>
          <w:tcBorders>
            <w:top w:val="single" w:sz="4" w:space="0" w:color="auto"/>
            <w:bottom w:val="single" w:sz="12" w:space="0" w:color="auto"/>
          </w:tcBorders>
          <w:shd w:val="clear" w:color="auto" w:fill="auto"/>
        </w:tcPr>
        <w:p w14:paraId="729D2982" w14:textId="77777777" w:rsidR="00302B04" w:rsidRPr="00104B62" w:rsidRDefault="00302B04" w:rsidP="00302B04">
          <w:pPr>
            <w:pStyle w:val="Distribution"/>
            <w:rPr>
              <w:color w:val="000000"/>
              <w:lang w:val="fr-CA"/>
            </w:rPr>
          </w:pPr>
          <w:r w:rsidRPr="00104B62">
            <w:rPr>
              <w:color w:val="000000"/>
              <w:lang w:val="fr-CA"/>
            </w:rPr>
            <w:t>Distr. générale</w:t>
          </w:r>
        </w:p>
        <w:p w14:paraId="124E557E" w14:textId="77777777" w:rsidR="00302B04" w:rsidRPr="00104B62" w:rsidRDefault="00302B04" w:rsidP="00302B04">
          <w:pPr>
            <w:pStyle w:val="Publication"/>
            <w:rPr>
              <w:color w:val="000000"/>
              <w:lang w:val="fr-CA"/>
            </w:rPr>
          </w:pPr>
          <w:r w:rsidRPr="00104B62">
            <w:rPr>
              <w:color w:val="000000"/>
              <w:lang w:val="fr-CA"/>
            </w:rPr>
            <w:t>20 novembre 2018</w:t>
          </w:r>
        </w:p>
        <w:p w14:paraId="62328096" w14:textId="77777777" w:rsidR="00302B04" w:rsidRPr="00104B62" w:rsidRDefault="00302B04" w:rsidP="00302B04">
          <w:r w:rsidRPr="00104B62">
            <w:t>Français</w:t>
          </w:r>
        </w:p>
        <w:p w14:paraId="467BF513" w14:textId="00EB80FC" w:rsidR="00302B04" w:rsidRPr="00104B62" w:rsidRDefault="00302B04" w:rsidP="00302B04">
          <w:pPr>
            <w:pStyle w:val="Original"/>
            <w:rPr>
              <w:color w:val="000000"/>
              <w:lang w:val="fr-CA"/>
            </w:rPr>
          </w:pPr>
          <w:r w:rsidRPr="00104B62">
            <w:rPr>
              <w:color w:val="000000"/>
              <w:lang w:val="fr-CA"/>
            </w:rPr>
            <w:t>Original</w:t>
          </w:r>
          <w:r w:rsidR="00104B62">
            <w:rPr>
              <w:color w:val="000000"/>
              <w:lang w:val="fr-CA"/>
            </w:rPr>
            <w:t> :</w:t>
          </w:r>
          <w:r w:rsidRPr="00104B62">
            <w:rPr>
              <w:color w:val="000000"/>
              <w:lang w:val="fr-CA"/>
            </w:rPr>
            <w:t xml:space="preserve"> anglais</w:t>
          </w:r>
        </w:p>
      </w:tc>
    </w:tr>
  </w:tbl>
  <w:p w14:paraId="6B6EC6D4" w14:textId="77777777" w:rsidR="00302B04" w:rsidRPr="00104B62" w:rsidRDefault="00302B04" w:rsidP="00302B04">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9C72560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72E8FE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78AA9F3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A227D4"/>
    <w:multiLevelType w:val="singleLevel"/>
    <w:tmpl w:val="3E9A0B9E"/>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2A24FEB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2E694E"/>
    <w:multiLevelType w:val="singleLevel"/>
    <w:tmpl w:val="2FE2767E"/>
    <w:lvl w:ilvl="0">
      <w:start w:val="1"/>
      <w:numFmt w:val="decimal"/>
      <w:lvlRestart w:val="0"/>
      <w:lvlText w:val="%1."/>
      <w:lvlJc w:val="left"/>
      <w:pPr>
        <w:tabs>
          <w:tab w:val="num" w:pos="475"/>
        </w:tabs>
        <w:ind w:left="0" w:firstLine="0"/>
      </w:pPr>
      <w:rPr>
        <w:w w:val="100"/>
      </w:rPr>
    </w:lvl>
  </w:abstractNum>
  <w:abstractNum w:abstractNumId="6" w15:restartNumberingAfterBreak="0">
    <w:nsid w:val="7AFD7C98"/>
    <w:multiLevelType w:val="hybridMultilevel"/>
    <w:tmpl w:val="40C2B81E"/>
    <w:lvl w:ilvl="0" w:tplc="A36CE11E">
      <w:start w:val="10"/>
      <w:numFmt w:val="decimal"/>
      <w:lvlRestart w:val="0"/>
      <w:lvlText w:val="%1."/>
      <w:lvlJc w:val="left"/>
      <w:pPr>
        <w:tabs>
          <w:tab w:val="num" w:pos="475"/>
        </w:tabs>
        <w:ind w:left="0" w:firstLine="0"/>
      </w:pPr>
      <w:rPr>
        <w:rFonts w:hint="default"/>
        <w:w w:val="1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6"/>
  </w:num>
  <w:num w:numId="3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5*"/>
    <w:docVar w:name="CreationDt" w:val="28/12/2018 4:09: PM"/>
    <w:docVar w:name="DocCategory" w:val="Doc"/>
    <w:docVar w:name="DocType" w:val="Final"/>
    <w:docVar w:name="DutyStation" w:val="New York"/>
    <w:docVar w:name="FooterJN" w:val="18-19865"/>
    <w:docVar w:name="jobn" w:val="18-19865 (F)"/>
    <w:docVar w:name="jobnDT" w:val="18-19865 (F)   281218"/>
    <w:docVar w:name="jobnDTDT" w:val="18-19865 (F)   281218   281218"/>
    <w:docVar w:name="JobNo" w:val="1819865F"/>
    <w:docVar w:name="JobNo2" w:val="1839129F"/>
    <w:docVar w:name="LocalDrive" w:val="0"/>
    <w:docVar w:name="OandT" w:val="VCN"/>
    <w:docVar w:name="sss1" w:val="CEDAW/C/PSWG/73/1"/>
    <w:docVar w:name="sss2" w:val="-"/>
    <w:docVar w:name="Symbol1" w:val="CEDAW/C/PSWG/73/1"/>
    <w:docVar w:name="Symbol2" w:val="-"/>
  </w:docVars>
  <w:rsids>
    <w:rsidRoot w:val="001D7177"/>
    <w:rsid w:val="00002584"/>
    <w:rsid w:val="00003030"/>
    <w:rsid w:val="0001655B"/>
    <w:rsid w:val="0002693C"/>
    <w:rsid w:val="00045005"/>
    <w:rsid w:val="00050B9E"/>
    <w:rsid w:val="00063F94"/>
    <w:rsid w:val="0007142F"/>
    <w:rsid w:val="00071D43"/>
    <w:rsid w:val="00076FBD"/>
    <w:rsid w:val="000771BB"/>
    <w:rsid w:val="00081360"/>
    <w:rsid w:val="00082144"/>
    <w:rsid w:val="000B39C9"/>
    <w:rsid w:val="000D18C4"/>
    <w:rsid w:val="000F1A41"/>
    <w:rsid w:val="00101B18"/>
    <w:rsid w:val="0010290C"/>
    <w:rsid w:val="00104B62"/>
    <w:rsid w:val="00113067"/>
    <w:rsid w:val="00122A56"/>
    <w:rsid w:val="00134FEE"/>
    <w:rsid w:val="00137221"/>
    <w:rsid w:val="00146C6A"/>
    <w:rsid w:val="001553F5"/>
    <w:rsid w:val="00157DA3"/>
    <w:rsid w:val="0016138D"/>
    <w:rsid w:val="00163A28"/>
    <w:rsid w:val="00166A0D"/>
    <w:rsid w:val="00170F15"/>
    <w:rsid w:val="00174A41"/>
    <w:rsid w:val="00174BF6"/>
    <w:rsid w:val="00183C3B"/>
    <w:rsid w:val="00184E9B"/>
    <w:rsid w:val="001962FB"/>
    <w:rsid w:val="001974FC"/>
    <w:rsid w:val="001B6B3B"/>
    <w:rsid w:val="001C2229"/>
    <w:rsid w:val="001C29EF"/>
    <w:rsid w:val="001D0F11"/>
    <w:rsid w:val="001D7177"/>
    <w:rsid w:val="001E4B50"/>
    <w:rsid w:val="001F6FA1"/>
    <w:rsid w:val="002025B1"/>
    <w:rsid w:val="00212C6B"/>
    <w:rsid w:val="00231072"/>
    <w:rsid w:val="00245750"/>
    <w:rsid w:val="002458F9"/>
    <w:rsid w:val="002478A0"/>
    <w:rsid w:val="00256FF1"/>
    <w:rsid w:val="00257CD2"/>
    <w:rsid w:val="00262B91"/>
    <w:rsid w:val="0027005E"/>
    <w:rsid w:val="00283870"/>
    <w:rsid w:val="00283C41"/>
    <w:rsid w:val="00290CAA"/>
    <w:rsid w:val="00291D39"/>
    <w:rsid w:val="002A5E20"/>
    <w:rsid w:val="002B274C"/>
    <w:rsid w:val="002B779F"/>
    <w:rsid w:val="002C23BF"/>
    <w:rsid w:val="002E3FED"/>
    <w:rsid w:val="002F7A9C"/>
    <w:rsid w:val="00302B04"/>
    <w:rsid w:val="00305793"/>
    <w:rsid w:val="00353807"/>
    <w:rsid w:val="00364262"/>
    <w:rsid w:val="00366D21"/>
    <w:rsid w:val="00375E71"/>
    <w:rsid w:val="0038103E"/>
    <w:rsid w:val="003A675A"/>
    <w:rsid w:val="003A78AC"/>
    <w:rsid w:val="003D1F76"/>
    <w:rsid w:val="003E107D"/>
    <w:rsid w:val="003E1FC6"/>
    <w:rsid w:val="003F133D"/>
    <w:rsid w:val="003F61E1"/>
    <w:rsid w:val="00407403"/>
    <w:rsid w:val="004217FC"/>
    <w:rsid w:val="00440C93"/>
    <w:rsid w:val="00447B3D"/>
    <w:rsid w:val="00472439"/>
    <w:rsid w:val="0047312C"/>
    <w:rsid w:val="00480B84"/>
    <w:rsid w:val="0048214D"/>
    <w:rsid w:val="00491D48"/>
    <w:rsid w:val="0049300D"/>
    <w:rsid w:val="004A65D2"/>
    <w:rsid w:val="004B1503"/>
    <w:rsid w:val="004B64F9"/>
    <w:rsid w:val="004C1A25"/>
    <w:rsid w:val="004C3B43"/>
    <w:rsid w:val="004D63C1"/>
    <w:rsid w:val="004E47EE"/>
    <w:rsid w:val="004E627E"/>
    <w:rsid w:val="004F1480"/>
    <w:rsid w:val="004F514C"/>
    <w:rsid w:val="005115B5"/>
    <w:rsid w:val="00515991"/>
    <w:rsid w:val="005225EC"/>
    <w:rsid w:val="005234B3"/>
    <w:rsid w:val="00525097"/>
    <w:rsid w:val="00526B44"/>
    <w:rsid w:val="00531CBC"/>
    <w:rsid w:val="005509B6"/>
    <w:rsid w:val="00562E5F"/>
    <w:rsid w:val="00570E5D"/>
    <w:rsid w:val="0057507E"/>
    <w:rsid w:val="00575575"/>
    <w:rsid w:val="00592989"/>
    <w:rsid w:val="005B22BD"/>
    <w:rsid w:val="005F08E2"/>
    <w:rsid w:val="005F1F5F"/>
    <w:rsid w:val="005F2160"/>
    <w:rsid w:val="0060402F"/>
    <w:rsid w:val="006149CB"/>
    <w:rsid w:val="00624268"/>
    <w:rsid w:val="00632D0D"/>
    <w:rsid w:val="006346F5"/>
    <w:rsid w:val="00684ABD"/>
    <w:rsid w:val="00687036"/>
    <w:rsid w:val="00690698"/>
    <w:rsid w:val="006A5914"/>
    <w:rsid w:val="006B0630"/>
    <w:rsid w:val="006B50B9"/>
    <w:rsid w:val="006B632D"/>
    <w:rsid w:val="006D39A1"/>
    <w:rsid w:val="006E4A4B"/>
    <w:rsid w:val="006E56AC"/>
    <w:rsid w:val="006E6FA7"/>
    <w:rsid w:val="006F260B"/>
    <w:rsid w:val="006F5BD3"/>
    <w:rsid w:val="007246AE"/>
    <w:rsid w:val="007319BD"/>
    <w:rsid w:val="007459AE"/>
    <w:rsid w:val="007531A5"/>
    <w:rsid w:val="00757D3C"/>
    <w:rsid w:val="00771C9E"/>
    <w:rsid w:val="007D5BEE"/>
    <w:rsid w:val="007F223D"/>
    <w:rsid w:val="0082045E"/>
    <w:rsid w:val="008222A3"/>
    <w:rsid w:val="00830D20"/>
    <w:rsid w:val="00846F74"/>
    <w:rsid w:val="008668A8"/>
    <w:rsid w:val="008702D9"/>
    <w:rsid w:val="00872FE6"/>
    <w:rsid w:val="008909F7"/>
    <w:rsid w:val="008B525A"/>
    <w:rsid w:val="008C2361"/>
    <w:rsid w:val="008F3462"/>
    <w:rsid w:val="008F7AB7"/>
    <w:rsid w:val="00904238"/>
    <w:rsid w:val="009240A1"/>
    <w:rsid w:val="009261C2"/>
    <w:rsid w:val="00935932"/>
    <w:rsid w:val="0094129E"/>
    <w:rsid w:val="00950E11"/>
    <w:rsid w:val="00956ED4"/>
    <w:rsid w:val="009572C1"/>
    <w:rsid w:val="00957EEF"/>
    <w:rsid w:val="009706DA"/>
    <w:rsid w:val="0097403C"/>
    <w:rsid w:val="00976D96"/>
    <w:rsid w:val="00984587"/>
    <w:rsid w:val="00993CB7"/>
    <w:rsid w:val="009B286D"/>
    <w:rsid w:val="009B4B5A"/>
    <w:rsid w:val="009B65B8"/>
    <w:rsid w:val="009C1994"/>
    <w:rsid w:val="009D0EE3"/>
    <w:rsid w:val="009D2E82"/>
    <w:rsid w:val="009D323B"/>
    <w:rsid w:val="009D7F72"/>
    <w:rsid w:val="009E51FA"/>
    <w:rsid w:val="009E5E93"/>
    <w:rsid w:val="009F5BC3"/>
    <w:rsid w:val="00A15B2A"/>
    <w:rsid w:val="00A2209C"/>
    <w:rsid w:val="00A23BBF"/>
    <w:rsid w:val="00A2494D"/>
    <w:rsid w:val="00A36658"/>
    <w:rsid w:val="00A536A1"/>
    <w:rsid w:val="00A747CB"/>
    <w:rsid w:val="00A81BCE"/>
    <w:rsid w:val="00A8313D"/>
    <w:rsid w:val="00A92D24"/>
    <w:rsid w:val="00AA3F93"/>
    <w:rsid w:val="00AB0B7D"/>
    <w:rsid w:val="00AC3D76"/>
    <w:rsid w:val="00AD5F2F"/>
    <w:rsid w:val="00AE1620"/>
    <w:rsid w:val="00AF0739"/>
    <w:rsid w:val="00AF2A32"/>
    <w:rsid w:val="00B002B1"/>
    <w:rsid w:val="00B20034"/>
    <w:rsid w:val="00B65DE2"/>
    <w:rsid w:val="00B72F94"/>
    <w:rsid w:val="00B858D5"/>
    <w:rsid w:val="00B910ED"/>
    <w:rsid w:val="00BA1136"/>
    <w:rsid w:val="00BB104A"/>
    <w:rsid w:val="00BB19E4"/>
    <w:rsid w:val="00BC0CD3"/>
    <w:rsid w:val="00BE1AA9"/>
    <w:rsid w:val="00BE48B9"/>
    <w:rsid w:val="00C0374C"/>
    <w:rsid w:val="00C41C2F"/>
    <w:rsid w:val="00C46602"/>
    <w:rsid w:val="00C53772"/>
    <w:rsid w:val="00C701CA"/>
    <w:rsid w:val="00CB06FB"/>
    <w:rsid w:val="00CB63C5"/>
    <w:rsid w:val="00CC240F"/>
    <w:rsid w:val="00CE35CA"/>
    <w:rsid w:val="00CF66A1"/>
    <w:rsid w:val="00D03CB5"/>
    <w:rsid w:val="00D148E1"/>
    <w:rsid w:val="00D30EED"/>
    <w:rsid w:val="00D3290D"/>
    <w:rsid w:val="00D32C21"/>
    <w:rsid w:val="00D732CC"/>
    <w:rsid w:val="00D872F9"/>
    <w:rsid w:val="00DA7354"/>
    <w:rsid w:val="00DB49F3"/>
    <w:rsid w:val="00DB6818"/>
    <w:rsid w:val="00DC1D43"/>
    <w:rsid w:val="00DD768C"/>
    <w:rsid w:val="00E00060"/>
    <w:rsid w:val="00E00245"/>
    <w:rsid w:val="00E01A05"/>
    <w:rsid w:val="00E0790F"/>
    <w:rsid w:val="00E2090D"/>
    <w:rsid w:val="00E2318C"/>
    <w:rsid w:val="00E343A6"/>
    <w:rsid w:val="00E367A3"/>
    <w:rsid w:val="00E42819"/>
    <w:rsid w:val="00E4315D"/>
    <w:rsid w:val="00E55128"/>
    <w:rsid w:val="00E7105F"/>
    <w:rsid w:val="00EA22E2"/>
    <w:rsid w:val="00EB710B"/>
    <w:rsid w:val="00EC1E8F"/>
    <w:rsid w:val="00EC490A"/>
    <w:rsid w:val="00ED086B"/>
    <w:rsid w:val="00ED2D71"/>
    <w:rsid w:val="00EE14CE"/>
    <w:rsid w:val="00EE37EC"/>
    <w:rsid w:val="00EE5284"/>
    <w:rsid w:val="00EF2DFA"/>
    <w:rsid w:val="00EF4DCB"/>
    <w:rsid w:val="00EF5207"/>
    <w:rsid w:val="00F0079A"/>
    <w:rsid w:val="00F03D30"/>
    <w:rsid w:val="00F46EFD"/>
    <w:rsid w:val="00F5012D"/>
    <w:rsid w:val="00F53CAC"/>
    <w:rsid w:val="00F54A65"/>
    <w:rsid w:val="00F73093"/>
    <w:rsid w:val="00F74FC3"/>
    <w:rsid w:val="00F75BF9"/>
    <w:rsid w:val="00F85D56"/>
    <w:rsid w:val="00FA3D05"/>
    <w:rsid w:val="00FA5CC9"/>
    <w:rsid w:val="00FB0A2C"/>
    <w:rsid w:val="00FC2590"/>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F0C389"/>
  <w15:chartTrackingRefBased/>
  <w15:docId w15:val="{FBC4367A-9501-48F7-BA6E-6B528A63B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735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A735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A735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A735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A735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A735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A735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A735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A735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A735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A7354"/>
    <w:pPr>
      <w:keepNext/>
      <w:keepLines/>
      <w:suppressAutoHyphens/>
      <w:spacing w:line="270" w:lineRule="exact"/>
      <w:outlineLvl w:val="0"/>
    </w:pPr>
    <w:rPr>
      <w:b/>
      <w:sz w:val="24"/>
    </w:rPr>
  </w:style>
  <w:style w:type="paragraph" w:customStyle="1" w:styleId="HCH">
    <w:name w:val="_ H _CH"/>
    <w:basedOn w:val="H1"/>
    <w:next w:val="Normal"/>
    <w:qFormat/>
    <w:rsid w:val="00DA7354"/>
    <w:pPr>
      <w:spacing w:line="300" w:lineRule="exact"/>
    </w:pPr>
    <w:rPr>
      <w:spacing w:val="-2"/>
      <w:sz w:val="28"/>
    </w:rPr>
  </w:style>
  <w:style w:type="paragraph" w:customStyle="1" w:styleId="HM">
    <w:name w:val="_ H __M"/>
    <w:basedOn w:val="HCH"/>
    <w:next w:val="Normal"/>
    <w:qFormat/>
    <w:rsid w:val="00DA7354"/>
    <w:pPr>
      <w:spacing w:line="360" w:lineRule="exact"/>
    </w:pPr>
    <w:rPr>
      <w:spacing w:val="-3"/>
      <w:w w:val="99"/>
      <w:sz w:val="34"/>
    </w:rPr>
  </w:style>
  <w:style w:type="paragraph" w:customStyle="1" w:styleId="H23">
    <w:name w:val="_ H_2/3"/>
    <w:basedOn w:val="H1"/>
    <w:next w:val="Normal"/>
    <w:qFormat/>
    <w:rsid w:val="00DA7354"/>
    <w:pPr>
      <w:spacing w:line="240" w:lineRule="exact"/>
      <w:outlineLvl w:val="1"/>
    </w:pPr>
    <w:rPr>
      <w:spacing w:val="2"/>
      <w:sz w:val="20"/>
    </w:rPr>
  </w:style>
  <w:style w:type="paragraph" w:customStyle="1" w:styleId="H4">
    <w:name w:val="_ H_4"/>
    <w:basedOn w:val="Normal"/>
    <w:next w:val="Normal"/>
    <w:qFormat/>
    <w:rsid w:val="00DA7354"/>
    <w:pPr>
      <w:keepNext/>
      <w:keepLines/>
      <w:tabs>
        <w:tab w:val="right" w:pos="360"/>
      </w:tabs>
      <w:suppressAutoHyphens/>
      <w:outlineLvl w:val="3"/>
    </w:pPr>
    <w:rPr>
      <w:i/>
      <w:spacing w:val="3"/>
    </w:rPr>
  </w:style>
  <w:style w:type="paragraph" w:customStyle="1" w:styleId="H56">
    <w:name w:val="_ H_5/6"/>
    <w:basedOn w:val="Normal"/>
    <w:next w:val="Normal"/>
    <w:qFormat/>
    <w:rsid w:val="00DA735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A735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A735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A7354"/>
    <w:pPr>
      <w:spacing w:line="540" w:lineRule="exact"/>
    </w:pPr>
    <w:rPr>
      <w:spacing w:val="-8"/>
      <w:w w:val="96"/>
      <w:sz w:val="57"/>
    </w:rPr>
  </w:style>
  <w:style w:type="paragraph" w:customStyle="1" w:styleId="SS">
    <w:name w:val="__S_S"/>
    <w:basedOn w:val="HCH"/>
    <w:next w:val="Normal"/>
    <w:qFormat/>
    <w:rsid w:val="00DA7354"/>
    <w:pPr>
      <w:ind w:left="1267" w:right="1267"/>
    </w:pPr>
  </w:style>
  <w:style w:type="paragraph" w:customStyle="1" w:styleId="SingleTxt">
    <w:name w:val="__Single Txt"/>
    <w:basedOn w:val="Normal"/>
    <w:qFormat/>
    <w:rsid w:val="00DA73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A735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A73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A735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A735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A735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A7354"/>
    <w:pPr>
      <w:numPr>
        <w:numId w:val="17"/>
      </w:numPr>
      <w:spacing w:after="120"/>
      <w:ind w:right="1267"/>
      <w:jc w:val="both"/>
    </w:pPr>
  </w:style>
  <w:style w:type="paragraph" w:customStyle="1" w:styleId="Bullet2">
    <w:name w:val="Bullet 2"/>
    <w:basedOn w:val="Normal"/>
    <w:qFormat/>
    <w:rsid w:val="00DA7354"/>
    <w:pPr>
      <w:numPr>
        <w:numId w:val="18"/>
      </w:numPr>
      <w:spacing w:after="120"/>
      <w:ind w:right="1264"/>
      <w:jc w:val="both"/>
    </w:pPr>
  </w:style>
  <w:style w:type="paragraph" w:customStyle="1" w:styleId="Bullet3">
    <w:name w:val="Bullet 3"/>
    <w:basedOn w:val="SingleTxt"/>
    <w:qFormat/>
    <w:rsid w:val="00DA735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A735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A735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A7354"/>
    <w:pPr>
      <w:spacing w:line="210" w:lineRule="exact"/>
    </w:pPr>
    <w:rPr>
      <w:sz w:val="17"/>
      <w:szCs w:val="20"/>
    </w:rPr>
  </w:style>
  <w:style w:type="character" w:customStyle="1" w:styleId="EndnoteTextChar">
    <w:name w:val="Endnote Text Char"/>
    <w:link w:val="EndnoteText"/>
    <w:uiPriority w:val="99"/>
    <w:semiHidden/>
    <w:rsid w:val="00DA735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A735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A735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DA73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A7354"/>
    <w:pPr>
      <w:spacing w:line="210" w:lineRule="exact"/>
    </w:pPr>
    <w:rPr>
      <w:sz w:val="17"/>
      <w:szCs w:val="20"/>
    </w:rPr>
  </w:style>
  <w:style w:type="character" w:customStyle="1" w:styleId="FootnoteTextChar">
    <w:name w:val="Footnote Text Char"/>
    <w:link w:val="FootnoteText"/>
    <w:uiPriority w:val="99"/>
    <w:rsid w:val="00DA735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A735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A735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A735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A735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A735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A735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A735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A735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A735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A735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A735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A7354"/>
    <w:rPr>
      <w:sz w:val="14"/>
    </w:rPr>
  </w:style>
  <w:style w:type="paragraph" w:styleId="ListParagraph">
    <w:name w:val="List Paragraph"/>
    <w:basedOn w:val="Normal"/>
    <w:uiPriority w:val="34"/>
    <w:rsid w:val="00DA7354"/>
    <w:pPr>
      <w:ind w:left="720"/>
      <w:contextualSpacing/>
    </w:pPr>
  </w:style>
  <w:style w:type="paragraph" w:styleId="NoSpacing">
    <w:name w:val="No Spacing"/>
    <w:uiPriority w:val="1"/>
    <w:rsid w:val="00DA735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A735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A735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A735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A7354"/>
    <w:pPr>
      <w:tabs>
        <w:tab w:val="right" w:pos="9965"/>
      </w:tabs>
      <w:spacing w:line="210" w:lineRule="exact"/>
    </w:pPr>
    <w:rPr>
      <w:spacing w:val="5"/>
      <w:w w:val="104"/>
      <w:sz w:val="17"/>
    </w:rPr>
  </w:style>
  <w:style w:type="paragraph" w:customStyle="1" w:styleId="SmallX">
    <w:name w:val="SmallX"/>
    <w:basedOn w:val="Small"/>
    <w:next w:val="Normal"/>
    <w:qFormat/>
    <w:rsid w:val="00DA7354"/>
    <w:pPr>
      <w:spacing w:line="180" w:lineRule="exact"/>
      <w:jc w:val="right"/>
    </w:pPr>
    <w:rPr>
      <w:spacing w:val="6"/>
      <w:w w:val="106"/>
      <w:sz w:val="14"/>
    </w:rPr>
  </w:style>
  <w:style w:type="character" w:styleId="Strong">
    <w:name w:val="Strong"/>
    <w:uiPriority w:val="22"/>
    <w:rsid w:val="00DA7354"/>
    <w:rPr>
      <w:b/>
      <w:bCs/>
    </w:rPr>
  </w:style>
  <w:style w:type="paragraph" w:customStyle="1" w:styleId="Style1">
    <w:name w:val="Style1"/>
    <w:basedOn w:val="Normal"/>
    <w:qFormat/>
    <w:rsid w:val="00DA7354"/>
  </w:style>
  <w:style w:type="paragraph" w:customStyle="1" w:styleId="Style2">
    <w:name w:val="Style2"/>
    <w:basedOn w:val="Normal"/>
    <w:autoRedefine/>
    <w:qFormat/>
    <w:rsid w:val="00DA7354"/>
  </w:style>
  <w:style w:type="paragraph" w:customStyle="1" w:styleId="TitleHCH">
    <w:name w:val="Title_H_CH"/>
    <w:basedOn w:val="H1"/>
    <w:next w:val="Normal"/>
    <w:qFormat/>
    <w:rsid w:val="00DA73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A73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A735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302B04"/>
    <w:rPr>
      <w:sz w:val="16"/>
      <w:szCs w:val="16"/>
    </w:rPr>
  </w:style>
  <w:style w:type="paragraph" w:styleId="CommentText">
    <w:name w:val="annotation text"/>
    <w:basedOn w:val="Normal"/>
    <w:link w:val="CommentTextChar"/>
    <w:uiPriority w:val="99"/>
    <w:semiHidden/>
    <w:unhideWhenUsed/>
    <w:rsid w:val="00302B04"/>
    <w:pPr>
      <w:spacing w:line="240" w:lineRule="auto"/>
    </w:pPr>
    <w:rPr>
      <w:szCs w:val="20"/>
    </w:rPr>
  </w:style>
  <w:style w:type="character" w:customStyle="1" w:styleId="CommentTextChar">
    <w:name w:val="Comment Text Char"/>
    <w:basedOn w:val="DefaultParagraphFont"/>
    <w:link w:val="CommentText"/>
    <w:uiPriority w:val="99"/>
    <w:semiHidden/>
    <w:rsid w:val="00302B0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02B04"/>
    <w:rPr>
      <w:b/>
      <w:bCs/>
    </w:rPr>
  </w:style>
  <w:style w:type="character" w:customStyle="1" w:styleId="CommentSubjectChar">
    <w:name w:val="Comment Subject Char"/>
    <w:basedOn w:val="CommentTextChar"/>
    <w:link w:val="CommentSubject"/>
    <w:uiPriority w:val="99"/>
    <w:semiHidden/>
    <w:rsid w:val="00302B0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04B62"/>
    <w:rPr>
      <w:color w:val="0000FF"/>
      <w:u w:val="none"/>
    </w:rPr>
  </w:style>
  <w:style w:type="character" w:styleId="FollowedHyperlink">
    <w:name w:val="FollowedHyperlink"/>
    <w:basedOn w:val="DefaultParagraphFont"/>
    <w:uiPriority w:val="99"/>
    <w:semiHidden/>
    <w:unhideWhenUsed/>
    <w:rsid w:val="00104B62"/>
    <w:rPr>
      <w:color w:val="0000FF"/>
      <w:u w:val="none"/>
    </w:rPr>
  </w:style>
  <w:style w:type="character" w:styleId="UnresolvedMention">
    <w:name w:val="Unresolved Mention"/>
    <w:basedOn w:val="DefaultParagraphFont"/>
    <w:uiPriority w:val="99"/>
    <w:semiHidden/>
    <w:unhideWhenUsed/>
    <w:rsid w:val="00104B62"/>
    <w:rPr>
      <w:color w:val="808080"/>
      <w:shd w:val="clear" w:color="auto" w:fill="E6E6E6"/>
    </w:rPr>
  </w:style>
  <w:style w:type="paragraph" w:styleId="Revision">
    <w:name w:val="Revision"/>
    <w:hidden/>
    <w:uiPriority w:val="99"/>
    <w:semiHidden/>
    <w:rsid w:val="005115B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CIV/Q/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MOZ/Q/3-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CPV/Q/9" TargetMode="External"/><Relationship Id="rId25" Type="http://schemas.openxmlformats.org/officeDocument/2006/relationships/hyperlink" Target="https://undocs.org/fr/CEDAW/C/PAN/QPR/8" TargetMode="External"/><Relationship Id="rId2" Type="http://schemas.openxmlformats.org/officeDocument/2006/relationships/styles" Target="styles.xml"/><Relationship Id="rId16" Type="http://schemas.openxmlformats.org/officeDocument/2006/relationships/hyperlink" Target="https://undocs.org/fr/CEDAW/C/BHR/Q/4" TargetMode="External"/><Relationship Id="rId20" Type="http://schemas.openxmlformats.org/officeDocument/2006/relationships/hyperlink" Target="https://undocs.org/fr/CEDAW/C/GUY/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MNG/QPR/10" TargetMode="External"/><Relationship Id="rId5" Type="http://schemas.openxmlformats.org/officeDocument/2006/relationships/footnotes" Target="footnotes.xml"/><Relationship Id="rId15" Type="http://schemas.openxmlformats.org/officeDocument/2006/relationships/hyperlink" Target="https://undocs.org/fr/CEDAW/C/AUT/Q/9" TargetMode="External"/><Relationship Id="rId23" Type="http://schemas.openxmlformats.org/officeDocument/2006/relationships/hyperlink" Target="https://undocs.org/fr/CEDAW/C/DOM/QPR/8" TargetMode="External"/><Relationship Id="rId10" Type="http://schemas.openxmlformats.org/officeDocument/2006/relationships/footer" Target="footer2.xml"/><Relationship Id="rId19" Type="http://schemas.openxmlformats.org/officeDocument/2006/relationships/hyperlink" Target="https://undocs.org/fr/CEDAW/C/COD/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QAT/Q/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997</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Chevrier-Noel</dc:creator>
  <cp:keywords/>
  <dc:description/>
  <cp:lastModifiedBy>Valerie Chevrier-Noel</cp:lastModifiedBy>
  <cp:revision>3</cp:revision>
  <cp:lastPrinted>2018-12-28T21:38:00Z</cp:lastPrinted>
  <dcterms:created xsi:type="dcterms:W3CDTF">2018-12-28T21:37:00Z</dcterms:created>
  <dcterms:modified xsi:type="dcterms:W3CDTF">2018-12-28T21:38:00Z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1819865F</vt:lpwstr>
  </property>
  <property fmtid="{D5CDD505-2E9C-101B-9397-08002B2CF9AE}" pid="3" name="ODSRefJobNo">
    <vt:lpwstr>1839129F</vt:lpwstr>
  </property>
  <property fmtid="{D5CDD505-2E9C-101B-9397-08002B2CF9AE}" pid="4" name="Symbol1">
    <vt:lpwstr>CEDAW/C/PSWG/73/1</vt:lpwstr>
  </property>
  <property fmtid="{D5CDD505-2E9C-101B-9397-08002B2CF9AE}" pid="5" name="Symbol2">
    <vt:lpwstr/>
  </property>
  <property fmtid="{D5CDD505-2E9C-101B-9397-08002B2CF9AE}" pid="6" name="Translator">
    <vt:lpwstr/>
  </property>
  <property fmtid="{D5CDD505-2E9C-101B-9397-08002B2CF9AE}" pid="7" name="Operator">
    <vt:lpwstr>VCN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novembre 2018</vt:lpwstr>
  </property>
  <property fmtid="{D5CDD505-2E9C-101B-9397-08002B2CF9AE}" pid="14" name="Release Date">
    <vt:lpwstr>281218</vt:lpwstr>
  </property>
  <property fmtid="{D5CDD505-2E9C-101B-9397-08002B2CF9AE}" pid="15" name="Session">
    <vt:lpwstr>Soixante-treizième session_x000d_</vt:lpwstr>
  </property>
  <property fmtid="{D5CDD505-2E9C-101B-9397-08002B2CF9AE}" pid="16" name="Title1">
    <vt:lpwstr>Examen des rapports soumis par les États parties en application de l’article 18 de la Convention sur l’élimination de toutes les formes de discrimination à l’égard des femmes_x000d_</vt:lpwstr>
  </property>
  <property fmtid="{D5CDD505-2E9C-101B-9397-08002B2CF9AE}" pid="17" name="Title2">
    <vt:lpwstr>Rapport du groupe de travail d’avant-session_x000d_</vt:lpwstr>
  </property>
</Properties>
</file>