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211AA21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6AACF17" w14:textId="77777777" w:rsidR="002D5AAC" w:rsidRDefault="002D5AAC" w:rsidP="00715A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1D78569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260819" w14:textId="4AC73D20" w:rsidR="002D5AAC" w:rsidRDefault="00715A12" w:rsidP="00715A12">
            <w:pPr>
              <w:jc w:val="right"/>
            </w:pPr>
            <w:r w:rsidRPr="00715A12">
              <w:rPr>
                <w:sz w:val="40"/>
              </w:rPr>
              <w:t>E</w:t>
            </w:r>
            <w:r>
              <w:t>/C.12/QAT/CO/1</w:t>
            </w:r>
          </w:p>
        </w:tc>
      </w:tr>
      <w:tr w:rsidR="002D5AAC" w:rsidRPr="00DC7C4C" w14:paraId="2E1EF26A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B8A85B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804E85" wp14:editId="65511B9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1F61FC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0208F0A9" w14:textId="60EFC5E4" w:rsidR="002D5AAC" w:rsidRDefault="00715A1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715A12">
              <w:rPr>
                <w:rFonts w:eastAsia="SimSun" w:cs="Times New Roman"/>
                <w:szCs w:val="20"/>
                <w:lang w:val="en-GB" w:eastAsia="zh-CN"/>
              </w:rPr>
              <w:t>General</w:t>
            </w:r>
          </w:p>
          <w:p w14:paraId="5F1F7A4C" w14:textId="6922E64E" w:rsidR="00715A12" w:rsidRDefault="00715A12" w:rsidP="00715A12">
            <w:pPr>
              <w:spacing w:line="240" w:lineRule="exact"/>
              <w:rPr>
                <w:lang w:val="en-US"/>
              </w:rPr>
            </w:pPr>
            <w:r w:rsidRPr="00715A12">
              <w:rPr>
                <w:rFonts w:eastAsia="SimSun" w:cs="Times New Roman"/>
                <w:szCs w:val="20"/>
                <w:lang w:val="en-GB" w:eastAsia="zh-CN"/>
              </w:rPr>
              <w:t>6 November 2023</w:t>
            </w:r>
          </w:p>
          <w:p w14:paraId="2F5D564C" w14:textId="77777777" w:rsidR="00715A12" w:rsidRDefault="00715A12" w:rsidP="00715A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3FEB97F" w14:textId="1BCA1ADB" w:rsidR="00715A12" w:rsidRPr="00D62A45" w:rsidRDefault="00715A12" w:rsidP="00715A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715A12">
              <w:rPr>
                <w:rFonts w:eastAsia="SimSun" w:cs="Times New Roman"/>
                <w:szCs w:val="20"/>
                <w:lang w:val="en-GB" w:eastAsia="zh-CN"/>
              </w:rPr>
              <w:t>English</w:t>
            </w:r>
          </w:p>
        </w:tc>
      </w:tr>
    </w:tbl>
    <w:p w14:paraId="40BB13D4" w14:textId="5A3D06E7" w:rsidR="00715A12" w:rsidRPr="00715A12" w:rsidRDefault="00715A12" w:rsidP="00715A12">
      <w:pPr>
        <w:spacing w:before="120"/>
        <w:rPr>
          <w:rFonts w:eastAsia="SimSun" w:cs="Times New Roman"/>
          <w:b/>
          <w:sz w:val="24"/>
          <w:szCs w:val="20"/>
          <w:lang w:eastAsia="zh-CN"/>
        </w:rPr>
      </w:pPr>
      <w:r w:rsidRPr="00715A12">
        <w:rPr>
          <w:rFonts w:eastAsia="SimSun" w:cs="Times New Roman"/>
          <w:b/>
          <w:sz w:val="24"/>
          <w:szCs w:val="20"/>
          <w:lang w:eastAsia="zh-CN"/>
        </w:rPr>
        <w:t>Комитет по экономическим, социальным</w:t>
      </w:r>
      <w:r>
        <w:rPr>
          <w:rFonts w:eastAsia="SimSun" w:cs="Times New Roman"/>
          <w:b/>
          <w:sz w:val="24"/>
          <w:szCs w:val="20"/>
          <w:lang w:eastAsia="zh-CN"/>
        </w:rPr>
        <w:br/>
      </w:r>
      <w:r w:rsidRPr="00715A12">
        <w:rPr>
          <w:rFonts w:eastAsia="SimSun" w:cs="Times New Roman"/>
          <w:b/>
          <w:sz w:val="24"/>
          <w:szCs w:val="20"/>
          <w:lang w:eastAsia="zh-CN"/>
        </w:rPr>
        <w:t>и культурным правам</w:t>
      </w:r>
    </w:p>
    <w:p w14:paraId="63F48AB9" w14:textId="77777777" w:rsidR="00715A12" w:rsidRPr="00715A12" w:rsidRDefault="00715A12" w:rsidP="00715A12">
      <w:pPr>
        <w:pStyle w:val="HCh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Заключительные замечания по первоначальному докладу Катара</w:t>
      </w:r>
      <w:r w:rsidRPr="00715A12">
        <w:rPr>
          <w:rFonts w:eastAsia="SimSun"/>
          <w:b w:val="0"/>
          <w:bCs/>
          <w:position w:val="6"/>
          <w:sz w:val="20"/>
        </w:rPr>
        <w:footnoteReference w:customMarkFollows="1" w:id="1"/>
        <w:t>*</w:t>
      </w:r>
    </w:p>
    <w:p w14:paraId="377ACBD3" w14:textId="58008499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1.</w:t>
      </w:r>
      <w:r w:rsidRPr="00715A12">
        <w:rPr>
          <w:rFonts w:eastAsia="SimSun" w:cs="Times New Roman"/>
          <w:szCs w:val="20"/>
          <w:lang w:eastAsia="zh-CN"/>
        </w:rPr>
        <w:tab/>
        <w:t>Комитет рассмотрел первоначальный доклад Катара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"/>
      </w:r>
      <w:r w:rsidRPr="00715A12">
        <w:rPr>
          <w:rFonts w:eastAsia="SimSun" w:cs="Times New Roman"/>
          <w:szCs w:val="20"/>
          <w:lang w:eastAsia="zh-CN"/>
        </w:rPr>
        <w:t xml:space="preserve"> на своих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42-м и 44-м заседаниях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3"/>
      </w:r>
      <w:r w:rsidRPr="00715A12">
        <w:rPr>
          <w:rFonts w:eastAsia="SimSun" w:cs="Times New Roman"/>
          <w:szCs w:val="20"/>
          <w:lang w:eastAsia="zh-CN"/>
        </w:rPr>
        <w:t>, состоявшихся 2 и 3 октября 2023 года, и принял настоящие заключительные замечания на своем 60-м заседании, состоявшемся 13 октября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2023 года.</w:t>
      </w:r>
    </w:p>
    <w:p w14:paraId="7CEA37B6" w14:textId="77777777" w:rsidR="00715A12" w:rsidRPr="00715A12" w:rsidRDefault="00715A12" w:rsidP="00715A12">
      <w:pPr>
        <w:pStyle w:val="H1G"/>
        <w:rPr>
          <w:rFonts w:eastAsia="SimSun"/>
        </w:rPr>
      </w:pPr>
      <w:r w:rsidRPr="00715A12">
        <w:rPr>
          <w:rFonts w:eastAsia="SimSun"/>
        </w:rPr>
        <w:tab/>
        <w:t>A.</w:t>
      </w:r>
      <w:r w:rsidRPr="00715A12">
        <w:rPr>
          <w:rFonts w:eastAsia="SimSun"/>
        </w:rPr>
        <w:tab/>
        <w:t>Введение</w:t>
      </w:r>
    </w:p>
    <w:p w14:paraId="40684E0F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2.</w:t>
      </w:r>
      <w:r w:rsidRPr="00715A12">
        <w:rPr>
          <w:rFonts w:eastAsia="SimSun" w:cs="Times New Roman"/>
          <w:szCs w:val="20"/>
          <w:lang w:eastAsia="zh-CN"/>
        </w:rPr>
        <w:tab/>
        <w:t>Комитет приветствует представление первоначального доклада государства-участника и дополнительную информацию, представленную в его ответах на перечень вопросов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4"/>
      </w:r>
      <w:r w:rsidRPr="00715A12">
        <w:rPr>
          <w:rFonts w:eastAsia="SimSun" w:cs="Times New Roman"/>
          <w:szCs w:val="20"/>
          <w:lang w:eastAsia="zh-CN"/>
        </w:rPr>
        <w:t>. Комитет выражает признательность за конструктивный диалог, состоявшийся с делегацией государства-участника.</w:t>
      </w:r>
    </w:p>
    <w:p w14:paraId="7C87628C" w14:textId="77777777" w:rsidR="00715A12" w:rsidRPr="00715A12" w:rsidRDefault="00715A12" w:rsidP="00715A12">
      <w:pPr>
        <w:pStyle w:val="H1G"/>
        <w:rPr>
          <w:rFonts w:eastAsia="SimSun"/>
        </w:rPr>
      </w:pPr>
      <w:r w:rsidRPr="00715A12">
        <w:rPr>
          <w:rFonts w:eastAsia="SimSun"/>
        </w:rPr>
        <w:tab/>
        <w:t>B.</w:t>
      </w:r>
      <w:r w:rsidRPr="00715A12">
        <w:rPr>
          <w:rFonts w:eastAsia="SimSun"/>
        </w:rPr>
        <w:tab/>
        <w:t>Положительные аспекты</w:t>
      </w:r>
    </w:p>
    <w:p w14:paraId="70DC918A" w14:textId="37FD2E09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3.</w:t>
      </w:r>
      <w:r w:rsidRPr="00715A12">
        <w:rPr>
          <w:rFonts w:eastAsia="SimSun" w:cs="Times New Roman"/>
          <w:szCs w:val="20"/>
          <w:lang w:eastAsia="zh-CN"/>
        </w:rPr>
        <w:tab/>
        <w:t>Комитет приветствует законодательные, институциональные и политические меры, принятые в целях укрепления защиты экономических, социальных и культурных прав в государстве-участнике, включая Закон № 17 от 2020 года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о минимальном размере заработной платы работников и домашних работников; Декрет-закон № 19 от 2020 года о внесении изменений в Закон № 21 от 2015 года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о въезде, выезде и проживании экспатриантов, дополненный Министерским постановлением № 51 от 2020 года об отмене законодательного требования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о получении трудящимися-мигрантами от работодателей справки об отсутствии возражений против смены работы; а также меры, упомянутые в настоящих заключительных замечаниях.</w:t>
      </w:r>
    </w:p>
    <w:p w14:paraId="58C83E90" w14:textId="240DEE7B" w:rsidR="00715A12" w:rsidRPr="00715A12" w:rsidRDefault="00715A12" w:rsidP="00715A12">
      <w:pPr>
        <w:pStyle w:val="H1G"/>
        <w:rPr>
          <w:rFonts w:eastAsia="SimSun"/>
        </w:rPr>
      </w:pPr>
      <w:r w:rsidRPr="00715A12">
        <w:rPr>
          <w:rFonts w:eastAsia="SimSun"/>
        </w:rPr>
        <w:tab/>
        <w:t>C.</w:t>
      </w:r>
      <w:r w:rsidRPr="00715A12">
        <w:rPr>
          <w:rFonts w:eastAsia="SimSun"/>
        </w:rPr>
        <w:tab/>
        <w:t>Основные вопросы, вызывающие обеспокоенность,</w:t>
      </w:r>
      <w:r>
        <w:rPr>
          <w:rFonts w:eastAsia="SimSun"/>
        </w:rPr>
        <w:br/>
      </w:r>
      <w:r w:rsidRPr="00715A12">
        <w:rPr>
          <w:rFonts w:eastAsia="SimSun"/>
        </w:rPr>
        <w:t>и рекомендации</w:t>
      </w:r>
    </w:p>
    <w:p w14:paraId="1514F5A7" w14:textId="42AD0B83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Применение Международного пакта об экономических, социальных</w:t>
      </w:r>
      <w:r>
        <w:rPr>
          <w:rFonts w:eastAsia="SimSun"/>
        </w:rPr>
        <w:br/>
      </w:r>
      <w:r w:rsidRPr="00715A12">
        <w:rPr>
          <w:rFonts w:eastAsia="SimSun"/>
        </w:rPr>
        <w:t>и культурных правах во внутреннем праве</w:t>
      </w:r>
    </w:p>
    <w:p w14:paraId="6020CB40" w14:textId="3A8ABF72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4.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Отмечая, что Международный пакт об экономических, социальных и культурных правах является неотъемлемой частью внутренней правовой базы государства-участника, Комитет обеспокоен отсутствием информации о том,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lastRenderedPageBreak/>
        <w:t>как разрешаются потенциальные конфликты между внутренним законодательством и Пактом. Комитет также обеспокоен отсутствием случаев, когда национальные суды ссылались на Пакт или непосредственно применяли его.</w:t>
      </w:r>
    </w:p>
    <w:p w14:paraId="6522504E" w14:textId="62D4EF94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5.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обеспечить, чтобы права, закрепленные в Пакте, были полностью инкорпорированы в его внутреннее законодательство, и чтобы положения Пакта имели преимущественную силу при любом потенциальном конфликте со внутренними законами.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обеспечить подготовку судей, адвокатов и государственных служащих по положениям Пакта и возможности их защиты в судебном порядке, и принять меры по повышению осведомленности о Пакте среди правообладателей.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В этой связи Комитет обращает внимание государства-участника на свое замечание общего порядка № 9 (1998) о применении Пакта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во внутреннем праве.</w:t>
      </w:r>
    </w:p>
    <w:p w14:paraId="706FBC6A" w14:textId="1DF7F189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Оговорки</w:t>
      </w:r>
    </w:p>
    <w:p w14:paraId="099C26EC" w14:textId="1394D620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524E4E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524E4E"/>
          <w:szCs w:val="20"/>
          <w:lang w:eastAsia="zh-CN"/>
        </w:rPr>
        <w:t>6.</w:t>
      </w:r>
      <w:r w:rsidRPr="00715A12">
        <w:rPr>
          <w:rFonts w:eastAsia="SimSun" w:cs="Times New Roman"/>
          <w:color w:val="524E4E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обеспокоен тем, что оговорка государства-участника к статье 3 и его заявление в отношении статьи 8 ставят положения Пакта в зависимость от их совместимости с законами шариата или национальным законодательством и равносильны оговоркам общего и неопределенного характера, которые, таким образом, несовместимы с объектом и целью Пакта.</w:t>
      </w:r>
    </w:p>
    <w:p w14:paraId="468DDB50" w14:textId="7C8291C8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7.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напоминает, что в соответствии со статьями 19 и 27 Венской конвенции о праве международных договоров государство не может делать оговорку, несовместимую с объектом и целью международного договора, и не может ссылаться на положения своего внутреннего законодательства в качестве оправдания для невыполнения своих договорных обязательств.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В этой связи Комитет рекомендует государству-участнику снять свою оговорку к статье 3, касающуюся вопросов наследования и рождения, и свое заявление в отношении статьи 8, касающееся толкования понятия профсоюзов и связанных с ними вопросов, с тем чтобы обеспечить полное и эффективное применение Пакта.</w:t>
      </w:r>
    </w:p>
    <w:p w14:paraId="4B237303" w14:textId="381F9839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Национальное правозащитное учреждение</w:t>
      </w:r>
    </w:p>
    <w:p w14:paraId="2A0029F6" w14:textId="4A31EC1D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8.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приветствует принятие государством-участником Закона № 12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от 2015 года, направленного на расширение независимости Национального комитета по правам человека. Однако Комитет обеспокоен тем, что данное учреждение еще не достигло полного соответствия принципам, касающимся статуса национальных учреждений по поощрению и защите прав человека (Парижские принципы), в том числе в результате членства представителей правительства в его директивном органе.</w:t>
      </w:r>
    </w:p>
    <w:p w14:paraId="63567D1C" w14:textId="45FE85B0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9.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учесть озабоченность, высказанную Глобальным альянсом национальных правозащитных учреждений в октябре 2021 года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5"/>
      </w:r>
      <w:r w:rsidRPr="00715A12">
        <w:rPr>
          <w:rFonts w:eastAsia="SimSun" w:cs="Times New Roman"/>
          <w:b/>
          <w:bCs/>
          <w:szCs w:val="20"/>
          <w:lang w:eastAsia="zh-CN"/>
        </w:rPr>
        <w:t>, и продолжать принимать меры по приведению Национального комитета по правам человека в полное соответствие с Парижскими принципами, в том числе путем обеспечения его плюралистического и разнообразного кадрового состава и независимости от правительства в части его структуры, состава, принятия решений и методов работы</w:t>
      </w:r>
      <w:r w:rsidRPr="00715A12">
        <w:rPr>
          <w:rFonts w:eastAsia="SimSun" w:cs="Times New Roman"/>
          <w:szCs w:val="20"/>
          <w:lang w:eastAsia="zh-CN"/>
        </w:rPr>
        <w:t>.</w:t>
      </w:r>
    </w:p>
    <w:p w14:paraId="080A849A" w14:textId="0E079B00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Правозащитники и пространство для организаций гражданского общества</w:t>
      </w:r>
    </w:p>
    <w:p w14:paraId="168DAADD" w14:textId="45D28210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10.</w:t>
      </w:r>
      <w:r w:rsidRPr="00715A12">
        <w:rPr>
          <w:rFonts w:eastAsia="SimSun" w:cs="Times New Roman"/>
          <w:szCs w:val="20"/>
          <w:lang w:eastAsia="zh-CN"/>
        </w:rPr>
        <w:tab/>
        <w:t xml:space="preserve">Комитет обеспокоен сообщениями об ограничениях на поездки для правозащитников, занимающихся вопросами поощрения и защиты экономических, социальных и культурных прав, их преследованиями и произвольными задержаниями. Комитет также обеспокоен тем, что Декрет-закон № 21 от 2020 года серьезно ограничивает в государстве-участнике создание и деятельность организаций гражданского общества, наделяя Министерство труда, административного развития и социальных дел полномочиями отказывать им в регистрации на основании неясных </w:t>
      </w:r>
      <w:r w:rsidRPr="00715A12">
        <w:rPr>
          <w:rFonts w:eastAsia="SimSun" w:cs="Times New Roman"/>
          <w:szCs w:val="20"/>
          <w:lang w:eastAsia="zh-CN"/>
        </w:rPr>
        <w:lastRenderedPageBreak/>
        <w:t>требований и распускать организации, если они занимаются политическими вопросами.</w:t>
      </w:r>
    </w:p>
    <w:p w14:paraId="53E0AC7D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11.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6D4606D5" w14:textId="2E3C0013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эффективные меры по защите правозащитников и организаций гражданского общества и обеспечить безопасные и благоприятные условия для их работы;</w:t>
      </w:r>
    </w:p>
    <w:p w14:paraId="328107E6" w14:textId="0DEB223E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проводить оперативное, тщательное и беспристрастное расследование всех сообщений об ограничениях на поездки для правозащитников, занимающихся вопросами экономических, социальных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и культурных прав, их преследовании и произвольных задержаниях,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и обеспечивать привлечение виновных к ответственности;</w:t>
      </w:r>
    </w:p>
    <w:p w14:paraId="1B18D966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внести изменения в Декрет-закон № 21 от 2020 года и другие законы, которые могут необоснованно ограничивать создание и деятельность неправительственных организаций, в том числе занимающихся вопросами экономических, социальных и культурных прав;</w:t>
      </w:r>
    </w:p>
    <w:p w14:paraId="2358E58A" w14:textId="5F3645B3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во внимание заявление Комитета в отношении правозащитников и экономических, социальных и культурных прав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6"/>
      </w:r>
      <w:r w:rsidRPr="00715A12">
        <w:rPr>
          <w:rFonts w:eastAsia="SimSun" w:cs="Times New Roman"/>
          <w:b/>
          <w:bCs/>
          <w:szCs w:val="20"/>
          <w:lang w:eastAsia="zh-CN"/>
        </w:rPr>
        <w:t>.</w:t>
      </w:r>
    </w:p>
    <w:p w14:paraId="246A9D8D" w14:textId="77777777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Предпринимательская деятельность и права человека</w:t>
      </w:r>
    </w:p>
    <w:p w14:paraId="292AE977" w14:textId="7EC8D19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12.</w:t>
      </w:r>
      <w:r w:rsidRPr="00715A12">
        <w:rPr>
          <w:rFonts w:eastAsia="SimSun" w:cs="Times New Roman"/>
          <w:szCs w:val="20"/>
          <w:lang w:eastAsia="zh-CN"/>
        </w:rPr>
        <w:tab/>
        <w:t>Комитет обеспокоен отсутствием в государстве-участнике конкретной правовой и политической основы для обеспечения того, чтобы коммерческие предприятия, осуществляющие свою деятельность или зарегистрированные в государстве-участнике, проявляли должную осмотрительность в вопросах прав человека и несли ответственность за нарушения предусмотренных Пактом прав в результате своей деятельности. Комитет отмечает, что Катарское инвестиционное управление осуществляет прямые и портфельные инвестиции от имени государства-участника, распоряжаясь активами стоимостью более 475 млрд долл. США,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но не имеет прозрачной системы управления инвестициями и принятия решений. Будучи суверенным фондом и институциональным инвестором, оно связано обязательствами государства-участника и обязанностями коммерческого предприятия в соответствии с Пактом и Руководящими принципами предпринимательской деятельности в аспекте прав человека.</w:t>
      </w:r>
    </w:p>
    <w:p w14:paraId="6E4B3964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13.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56E5B640" w14:textId="0EB0F944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разработать и принять на основе широкого процесса консультаций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с участием заинтересованных сторон, в частности таких групп, как трудящиеся и предприятия, принадлежащие меньшинствам, национальный план действий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с целью реализации Руководящих принципов предпринимательской деятельности в аспекте прав человека, который будет служить последовательной и систематической основой для выявления приоритетных проблем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на национальном уровне, предупреждения и смягчения последствий нарушений прав человека со стороны коммерческих предприятий;</w:t>
      </w:r>
    </w:p>
    <w:p w14:paraId="458D9815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надлежащие законодательные и административные меры, призванные обеспечить, чтобы коммерческие предприятия проявляли должную осмотрительность в вопросах соблюдения прав человека в своей деятельности и производственно-сбытовых цепочках;</w:t>
      </w:r>
    </w:p>
    <w:p w14:paraId="64102782" w14:textId="572A46DC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все необходимые меры для привлечения коммерческих предприятий, осуществляющих свою деятельность или зарегистрированных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 государстве-участнике, к ответственности за нарушение экономических, социальных и культурных прав в результате их деятельности и предоставлять жертвам эффективные средства правовой защиты;</w:t>
      </w:r>
    </w:p>
    <w:p w14:paraId="5AC883D0" w14:textId="0BED4DED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lastRenderedPageBreak/>
        <w:tab/>
        <w:t>d)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обеспечить соблюдение Пакта и Руководящих принципов предпринимательской деятельности в аспекте прав человека суверенным фондом и институциональным инвестором, каковым является Катарское инвестиционное управление, в частности, путем интеграции принципа должной заботы о правах человека в его инвестиционную политику и процесс принятия решений, а также более транспарентное раскрытие им информации и отчетности по портфельным и нефинансовым показателям, в частности, о воздействии на экологические, социальные и управленческие вопросы там, где он осуществляет свои инвестиции;</w:t>
      </w:r>
    </w:p>
    <w:p w14:paraId="59759761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руководствоваться замечанием общего порядка № 24 (2017) Комитета об обязательствах государств по Пакту в контексте предпринимательской деятельности.</w:t>
      </w:r>
    </w:p>
    <w:p w14:paraId="0F3D55C2" w14:textId="29D33512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Изменение климата</w:t>
      </w:r>
    </w:p>
    <w:p w14:paraId="3F0FAE12" w14:textId="38203263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14.</w:t>
      </w:r>
      <w:r w:rsidRPr="00715A12">
        <w:rPr>
          <w:rFonts w:eastAsia="SimSun" w:cs="Times New Roman"/>
          <w:szCs w:val="20"/>
          <w:lang w:eastAsia="zh-CN"/>
        </w:rPr>
        <w:tab/>
        <w:t>Комитет с интересом отмечает принятие Национального плана действий по борьбе с изменением климата. Однако Комитет обеспокоен тем, что государству-участнику, возможно, не удастся выполнить свой определяемый на национальном уровне вклад в соответствии с Парижским соглашением или свою задачу по сокращению выбросов парниковых газов к 2030 году на 25 % не только потому, что оно по-прежнему в значительной степени зависит от природного газа и,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хотя и в меньшей степени, нефти в качестве основного двигателя экономики и источника доходов, но и в связи с его проектом расширения Северного месторождения, который предполагает дальнейшее увеличение добычи сжиженного природного газа и торговли им.</w:t>
      </w:r>
    </w:p>
    <w:p w14:paraId="5795C407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 w:val="18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15.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активизировать усилия по достижению своего определяемого на национальном уровне вклада в соответствии с Парижским соглашением и сокращению выбросов парниковых газов, в частности путем дальнейшего внедрения альтернативных и возобновляемых источников энергии и соблюдения обязательств по защите прав человека в рамках своей политики в области эксплуатации и экспорта природных ресурсов.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обращает внимание государства-участника на свое заявление об изменении климата и Пакте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7"/>
      </w:r>
      <w:r w:rsidRPr="00715A12">
        <w:rPr>
          <w:rFonts w:eastAsia="SimSun" w:cs="Times New Roman"/>
          <w:b/>
          <w:bCs/>
          <w:szCs w:val="20"/>
          <w:lang w:eastAsia="zh-CN"/>
        </w:rPr>
        <w:t>.</w:t>
      </w:r>
    </w:p>
    <w:p w14:paraId="278E1211" w14:textId="77777777" w:rsidR="00715A12" w:rsidRPr="00715A12" w:rsidRDefault="00715A12" w:rsidP="00715A12">
      <w:pPr>
        <w:pStyle w:val="H23G"/>
        <w:rPr>
          <w:rFonts w:eastAsia="SimSun"/>
        </w:rPr>
      </w:pPr>
      <w:bookmarkStart w:id="0" w:name="_Hlk147930335"/>
      <w:r w:rsidRPr="00715A12">
        <w:rPr>
          <w:rFonts w:eastAsia="SimSun"/>
        </w:rPr>
        <w:tab/>
      </w:r>
      <w:r w:rsidRPr="00715A12">
        <w:rPr>
          <w:rFonts w:eastAsia="SimSun"/>
        </w:rPr>
        <w:tab/>
        <w:t>Официальная помощь в целях развития</w:t>
      </w:r>
    </w:p>
    <w:p w14:paraId="1057E1A2" w14:textId="77777777" w:rsidR="00715A12" w:rsidRPr="00715A12" w:rsidRDefault="00715A12" w:rsidP="00715A12">
      <w:pPr>
        <w:tabs>
          <w:tab w:val="left" w:pos="1701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16.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обеспокоен тем, что ассигнования государства-участника на официальную помощь в целях развития остаются ниже целевого показателя Организации Объединенных Наций, составляющего 0,7 % валового национального дохода.</w:t>
      </w:r>
    </w:p>
    <w:p w14:paraId="1677B3F5" w14:textId="76AABA26" w:rsidR="00715A12" w:rsidRPr="00715A12" w:rsidRDefault="00715A12" w:rsidP="00715A12">
      <w:pPr>
        <w:tabs>
          <w:tab w:val="left" w:pos="1701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17.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активизировать усилия по достижению согласованного на международном уровне целевого показателя официальной помощи в целях развития, составляющего 0,7</w:t>
      </w:r>
      <w:r>
        <w:rPr>
          <w:rFonts w:eastAsia="SimSun" w:cs="Times New Roman"/>
          <w:b/>
          <w:bCs/>
          <w:szCs w:val="20"/>
          <w:lang w:eastAsia="zh-CN"/>
        </w:rPr>
        <w:t> </w:t>
      </w:r>
      <w:r w:rsidRPr="00715A12">
        <w:rPr>
          <w:rFonts w:eastAsia="SimSun" w:cs="Times New Roman"/>
          <w:b/>
          <w:bCs/>
          <w:szCs w:val="20"/>
          <w:lang w:eastAsia="zh-CN"/>
        </w:rPr>
        <w:t>% валового национального дохода.</w:t>
      </w:r>
    </w:p>
    <w:bookmarkEnd w:id="0"/>
    <w:p w14:paraId="093F8903" w14:textId="77777777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Коррупция</w:t>
      </w:r>
    </w:p>
    <w:p w14:paraId="6577E4BF" w14:textId="6E33C147" w:rsidR="00715A12" w:rsidRPr="00715A12" w:rsidRDefault="00715A12" w:rsidP="00715A12">
      <w:pPr>
        <w:tabs>
          <w:tab w:val="left" w:pos="720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18.</w:t>
      </w:r>
      <w:r w:rsidRPr="00715A12">
        <w:rPr>
          <w:rFonts w:eastAsia="SimSun" w:cs="Times New Roman"/>
          <w:szCs w:val="20"/>
          <w:lang w:eastAsia="zh-CN"/>
        </w:rPr>
        <w:tab/>
        <w:t>Комитет принимает к сведению укрепление институциональной антикоррупционной базы государства-участника, включая введение в действие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Закона № 20 от 2019 года, а также меры, принятые для борьбы с отмыванием денег и финансированием терроризма. Вместе с тем Комитет обеспокоен вопросами транспарентности и подотчетности в использовании государственных ресурсов, в том числе в процессе принятия бюджетов.</w:t>
      </w:r>
    </w:p>
    <w:p w14:paraId="438F571E" w14:textId="77777777" w:rsidR="00715A12" w:rsidRPr="00715A12" w:rsidRDefault="00715A12" w:rsidP="00715A12">
      <w:pPr>
        <w:tabs>
          <w:tab w:val="left" w:pos="720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19.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6D0DEAAB" w14:textId="528ABAC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 xml:space="preserve">принять меры по обеспечению транспарентности и подотчетности в работе органов государственного управления и использовании государственных </w:t>
      </w:r>
      <w:r w:rsidRPr="00715A12">
        <w:rPr>
          <w:rFonts w:eastAsia="SimSun" w:cs="Times New Roman"/>
          <w:b/>
          <w:bCs/>
          <w:szCs w:val="20"/>
          <w:lang w:eastAsia="zh-CN"/>
        </w:rPr>
        <w:lastRenderedPageBreak/>
        <w:t>ресурсов, в том числе обеспечить, чтобы принятие бюджетов осуществлялось на транспарентной основе и с участием различных заинтересованных сторон;</w:t>
      </w:r>
    </w:p>
    <w:p w14:paraId="49F09AFB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продолжать укреплять полномочия и потенциал антикоррупционных органов, с тем чтобы они могли независимо и эффективно выполнять свои мандаты;</w:t>
      </w:r>
    </w:p>
    <w:p w14:paraId="2E766893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обеспечивать тщательное и независимое расследование всех случаев коррупции, в частности тех, в которых замешаны высокопоставленные должностные лица, равно как и судебное преследование виновных, не допуская безнаказанности;</w:t>
      </w:r>
    </w:p>
    <w:p w14:paraId="0F969DA1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создать безопасные и доступные каналы для сообщений о коррупции и принять меры по обеспечению защиты активистов борьбы с коррупцией, разоблачителей и свидетелей.</w:t>
      </w:r>
    </w:p>
    <w:p w14:paraId="2029F53E" w14:textId="2F2C330B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Недискриминация</w:t>
      </w:r>
    </w:p>
    <w:p w14:paraId="04B21781" w14:textId="58C9D8E2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20.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обеспокоен отсутствием в государстве-участнике всеобъемлющего антидискриминационного закона, включающего все основания для дискриминации во всех областях, охватываемых Пактом, в частности, национальное или социальное происхождение (пункт 2 статьи 2).</w:t>
      </w:r>
    </w:p>
    <w:p w14:paraId="3F3C6A62" w14:textId="5292497E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21.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всеобъемлющий закон о недискриминации, который бы обеспечивал необходимую защиту от дискриминации в соответствии со статьей 2 Пакта, а также:</w:t>
      </w:r>
    </w:p>
    <w:p w14:paraId="0BCA0620" w14:textId="2B0ED2B4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эксплицитно включал все запрещенные основания для дискриминации, перечисленные в этой статье и в замечании общего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порядка № 20 (2009) Комитета о недискриминации при осуществлении экономических, социальных и культурных прав, в частности национальное или социальное происхождение;</w:t>
      </w:r>
    </w:p>
    <w:p w14:paraId="6059A8E7" w14:textId="4CDA5125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содержал определения прямой и косвенной дискриминации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 соответствии с обязательствами государства-участника по Пакту;</w:t>
      </w:r>
    </w:p>
    <w:p w14:paraId="6AB1975B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запрещал дискриминацию в общественной и частной сферах;</w:t>
      </w:r>
    </w:p>
    <w:p w14:paraId="3A087E69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предусматривал эффективные средства правовой защиты в случае дискриминации.</w:t>
      </w:r>
    </w:p>
    <w:p w14:paraId="72E661C0" w14:textId="6E67C996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Неграждане</w:t>
      </w:r>
    </w:p>
    <w:p w14:paraId="0B40FA44" w14:textId="500BA120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22.</w:t>
      </w:r>
      <w:r w:rsidRPr="00715A12">
        <w:rPr>
          <w:rFonts w:eastAsia="SimSun" w:cs="Times New Roman"/>
          <w:szCs w:val="20"/>
          <w:lang w:eastAsia="zh-CN"/>
        </w:rPr>
        <w:tab/>
        <w:t>Комитет обеспокоен сообщениями о структурной расовой дискриминации в отношении неграждан в государстве-участнике, в частности в отношении лиц из Южной Азии и стран Африки к югу от Сахары, которая негативно сказывается на степени реализации ими своих экономических, социальных и культурных прав, включая право на справедливые и благоприятные условия труда, на жилище и на участие в культурной жизни (пункт 2 статьи 2).</w:t>
      </w:r>
    </w:p>
    <w:p w14:paraId="56CDAB63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23.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2B34E702" w14:textId="3CE6FFBB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 xml:space="preserve">принять все необходимые правовые и политические меры для предотвращения и пресечения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сохраняющейся</w:t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 дискриминации неграждан,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 частности лиц из Южной Азии и стран Африки к югу от Сахары, чтобы гарантировать полное осуществление их прав в соответствии с Пактом;</w:t>
      </w:r>
    </w:p>
    <w:p w14:paraId="278EFCBD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 w:val="18"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продолжать осуществлять рекомендации Специального докладчика по вопросу о современных формах расизма, расовой дискриминации, ксенофобии и связанной с ними нетерпимости по итогам ее поездки в Катар в 2019 году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8"/>
      </w:r>
      <w:r w:rsidRPr="00715A12">
        <w:rPr>
          <w:rFonts w:eastAsia="SimSun" w:cs="Times New Roman"/>
          <w:b/>
          <w:bCs/>
          <w:szCs w:val="20"/>
          <w:lang w:eastAsia="zh-CN"/>
        </w:rPr>
        <w:t>;</w:t>
      </w:r>
    </w:p>
    <w:p w14:paraId="33829D4D" w14:textId="0EDE7358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lastRenderedPageBreak/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во внимание заявление Комитета об обязанностях государств по отношению к беженцам и мигрантам согласно Пакту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9"/>
      </w:r>
      <w:r w:rsidRPr="00715A12">
        <w:rPr>
          <w:rFonts w:eastAsia="SimSun" w:cs="Times New Roman"/>
          <w:b/>
          <w:bCs/>
          <w:szCs w:val="20"/>
          <w:lang w:eastAsia="zh-CN"/>
        </w:rPr>
        <w:t>.</w:t>
      </w:r>
    </w:p>
    <w:p w14:paraId="34D9671E" w14:textId="2D34AA90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Религиозные меньшинства</w:t>
      </w:r>
    </w:p>
    <w:p w14:paraId="1355C311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24.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 xml:space="preserve">Несмотря на действующий в государстве-участнике конституционный запрет дискриминации </w:t>
      </w:r>
      <w:r w:rsidRPr="00715A12"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по признаку религии</w:t>
      </w:r>
      <w:r w:rsidRPr="00715A12">
        <w:rPr>
          <w:rFonts w:eastAsia="SimSun" w:cs="Times New Roman"/>
          <w:szCs w:val="20"/>
          <w:lang w:eastAsia="zh-CN"/>
        </w:rPr>
        <w:t xml:space="preserve">, Комитет обеспокоен дискриминацией в законодательстве и на практике религиозных меньшинств </w:t>
      </w:r>
      <w:r w:rsidRPr="00715A12"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по признаку</w:t>
      </w:r>
      <w:r w:rsidRPr="00715A12">
        <w:rPr>
          <w:rFonts w:eastAsia="SimSun" w:cs="Times New Roman"/>
          <w:szCs w:val="20"/>
          <w:lang w:eastAsia="zh-CN"/>
        </w:rPr>
        <w:t xml:space="preserve"> их религии или убеждений, что негативно сказывается на их способности в полной мере пользоваться своими экономическими, социальными и культурными правами. Комитет особенно обеспокоен требованием регистрации в Министерстве иностранных дел для официального оформления своего присутствия в стране, что подвергает членов незарегистрированных религиозных групп риску депортации. Кроме того, Комитет обеспокоен дискриминацией бехаистов, включая дискриминационные увольнения, непризнание их </w:t>
      </w:r>
      <w:r w:rsidRPr="00715A12"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свидетельств о</w:t>
      </w:r>
      <w:r w:rsidRPr="00715A12">
        <w:rPr>
          <w:rFonts w:eastAsia="SimSun" w:cs="Times New Roman"/>
          <w:szCs w:val="20"/>
          <w:lang w:eastAsia="zh-CN"/>
        </w:rPr>
        <w:t xml:space="preserve"> браке и документов о личном статусе, депортацию и занесение в черный список, что приводит к таким негативным последствиям, как потеря дохода и разлучение семей (пункт 2 статьи 2).</w:t>
      </w:r>
    </w:p>
    <w:p w14:paraId="5C291C7F" w14:textId="688EE2B8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25.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эффективные меры по отмене любых дискриминационных законодательных положений, которые неоправданно затрагивают осуществление экономических, социальных и культурных прав религиозных групп и отдельных лиц, включая требование о регистрации в Министерстве иностранных дел для официального оформления их присутствия в стране.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принять позитивные меры по предотвращению и устранению дискриминации,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с которой сталкиваются религиозные меньшинства, в частности члены религиозной общины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бехаистов</w:t>
      </w:r>
      <w:r w:rsidRPr="00715A12">
        <w:rPr>
          <w:rFonts w:eastAsia="SimSun" w:cs="Times New Roman"/>
          <w:b/>
          <w:bCs/>
          <w:szCs w:val="20"/>
          <w:lang w:eastAsia="zh-CN"/>
        </w:rPr>
        <w:t>, и устранить все препятствия для осуществления их экономических, социальных и культурных прав.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</w:p>
    <w:p w14:paraId="30370C41" w14:textId="77777777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Лица без гражданства</w:t>
      </w:r>
    </w:p>
    <w:p w14:paraId="4ADDE477" w14:textId="3EF16E9C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26.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обеспокоен тем, что бидуны и апатриды из клана аль-Гуфран сталкиваются в государстве-участнике с дискриминацией в плане всестороннего осуществления своих экономических, социальных и культурных прав, в том числе в отношении доступа к занятости, образованию и здравоохранению (пункт 2 статьи 2).</w:t>
      </w:r>
    </w:p>
    <w:p w14:paraId="3D9294AE" w14:textId="4F2D26D8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27.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все необходимые меры для предотвращения и сокращения безгражданства с целью гарантировать недискриминационный доступ лиц без гражданства к экономическим, социальным и культурным правам и рассмотреть возможность ратификации Конвенции о статусе апатридов и Конвенции о сокращении безгражданства.</w:t>
      </w:r>
    </w:p>
    <w:p w14:paraId="3B5E9CD2" w14:textId="77777777" w:rsidR="00715A12" w:rsidRPr="00715A12" w:rsidRDefault="00715A12" w:rsidP="00715A1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b/>
          <w:szCs w:val="20"/>
          <w:lang w:eastAsia="zh-CN"/>
        </w:rPr>
        <w:tab/>
      </w:r>
      <w:r w:rsidRPr="00715A12">
        <w:rPr>
          <w:rFonts w:eastAsia="SimSun" w:cs="Times New Roman"/>
          <w:b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Лесбиянки, </w:t>
      </w:r>
      <w:r w:rsidRPr="00715A12">
        <w:rPr>
          <w:rFonts w:eastAsia="SimSun" w:cs="Times New Roman"/>
          <w:b/>
          <w:color w:val="333333"/>
          <w:sz w:val="21"/>
          <w:szCs w:val="21"/>
          <w:shd w:val="clear" w:color="auto" w:fill="FFFFFF"/>
          <w:lang w:eastAsia="zh-CN"/>
        </w:rPr>
        <w:t>гомосексуалисты</w:t>
      </w:r>
      <w:r w:rsidRPr="00715A12">
        <w:rPr>
          <w:rFonts w:eastAsia="SimSun" w:cs="Times New Roman"/>
          <w:b/>
          <w:bCs/>
          <w:szCs w:val="20"/>
          <w:lang w:eastAsia="zh-CN"/>
        </w:rPr>
        <w:t>, бисексуалы, трансгендеры и интерсексуалы</w:t>
      </w:r>
      <w:r w:rsidRPr="00715A12">
        <w:rPr>
          <w:rFonts w:eastAsia="SimSun" w:cs="Times New Roman"/>
          <w:b/>
          <w:szCs w:val="20"/>
          <w:lang w:eastAsia="zh-CN"/>
        </w:rPr>
        <w:t xml:space="preserve"> </w:t>
      </w:r>
    </w:p>
    <w:p w14:paraId="37B2F450" w14:textId="123813F3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28.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 xml:space="preserve">Комитет обеспокоен тем, что в государстве-участнике </w:t>
      </w:r>
      <w:r w:rsidRPr="00715A12">
        <w:rPr>
          <w:rFonts w:eastAsia="SimSun" w:cs="Times New Roman"/>
          <w:color w:val="333333"/>
          <w:sz w:val="21"/>
          <w:szCs w:val="21"/>
          <w:shd w:val="clear" w:color="auto" w:fill="FFFFFF"/>
          <w:lang w:eastAsia="zh-CN"/>
        </w:rPr>
        <w:t>половые отношения по обоюдному согласию между совершеннолетними лицами одного пола</w:t>
      </w:r>
      <w:r w:rsidRPr="00715A12">
        <w:rPr>
          <w:rFonts w:eastAsia="SimSun" w:cs="Times New Roman"/>
          <w:szCs w:val="20"/>
          <w:lang w:eastAsia="zh-CN"/>
        </w:rPr>
        <w:t xml:space="preserve"> являются уголовно наказуемым деянием. Он также обеспокоен распространенностью случаев запугивания и преследования, насилия и стигматизации в отношении лесбиянок, </w:t>
      </w:r>
      <w:r w:rsidRPr="00715A12">
        <w:rPr>
          <w:rFonts w:eastAsia="SimSun" w:cs="Times New Roman"/>
          <w:color w:val="333333"/>
          <w:sz w:val="21"/>
          <w:szCs w:val="21"/>
          <w:shd w:val="clear" w:color="auto" w:fill="FFFFFF"/>
          <w:lang w:eastAsia="zh-CN"/>
        </w:rPr>
        <w:t>гомосексуалистов</w:t>
      </w:r>
      <w:r w:rsidRPr="00715A12">
        <w:rPr>
          <w:rFonts w:eastAsia="SimSun" w:cs="Times New Roman"/>
          <w:szCs w:val="20"/>
          <w:lang w:eastAsia="zh-CN"/>
        </w:rPr>
        <w:t>, бисексуалов, трансгендеров и интерсексуалов по причине их сексуальной ориентации и гендерной идентичности (пункт 2 статьи 2).</w:t>
      </w:r>
    </w:p>
    <w:p w14:paraId="67537A9A" w14:textId="0C61FED6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Cs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29.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Комитет рекомендует государству-участнику отменить уголовную ответственность за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половые отношения по обоюдному согласию между совершеннолетними лицами одного пола</w:t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 и обеспечить эффективную защиту от всех форм дискриминации и насилия по признаку сексуальной ориентации и гендерной идентичности, которые препятствуют осуществлению жертвами своих экономических, социальных и культурных прав.</w:t>
      </w:r>
    </w:p>
    <w:p w14:paraId="0893421C" w14:textId="267A1C01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lastRenderedPageBreak/>
        <w:tab/>
      </w:r>
      <w:r w:rsidRPr="00715A12">
        <w:rPr>
          <w:rFonts w:eastAsia="SimSun"/>
        </w:rPr>
        <w:tab/>
        <w:t>Равенство мужчин и женщин</w:t>
      </w:r>
    </w:p>
    <w:p w14:paraId="145BEFAF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30.</w:t>
      </w:r>
      <w:r w:rsidRPr="00715A12">
        <w:rPr>
          <w:rFonts w:eastAsia="SimSun" w:cs="Times New Roman"/>
          <w:szCs w:val="20"/>
          <w:lang w:eastAsia="zh-CN"/>
        </w:rPr>
        <w:tab/>
        <w:t>Несмотря на оговорку государства-участника к статье 3 Пакта, о которой говорится в пунктах 6 и 7 настоящих заключительных замечаний, Комитет выражает обеспокоенность по поводу того, что женщины в государстве-участнике сталкиваются с дискриминацией в законодательстве и на практике в части вступления в брак, развода, наследования, опеки над детьми, гражданства и свободы передвижения. Комитет также выражает обеспокоенность глубоко укоренившимися патриархальными взглядами и стереотипами в отношении роли и обязанностей женщин и мужчин в семье и в обществе (статья 3).</w:t>
      </w:r>
    </w:p>
    <w:p w14:paraId="2606D94D" w14:textId="56B417D1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31.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Признавая разнообразие нравов и культур, Комитет отмечает,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что национальные законы и практика должны всегда соответствовать принципам универсальности прав человека и недискриминации.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Поэтому несоблюдение предусмотренного Пактом обязательства не может быть оправдано национальными соображениями политического, социального, религиозного, культурного или экономического характера.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В этой связи Комитет рекомендует государству-участнику изменить или отменить все законы и нормативные документы, которые являются дискриминационными или имеют дискриминационные последствия для женщин, включая законы о гражданстве и наследовании.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бороться с укоренившимися патриархальными взглядами и гендерными стереотипами, которые могут помешать женщинам пользоваться правами, закрепленными в Пакте, наравне с мужчинами.</w:t>
      </w:r>
    </w:p>
    <w:p w14:paraId="6FCB38CF" w14:textId="31287FC8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32.</w:t>
      </w:r>
      <w:r w:rsidRPr="00715A12">
        <w:rPr>
          <w:rFonts w:eastAsia="SimSun" w:cs="Times New Roman"/>
          <w:szCs w:val="20"/>
          <w:lang w:eastAsia="zh-CN"/>
        </w:rPr>
        <w:tab/>
        <w:t xml:space="preserve">Комитет обеспокоен криминализацией в государстве-участнике внебрачных половых связей (преступление </w:t>
      </w:r>
      <w:r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«</w:t>
      </w:r>
      <w:r w:rsidRPr="00715A12"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зина</w:t>
      </w:r>
      <w:r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»</w:t>
      </w:r>
      <w:r w:rsidRPr="00715A12">
        <w:rPr>
          <w:rFonts w:eastAsia="SimSun" w:cs="Times New Roman"/>
          <w:szCs w:val="20"/>
          <w:lang w:eastAsia="zh-CN"/>
        </w:rPr>
        <w:t xml:space="preserve">), поскольку на практике женщины подвергаются более высокому риску осуждения за преступление </w:t>
      </w:r>
      <w:r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«</w:t>
      </w:r>
      <w:r w:rsidRPr="00715A12"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зина</w:t>
      </w:r>
      <w:r>
        <w:rPr>
          <w:rFonts w:eastAsia="SimSun" w:cs="Times New Roman"/>
          <w:color w:val="333333"/>
          <w:szCs w:val="20"/>
          <w:shd w:val="clear" w:color="auto" w:fill="FFFFFF"/>
          <w:lang w:eastAsia="zh-CN"/>
        </w:rPr>
        <w:t>»</w:t>
      </w:r>
      <w:r w:rsidRPr="00715A12">
        <w:rPr>
          <w:rFonts w:eastAsia="SimSun" w:cs="Times New Roman"/>
          <w:szCs w:val="20"/>
          <w:lang w:eastAsia="zh-CN"/>
        </w:rPr>
        <w:t>,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так как беременность может использоваться в качестве доказательства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их виновности (статьи 3 и 10).</w:t>
      </w:r>
    </w:p>
    <w:p w14:paraId="624F553C" w14:textId="0C3230E5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i/>
          <w:i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33.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Комитет рекомендует государству-участнику отменить уголовную ответственность за внебрачные половые связи (преступление </w:t>
      </w:r>
      <w:r>
        <w:rPr>
          <w:rFonts w:eastAsia="SimSun" w:cs="Times New Roman"/>
          <w:b/>
          <w:bCs/>
          <w:color w:val="333333"/>
          <w:szCs w:val="20"/>
          <w:shd w:val="clear" w:color="auto" w:fill="FFFFFF"/>
          <w:lang w:eastAsia="zh-CN"/>
        </w:rPr>
        <w:t>«</w:t>
      </w:r>
      <w:r w:rsidRPr="00715A12">
        <w:rPr>
          <w:rFonts w:eastAsia="SimSun" w:cs="Times New Roman"/>
          <w:b/>
          <w:bCs/>
          <w:color w:val="333333"/>
          <w:szCs w:val="20"/>
          <w:shd w:val="clear" w:color="auto" w:fill="FFFFFF"/>
          <w:lang w:eastAsia="zh-CN"/>
        </w:rPr>
        <w:t>зина</w:t>
      </w:r>
      <w:r>
        <w:rPr>
          <w:rFonts w:eastAsia="SimSun" w:cs="Times New Roman"/>
          <w:b/>
          <w:bCs/>
          <w:color w:val="333333"/>
          <w:szCs w:val="20"/>
          <w:shd w:val="clear" w:color="auto" w:fill="FFFFFF"/>
          <w:lang w:eastAsia="zh-CN"/>
        </w:rPr>
        <w:t>»</w:t>
      </w:r>
      <w:r w:rsidRPr="00715A12">
        <w:rPr>
          <w:rFonts w:eastAsia="SimSun" w:cs="Times New Roman"/>
          <w:b/>
          <w:bCs/>
          <w:szCs w:val="20"/>
          <w:lang w:eastAsia="zh-CN"/>
        </w:rPr>
        <w:t>) и решить проблему гендерной предвзятости и неравенства, с которыми сталкиваются женщины в ходе судебных разбирательств.</w:t>
      </w:r>
    </w:p>
    <w:p w14:paraId="1885B857" w14:textId="7C8A6CA5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Право на труд и на справедливые и благоприятные условия труда</w:t>
      </w:r>
    </w:p>
    <w:p w14:paraId="5CFD9767" w14:textId="0EC399B3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34.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обеспокоен тем, что, несмотря на принятые государством-участником законодательные меры по отмене системы спонсорства («кафала»), трудящиеся-мигранты, особенно низкооплачиваемые работники в сфере строительства, обслуживания и домашнего труда, часто сталкиваются с невыплатой или задержкой выплаты заработной платы и по-прежнему испытывают трудности при попытке сменить работу. Комитет также обеспокоен сообщениями о том, что многие работники с низким уровнем дохода не обращаются в суд по поводу нарушений трудового законодательства из-за угрозы преследования со стороны работодателей, которые могут расторгнуть с ними договор или обвинить их в бегстве, что в соответствии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 xml:space="preserve">с Законом № 21 от 2015 года карается лишением свободы (статьи 6 и 7). </w:t>
      </w:r>
    </w:p>
    <w:p w14:paraId="07A6344C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35.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0E30EDFA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увеличить численность и укрепить потенциал трудовых инспекторов и сотрудников других правоохранительных органов для предотвращения, выявления и эффективного устранения нарушений трудовых прав трудящихся-мигрантов, в особенности низкооплачиваемых работников в сфере строительства, обслуживания и домашнего труда;</w:t>
      </w:r>
    </w:p>
    <w:p w14:paraId="0626434D" w14:textId="42F73C62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улучшить сотрудничество между странами происхождения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и назначения для укрепления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механизмов</w:t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 корпоративного управления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и привлечения работодателей, включая субподрядчиков и других корпоративных и частных субъектов, занимающихся различными аспектами временной трудовой миграции, к ответственности за нарушение трудовых прав;</w:t>
      </w:r>
    </w:p>
    <w:p w14:paraId="04F08C49" w14:textId="55E99A0D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lastRenderedPageBreak/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 xml:space="preserve">продолжать совершенствовать систему защиты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заработной платы</w:t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 путем укрепления механизмов мониторинга, правоприменения и правовой защиты в целях обеспечения своевременной и полной выплаты работодателями заработной платы работникам и применения санкций к работодателям,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не соблюдающим установленные требования;</w:t>
      </w:r>
    </w:p>
    <w:p w14:paraId="1B427F8C" w14:textId="33758A3E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внести в Закон № 21 от 2015 года изменения, направленные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на отмену уголовной ответственности за бегство или уход с работы без разрешения работодателя;</w:t>
      </w:r>
    </w:p>
    <w:p w14:paraId="6123EC15" w14:textId="3F45326F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дополнительные меры по созданию доступных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для работников механизмов подачи жалоб на нарушения трудовых прав, обеспечив при этом их защиту от преследований со стороны работодателей;</w:t>
      </w:r>
    </w:p>
    <w:p w14:paraId="3A24D3BF" w14:textId="1EDBED7C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f)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содействовать повышению осведомленности работников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о процедурах и правилах, связанных с трудовой мобильностью;</w:t>
      </w:r>
    </w:p>
    <w:p w14:paraId="31DC125D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g)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руководствоваться замечанием общего порядка № 23 (2016) Комитета о праве на справедливые и благоприятные условия труда и следовать ему.</w:t>
      </w:r>
    </w:p>
    <w:p w14:paraId="62B95AAA" w14:textId="76326378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Домашние работники</w:t>
      </w:r>
    </w:p>
    <w:p w14:paraId="7BD826A3" w14:textId="44DA42DC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36.</w:t>
      </w:r>
      <w:r w:rsidRPr="00715A12">
        <w:rPr>
          <w:rFonts w:eastAsia="SimSun" w:cs="Times New Roman"/>
          <w:szCs w:val="20"/>
          <w:lang w:eastAsia="zh-CN"/>
        </w:rPr>
        <w:tab/>
        <w:t>Комитет приветствует принятие Закона о домашних работниках № 15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 xml:space="preserve">от 2017 года и другие законодательные меры, направленные на обеспечение прав домашних работников. Однако он обеспокоен недостатками в применении этого законодательства, в частности ограниченностью проверок условий труда и жизни таких работников. Комитет особенно обеспокоен сообщениями о том, что многие домашние работники по-прежнему подвергаются </w:t>
      </w:r>
      <w:r w:rsidRPr="00715A12">
        <w:rPr>
          <w:rFonts w:eastAsia="SimSun" w:cs="Times New Roman"/>
          <w:color w:val="333333"/>
          <w:sz w:val="21"/>
          <w:szCs w:val="21"/>
          <w:shd w:val="clear" w:color="auto" w:fill="FFFFFF"/>
          <w:lang w:eastAsia="zh-CN"/>
        </w:rPr>
        <w:t>злоупотреблениям в части условий труда</w:t>
      </w:r>
      <w:r w:rsidRPr="00715A12">
        <w:rPr>
          <w:rFonts w:eastAsia="SimSun" w:cs="Times New Roman"/>
          <w:szCs w:val="20"/>
          <w:lang w:eastAsia="zh-CN"/>
        </w:rPr>
        <w:t xml:space="preserve">, включая ненормированный рабочий день без отдыха и выходных, конфискации паспортов и мобильных телефонов, а в некоторых случаях — физическому, словесному или сексуальному насилию. Комитет также обеспокоен тем, что домашние работники не охвачены системой защиты </w:t>
      </w:r>
      <w:r w:rsidRPr="00715A12">
        <w:rPr>
          <w:rFonts w:eastAsia="SimSun" w:cs="Times New Roman"/>
          <w:color w:val="333333"/>
          <w:sz w:val="21"/>
          <w:szCs w:val="21"/>
          <w:shd w:val="clear" w:color="auto" w:fill="FFFFFF"/>
          <w:lang w:eastAsia="zh-CN"/>
        </w:rPr>
        <w:t>заработной платы</w:t>
      </w:r>
      <w:r w:rsidRPr="00715A12">
        <w:rPr>
          <w:rFonts w:eastAsia="SimSun" w:cs="Times New Roman"/>
          <w:szCs w:val="20"/>
          <w:lang w:eastAsia="zh-CN"/>
        </w:rPr>
        <w:t>, что не позволяет правительству контролировать заработную плату и пособия, выплачиваемые работникам, и выявлять нарушения (статья 7).</w:t>
      </w:r>
    </w:p>
    <w:p w14:paraId="2E4F3739" w14:textId="0443C46C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color w:val="000000"/>
          <w:szCs w:val="20"/>
          <w:shd w:val="clear" w:color="auto" w:fill="FFFFFF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37.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300650DD" w14:textId="36D31630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увеличить численность и укрепить потенциал трудовых инспекторов и сотрудников других правоохранительных органов, а также устранить любые законодательные и административные ограничения, препятствующие контролю за условиями труда домашних работников;</w:t>
      </w:r>
    </w:p>
    <w:p w14:paraId="7D58E8E0" w14:textId="5B06F6B1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 xml:space="preserve">обеспечить, в законодательстве и на практике, защиту домашних работников от всех форм сексуальных домогательств в сфере труда и занятости и предусмотреть надлежащие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средства правовой защиты</w:t>
      </w:r>
      <w:r w:rsidRPr="00715A12">
        <w:rPr>
          <w:rFonts w:eastAsia="SimSun" w:cs="Times New Roman"/>
          <w:b/>
          <w:bCs/>
          <w:szCs w:val="20"/>
          <w:lang w:eastAsia="zh-CN"/>
        </w:rPr>
        <w:t>;</w:t>
      </w:r>
    </w:p>
    <w:p w14:paraId="56EADB3A" w14:textId="7AF6ABBB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обеспечить эффективные механизмы, позволяющие домашним работникам сообщать о злоупотреблениях или эксплуатации, принимая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во внимание, что некоторым из них трудно получить доступ к средствам связи;</w:t>
      </w:r>
    </w:p>
    <w:p w14:paraId="0AE911AC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расследовать все заявления о нарушениях прав человека в отношении домашних работников;</w:t>
      </w:r>
    </w:p>
    <w:p w14:paraId="2A579F8B" w14:textId="64272FB3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 xml:space="preserve">обеспечить охват домашних работников системой защиты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заработной платы</w:t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 или аналогичным механизмом контроля оплаты труда;</w:t>
      </w:r>
    </w:p>
    <w:p w14:paraId="7E9069D7" w14:textId="4E5DCF2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f)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ратифицировать Конвенцию 2011 года о достойном труде домашних работников (№ 189) и Конвенцию 2019 года об искоренении насилия и домогательств (№ 190) Международной организации труда (МОТ).</w:t>
      </w:r>
    </w:p>
    <w:p w14:paraId="05394EDA" w14:textId="7FE0DEEF" w:rsidR="00715A12" w:rsidRPr="00715A12" w:rsidRDefault="00715A12" w:rsidP="00715A12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Безопасность и гигиена труда</w:t>
      </w:r>
    </w:p>
    <w:p w14:paraId="0292AA7C" w14:textId="6CD28D68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38.</w:t>
      </w:r>
      <w:r w:rsidRPr="00715A12">
        <w:rPr>
          <w:rFonts w:eastAsia="SimSun" w:cs="Times New Roman"/>
          <w:szCs w:val="20"/>
          <w:lang w:eastAsia="zh-CN"/>
        </w:rPr>
        <w:tab/>
        <w:t xml:space="preserve">Комитет приветствует принятие в 2020 году национальной политики в области безопасности и гигиены труда, а также Министерского указа № 17 от 2021 года, </w:t>
      </w:r>
      <w:r w:rsidRPr="00715A12">
        <w:rPr>
          <w:rFonts w:eastAsia="SimSun" w:cs="Times New Roman"/>
          <w:szCs w:val="20"/>
          <w:lang w:eastAsia="zh-CN"/>
        </w:rPr>
        <w:lastRenderedPageBreak/>
        <w:t>определяющего меры по защите работников от теплового стресса. Вместе с тем Комитет обеспокоен многочисленными сообщениями о смертельных случаях, связанных с трудовой деятельностью, которые не были зарегистрированы в качестве таковых, в ходе строительных работ на объектах Чемпионата мира по футболу</w:t>
      </w:r>
      <w:r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 xml:space="preserve">2022 года, </w:t>
      </w:r>
      <w:r w:rsidRPr="00715A12">
        <w:rPr>
          <w:rFonts w:eastAsia="SimSun" w:cs="Times New Roman"/>
          <w:color w:val="333333"/>
          <w:sz w:val="21"/>
          <w:szCs w:val="21"/>
          <w:shd w:val="clear" w:color="auto" w:fill="FFFFFF"/>
          <w:lang w:eastAsia="zh-CN"/>
        </w:rPr>
        <w:t>организованного Международной федерацией футбола</w:t>
      </w:r>
      <w:r w:rsidRPr="00715A12">
        <w:rPr>
          <w:rFonts w:eastAsia="SimSun" w:cs="Times New Roman"/>
          <w:szCs w:val="20"/>
          <w:lang w:eastAsia="zh-CN"/>
        </w:rPr>
        <w:t xml:space="preserve"> (статьи 7 и 12).</w:t>
      </w:r>
    </w:p>
    <w:p w14:paraId="4FA30DBE" w14:textId="4D612FE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39.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пересмотреть подход к расследованию случаев смерти и травматизма на производстве, обеспечить точное установление их причин и улучшить сбор данных.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контролировать и обеспечивать соблюдение правил безопасности и гигиены труда, равно как и содействовать проведению информационно-просветительских кампаний среди работодателей и работников по вопросам безопасности на рабочем месте и предотвращения несчастных случаев на производстве.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Кроме того, Комитет призывает государство-участник ратифицировать Конвенцию МОТ 1981 года о безопасности и гигиене</w:t>
      </w:r>
      <w:r w:rsidR="00BE2B86"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труда (№ 155) и Конвенцию МОТ 2006 года об основах, содействующих безопасности и гигиене труда (№ 187).</w:t>
      </w:r>
    </w:p>
    <w:p w14:paraId="3D5322CB" w14:textId="77777777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Фонд поддержки и страхования работников</w:t>
      </w:r>
    </w:p>
    <w:p w14:paraId="396A9E63" w14:textId="641CBBA4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40.</w:t>
      </w:r>
      <w:r w:rsidRPr="00715A12">
        <w:rPr>
          <w:rFonts w:eastAsia="SimSun" w:cs="Times New Roman"/>
          <w:szCs w:val="20"/>
          <w:lang w:eastAsia="zh-CN"/>
        </w:rPr>
        <w:tab/>
        <w:t>Приветствуя создание Фонда поддержки и страхования работников, который обеспечивает привлечение работодателей и владельцев предприятий к финансовой ответственности, если они не выплачивают заработную плату и другие пособия работникам в полном объеме, Комитет обеспокоен ограниченной доступностью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Фонда (статья 7).</w:t>
      </w:r>
    </w:p>
    <w:p w14:paraId="4A4B113C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41.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укрепить функционирование Фонда поддержки и страхования работников, обеспечив его доступность для всех работников, в частности мигрантов и домашних работников, чьи работодатели не оплачивают их труд.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создать надежную и профессиональную систему ведения дел Фонда, обеспечивающую систематическую и своевременную обработку заявлений, предоставление необходимого финансирования и эффективную реализацию мер по взысканию средств с работодателей.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</w:p>
    <w:p w14:paraId="3CE0F966" w14:textId="3D575CB8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Профсоюзные права</w:t>
      </w:r>
    </w:p>
    <w:p w14:paraId="1DCC864A" w14:textId="60E88B34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42.</w:t>
      </w:r>
      <w:r w:rsidRPr="00715A12">
        <w:rPr>
          <w:rFonts w:eastAsia="SimSun" w:cs="Times New Roman"/>
          <w:szCs w:val="20"/>
          <w:lang w:eastAsia="zh-CN"/>
        </w:rPr>
        <w:tab/>
        <w:t>Отмечая существование совместных комитетов на предприятиях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и законодательство, позволяющее избирать представителей трудящихся-мигрантов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в эти комитеты, Комитет выражает обеспокоенность отсутствием в государстве-участнике независимых профсоюзов (статья 8).</w:t>
      </w:r>
    </w:p>
    <w:p w14:paraId="4A487C41" w14:textId="543122FB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43.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предоставить трудящимся, включая трудящихся-мигрантов, возможность создавать профсоюзы и вступать в них по своему выбору, проводить забастовки и заключать коллективные договоры. Комитет также рекомендует государству-участнику ратифицировать Конвенцию МОТ 1948 года о свободе объединений и защите права объединяться в профсоюзы (№ 87) и Конвенцию МОТ 1949 года о праве на объединение в профсоюзы и на ведение коллективных переговоров (№ 98).</w:t>
      </w:r>
    </w:p>
    <w:p w14:paraId="59D3AC5E" w14:textId="7C17CFE5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Комитеты по урегулированию трудовых споров</w:t>
      </w:r>
    </w:p>
    <w:p w14:paraId="28887B6D" w14:textId="732BD7F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Cordia New"/>
          <w:szCs w:val="25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44.</w:t>
      </w:r>
      <w:r w:rsidRPr="00715A12">
        <w:rPr>
          <w:rFonts w:eastAsia="SimSun" w:cs="Times New Roman"/>
          <w:szCs w:val="20"/>
          <w:lang w:eastAsia="zh-CN"/>
        </w:rPr>
        <w:tab/>
        <w:t>Отмечая создание комитетов по урегулированию трудовых споров, Комитет обеспокоен сообщениями о том, что работники сталкиваются с препятствиями в части получения доступа к правосудию и средств правовой защиты через эти комитеты,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в частности, из-за языковых барьеров, длительных разбирательства и задержек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в выплате компенсации (статьи 6, 7 и 8).</w:t>
      </w:r>
    </w:p>
    <w:p w14:paraId="16F3BFF2" w14:textId="5AAFAD72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45.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улучшить доступ к правосудию в комитетах по урегулированию трудовых споров путем расширения возможностей устного и письменного перевода и предоставления финансовой помощи, включая покрытие транспортных расходов, работникам,</w:t>
      </w:r>
      <w:r w:rsidR="00BE2B86"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не получающим заработную плату во время судебных разбирательств.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Комитет </w:t>
      </w:r>
      <w:r w:rsidRPr="00715A12">
        <w:rPr>
          <w:rFonts w:eastAsia="SimSun" w:cs="Times New Roman"/>
          <w:b/>
          <w:bCs/>
          <w:szCs w:val="20"/>
          <w:lang w:eastAsia="zh-CN"/>
        </w:rPr>
        <w:lastRenderedPageBreak/>
        <w:t>также рекомендует государству-участнику продолжать увеличивать число комитетов по урегулированию трудовых споров и судей, рассматривающих дела, а также рассмотреть вопрос о принятии коллективных исков для ускорения разбирательств.</w:t>
      </w:r>
    </w:p>
    <w:p w14:paraId="201754FF" w14:textId="209DD7C4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Право на социальное обеспечение</w:t>
      </w:r>
    </w:p>
    <w:p w14:paraId="3A248950" w14:textId="592192F9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46.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szCs w:val="20"/>
          <w:lang w:eastAsia="zh-CN"/>
        </w:rPr>
        <w:t>Комитет обеспокоен тем, что системы социального обеспечения не охватывают неграждан, в частности в том, что касается пенсий (статья 9).</w:t>
      </w:r>
    </w:p>
    <w:p w14:paraId="26B49143" w14:textId="7810520A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47.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783590F3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меры по охвату неграждан системами социального обеспечения, включая получение ими дохода после выхода на пенсию;</w:t>
      </w:r>
    </w:p>
    <w:p w14:paraId="3A06C3C5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необходимые меры для того, чтобы размер пособий по социальной помощи был достаточным для покрытия стоимости жизни, в том числе путем создания эффективной и прозрачной системы индексации;</w:t>
      </w:r>
    </w:p>
    <w:p w14:paraId="30914265" w14:textId="252845F1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во внимание замечание общего порядка № 19 (2007) Комитета о праве на социальное обеспечение.</w:t>
      </w:r>
    </w:p>
    <w:p w14:paraId="4FACF0C3" w14:textId="150FEF38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Право на жилище</w:t>
      </w:r>
    </w:p>
    <w:p w14:paraId="389D3B09" w14:textId="6BD0BF66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48.</w:t>
      </w:r>
      <w:r w:rsidRPr="00715A12">
        <w:rPr>
          <w:rFonts w:eastAsia="SimSun" w:cs="Times New Roman"/>
          <w:szCs w:val="20"/>
          <w:lang w:eastAsia="zh-CN"/>
        </w:rPr>
        <w:tab/>
        <w:t>Комитет обеспокоен тем, что жилищная политика и законодательство государства-участника не позволяют трудящимся-мигрантам, в частности работникам с низким уровнем дохода из Южной Азии или стран Африки к югу от Сахары, проживать в определенных районах, что препятствует осуществлению их права на жилище и свободу передвижения. Комитет особенно обеспокоен тем, что законы общегосударственного и муниципального уровня в Дохе, в том числе Закон № 15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от 2010 года о запрете проживания групп рабочих в семейных жилых районах и Постановление № 83 от 2011 года Министра по делам муниципалитетов и городскому планированию, запрещают сдачу в аренду недвижимости трудящимся-мигрантам в определенных районах, которые выделены для проживания семей (статья 11).</w:t>
      </w:r>
    </w:p>
    <w:p w14:paraId="02EEAC14" w14:textId="424B982D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49.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 право на жилище для трудящихся-мигрантов, в частности работникам с низким уровнем дохода из Южной Азии или стран Африки к югу от Сахары, и пересмотреть жилищное законодательство и политику, запрещающие им проживать в определенных районах.</w:t>
      </w:r>
    </w:p>
    <w:p w14:paraId="194C2CA5" w14:textId="6919D461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Право на физическое и психическое здоровье</w:t>
      </w:r>
    </w:p>
    <w:p w14:paraId="1A598452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50.</w:t>
      </w:r>
      <w:r w:rsidRPr="00715A12">
        <w:rPr>
          <w:rFonts w:eastAsia="SimSun" w:cs="Times New Roman"/>
          <w:szCs w:val="20"/>
          <w:lang w:eastAsia="zh-CN"/>
        </w:rPr>
        <w:tab/>
        <w:t>Комитет обеспокоен:</w:t>
      </w:r>
    </w:p>
    <w:p w14:paraId="7736081D" w14:textId="425371F4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ab/>
        <w:t>a)</w:t>
      </w:r>
      <w:r w:rsidRPr="00715A12">
        <w:rPr>
          <w:rFonts w:eastAsia="SimSun" w:cs="Times New Roman"/>
          <w:szCs w:val="20"/>
          <w:lang w:eastAsia="zh-CN"/>
        </w:rPr>
        <w:tab/>
        <w:t>проблемами в плане доступа к медицинской помощи для лиц без гражданства и не имеющих документов мигрантов, поскольку государство-участник не обеспечивает доступ к основным видам медицинской помощи лицам, не имеющим действительных документов, удостоверяющих личность;</w:t>
      </w:r>
    </w:p>
    <w:p w14:paraId="6EE247EE" w14:textId="77777777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ab/>
        <w:t>b)</w:t>
      </w:r>
      <w:r w:rsidRPr="00715A12">
        <w:rPr>
          <w:rFonts w:eastAsia="SimSun" w:cs="Times New Roman"/>
          <w:szCs w:val="20"/>
          <w:lang w:eastAsia="zh-CN"/>
        </w:rPr>
        <w:tab/>
        <w:t>ограничениями на самостоятельный доступ женщин к услугам в области охраны сексуального и репродуктивного здоровья, обусловленными системой мужского опекунства (статьи 3 и 12).</w:t>
      </w:r>
    </w:p>
    <w:p w14:paraId="79EE57FD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51.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47B27FB8" w14:textId="164786FE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гарантировать доступ к медицинскому обслуживанию лицам без гражданства и не имеющим документов мигрантам;</w:t>
      </w:r>
    </w:p>
    <w:p w14:paraId="25DA8498" w14:textId="51128096" w:rsidR="00715A12" w:rsidRPr="00715A12" w:rsidRDefault="00715A12" w:rsidP="00715A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715A12">
        <w:rPr>
          <w:rFonts w:eastAsia="SimSun" w:cs="Times New Roman"/>
          <w:b/>
          <w:bCs/>
          <w:szCs w:val="20"/>
          <w:lang w:eastAsia="zh-CN"/>
        </w:rPr>
        <w:tab/>
        <w:t>принять меры по обеспечению доступа женщин к услугам по охране сексуального и репродуктивного здоровья без необходимости получения разрешения опекуна или предъявления свидетельства о браке.</w:t>
      </w:r>
    </w:p>
    <w:p w14:paraId="4B1D9163" w14:textId="4DDBCAD1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lastRenderedPageBreak/>
        <w:tab/>
      </w:r>
      <w:r w:rsidRPr="00715A12">
        <w:rPr>
          <w:rFonts w:eastAsia="SimSun"/>
        </w:rPr>
        <w:tab/>
        <w:t>Право на образование</w:t>
      </w:r>
    </w:p>
    <w:p w14:paraId="485F5875" w14:textId="313C0884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i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52.</w:t>
      </w:r>
      <w:r w:rsidRPr="00715A12">
        <w:rPr>
          <w:rFonts w:eastAsia="SimSun" w:cs="Times New Roman"/>
          <w:szCs w:val="20"/>
          <w:lang w:eastAsia="zh-CN"/>
        </w:rPr>
        <w:tab/>
        <w:t>Комитет обеспокоен наличием препятствий для получения образования детьми неграждан, включая высокие расходы, связанные с поступлением в школу,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>и ограниченные возможности по приему детей в государственные школы. Комитет также обеспокоен сообщениями о том, что иностранные преподаватели и административный персонал государственных школ и университетов получают оклад, примерно вдвое меньший, чем их катарские коллеги (статья 13).</w:t>
      </w:r>
    </w:p>
    <w:p w14:paraId="0CD16403" w14:textId="4CAF98DB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53.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все необходимые меры, чтобы гарантировать в законодательстве и на практике недискриминационный доступ к обязательному бесплатному начальному и среднему образованию для всех детей, в особенности для детей неграждан.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придерживаться принципа равной оплаты за труд равной ценности, обеспечивая, чтобы иностранные преподаватели и административный персонал государственных школ</w:t>
      </w:r>
      <w:r w:rsidR="00BE2B86"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и университетов получали такой же оклад, как и их катарские коллеги.</w:t>
      </w:r>
    </w:p>
    <w:p w14:paraId="57F682F5" w14:textId="77777777" w:rsidR="00715A12" w:rsidRPr="00715A12" w:rsidRDefault="00715A12" w:rsidP="00BE2B86">
      <w:pPr>
        <w:pStyle w:val="H23G"/>
        <w:rPr>
          <w:rFonts w:eastAsia="SimSun"/>
        </w:rPr>
      </w:pPr>
      <w:r w:rsidRPr="00715A12">
        <w:rPr>
          <w:rFonts w:eastAsia="SimSun"/>
        </w:rPr>
        <w:tab/>
      </w:r>
      <w:r w:rsidRPr="00715A12">
        <w:rPr>
          <w:rFonts w:eastAsia="SimSun"/>
        </w:rPr>
        <w:tab/>
        <w:t>Культурные права</w:t>
      </w:r>
    </w:p>
    <w:p w14:paraId="270ACFDD" w14:textId="3DAC1261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54.</w:t>
      </w:r>
      <w:r w:rsidRPr="00715A12">
        <w:rPr>
          <w:rFonts w:eastAsia="SimSun" w:cs="Times New Roman"/>
          <w:szCs w:val="20"/>
          <w:lang w:eastAsia="zh-CN"/>
        </w:rPr>
        <w:tab/>
        <w:t>Комитет обеспокоен ограничениями для религиозных меньшинств на осуществление их культурных традиций и организацию культурной деятельности религиозного характера, включая проведение собраний, получение доступа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szCs w:val="20"/>
          <w:lang w:eastAsia="zh-CN"/>
        </w:rPr>
        <w:t xml:space="preserve">к религиозной литературе и совершение религиозных обрядов. Комитет также обеспокоен проблемами, с которыми сталкиваются члены религиозной общины </w:t>
      </w:r>
      <w:r w:rsidRPr="00715A12">
        <w:rPr>
          <w:rFonts w:eastAsia="SimSun" w:cs="Times New Roman"/>
          <w:color w:val="333333"/>
          <w:sz w:val="21"/>
          <w:szCs w:val="21"/>
          <w:shd w:val="clear" w:color="auto" w:fill="FFFFFF"/>
          <w:lang w:eastAsia="zh-CN"/>
        </w:rPr>
        <w:t>бехаистов</w:t>
      </w:r>
      <w:r w:rsidRPr="00715A12">
        <w:rPr>
          <w:rFonts w:eastAsia="SimSun" w:cs="Times New Roman"/>
          <w:szCs w:val="20"/>
          <w:lang w:eastAsia="zh-CN"/>
        </w:rPr>
        <w:t xml:space="preserve"> при получении доступа к своему культурному наследию и местам памяти, включая ограничения и административные задержки при их попытках восстановить существующее кладбище их общины на земле, предоставленной муниципалитетом Дохи после того, как оно было разрушено властями в 2009 году (статья 15).</w:t>
      </w:r>
    </w:p>
    <w:p w14:paraId="64D52979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55.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 xml:space="preserve">Комитет рекомендует государству-участнику принять надлежащие меры по защите культурного разнообразия и культурной практики и деятельности религиозных меньшинств, в частности религиозной практики общины </w:t>
      </w:r>
      <w:r w:rsidRPr="00715A12">
        <w:rPr>
          <w:rFonts w:eastAsia="SimSun" w:cs="Times New Roman"/>
          <w:b/>
          <w:bCs/>
          <w:color w:val="333333"/>
          <w:sz w:val="21"/>
          <w:szCs w:val="21"/>
          <w:shd w:val="clear" w:color="auto" w:fill="FFFFFF"/>
          <w:lang w:eastAsia="zh-CN"/>
        </w:rPr>
        <w:t>бехаистов</w:t>
      </w:r>
      <w:r w:rsidRPr="00715A12">
        <w:rPr>
          <w:rFonts w:eastAsia="SimSun" w:cs="Times New Roman"/>
          <w:b/>
          <w:bCs/>
          <w:szCs w:val="20"/>
          <w:lang w:eastAsia="zh-CN"/>
        </w:rPr>
        <w:t>, в том числе путем защиты и восстановления мест отправления культа.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обращает внимание государства-участника на свое замечание общего порядка № 21 (2009) о праве каждого человека на участие в культурной жизни.</w:t>
      </w:r>
    </w:p>
    <w:p w14:paraId="60A4FF24" w14:textId="0D49E43D" w:rsidR="00715A12" w:rsidRPr="00715A12" w:rsidRDefault="00715A12" w:rsidP="00BE2B86">
      <w:pPr>
        <w:pStyle w:val="H1G"/>
        <w:rPr>
          <w:rFonts w:eastAsia="SimSun"/>
          <w:i/>
          <w:iCs/>
        </w:rPr>
      </w:pPr>
      <w:r w:rsidRPr="00715A12">
        <w:rPr>
          <w:rFonts w:eastAsia="SimSun"/>
        </w:rPr>
        <w:tab/>
        <w:t>D.</w:t>
      </w:r>
      <w:r w:rsidRPr="00715A12">
        <w:rPr>
          <w:rFonts w:eastAsia="SimSun"/>
        </w:rPr>
        <w:tab/>
        <w:t>Другие рекомендации</w:t>
      </w:r>
    </w:p>
    <w:p w14:paraId="34DCEF68" w14:textId="01C4D814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56.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1AD92EC4" w14:textId="316EF958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color w:val="000000"/>
          <w:szCs w:val="20"/>
          <w:lang w:eastAsia="zh-CN"/>
        </w:rPr>
      </w:pPr>
      <w:r w:rsidRPr="00715A12">
        <w:rPr>
          <w:rFonts w:eastAsia="SimSun" w:cs="Times New Roman"/>
          <w:color w:val="000000"/>
          <w:szCs w:val="20"/>
          <w:lang w:eastAsia="zh-CN"/>
        </w:rPr>
        <w:t>57.</w:t>
      </w:r>
      <w:r w:rsidRPr="00715A12">
        <w:rPr>
          <w:rFonts w:eastAsia="SimSun" w:cs="Times New Roman"/>
          <w:color w:val="000000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рассмотреть возможность ратификации основных договоров по правам человека, участником которых оно еще не является, включая Международную конвенцию о защите прав всех трудящихся-мигрантов и членов их семей,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Международную конвенцию для защиты всех лиц от насильственных исчезновений,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Факультативный протокол к Международному пакту о гражданских и политических правах,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второй Факультативный протокол к Международному пакту о гражданских и политических правах, направленный на отмену смертной казни,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Факультативный протокол к Конвенции о ликвидации всех форм дискриминации в отношении женщин,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Факультативный протокол к Конвенции против пыток и других жестоких, бесчеловечных или унижающих достоинство видов обращения и наказания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и Факультативный протокол к Конвенции о правах ребенка, касающийся процедуры сообщений.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ратифицировать Факультативный протокол к Конвенции о правах инвалидов, который государство-участник подписало</w:t>
      </w:r>
      <w:r w:rsidR="00BE2B86">
        <w:rPr>
          <w:rFonts w:eastAsia="SimSun" w:cs="Times New Roman"/>
          <w:b/>
          <w:bCs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 2007 году.</w:t>
      </w:r>
    </w:p>
    <w:p w14:paraId="18E3E1B5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 w:val="18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lastRenderedPageBreak/>
        <w:t>58.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коронавирусной инфекции (COVID-19).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0"/>
      </w:r>
      <w:r w:rsidRPr="00715A12">
        <w:rPr>
          <w:rFonts w:eastAsia="SimSun" w:cs="Times New Roman"/>
          <w:szCs w:val="20"/>
          <w:lang w:eastAsia="zh-CN"/>
        </w:rPr>
        <w:t>.</w:t>
      </w:r>
    </w:p>
    <w:p w14:paraId="7956A1AF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59.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муниципальном уровне,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 Комитет особо отмечает ключевую роль парламента в выполнении рекомендаций, содержащихся в настоящих заключительных замечаниях, и призывает государство-участник обеспечить участие своего парламента в будущих процедурах представления докладов и последующей деятельности.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продолжать свое взаимодействие с Национальным комитетом по правам человека, неправительственными организациями и другими членами гражданского общества в рамках последующей деятельности по реализации настоящих заключительных замечаний, а также процесса консультаций на национальном уровне перед представлением своего следующего периодического доклада.</w:t>
      </w:r>
    </w:p>
    <w:p w14:paraId="0B85BAFA" w14:textId="77777777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60.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7 (оговорки), 13 a), c) и d) (предпринимательская деятельность и права человека) и 35 a), c) и d) (право на труд и право на справедливые и благоприятные условия труда).</w:t>
      </w:r>
    </w:p>
    <w:p w14:paraId="2462BACD" w14:textId="1EA3FA55" w:rsidR="00715A12" w:rsidRPr="00715A12" w:rsidRDefault="00715A12" w:rsidP="00715A12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 w:val="18"/>
          <w:szCs w:val="20"/>
          <w:lang w:eastAsia="zh-CN"/>
        </w:rPr>
      </w:pPr>
      <w:r w:rsidRPr="00715A12">
        <w:rPr>
          <w:rFonts w:eastAsia="SimSun" w:cs="Times New Roman"/>
          <w:szCs w:val="20"/>
          <w:lang w:eastAsia="zh-CN"/>
        </w:rPr>
        <w:t>61.</w:t>
      </w:r>
      <w:r w:rsidRPr="00715A12">
        <w:rPr>
          <w:rFonts w:eastAsia="SimSun" w:cs="Times New Roman"/>
          <w:szCs w:val="20"/>
          <w:lang w:eastAsia="zh-CN"/>
        </w:rPr>
        <w:tab/>
      </w:r>
      <w:r w:rsidRPr="00715A12">
        <w:rPr>
          <w:rFonts w:eastAsia="SimSun" w:cs="Times New Roman"/>
          <w:b/>
          <w:bCs/>
          <w:szCs w:val="20"/>
          <w:lang w:eastAsia="zh-CN"/>
        </w:rPr>
        <w:t>Комитет просит государство-участник представить свой второй периодический доклад в соответствии со статьей 16 Пакта не позднее 31 октября 2028 года, если только оно не будет уведомлено об изменении цикла обзора.</w:t>
      </w:r>
      <w:r w:rsidR="00BE2B86">
        <w:rPr>
          <w:rFonts w:eastAsia="SimSun" w:cs="Times New Roman"/>
          <w:szCs w:val="20"/>
          <w:lang w:eastAsia="zh-CN"/>
        </w:rPr>
        <w:br/>
      </w:r>
      <w:r w:rsidRPr="00715A12">
        <w:rPr>
          <w:rFonts w:eastAsia="SimSun" w:cs="Times New Roman"/>
          <w:b/>
          <w:bCs/>
          <w:szCs w:val="20"/>
          <w:lang w:eastAsia="zh-CN"/>
        </w:rPr>
        <w:t>В соответствии с резолюцией 68/268 Генеральной Ассамблеи объем доклада не должен превышать 21 200 слов.</w:t>
      </w:r>
      <w:r w:rsidRPr="00715A12">
        <w:rPr>
          <w:rFonts w:eastAsia="SimSun" w:cs="Times New Roman"/>
          <w:szCs w:val="20"/>
          <w:lang w:eastAsia="zh-CN"/>
        </w:rPr>
        <w:t xml:space="preserve"> </w:t>
      </w:r>
      <w:r w:rsidRPr="00715A12">
        <w:rPr>
          <w:rFonts w:eastAsia="SimSun" w:cs="Times New Roman"/>
          <w:b/>
          <w:bCs/>
          <w:szCs w:val="20"/>
          <w:lang w:eastAsia="zh-CN"/>
        </w:rPr>
        <w:t>Кроме того, Комитет предлагает государству-участнику при необходимости обновлять свой общий базовый документ, опираясь на согласованные руководящие принципы представления докладов согласно международным договорам о правах человека</w:t>
      </w:r>
      <w:r w:rsidRPr="00715A12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1"/>
      </w:r>
      <w:r w:rsidRPr="00715A12">
        <w:rPr>
          <w:rFonts w:eastAsia="SimSun" w:cs="Times New Roman"/>
          <w:b/>
          <w:bCs/>
          <w:szCs w:val="20"/>
          <w:lang w:eastAsia="zh-CN"/>
        </w:rPr>
        <w:t>.</w:t>
      </w:r>
      <w:bookmarkStart w:id="1" w:name="_Hlk122024206"/>
      <w:bookmarkEnd w:id="1"/>
    </w:p>
    <w:p w14:paraId="7AA503DD" w14:textId="77777777" w:rsidR="00715A12" w:rsidRPr="00715A12" w:rsidRDefault="00715A12" w:rsidP="00715A12">
      <w:pPr>
        <w:tabs>
          <w:tab w:val="right" w:pos="851"/>
        </w:tabs>
        <w:spacing w:before="240" w:line="240" w:lineRule="exact"/>
        <w:ind w:left="1134" w:right="1134"/>
        <w:jc w:val="center"/>
        <w:rPr>
          <w:rFonts w:eastAsia="SimSun" w:cs="Times New Roman"/>
          <w:bCs/>
          <w:szCs w:val="20"/>
          <w:lang w:eastAsia="zh-CN"/>
        </w:rPr>
      </w:pPr>
      <w:r w:rsidRPr="00715A12">
        <w:rPr>
          <w:rFonts w:eastAsia="SimSun" w:cs="Times New Roman"/>
          <w:bCs/>
          <w:sz w:val="22"/>
          <w:szCs w:val="16"/>
          <w:u w:val="single"/>
          <w:lang w:eastAsia="zh-CN"/>
        </w:rPr>
        <w:tab/>
      </w:r>
      <w:r w:rsidRPr="00715A12">
        <w:rPr>
          <w:rFonts w:eastAsia="SimSun" w:cs="Times New Roman"/>
          <w:bCs/>
          <w:sz w:val="22"/>
          <w:szCs w:val="16"/>
          <w:u w:val="single"/>
          <w:lang w:eastAsia="zh-CN"/>
        </w:rPr>
        <w:tab/>
      </w:r>
      <w:r w:rsidRPr="00715A12">
        <w:rPr>
          <w:rFonts w:eastAsia="SimSun" w:cs="Times New Roman"/>
          <w:bCs/>
          <w:sz w:val="22"/>
          <w:szCs w:val="16"/>
          <w:u w:val="single"/>
          <w:lang w:eastAsia="zh-CN"/>
        </w:rPr>
        <w:tab/>
      </w:r>
      <w:r w:rsidRPr="00715A12">
        <w:rPr>
          <w:rFonts w:eastAsia="SimSun" w:cs="Times New Roman"/>
          <w:bCs/>
          <w:sz w:val="22"/>
          <w:szCs w:val="16"/>
          <w:u w:val="single"/>
          <w:lang w:eastAsia="zh-CN"/>
        </w:rPr>
        <w:tab/>
      </w:r>
    </w:p>
    <w:sectPr w:rsidR="00715A12" w:rsidRPr="00715A12" w:rsidSect="00715A1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BC742" w14:textId="77777777" w:rsidR="00D411EF" w:rsidRPr="00A312BC" w:rsidRDefault="00D411EF" w:rsidP="00A312BC"/>
  </w:endnote>
  <w:endnote w:type="continuationSeparator" w:id="0">
    <w:p w14:paraId="18FEB274" w14:textId="77777777" w:rsidR="00D411EF" w:rsidRPr="00A312BC" w:rsidRDefault="00D411E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9A9CE" w14:textId="58E43941" w:rsidR="00715A12" w:rsidRPr="00715A12" w:rsidRDefault="00715A12">
    <w:pPr>
      <w:pStyle w:val="aa"/>
    </w:pPr>
    <w:r w:rsidRPr="00715A12">
      <w:rPr>
        <w:b/>
        <w:sz w:val="18"/>
      </w:rPr>
      <w:fldChar w:fldCharType="begin"/>
    </w:r>
    <w:r w:rsidRPr="00715A12">
      <w:rPr>
        <w:b/>
        <w:sz w:val="18"/>
      </w:rPr>
      <w:instrText xml:space="preserve"> PAGE  \* MERGEFORMAT </w:instrText>
    </w:r>
    <w:r w:rsidRPr="00715A12">
      <w:rPr>
        <w:b/>
        <w:sz w:val="18"/>
      </w:rPr>
      <w:fldChar w:fldCharType="separate"/>
    </w:r>
    <w:r w:rsidRPr="00715A12">
      <w:rPr>
        <w:b/>
        <w:noProof/>
        <w:sz w:val="18"/>
      </w:rPr>
      <w:t>2</w:t>
    </w:r>
    <w:r w:rsidRPr="00715A12">
      <w:rPr>
        <w:b/>
        <w:sz w:val="18"/>
      </w:rPr>
      <w:fldChar w:fldCharType="end"/>
    </w:r>
    <w:r>
      <w:rPr>
        <w:b/>
        <w:sz w:val="18"/>
      </w:rPr>
      <w:tab/>
    </w:r>
    <w:r>
      <w:t>GE.23-20270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EF841" w14:textId="3F4AF247" w:rsidR="00715A12" w:rsidRPr="00715A12" w:rsidRDefault="00715A12" w:rsidP="00715A12">
    <w:pPr>
      <w:pStyle w:val="aa"/>
      <w:tabs>
        <w:tab w:val="clear" w:pos="9639"/>
        <w:tab w:val="right" w:pos="9638"/>
      </w:tabs>
      <w:rPr>
        <w:b/>
        <w:sz w:val="18"/>
      </w:rPr>
    </w:pPr>
    <w:r>
      <w:t>GE.23-20270</w:t>
    </w:r>
    <w:r>
      <w:tab/>
    </w:r>
    <w:r w:rsidRPr="00715A12">
      <w:rPr>
        <w:b/>
        <w:sz w:val="18"/>
      </w:rPr>
      <w:fldChar w:fldCharType="begin"/>
    </w:r>
    <w:r w:rsidRPr="00715A12">
      <w:rPr>
        <w:b/>
        <w:sz w:val="18"/>
      </w:rPr>
      <w:instrText xml:space="preserve"> PAGE  \* MERGEFORMAT </w:instrText>
    </w:r>
    <w:r w:rsidRPr="00715A12">
      <w:rPr>
        <w:b/>
        <w:sz w:val="18"/>
      </w:rPr>
      <w:fldChar w:fldCharType="separate"/>
    </w:r>
    <w:r w:rsidRPr="00715A12">
      <w:rPr>
        <w:b/>
        <w:noProof/>
        <w:sz w:val="18"/>
      </w:rPr>
      <w:t>3</w:t>
    </w:r>
    <w:r w:rsidRPr="00715A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F14EF" w14:textId="5DBA54FE" w:rsidR="00042B72" w:rsidRPr="00715A12" w:rsidRDefault="00715A12" w:rsidP="00715A12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65565C" wp14:editId="594E9A4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23-20270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930AEAB" wp14:editId="0A92222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141123  061223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CFA99" w14:textId="77777777" w:rsidR="00D411EF" w:rsidRPr="001075E9" w:rsidRDefault="00D411E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276B8F" w14:textId="77777777" w:rsidR="00D411EF" w:rsidRDefault="00D411E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923ABC" w14:textId="48225A76" w:rsidR="00715A12" w:rsidRPr="00F8367F" w:rsidRDefault="00715A12" w:rsidP="00715A12">
      <w:pPr>
        <w:pStyle w:val="af"/>
      </w:pPr>
      <w:r>
        <w:tab/>
        <w:t>*</w:t>
      </w:r>
      <w:r>
        <w:tab/>
        <w:t xml:space="preserve">Принято Комитетом на его семьдесят четвертой сессии (25 сентября </w:t>
      </w:r>
      <w:r w:rsidR="00A06989" w:rsidRPr="00B76E19">
        <w:t>‒‒</w:t>
      </w:r>
      <w:r>
        <w:t xml:space="preserve"> 13 октября 2023 года).</w:t>
      </w:r>
    </w:p>
  </w:footnote>
  <w:footnote w:id="2">
    <w:p w14:paraId="2FE4051B" w14:textId="77777777" w:rsidR="00715A12" w:rsidRPr="00F8367F" w:rsidRDefault="00715A12" w:rsidP="00715A12">
      <w:pPr>
        <w:pStyle w:val="af"/>
      </w:pPr>
      <w:r>
        <w:tab/>
      </w:r>
      <w:r w:rsidRPr="00942C14">
        <w:rPr>
          <w:rStyle w:val="a8"/>
        </w:rPr>
        <w:footnoteRef/>
      </w:r>
      <w:r>
        <w:tab/>
      </w:r>
      <w:hyperlink r:id="rId1" w:history="1">
        <w:r w:rsidRPr="00726D16">
          <w:rPr>
            <w:rStyle w:val="a7"/>
          </w:rPr>
          <w:t>E/C.12/QAT/1</w:t>
        </w:r>
      </w:hyperlink>
      <w:r>
        <w:t>.</w:t>
      </w:r>
    </w:p>
  </w:footnote>
  <w:footnote w:id="3">
    <w:p w14:paraId="59A4A93C" w14:textId="769BE8A5" w:rsidR="00715A12" w:rsidRPr="00F8367F" w:rsidRDefault="00715A12" w:rsidP="00715A12">
      <w:pPr>
        <w:pStyle w:val="af"/>
      </w:pPr>
      <w:r>
        <w:tab/>
      </w:r>
      <w:r w:rsidRPr="00942C14">
        <w:rPr>
          <w:rStyle w:val="a8"/>
        </w:rPr>
        <w:footnoteRef/>
      </w:r>
      <w:r>
        <w:tab/>
        <w:t xml:space="preserve">См. </w:t>
      </w:r>
      <w:hyperlink r:id="rId2" w:history="1">
        <w:r w:rsidRPr="00E37056">
          <w:rPr>
            <w:rStyle w:val="a7"/>
          </w:rPr>
          <w:t>E/C.12/2023/SR.42</w:t>
        </w:r>
      </w:hyperlink>
      <w:r>
        <w:t xml:space="preserve"> и </w:t>
      </w:r>
      <w:hyperlink r:id="rId3" w:history="1">
        <w:r w:rsidRPr="00460C16">
          <w:rPr>
            <w:rStyle w:val="a7"/>
          </w:rPr>
          <w:t>E/C.12/2023/SR.44</w:t>
        </w:r>
      </w:hyperlink>
      <w:r>
        <w:t>.</w:t>
      </w:r>
    </w:p>
  </w:footnote>
  <w:footnote w:id="4">
    <w:p w14:paraId="1CFD4721" w14:textId="5EAD3A69" w:rsidR="00715A12" w:rsidRPr="00F8367F" w:rsidRDefault="00715A12" w:rsidP="00715A12">
      <w:pPr>
        <w:pStyle w:val="af"/>
        <w:spacing w:after="120"/>
      </w:pPr>
      <w:r w:rsidRPr="0048665B">
        <w:tab/>
      </w:r>
      <w:r w:rsidRPr="00942C14">
        <w:rPr>
          <w:rStyle w:val="a8"/>
        </w:rPr>
        <w:footnoteRef/>
      </w:r>
      <w:r>
        <w:tab/>
      </w:r>
      <w:hyperlink r:id="rId4" w:history="1">
        <w:r w:rsidRPr="00804CC6">
          <w:rPr>
            <w:rStyle w:val="a7"/>
          </w:rPr>
          <w:t>E/C.12/QAT/RQ/1</w:t>
        </w:r>
      </w:hyperlink>
      <w:r>
        <w:t>.</w:t>
      </w:r>
    </w:p>
  </w:footnote>
  <w:footnote w:id="5">
    <w:p w14:paraId="3B9E78C8" w14:textId="33E71699" w:rsidR="00715A12" w:rsidRPr="00A06989" w:rsidRDefault="00715A12" w:rsidP="00715A12">
      <w:pPr>
        <w:pStyle w:val="af"/>
      </w:pPr>
      <w:r w:rsidRPr="00942C14">
        <w:tab/>
      </w:r>
      <w:r w:rsidRPr="00942C14">
        <w:rPr>
          <w:rStyle w:val="a8"/>
        </w:rPr>
        <w:footnoteRef/>
      </w:r>
      <w:r w:rsidRPr="00A06989">
        <w:tab/>
      </w:r>
      <w:r>
        <w:t>См</w:t>
      </w:r>
      <w:r w:rsidRPr="00A06989">
        <w:t xml:space="preserve">. </w:t>
      </w:r>
      <w:r w:rsidRPr="00E914B9">
        <w:rPr>
          <w:lang w:val="en-US"/>
        </w:rPr>
        <w:t>URL</w:t>
      </w:r>
      <w:r w:rsidRPr="00A06989">
        <w:t xml:space="preserve">: </w:t>
      </w:r>
      <w:hyperlink r:id="rId5" w:history="1">
        <w:r w:rsidRPr="00C2278D">
          <w:rPr>
            <w:rStyle w:val="a7"/>
            <w:lang w:val="en-US"/>
          </w:rPr>
          <w:t>https</w:t>
        </w:r>
        <w:r w:rsidRPr="00A06989">
          <w:rPr>
            <w:rStyle w:val="a7"/>
          </w:rPr>
          <w:t>://</w:t>
        </w:r>
        <w:r w:rsidRPr="00C2278D">
          <w:rPr>
            <w:rStyle w:val="a7"/>
            <w:lang w:val="en-US"/>
          </w:rPr>
          <w:t>www</w:t>
        </w:r>
        <w:r w:rsidRPr="00A06989">
          <w:rPr>
            <w:rStyle w:val="a7"/>
          </w:rPr>
          <w:t>.</w:t>
        </w:r>
        <w:r w:rsidRPr="00C2278D">
          <w:rPr>
            <w:rStyle w:val="a7"/>
            <w:lang w:val="en-US"/>
          </w:rPr>
          <w:t>ohchr</w:t>
        </w:r>
        <w:r w:rsidRPr="00A06989">
          <w:rPr>
            <w:rStyle w:val="a7"/>
          </w:rPr>
          <w:t>.</w:t>
        </w:r>
        <w:r w:rsidRPr="00C2278D">
          <w:rPr>
            <w:rStyle w:val="a7"/>
            <w:lang w:val="en-US"/>
          </w:rPr>
          <w:t>org</w:t>
        </w:r>
        <w:r w:rsidRPr="00A06989">
          <w:rPr>
            <w:rStyle w:val="a7"/>
          </w:rPr>
          <w:t>/</w:t>
        </w:r>
        <w:r w:rsidRPr="00C2278D">
          <w:rPr>
            <w:rStyle w:val="a7"/>
            <w:lang w:val="en-US"/>
          </w:rPr>
          <w:t>sites</w:t>
        </w:r>
        <w:r w:rsidRPr="00A06989">
          <w:rPr>
            <w:rStyle w:val="a7"/>
          </w:rPr>
          <w:t>/</w:t>
        </w:r>
        <w:r w:rsidRPr="00C2278D">
          <w:rPr>
            <w:rStyle w:val="a7"/>
            <w:lang w:val="en-US"/>
          </w:rPr>
          <w:t>default</w:t>
        </w:r>
        <w:r w:rsidRPr="00A06989">
          <w:rPr>
            <w:rStyle w:val="a7"/>
          </w:rPr>
          <w:t>/</w:t>
        </w:r>
        <w:r w:rsidRPr="00C2278D">
          <w:rPr>
            <w:rStyle w:val="a7"/>
            <w:lang w:val="en-US"/>
          </w:rPr>
          <w:t>files</w:t>
        </w:r>
        <w:r w:rsidRPr="00A06989">
          <w:rPr>
            <w:rStyle w:val="a7"/>
          </w:rPr>
          <w:t>/2021-12/</w:t>
        </w:r>
        <w:r w:rsidRPr="00C2278D">
          <w:rPr>
            <w:rStyle w:val="a7"/>
            <w:lang w:val="en-US"/>
          </w:rPr>
          <w:t>SCA</w:t>
        </w:r>
        <w:r w:rsidRPr="00A06989">
          <w:rPr>
            <w:rStyle w:val="a7"/>
          </w:rPr>
          <w:t>-</w:t>
        </w:r>
        <w:r w:rsidRPr="00C2278D">
          <w:rPr>
            <w:rStyle w:val="a7"/>
            <w:lang w:val="en-US"/>
          </w:rPr>
          <w:t>Report</w:t>
        </w:r>
        <w:r w:rsidRPr="00A06989">
          <w:rPr>
            <w:rStyle w:val="a7"/>
          </w:rPr>
          <w:t>-</w:t>
        </w:r>
        <w:r w:rsidRPr="00C2278D">
          <w:rPr>
            <w:rStyle w:val="a7"/>
            <w:lang w:val="en-US"/>
          </w:rPr>
          <w:t>October</w:t>
        </w:r>
        <w:r w:rsidRPr="00A06989">
          <w:rPr>
            <w:rStyle w:val="a7"/>
          </w:rPr>
          <w:t>-2021_</w:t>
        </w:r>
        <w:r w:rsidRPr="00C2278D">
          <w:rPr>
            <w:rStyle w:val="a7"/>
            <w:lang w:val="en-US"/>
          </w:rPr>
          <w:t>E</w:t>
        </w:r>
        <w:r w:rsidRPr="00A06989">
          <w:rPr>
            <w:rStyle w:val="a7"/>
          </w:rPr>
          <w:t>.</w:t>
        </w:r>
        <w:r w:rsidRPr="00C2278D">
          <w:rPr>
            <w:rStyle w:val="a7"/>
            <w:lang w:val="en-US"/>
          </w:rPr>
          <w:t>pdf</w:t>
        </w:r>
      </w:hyperlink>
      <w:r w:rsidRPr="00A06989">
        <w:t>.</w:t>
      </w:r>
    </w:p>
  </w:footnote>
  <w:footnote w:id="6">
    <w:p w14:paraId="498C688C" w14:textId="39A6A7D0" w:rsidR="00715A12" w:rsidRPr="00715A12" w:rsidRDefault="00715A12" w:rsidP="00715A12">
      <w:pPr>
        <w:pStyle w:val="af"/>
        <w:rPr>
          <w:lang w:val="en-US"/>
        </w:rPr>
      </w:pPr>
      <w:r w:rsidRPr="00A06989">
        <w:tab/>
      </w:r>
      <w:r w:rsidRPr="00942C14">
        <w:rPr>
          <w:rStyle w:val="a8"/>
        </w:rPr>
        <w:footnoteRef/>
      </w:r>
      <w:r w:rsidRPr="00F8367F">
        <w:rPr>
          <w:lang w:val="en-US"/>
        </w:rPr>
        <w:tab/>
      </w:r>
      <w:r w:rsidR="00DC7C4C">
        <w:fldChar w:fldCharType="begin"/>
      </w:r>
      <w:r w:rsidR="00DC7C4C" w:rsidRPr="00DC7C4C">
        <w:rPr>
          <w:lang w:val="en-US"/>
        </w:rPr>
        <w:instrText>HYPERLINK "https://documents-dds-ny.un.org/doc/UNDOC/GEN/G17/077/37/pdf/G1707737.pdf?OpenElement"</w:instrText>
      </w:r>
      <w:r w:rsidR="00DC7C4C">
        <w:fldChar w:fldCharType="separate"/>
      </w:r>
      <w:r w:rsidRPr="00C37049">
        <w:rPr>
          <w:rStyle w:val="a7"/>
          <w:lang w:val="en-US"/>
        </w:rPr>
        <w:t>E/C.12/2016/2</w:t>
      </w:r>
      <w:r w:rsidR="00DC7C4C">
        <w:rPr>
          <w:rStyle w:val="a7"/>
          <w:lang w:val="en-US"/>
        </w:rPr>
        <w:fldChar w:fldCharType="end"/>
      </w:r>
      <w:r w:rsidRPr="00F8367F">
        <w:rPr>
          <w:lang w:val="en-US"/>
        </w:rPr>
        <w:t>.</w:t>
      </w:r>
    </w:p>
  </w:footnote>
  <w:footnote w:id="7">
    <w:p w14:paraId="2A939F2C" w14:textId="352A3E3D" w:rsidR="00715A12" w:rsidRPr="00715A12" w:rsidRDefault="00715A12" w:rsidP="00715A12">
      <w:pPr>
        <w:pStyle w:val="af"/>
        <w:rPr>
          <w:lang w:val="en-US"/>
        </w:rPr>
      </w:pPr>
      <w:r w:rsidRPr="00F8367F">
        <w:rPr>
          <w:lang w:val="en-US"/>
        </w:rPr>
        <w:tab/>
      </w:r>
      <w:r w:rsidRPr="00942C14">
        <w:rPr>
          <w:rStyle w:val="a8"/>
        </w:rPr>
        <w:footnoteRef/>
      </w:r>
      <w:r w:rsidRPr="00F8367F">
        <w:rPr>
          <w:lang w:val="en-US"/>
        </w:rPr>
        <w:tab/>
      </w:r>
      <w:r w:rsidR="00DC7C4C">
        <w:fldChar w:fldCharType="begin"/>
      </w:r>
      <w:r w:rsidR="00DC7C4C" w:rsidRPr="00DC7C4C">
        <w:rPr>
          <w:lang w:val="en-US"/>
        </w:rPr>
        <w:instrText>HYPERLINK "https://documents-dds-ny.un.org/doc/UNDOC/GEN/G18</w:instrText>
      </w:r>
      <w:r w:rsidR="00DC7C4C" w:rsidRPr="00DC7C4C">
        <w:rPr>
          <w:lang w:val="en-US"/>
        </w:rPr>
        <w:instrText>/328/09/pdf/G1832809.pdf?OpenElement"</w:instrText>
      </w:r>
      <w:r w:rsidR="00DC7C4C">
        <w:fldChar w:fldCharType="separate"/>
      </w:r>
      <w:r w:rsidRPr="0093190A">
        <w:rPr>
          <w:rStyle w:val="a7"/>
          <w:lang w:val="en-US"/>
        </w:rPr>
        <w:t>E/C.12/2018/1</w:t>
      </w:r>
      <w:r w:rsidR="00DC7C4C">
        <w:rPr>
          <w:rStyle w:val="a7"/>
          <w:lang w:val="en-US"/>
        </w:rPr>
        <w:fldChar w:fldCharType="end"/>
      </w:r>
      <w:r w:rsidRPr="00F8367F">
        <w:rPr>
          <w:lang w:val="en-US"/>
        </w:rPr>
        <w:t>.</w:t>
      </w:r>
    </w:p>
  </w:footnote>
  <w:footnote w:id="8">
    <w:p w14:paraId="7C4E2C6E" w14:textId="4508574B" w:rsidR="00715A12" w:rsidRPr="00715A12" w:rsidRDefault="00715A12" w:rsidP="00715A12">
      <w:pPr>
        <w:pStyle w:val="af"/>
        <w:rPr>
          <w:szCs w:val="18"/>
          <w:lang w:val="en-US"/>
        </w:rPr>
      </w:pPr>
      <w:r w:rsidRPr="00F8367F">
        <w:rPr>
          <w:szCs w:val="18"/>
          <w:lang w:val="en-US"/>
        </w:rPr>
        <w:tab/>
      </w:r>
      <w:r w:rsidRPr="00942C14">
        <w:rPr>
          <w:rStyle w:val="a8"/>
        </w:rPr>
        <w:footnoteRef/>
      </w:r>
      <w:r w:rsidRPr="00F8367F">
        <w:rPr>
          <w:lang w:val="en-US"/>
        </w:rPr>
        <w:tab/>
      </w:r>
      <w:r>
        <w:t>См</w:t>
      </w:r>
      <w:r w:rsidRPr="00F8367F">
        <w:rPr>
          <w:lang w:val="en-US"/>
        </w:rPr>
        <w:t xml:space="preserve">. </w:t>
      </w:r>
      <w:r w:rsidR="00DC7C4C">
        <w:fldChar w:fldCharType="begin"/>
      </w:r>
      <w:r w:rsidR="00DC7C4C" w:rsidRPr="00DC7C4C">
        <w:rPr>
          <w:lang w:val="en-US"/>
        </w:rPr>
        <w:instrText>HYPERLINK "https://documents-dds-ny.un.org/doc/UNDOC/GEN/G20/103/76/pdf/G2010376.pdf?OpenElement"</w:instrText>
      </w:r>
      <w:r w:rsidR="00DC7C4C">
        <w:fldChar w:fldCharType="separate"/>
      </w:r>
      <w:r w:rsidRPr="003D519E">
        <w:rPr>
          <w:rStyle w:val="a7"/>
          <w:lang w:val="en-US"/>
        </w:rPr>
        <w:t>A/HRC/44/57/Add.1</w:t>
      </w:r>
      <w:r w:rsidR="00DC7C4C">
        <w:rPr>
          <w:rStyle w:val="a7"/>
          <w:lang w:val="en-US"/>
        </w:rPr>
        <w:fldChar w:fldCharType="end"/>
      </w:r>
      <w:r w:rsidRPr="00F8367F">
        <w:rPr>
          <w:lang w:val="en-US"/>
        </w:rPr>
        <w:t>.</w:t>
      </w:r>
    </w:p>
  </w:footnote>
  <w:footnote w:id="9">
    <w:p w14:paraId="5E0B62CF" w14:textId="28460679" w:rsidR="00715A12" w:rsidRPr="00715A12" w:rsidRDefault="00715A12" w:rsidP="00715A12">
      <w:pPr>
        <w:pStyle w:val="af"/>
        <w:rPr>
          <w:lang w:val="en-US"/>
        </w:rPr>
      </w:pPr>
      <w:r w:rsidRPr="00F8367F">
        <w:rPr>
          <w:lang w:val="en-US"/>
        </w:rPr>
        <w:tab/>
      </w:r>
      <w:r w:rsidRPr="00942C14">
        <w:rPr>
          <w:rStyle w:val="a8"/>
        </w:rPr>
        <w:footnoteRef/>
      </w:r>
      <w:r w:rsidRPr="00F8367F">
        <w:rPr>
          <w:lang w:val="en-US"/>
        </w:rPr>
        <w:tab/>
      </w:r>
      <w:r w:rsidR="00DC7C4C">
        <w:fldChar w:fldCharType="begin"/>
      </w:r>
      <w:r w:rsidR="00DC7C4C" w:rsidRPr="00DC7C4C">
        <w:rPr>
          <w:lang w:val="en-US"/>
        </w:rPr>
        <w:instrText>HYPERLINK "https://documents-dds-ny.un.org/doc/UNDOC/GEN/G17/055/64/pdf/G1705564.pdf?OpenElement"</w:instrText>
      </w:r>
      <w:r w:rsidR="00DC7C4C">
        <w:fldChar w:fldCharType="separate"/>
      </w:r>
      <w:r w:rsidRPr="004443D3">
        <w:rPr>
          <w:rStyle w:val="a7"/>
          <w:lang w:val="en-US"/>
        </w:rPr>
        <w:t>E/C.12/2017/1</w:t>
      </w:r>
      <w:r w:rsidR="00DC7C4C">
        <w:rPr>
          <w:rStyle w:val="a7"/>
          <w:lang w:val="en-US"/>
        </w:rPr>
        <w:fldChar w:fldCharType="end"/>
      </w:r>
      <w:r w:rsidRPr="00F8367F">
        <w:rPr>
          <w:lang w:val="en-US"/>
        </w:rPr>
        <w:t>.</w:t>
      </w:r>
    </w:p>
  </w:footnote>
  <w:footnote w:id="10">
    <w:p w14:paraId="75DA79EF" w14:textId="0D03ADFA" w:rsidR="00715A12" w:rsidRPr="00715A12" w:rsidRDefault="00715A12" w:rsidP="00715A12">
      <w:pPr>
        <w:pStyle w:val="af"/>
        <w:rPr>
          <w:lang w:val="en-US"/>
        </w:rPr>
      </w:pPr>
      <w:r w:rsidRPr="00F8367F">
        <w:rPr>
          <w:lang w:val="en-US"/>
        </w:rPr>
        <w:tab/>
      </w:r>
      <w:r w:rsidRPr="00942C14">
        <w:rPr>
          <w:rStyle w:val="a8"/>
        </w:rPr>
        <w:footnoteRef/>
      </w:r>
      <w:r w:rsidRPr="00F8367F">
        <w:rPr>
          <w:lang w:val="en-US"/>
        </w:rPr>
        <w:tab/>
      </w:r>
      <w:r w:rsidR="00DC7C4C">
        <w:fldChar w:fldCharType="begin"/>
      </w:r>
      <w:r w:rsidR="00DC7C4C" w:rsidRPr="00DC7C4C">
        <w:rPr>
          <w:lang w:val="en-US"/>
        </w:rPr>
        <w:instrText>HYPERLINK "https://documents-dds-ny.un.org/doc/UNDOC/GEN/G19/099/84/pdf/G1909984.pdf?OpenElement"</w:instrText>
      </w:r>
      <w:r w:rsidR="00DC7C4C">
        <w:fldChar w:fldCharType="separate"/>
      </w:r>
      <w:r w:rsidRPr="001E7A4C">
        <w:rPr>
          <w:rStyle w:val="a7"/>
          <w:lang w:val="en-US"/>
        </w:rPr>
        <w:t>E/C.12/2019/1</w:t>
      </w:r>
      <w:r w:rsidR="00DC7C4C">
        <w:rPr>
          <w:rStyle w:val="a7"/>
          <w:lang w:val="en-US"/>
        </w:rPr>
        <w:fldChar w:fldCharType="end"/>
      </w:r>
      <w:r w:rsidRPr="00F8367F">
        <w:rPr>
          <w:lang w:val="en-US"/>
        </w:rPr>
        <w:t>.</w:t>
      </w:r>
    </w:p>
  </w:footnote>
  <w:footnote w:id="11">
    <w:p w14:paraId="5984C4C0" w14:textId="27AAAF3D" w:rsidR="00715A12" w:rsidRPr="00BC46C6" w:rsidRDefault="00715A12" w:rsidP="00715A12">
      <w:pPr>
        <w:pStyle w:val="af"/>
        <w:rPr>
          <w:lang w:val="en-US"/>
        </w:rPr>
      </w:pPr>
      <w:r w:rsidRPr="00F8367F">
        <w:rPr>
          <w:lang w:val="en-US"/>
        </w:rPr>
        <w:tab/>
      </w:r>
      <w:r w:rsidRPr="00942C14">
        <w:rPr>
          <w:rStyle w:val="a8"/>
        </w:rPr>
        <w:footnoteRef/>
      </w:r>
      <w:r w:rsidRPr="00F8367F">
        <w:rPr>
          <w:lang w:val="en-US"/>
        </w:rPr>
        <w:tab/>
      </w:r>
      <w:r w:rsidR="00DC7C4C">
        <w:fldChar w:fldCharType="begin"/>
      </w:r>
      <w:r w:rsidR="00DC7C4C" w:rsidRPr="00DC7C4C">
        <w:rPr>
          <w:lang w:val="en-US"/>
        </w:rPr>
        <w:instrText>HYPERLINK "https://documents-dds-ny.un.org/doc/UNDOC/GEN/G09/428/31/pdf/G0942831.pdf?OpenElement"</w:instrText>
      </w:r>
      <w:r w:rsidR="00DC7C4C">
        <w:fldChar w:fldCharType="separate"/>
      </w:r>
      <w:r w:rsidRPr="00AA3B60">
        <w:rPr>
          <w:rStyle w:val="a7"/>
          <w:lang w:val="en-US"/>
        </w:rPr>
        <w:t>HRI/GEN/2/Rev.6</w:t>
      </w:r>
      <w:r w:rsidR="00DC7C4C">
        <w:rPr>
          <w:rStyle w:val="a7"/>
          <w:lang w:val="en-US"/>
        </w:rPr>
        <w:fldChar w:fldCharType="end"/>
      </w:r>
      <w:r w:rsidRPr="00F8367F">
        <w:rPr>
          <w:lang w:val="en-US"/>
        </w:rPr>
        <w:t xml:space="preserve">, </w:t>
      </w:r>
      <w:r>
        <w:t>гл</w:t>
      </w:r>
      <w:r w:rsidRPr="00F8367F">
        <w:rPr>
          <w:lang w:val="en-US"/>
        </w:rPr>
        <w:t xml:space="preserve">. </w:t>
      </w:r>
      <w:r w:rsidRPr="00AA3B60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5AD09" w14:textId="7FDF8A10" w:rsidR="00715A12" w:rsidRPr="00715A12" w:rsidRDefault="000A06DB">
    <w:pPr>
      <w:pStyle w:val="a5"/>
    </w:pPr>
    <w:fldSimple w:instr=" TITLE  \* MERGEFORMAT ">
      <w:r w:rsidR="00DC7C4C">
        <w:t>E/C.12/QAT/CO/1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C0C26" w14:textId="1EC72C46" w:rsidR="00715A12" w:rsidRPr="00715A12" w:rsidRDefault="000A06DB" w:rsidP="00715A12">
    <w:pPr>
      <w:pStyle w:val="a5"/>
      <w:jc w:val="right"/>
    </w:pPr>
    <w:fldSimple w:instr=" TITLE  \* MERGEFORMAT ">
      <w:r w:rsidR="00DC7C4C">
        <w:t>E/C.12/QAT/CO/1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EF"/>
    <w:rsid w:val="000041D5"/>
    <w:rsid w:val="00033EE1"/>
    <w:rsid w:val="00042B72"/>
    <w:rsid w:val="00043B08"/>
    <w:rsid w:val="0005346C"/>
    <w:rsid w:val="000558BD"/>
    <w:rsid w:val="000857D2"/>
    <w:rsid w:val="000951AB"/>
    <w:rsid w:val="000A06DB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33093"/>
    <w:rsid w:val="00452493"/>
    <w:rsid w:val="00453318"/>
    <w:rsid w:val="00454E07"/>
    <w:rsid w:val="00472C5C"/>
    <w:rsid w:val="004F7143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15A12"/>
    <w:rsid w:val="00734ACB"/>
    <w:rsid w:val="00757357"/>
    <w:rsid w:val="00792497"/>
    <w:rsid w:val="0079575C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06989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C46C6"/>
    <w:rsid w:val="00BD33EE"/>
    <w:rsid w:val="00BE2B86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411EF"/>
    <w:rsid w:val="00D5253A"/>
    <w:rsid w:val="00D62A45"/>
    <w:rsid w:val="00D90028"/>
    <w:rsid w:val="00D90138"/>
    <w:rsid w:val="00DC7C4C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6A884"/>
  <w15:docId w15:val="{6F757B4B-03EF-4581-B828-AC350B0A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15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E/C.12/2023/SR.44" TargetMode="External"/><Relationship Id="rId2" Type="http://schemas.openxmlformats.org/officeDocument/2006/relationships/hyperlink" Target="http://undocs.org/ru/E/C.12/2023/SR.42" TargetMode="External"/><Relationship Id="rId1" Type="http://schemas.openxmlformats.org/officeDocument/2006/relationships/hyperlink" Target="http://undocs.org/en/E/C.12/QAT/1" TargetMode="External"/><Relationship Id="rId5" Type="http://schemas.openxmlformats.org/officeDocument/2006/relationships/hyperlink" Target="https://www.ohchr.org/sites/default/files/2021-12/SCA-Report-October-2021_E.pdf" TargetMode="External"/><Relationship Id="rId4" Type="http://schemas.openxmlformats.org/officeDocument/2006/relationships/hyperlink" Target="http://undocs.org/en/E/C.12/QAT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12</Pages>
  <Words>4505</Words>
  <Characters>32083</Characters>
  <Application>Microsoft Office Word</Application>
  <DocSecurity>0</DocSecurity>
  <Lines>582</Lines>
  <Paragraphs>139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E/C.12/QAT/CO/1</vt:lpstr>
      <vt:lpstr>A/</vt:lpstr>
      <vt:lpstr>A/</vt:lpstr>
    </vt:vector>
  </TitlesOfParts>
  <Company>DCM</Company>
  <LinksUpToDate>false</LinksUpToDate>
  <CharactersWithSpaces>36547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E/C.12/QAT/CO/1</dc:title>
  <dc:subject/>
  <dc:creator>Anna KISSELEVA</dc:creator>
  <cp:keywords/>
  <cp:lastModifiedBy>Anna Kisseleva</cp:lastModifiedBy>
  <cp:revision>3</cp:revision>
  <cp:lastPrinted>2023-12-06T10:44:00Z</cp:lastPrinted>
  <dcterms:created xsi:type="dcterms:W3CDTF">2023-12-06T10:44:00Z</dcterms:created>
  <dcterms:modified xsi:type="dcterms:W3CDTF">2023-12-06T10:46:00Z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