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1CCA9A" w14:textId="77777777" w:rsidR="00483E94" w:rsidRPr="00FA3966" w:rsidRDefault="00A02B4C" w:rsidP="00483E94">
      <w:pPr>
        <w:spacing w:after="360"/>
        <w:jc w:val="right"/>
        <w:outlineLvl w:val="0"/>
        <w:rPr>
          <w:b/>
          <w:lang w:val="fr-FR"/>
        </w:rPr>
      </w:pPr>
      <w:hyperlink r:id="rId8" w:history="1">
        <w:r w:rsidRPr="00B86018">
          <w:rPr>
            <w:rStyle w:val="Lienhypertexte"/>
            <w:b/>
          </w:rPr>
          <w:t>E/2021/22</w:t>
        </w:r>
        <w:r w:rsidRPr="00B86018">
          <w:rPr>
            <w:rStyle w:val="Lienhypertexte"/>
            <w:b/>
          </w:rPr>
          <w:br/>
          <w:t>E/C.12/2020/3</w:t>
        </w:r>
      </w:hyperlink>
    </w:p>
    <w:p w14:paraId="319576AC" w14:textId="77777777" w:rsidR="00A02B4C" w:rsidRPr="00DC313C" w:rsidRDefault="00A02B4C" w:rsidP="00A02B4C">
      <w:pPr>
        <w:pStyle w:val="SLG"/>
        <w:spacing w:before="0" w:after="480"/>
      </w:pPr>
      <w:r w:rsidRPr="00DC313C">
        <w:t>Co</w:t>
      </w:r>
      <w:bookmarkStart w:id="0" w:name="_GoBack"/>
      <w:bookmarkEnd w:id="0"/>
      <w:r w:rsidRPr="00DC313C">
        <w:t>mité des droits</w:t>
      </w:r>
      <w:r w:rsidRPr="00DC313C">
        <w:br/>
        <w:t>économiques, sociaux</w:t>
      </w:r>
      <w:r w:rsidRPr="00DC313C">
        <w:br/>
        <w:t>et culturels</w:t>
      </w:r>
    </w:p>
    <w:p w14:paraId="4DF680B8" w14:textId="77777777" w:rsidR="00A02B4C" w:rsidRPr="00DC313C" w:rsidRDefault="00A02B4C" w:rsidP="00A02B4C">
      <w:pPr>
        <w:spacing w:after="480"/>
        <w:ind w:left="1134"/>
        <w:rPr>
          <w:b/>
          <w:sz w:val="36"/>
          <w:szCs w:val="36"/>
        </w:rPr>
      </w:pPr>
      <w:r w:rsidRPr="00DC313C">
        <w:rPr>
          <w:b/>
          <w:bCs/>
          <w:sz w:val="36"/>
          <w:szCs w:val="36"/>
        </w:rPr>
        <w:t>Rapport sur les soixante-</w:t>
      </w:r>
      <w:r>
        <w:rPr>
          <w:b/>
          <w:bCs/>
          <w:sz w:val="36"/>
          <w:szCs w:val="36"/>
        </w:rPr>
        <w:t>septième</w:t>
      </w:r>
      <w:r w:rsidRPr="00DC313C">
        <w:rPr>
          <w:b/>
          <w:sz w:val="36"/>
          <w:szCs w:val="36"/>
        </w:rPr>
        <w:br/>
        <w:t>et soixante-</w:t>
      </w:r>
      <w:r>
        <w:rPr>
          <w:b/>
          <w:sz w:val="36"/>
          <w:szCs w:val="36"/>
        </w:rPr>
        <w:t>huitième</w:t>
      </w:r>
      <w:r w:rsidRPr="00DC313C">
        <w:rPr>
          <w:b/>
          <w:sz w:val="36"/>
          <w:szCs w:val="36"/>
        </w:rPr>
        <w:t xml:space="preserve"> sessions</w:t>
      </w:r>
    </w:p>
    <w:p w14:paraId="04B503B1" w14:textId="77777777" w:rsidR="00A02B4C" w:rsidRPr="00DC313C" w:rsidRDefault="00A02B4C" w:rsidP="00A02B4C">
      <w:pPr>
        <w:spacing w:after="1680"/>
        <w:ind w:left="1134"/>
      </w:pPr>
      <w:r w:rsidRPr="00DC313C">
        <w:t>(1</w:t>
      </w:r>
      <w:r>
        <w:t>7</w:t>
      </w:r>
      <w:r w:rsidRPr="00DC313C">
        <w:t xml:space="preserve"> février-</w:t>
      </w:r>
      <w:r>
        <w:t>6</w:t>
      </w:r>
      <w:r w:rsidRPr="00DC313C">
        <w:t xml:space="preserve"> mars 20</w:t>
      </w:r>
      <w:r>
        <w:t>20</w:t>
      </w:r>
      <w:r w:rsidRPr="00DC313C">
        <w:t xml:space="preserve">, </w:t>
      </w:r>
      <w:r>
        <w:t>28</w:t>
      </w:r>
      <w:r w:rsidRPr="00DC313C">
        <w:t xml:space="preserve"> septembre-1</w:t>
      </w:r>
      <w:r>
        <w:t>6</w:t>
      </w:r>
      <w:r w:rsidRPr="00DC313C">
        <w:t xml:space="preserve"> octobre 20</w:t>
      </w:r>
      <w:r>
        <w:t>20</w:t>
      </w:r>
      <w:r w:rsidRPr="00DC313C">
        <w:t>)</w:t>
      </w:r>
    </w:p>
    <w:p w14:paraId="2F5B3F8B" w14:textId="77777777" w:rsidR="00A02B4C" w:rsidRPr="00DC313C" w:rsidRDefault="00A02B4C" w:rsidP="00A02B4C">
      <w:pPr>
        <w:spacing w:after="320"/>
        <w:ind w:left="1134"/>
        <w:rPr>
          <w:sz w:val="34"/>
          <w:szCs w:val="34"/>
        </w:rPr>
      </w:pPr>
      <w:r w:rsidRPr="00DC313C">
        <w:rPr>
          <w:sz w:val="34"/>
          <w:szCs w:val="34"/>
        </w:rPr>
        <w:t>Conseil économique et social</w:t>
      </w:r>
    </w:p>
    <w:p w14:paraId="5AA191B5" w14:textId="77777777" w:rsidR="00A02B4C" w:rsidRPr="00DC313C" w:rsidRDefault="00A02B4C" w:rsidP="00A02B4C">
      <w:pPr>
        <w:spacing w:after="720"/>
        <w:ind w:left="1134"/>
        <w:rPr>
          <w:sz w:val="22"/>
          <w:szCs w:val="22"/>
        </w:rPr>
      </w:pPr>
      <w:r w:rsidRPr="00DC313C">
        <w:rPr>
          <w:sz w:val="22"/>
          <w:szCs w:val="22"/>
        </w:rPr>
        <w:t>Documents officiels, 202</w:t>
      </w:r>
      <w:r>
        <w:rPr>
          <w:sz w:val="22"/>
          <w:szCs w:val="22"/>
        </w:rPr>
        <w:t>1</w:t>
      </w:r>
    </w:p>
    <w:p w14:paraId="035FC145" w14:textId="77777777" w:rsidR="00A02B4C" w:rsidRPr="00DC313C" w:rsidRDefault="00A02B4C" w:rsidP="00A02B4C">
      <w:pPr>
        <w:spacing w:after="960"/>
        <w:ind w:left="1138"/>
        <w:rPr>
          <w:b/>
          <w:sz w:val="40"/>
          <w:szCs w:val="40"/>
        </w:rPr>
      </w:pPr>
      <w:r w:rsidRPr="00DC313C">
        <w:rPr>
          <w:b/>
          <w:sz w:val="40"/>
          <w:szCs w:val="40"/>
        </w:rPr>
        <w:t>Sup</w:t>
      </w:r>
      <w:r>
        <w:rPr>
          <w:b/>
          <w:sz w:val="40"/>
          <w:szCs w:val="40"/>
        </w:rPr>
        <w:t xml:space="preserve">plément </w:t>
      </w:r>
      <w:r w:rsidRPr="00DC313C">
        <w:rPr>
          <w:rFonts w:eastAsia="MS Mincho"/>
          <w:b/>
          <w:sz w:val="40"/>
          <w:szCs w:val="22"/>
        </w:rPr>
        <w:t>n</w:t>
      </w:r>
      <w:r w:rsidRPr="00DC313C">
        <w:rPr>
          <w:rFonts w:eastAsia="MS Mincho"/>
          <w:b/>
          <w:sz w:val="40"/>
          <w:szCs w:val="22"/>
          <w:vertAlign w:val="superscript"/>
        </w:rPr>
        <w:t>o</w:t>
      </w:r>
      <w:r>
        <w:rPr>
          <w:b/>
          <w:sz w:val="40"/>
          <w:szCs w:val="40"/>
        </w:rPr>
        <w:t> </w:t>
      </w:r>
      <w:r w:rsidRPr="00DC313C">
        <w:rPr>
          <w:b/>
          <w:sz w:val="40"/>
          <w:szCs w:val="40"/>
        </w:rPr>
        <w:t>2</w:t>
      </w:r>
    </w:p>
    <w:p w14:paraId="0B8638DB" w14:textId="77777777" w:rsidR="00A02B4C" w:rsidRPr="00DC313C" w:rsidRDefault="00A02B4C" w:rsidP="00A02B4C">
      <w:pPr>
        <w:ind w:left="1134"/>
      </w:pPr>
      <w:r w:rsidRPr="00DC313C">
        <w:rPr>
          <w:noProof/>
          <w:lang w:eastAsia="zh-CN"/>
        </w:rPr>
        <w:drawing>
          <wp:inline distT="0" distB="0" distL="0" distR="0" wp14:anchorId="2F0DFDB4" wp14:editId="46CABEDA">
            <wp:extent cx="1069975" cy="1009015"/>
            <wp:effectExtent l="0" t="0" r="0" b="635"/>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l="-1123" t="-1595" r="-1123" b="-1595"/>
                    <a:stretch>
                      <a:fillRect/>
                    </a:stretch>
                  </pic:blipFill>
                  <pic:spPr bwMode="auto">
                    <a:xfrm>
                      <a:off x="0" y="0"/>
                      <a:ext cx="1069975" cy="1009015"/>
                    </a:xfrm>
                    <a:prstGeom prst="rect">
                      <a:avLst/>
                    </a:prstGeom>
                    <a:noFill/>
                    <a:ln>
                      <a:noFill/>
                    </a:ln>
                  </pic:spPr>
                </pic:pic>
              </a:graphicData>
            </a:graphic>
          </wp:inline>
        </w:drawing>
      </w:r>
    </w:p>
    <w:p w14:paraId="373FD34B" w14:textId="77777777" w:rsidR="00483E94" w:rsidRDefault="00A02B4C" w:rsidP="00A02B4C">
      <w:pPr>
        <w:ind w:left="1134" w:right="1134"/>
        <w:rPr>
          <w:b/>
          <w:sz w:val="28"/>
          <w:szCs w:val="28"/>
          <w:lang w:val="fr-FR"/>
        </w:rPr>
      </w:pPr>
      <w:r w:rsidRPr="00DC313C">
        <w:rPr>
          <w:b/>
          <w:sz w:val="36"/>
          <w:szCs w:val="36"/>
        </w:rPr>
        <w:t>Na</w:t>
      </w:r>
      <w:r>
        <w:rPr>
          <w:b/>
          <w:sz w:val="36"/>
          <w:szCs w:val="36"/>
        </w:rPr>
        <w:t>tions</w:t>
      </w:r>
      <w:r w:rsidRPr="00DC313C">
        <w:rPr>
          <w:b/>
          <w:sz w:val="36"/>
          <w:szCs w:val="36"/>
        </w:rPr>
        <w:t xml:space="preserve"> Uni</w:t>
      </w:r>
      <w:r>
        <w:rPr>
          <w:b/>
          <w:sz w:val="36"/>
          <w:szCs w:val="36"/>
        </w:rPr>
        <w:t>e</w:t>
      </w:r>
      <w:r w:rsidRPr="00DC313C">
        <w:rPr>
          <w:b/>
          <w:sz w:val="36"/>
          <w:szCs w:val="36"/>
        </w:rPr>
        <w:t>s</w:t>
      </w:r>
    </w:p>
    <w:p w14:paraId="2699C4C1" w14:textId="77777777" w:rsidR="00A02B4C" w:rsidRDefault="00A02B4C">
      <w:pPr>
        <w:suppressAutoHyphens w:val="0"/>
        <w:kinsoku/>
        <w:overflowPunct/>
        <w:autoSpaceDE/>
        <w:autoSpaceDN/>
        <w:adjustRightInd/>
        <w:snapToGrid/>
        <w:spacing w:line="240" w:lineRule="auto"/>
      </w:pPr>
    </w:p>
    <w:p w14:paraId="741DF827" w14:textId="77777777" w:rsidR="00A02B4C" w:rsidRDefault="00A02B4C" w:rsidP="00A02B4C">
      <w:pPr>
        <w:suppressAutoHyphens w:val="0"/>
        <w:spacing w:after="1200"/>
        <w:jc w:val="right"/>
        <w:sectPr w:rsidR="00A02B4C" w:rsidSect="00A02B4C">
          <w:footerReference w:type="first" r:id="rId10"/>
          <w:endnotePr>
            <w:numFmt w:val="decimal"/>
          </w:endnotePr>
          <w:type w:val="oddPage"/>
          <w:pgSz w:w="11907" w:h="16840" w:code="9"/>
          <w:pgMar w:top="1417" w:right="1134" w:bottom="1134" w:left="1134" w:header="850" w:footer="567" w:gutter="0"/>
          <w:cols w:space="720"/>
          <w:titlePg/>
          <w:docGrid w:linePitch="272"/>
        </w:sectPr>
      </w:pPr>
    </w:p>
    <w:p w14:paraId="3CC5DA6B" w14:textId="77777777" w:rsidR="00A02B4C" w:rsidRPr="00B86018" w:rsidRDefault="00A02B4C" w:rsidP="00A02B4C">
      <w:pPr>
        <w:suppressAutoHyphens w:val="0"/>
        <w:spacing w:after="1200"/>
        <w:jc w:val="right"/>
        <w:rPr>
          <w:rStyle w:val="Lienhypertexte"/>
          <w:b/>
        </w:rPr>
      </w:pPr>
      <w:hyperlink r:id="rId11" w:history="1">
        <w:r w:rsidRPr="00B86018">
          <w:rPr>
            <w:rStyle w:val="Lienhypertexte"/>
            <w:b/>
          </w:rPr>
          <w:t>E/2021/22</w:t>
        </w:r>
        <w:r w:rsidRPr="00B86018">
          <w:rPr>
            <w:rStyle w:val="Lienhypertexte"/>
            <w:b/>
          </w:rPr>
          <w:br/>
          <w:t>E/C.12/2020/3</w:t>
        </w:r>
      </w:hyperlink>
    </w:p>
    <w:p w14:paraId="0D59043B" w14:textId="77777777" w:rsidR="00A02B4C" w:rsidRPr="00057DC2" w:rsidRDefault="00A02B4C" w:rsidP="00A02B4C">
      <w:pPr>
        <w:pStyle w:val="SLG"/>
        <w:spacing w:before="0" w:after="480"/>
      </w:pPr>
      <w:r w:rsidRPr="00057DC2">
        <w:t>Comité des droits</w:t>
      </w:r>
      <w:r w:rsidRPr="00057DC2">
        <w:br/>
        <w:t>économiques, sociaux</w:t>
      </w:r>
      <w:r w:rsidRPr="00057DC2">
        <w:br/>
      </w:r>
      <w:r>
        <w:t>et culturel</w:t>
      </w:r>
      <w:r w:rsidRPr="00057DC2">
        <w:t>s</w:t>
      </w:r>
    </w:p>
    <w:p w14:paraId="2B03F83E" w14:textId="77777777" w:rsidR="00A02B4C" w:rsidRPr="00DC313C" w:rsidRDefault="00A02B4C" w:rsidP="00A02B4C">
      <w:pPr>
        <w:spacing w:after="480"/>
        <w:ind w:left="1134"/>
        <w:rPr>
          <w:b/>
          <w:sz w:val="36"/>
          <w:szCs w:val="36"/>
        </w:rPr>
      </w:pPr>
      <w:r w:rsidRPr="000D6ED5">
        <w:rPr>
          <w:b/>
          <w:bCs/>
          <w:sz w:val="36"/>
          <w:szCs w:val="36"/>
        </w:rPr>
        <w:t>Rapport sur les soixante-septième</w:t>
      </w:r>
      <w:r w:rsidRPr="000D6ED5">
        <w:rPr>
          <w:b/>
          <w:bCs/>
          <w:sz w:val="36"/>
          <w:szCs w:val="36"/>
        </w:rPr>
        <w:br/>
        <w:t>et soixante-huitième sessions</w:t>
      </w:r>
    </w:p>
    <w:p w14:paraId="52572DD3" w14:textId="77777777" w:rsidR="00A02B4C" w:rsidRPr="00DC313C" w:rsidRDefault="00A02B4C" w:rsidP="00A02B4C">
      <w:pPr>
        <w:spacing w:after="1680"/>
        <w:ind w:left="1134"/>
      </w:pPr>
      <w:r w:rsidRPr="00DC313C">
        <w:t>(</w:t>
      </w:r>
      <w:r>
        <w:rPr>
          <w:lang w:val="fr-FR"/>
        </w:rPr>
        <w:t>17 février-6 mars 2020, 28 septembre-16 octobre 2020</w:t>
      </w:r>
      <w:r w:rsidRPr="00DC313C">
        <w:t>)</w:t>
      </w:r>
    </w:p>
    <w:p w14:paraId="7585E68B" w14:textId="77777777" w:rsidR="00A02B4C" w:rsidRPr="00DC313C" w:rsidRDefault="00A02B4C" w:rsidP="00A02B4C">
      <w:pPr>
        <w:spacing w:after="320"/>
        <w:ind w:left="1134"/>
        <w:rPr>
          <w:sz w:val="34"/>
          <w:szCs w:val="34"/>
        </w:rPr>
      </w:pPr>
      <w:r w:rsidRPr="00DC313C">
        <w:rPr>
          <w:sz w:val="34"/>
          <w:szCs w:val="34"/>
        </w:rPr>
        <w:t>Conse</w:t>
      </w:r>
      <w:r>
        <w:rPr>
          <w:sz w:val="34"/>
          <w:szCs w:val="34"/>
        </w:rPr>
        <w:t>il économique et social</w:t>
      </w:r>
    </w:p>
    <w:p w14:paraId="2CEA5C1B" w14:textId="77777777" w:rsidR="00A02B4C" w:rsidRPr="00DC313C" w:rsidRDefault="00A02B4C" w:rsidP="00A02B4C">
      <w:pPr>
        <w:spacing w:after="720"/>
        <w:ind w:left="1134"/>
        <w:rPr>
          <w:sz w:val="22"/>
          <w:szCs w:val="22"/>
        </w:rPr>
      </w:pPr>
      <w:r w:rsidRPr="00DC313C">
        <w:rPr>
          <w:sz w:val="22"/>
          <w:szCs w:val="22"/>
        </w:rPr>
        <w:t>Document</w:t>
      </w:r>
      <w:r>
        <w:rPr>
          <w:sz w:val="22"/>
          <w:szCs w:val="22"/>
        </w:rPr>
        <w:t>s officiels</w:t>
      </w:r>
      <w:r w:rsidRPr="00DC313C">
        <w:rPr>
          <w:sz w:val="22"/>
          <w:szCs w:val="22"/>
        </w:rPr>
        <w:t>, 202</w:t>
      </w:r>
      <w:r>
        <w:rPr>
          <w:sz w:val="22"/>
          <w:szCs w:val="22"/>
        </w:rPr>
        <w:t>1</w:t>
      </w:r>
    </w:p>
    <w:p w14:paraId="35DC4A28" w14:textId="77777777" w:rsidR="00A02B4C" w:rsidRPr="00DC313C" w:rsidRDefault="00A02B4C" w:rsidP="00A02B4C">
      <w:pPr>
        <w:spacing w:after="960"/>
        <w:ind w:left="1140"/>
        <w:rPr>
          <w:b/>
          <w:sz w:val="40"/>
          <w:szCs w:val="40"/>
        </w:rPr>
      </w:pPr>
      <w:r w:rsidRPr="00DC313C">
        <w:rPr>
          <w:b/>
          <w:sz w:val="40"/>
          <w:szCs w:val="40"/>
        </w:rPr>
        <w:t>Sup</w:t>
      </w:r>
      <w:r>
        <w:rPr>
          <w:b/>
          <w:sz w:val="40"/>
          <w:szCs w:val="40"/>
        </w:rPr>
        <w:t xml:space="preserve">plément </w:t>
      </w:r>
      <w:r w:rsidRPr="00B242E3">
        <w:rPr>
          <w:rFonts w:eastAsia="MS Mincho"/>
          <w:b/>
          <w:sz w:val="40"/>
          <w:szCs w:val="22"/>
        </w:rPr>
        <w:t>n</w:t>
      </w:r>
      <w:r w:rsidRPr="00B242E3">
        <w:rPr>
          <w:rFonts w:eastAsia="MS Mincho"/>
          <w:b/>
          <w:sz w:val="40"/>
          <w:szCs w:val="22"/>
          <w:vertAlign w:val="superscript"/>
        </w:rPr>
        <w:t>o</w:t>
      </w:r>
      <w:r>
        <w:rPr>
          <w:b/>
          <w:sz w:val="40"/>
          <w:szCs w:val="40"/>
        </w:rPr>
        <w:t> </w:t>
      </w:r>
      <w:r w:rsidRPr="00DC313C">
        <w:rPr>
          <w:b/>
          <w:sz w:val="40"/>
          <w:szCs w:val="40"/>
        </w:rPr>
        <w:t>2</w:t>
      </w:r>
    </w:p>
    <w:p w14:paraId="5F15ABE8" w14:textId="77777777" w:rsidR="00A02B4C" w:rsidRPr="00DC313C" w:rsidRDefault="00A02B4C" w:rsidP="00A02B4C">
      <w:pPr>
        <w:ind w:left="1134"/>
      </w:pPr>
      <w:r w:rsidRPr="00DC313C">
        <w:rPr>
          <w:noProof/>
          <w:lang w:eastAsia="zh-CN"/>
        </w:rPr>
        <w:drawing>
          <wp:inline distT="0" distB="0" distL="0" distR="0" wp14:anchorId="68D94B55" wp14:editId="732BF8EE">
            <wp:extent cx="1069975" cy="1009015"/>
            <wp:effectExtent l="0" t="0" r="0" b="635"/>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l="-1123" t="-1595" r="-1123" b="-1595"/>
                    <a:stretch>
                      <a:fillRect/>
                    </a:stretch>
                  </pic:blipFill>
                  <pic:spPr bwMode="auto">
                    <a:xfrm>
                      <a:off x="0" y="0"/>
                      <a:ext cx="1069975" cy="1009015"/>
                    </a:xfrm>
                    <a:prstGeom prst="rect">
                      <a:avLst/>
                    </a:prstGeom>
                    <a:noFill/>
                    <a:ln>
                      <a:noFill/>
                    </a:ln>
                  </pic:spPr>
                </pic:pic>
              </a:graphicData>
            </a:graphic>
          </wp:inline>
        </w:drawing>
      </w:r>
    </w:p>
    <w:p w14:paraId="5D70D924" w14:textId="77777777" w:rsidR="00A02B4C" w:rsidRPr="00DC313C" w:rsidRDefault="00A02B4C" w:rsidP="00A02B4C">
      <w:pPr>
        <w:ind w:left="1134"/>
        <w:rPr>
          <w:b/>
          <w:sz w:val="36"/>
          <w:szCs w:val="36"/>
        </w:rPr>
      </w:pPr>
      <w:r w:rsidRPr="00DC313C">
        <w:rPr>
          <w:b/>
          <w:sz w:val="36"/>
          <w:szCs w:val="36"/>
        </w:rPr>
        <w:t>Na</w:t>
      </w:r>
      <w:r>
        <w:rPr>
          <w:b/>
          <w:sz w:val="36"/>
          <w:szCs w:val="36"/>
        </w:rPr>
        <w:t>tions</w:t>
      </w:r>
      <w:r w:rsidRPr="00DC313C">
        <w:rPr>
          <w:b/>
          <w:sz w:val="36"/>
          <w:szCs w:val="36"/>
        </w:rPr>
        <w:t xml:space="preserve"> Uni</w:t>
      </w:r>
      <w:r>
        <w:rPr>
          <w:b/>
          <w:sz w:val="36"/>
          <w:szCs w:val="36"/>
        </w:rPr>
        <w:t>e</w:t>
      </w:r>
      <w:r w:rsidRPr="00DC313C">
        <w:rPr>
          <w:b/>
          <w:sz w:val="36"/>
          <w:szCs w:val="36"/>
        </w:rPr>
        <w:t>s</w:t>
      </w:r>
    </w:p>
    <w:p w14:paraId="4D472F91" w14:textId="77777777" w:rsidR="00E6322D" w:rsidRDefault="00A02B4C" w:rsidP="00A02B4C">
      <w:pPr>
        <w:ind w:left="1134"/>
        <w:rPr>
          <w:b/>
          <w:sz w:val="24"/>
          <w:szCs w:val="24"/>
        </w:rPr>
      </w:pPr>
      <w:r w:rsidRPr="00DC313C">
        <w:rPr>
          <w:b/>
          <w:sz w:val="24"/>
          <w:szCs w:val="24"/>
        </w:rPr>
        <w:t>Ne</w:t>
      </w:r>
      <w:r>
        <w:rPr>
          <w:b/>
          <w:sz w:val="24"/>
          <w:szCs w:val="24"/>
        </w:rPr>
        <w:t>w</w:t>
      </w:r>
      <w:r w:rsidRPr="00DC313C">
        <w:rPr>
          <w:b/>
          <w:sz w:val="24"/>
          <w:szCs w:val="24"/>
        </w:rPr>
        <w:t xml:space="preserve"> York </w:t>
      </w:r>
      <w:r>
        <w:rPr>
          <w:b/>
          <w:sz w:val="24"/>
          <w:szCs w:val="24"/>
        </w:rPr>
        <w:t>et Genève</w:t>
      </w:r>
      <w:r w:rsidRPr="00DC313C">
        <w:rPr>
          <w:b/>
          <w:sz w:val="24"/>
          <w:szCs w:val="24"/>
        </w:rPr>
        <w:t>, 202</w:t>
      </w:r>
      <w:r>
        <w:rPr>
          <w:b/>
          <w:sz w:val="24"/>
          <w:szCs w:val="24"/>
        </w:rPr>
        <w:t>1</w:t>
      </w:r>
    </w:p>
    <w:p w14:paraId="3EF8A052" w14:textId="77777777" w:rsidR="00E6322D" w:rsidRDefault="00E6322D">
      <w:pPr>
        <w:suppressAutoHyphens w:val="0"/>
        <w:kinsoku/>
        <w:overflowPunct/>
        <w:autoSpaceDE/>
        <w:autoSpaceDN/>
        <w:adjustRightInd/>
        <w:snapToGrid/>
        <w:spacing w:line="240" w:lineRule="auto"/>
        <w:rPr>
          <w:b/>
          <w:sz w:val="24"/>
          <w:szCs w:val="24"/>
        </w:rPr>
      </w:pPr>
      <w:r>
        <w:rPr>
          <w:b/>
          <w:sz w:val="24"/>
          <w:szCs w:val="24"/>
        </w:rPr>
        <w:br w:type="page"/>
      </w:r>
    </w:p>
    <w:p w14:paraId="632B510A" w14:textId="77777777" w:rsidR="00A02B4C" w:rsidRPr="00DC313C" w:rsidRDefault="00A02B4C" w:rsidP="00A02B4C">
      <w:pPr>
        <w:ind w:left="1134"/>
        <w:rPr>
          <w:b/>
          <w:sz w:val="24"/>
          <w:szCs w:val="24"/>
        </w:rPr>
      </w:pPr>
    </w:p>
    <w:p w14:paraId="0FD0D204" w14:textId="77777777" w:rsidR="00A02B4C" w:rsidRPr="00DC313C" w:rsidRDefault="00A02B4C" w:rsidP="00A02B4C">
      <w:pPr>
        <w:pStyle w:val="SingleTxtG"/>
        <w:spacing w:before="4800"/>
        <w:rPr>
          <w:i/>
        </w:rPr>
      </w:pPr>
      <w:r w:rsidRPr="00DC313C">
        <w:rPr>
          <w:i/>
        </w:rPr>
        <w:t>Not</w:t>
      </w:r>
      <w:r>
        <w:rPr>
          <w:i/>
        </w:rPr>
        <w:t>e</w:t>
      </w:r>
    </w:p>
    <w:p w14:paraId="59158DB6" w14:textId="77777777" w:rsidR="00A02B4C" w:rsidRPr="00DC313C" w:rsidRDefault="00A02B4C" w:rsidP="00A02B4C">
      <w:pPr>
        <w:pStyle w:val="SingleTxtG"/>
        <w:ind w:firstLine="567"/>
      </w:pPr>
      <w:r>
        <w:rPr>
          <w:lang w:val="fr-FR"/>
        </w:rPr>
        <w:t xml:space="preserve">Les cotes des documents de l’Organisation des Nations Unies se composent de lettres majuscules et de chiffres. </w:t>
      </w:r>
      <w:r w:rsidRPr="00A21FFC">
        <w:rPr>
          <w:lang w:val="fr-FR"/>
        </w:rPr>
        <w:t>La simple mention d</w:t>
      </w:r>
      <w:r>
        <w:rPr>
          <w:lang w:val="fr-FR"/>
        </w:rPr>
        <w:t>’</w:t>
      </w:r>
      <w:r w:rsidRPr="00A21FFC">
        <w:rPr>
          <w:lang w:val="fr-FR"/>
        </w:rPr>
        <w:t>une cote dans un texte signifie qu</w:t>
      </w:r>
      <w:r>
        <w:rPr>
          <w:lang w:val="fr-FR"/>
        </w:rPr>
        <w:t>’</w:t>
      </w:r>
      <w:r w:rsidRPr="00A21FFC">
        <w:rPr>
          <w:lang w:val="fr-FR"/>
        </w:rPr>
        <w:t>il s</w:t>
      </w:r>
      <w:r>
        <w:rPr>
          <w:lang w:val="fr-FR"/>
        </w:rPr>
        <w:t>’</w:t>
      </w:r>
      <w:r w:rsidRPr="00A21FFC">
        <w:rPr>
          <w:lang w:val="fr-FR"/>
        </w:rPr>
        <w:t>agit d</w:t>
      </w:r>
      <w:r>
        <w:rPr>
          <w:lang w:val="fr-FR"/>
        </w:rPr>
        <w:t>’</w:t>
      </w:r>
      <w:r w:rsidRPr="00A21FFC">
        <w:rPr>
          <w:lang w:val="fr-FR"/>
        </w:rPr>
        <w:t>un document de l</w:t>
      </w:r>
      <w:r>
        <w:rPr>
          <w:lang w:val="fr-FR"/>
        </w:rPr>
        <w:t>’</w:t>
      </w:r>
      <w:r w:rsidRPr="00A21FFC">
        <w:rPr>
          <w:lang w:val="fr-FR"/>
        </w:rPr>
        <w:t>Organisation</w:t>
      </w:r>
      <w:r>
        <w:rPr>
          <w:lang w:val="fr-FR"/>
        </w:rPr>
        <w:t>.</w:t>
      </w:r>
    </w:p>
    <w:p w14:paraId="2AEA6A0B" w14:textId="77777777" w:rsidR="00A02B4C" w:rsidRPr="00DC313C" w:rsidRDefault="00A02B4C" w:rsidP="00A02B4C">
      <w:pPr>
        <w:pStyle w:val="SingleTxtG"/>
      </w:pPr>
    </w:p>
    <w:p w14:paraId="7DF2E330" w14:textId="77777777" w:rsidR="00A02B4C" w:rsidRPr="00DC313C" w:rsidRDefault="00A02B4C" w:rsidP="00A02B4C">
      <w:pPr>
        <w:pStyle w:val="SingleTxtG"/>
      </w:pPr>
      <w:r w:rsidRPr="00DC313C">
        <w:rPr>
          <w:noProof/>
          <w:lang w:eastAsia="zh-CN"/>
        </w:rPr>
        <mc:AlternateContent>
          <mc:Choice Requires="wps">
            <w:drawing>
              <wp:anchor distT="0" distB="0" distL="114300" distR="114300" simplePos="0" relativeHeight="251659264" behindDoc="0" locked="0" layoutInCell="1" allowOverlap="1" wp14:anchorId="1A5CB181" wp14:editId="71125F27">
                <wp:simplePos x="0" y="0"/>
                <wp:positionH relativeFrom="column">
                  <wp:posOffset>2327910</wp:posOffset>
                </wp:positionH>
                <wp:positionV relativeFrom="paragraph">
                  <wp:posOffset>93980</wp:posOffset>
                </wp:positionV>
                <wp:extent cx="1974215" cy="454025"/>
                <wp:effectExtent l="0" t="0" r="26035" b="22225"/>
                <wp:wrapNone/>
                <wp:docPr id="10"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4215" cy="454025"/>
                        </a:xfrm>
                        <a:prstGeom prst="rect">
                          <a:avLst/>
                        </a:prstGeom>
                        <a:solidFill>
                          <a:srgbClr val="FFFFFF"/>
                        </a:solidFill>
                        <a:ln w="6350">
                          <a:solidFill>
                            <a:srgbClr val="000000"/>
                          </a:solidFill>
                          <a:miter lim="800000"/>
                          <a:headEnd/>
                          <a:tailEnd/>
                        </a:ln>
                      </wps:spPr>
                      <wps:txbx>
                        <w:txbxContent>
                          <w:p w14:paraId="38A155BC" w14:textId="77777777" w:rsidR="00A02B4C" w:rsidRPr="00B86018" w:rsidRDefault="00A02B4C" w:rsidP="00A02B4C">
                            <w:pPr>
                              <w:suppressAutoHyphens w:val="0"/>
                              <w:spacing w:after="1200"/>
                              <w:jc w:val="center"/>
                              <w:rPr>
                                <w:rStyle w:val="Lienhypertexte"/>
                              </w:rPr>
                            </w:pPr>
                            <w:hyperlink r:id="rId12" w:history="1">
                              <w:r w:rsidRPr="00B86018">
                                <w:rPr>
                                  <w:rStyle w:val="Lienhypertexte"/>
                                  <w:lang w:val="es-ES"/>
                                </w:rPr>
                                <w:t>E/2021/22</w:t>
                              </w:r>
                              <w:r w:rsidRPr="00B86018">
                                <w:rPr>
                                  <w:rStyle w:val="Lienhypertexte"/>
                                  <w:lang w:val="es-ES"/>
                                </w:rPr>
                                <w:br/>
                                <w:t>E/C.12/2020/3</w:t>
                              </w:r>
                            </w:hyperlink>
                          </w:p>
                          <w:p w14:paraId="2062EBC9" w14:textId="77777777" w:rsidR="00A02B4C" w:rsidRPr="00635FA3" w:rsidRDefault="00A02B4C" w:rsidP="00A02B4C">
                            <w:pPr>
                              <w:suppressAutoHyphens w:val="0"/>
                              <w:spacing w:after="1200"/>
                              <w:jc w:val="center"/>
                              <w:rPr>
                                <w:b/>
                                <w:lang w:val="es-ES"/>
                              </w:rPr>
                            </w:pPr>
                            <w:r w:rsidRPr="00635FA3">
                              <w:rPr>
                                <w:rStyle w:val="Lienhypertexte"/>
                                <w:b/>
                                <w:lang w:val="es-ES"/>
                              </w:rPr>
                              <w:t>E/2020/22</w:t>
                            </w:r>
                            <w:r w:rsidRPr="00635FA3">
                              <w:rPr>
                                <w:b/>
                                <w:lang w:val="es-ES"/>
                              </w:rPr>
                              <w:br/>
                            </w:r>
                            <w:hyperlink r:id="rId13" w:history="1">
                              <w:r w:rsidRPr="00635FA3">
                                <w:rPr>
                                  <w:rStyle w:val="Lienhypertexte"/>
                                  <w:b/>
                                  <w:lang w:val="es-ES"/>
                                </w:rPr>
                                <w:t>E/C.12/2019/3</w:t>
                              </w:r>
                            </w:hyperlink>
                          </w:p>
                          <w:p w14:paraId="0DFC335F" w14:textId="77777777" w:rsidR="00A02B4C" w:rsidRPr="00D0298C" w:rsidRDefault="00A02B4C" w:rsidP="00A02B4C">
                            <w:pPr>
                              <w:spacing w:line="240" w:lineRule="auto"/>
                              <w:jc w:val="center"/>
                              <w:rPr>
                                <w:rFonts w:ascii="Tms Rmn" w:hAnsi="Tms Rmn"/>
                                <w:lang w:val="fr-FR" w:eastAsia="fr-F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5CB181" id="Rectangle 3" o:spid="_x0000_s1026" style="position:absolute;left:0;text-align:left;margin-left:183.3pt;margin-top:7.4pt;width:155.45pt;height:3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" strokeweight=".5pt">
                <v:textbox>
                  <w:txbxContent>
                    <w:p w14:paraId="38A155BC" w14:textId="77777777" w:rsidR="00A02B4C" w:rsidRPr="00B86018" w:rsidRDefault="00A02B4C" w:rsidP="00A02B4C">
                      <w:pPr>
                        <w:suppressAutoHyphens w:val="0"/>
                        <w:spacing w:after="1200"/>
                        <w:jc w:val="center"/>
                        <w:rPr>
                          <w:rStyle w:val="Lienhypertexte"/>
                        </w:rPr>
                      </w:pPr>
                      <w:hyperlink r:id="rId14" w:history="1">
                        <w:r w:rsidRPr="00B86018">
                          <w:rPr>
                            <w:rStyle w:val="Lienhypertexte"/>
                            <w:lang w:val="es-ES"/>
                          </w:rPr>
                          <w:t>E/2021/22</w:t>
                        </w:r>
                        <w:r w:rsidRPr="00B86018">
                          <w:rPr>
                            <w:rStyle w:val="Lienhypertexte"/>
                            <w:lang w:val="es-ES"/>
                          </w:rPr>
                          <w:br/>
                          <w:t>E/C.12/2020/3</w:t>
                        </w:r>
                      </w:hyperlink>
                    </w:p>
                    <w:p w14:paraId="2062EBC9" w14:textId="77777777" w:rsidR="00A02B4C" w:rsidRPr="00635FA3" w:rsidRDefault="00A02B4C" w:rsidP="00A02B4C">
                      <w:pPr>
                        <w:suppressAutoHyphens w:val="0"/>
                        <w:spacing w:after="1200"/>
                        <w:jc w:val="center"/>
                        <w:rPr>
                          <w:b/>
                          <w:lang w:val="es-ES"/>
                        </w:rPr>
                      </w:pPr>
                      <w:r w:rsidRPr="00635FA3">
                        <w:rPr>
                          <w:rStyle w:val="Lienhypertexte"/>
                          <w:b/>
                          <w:lang w:val="es-ES"/>
                        </w:rPr>
                        <w:t>E/2020/22</w:t>
                      </w:r>
                      <w:r w:rsidRPr="00635FA3">
                        <w:rPr>
                          <w:b/>
                          <w:lang w:val="es-ES"/>
                        </w:rPr>
                        <w:br/>
                      </w:r>
                      <w:hyperlink r:id="rId15" w:history="1">
                        <w:r w:rsidRPr="00635FA3">
                          <w:rPr>
                            <w:rStyle w:val="Lienhypertexte"/>
                            <w:b/>
                            <w:lang w:val="es-ES"/>
                          </w:rPr>
                          <w:t>E/C.12/2019/3</w:t>
                        </w:r>
                      </w:hyperlink>
                    </w:p>
                    <w:p w14:paraId="0DFC335F" w14:textId="77777777" w:rsidR="00A02B4C" w:rsidRPr="00D0298C" w:rsidRDefault="00A02B4C" w:rsidP="00A02B4C">
                      <w:pPr>
                        <w:spacing w:line="240" w:lineRule="auto"/>
                        <w:jc w:val="center"/>
                        <w:rPr>
                          <w:rFonts w:ascii="Tms Rmn" w:hAnsi="Tms Rmn"/>
                          <w:lang w:val="fr-FR" w:eastAsia="fr-FR"/>
                        </w:rPr>
                      </w:pPr>
                    </w:p>
                  </w:txbxContent>
                </v:textbox>
              </v:rect>
            </w:pict>
          </mc:Fallback>
        </mc:AlternateContent>
      </w:r>
    </w:p>
    <w:p w14:paraId="6A02954E" w14:textId="77777777" w:rsidR="00A02B4C" w:rsidRPr="00DC313C" w:rsidRDefault="00A02B4C" w:rsidP="00A02B4C">
      <w:pPr>
        <w:pStyle w:val="SingleTxtG"/>
      </w:pPr>
    </w:p>
    <w:p w14:paraId="0026CEB2" w14:textId="77777777" w:rsidR="00541BE4" w:rsidRPr="00A02B4C" w:rsidRDefault="00541BE4" w:rsidP="00A02B4C">
      <w:pPr>
        <w:spacing w:before="4800" w:after="120"/>
        <w:ind w:left="1134"/>
      </w:pPr>
    </w:p>
    <w:p w14:paraId="6BD431B7" w14:textId="77777777" w:rsidR="00541BE4" w:rsidRDefault="00541BE4" w:rsidP="00C451B9">
      <w:pPr>
        <w:sectPr w:rsidR="00541BE4" w:rsidSect="00A02B4C">
          <w:headerReference w:type="default" r:id="rId16"/>
          <w:footerReference w:type="default" r:id="rId17"/>
          <w:headerReference w:type="first" r:id="rId18"/>
          <w:footerReference w:type="first" r:id="rId19"/>
          <w:endnotePr>
            <w:numFmt w:val="decimal"/>
          </w:endnotePr>
          <w:type w:val="oddPage"/>
          <w:pgSz w:w="11907" w:h="16840" w:code="9"/>
          <w:pgMar w:top="1417" w:right="1134" w:bottom="1134" w:left="1134" w:header="850" w:footer="567" w:gutter="0"/>
          <w:cols w:space="720"/>
          <w:titlePg/>
          <w:docGrid w:linePitch="272"/>
        </w:sectPr>
      </w:pPr>
    </w:p>
    <w:p w14:paraId="46843C62" w14:textId="77777777" w:rsidR="00EF7D1D" w:rsidRPr="00FA3966" w:rsidRDefault="00EF7D1D" w:rsidP="00EF7D1D">
      <w:pPr>
        <w:spacing w:after="120"/>
        <w:rPr>
          <w:sz w:val="28"/>
          <w:lang w:val="fr-FR"/>
        </w:rPr>
      </w:pPr>
      <w:r w:rsidRPr="00FA3966">
        <w:rPr>
          <w:sz w:val="28"/>
          <w:lang w:val="fr-FR"/>
        </w:rPr>
        <w:lastRenderedPageBreak/>
        <w:t>Table des matières</w:t>
      </w:r>
    </w:p>
    <w:p w14:paraId="5A0D4A0D" w14:textId="77777777" w:rsidR="00A02B4C" w:rsidRPr="003F47BC" w:rsidRDefault="00A02B4C" w:rsidP="00A02B4C">
      <w:pPr>
        <w:tabs>
          <w:tab w:val="right" w:pos="9638"/>
        </w:tabs>
        <w:spacing w:after="120"/>
        <w:ind w:left="283"/>
        <w:rPr>
          <w:i/>
          <w:sz w:val="18"/>
        </w:rPr>
      </w:pPr>
      <w:r w:rsidRPr="003F47BC">
        <w:rPr>
          <w:i/>
          <w:sz w:val="18"/>
        </w:rPr>
        <w:t>Chapitre</w:t>
      </w:r>
      <w:r w:rsidRPr="003F47BC">
        <w:rPr>
          <w:i/>
          <w:sz w:val="18"/>
        </w:rPr>
        <w:tab/>
        <w:t>Page</w:t>
      </w:r>
    </w:p>
    <w:p w14:paraId="45DAED2D" w14:textId="1642DE96" w:rsidR="00A13520" w:rsidRPr="003F47BC" w:rsidRDefault="00A13520" w:rsidP="00A13520">
      <w:pPr>
        <w:tabs>
          <w:tab w:val="right" w:pos="850"/>
          <w:tab w:val="right" w:leader="dot" w:pos="8787"/>
          <w:tab w:val="right" w:pos="9638"/>
        </w:tabs>
        <w:spacing w:after="120"/>
        <w:ind w:left="1134" w:hanging="1134"/>
      </w:pPr>
      <w:r>
        <w:tab/>
      </w:r>
      <w:r w:rsidRPr="003F47BC">
        <w:t>I.</w:t>
      </w:r>
      <w:r w:rsidRPr="003F47BC">
        <w:tab/>
      </w:r>
      <w:r>
        <w:rPr>
          <w:bCs/>
          <w:lang w:val="fr-FR"/>
        </w:rPr>
        <w:t>Questions d’organisation et questions diverses</w:t>
      </w:r>
      <w:r w:rsidRPr="003F47BC">
        <w:tab/>
      </w:r>
      <w:r>
        <w:tab/>
        <w:t>1</w:t>
      </w:r>
    </w:p>
    <w:p w14:paraId="7AC9C437" w14:textId="77777777" w:rsidR="00A13520" w:rsidRDefault="00A13520" w:rsidP="00A13520">
      <w:pPr>
        <w:tabs>
          <w:tab w:val="right" w:leader="dot" w:pos="8787"/>
          <w:tab w:val="right" w:pos="9638"/>
        </w:tabs>
        <w:spacing w:after="120"/>
        <w:ind w:left="1559" w:hanging="425"/>
      </w:pPr>
      <w:r w:rsidRPr="00471BB2">
        <w:t>A.</w:t>
      </w:r>
      <w:r w:rsidRPr="00471BB2">
        <w:tab/>
      </w:r>
      <w:r>
        <w:rPr>
          <w:lang w:val="fr-FR"/>
        </w:rPr>
        <w:t xml:space="preserve">États </w:t>
      </w:r>
      <w:r w:rsidRPr="003B53EF">
        <w:t>parties</w:t>
      </w:r>
      <w:r>
        <w:rPr>
          <w:lang w:val="fr-FR"/>
        </w:rPr>
        <w:t xml:space="preserve"> au Pacte international relatif aux droits économiques, sociaux et culturels </w:t>
      </w:r>
      <w:r>
        <w:rPr>
          <w:lang w:val="fr-FR"/>
        </w:rPr>
        <w:br/>
        <w:t>et au Protocole facultatif s’y rapportant</w:t>
      </w:r>
      <w:r w:rsidRPr="00471BB2">
        <w:tab/>
      </w:r>
      <w:r>
        <w:tab/>
        <w:t>1</w:t>
      </w:r>
    </w:p>
    <w:p w14:paraId="29796F43" w14:textId="77777777" w:rsidR="00A13520" w:rsidRDefault="00A13520" w:rsidP="00A13520">
      <w:pPr>
        <w:tabs>
          <w:tab w:val="right" w:leader="dot" w:pos="8787"/>
          <w:tab w:val="right" w:pos="9638"/>
        </w:tabs>
        <w:spacing w:after="120"/>
        <w:ind w:left="1559" w:hanging="425"/>
        <w:rPr>
          <w:bCs/>
          <w:lang w:val="fr-FR"/>
        </w:rPr>
      </w:pPr>
      <w:r>
        <w:t>B.</w:t>
      </w:r>
      <w:r>
        <w:tab/>
      </w:r>
      <w:r>
        <w:rPr>
          <w:bCs/>
          <w:lang w:val="fr-FR"/>
        </w:rPr>
        <w:t>Sessions et ordres du jour</w:t>
      </w:r>
      <w:r>
        <w:rPr>
          <w:bCs/>
          <w:lang w:val="fr-FR"/>
        </w:rPr>
        <w:tab/>
      </w:r>
      <w:r>
        <w:rPr>
          <w:bCs/>
          <w:lang w:val="fr-FR"/>
        </w:rPr>
        <w:tab/>
        <w:t>1</w:t>
      </w:r>
    </w:p>
    <w:p w14:paraId="32AE2BCA" w14:textId="77777777" w:rsidR="00A13520" w:rsidRDefault="00A13520" w:rsidP="00A13520">
      <w:pPr>
        <w:tabs>
          <w:tab w:val="right" w:leader="dot" w:pos="8787"/>
          <w:tab w:val="right" w:pos="9638"/>
        </w:tabs>
        <w:spacing w:after="120"/>
        <w:ind w:left="1559" w:hanging="425"/>
        <w:rPr>
          <w:bCs/>
          <w:lang w:val="fr-FR"/>
        </w:rPr>
      </w:pPr>
      <w:r>
        <w:rPr>
          <w:bCs/>
          <w:lang w:val="fr-FR"/>
        </w:rPr>
        <w:t>C.</w:t>
      </w:r>
      <w:r>
        <w:rPr>
          <w:bCs/>
          <w:lang w:val="fr-FR"/>
        </w:rPr>
        <w:tab/>
        <w:t>Composition du Comité et participation</w:t>
      </w:r>
      <w:r>
        <w:rPr>
          <w:bCs/>
          <w:lang w:val="fr-FR"/>
        </w:rPr>
        <w:tab/>
      </w:r>
      <w:r>
        <w:rPr>
          <w:bCs/>
          <w:lang w:val="fr-FR"/>
        </w:rPr>
        <w:tab/>
        <w:t>1</w:t>
      </w:r>
    </w:p>
    <w:p w14:paraId="5ED2C50A" w14:textId="77777777" w:rsidR="00A13520" w:rsidRDefault="00A13520" w:rsidP="00A13520">
      <w:pPr>
        <w:tabs>
          <w:tab w:val="right" w:leader="dot" w:pos="8787"/>
          <w:tab w:val="right" w:pos="9638"/>
        </w:tabs>
        <w:spacing w:after="120"/>
        <w:ind w:left="1559" w:hanging="425"/>
        <w:rPr>
          <w:bCs/>
          <w:lang w:val="fr-FR"/>
        </w:rPr>
      </w:pPr>
      <w:r>
        <w:rPr>
          <w:bCs/>
          <w:lang w:val="fr-FR"/>
        </w:rPr>
        <w:t>D.</w:t>
      </w:r>
      <w:r>
        <w:rPr>
          <w:bCs/>
          <w:lang w:val="fr-FR"/>
        </w:rPr>
        <w:tab/>
        <w:t>Élection des remplaçants des membres du Bureau</w:t>
      </w:r>
      <w:r>
        <w:rPr>
          <w:bCs/>
          <w:lang w:val="fr-FR"/>
        </w:rPr>
        <w:tab/>
      </w:r>
      <w:r>
        <w:rPr>
          <w:bCs/>
          <w:lang w:val="fr-FR"/>
        </w:rPr>
        <w:tab/>
        <w:t>1</w:t>
      </w:r>
    </w:p>
    <w:p w14:paraId="56DDF69C" w14:textId="77777777" w:rsidR="00A13520" w:rsidRDefault="00A13520" w:rsidP="00A13520">
      <w:pPr>
        <w:tabs>
          <w:tab w:val="right" w:leader="dot" w:pos="8787"/>
          <w:tab w:val="right" w:pos="9638"/>
        </w:tabs>
        <w:spacing w:after="120"/>
        <w:ind w:left="1559" w:hanging="425"/>
        <w:rPr>
          <w:bCs/>
          <w:lang w:val="fr-FR"/>
        </w:rPr>
      </w:pPr>
      <w:r>
        <w:rPr>
          <w:bCs/>
          <w:lang w:val="fr-FR"/>
        </w:rPr>
        <w:t>E.</w:t>
      </w:r>
      <w:r>
        <w:rPr>
          <w:bCs/>
          <w:lang w:val="fr-FR"/>
        </w:rPr>
        <w:tab/>
        <w:t>Groupe de travail de présession</w:t>
      </w:r>
      <w:r>
        <w:rPr>
          <w:bCs/>
          <w:lang w:val="fr-FR"/>
        </w:rPr>
        <w:tab/>
      </w:r>
      <w:r>
        <w:rPr>
          <w:bCs/>
          <w:lang w:val="fr-FR"/>
        </w:rPr>
        <w:tab/>
        <w:t>2</w:t>
      </w:r>
    </w:p>
    <w:p w14:paraId="1C4AA0AE" w14:textId="77777777" w:rsidR="00A13520" w:rsidRDefault="00A13520" w:rsidP="00A13520">
      <w:pPr>
        <w:tabs>
          <w:tab w:val="right" w:leader="dot" w:pos="8787"/>
          <w:tab w:val="right" w:pos="9638"/>
        </w:tabs>
        <w:spacing w:after="120"/>
        <w:ind w:left="1559" w:hanging="425"/>
        <w:rPr>
          <w:bCs/>
          <w:lang w:val="fr-FR"/>
        </w:rPr>
      </w:pPr>
      <w:r>
        <w:rPr>
          <w:bCs/>
          <w:lang w:val="fr-FR"/>
        </w:rPr>
        <w:t>F.</w:t>
      </w:r>
      <w:r>
        <w:rPr>
          <w:bCs/>
          <w:lang w:val="fr-FR"/>
        </w:rPr>
        <w:tab/>
        <w:t>Organisation des travaux</w:t>
      </w:r>
      <w:r>
        <w:rPr>
          <w:bCs/>
          <w:lang w:val="fr-FR"/>
        </w:rPr>
        <w:tab/>
      </w:r>
      <w:r>
        <w:rPr>
          <w:bCs/>
          <w:lang w:val="fr-FR"/>
        </w:rPr>
        <w:tab/>
        <w:t>2</w:t>
      </w:r>
    </w:p>
    <w:p w14:paraId="7602FD2A" w14:textId="77777777" w:rsidR="00A13520" w:rsidRDefault="00A13520" w:rsidP="00A13520">
      <w:pPr>
        <w:tabs>
          <w:tab w:val="right" w:leader="dot" w:pos="8787"/>
          <w:tab w:val="right" w:pos="9638"/>
        </w:tabs>
        <w:spacing w:after="120"/>
        <w:ind w:left="1559" w:hanging="425"/>
        <w:rPr>
          <w:bCs/>
          <w:lang w:val="fr-FR"/>
        </w:rPr>
      </w:pPr>
      <w:r>
        <w:rPr>
          <w:bCs/>
          <w:lang w:val="fr-FR"/>
        </w:rPr>
        <w:t>G.</w:t>
      </w:r>
      <w:r>
        <w:rPr>
          <w:bCs/>
          <w:lang w:val="fr-FR"/>
        </w:rPr>
        <w:tab/>
        <w:t>Prochaines sessions</w:t>
      </w:r>
      <w:r>
        <w:rPr>
          <w:bCs/>
          <w:lang w:val="fr-FR"/>
        </w:rPr>
        <w:tab/>
      </w:r>
      <w:r>
        <w:rPr>
          <w:bCs/>
          <w:lang w:val="fr-FR"/>
        </w:rPr>
        <w:tab/>
        <w:t>2</w:t>
      </w:r>
    </w:p>
    <w:p w14:paraId="6BB718CF" w14:textId="77777777" w:rsidR="00A13520" w:rsidRDefault="00A13520" w:rsidP="00A13520">
      <w:pPr>
        <w:tabs>
          <w:tab w:val="right" w:leader="dot" w:pos="8787"/>
          <w:tab w:val="right" w:pos="9638"/>
        </w:tabs>
        <w:spacing w:after="120"/>
        <w:ind w:left="1559" w:hanging="425"/>
        <w:rPr>
          <w:bCs/>
          <w:lang w:val="fr-FR"/>
        </w:rPr>
      </w:pPr>
      <w:r>
        <w:rPr>
          <w:bCs/>
          <w:lang w:val="fr-FR"/>
        </w:rPr>
        <w:t>H.</w:t>
      </w:r>
      <w:r>
        <w:rPr>
          <w:bCs/>
          <w:lang w:val="fr-FR"/>
        </w:rPr>
        <w:tab/>
        <w:t>Rapports des États parties que le Comité doit examiner à ses prochaines sessions</w:t>
      </w:r>
      <w:r>
        <w:rPr>
          <w:bCs/>
          <w:lang w:val="fr-FR"/>
        </w:rPr>
        <w:tab/>
      </w:r>
      <w:r>
        <w:rPr>
          <w:bCs/>
          <w:lang w:val="fr-FR"/>
        </w:rPr>
        <w:tab/>
        <w:t>3</w:t>
      </w:r>
    </w:p>
    <w:p w14:paraId="6A3FB468" w14:textId="77777777" w:rsidR="00A13520" w:rsidRPr="003F47BC" w:rsidRDefault="00A13520" w:rsidP="00A13520">
      <w:pPr>
        <w:tabs>
          <w:tab w:val="right" w:pos="850"/>
          <w:tab w:val="right" w:leader="dot" w:pos="8787"/>
          <w:tab w:val="right" w:pos="9638"/>
        </w:tabs>
        <w:spacing w:after="120"/>
        <w:ind w:left="1134" w:hanging="1134"/>
      </w:pPr>
      <w:r w:rsidRPr="003F47BC">
        <w:tab/>
      </w:r>
      <w:r>
        <w:t>I</w:t>
      </w:r>
      <w:r w:rsidRPr="003F47BC">
        <w:t>I.</w:t>
      </w:r>
      <w:r w:rsidRPr="003F47BC">
        <w:tab/>
      </w:r>
      <w:r>
        <w:rPr>
          <w:bCs/>
          <w:lang w:val="fr-FR"/>
        </w:rPr>
        <w:t>Aperçu des méthodes de travail actuelles du Comité</w:t>
      </w:r>
      <w:r w:rsidRPr="003F47BC">
        <w:tab/>
      </w:r>
      <w:r>
        <w:tab/>
        <w:t>3</w:t>
      </w:r>
    </w:p>
    <w:p w14:paraId="28F8F9B0" w14:textId="77777777" w:rsidR="00A13520" w:rsidRDefault="00A13520" w:rsidP="00A13520">
      <w:pPr>
        <w:tabs>
          <w:tab w:val="right" w:leader="dot" w:pos="8787"/>
          <w:tab w:val="right" w:pos="9638"/>
        </w:tabs>
        <w:spacing w:after="120"/>
        <w:ind w:left="1559" w:hanging="425"/>
      </w:pPr>
      <w:r>
        <w:t>A.</w:t>
      </w:r>
      <w:r>
        <w:tab/>
      </w:r>
      <w:r>
        <w:rPr>
          <w:bCs/>
          <w:lang w:val="fr-FR"/>
        </w:rPr>
        <w:t>Effet des mesures adoptées pour résorber l’arriéré des rapports en attente d’examen</w:t>
      </w:r>
      <w:r>
        <w:tab/>
      </w:r>
      <w:r>
        <w:tab/>
        <w:t>4</w:t>
      </w:r>
    </w:p>
    <w:p w14:paraId="728F8ABC" w14:textId="77777777" w:rsidR="00A13520" w:rsidRDefault="00A13520" w:rsidP="00A13520">
      <w:pPr>
        <w:tabs>
          <w:tab w:val="right" w:leader="dot" w:pos="8787"/>
          <w:tab w:val="right" w:pos="9638"/>
        </w:tabs>
        <w:spacing w:after="120"/>
        <w:ind w:left="1559" w:hanging="425"/>
      </w:pPr>
      <w:r>
        <w:t>B.</w:t>
      </w:r>
      <w:r>
        <w:tab/>
      </w:r>
      <w:r>
        <w:rPr>
          <w:bCs/>
          <w:lang w:val="fr-FR"/>
        </w:rPr>
        <w:t xml:space="preserve">Directives générales pour la présentation des rapports et procédure simplifiée </w:t>
      </w:r>
      <w:r>
        <w:rPr>
          <w:bCs/>
          <w:lang w:val="fr-FR"/>
        </w:rPr>
        <w:br/>
        <w:t>de présentation des rapports</w:t>
      </w:r>
      <w:r>
        <w:tab/>
      </w:r>
      <w:r>
        <w:tab/>
        <w:t>4</w:t>
      </w:r>
    </w:p>
    <w:p w14:paraId="07CA382D" w14:textId="77777777" w:rsidR="00A13520" w:rsidRDefault="00A13520" w:rsidP="00A13520">
      <w:pPr>
        <w:tabs>
          <w:tab w:val="right" w:leader="dot" w:pos="8787"/>
          <w:tab w:val="right" w:pos="9638"/>
        </w:tabs>
        <w:spacing w:after="120"/>
        <w:ind w:left="1559" w:hanging="425"/>
      </w:pPr>
      <w:r>
        <w:t>C.</w:t>
      </w:r>
      <w:r>
        <w:tab/>
      </w:r>
      <w:r>
        <w:rPr>
          <w:bCs/>
          <w:lang w:val="fr-FR"/>
        </w:rPr>
        <w:t>Cycle d’examen prévisible et procédure simplifiée de présentation des rapports</w:t>
      </w:r>
      <w:r>
        <w:tab/>
      </w:r>
      <w:r>
        <w:tab/>
        <w:t>4</w:t>
      </w:r>
    </w:p>
    <w:p w14:paraId="73D9BCC8" w14:textId="77777777" w:rsidR="00A13520" w:rsidRDefault="00A13520" w:rsidP="00A13520">
      <w:pPr>
        <w:tabs>
          <w:tab w:val="right" w:leader="dot" w:pos="8787"/>
          <w:tab w:val="right" w:pos="9638"/>
        </w:tabs>
        <w:spacing w:after="120"/>
        <w:ind w:left="1559" w:hanging="425"/>
      </w:pPr>
      <w:r>
        <w:t>D.</w:t>
      </w:r>
      <w:r>
        <w:tab/>
      </w:r>
      <w:r>
        <w:rPr>
          <w:bCs/>
          <w:lang w:val="fr-FR"/>
        </w:rPr>
        <w:t>Examen des rapports des États parties</w:t>
      </w:r>
      <w:r>
        <w:tab/>
      </w:r>
      <w:r>
        <w:tab/>
        <w:t>5</w:t>
      </w:r>
    </w:p>
    <w:p w14:paraId="032C4BD5" w14:textId="77777777" w:rsidR="00A13520" w:rsidRDefault="00A13520" w:rsidP="00A13520">
      <w:pPr>
        <w:tabs>
          <w:tab w:val="right" w:leader="dot" w:pos="8787"/>
          <w:tab w:val="right" w:pos="9638"/>
        </w:tabs>
        <w:spacing w:after="120"/>
        <w:ind w:left="1559" w:hanging="425"/>
      </w:pPr>
      <w:r>
        <w:t>E.</w:t>
      </w:r>
      <w:r>
        <w:tab/>
      </w:r>
      <w:r>
        <w:rPr>
          <w:bCs/>
          <w:lang w:val="fr-FR"/>
        </w:rPr>
        <w:t>Procédure de suivi relative à l’examen des rapports</w:t>
      </w:r>
      <w:r>
        <w:tab/>
      </w:r>
      <w:r>
        <w:tab/>
        <w:t>7</w:t>
      </w:r>
    </w:p>
    <w:p w14:paraId="5565D191" w14:textId="77777777" w:rsidR="00A13520" w:rsidRDefault="00A13520" w:rsidP="00A13520">
      <w:pPr>
        <w:tabs>
          <w:tab w:val="right" w:leader="dot" w:pos="8787"/>
          <w:tab w:val="right" w:pos="9638"/>
        </w:tabs>
        <w:spacing w:after="120"/>
        <w:ind w:left="1559" w:hanging="425"/>
      </w:pPr>
      <w:r>
        <w:t>F.</w:t>
      </w:r>
      <w:r>
        <w:tab/>
      </w:r>
      <w:r>
        <w:rPr>
          <w:bCs/>
          <w:lang w:val="fr-FR"/>
        </w:rPr>
        <w:t xml:space="preserve">Procédure à suivre en cas de non-présentation d’un rapport ou de retard considérable </w:t>
      </w:r>
      <w:r>
        <w:rPr>
          <w:bCs/>
          <w:lang w:val="fr-FR"/>
        </w:rPr>
        <w:br/>
        <w:t>dans sa présentation</w:t>
      </w:r>
      <w:r>
        <w:tab/>
      </w:r>
      <w:r>
        <w:tab/>
        <w:t>7</w:t>
      </w:r>
    </w:p>
    <w:p w14:paraId="3E258171" w14:textId="77777777" w:rsidR="00A13520" w:rsidRDefault="00A13520" w:rsidP="00A13520">
      <w:pPr>
        <w:tabs>
          <w:tab w:val="right" w:leader="dot" w:pos="8787"/>
          <w:tab w:val="right" w:pos="9638"/>
        </w:tabs>
        <w:spacing w:after="120"/>
        <w:ind w:left="1559" w:hanging="425"/>
      </w:pPr>
      <w:r>
        <w:t>G.</w:t>
      </w:r>
      <w:r>
        <w:tab/>
      </w:r>
      <w:r>
        <w:rPr>
          <w:bCs/>
          <w:lang w:val="fr-FR"/>
        </w:rPr>
        <w:t>Présentation de plusieurs rapports en un seul document</w:t>
      </w:r>
      <w:r>
        <w:tab/>
      </w:r>
      <w:r>
        <w:tab/>
        <w:t>8</w:t>
      </w:r>
    </w:p>
    <w:p w14:paraId="3FE3ADC2" w14:textId="77777777" w:rsidR="00A13520" w:rsidRDefault="00A13520" w:rsidP="00A13520">
      <w:pPr>
        <w:tabs>
          <w:tab w:val="right" w:leader="dot" w:pos="8787"/>
          <w:tab w:val="right" w:pos="9638"/>
        </w:tabs>
        <w:spacing w:after="120"/>
        <w:ind w:left="1559" w:hanging="425"/>
      </w:pPr>
      <w:r>
        <w:t>H.</w:t>
      </w:r>
      <w:r>
        <w:tab/>
      </w:r>
      <w:r>
        <w:rPr>
          <w:bCs/>
          <w:lang w:val="fr-FR"/>
        </w:rPr>
        <w:t xml:space="preserve">Suite donnée par le Comité aux renseignements concernant les droits économiques, </w:t>
      </w:r>
      <w:r>
        <w:rPr>
          <w:bCs/>
          <w:lang w:val="fr-FR"/>
        </w:rPr>
        <w:br/>
        <w:t>sociaux et culturels reçus de sources autres que les États parties</w:t>
      </w:r>
      <w:r>
        <w:tab/>
      </w:r>
      <w:r>
        <w:tab/>
        <w:t>8</w:t>
      </w:r>
    </w:p>
    <w:p w14:paraId="1C8DBFEC" w14:textId="77777777" w:rsidR="00A13520" w:rsidRDefault="00A13520" w:rsidP="00A13520">
      <w:pPr>
        <w:tabs>
          <w:tab w:val="right" w:leader="dot" w:pos="8787"/>
          <w:tab w:val="right" w:pos="9638"/>
        </w:tabs>
        <w:spacing w:after="120"/>
        <w:ind w:left="1559" w:hanging="425"/>
      </w:pPr>
      <w:r>
        <w:t>I.</w:t>
      </w:r>
      <w:r>
        <w:tab/>
      </w:r>
      <w:r>
        <w:rPr>
          <w:bCs/>
          <w:lang w:val="fr-FR"/>
        </w:rPr>
        <w:t>Journée de débat général</w:t>
      </w:r>
      <w:r>
        <w:tab/>
      </w:r>
      <w:r>
        <w:tab/>
        <w:t>9</w:t>
      </w:r>
    </w:p>
    <w:p w14:paraId="05088F6A" w14:textId="77777777" w:rsidR="00A13520" w:rsidRDefault="00A13520" w:rsidP="00A13520">
      <w:pPr>
        <w:tabs>
          <w:tab w:val="right" w:leader="dot" w:pos="8787"/>
          <w:tab w:val="right" w:pos="9638"/>
        </w:tabs>
        <w:spacing w:after="120"/>
        <w:ind w:left="1559" w:hanging="425"/>
      </w:pPr>
      <w:r>
        <w:t>J.</w:t>
      </w:r>
      <w:r>
        <w:tab/>
      </w:r>
      <w:r>
        <w:rPr>
          <w:bCs/>
          <w:lang w:val="fr-FR"/>
        </w:rPr>
        <w:t>Consultations diverses</w:t>
      </w:r>
      <w:r>
        <w:tab/>
      </w:r>
      <w:r>
        <w:tab/>
        <w:t>9</w:t>
      </w:r>
    </w:p>
    <w:p w14:paraId="34727E58" w14:textId="77777777" w:rsidR="00A13520" w:rsidRDefault="00A13520" w:rsidP="00A13520">
      <w:pPr>
        <w:tabs>
          <w:tab w:val="right" w:leader="dot" w:pos="8787"/>
          <w:tab w:val="right" w:pos="9638"/>
        </w:tabs>
        <w:spacing w:after="120"/>
        <w:ind w:left="1559" w:hanging="425"/>
      </w:pPr>
      <w:r>
        <w:t>K.</w:t>
      </w:r>
      <w:r>
        <w:tab/>
      </w:r>
      <w:r>
        <w:rPr>
          <w:bCs/>
          <w:lang w:val="fr-FR"/>
        </w:rPr>
        <w:t>Participation des organisations non gouvernementales aux travaux du Comité</w:t>
      </w:r>
      <w:r>
        <w:tab/>
      </w:r>
      <w:r>
        <w:tab/>
        <w:t>10</w:t>
      </w:r>
    </w:p>
    <w:p w14:paraId="2765CF96" w14:textId="77777777" w:rsidR="00A13520" w:rsidRDefault="00A13520" w:rsidP="00A13520">
      <w:pPr>
        <w:tabs>
          <w:tab w:val="right" w:leader="dot" w:pos="8787"/>
          <w:tab w:val="right" w:pos="9638"/>
        </w:tabs>
        <w:spacing w:after="120"/>
        <w:ind w:left="1559" w:hanging="425"/>
      </w:pPr>
      <w:r>
        <w:t>L.</w:t>
      </w:r>
      <w:r>
        <w:tab/>
      </w:r>
      <w:r>
        <w:rPr>
          <w:bCs/>
          <w:lang w:val="fr-FR"/>
        </w:rPr>
        <w:t>Observations générales</w:t>
      </w:r>
      <w:r>
        <w:tab/>
      </w:r>
      <w:r>
        <w:tab/>
        <w:t>11</w:t>
      </w:r>
    </w:p>
    <w:p w14:paraId="07D96A43" w14:textId="77777777" w:rsidR="00A13520" w:rsidRDefault="00A13520" w:rsidP="00A13520">
      <w:pPr>
        <w:tabs>
          <w:tab w:val="right" w:leader="dot" w:pos="8787"/>
          <w:tab w:val="right" w:pos="9638"/>
        </w:tabs>
        <w:spacing w:after="120"/>
        <w:ind w:left="1559" w:hanging="425"/>
      </w:pPr>
      <w:r>
        <w:t>M.</w:t>
      </w:r>
      <w:r>
        <w:tab/>
      </w:r>
      <w:r>
        <w:rPr>
          <w:bCs/>
          <w:lang w:val="fr-FR"/>
        </w:rPr>
        <w:t>Déclarations et lettres adoptées par le Comité</w:t>
      </w:r>
      <w:r>
        <w:tab/>
      </w:r>
      <w:r>
        <w:tab/>
        <w:t>12</w:t>
      </w:r>
    </w:p>
    <w:p w14:paraId="3ACE4BBB" w14:textId="77777777" w:rsidR="00A13520" w:rsidRPr="003F47BC" w:rsidRDefault="00A13520" w:rsidP="00A13520">
      <w:pPr>
        <w:tabs>
          <w:tab w:val="right" w:pos="850"/>
          <w:tab w:val="right" w:leader="dot" w:pos="8787"/>
          <w:tab w:val="right" w:pos="9638"/>
        </w:tabs>
        <w:spacing w:after="120"/>
        <w:ind w:left="1134" w:hanging="1134"/>
      </w:pPr>
      <w:r w:rsidRPr="003F47BC">
        <w:tab/>
      </w:r>
      <w:r>
        <w:t>II</w:t>
      </w:r>
      <w:r w:rsidRPr="003F47BC">
        <w:t>I.</w:t>
      </w:r>
      <w:r w:rsidRPr="003F47BC">
        <w:tab/>
      </w:r>
      <w:r>
        <w:rPr>
          <w:bCs/>
          <w:lang w:val="fr-FR"/>
        </w:rPr>
        <w:t xml:space="preserve">Situation en ce qui concerne la soumission de rapports par les États parties en application </w:t>
      </w:r>
      <w:r>
        <w:rPr>
          <w:bCs/>
          <w:lang w:val="fr-FR"/>
        </w:rPr>
        <w:br/>
        <w:t>des articles 16 et 17 du Pacte</w:t>
      </w:r>
      <w:r w:rsidRPr="003F47BC">
        <w:tab/>
      </w:r>
      <w:r>
        <w:tab/>
        <w:t>13</w:t>
      </w:r>
    </w:p>
    <w:p w14:paraId="173C120A" w14:textId="77777777" w:rsidR="00A13520" w:rsidRPr="003F47BC" w:rsidRDefault="00A13520" w:rsidP="00A13520">
      <w:pPr>
        <w:tabs>
          <w:tab w:val="right" w:pos="850"/>
          <w:tab w:val="right" w:leader="dot" w:pos="8787"/>
          <w:tab w:val="right" w:pos="9638"/>
        </w:tabs>
        <w:spacing w:after="120"/>
        <w:ind w:left="1134" w:hanging="1134"/>
      </w:pPr>
      <w:r w:rsidRPr="003F47BC">
        <w:tab/>
      </w:r>
      <w:r>
        <w:t>IV</w:t>
      </w:r>
      <w:r w:rsidRPr="003F47BC">
        <w:t>.</w:t>
      </w:r>
      <w:r w:rsidRPr="003F47BC">
        <w:tab/>
      </w:r>
      <w:r>
        <w:rPr>
          <w:bCs/>
          <w:lang w:val="fr-FR"/>
        </w:rPr>
        <w:t>Examen des rapports soumis par les États parties en application des articles 16 et 17 du Pacte</w:t>
      </w:r>
      <w:r w:rsidRPr="003F47BC">
        <w:tab/>
      </w:r>
      <w:r>
        <w:tab/>
        <w:t>13</w:t>
      </w:r>
    </w:p>
    <w:p w14:paraId="768CB995" w14:textId="77777777" w:rsidR="00A13520" w:rsidRPr="003F47BC" w:rsidRDefault="00A13520" w:rsidP="00A13520">
      <w:pPr>
        <w:tabs>
          <w:tab w:val="right" w:pos="850"/>
          <w:tab w:val="right" w:leader="dot" w:pos="8787"/>
          <w:tab w:val="right" w:pos="9638"/>
        </w:tabs>
        <w:spacing w:after="120"/>
        <w:ind w:left="1134" w:hanging="1134"/>
      </w:pPr>
      <w:r w:rsidRPr="003F47BC">
        <w:tab/>
      </w:r>
      <w:r>
        <w:t>V</w:t>
      </w:r>
      <w:r w:rsidRPr="003F47BC">
        <w:t>.</w:t>
      </w:r>
      <w:r w:rsidRPr="003F47BC">
        <w:tab/>
      </w:r>
      <w:r>
        <w:rPr>
          <w:bCs/>
          <w:lang w:val="fr-FR"/>
        </w:rPr>
        <w:t>Activités du Comité au titre du Protocole facultatif</w:t>
      </w:r>
      <w:r w:rsidRPr="003F47BC">
        <w:tab/>
      </w:r>
      <w:r>
        <w:tab/>
        <w:t>14</w:t>
      </w:r>
    </w:p>
    <w:p w14:paraId="0FB892ED" w14:textId="77777777" w:rsidR="00A13520" w:rsidRDefault="00A13520" w:rsidP="00A13520">
      <w:pPr>
        <w:tabs>
          <w:tab w:val="right" w:leader="dot" w:pos="8787"/>
          <w:tab w:val="right" w:pos="9638"/>
        </w:tabs>
        <w:spacing w:after="120"/>
        <w:ind w:left="1559" w:hanging="425"/>
      </w:pPr>
      <w:r>
        <w:t>A.</w:t>
      </w:r>
      <w:r>
        <w:tab/>
      </w:r>
      <w:r>
        <w:rPr>
          <w:bCs/>
          <w:lang w:val="fr-FR"/>
        </w:rPr>
        <w:t xml:space="preserve">État d’avancement des activités concernant les communications de particuliers </w:t>
      </w:r>
      <w:r>
        <w:rPr>
          <w:bCs/>
          <w:lang w:val="fr-FR"/>
        </w:rPr>
        <w:br/>
        <w:t>soumises au Comité</w:t>
      </w:r>
      <w:r>
        <w:tab/>
      </w:r>
      <w:r>
        <w:tab/>
        <w:t>14</w:t>
      </w:r>
    </w:p>
    <w:p w14:paraId="36E94313" w14:textId="77777777" w:rsidR="00A13520" w:rsidRDefault="00A13520" w:rsidP="00A13520">
      <w:pPr>
        <w:tabs>
          <w:tab w:val="right" w:leader="dot" w:pos="8787"/>
          <w:tab w:val="right" w:pos="9638"/>
        </w:tabs>
        <w:spacing w:after="120"/>
        <w:ind w:left="1559" w:hanging="425"/>
      </w:pPr>
      <w:r>
        <w:t>B.</w:t>
      </w:r>
      <w:r>
        <w:tab/>
      </w:r>
      <w:r>
        <w:rPr>
          <w:bCs/>
          <w:lang w:val="fr-FR"/>
        </w:rPr>
        <w:t xml:space="preserve">Suite donnée aux constatations du Comité concernant des communications émanant </w:t>
      </w:r>
      <w:r>
        <w:rPr>
          <w:bCs/>
          <w:lang w:val="fr-FR"/>
        </w:rPr>
        <w:br/>
        <w:t>de particuliers</w:t>
      </w:r>
      <w:r>
        <w:tab/>
      </w:r>
      <w:r>
        <w:tab/>
        <w:t>15</w:t>
      </w:r>
    </w:p>
    <w:p w14:paraId="2DBEF37D" w14:textId="77777777" w:rsidR="00A13520" w:rsidRPr="003F47BC" w:rsidRDefault="00A13520" w:rsidP="00A13520">
      <w:pPr>
        <w:tabs>
          <w:tab w:val="right" w:pos="850"/>
          <w:tab w:val="right" w:leader="dot" w:pos="8787"/>
          <w:tab w:val="right" w:pos="9638"/>
        </w:tabs>
        <w:spacing w:after="120"/>
        <w:ind w:left="1134" w:hanging="1134"/>
      </w:pPr>
      <w:r w:rsidRPr="003F47BC">
        <w:tab/>
      </w:r>
      <w:r>
        <w:t>VI</w:t>
      </w:r>
      <w:r w:rsidRPr="003F47BC">
        <w:t>.</w:t>
      </w:r>
      <w:r w:rsidRPr="003F47BC">
        <w:tab/>
      </w:r>
      <w:r w:rsidRPr="00BF558B">
        <w:rPr>
          <w:bCs/>
          <w:lang w:val="fr-FR"/>
        </w:rPr>
        <w:t>Questions de</w:t>
      </w:r>
      <w:r>
        <w:rPr>
          <w:bCs/>
          <w:lang w:val="fr-FR"/>
        </w:rPr>
        <w:t xml:space="preserve"> fond concernant la mise en œuvre du Pacte</w:t>
      </w:r>
      <w:r w:rsidRPr="003F47BC">
        <w:tab/>
      </w:r>
      <w:r>
        <w:tab/>
        <w:t>15</w:t>
      </w:r>
    </w:p>
    <w:p w14:paraId="118FD61C" w14:textId="77777777" w:rsidR="00A13520" w:rsidRPr="003F47BC" w:rsidRDefault="00A13520" w:rsidP="00A13520">
      <w:pPr>
        <w:tabs>
          <w:tab w:val="right" w:pos="850"/>
          <w:tab w:val="right" w:leader="dot" w:pos="8787"/>
          <w:tab w:val="right" w:pos="9638"/>
        </w:tabs>
        <w:spacing w:after="120"/>
        <w:ind w:left="1134" w:hanging="1134"/>
      </w:pPr>
      <w:r w:rsidRPr="003F47BC">
        <w:tab/>
      </w:r>
      <w:r>
        <w:t>VII</w:t>
      </w:r>
      <w:r w:rsidRPr="003F47BC">
        <w:t>.</w:t>
      </w:r>
      <w:r w:rsidRPr="003F47BC">
        <w:tab/>
      </w:r>
      <w:r>
        <w:rPr>
          <w:bCs/>
          <w:lang w:val="fr-FR"/>
        </w:rPr>
        <w:t xml:space="preserve">Autres décisions adoptées et questions traitées par le Comité à ses soixante-septième </w:t>
      </w:r>
      <w:r>
        <w:rPr>
          <w:bCs/>
          <w:lang w:val="fr-FR"/>
        </w:rPr>
        <w:br/>
        <w:t>et soixante-huitième sessions</w:t>
      </w:r>
      <w:r w:rsidRPr="003F47BC">
        <w:tab/>
      </w:r>
      <w:r>
        <w:tab/>
        <w:t>16</w:t>
      </w:r>
    </w:p>
    <w:p w14:paraId="56159F87" w14:textId="77777777" w:rsidR="00A13520" w:rsidRDefault="00A13520" w:rsidP="00A13520">
      <w:pPr>
        <w:tabs>
          <w:tab w:val="right" w:leader="dot" w:pos="8787"/>
          <w:tab w:val="right" w:pos="9638"/>
        </w:tabs>
        <w:spacing w:after="120"/>
        <w:ind w:left="1559" w:hanging="425"/>
      </w:pPr>
      <w:r>
        <w:t>A.</w:t>
      </w:r>
      <w:r>
        <w:tab/>
      </w:r>
      <w:r>
        <w:rPr>
          <w:bCs/>
          <w:lang w:val="fr-FR"/>
        </w:rPr>
        <w:t>Participation à des réunions entre les sessions</w:t>
      </w:r>
      <w:r>
        <w:tab/>
      </w:r>
      <w:r>
        <w:tab/>
        <w:t>16</w:t>
      </w:r>
    </w:p>
    <w:p w14:paraId="1695D018" w14:textId="77777777" w:rsidR="00A13520" w:rsidRDefault="00A13520" w:rsidP="00A13520">
      <w:pPr>
        <w:tabs>
          <w:tab w:val="right" w:leader="dot" w:pos="8787"/>
          <w:tab w:val="right" w:pos="9638"/>
        </w:tabs>
        <w:spacing w:after="120"/>
        <w:ind w:left="1559" w:hanging="425"/>
      </w:pPr>
      <w:r>
        <w:lastRenderedPageBreak/>
        <w:t>B.</w:t>
      </w:r>
      <w:r>
        <w:tab/>
      </w:r>
      <w:r>
        <w:rPr>
          <w:bCs/>
          <w:lang w:val="fr-FR"/>
        </w:rPr>
        <w:t>Observations générales à venir</w:t>
      </w:r>
      <w:r>
        <w:tab/>
      </w:r>
      <w:r>
        <w:tab/>
        <w:t>16</w:t>
      </w:r>
    </w:p>
    <w:p w14:paraId="0C5CD83A" w14:textId="77777777" w:rsidR="00A13520" w:rsidRDefault="00A13520" w:rsidP="00A13520">
      <w:pPr>
        <w:tabs>
          <w:tab w:val="right" w:leader="dot" w:pos="8787"/>
          <w:tab w:val="right" w:pos="9638"/>
        </w:tabs>
        <w:spacing w:after="120"/>
        <w:ind w:left="1559" w:hanging="425"/>
      </w:pPr>
      <w:r>
        <w:t>C.</w:t>
      </w:r>
      <w:r>
        <w:tab/>
      </w:r>
      <w:r>
        <w:rPr>
          <w:bCs/>
          <w:lang w:val="fr-FR"/>
        </w:rPr>
        <w:t>Méthodes de travail du Comité</w:t>
      </w:r>
      <w:r>
        <w:tab/>
      </w:r>
      <w:r>
        <w:tab/>
        <w:t>16</w:t>
      </w:r>
    </w:p>
    <w:p w14:paraId="60DFE2B0" w14:textId="77777777" w:rsidR="00A13520" w:rsidRPr="003F47BC" w:rsidRDefault="00A13520" w:rsidP="00A13520">
      <w:pPr>
        <w:tabs>
          <w:tab w:val="right" w:pos="850"/>
          <w:tab w:val="right" w:leader="dot" w:pos="8787"/>
          <w:tab w:val="right" w:pos="9638"/>
        </w:tabs>
        <w:spacing w:after="120"/>
        <w:ind w:left="1134" w:hanging="1134"/>
      </w:pPr>
      <w:r w:rsidRPr="003F47BC">
        <w:tab/>
      </w:r>
      <w:r>
        <w:t>VIII</w:t>
      </w:r>
      <w:r w:rsidRPr="003F47BC">
        <w:t>.</w:t>
      </w:r>
      <w:r w:rsidRPr="003F47BC">
        <w:tab/>
      </w:r>
      <w:r>
        <w:rPr>
          <w:bCs/>
          <w:lang w:val="fr-FR"/>
        </w:rPr>
        <w:t>Autres activités du Comité en 2020</w:t>
      </w:r>
      <w:r w:rsidRPr="003F47BC">
        <w:tab/>
      </w:r>
      <w:r>
        <w:tab/>
        <w:t>17</w:t>
      </w:r>
    </w:p>
    <w:p w14:paraId="08086DEE" w14:textId="77777777" w:rsidR="00A13520" w:rsidRPr="003F47BC" w:rsidRDefault="00A13520" w:rsidP="00A13520">
      <w:pPr>
        <w:tabs>
          <w:tab w:val="right" w:pos="850"/>
          <w:tab w:val="right" w:leader="dot" w:pos="8787"/>
          <w:tab w:val="right" w:pos="9638"/>
        </w:tabs>
        <w:spacing w:after="120"/>
        <w:ind w:left="1134" w:hanging="1134"/>
      </w:pPr>
      <w:r w:rsidRPr="003F47BC">
        <w:tab/>
      </w:r>
      <w:r>
        <w:t>IX</w:t>
      </w:r>
      <w:r w:rsidRPr="003F47BC">
        <w:t>.</w:t>
      </w:r>
      <w:r w:rsidRPr="003F47BC">
        <w:tab/>
      </w:r>
      <w:r>
        <w:rPr>
          <w:bCs/>
          <w:lang w:val="fr-FR"/>
        </w:rPr>
        <w:t>Adoption du rapport</w:t>
      </w:r>
      <w:r w:rsidRPr="003F47BC">
        <w:tab/>
      </w:r>
      <w:r>
        <w:tab/>
        <w:t>17</w:t>
      </w:r>
    </w:p>
    <w:p w14:paraId="466DFDD4" w14:textId="77777777" w:rsidR="00A13520" w:rsidRPr="00471BB2" w:rsidRDefault="00A13520" w:rsidP="00A13520">
      <w:pPr>
        <w:tabs>
          <w:tab w:val="right" w:pos="850"/>
        </w:tabs>
        <w:spacing w:after="120"/>
      </w:pPr>
      <w:r w:rsidRPr="00471BB2">
        <w:tab/>
        <w:t>Annexe</w:t>
      </w:r>
    </w:p>
    <w:p w14:paraId="04AF9AF7" w14:textId="77777777" w:rsidR="00A13520" w:rsidRPr="00471BB2" w:rsidRDefault="00A13520" w:rsidP="00A13520">
      <w:pPr>
        <w:tabs>
          <w:tab w:val="right" w:pos="850"/>
          <w:tab w:val="right" w:leader="dot" w:pos="8787"/>
          <w:tab w:val="right" w:pos="9638"/>
        </w:tabs>
        <w:spacing w:after="120"/>
        <w:ind w:left="1134" w:hanging="1134"/>
      </w:pPr>
      <w:r>
        <w:tab/>
      </w:r>
      <w:r>
        <w:tab/>
      </w:r>
      <w:r>
        <w:rPr>
          <w:bCs/>
          <w:lang w:val="fr-FR"/>
        </w:rPr>
        <w:t>Membres du Comité</w:t>
      </w:r>
      <w:r>
        <w:tab/>
      </w:r>
      <w:r>
        <w:tab/>
        <w:t>18</w:t>
      </w:r>
    </w:p>
    <w:p w14:paraId="6BF6BEC4" w14:textId="77777777" w:rsidR="00CD044C" w:rsidRDefault="00CD044C" w:rsidP="00C451B9"/>
    <w:p w14:paraId="74016554" w14:textId="77777777" w:rsidR="00A02B4C" w:rsidRDefault="00A02B4C" w:rsidP="00C451B9">
      <w:pPr>
        <w:sectPr w:rsidR="00A02B4C" w:rsidSect="00A02B4C">
          <w:headerReference w:type="even" r:id="rId20"/>
          <w:headerReference w:type="default" r:id="rId21"/>
          <w:footerReference w:type="even" r:id="rId22"/>
          <w:footerReference w:type="default" r:id="rId23"/>
          <w:headerReference w:type="first" r:id="rId24"/>
          <w:footerReference w:type="first" r:id="rId25"/>
          <w:endnotePr>
            <w:numFmt w:val="decimal"/>
          </w:endnotePr>
          <w:type w:val="oddPage"/>
          <w:pgSz w:w="11907" w:h="16840" w:code="9"/>
          <w:pgMar w:top="1417" w:right="1134" w:bottom="1134" w:left="1134" w:header="850" w:footer="567" w:gutter="0"/>
          <w:pgNumType w:fmt="lowerRoman" w:start="3"/>
          <w:cols w:space="720"/>
          <w:titlePg/>
          <w:docGrid w:linePitch="272"/>
        </w:sectPr>
      </w:pPr>
    </w:p>
    <w:p w14:paraId="749938BB" w14:textId="77777777" w:rsidR="00A02B4C" w:rsidRPr="00DC313C" w:rsidRDefault="00A02B4C" w:rsidP="00A02B4C">
      <w:pPr>
        <w:pStyle w:val="HChG"/>
      </w:pPr>
      <w:r w:rsidRPr="00DC313C">
        <w:lastRenderedPageBreak/>
        <w:tab/>
      </w:r>
      <w:r w:rsidRPr="00DC313C">
        <w:tab/>
        <w:t>C</w:t>
      </w:r>
      <w:r>
        <w:t>hapitre</w:t>
      </w:r>
      <w:r w:rsidRPr="00DC313C">
        <w:t xml:space="preserve"> I</w:t>
      </w:r>
      <w:r w:rsidRPr="00DC313C">
        <w:br/>
      </w:r>
      <w:bookmarkStart w:id="1" w:name="_Toc419703756"/>
      <w:bookmarkStart w:id="2" w:name="_Toc470861800"/>
      <w:bookmarkStart w:id="3" w:name="_Toc504665019"/>
      <w:bookmarkEnd w:id="1"/>
      <w:bookmarkEnd w:id="2"/>
      <w:bookmarkEnd w:id="3"/>
      <w:r>
        <w:rPr>
          <w:lang w:val="fr-FR"/>
        </w:rPr>
        <w:t>Questions d’organisation et questions diverses</w:t>
      </w:r>
    </w:p>
    <w:p w14:paraId="35224975" w14:textId="77777777" w:rsidR="00A02B4C" w:rsidRPr="00DC313C" w:rsidRDefault="00A02B4C" w:rsidP="00A02B4C">
      <w:pPr>
        <w:pStyle w:val="H1G"/>
      </w:pPr>
      <w:bookmarkStart w:id="4" w:name="_Toc321313393"/>
      <w:r w:rsidRPr="00DC313C">
        <w:tab/>
        <w:t>A.</w:t>
      </w:r>
      <w:r w:rsidRPr="00DC313C">
        <w:tab/>
      </w:r>
      <w:bookmarkStart w:id="5" w:name="_Toc419703757"/>
      <w:bookmarkStart w:id="6" w:name="_Toc470861801"/>
      <w:bookmarkStart w:id="7" w:name="_Toc504665020"/>
      <w:bookmarkStart w:id="8" w:name="_Hlk63770546"/>
      <w:bookmarkEnd w:id="4"/>
      <w:bookmarkEnd w:id="5"/>
      <w:bookmarkEnd w:id="6"/>
      <w:bookmarkEnd w:id="7"/>
      <w:r>
        <w:rPr>
          <w:lang w:val="fr-FR"/>
        </w:rPr>
        <w:t xml:space="preserve">États </w:t>
      </w:r>
      <w:r w:rsidRPr="003B53EF">
        <w:t>parties</w:t>
      </w:r>
      <w:r>
        <w:rPr>
          <w:lang w:val="fr-FR"/>
        </w:rPr>
        <w:t xml:space="preserve"> au Pacte international relatif aux droits économiques, sociaux et culturels et au Protocole facultatif</w:t>
      </w:r>
      <w:bookmarkStart w:id="9" w:name="_Toc536190847"/>
      <w:bookmarkStart w:id="10" w:name="_Toc536458132"/>
      <w:bookmarkStart w:id="11" w:name="_Toc31123772"/>
      <w:bookmarkStart w:id="12" w:name="_Toc63084527"/>
      <w:bookmarkEnd w:id="9"/>
      <w:bookmarkEnd w:id="10"/>
      <w:bookmarkEnd w:id="11"/>
      <w:bookmarkEnd w:id="12"/>
      <w:r>
        <w:rPr>
          <w:lang w:val="fr-FR"/>
        </w:rPr>
        <w:t xml:space="preserve"> s’y rapportant</w:t>
      </w:r>
      <w:bookmarkEnd w:id="8"/>
    </w:p>
    <w:p w14:paraId="7F68DA27" w14:textId="77777777" w:rsidR="00A02B4C" w:rsidRPr="00DC313C" w:rsidRDefault="00A02B4C" w:rsidP="00A02B4C">
      <w:pPr>
        <w:pStyle w:val="SingleTxtG"/>
      </w:pPr>
      <w:r w:rsidRPr="003F47BC">
        <w:rPr>
          <w:lang w:val="fr-FR"/>
        </w:rPr>
        <w:t>1.</w:t>
      </w:r>
      <w:r w:rsidRPr="003F47BC">
        <w:rPr>
          <w:lang w:val="fr-FR"/>
        </w:rPr>
        <w:tab/>
      </w:r>
      <w:r w:rsidRPr="00B86018">
        <w:rPr>
          <w:lang w:val="fr-FR"/>
        </w:rPr>
        <w:t>Au 16 octobre 2020, date de clôture de la soixante-huitième session du Comité, 171</w:t>
      </w:r>
      <w:r>
        <w:rPr>
          <w:lang w:val="fr-FR"/>
        </w:rPr>
        <w:t> </w:t>
      </w:r>
      <w:r w:rsidRPr="00B86018">
        <w:rPr>
          <w:lang w:val="fr-FR"/>
        </w:rPr>
        <w:t>États étaient parties au Pacte international relatif aux droits économiques, sociaux et culturels. Le Pacte a été adopté par l</w:t>
      </w:r>
      <w:r>
        <w:rPr>
          <w:lang w:val="fr-FR"/>
        </w:rPr>
        <w:t>’</w:t>
      </w:r>
      <w:r w:rsidRPr="00B86018">
        <w:rPr>
          <w:lang w:val="fr-FR"/>
        </w:rPr>
        <w:t xml:space="preserve">Assemblée générale dans sa résolution </w:t>
      </w:r>
      <w:hyperlink r:id="rId26" w:history="1">
        <w:r w:rsidRPr="00B76467">
          <w:rPr>
            <w:rStyle w:val="Lienhypertexte"/>
            <w:lang w:val="fr-FR"/>
          </w:rPr>
          <w:t>2200 A (XXI)</w:t>
        </w:r>
      </w:hyperlink>
      <w:r w:rsidRPr="00B86018">
        <w:rPr>
          <w:lang w:val="fr-FR"/>
        </w:rPr>
        <w:t xml:space="preserve"> du 16 décembre 1966, et ouvert à la signature et à la ratification à New York le 19</w:t>
      </w:r>
      <w:r>
        <w:rPr>
          <w:lang w:val="fr-FR"/>
        </w:rPr>
        <w:t> </w:t>
      </w:r>
      <w:r w:rsidRPr="00B86018">
        <w:rPr>
          <w:lang w:val="fr-FR"/>
        </w:rPr>
        <w:t>décembre 1966. Il est entré en vigueur le 3 janvier 1976, conformément aux dispositions de son article 27. Le Protocole facultatif se rapportant au Pacte a été adopté par l</w:t>
      </w:r>
      <w:r>
        <w:rPr>
          <w:lang w:val="fr-FR"/>
        </w:rPr>
        <w:t>’</w:t>
      </w:r>
      <w:r w:rsidRPr="00B86018">
        <w:rPr>
          <w:lang w:val="fr-FR"/>
        </w:rPr>
        <w:t xml:space="preserve">Assemblée générale dans sa résolution </w:t>
      </w:r>
      <w:hyperlink r:id="rId27" w:history="1">
        <w:r w:rsidRPr="00EB0E40">
          <w:rPr>
            <w:rStyle w:val="Lienhypertexte"/>
            <w:lang w:val="fr-FR"/>
          </w:rPr>
          <w:t>63/117</w:t>
        </w:r>
      </w:hyperlink>
      <w:r w:rsidRPr="003F47BC">
        <w:rPr>
          <w:lang w:val="fr-FR"/>
        </w:rPr>
        <w:t xml:space="preserve"> </w:t>
      </w:r>
      <w:r w:rsidRPr="00B86018">
        <w:rPr>
          <w:lang w:val="fr-FR"/>
        </w:rPr>
        <w:t>du 10 décembre 2008, et ouvert à la signature et à la ratification à New York le 24 septembre 2009. Il est entré en vigueur le 5</w:t>
      </w:r>
      <w:r>
        <w:rPr>
          <w:lang w:val="fr-FR"/>
        </w:rPr>
        <w:t> </w:t>
      </w:r>
      <w:r w:rsidRPr="00B86018">
        <w:rPr>
          <w:lang w:val="fr-FR"/>
        </w:rPr>
        <w:t>mai 2013, trois mois après la date de dépôt du dixième instrument de ratification auprès du Secrétaire général de l</w:t>
      </w:r>
      <w:r>
        <w:rPr>
          <w:lang w:val="fr-FR"/>
        </w:rPr>
        <w:t>’</w:t>
      </w:r>
      <w:r w:rsidRPr="00B86018">
        <w:rPr>
          <w:lang w:val="fr-FR"/>
        </w:rPr>
        <w:t>Organisation des Nations Unies. Les 25 États suivants ont ratifié le Protocole facultatif</w:t>
      </w:r>
      <w:r>
        <w:rPr>
          <w:lang w:val="fr-FR"/>
        </w:rPr>
        <w:t> </w:t>
      </w:r>
      <w:r w:rsidRPr="00B86018">
        <w:rPr>
          <w:lang w:val="fr-FR"/>
        </w:rPr>
        <w:t>: Argentine, Arménie, Belgique</w:t>
      </w:r>
      <w:r w:rsidRPr="00B86018">
        <w:rPr>
          <w:lang w:val="fr-FR"/>
        </w:rPr>
        <w:footnoteReference w:customMarkFollows="1" w:id="2"/>
        <w:t>*</w:t>
      </w:r>
      <w:r>
        <w:rPr>
          <w:lang w:val="fr-FR"/>
        </w:rPr>
        <w:t>,</w:t>
      </w:r>
      <w:r w:rsidRPr="00B86018">
        <w:rPr>
          <w:lang w:val="fr-FR"/>
        </w:rPr>
        <w:t xml:space="preserve"> </w:t>
      </w:r>
      <w:r w:rsidRPr="000D6ED5">
        <w:t>Bolivie (État plurinational de), Bosnie-Herzégovine, Cabo Verde, Costa Rica, El</w:t>
      </w:r>
      <w:r>
        <w:t> </w:t>
      </w:r>
      <w:r w:rsidRPr="000D6ED5">
        <w:t>Salvador*</w:t>
      </w:r>
      <w:r>
        <w:t>,</w:t>
      </w:r>
      <w:r w:rsidRPr="000D6ED5">
        <w:t xml:space="preserve"> Équateur, Espagne, Finlande*</w:t>
      </w:r>
      <w:r>
        <w:t>,</w:t>
      </w:r>
      <w:r w:rsidRPr="000D6ED5">
        <w:t xml:space="preserve"> France, Gabon, Honduras, Italie, Luxembourg, Mongolie, Monténégro, Niger, Portugal*</w:t>
      </w:r>
      <w:r>
        <w:t>,</w:t>
      </w:r>
      <w:r w:rsidRPr="000D6ED5">
        <w:t xml:space="preserve"> République centrafricaine, Saint-Marin*</w:t>
      </w:r>
      <w:r>
        <w:t>,</w:t>
      </w:r>
      <w:r w:rsidRPr="000D6ED5">
        <w:t xml:space="preserve"> Slovaquie, Uruguay </w:t>
      </w:r>
      <w:r>
        <w:t>et</w:t>
      </w:r>
      <w:r w:rsidRPr="000D6ED5">
        <w:t xml:space="preserve"> Venezuela (République bolivarienne du)</w:t>
      </w:r>
      <w:r>
        <w:t xml:space="preserve">. </w:t>
      </w:r>
    </w:p>
    <w:p w14:paraId="74860366" w14:textId="77777777" w:rsidR="00A02B4C" w:rsidRPr="00DC313C" w:rsidRDefault="00A02B4C" w:rsidP="00A02B4C">
      <w:pPr>
        <w:pStyle w:val="H1G"/>
      </w:pPr>
      <w:r w:rsidRPr="00DC313C">
        <w:tab/>
        <w:t>B.</w:t>
      </w:r>
      <w:r w:rsidRPr="00DC313C">
        <w:tab/>
      </w:r>
      <w:bookmarkStart w:id="13" w:name="_Toc321313394"/>
      <w:bookmarkStart w:id="14" w:name="_Toc419703758"/>
      <w:bookmarkStart w:id="15" w:name="_Toc470861802"/>
      <w:bookmarkStart w:id="16" w:name="_Toc504665021"/>
      <w:bookmarkEnd w:id="13"/>
      <w:bookmarkEnd w:id="14"/>
      <w:bookmarkEnd w:id="15"/>
      <w:bookmarkEnd w:id="16"/>
      <w:r>
        <w:rPr>
          <w:lang w:val="fr-FR"/>
        </w:rPr>
        <w:t>Sessions et ordres du jour</w:t>
      </w:r>
    </w:p>
    <w:p w14:paraId="543D5C5C" w14:textId="77777777" w:rsidR="00A02B4C" w:rsidRPr="00B86018" w:rsidRDefault="00A02B4C" w:rsidP="00A02B4C">
      <w:pPr>
        <w:pStyle w:val="SingleTxtG"/>
        <w:rPr>
          <w:lang w:val="fr-FR"/>
        </w:rPr>
      </w:pPr>
      <w:r w:rsidRPr="00B86018">
        <w:rPr>
          <w:lang w:val="fr-FR"/>
        </w:rPr>
        <w:t>2.</w:t>
      </w:r>
      <w:r w:rsidRPr="00B86018">
        <w:rPr>
          <w:lang w:val="fr-FR"/>
        </w:rPr>
        <w:tab/>
        <w:t>En 2020, le Comité a tenu deux sessions</w:t>
      </w:r>
      <w:r>
        <w:rPr>
          <w:lang w:val="fr-FR"/>
        </w:rPr>
        <w:t> </w:t>
      </w:r>
      <w:r w:rsidRPr="00B86018">
        <w:rPr>
          <w:lang w:val="fr-FR"/>
        </w:rPr>
        <w:t>: sa soixante-septième session du 17 février au 6 mars et sa soixante-huitième session du 28 septembre au 16 octobre. La première s</w:t>
      </w:r>
      <w:r>
        <w:rPr>
          <w:lang w:val="fr-FR"/>
        </w:rPr>
        <w:t>’</w:t>
      </w:r>
      <w:r w:rsidRPr="00B86018">
        <w:rPr>
          <w:lang w:val="fr-FR"/>
        </w:rPr>
        <w:t>est tenue à l</w:t>
      </w:r>
      <w:r>
        <w:rPr>
          <w:lang w:val="fr-FR"/>
        </w:rPr>
        <w:t>’</w:t>
      </w:r>
      <w:r w:rsidRPr="00B86018">
        <w:rPr>
          <w:lang w:val="fr-FR"/>
        </w:rPr>
        <w:t>Office des Nations Unies à Genève. La seconde s</w:t>
      </w:r>
      <w:r>
        <w:rPr>
          <w:lang w:val="fr-FR"/>
        </w:rPr>
        <w:t>’</w:t>
      </w:r>
      <w:r w:rsidRPr="00B86018">
        <w:rPr>
          <w:lang w:val="fr-FR"/>
        </w:rPr>
        <w:t>est tenue en ligne en raison des restrictions en matière de voyage liées à la pandémie de maladie à coronavirus (COVID</w:t>
      </w:r>
      <w:r>
        <w:rPr>
          <w:lang w:val="fr-FR"/>
        </w:rPr>
        <w:noBreakHyphen/>
      </w:r>
      <w:r w:rsidRPr="00B86018">
        <w:rPr>
          <w:lang w:val="fr-FR"/>
        </w:rPr>
        <w:t>19). L</w:t>
      </w:r>
      <w:r>
        <w:rPr>
          <w:lang w:val="fr-FR"/>
        </w:rPr>
        <w:t>’</w:t>
      </w:r>
      <w:r w:rsidRPr="00B86018">
        <w:rPr>
          <w:lang w:val="fr-FR"/>
        </w:rPr>
        <w:t xml:space="preserve">ordre du jour de ces sessions est publié sous les cotes </w:t>
      </w:r>
      <w:hyperlink r:id="rId28" w:history="1">
        <w:r w:rsidRPr="000D6ED5">
          <w:rPr>
            <w:rStyle w:val="Lienhypertexte"/>
            <w:lang w:val="fr-FR"/>
          </w:rPr>
          <w:t>E/C.12/67/1</w:t>
        </w:r>
      </w:hyperlink>
      <w:r w:rsidRPr="00B86018">
        <w:rPr>
          <w:lang w:val="fr-FR"/>
        </w:rPr>
        <w:t xml:space="preserve"> et </w:t>
      </w:r>
      <w:hyperlink r:id="rId29" w:history="1">
        <w:r w:rsidRPr="000D6ED5">
          <w:rPr>
            <w:rStyle w:val="Lienhypertexte"/>
            <w:lang w:val="fr-FR"/>
          </w:rPr>
          <w:t>E/C.12/68/1</w:t>
        </w:r>
      </w:hyperlink>
      <w:r w:rsidRPr="00B86018">
        <w:rPr>
          <w:lang w:val="fr-FR"/>
        </w:rPr>
        <w:t>, respectivement. L</w:t>
      </w:r>
      <w:r>
        <w:rPr>
          <w:lang w:val="fr-FR"/>
        </w:rPr>
        <w:t>’</w:t>
      </w:r>
      <w:r w:rsidRPr="00B86018">
        <w:rPr>
          <w:lang w:val="fr-FR"/>
        </w:rPr>
        <w:t>ordre du jour de la soixante-huitième session a été modifié lors de son adoption pour tenir compte du report de tous les examens des États parties qui avaient été initialement prévus.</w:t>
      </w:r>
    </w:p>
    <w:p w14:paraId="510D1C73" w14:textId="77777777" w:rsidR="00A02B4C" w:rsidRPr="00E626F0" w:rsidRDefault="00A02B4C" w:rsidP="00A02B4C">
      <w:pPr>
        <w:pStyle w:val="SingleTxtG"/>
        <w:rPr>
          <w:lang w:val="fr-FR"/>
        </w:rPr>
      </w:pPr>
      <w:r w:rsidRPr="00B86018">
        <w:rPr>
          <w:lang w:val="fr-FR"/>
        </w:rPr>
        <w:t>3.</w:t>
      </w:r>
      <w:r w:rsidRPr="00E626F0">
        <w:rPr>
          <w:lang w:val="fr-FR"/>
        </w:rPr>
        <w:tab/>
        <w:t xml:space="preserve">Un </w:t>
      </w:r>
      <w:r w:rsidRPr="00BF47B5">
        <w:rPr>
          <w:lang w:val="fr-FR"/>
        </w:rPr>
        <w:t>compte rendu des débats du Comité à ses soixante-septième et soixante-huitième sessions figure dans les comptes rendus analytiques pertinents (</w:t>
      </w:r>
      <w:hyperlink r:id="rId30" w:history="1">
        <w:r w:rsidRPr="00BF47B5">
          <w:rPr>
            <w:rStyle w:val="Lienhypertexte"/>
            <w:lang w:val="fr-FR"/>
          </w:rPr>
          <w:t>E/C.12/2020/SR.1</w:t>
        </w:r>
      </w:hyperlink>
      <w:r w:rsidRPr="00BF47B5">
        <w:rPr>
          <w:lang w:val="fr-FR"/>
        </w:rPr>
        <w:t xml:space="preserve"> et </w:t>
      </w:r>
      <w:hyperlink r:id="rId31" w:history="1">
        <w:r w:rsidRPr="00BF47B5">
          <w:rPr>
            <w:rStyle w:val="Lienhypertexte"/>
            <w:lang w:val="fr-FR"/>
          </w:rPr>
          <w:t>2</w:t>
        </w:r>
      </w:hyperlink>
      <w:r w:rsidRPr="00BF47B5">
        <w:rPr>
          <w:lang w:val="fr-FR"/>
        </w:rPr>
        <w:t xml:space="preserve">, </w:t>
      </w:r>
      <w:hyperlink r:id="rId32" w:history="1">
        <w:r w:rsidRPr="00BF47B5">
          <w:rPr>
            <w:rStyle w:val="Lienhypertexte"/>
            <w:lang w:val="fr-FR"/>
          </w:rPr>
          <w:t>SR.3</w:t>
        </w:r>
      </w:hyperlink>
      <w:r w:rsidRPr="00BF47B5">
        <w:rPr>
          <w:lang w:val="fr-FR"/>
        </w:rPr>
        <w:t xml:space="preserve"> et </w:t>
      </w:r>
      <w:hyperlink r:id="rId33" w:history="1">
        <w:r w:rsidRPr="00BF47B5">
          <w:rPr>
            <w:rStyle w:val="Lienhypertexte"/>
            <w:lang w:val="fr-FR"/>
          </w:rPr>
          <w:t>4</w:t>
        </w:r>
      </w:hyperlink>
      <w:r w:rsidRPr="00BF47B5">
        <w:rPr>
          <w:lang w:val="fr-FR"/>
        </w:rPr>
        <w:t xml:space="preserve">, </w:t>
      </w:r>
      <w:hyperlink r:id="rId34" w:history="1">
        <w:r w:rsidRPr="00BF47B5">
          <w:rPr>
            <w:rStyle w:val="Lienhypertexte"/>
            <w:lang w:val="fr-FR"/>
          </w:rPr>
          <w:t>SR.6</w:t>
        </w:r>
      </w:hyperlink>
      <w:r w:rsidRPr="00BF47B5">
        <w:rPr>
          <w:lang w:val="fr-FR"/>
        </w:rPr>
        <w:t xml:space="preserve"> à </w:t>
      </w:r>
      <w:hyperlink r:id="rId35" w:history="1">
        <w:r w:rsidRPr="00BF47B5">
          <w:rPr>
            <w:rStyle w:val="Lienhypertexte"/>
            <w:lang w:val="fr-FR"/>
          </w:rPr>
          <w:t>9</w:t>
        </w:r>
      </w:hyperlink>
      <w:r w:rsidRPr="00BF47B5">
        <w:rPr>
          <w:lang w:val="fr-FR"/>
        </w:rPr>
        <w:t xml:space="preserve">, </w:t>
      </w:r>
      <w:hyperlink r:id="rId36" w:history="1">
        <w:r w:rsidRPr="00BF47B5">
          <w:rPr>
            <w:rStyle w:val="Lienhypertexte"/>
            <w:lang w:val="fr-FR"/>
          </w:rPr>
          <w:t>SR.11</w:t>
        </w:r>
      </w:hyperlink>
      <w:r w:rsidRPr="00BF47B5">
        <w:rPr>
          <w:lang w:val="fr-FR"/>
        </w:rPr>
        <w:t xml:space="preserve"> à </w:t>
      </w:r>
      <w:hyperlink r:id="rId37" w:history="1">
        <w:r w:rsidRPr="00BF47B5">
          <w:rPr>
            <w:rStyle w:val="Lienhypertexte"/>
            <w:lang w:val="fr-FR"/>
          </w:rPr>
          <w:t>15</w:t>
        </w:r>
      </w:hyperlink>
      <w:r w:rsidRPr="00BF47B5">
        <w:rPr>
          <w:lang w:val="fr-FR"/>
        </w:rPr>
        <w:t xml:space="preserve">, </w:t>
      </w:r>
      <w:hyperlink r:id="rId38" w:history="1">
        <w:r w:rsidRPr="00BF47B5">
          <w:rPr>
            <w:rStyle w:val="Lienhypertexte"/>
            <w:lang w:val="fr-FR"/>
          </w:rPr>
          <w:t>SR.18</w:t>
        </w:r>
      </w:hyperlink>
      <w:r w:rsidRPr="00BF47B5">
        <w:rPr>
          <w:lang w:val="fr-FR"/>
        </w:rPr>
        <w:t xml:space="preserve">, </w:t>
      </w:r>
      <w:hyperlink r:id="rId39" w:history="1">
        <w:r w:rsidRPr="00BF47B5">
          <w:rPr>
            <w:rStyle w:val="Lienhypertexte"/>
            <w:lang w:val="fr-FR"/>
          </w:rPr>
          <w:t>SR.30</w:t>
        </w:r>
      </w:hyperlink>
      <w:r w:rsidRPr="00BF47B5">
        <w:rPr>
          <w:lang w:val="fr-FR"/>
        </w:rPr>
        <w:t xml:space="preserve"> et </w:t>
      </w:r>
      <w:hyperlink r:id="rId40" w:history="1">
        <w:r w:rsidRPr="00BF47B5">
          <w:rPr>
            <w:rStyle w:val="Lienhypertexte"/>
            <w:lang w:val="fr-FR"/>
          </w:rPr>
          <w:t>31</w:t>
        </w:r>
      </w:hyperlink>
      <w:r w:rsidRPr="00BF47B5">
        <w:rPr>
          <w:lang w:val="fr-FR"/>
        </w:rPr>
        <w:t xml:space="preserve"> et </w:t>
      </w:r>
      <w:hyperlink r:id="rId41" w:history="1">
        <w:r w:rsidRPr="00BF47B5">
          <w:rPr>
            <w:rStyle w:val="Lienhypertexte"/>
            <w:lang w:val="fr-FR"/>
          </w:rPr>
          <w:t>SR.51</w:t>
        </w:r>
      </w:hyperlink>
      <w:r w:rsidRPr="00BF47B5">
        <w:rPr>
          <w:lang w:val="fr-FR"/>
        </w:rPr>
        <w:t>).</w:t>
      </w:r>
    </w:p>
    <w:p w14:paraId="7F09383F" w14:textId="77777777" w:rsidR="00A02B4C" w:rsidRPr="007679BD" w:rsidRDefault="00A02B4C" w:rsidP="00A02B4C">
      <w:pPr>
        <w:pStyle w:val="H1G"/>
        <w:rPr>
          <w:lang w:val="fr-FR"/>
        </w:rPr>
      </w:pPr>
      <w:r>
        <w:rPr>
          <w:lang w:val="fr-FR"/>
        </w:rPr>
        <w:tab/>
        <w:t>C.</w:t>
      </w:r>
      <w:r>
        <w:rPr>
          <w:lang w:val="fr-FR"/>
        </w:rPr>
        <w:tab/>
      </w:r>
      <w:r>
        <w:rPr>
          <w:bCs/>
          <w:lang w:val="fr-FR"/>
        </w:rPr>
        <w:t>Composition du Comité et participation</w:t>
      </w:r>
      <w:bookmarkStart w:id="17" w:name="_Toc321313395"/>
      <w:bookmarkStart w:id="18" w:name="_Toc419703759"/>
      <w:bookmarkStart w:id="19" w:name="_Toc470861803"/>
      <w:bookmarkStart w:id="20" w:name="_Toc504665022"/>
      <w:bookmarkStart w:id="21" w:name="_Toc536190849"/>
      <w:bookmarkStart w:id="22" w:name="_Toc536458134"/>
      <w:bookmarkStart w:id="23" w:name="_Toc31123774"/>
      <w:bookmarkStart w:id="24" w:name="_Toc63084529"/>
      <w:bookmarkEnd w:id="17"/>
      <w:bookmarkEnd w:id="18"/>
      <w:bookmarkEnd w:id="19"/>
      <w:bookmarkEnd w:id="20"/>
      <w:bookmarkEnd w:id="21"/>
      <w:bookmarkEnd w:id="22"/>
      <w:bookmarkEnd w:id="23"/>
      <w:bookmarkEnd w:id="24"/>
    </w:p>
    <w:p w14:paraId="1FBFCC3D" w14:textId="77777777" w:rsidR="00A02B4C" w:rsidRPr="007679BD" w:rsidRDefault="00A02B4C" w:rsidP="00A02B4C">
      <w:pPr>
        <w:pStyle w:val="SingleTxtG"/>
        <w:rPr>
          <w:lang w:val="fr-FR"/>
        </w:rPr>
      </w:pPr>
      <w:r>
        <w:rPr>
          <w:lang w:val="fr-FR"/>
        </w:rPr>
        <w:t>4.</w:t>
      </w:r>
      <w:r>
        <w:rPr>
          <w:lang w:val="fr-FR"/>
        </w:rPr>
        <w:tab/>
        <w:t xml:space="preserve">La liste des membres du Comité figure en annexe au présent rapport. Tous les membres du Comité ont assisté </w:t>
      </w:r>
      <w:r w:rsidRPr="00B00880">
        <w:rPr>
          <w:lang w:val="fr-FR"/>
        </w:rPr>
        <w:t>aux soixante-septième et soixante-huitième sessions</w:t>
      </w:r>
      <w:r>
        <w:rPr>
          <w:lang w:val="fr-FR"/>
        </w:rPr>
        <w:t>. Le membre nouvellement élu du Comité, Ludovic Hennebel, a fait la déclaration solennelle le 30 septembre 2020, conformément à l’article 13 du Règlement intérieur du Comité.</w:t>
      </w:r>
    </w:p>
    <w:p w14:paraId="1C0B03AC" w14:textId="77777777" w:rsidR="00A02B4C" w:rsidRPr="007679BD" w:rsidRDefault="00A02B4C" w:rsidP="00A02B4C">
      <w:pPr>
        <w:pStyle w:val="H1G"/>
        <w:rPr>
          <w:lang w:val="fr-FR"/>
        </w:rPr>
      </w:pPr>
      <w:r>
        <w:rPr>
          <w:lang w:val="fr-FR"/>
        </w:rPr>
        <w:tab/>
        <w:t>D.</w:t>
      </w:r>
      <w:r>
        <w:rPr>
          <w:lang w:val="fr-FR"/>
        </w:rPr>
        <w:tab/>
      </w:r>
      <w:bookmarkStart w:id="25" w:name="_Hlk63770579"/>
      <w:r>
        <w:rPr>
          <w:bCs/>
          <w:lang w:val="fr-FR"/>
        </w:rPr>
        <w:t>Élection des remplaçants des membres du Bureau</w:t>
      </w:r>
      <w:bookmarkStart w:id="26" w:name="_Toc31123775"/>
      <w:bookmarkStart w:id="27" w:name="_Toc63084530"/>
      <w:bookmarkEnd w:id="26"/>
      <w:bookmarkEnd w:id="27"/>
      <w:bookmarkEnd w:id="25"/>
    </w:p>
    <w:p w14:paraId="6D98AA35" w14:textId="77777777" w:rsidR="00A02B4C" w:rsidRPr="007679BD" w:rsidRDefault="00A02B4C" w:rsidP="00A02B4C">
      <w:pPr>
        <w:pStyle w:val="SingleTxtG"/>
        <w:rPr>
          <w:lang w:val="fr-FR"/>
        </w:rPr>
      </w:pPr>
      <w:r>
        <w:rPr>
          <w:lang w:val="fr-FR"/>
        </w:rPr>
        <w:t>5.</w:t>
      </w:r>
      <w:r>
        <w:rPr>
          <w:lang w:val="fr-FR"/>
        </w:rPr>
        <w:tab/>
        <w:t>Conformément aux articles 14 et 19 de son règlement intérieur, à la 1</w:t>
      </w:r>
      <w:r w:rsidRPr="00BF558B">
        <w:rPr>
          <w:vertAlign w:val="superscript"/>
          <w:lang w:val="fr-FR"/>
        </w:rPr>
        <w:t>re</w:t>
      </w:r>
      <w:r>
        <w:rPr>
          <w:lang w:val="fr-FR"/>
        </w:rPr>
        <w:t xml:space="preserve"> séance de sa soixante-huitième session, le 30 septembre 2020, le Comité a élu Michael Windfuhr au Bureau en qualité </w:t>
      </w:r>
      <w:r w:rsidRPr="00FC7485">
        <w:rPr>
          <w:lang w:val="fr-FR"/>
        </w:rPr>
        <w:t>de rapporteur du</w:t>
      </w:r>
      <w:r>
        <w:rPr>
          <w:lang w:val="fr-FR"/>
        </w:rPr>
        <w:t xml:space="preserve"> Comité, en remplacement d’Olivier De Schutter qui avait démissionné du Comité à compter du 1</w:t>
      </w:r>
      <w:r w:rsidRPr="0000742C">
        <w:rPr>
          <w:vertAlign w:val="superscript"/>
          <w:lang w:val="fr-FR"/>
        </w:rPr>
        <w:t>er</w:t>
      </w:r>
      <w:r>
        <w:rPr>
          <w:lang w:val="fr-FR"/>
        </w:rPr>
        <w:t xml:space="preserve"> mai 2020. M. Windfuhr exercera les fonctions de rapporteur pour le mandat restant à courir de son prédécesseur, c’est-à-dire jusqu’à l’ouverture de la soixante-neuvième session du Comité.</w:t>
      </w:r>
    </w:p>
    <w:p w14:paraId="14C6B376" w14:textId="77777777" w:rsidR="00A02B4C" w:rsidRPr="007679BD" w:rsidRDefault="00A02B4C" w:rsidP="00A02B4C">
      <w:pPr>
        <w:pStyle w:val="H1G"/>
        <w:rPr>
          <w:lang w:val="fr-FR"/>
        </w:rPr>
      </w:pPr>
      <w:bookmarkStart w:id="28" w:name="_Toc321313396"/>
      <w:bookmarkStart w:id="29" w:name="_Toc419703760"/>
      <w:bookmarkStart w:id="30" w:name="_Toc470861804"/>
      <w:bookmarkStart w:id="31" w:name="_Toc504665023"/>
      <w:bookmarkStart w:id="32" w:name="_Toc532996333"/>
      <w:bookmarkStart w:id="33" w:name="_Toc536190850"/>
      <w:bookmarkStart w:id="34" w:name="_Toc536458135"/>
      <w:r>
        <w:rPr>
          <w:lang w:val="fr-FR"/>
        </w:rPr>
        <w:lastRenderedPageBreak/>
        <w:tab/>
        <w:t>E.</w:t>
      </w:r>
      <w:r>
        <w:rPr>
          <w:lang w:val="fr-FR"/>
        </w:rPr>
        <w:tab/>
      </w:r>
      <w:r>
        <w:rPr>
          <w:bCs/>
          <w:lang w:val="fr-FR"/>
        </w:rPr>
        <w:t>Groupe de travail de présession</w:t>
      </w:r>
      <w:bookmarkStart w:id="35" w:name="_Toc31123776"/>
      <w:bookmarkStart w:id="36" w:name="_Toc63084531"/>
      <w:bookmarkEnd w:id="28"/>
      <w:bookmarkEnd w:id="29"/>
      <w:bookmarkEnd w:id="30"/>
      <w:bookmarkEnd w:id="31"/>
      <w:bookmarkEnd w:id="32"/>
      <w:bookmarkEnd w:id="33"/>
      <w:bookmarkEnd w:id="34"/>
      <w:bookmarkEnd w:id="35"/>
      <w:bookmarkEnd w:id="36"/>
    </w:p>
    <w:p w14:paraId="25DF6141" w14:textId="77777777" w:rsidR="00A02B4C" w:rsidRPr="007679BD" w:rsidRDefault="00A02B4C" w:rsidP="00A02B4C">
      <w:pPr>
        <w:pStyle w:val="SingleTxtG"/>
        <w:rPr>
          <w:lang w:val="fr-FR"/>
        </w:rPr>
      </w:pPr>
      <w:r>
        <w:rPr>
          <w:lang w:val="fr-FR"/>
        </w:rPr>
        <w:t>6.</w:t>
      </w:r>
      <w:r>
        <w:rPr>
          <w:lang w:val="fr-FR"/>
        </w:rPr>
        <w:tab/>
        <w:t xml:space="preserve">Le Conseil économique et social, dans sa résolution </w:t>
      </w:r>
      <w:r w:rsidRPr="000D6ED5">
        <w:rPr>
          <w:lang w:val="fr-FR"/>
        </w:rPr>
        <w:t>1988/4</w:t>
      </w:r>
      <w:r>
        <w:rPr>
          <w:lang w:val="fr-FR"/>
        </w:rPr>
        <w:t xml:space="preserve"> du 24 mai 1988, a autorisé le Comité à établir un groupe de travail de présession, composé de cinq de ses membres nommés par le Président, qui se réunirait pendant une durée maximale d’une semaine avant chaque session. Par sa décision 1990/252 du 25 mai 1990, le Conseil a autorisé le groupe de travail à se réunir un à trois mois avant l’ouverture de la session du Comité.</w:t>
      </w:r>
    </w:p>
    <w:p w14:paraId="05A2B49D" w14:textId="77777777" w:rsidR="00A02B4C" w:rsidRPr="007679BD" w:rsidRDefault="00A02B4C" w:rsidP="00A02B4C">
      <w:pPr>
        <w:pStyle w:val="SingleTxtG"/>
        <w:rPr>
          <w:lang w:val="fr-FR"/>
        </w:rPr>
      </w:pPr>
      <w:r>
        <w:rPr>
          <w:lang w:val="fr-FR"/>
        </w:rPr>
        <w:t>7.</w:t>
      </w:r>
      <w:r>
        <w:rPr>
          <w:lang w:val="fr-FR"/>
        </w:rPr>
        <w:tab/>
        <w:t>Le Président du Comité, en consultation avec les membres du Bureau, a désigné les membres du Comité dont les noms suivent pour constituer le groupe de travail de présession devant se réunir :</w:t>
      </w:r>
    </w:p>
    <w:p w14:paraId="4DF78EC7" w14:textId="77777777" w:rsidR="00A02B4C" w:rsidRPr="007679BD" w:rsidRDefault="00A02B4C" w:rsidP="00A02B4C">
      <w:pPr>
        <w:pStyle w:val="SingleTxtG"/>
        <w:rPr>
          <w:i/>
          <w:iCs/>
          <w:lang w:val="fr-FR"/>
        </w:rPr>
      </w:pPr>
      <w:r w:rsidRPr="000D6ED5">
        <w:rPr>
          <w:i/>
          <w:iCs/>
          <w:lang w:val="fr-FR"/>
        </w:rPr>
        <w:t>Avant la soixante-sixième session</w:t>
      </w:r>
      <w:r>
        <w:rPr>
          <w:lang w:val="fr-FR"/>
        </w:rPr>
        <w:t> :</w:t>
      </w:r>
    </w:p>
    <w:p w14:paraId="2D2D346C" w14:textId="77777777" w:rsidR="00A02B4C" w:rsidRPr="007679BD" w:rsidRDefault="00A02B4C" w:rsidP="00A02B4C">
      <w:pPr>
        <w:pStyle w:val="SingleTxtG"/>
        <w:ind w:left="1701"/>
        <w:rPr>
          <w:b/>
          <w:bCs/>
          <w:lang w:val="fr-FR"/>
        </w:rPr>
      </w:pPr>
      <w:r>
        <w:rPr>
          <w:lang w:val="fr-FR"/>
        </w:rPr>
        <w:t xml:space="preserve">Laura-Maria </w:t>
      </w:r>
      <w:r w:rsidRPr="000D6ED5">
        <w:rPr>
          <w:b/>
          <w:bCs/>
          <w:lang w:val="fr-FR"/>
        </w:rPr>
        <w:t>Crăciunean-Tatu</w:t>
      </w:r>
    </w:p>
    <w:p w14:paraId="3A40DBB1" w14:textId="77777777" w:rsidR="00A02B4C" w:rsidRPr="007679BD" w:rsidRDefault="00A02B4C" w:rsidP="00A02B4C">
      <w:pPr>
        <w:pStyle w:val="SingleTxtG"/>
        <w:ind w:left="1701"/>
        <w:rPr>
          <w:lang w:val="fr-FR"/>
        </w:rPr>
      </w:pPr>
      <w:r>
        <w:rPr>
          <w:lang w:val="fr-FR"/>
        </w:rPr>
        <w:t xml:space="preserve">Peters Sunday Omologbe </w:t>
      </w:r>
      <w:r w:rsidRPr="000D6ED5">
        <w:rPr>
          <w:b/>
          <w:bCs/>
          <w:lang w:val="fr-FR"/>
        </w:rPr>
        <w:t>Emuze</w:t>
      </w:r>
    </w:p>
    <w:p w14:paraId="6538E193" w14:textId="77777777" w:rsidR="00A02B4C" w:rsidRPr="007679BD" w:rsidRDefault="00A02B4C" w:rsidP="00A02B4C">
      <w:pPr>
        <w:pStyle w:val="SingleTxtG"/>
        <w:ind w:left="1701"/>
        <w:rPr>
          <w:lang w:val="fr-FR"/>
        </w:rPr>
      </w:pPr>
      <w:r>
        <w:rPr>
          <w:lang w:val="fr-FR"/>
        </w:rPr>
        <w:t xml:space="preserve">Preeti </w:t>
      </w:r>
      <w:r w:rsidRPr="000D6ED5">
        <w:rPr>
          <w:b/>
          <w:bCs/>
          <w:lang w:val="fr-FR"/>
        </w:rPr>
        <w:t>Saran</w:t>
      </w:r>
    </w:p>
    <w:p w14:paraId="5232C128" w14:textId="77777777" w:rsidR="00A02B4C" w:rsidRPr="007679BD" w:rsidRDefault="00A02B4C" w:rsidP="00A02B4C">
      <w:pPr>
        <w:pStyle w:val="SingleTxtG"/>
        <w:ind w:left="1701"/>
        <w:rPr>
          <w:lang w:val="fr-FR"/>
        </w:rPr>
      </w:pPr>
      <w:r>
        <w:rPr>
          <w:lang w:val="fr-FR"/>
        </w:rPr>
        <w:t xml:space="preserve">Rodrigo </w:t>
      </w:r>
      <w:r w:rsidRPr="00270D35">
        <w:rPr>
          <w:b/>
          <w:bCs/>
          <w:lang w:val="fr-FR"/>
        </w:rPr>
        <w:t>Uprimny</w:t>
      </w:r>
    </w:p>
    <w:p w14:paraId="002905EF" w14:textId="77777777" w:rsidR="00A02B4C" w:rsidRPr="007679BD" w:rsidRDefault="00A02B4C" w:rsidP="00A02B4C">
      <w:pPr>
        <w:pStyle w:val="SingleTxtG"/>
        <w:ind w:left="1701"/>
        <w:rPr>
          <w:lang w:val="fr-FR"/>
        </w:rPr>
      </w:pPr>
      <w:r>
        <w:rPr>
          <w:lang w:val="fr-FR"/>
        </w:rPr>
        <w:t xml:space="preserve">Michael </w:t>
      </w:r>
      <w:r w:rsidRPr="00270D35">
        <w:rPr>
          <w:b/>
          <w:bCs/>
          <w:lang w:val="fr-FR"/>
        </w:rPr>
        <w:t>Windfuhr</w:t>
      </w:r>
      <w:r>
        <w:rPr>
          <w:lang w:val="fr-FR"/>
        </w:rPr>
        <w:t xml:space="preserve"> (Président)</w:t>
      </w:r>
    </w:p>
    <w:p w14:paraId="40D5529A" w14:textId="77777777" w:rsidR="00A02B4C" w:rsidRPr="007679BD" w:rsidRDefault="00A02B4C" w:rsidP="00A02B4C">
      <w:pPr>
        <w:pStyle w:val="SingleTxtG"/>
        <w:rPr>
          <w:lang w:val="fr-FR"/>
        </w:rPr>
      </w:pPr>
      <w:r w:rsidRPr="00270D35">
        <w:rPr>
          <w:i/>
          <w:iCs/>
          <w:lang w:val="fr-FR"/>
        </w:rPr>
        <w:t>Avant la soixante-septième session</w:t>
      </w:r>
      <w:r>
        <w:rPr>
          <w:lang w:val="fr-FR"/>
        </w:rPr>
        <w:t> :</w:t>
      </w:r>
    </w:p>
    <w:p w14:paraId="52CEC14D" w14:textId="77777777" w:rsidR="00A02B4C" w:rsidRPr="007679BD" w:rsidRDefault="00A02B4C" w:rsidP="00A02B4C">
      <w:pPr>
        <w:pStyle w:val="SingleTxtG"/>
        <w:ind w:left="1701"/>
        <w:rPr>
          <w:lang w:val="es-ES"/>
        </w:rPr>
      </w:pPr>
      <w:r w:rsidRPr="007679BD">
        <w:rPr>
          <w:lang w:val="es-ES"/>
        </w:rPr>
        <w:t xml:space="preserve">Aslan </w:t>
      </w:r>
      <w:r w:rsidRPr="00270D35">
        <w:rPr>
          <w:b/>
          <w:bCs/>
          <w:lang w:val="es-ES"/>
        </w:rPr>
        <w:t>Abashidze</w:t>
      </w:r>
    </w:p>
    <w:p w14:paraId="60DA89A7" w14:textId="77777777" w:rsidR="00A02B4C" w:rsidRPr="007679BD" w:rsidRDefault="00A02B4C" w:rsidP="00A02B4C">
      <w:pPr>
        <w:pStyle w:val="SingleTxtG"/>
        <w:ind w:left="1701"/>
        <w:rPr>
          <w:lang w:val="es-ES"/>
        </w:rPr>
      </w:pPr>
      <w:r w:rsidRPr="007679BD">
        <w:rPr>
          <w:lang w:val="es-ES"/>
        </w:rPr>
        <w:t xml:space="preserve">Sandra </w:t>
      </w:r>
      <w:r w:rsidRPr="00270D35">
        <w:rPr>
          <w:b/>
          <w:bCs/>
          <w:lang w:val="es-ES"/>
        </w:rPr>
        <w:t>Liebenberg</w:t>
      </w:r>
    </w:p>
    <w:p w14:paraId="3ADFADF9" w14:textId="77777777" w:rsidR="00A02B4C" w:rsidRPr="007679BD" w:rsidRDefault="00A02B4C" w:rsidP="00A02B4C">
      <w:pPr>
        <w:pStyle w:val="SingleTxtG"/>
        <w:ind w:left="1701"/>
        <w:rPr>
          <w:lang w:val="es-ES"/>
        </w:rPr>
      </w:pPr>
      <w:r w:rsidRPr="007679BD">
        <w:rPr>
          <w:lang w:val="es-ES"/>
        </w:rPr>
        <w:t xml:space="preserve">Mikel </w:t>
      </w:r>
      <w:r w:rsidRPr="00270D35">
        <w:rPr>
          <w:b/>
          <w:bCs/>
          <w:lang w:val="es-ES"/>
        </w:rPr>
        <w:t>Mancisidor de la Fuente</w:t>
      </w:r>
    </w:p>
    <w:p w14:paraId="32220F49" w14:textId="77777777" w:rsidR="00A02B4C" w:rsidRPr="00A02B4C" w:rsidRDefault="00A02B4C" w:rsidP="00A02B4C">
      <w:pPr>
        <w:pStyle w:val="SingleTxtG"/>
        <w:ind w:left="1701"/>
        <w:rPr>
          <w:lang w:val="en-US"/>
        </w:rPr>
      </w:pPr>
      <w:r w:rsidRPr="007679BD">
        <w:rPr>
          <w:lang w:val="en-US"/>
        </w:rPr>
        <w:t xml:space="preserve">Heisoo </w:t>
      </w:r>
      <w:r w:rsidRPr="00270D35">
        <w:rPr>
          <w:b/>
          <w:bCs/>
          <w:lang w:val="en-US"/>
        </w:rPr>
        <w:t>Shin</w:t>
      </w:r>
    </w:p>
    <w:p w14:paraId="5FB13796" w14:textId="77777777" w:rsidR="00A02B4C" w:rsidRPr="00A02B4C" w:rsidRDefault="00A02B4C" w:rsidP="00A02B4C">
      <w:pPr>
        <w:pStyle w:val="SingleTxtG"/>
        <w:ind w:left="1701"/>
        <w:rPr>
          <w:lang w:val="en-US"/>
        </w:rPr>
      </w:pPr>
      <w:r w:rsidRPr="007679BD">
        <w:rPr>
          <w:lang w:val="en-US"/>
        </w:rPr>
        <w:t xml:space="preserve">Renato </w:t>
      </w:r>
      <w:r w:rsidRPr="00270D35">
        <w:rPr>
          <w:b/>
          <w:bCs/>
          <w:lang w:val="en-US"/>
        </w:rPr>
        <w:t>Zerbini Ribeiro Leão</w:t>
      </w:r>
      <w:r w:rsidRPr="007679BD">
        <w:rPr>
          <w:lang w:val="en-US"/>
        </w:rPr>
        <w:t xml:space="preserve"> (Président)</w:t>
      </w:r>
    </w:p>
    <w:p w14:paraId="2CAE6E0E" w14:textId="77777777" w:rsidR="00A02B4C" w:rsidRPr="007679BD" w:rsidRDefault="00A02B4C" w:rsidP="00A02B4C">
      <w:pPr>
        <w:pStyle w:val="SingleTxtG"/>
        <w:rPr>
          <w:lang w:val="fr-FR"/>
        </w:rPr>
      </w:pPr>
      <w:r>
        <w:rPr>
          <w:lang w:val="fr-FR"/>
        </w:rPr>
        <w:t>8.</w:t>
      </w:r>
      <w:r>
        <w:rPr>
          <w:lang w:val="fr-FR"/>
        </w:rPr>
        <w:tab/>
        <w:t>Le groupe de travail de présession s’est réuni à l’Office des Nations Unies à Genève du 9 au 13 mars 2020 et en ligne en octobre 2020. Il a recensé de nouvelles questions qui pourraient être adressées aux États qui soumettent des rapports. Il a également élaboré, dans le cadre de la procédure simplifiée de présentation des rapports, des listes des points à traiter par un certain nombre d’États devant soumettre leur rapport au Comité. Ces listes ont été communiquées aux missions permanentes des États intéressés. Le groupe de travail a également été chargé de préparer un projet de méthodologie pour l’élaboration de listes de points avant la soumission des rapports, qu’il a présenté au Comité pour examen.</w:t>
      </w:r>
    </w:p>
    <w:p w14:paraId="3AC0CC87" w14:textId="77777777" w:rsidR="00A02B4C" w:rsidRPr="007679BD" w:rsidRDefault="00A02B4C" w:rsidP="00A02B4C">
      <w:pPr>
        <w:pStyle w:val="H1G"/>
        <w:rPr>
          <w:lang w:val="fr-FR"/>
        </w:rPr>
      </w:pPr>
      <w:bookmarkStart w:id="37" w:name="_Toc321313397"/>
      <w:bookmarkStart w:id="38" w:name="_Toc419703761"/>
      <w:r>
        <w:rPr>
          <w:lang w:val="fr-FR"/>
        </w:rPr>
        <w:tab/>
        <w:t>F.</w:t>
      </w:r>
      <w:r>
        <w:rPr>
          <w:lang w:val="fr-FR"/>
        </w:rPr>
        <w:tab/>
      </w:r>
      <w:r>
        <w:rPr>
          <w:bCs/>
          <w:lang w:val="fr-FR"/>
        </w:rPr>
        <w:t>Organisation des travaux</w:t>
      </w:r>
      <w:bookmarkStart w:id="39" w:name="_Toc470861805"/>
      <w:bookmarkStart w:id="40" w:name="_Toc504665024"/>
      <w:bookmarkStart w:id="41" w:name="_Toc532996334"/>
      <w:bookmarkStart w:id="42" w:name="_Toc536190851"/>
      <w:bookmarkStart w:id="43" w:name="_Toc536458136"/>
      <w:bookmarkStart w:id="44" w:name="_Toc31123777"/>
      <w:bookmarkStart w:id="45" w:name="_Toc63084532"/>
      <w:bookmarkEnd w:id="37"/>
      <w:bookmarkEnd w:id="38"/>
      <w:bookmarkEnd w:id="39"/>
      <w:bookmarkEnd w:id="40"/>
      <w:bookmarkEnd w:id="41"/>
      <w:bookmarkEnd w:id="42"/>
      <w:bookmarkEnd w:id="43"/>
      <w:bookmarkEnd w:id="44"/>
      <w:bookmarkEnd w:id="45"/>
    </w:p>
    <w:p w14:paraId="11732ECA" w14:textId="77777777" w:rsidR="00A02B4C" w:rsidRPr="007679BD" w:rsidRDefault="00A02B4C" w:rsidP="00A02B4C">
      <w:pPr>
        <w:pStyle w:val="SingleTxtG"/>
        <w:rPr>
          <w:lang w:val="fr-FR"/>
        </w:rPr>
      </w:pPr>
      <w:r>
        <w:rPr>
          <w:lang w:val="fr-FR"/>
        </w:rPr>
        <w:t>9.</w:t>
      </w:r>
      <w:r>
        <w:rPr>
          <w:lang w:val="fr-FR"/>
        </w:rPr>
        <w:tab/>
        <w:t>Conformément à l’article 8 de son règlement intérieur, le Comité a examiné, à la 1</w:t>
      </w:r>
      <w:r w:rsidRPr="00BF558B">
        <w:rPr>
          <w:vertAlign w:val="superscript"/>
          <w:lang w:val="fr-FR"/>
        </w:rPr>
        <w:t>re</w:t>
      </w:r>
      <w:r>
        <w:rPr>
          <w:lang w:val="fr-FR"/>
        </w:rPr>
        <w:t xml:space="preserve"> séance de chacune de ses sessions, l’ordre du jour provisoire et le programme de travail provisoire de ses </w:t>
      </w:r>
      <w:r w:rsidRPr="00B00880">
        <w:rPr>
          <w:lang w:val="fr-FR"/>
        </w:rPr>
        <w:t xml:space="preserve">soixante-septième et soixante-huitième </w:t>
      </w:r>
      <w:r>
        <w:rPr>
          <w:lang w:val="fr-FR"/>
        </w:rPr>
        <w:t>sessions et les a approuvés, tels qu’ils avaient été modifiés au cours du débat. Comme la soixante-huitième session s’est tenue en ligne dans un format réduit, aucun dialogue avec les États parties ne s’est tenu, contrairement à ce qu’il était prévu initialement ; tous les dialogues ont été reportés.</w:t>
      </w:r>
    </w:p>
    <w:p w14:paraId="0AD6A366" w14:textId="77777777" w:rsidR="00A02B4C" w:rsidRPr="007679BD" w:rsidRDefault="00A02B4C" w:rsidP="00A02B4C">
      <w:pPr>
        <w:pStyle w:val="H1G"/>
        <w:rPr>
          <w:lang w:val="fr-FR"/>
        </w:rPr>
      </w:pPr>
      <w:r>
        <w:rPr>
          <w:lang w:val="fr-FR"/>
        </w:rPr>
        <w:tab/>
        <w:t>G.</w:t>
      </w:r>
      <w:r>
        <w:rPr>
          <w:lang w:val="fr-FR"/>
        </w:rPr>
        <w:tab/>
      </w:r>
      <w:r>
        <w:rPr>
          <w:bCs/>
          <w:lang w:val="fr-FR"/>
        </w:rPr>
        <w:t>Prochaines sessions</w:t>
      </w:r>
      <w:bookmarkStart w:id="46" w:name="_Toc321313398"/>
      <w:bookmarkStart w:id="47" w:name="_Toc419703762"/>
      <w:bookmarkStart w:id="48" w:name="_Toc470861806"/>
      <w:bookmarkStart w:id="49" w:name="_Toc504665025"/>
      <w:bookmarkStart w:id="50" w:name="_Toc532996335"/>
      <w:bookmarkStart w:id="51" w:name="_Toc536190852"/>
      <w:bookmarkStart w:id="52" w:name="_Toc536458137"/>
      <w:bookmarkStart w:id="53" w:name="_Toc31123778"/>
      <w:bookmarkStart w:id="54" w:name="_Toc63084533"/>
      <w:bookmarkEnd w:id="46"/>
      <w:bookmarkEnd w:id="47"/>
      <w:bookmarkEnd w:id="48"/>
      <w:bookmarkEnd w:id="49"/>
      <w:bookmarkEnd w:id="50"/>
      <w:bookmarkEnd w:id="51"/>
      <w:bookmarkEnd w:id="52"/>
      <w:bookmarkEnd w:id="53"/>
      <w:bookmarkEnd w:id="54"/>
    </w:p>
    <w:p w14:paraId="67473361" w14:textId="77777777" w:rsidR="00A02B4C" w:rsidRPr="007679BD" w:rsidRDefault="00A02B4C" w:rsidP="00A02B4C">
      <w:pPr>
        <w:pStyle w:val="SingleTxtG"/>
        <w:rPr>
          <w:lang w:val="fr-FR"/>
        </w:rPr>
      </w:pPr>
      <w:r>
        <w:rPr>
          <w:lang w:val="fr-FR"/>
        </w:rPr>
        <w:t>10.</w:t>
      </w:r>
      <w:r>
        <w:rPr>
          <w:lang w:val="fr-FR"/>
        </w:rPr>
        <w:tab/>
        <w:t xml:space="preserve">Selon le calendrier établi, compte tenu du temps de réunion accordé par l’Assemblée générale dans sa résolution </w:t>
      </w:r>
      <w:hyperlink r:id="rId42" w:history="1">
        <w:r w:rsidRPr="00915D81">
          <w:rPr>
            <w:rStyle w:val="Lienhypertexte"/>
            <w:lang w:val="fr-FR"/>
          </w:rPr>
          <w:t>68/268</w:t>
        </w:r>
      </w:hyperlink>
      <w:r>
        <w:rPr>
          <w:lang w:val="fr-FR"/>
        </w:rPr>
        <w:t>, les soixante-neuvième et soixante-dixième sessions sont provisoirement prévues à l’Office des Nations Unies à Genève du 15 février au 5 mars 2021 et du 27 septembre au 15 octobre 2021, respectivement. Le Comité examine les modalités concernant la poursuite de ses travaux, dans des circonstances exceptionnelles, au cas où il s’avérerait encore impossible de tenir des sessions en présentiel.</w:t>
      </w:r>
    </w:p>
    <w:p w14:paraId="318AFA57" w14:textId="77777777" w:rsidR="00A02B4C" w:rsidRPr="007679BD" w:rsidRDefault="00A02B4C" w:rsidP="00A02B4C">
      <w:pPr>
        <w:pStyle w:val="H1G"/>
        <w:rPr>
          <w:lang w:val="fr-FR"/>
        </w:rPr>
      </w:pPr>
      <w:r>
        <w:rPr>
          <w:lang w:val="fr-FR"/>
        </w:rPr>
        <w:lastRenderedPageBreak/>
        <w:tab/>
        <w:t>H.</w:t>
      </w:r>
      <w:r>
        <w:rPr>
          <w:lang w:val="fr-FR"/>
        </w:rPr>
        <w:tab/>
      </w:r>
      <w:r>
        <w:rPr>
          <w:bCs/>
          <w:lang w:val="fr-FR"/>
        </w:rPr>
        <w:t xml:space="preserve">Rapports des États parties que le Comité doit examiner </w:t>
      </w:r>
      <w:r>
        <w:rPr>
          <w:bCs/>
          <w:lang w:val="fr-FR"/>
        </w:rPr>
        <w:br/>
        <w:t>à ses prochaines sessions</w:t>
      </w:r>
      <w:bookmarkStart w:id="55" w:name="_Toc321313399"/>
      <w:bookmarkStart w:id="56" w:name="_Toc419703763"/>
      <w:bookmarkStart w:id="57" w:name="_Toc470861807"/>
      <w:bookmarkStart w:id="58" w:name="_Toc504665026"/>
      <w:bookmarkStart w:id="59" w:name="_Toc532996336"/>
      <w:bookmarkStart w:id="60" w:name="_Toc536190853"/>
      <w:bookmarkStart w:id="61" w:name="_Toc536458138"/>
      <w:bookmarkStart w:id="62" w:name="_Toc31123779"/>
      <w:bookmarkStart w:id="63" w:name="_Toc63084534"/>
      <w:bookmarkEnd w:id="55"/>
      <w:bookmarkEnd w:id="56"/>
      <w:bookmarkEnd w:id="57"/>
      <w:bookmarkEnd w:id="58"/>
      <w:bookmarkEnd w:id="59"/>
      <w:bookmarkEnd w:id="60"/>
      <w:bookmarkEnd w:id="61"/>
      <w:bookmarkEnd w:id="62"/>
      <w:bookmarkEnd w:id="63"/>
    </w:p>
    <w:p w14:paraId="3BB296E0" w14:textId="77777777" w:rsidR="00A02B4C" w:rsidRPr="007679BD" w:rsidRDefault="00A02B4C" w:rsidP="00A02B4C">
      <w:pPr>
        <w:pStyle w:val="SingleTxtG"/>
        <w:rPr>
          <w:lang w:val="fr-FR"/>
        </w:rPr>
      </w:pPr>
      <w:r>
        <w:rPr>
          <w:lang w:val="fr-FR"/>
        </w:rPr>
        <w:t>11.</w:t>
      </w:r>
      <w:r>
        <w:rPr>
          <w:lang w:val="fr-FR"/>
        </w:rPr>
        <w:tab/>
        <w:t>Aux termes du paragraphe 2 de l’article 61 du Règlement intérieur du Comité, les rapports soumis par les États parties en application de l’article 16 du Pacte sont normalement examinés dans l’ordre dans lequel ils ont été reçus par le Secrétaire général. Au 16 octobre 2020, date de clôture de la soixante-huitième session, le Comité avait reçu les rapports ci-dessous, dont il a décidé de reporter l’examen, en raison de la COVID-19, de sa soixante-huitième session à sa soixante-neuvième session, si les réunions en présentiel peuvent reprendre. Si tel n’est pas le cas, le Comité a décidé de procéder à deux examens en ligne, en consultation avec les États cités ci-après.</w:t>
      </w:r>
    </w:p>
    <w:tbl>
      <w:tblPr>
        <w:tblW w:w="7370" w:type="dxa"/>
        <w:tblInd w:w="1134" w:type="dxa"/>
        <w:tblLayout w:type="fixed"/>
        <w:tblCellMar>
          <w:left w:w="0" w:type="dxa"/>
          <w:right w:w="0" w:type="dxa"/>
        </w:tblCellMar>
        <w:tblLook w:val="01E0" w:firstRow="1" w:lastRow="1" w:firstColumn="1" w:lastColumn="1" w:noHBand="0" w:noVBand="0"/>
      </w:tblPr>
      <w:tblGrid>
        <w:gridCol w:w="5102"/>
        <w:gridCol w:w="2268"/>
      </w:tblGrid>
      <w:tr w:rsidR="00A02B4C" w:rsidRPr="00B84EC4" w14:paraId="7EEF69FD" w14:textId="77777777" w:rsidTr="003836D7">
        <w:trPr>
          <w:cantSplit/>
          <w:tblHeader/>
        </w:trPr>
        <w:tc>
          <w:tcPr>
            <w:tcW w:w="7370" w:type="dxa"/>
            <w:gridSpan w:val="2"/>
            <w:tcBorders>
              <w:top w:val="single" w:sz="4" w:space="0" w:color="auto"/>
              <w:bottom w:val="single" w:sz="12" w:space="0" w:color="auto"/>
            </w:tcBorders>
            <w:shd w:val="clear" w:color="auto" w:fill="auto"/>
            <w:vAlign w:val="bottom"/>
          </w:tcPr>
          <w:p w14:paraId="4D52DCDA" w14:textId="77777777" w:rsidR="00A02B4C" w:rsidRPr="00B84EC4" w:rsidRDefault="00A02B4C" w:rsidP="003836D7">
            <w:pPr>
              <w:spacing w:before="80" w:after="80" w:line="200" w:lineRule="exact"/>
              <w:ind w:right="113"/>
              <w:rPr>
                <w:i/>
                <w:sz w:val="16"/>
              </w:rPr>
            </w:pPr>
            <w:r w:rsidRPr="00B84EC4">
              <w:rPr>
                <w:i/>
                <w:sz w:val="16"/>
                <w:lang w:val="fr-FR"/>
              </w:rPr>
              <w:t>Soixante-neuvième session (2021)</w:t>
            </w:r>
          </w:p>
        </w:tc>
      </w:tr>
      <w:tr w:rsidR="00A02B4C" w:rsidRPr="00B84EC4" w14:paraId="4B241038" w14:textId="77777777" w:rsidTr="003836D7">
        <w:trPr>
          <w:cantSplit/>
          <w:trHeight w:hRule="exact" w:val="113"/>
          <w:tblHeader/>
        </w:trPr>
        <w:tc>
          <w:tcPr>
            <w:tcW w:w="7370" w:type="dxa"/>
            <w:gridSpan w:val="2"/>
            <w:tcBorders>
              <w:top w:val="single" w:sz="12" w:space="0" w:color="auto"/>
            </w:tcBorders>
            <w:shd w:val="clear" w:color="auto" w:fill="auto"/>
          </w:tcPr>
          <w:p w14:paraId="41C20419" w14:textId="77777777" w:rsidR="00A02B4C" w:rsidRPr="00B84EC4" w:rsidRDefault="00A02B4C" w:rsidP="003836D7">
            <w:pPr>
              <w:spacing w:before="40" w:after="120"/>
              <w:ind w:right="113"/>
              <w:rPr>
                <w:lang w:val="fr-FR"/>
              </w:rPr>
            </w:pPr>
          </w:p>
        </w:tc>
      </w:tr>
      <w:tr w:rsidR="00A02B4C" w:rsidRPr="00B84EC4" w14:paraId="3F9BA522" w14:textId="77777777" w:rsidTr="003836D7">
        <w:trPr>
          <w:cantSplit/>
        </w:trPr>
        <w:tc>
          <w:tcPr>
            <w:tcW w:w="5102" w:type="dxa"/>
            <w:shd w:val="clear" w:color="auto" w:fill="auto"/>
          </w:tcPr>
          <w:p w14:paraId="418F05B7" w14:textId="77777777" w:rsidR="00A02B4C" w:rsidRPr="00B84EC4" w:rsidDel="0036485D" w:rsidRDefault="00A02B4C" w:rsidP="003836D7">
            <w:pPr>
              <w:spacing w:before="40" w:after="120"/>
              <w:ind w:right="113"/>
            </w:pPr>
            <w:r w:rsidRPr="00B84EC4">
              <w:rPr>
                <w:lang w:val="fr-FR"/>
              </w:rPr>
              <w:t>Azerbaïdjan</w:t>
            </w:r>
          </w:p>
        </w:tc>
        <w:tc>
          <w:tcPr>
            <w:tcW w:w="2268" w:type="dxa"/>
            <w:shd w:val="clear" w:color="auto" w:fill="auto"/>
          </w:tcPr>
          <w:p w14:paraId="26DB215D" w14:textId="77777777" w:rsidR="00A02B4C" w:rsidRPr="0041666F" w:rsidDel="0036485D" w:rsidRDefault="00A02B4C" w:rsidP="003836D7">
            <w:pPr>
              <w:spacing w:before="40" w:after="120"/>
              <w:ind w:right="113"/>
              <w:rPr>
                <w:rStyle w:val="Lienhypertexte"/>
              </w:rPr>
            </w:pPr>
            <w:hyperlink r:id="rId43" w:history="1">
              <w:r w:rsidRPr="0041666F">
                <w:rPr>
                  <w:rStyle w:val="Lienhypertexte"/>
                </w:rPr>
                <w:t>E/C.12/AZE/4</w:t>
              </w:r>
            </w:hyperlink>
          </w:p>
        </w:tc>
      </w:tr>
      <w:tr w:rsidR="00A02B4C" w:rsidRPr="00B84EC4" w14:paraId="3B051217" w14:textId="77777777" w:rsidTr="003836D7">
        <w:trPr>
          <w:cantSplit/>
        </w:trPr>
        <w:tc>
          <w:tcPr>
            <w:tcW w:w="5102" w:type="dxa"/>
            <w:shd w:val="clear" w:color="auto" w:fill="auto"/>
          </w:tcPr>
          <w:p w14:paraId="511AD39B" w14:textId="77777777" w:rsidR="00A02B4C" w:rsidRPr="00B84EC4" w:rsidDel="006F4D06" w:rsidRDefault="00A02B4C" w:rsidP="003836D7">
            <w:pPr>
              <w:spacing w:before="40" w:after="120"/>
              <w:ind w:right="113"/>
            </w:pPr>
            <w:r w:rsidRPr="00B84EC4">
              <w:rPr>
                <w:lang w:val="fr-FR"/>
              </w:rPr>
              <w:t>Bolivie (État plurinational de)</w:t>
            </w:r>
          </w:p>
        </w:tc>
        <w:tc>
          <w:tcPr>
            <w:tcW w:w="2268" w:type="dxa"/>
            <w:shd w:val="clear" w:color="auto" w:fill="auto"/>
          </w:tcPr>
          <w:p w14:paraId="0D34BB60" w14:textId="77777777" w:rsidR="00A02B4C" w:rsidRPr="0041666F" w:rsidRDefault="00A02B4C" w:rsidP="003836D7">
            <w:pPr>
              <w:spacing w:before="40" w:after="120"/>
              <w:ind w:right="113"/>
              <w:rPr>
                <w:rStyle w:val="Lienhypertexte"/>
              </w:rPr>
            </w:pPr>
            <w:hyperlink r:id="rId44" w:history="1">
              <w:r w:rsidRPr="0041666F">
                <w:rPr>
                  <w:rStyle w:val="Lienhypertexte"/>
                </w:rPr>
                <w:t>E/C.12/BOL/3</w:t>
              </w:r>
            </w:hyperlink>
          </w:p>
        </w:tc>
      </w:tr>
      <w:tr w:rsidR="00A02B4C" w:rsidRPr="00B84EC4" w14:paraId="3B4FE8D4" w14:textId="77777777" w:rsidTr="003836D7">
        <w:trPr>
          <w:cantSplit/>
        </w:trPr>
        <w:tc>
          <w:tcPr>
            <w:tcW w:w="5102" w:type="dxa"/>
            <w:shd w:val="clear" w:color="auto" w:fill="auto"/>
          </w:tcPr>
          <w:p w14:paraId="4C93C962" w14:textId="77777777" w:rsidR="00A02B4C" w:rsidRPr="00B84EC4" w:rsidRDefault="00A02B4C" w:rsidP="003836D7">
            <w:pPr>
              <w:spacing w:before="40" w:after="120"/>
              <w:ind w:right="113"/>
            </w:pPr>
            <w:r w:rsidRPr="00B84EC4">
              <w:rPr>
                <w:lang w:val="fr-FR"/>
              </w:rPr>
              <w:t>Bosnie-Herzégovine</w:t>
            </w:r>
          </w:p>
        </w:tc>
        <w:tc>
          <w:tcPr>
            <w:tcW w:w="2268" w:type="dxa"/>
            <w:shd w:val="clear" w:color="auto" w:fill="auto"/>
          </w:tcPr>
          <w:p w14:paraId="5CA183F3" w14:textId="77777777" w:rsidR="00A02B4C" w:rsidRPr="0041666F" w:rsidRDefault="00A02B4C" w:rsidP="003836D7">
            <w:pPr>
              <w:spacing w:before="40" w:after="120"/>
              <w:ind w:right="113"/>
              <w:rPr>
                <w:rStyle w:val="Lienhypertexte"/>
              </w:rPr>
            </w:pPr>
            <w:hyperlink r:id="rId45" w:history="1">
              <w:r w:rsidRPr="0041666F">
                <w:rPr>
                  <w:rStyle w:val="Lienhypertexte"/>
                </w:rPr>
                <w:t>E/C.12/BIH/3</w:t>
              </w:r>
            </w:hyperlink>
          </w:p>
        </w:tc>
      </w:tr>
      <w:tr w:rsidR="00A02B4C" w:rsidRPr="00B84EC4" w14:paraId="3F33484B" w14:textId="77777777" w:rsidTr="003836D7">
        <w:trPr>
          <w:cantSplit/>
        </w:trPr>
        <w:tc>
          <w:tcPr>
            <w:tcW w:w="5102" w:type="dxa"/>
            <w:shd w:val="clear" w:color="auto" w:fill="auto"/>
          </w:tcPr>
          <w:p w14:paraId="03A3E7E8" w14:textId="77777777" w:rsidR="00A02B4C" w:rsidRPr="00B84EC4" w:rsidDel="0036485D" w:rsidRDefault="00A02B4C" w:rsidP="003836D7">
            <w:pPr>
              <w:spacing w:before="40" w:after="120"/>
              <w:ind w:right="113"/>
            </w:pPr>
            <w:r w:rsidRPr="00B84EC4">
              <w:rPr>
                <w:lang w:val="fr-FR"/>
              </w:rPr>
              <w:t>Finlande</w:t>
            </w:r>
          </w:p>
        </w:tc>
        <w:tc>
          <w:tcPr>
            <w:tcW w:w="2268" w:type="dxa"/>
            <w:shd w:val="clear" w:color="auto" w:fill="auto"/>
          </w:tcPr>
          <w:p w14:paraId="42046F6C" w14:textId="77777777" w:rsidR="00A02B4C" w:rsidRPr="0041666F" w:rsidDel="0036485D" w:rsidRDefault="00A02B4C" w:rsidP="003836D7">
            <w:pPr>
              <w:spacing w:before="40" w:after="120"/>
              <w:ind w:right="113"/>
              <w:rPr>
                <w:rStyle w:val="Lienhypertexte"/>
              </w:rPr>
            </w:pPr>
            <w:hyperlink r:id="rId46" w:history="1">
              <w:r w:rsidRPr="0041666F">
                <w:rPr>
                  <w:rStyle w:val="Lienhypertexte"/>
                </w:rPr>
                <w:t>E/C.12/FIN/7</w:t>
              </w:r>
            </w:hyperlink>
          </w:p>
        </w:tc>
      </w:tr>
      <w:tr w:rsidR="00A02B4C" w:rsidRPr="00B84EC4" w14:paraId="13132A72" w14:textId="77777777" w:rsidTr="003836D7">
        <w:trPr>
          <w:cantSplit/>
        </w:trPr>
        <w:tc>
          <w:tcPr>
            <w:tcW w:w="5102" w:type="dxa"/>
            <w:shd w:val="clear" w:color="auto" w:fill="auto"/>
          </w:tcPr>
          <w:p w14:paraId="2D6938B8" w14:textId="77777777" w:rsidR="00A02B4C" w:rsidRPr="00B84EC4" w:rsidDel="0036485D" w:rsidRDefault="00A02B4C" w:rsidP="003836D7">
            <w:pPr>
              <w:spacing w:before="40" w:after="120"/>
              <w:ind w:right="113"/>
            </w:pPr>
            <w:r w:rsidRPr="00B84EC4">
              <w:rPr>
                <w:lang w:val="fr-FR"/>
              </w:rPr>
              <w:t>Koweït</w:t>
            </w:r>
          </w:p>
        </w:tc>
        <w:tc>
          <w:tcPr>
            <w:tcW w:w="2268" w:type="dxa"/>
            <w:shd w:val="clear" w:color="auto" w:fill="auto"/>
          </w:tcPr>
          <w:p w14:paraId="38B1ABA8" w14:textId="77777777" w:rsidR="00A02B4C" w:rsidRPr="0041666F" w:rsidDel="0036485D" w:rsidRDefault="00A02B4C" w:rsidP="003836D7">
            <w:pPr>
              <w:spacing w:before="40" w:after="120"/>
              <w:ind w:right="113"/>
              <w:rPr>
                <w:rStyle w:val="Lienhypertexte"/>
              </w:rPr>
            </w:pPr>
            <w:hyperlink r:id="rId47" w:history="1">
              <w:r w:rsidRPr="0041666F">
                <w:rPr>
                  <w:rStyle w:val="Lienhypertexte"/>
                </w:rPr>
                <w:t>E/C.12/KWT/3</w:t>
              </w:r>
            </w:hyperlink>
          </w:p>
        </w:tc>
      </w:tr>
      <w:tr w:rsidR="00A02B4C" w:rsidRPr="00B84EC4" w14:paraId="1F1F4D54" w14:textId="77777777" w:rsidTr="003836D7">
        <w:trPr>
          <w:cantSplit/>
        </w:trPr>
        <w:tc>
          <w:tcPr>
            <w:tcW w:w="5102" w:type="dxa"/>
            <w:tcBorders>
              <w:bottom w:val="single" w:sz="12" w:space="0" w:color="auto"/>
            </w:tcBorders>
            <w:shd w:val="clear" w:color="auto" w:fill="auto"/>
          </w:tcPr>
          <w:p w14:paraId="615005CB" w14:textId="77777777" w:rsidR="00A02B4C" w:rsidRPr="00B84EC4" w:rsidRDefault="00A02B4C" w:rsidP="003836D7">
            <w:pPr>
              <w:spacing w:before="40" w:after="120"/>
              <w:ind w:right="113"/>
            </w:pPr>
            <w:r w:rsidRPr="00B84EC4">
              <w:rPr>
                <w:lang w:val="fr-FR"/>
              </w:rPr>
              <w:t>Nicaragua</w:t>
            </w:r>
          </w:p>
        </w:tc>
        <w:tc>
          <w:tcPr>
            <w:tcW w:w="2268" w:type="dxa"/>
            <w:tcBorders>
              <w:bottom w:val="single" w:sz="12" w:space="0" w:color="auto"/>
            </w:tcBorders>
            <w:shd w:val="clear" w:color="auto" w:fill="auto"/>
          </w:tcPr>
          <w:p w14:paraId="55FB274B" w14:textId="77777777" w:rsidR="00A02B4C" w:rsidRPr="0041666F" w:rsidRDefault="00A02B4C" w:rsidP="003836D7">
            <w:pPr>
              <w:spacing w:before="40" w:after="120"/>
              <w:ind w:right="113"/>
              <w:rPr>
                <w:rStyle w:val="Lienhypertexte"/>
              </w:rPr>
            </w:pPr>
            <w:hyperlink r:id="rId48" w:history="1">
              <w:r w:rsidRPr="0041666F">
                <w:rPr>
                  <w:rStyle w:val="Lienhypertexte"/>
                </w:rPr>
                <w:t>E/C.12/NIC/5</w:t>
              </w:r>
            </w:hyperlink>
          </w:p>
        </w:tc>
      </w:tr>
    </w:tbl>
    <w:p w14:paraId="0EE64445" w14:textId="77777777" w:rsidR="00A02B4C" w:rsidRPr="007679BD" w:rsidRDefault="00A02B4C" w:rsidP="00A02B4C">
      <w:pPr>
        <w:pStyle w:val="SingleTxtG"/>
        <w:spacing w:before="240"/>
        <w:rPr>
          <w:lang w:val="fr-FR"/>
        </w:rPr>
      </w:pPr>
      <w:r>
        <w:rPr>
          <w:lang w:val="fr-FR"/>
        </w:rPr>
        <w:t>12.</w:t>
      </w:r>
      <w:r>
        <w:rPr>
          <w:lang w:val="fr-FR"/>
        </w:rPr>
        <w:tab/>
        <w:t xml:space="preserve">Le Comité a décidé d’examiner la question des rapports attendus de longue date. Au 16 octobre 2020, 27 États parties étaient en retard dans la présentation de leur rapport initial au Comité. Parmi ces rapports, 18 étaient attendus depuis plus de dix ans : </w:t>
      </w:r>
      <w:r w:rsidRPr="00270D35">
        <w:t>Congo, Côte</w:t>
      </w:r>
      <w:r>
        <w:t> </w:t>
      </w:r>
      <w:r w:rsidRPr="00270D35">
        <w:t xml:space="preserve">d’Ivoire, Dominique, Érythrée, </w:t>
      </w:r>
      <w:r w:rsidRPr="00083A24">
        <w:t>Eswatini</w:t>
      </w:r>
      <w:r w:rsidRPr="00270D35">
        <w:t>, Ghana, Grenade, Guinée</w:t>
      </w:r>
      <w:r w:rsidRPr="00083A24">
        <w:t>-Bissau</w:t>
      </w:r>
      <w:r w:rsidRPr="00270D35">
        <w:t>, Lesotho, Libéria, Malawi, Maldives, République démocratique populaire lao, Saint-Vincent-et-les Grenadines, Seychelles, Sierra Leone, Somalie</w:t>
      </w:r>
      <w:r w:rsidRPr="00083A24">
        <w:t xml:space="preserve"> </w:t>
      </w:r>
      <w:r>
        <w:t>et</w:t>
      </w:r>
      <w:r w:rsidRPr="00083A24">
        <w:t xml:space="preserve"> </w:t>
      </w:r>
      <w:r w:rsidRPr="00270D35">
        <w:t>Timor-Leste</w:t>
      </w:r>
      <w:r>
        <w:rPr>
          <w:lang w:val="fr-FR"/>
        </w:rPr>
        <w:t>.</w:t>
      </w:r>
    </w:p>
    <w:p w14:paraId="32D5B9BF" w14:textId="77777777" w:rsidR="00A02B4C" w:rsidRPr="007679BD" w:rsidRDefault="00A02B4C" w:rsidP="00A02B4C">
      <w:pPr>
        <w:pStyle w:val="SingleTxtG"/>
        <w:rPr>
          <w:lang w:val="fr-FR"/>
        </w:rPr>
      </w:pPr>
      <w:r>
        <w:rPr>
          <w:lang w:val="fr-FR"/>
        </w:rPr>
        <w:t>13.</w:t>
      </w:r>
      <w:r>
        <w:rPr>
          <w:lang w:val="fr-FR"/>
        </w:rPr>
        <w:tab/>
        <w:t>Au 16 octobre 2020, en plus de ceux énumérés ci-dessus, les rapports de 13 États parties avaient été soumis et étaient en attente d’examen par le Comité. Ces États parties, dans l’ordre de réception des rapports, sont les suivants : Chine (y compris Hong Kong, Chine, et Macao, Chine) ; Bélarus ; Luxembourg ; Tadjikistan ; Panama ; Lituanie ; Portugal ; Brésil ; Cambodge ; Arménie ; Mauritanie ; Tchad et Qatar.</w:t>
      </w:r>
    </w:p>
    <w:p w14:paraId="4C43B472" w14:textId="77777777" w:rsidR="00A02B4C" w:rsidRPr="007679BD" w:rsidRDefault="00A02B4C" w:rsidP="00A02B4C">
      <w:pPr>
        <w:pStyle w:val="HChG"/>
        <w:rPr>
          <w:lang w:val="fr-FR"/>
        </w:rPr>
      </w:pPr>
      <w:r>
        <w:rPr>
          <w:lang w:val="fr-FR"/>
        </w:rPr>
        <w:tab/>
      </w:r>
      <w:r>
        <w:rPr>
          <w:lang w:val="fr-FR"/>
        </w:rPr>
        <w:tab/>
      </w:r>
      <w:r w:rsidRPr="00A90D1F">
        <w:rPr>
          <w:lang w:val="fr-FR"/>
        </w:rPr>
        <w:t>Chapitre</w:t>
      </w:r>
      <w:r>
        <w:rPr>
          <w:bCs/>
          <w:lang w:val="fr-FR"/>
        </w:rPr>
        <w:t xml:space="preserve"> II</w:t>
      </w:r>
      <w:r>
        <w:rPr>
          <w:bCs/>
          <w:lang w:val="fr-FR"/>
        </w:rPr>
        <w:br/>
        <w:t>Aperçu des méthodes de travail actuelles du Comité</w:t>
      </w:r>
      <w:bookmarkStart w:id="64" w:name="_Toc321313400"/>
      <w:bookmarkStart w:id="65" w:name="_Toc470861808"/>
      <w:bookmarkStart w:id="66" w:name="_Toc504665027"/>
      <w:bookmarkStart w:id="67" w:name="_Toc532996337"/>
      <w:bookmarkStart w:id="68" w:name="_Toc536190854"/>
      <w:bookmarkStart w:id="69" w:name="_Toc536458139"/>
      <w:bookmarkStart w:id="70" w:name="_Toc31123780"/>
      <w:bookmarkStart w:id="71" w:name="_Toc419703764"/>
      <w:bookmarkStart w:id="72" w:name="_Toc63084535"/>
      <w:bookmarkEnd w:id="64"/>
      <w:bookmarkEnd w:id="65"/>
      <w:bookmarkEnd w:id="66"/>
      <w:bookmarkEnd w:id="67"/>
      <w:bookmarkEnd w:id="68"/>
      <w:bookmarkEnd w:id="69"/>
      <w:bookmarkEnd w:id="70"/>
      <w:bookmarkEnd w:id="71"/>
      <w:bookmarkEnd w:id="72"/>
    </w:p>
    <w:p w14:paraId="5C6E4E02" w14:textId="77777777" w:rsidR="00A02B4C" w:rsidRPr="007679BD" w:rsidRDefault="00A02B4C" w:rsidP="00A02B4C">
      <w:pPr>
        <w:pStyle w:val="SingleTxtG"/>
        <w:rPr>
          <w:lang w:val="fr-FR"/>
        </w:rPr>
      </w:pPr>
      <w:r>
        <w:rPr>
          <w:lang w:val="fr-FR"/>
        </w:rPr>
        <w:t>14.</w:t>
      </w:r>
      <w:r>
        <w:rPr>
          <w:lang w:val="fr-FR"/>
        </w:rPr>
        <w:tab/>
        <w:t>Le présent chapitre contient un aperçu concis et actualisé ainsi qu’une explication des méthodes auxquelles le Comité recourt pour s’acquitter de ses diverses tâches, y compris des informations sur l’évolution récente de ses méthodes de travail. Il a pour objectif de rendre la pratique actuelle du Comité plus transparente et accessible aux États parties et aux autres acteurs concernés par l’application du Pacte.</w:t>
      </w:r>
    </w:p>
    <w:p w14:paraId="0EB37F57" w14:textId="77777777" w:rsidR="00A02B4C" w:rsidRPr="007679BD" w:rsidRDefault="00A02B4C" w:rsidP="00A02B4C">
      <w:pPr>
        <w:pStyle w:val="SingleTxtG"/>
        <w:rPr>
          <w:lang w:val="fr-FR"/>
        </w:rPr>
      </w:pPr>
      <w:r>
        <w:rPr>
          <w:lang w:val="fr-FR"/>
        </w:rPr>
        <w:t>15.</w:t>
      </w:r>
      <w:r>
        <w:rPr>
          <w:lang w:val="fr-FR"/>
        </w:rPr>
        <w:tab/>
        <w:t xml:space="preserve">Le Comité s’efforce de mettre au point des méthodes de travail appropriées qui répondent efficacement à la nature des tâches qui lui ont été confiées. Tout au long de ses 68 sessions, il s’est employé à modifier et à renforcer ces méthodes en fonction de son expérience et à s’adapter à l’évolution du fonctionnement de l’ensemble des organes conventionnels. Ces méthodes continueront d’évoluer compte tenu de la résolution </w:t>
      </w:r>
      <w:hyperlink r:id="rId49" w:history="1">
        <w:r w:rsidRPr="00915D81">
          <w:rPr>
            <w:rStyle w:val="Lienhypertexte"/>
            <w:lang w:val="fr-FR"/>
          </w:rPr>
          <w:t>68/268</w:t>
        </w:r>
      </w:hyperlink>
      <w:r w:rsidRPr="00A07B57">
        <w:rPr>
          <w:lang w:val="fr-FR"/>
        </w:rPr>
        <w:t xml:space="preserve"> </w:t>
      </w:r>
      <w:r>
        <w:rPr>
          <w:lang w:val="fr-FR"/>
        </w:rPr>
        <w:t>de l’Assemblée générale sur le renforcement et l’amélioration du fonctionnement de l’ensemble des organes conventionnels des droits de l’homme, adoptée le 9 avril 2014.</w:t>
      </w:r>
    </w:p>
    <w:p w14:paraId="1728F391" w14:textId="77777777" w:rsidR="00A02B4C" w:rsidRPr="007679BD" w:rsidRDefault="00A02B4C" w:rsidP="00A02B4C">
      <w:pPr>
        <w:pStyle w:val="H1G"/>
        <w:rPr>
          <w:lang w:val="fr-FR"/>
        </w:rPr>
      </w:pPr>
      <w:r>
        <w:rPr>
          <w:lang w:val="fr-FR"/>
        </w:rPr>
        <w:lastRenderedPageBreak/>
        <w:tab/>
        <w:t>A.</w:t>
      </w:r>
      <w:r>
        <w:rPr>
          <w:lang w:val="fr-FR"/>
        </w:rPr>
        <w:tab/>
      </w:r>
      <w:r>
        <w:rPr>
          <w:bCs/>
          <w:lang w:val="fr-FR"/>
        </w:rPr>
        <w:t xml:space="preserve">Effet des mesures adoptées pour résorber l’arriéré des rapports </w:t>
      </w:r>
      <w:r>
        <w:rPr>
          <w:bCs/>
          <w:lang w:val="fr-FR"/>
        </w:rPr>
        <w:br/>
        <w:t>en attente d’examen</w:t>
      </w:r>
      <w:bookmarkStart w:id="73" w:name="_Toc419703765"/>
      <w:bookmarkStart w:id="74" w:name="_Toc470861809"/>
      <w:bookmarkStart w:id="75" w:name="_Toc504665028"/>
      <w:bookmarkStart w:id="76" w:name="_Toc532996338"/>
      <w:bookmarkStart w:id="77" w:name="_Toc536190855"/>
      <w:bookmarkStart w:id="78" w:name="_Toc536458140"/>
      <w:bookmarkStart w:id="79" w:name="_Toc31123781"/>
      <w:bookmarkStart w:id="80" w:name="_Toc63084536"/>
      <w:bookmarkEnd w:id="73"/>
      <w:bookmarkEnd w:id="74"/>
      <w:bookmarkEnd w:id="75"/>
      <w:bookmarkEnd w:id="76"/>
      <w:bookmarkEnd w:id="77"/>
      <w:bookmarkEnd w:id="78"/>
      <w:bookmarkEnd w:id="79"/>
      <w:bookmarkEnd w:id="80"/>
    </w:p>
    <w:p w14:paraId="1914B5AE" w14:textId="77777777" w:rsidR="00A02B4C" w:rsidRPr="007679BD" w:rsidRDefault="00A02B4C" w:rsidP="00A02B4C">
      <w:pPr>
        <w:pStyle w:val="SingleTxtG"/>
        <w:rPr>
          <w:lang w:val="fr-FR"/>
        </w:rPr>
      </w:pPr>
      <w:r>
        <w:rPr>
          <w:lang w:val="fr-FR"/>
        </w:rPr>
        <w:t>16.</w:t>
      </w:r>
      <w:r>
        <w:rPr>
          <w:lang w:val="fr-FR"/>
        </w:rPr>
        <w:tab/>
        <w:t>Le temps de réunion supplémentaire accordé au Comité en 2013 et 2014, et certaines mesures adoptées par le Comité, ont permis de continuer à réduire l’arriéré, comme cela a été indiqué en 2015. En 2020, en raison des effets de la COVID-19, le Comité a examiné cinq rapports d’États parties. Les rapports des États parties qui devaient être examinés à la soixante-huitième session ont tous été reportés à la soixante-neuvième session. Au moment de l’adoption du présent rapport, les modalités exactes d’organisation de la soixante</w:t>
      </w:r>
      <w:r>
        <w:rPr>
          <w:lang w:val="fr-FR"/>
        </w:rPr>
        <w:noBreakHyphen/>
        <w:t>neuvième session restent incertaines.</w:t>
      </w:r>
    </w:p>
    <w:p w14:paraId="4A8A89EF" w14:textId="77777777" w:rsidR="00A02B4C" w:rsidRPr="007679BD" w:rsidRDefault="00A02B4C" w:rsidP="00A02B4C">
      <w:pPr>
        <w:pStyle w:val="SingleTxtG"/>
        <w:rPr>
          <w:lang w:val="fr-FR"/>
        </w:rPr>
      </w:pPr>
      <w:r>
        <w:rPr>
          <w:lang w:val="fr-FR"/>
        </w:rPr>
        <w:t>17.</w:t>
      </w:r>
      <w:r>
        <w:rPr>
          <w:lang w:val="fr-FR"/>
        </w:rPr>
        <w:tab/>
        <w:t>En conséquence, au moment de l’adoption du présent rapport, un nouvel arriéré de rapports en attente d’examen par le Comité s’accumulait. Le Comité ne peut pas prévoir avec certitude le nombre de rapports qui seront soumis chaque année et l’arriéré susceptible d’en résulter.</w:t>
      </w:r>
    </w:p>
    <w:p w14:paraId="3FDA78BB" w14:textId="77777777" w:rsidR="00A02B4C" w:rsidRPr="007679BD" w:rsidRDefault="00A02B4C" w:rsidP="00A02B4C">
      <w:pPr>
        <w:pStyle w:val="H1G"/>
        <w:rPr>
          <w:lang w:val="fr-FR"/>
        </w:rPr>
      </w:pPr>
      <w:r>
        <w:rPr>
          <w:lang w:val="fr-FR"/>
        </w:rPr>
        <w:tab/>
        <w:t>B.</w:t>
      </w:r>
      <w:r>
        <w:rPr>
          <w:lang w:val="fr-FR"/>
        </w:rPr>
        <w:tab/>
      </w:r>
      <w:r>
        <w:rPr>
          <w:bCs/>
          <w:lang w:val="fr-FR"/>
        </w:rPr>
        <w:t>Directives générales pour la présentation des rapports et procédure simplifiée de présentation des rapports</w:t>
      </w:r>
      <w:bookmarkStart w:id="81" w:name="_Toc321313401"/>
      <w:bookmarkStart w:id="82" w:name="_Toc419703766"/>
      <w:bookmarkStart w:id="83" w:name="_Toc470861810"/>
      <w:bookmarkStart w:id="84" w:name="_Toc504665029"/>
      <w:bookmarkStart w:id="85" w:name="_Toc532996339"/>
      <w:bookmarkStart w:id="86" w:name="_Toc536190856"/>
      <w:bookmarkStart w:id="87" w:name="_Toc536458141"/>
      <w:bookmarkStart w:id="88" w:name="_Toc31123782"/>
      <w:bookmarkStart w:id="89" w:name="_Toc63084537"/>
      <w:bookmarkEnd w:id="81"/>
      <w:bookmarkEnd w:id="82"/>
      <w:bookmarkEnd w:id="83"/>
      <w:bookmarkEnd w:id="84"/>
      <w:bookmarkEnd w:id="85"/>
      <w:bookmarkEnd w:id="86"/>
      <w:bookmarkEnd w:id="87"/>
      <w:bookmarkEnd w:id="88"/>
      <w:bookmarkEnd w:id="89"/>
    </w:p>
    <w:p w14:paraId="3B566EC8" w14:textId="77777777" w:rsidR="00A02B4C" w:rsidRPr="007679BD" w:rsidRDefault="00A02B4C" w:rsidP="00A02B4C">
      <w:pPr>
        <w:pStyle w:val="SingleTxtG"/>
        <w:rPr>
          <w:lang w:val="fr-FR"/>
        </w:rPr>
      </w:pPr>
      <w:r>
        <w:rPr>
          <w:lang w:val="fr-FR"/>
        </w:rPr>
        <w:t>18.</w:t>
      </w:r>
      <w:r>
        <w:rPr>
          <w:lang w:val="fr-FR"/>
        </w:rPr>
        <w:tab/>
        <w:t>Le Comité est particulièrement sensible à la nécessité de structurer le processus de présentation des rapports et le dialogue avec les représentants de chaque État partie, de telle sorte que l’examen des questions liées à l’application du Pacte qui l’intéressent au premier chef soit méthodique et permette de recueillir le maximum d’informations. C’est dans cette perspective qu’il a adopté en 2008 des directives concernant les rapports que les États parties doivent soumettre en application des articles 16 et 17 du Pacte</w:t>
      </w:r>
      <w:r w:rsidRPr="0031089E">
        <w:rPr>
          <w:rStyle w:val="Appelnotedebasdep"/>
          <w:lang w:val="fr-FR"/>
        </w:rPr>
        <w:footnoteReference w:id="3"/>
      </w:r>
      <w:r>
        <w:rPr>
          <w:lang w:val="fr-FR"/>
        </w:rPr>
        <w:t>, afin d’aider les États parties dans la présentation de leurs rapports et d’améliorer l’efficacité du système de suivi dans son ensemble, en soulignant notamment la nécessité pour les États parties de rendre compte des effets des mesures prises afin de respecter, protéger et réaliser les droits consacrés par le Pacte.</w:t>
      </w:r>
    </w:p>
    <w:p w14:paraId="7DE4C81E" w14:textId="77777777" w:rsidR="00A02B4C" w:rsidRPr="007679BD" w:rsidRDefault="00A02B4C" w:rsidP="00A02B4C">
      <w:pPr>
        <w:pStyle w:val="SingleTxtG"/>
        <w:rPr>
          <w:lang w:val="fr-FR"/>
        </w:rPr>
      </w:pPr>
      <w:r>
        <w:rPr>
          <w:lang w:val="fr-FR"/>
        </w:rPr>
        <w:t>19.</w:t>
      </w:r>
      <w:r>
        <w:rPr>
          <w:lang w:val="fr-FR"/>
        </w:rPr>
        <w:tab/>
        <w:t>En 2015, le Comité a décidé d’offrir la possibilité aux États parties de soumettre leur rapport selon la procédure simplifiée, à titre d’expérience pilote, car, dans sa résolution </w:t>
      </w:r>
      <w:hyperlink r:id="rId50" w:history="1">
        <w:r w:rsidRPr="00915D81">
          <w:rPr>
            <w:rStyle w:val="Lienhypertexte"/>
            <w:lang w:val="fr-FR"/>
          </w:rPr>
          <w:t>68/268</w:t>
        </w:r>
      </w:hyperlink>
      <w:r>
        <w:rPr>
          <w:lang w:val="fr-FR"/>
        </w:rPr>
        <w:t>, l’Assemblée générale avait encouragé les États parties à étudier la possibilité d’utiliser cette procédure pour faciliter l’élaboration de leurs rapports et favoriser la tenue d’un dialogue sur le respect de leurs obligations conventionnelles. À sa soixante</w:t>
      </w:r>
      <w:r>
        <w:rPr>
          <w:lang w:val="fr-FR"/>
        </w:rPr>
        <w:noBreakHyphen/>
        <w:t>troisième session, il a examiné les premiers rapports soumis selon la procédure simplifiée. Il a décidé que le dialogue s’articulerait autour des questions posées dans la liste de points établie avant la soumission du rapport, le but étant d’avoir des échanges plus ciblés avec l’État partie.</w:t>
      </w:r>
    </w:p>
    <w:p w14:paraId="4CDE2274" w14:textId="77777777" w:rsidR="00A02B4C" w:rsidRPr="007679BD" w:rsidRDefault="00A02B4C" w:rsidP="00A02B4C">
      <w:pPr>
        <w:pStyle w:val="SingleTxtG"/>
        <w:rPr>
          <w:lang w:val="fr-FR"/>
        </w:rPr>
      </w:pPr>
      <w:r>
        <w:rPr>
          <w:lang w:val="fr-FR"/>
        </w:rPr>
        <w:t>20.</w:t>
      </w:r>
      <w:r>
        <w:rPr>
          <w:lang w:val="fr-FR"/>
        </w:rPr>
        <w:tab/>
        <w:t>Compte tenu du résultat encourageant des premiers dialogues qui ont eu lieu à sa soixante-troisième session sur des rapports soumis selon la procédure simplifiée, le Comité a décidé de renouveler l’expérience avec d’autres États parties. En 2018, il a invité 13 États parties à se prévaloir de cette procédure.</w:t>
      </w:r>
    </w:p>
    <w:p w14:paraId="00DCAA37" w14:textId="77777777" w:rsidR="00A02B4C" w:rsidRPr="007679BD" w:rsidRDefault="00A02B4C" w:rsidP="00A02B4C">
      <w:pPr>
        <w:pStyle w:val="H1G"/>
        <w:rPr>
          <w:lang w:val="fr-FR"/>
        </w:rPr>
      </w:pPr>
      <w:r>
        <w:rPr>
          <w:lang w:val="fr-FR"/>
        </w:rPr>
        <w:tab/>
        <w:t>C.</w:t>
      </w:r>
      <w:r>
        <w:rPr>
          <w:lang w:val="fr-FR"/>
        </w:rPr>
        <w:tab/>
      </w:r>
      <w:bookmarkStart w:id="90" w:name="_Hlk63770718"/>
      <w:r>
        <w:rPr>
          <w:bCs/>
          <w:lang w:val="fr-FR"/>
        </w:rPr>
        <w:t xml:space="preserve">Cycle d’examen prévisible et procédure simplifiée de présentation </w:t>
      </w:r>
      <w:r>
        <w:rPr>
          <w:bCs/>
          <w:lang w:val="fr-FR"/>
        </w:rPr>
        <w:br/>
        <w:t>des rapports</w:t>
      </w:r>
      <w:bookmarkStart w:id="91" w:name="_Toc63084538"/>
      <w:bookmarkEnd w:id="91"/>
      <w:bookmarkEnd w:id="90"/>
    </w:p>
    <w:p w14:paraId="2C7AACF0" w14:textId="77777777" w:rsidR="00A02B4C" w:rsidRPr="007679BD" w:rsidRDefault="00A02B4C" w:rsidP="00A02B4C">
      <w:pPr>
        <w:pStyle w:val="SingleTxtG"/>
        <w:rPr>
          <w:lang w:val="fr-FR"/>
        </w:rPr>
      </w:pPr>
      <w:r>
        <w:rPr>
          <w:lang w:val="fr-FR"/>
        </w:rPr>
        <w:t>21.</w:t>
      </w:r>
      <w:r>
        <w:rPr>
          <w:lang w:val="fr-FR"/>
        </w:rPr>
        <w:tab/>
        <w:t>À sa soixante-septième session, le Comité a décidé d’introduire un cycle d’examen prévisible de huit ans pour l’examen des rapports des États parties, et de généraliser l’utilisation de la procédure simplifiée de présentation des rapports. Le Comité a également décidé d’examiner les modalités à cet effet à sa soixante-huitième session.</w:t>
      </w:r>
    </w:p>
    <w:p w14:paraId="79494C6D" w14:textId="77777777" w:rsidR="00A02B4C" w:rsidRPr="007679BD" w:rsidRDefault="00A02B4C" w:rsidP="00A02B4C">
      <w:pPr>
        <w:pStyle w:val="SingleTxtG"/>
        <w:rPr>
          <w:lang w:val="fr-FR"/>
        </w:rPr>
      </w:pPr>
      <w:r>
        <w:rPr>
          <w:lang w:val="fr-FR"/>
        </w:rPr>
        <w:t>22.</w:t>
      </w:r>
      <w:r>
        <w:rPr>
          <w:lang w:val="fr-FR"/>
        </w:rPr>
        <w:tab/>
        <w:t xml:space="preserve">À sa soixante-huitième session, le Comité a décidé d’introduire le cycle d’examen prévisible à compter de 2022, sous réserve des ressources disponibles, et de proposer la </w:t>
      </w:r>
      <w:r>
        <w:rPr>
          <w:lang w:val="fr-FR"/>
        </w:rPr>
        <w:lastRenderedPageBreak/>
        <w:t>procédure simplifiée à tous les États parties, en leur permettant de s’en retirer s’ils le souhaitent. Le Comité commencerait ainsi à adopter systématiquement des listes de points à traiter avant la soumission des rapports en 2022, et demanderait que les rapports soient soumis en 2023 pour examen en 2024. Avec cette décision, le Comité se réjouit de pouvoir travailler avec les 171 États parties de manière prévisible tout en réduisant la charge de travail liée à l’établissement des rapports et en facilitant la collaboration avec toutes les parties prenantes. Le Comité estime que cette nouvelle façon de faire contribuera également à ce que les droits économiques, sociaux et culturels soient mieux respectés. Le Comité et le Comité des droits de l’homme auraient ainsi une approche analogue du cycle d’examen des rapports et la coordination serait facilitée.</w:t>
      </w:r>
    </w:p>
    <w:p w14:paraId="0C05E3C1" w14:textId="77777777" w:rsidR="00A02B4C" w:rsidRPr="007679BD" w:rsidRDefault="00A02B4C" w:rsidP="00A02B4C">
      <w:pPr>
        <w:pStyle w:val="SingleTxtG"/>
        <w:rPr>
          <w:lang w:val="fr-FR"/>
        </w:rPr>
      </w:pPr>
      <w:r>
        <w:rPr>
          <w:lang w:val="fr-FR"/>
        </w:rPr>
        <w:t>23.</w:t>
      </w:r>
      <w:r>
        <w:rPr>
          <w:lang w:val="fr-FR"/>
        </w:rPr>
        <w:tab/>
        <w:t>Le Comité a demandé au secrétariat d’informer les États parties de sa décision et de rassembler des informations à l’intention des États parties qui souhaiteraient se retirer de la procédure simplifiée. Un calendrier sera proposé par la suite, compte tenu des vues exprimées par les États parties. En attendant, les États parties sont priés de soumettre les rapports qui sont déjà en cours d’élaboration et ceux qui sont attendus.</w:t>
      </w:r>
    </w:p>
    <w:p w14:paraId="58FF1F6E" w14:textId="77777777" w:rsidR="00A02B4C" w:rsidRPr="007679BD" w:rsidRDefault="00A02B4C" w:rsidP="00A02B4C">
      <w:pPr>
        <w:pStyle w:val="H1G"/>
        <w:rPr>
          <w:lang w:val="fr-FR"/>
        </w:rPr>
      </w:pPr>
      <w:r>
        <w:rPr>
          <w:lang w:val="fr-FR"/>
        </w:rPr>
        <w:tab/>
        <w:t>D.</w:t>
      </w:r>
      <w:r>
        <w:rPr>
          <w:lang w:val="fr-FR"/>
        </w:rPr>
        <w:tab/>
      </w:r>
      <w:bookmarkStart w:id="92" w:name="_Hlk63770744"/>
      <w:r>
        <w:rPr>
          <w:bCs/>
          <w:lang w:val="fr-FR"/>
        </w:rPr>
        <w:t>Examen des rapports des États parties</w:t>
      </w:r>
      <w:bookmarkStart w:id="93" w:name="_Toc321313402"/>
      <w:bookmarkStart w:id="94" w:name="_Toc419703767"/>
      <w:bookmarkStart w:id="95" w:name="_Toc470861811"/>
      <w:bookmarkStart w:id="96" w:name="_Toc504665030"/>
      <w:bookmarkStart w:id="97" w:name="_Toc532996340"/>
      <w:bookmarkStart w:id="98" w:name="_Toc536190857"/>
      <w:bookmarkStart w:id="99" w:name="_Toc536458142"/>
      <w:bookmarkStart w:id="100" w:name="_Toc31123783"/>
      <w:bookmarkStart w:id="101" w:name="_Toc63084539"/>
      <w:bookmarkEnd w:id="93"/>
      <w:bookmarkEnd w:id="94"/>
      <w:bookmarkEnd w:id="95"/>
      <w:bookmarkEnd w:id="96"/>
      <w:bookmarkEnd w:id="97"/>
      <w:bookmarkEnd w:id="98"/>
      <w:bookmarkEnd w:id="99"/>
      <w:bookmarkEnd w:id="100"/>
      <w:bookmarkEnd w:id="101"/>
      <w:bookmarkEnd w:id="92"/>
    </w:p>
    <w:p w14:paraId="4E65A144" w14:textId="77777777" w:rsidR="00A02B4C" w:rsidRPr="007679BD" w:rsidRDefault="00A02B4C" w:rsidP="00A02B4C">
      <w:pPr>
        <w:pStyle w:val="H23G"/>
        <w:rPr>
          <w:lang w:val="fr-FR"/>
        </w:rPr>
      </w:pPr>
      <w:r>
        <w:rPr>
          <w:lang w:val="fr-FR"/>
        </w:rPr>
        <w:tab/>
        <w:t>1.</w:t>
      </w:r>
      <w:r>
        <w:rPr>
          <w:lang w:val="fr-FR"/>
        </w:rPr>
        <w:tab/>
        <w:t>Activités du groupe de travail de présession</w:t>
      </w:r>
      <w:bookmarkStart w:id="102" w:name="_Toc321313403"/>
      <w:bookmarkStart w:id="103" w:name="_Toc536190858"/>
      <w:bookmarkStart w:id="104" w:name="_Toc536458143"/>
      <w:bookmarkStart w:id="105" w:name="_Toc63084540"/>
      <w:bookmarkEnd w:id="102"/>
      <w:bookmarkEnd w:id="103"/>
      <w:bookmarkEnd w:id="104"/>
      <w:bookmarkEnd w:id="105"/>
    </w:p>
    <w:p w14:paraId="2BE89388" w14:textId="77777777" w:rsidR="00A02B4C" w:rsidRPr="007679BD" w:rsidRDefault="00A02B4C" w:rsidP="00A02B4C">
      <w:pPr>
        <w:pStyle w:val="SingleTxtG"/>
        <w:rPr>
          <w:lang w:val="fr-FR"/>
        </w:rPr>
      </w:pPr>
      <w:r>
        <w:rPr>
          <w:lang w:val="fr-FR"/>
        </w:rPr>
        <w:t>24.</w:t>
      </w:r>
      <w:r>
        <w:rPr>
          <w:lang w:val="fr-FR"/>
        </w:rPr>
        <w:tab/>
        <w:t>Le groupe de travail de présession se réunit, pendant cinq jours, avant chaque session du Comité. Il est composé de cinq membres du Comité désignés par le Président, en tenant compte du critère de la répartition géographique équilibrée et d’autres facteurs pertinents. Avant la soixante-septième session, le groupe de travail de présession a modifié sa façon de faire pour s’adapter aux modalités de travail en ligne, et le Comité a saisi l’occasion pour faire participer les équipes à l’élaboration des listes classiques ou préalables</w:t>
      </w:r>
      <w:r w:rsidRPr="00226F33">
        <w:rPr>
          <w:lang w:val="fr-FR"/>
        </w:rPr>
        <w:t xml:space="preserve"> </w:t>
      </w:r>
      <w:r>
        <w:rPr>
          <w:lang w:val="fr-FR"/>
        </w:rPr>
        <w:t>de points.</w:t>
      </w:r>
    </w:p>
    <w:p w14:paraId="14709C7B" w14:textId="77777777" w:rsidR="00A02B4C" w:rsidRPr="007679BD" w:rsidRDefault="00A02B4C" w:rsidP="00A02B4C">
      <w:pPr>
        <w:pStyle w:val="SingleTxtG"/>
        <w:rPr>
          <w:lang w:val="fr-FR"/>
        </w:rPr>
      </w:pPr>
      <w:r>
        <w:rPr>
          <w:lang w:val="fr-FR"/>
        </w:rPr>
        <w:t>25.</w:t>
      </w:r>
      <w:r>
        <w:rPr>
          <w:lang w:val="fr-FR"/>
        </w:rPr>
        <w:tab/>
        <w:t>L’objectif principal du groupe de travail est soit, après réception d’un rapport, de recenser à l’avance des questions supplémentaires, soit d’élaborer des listes préalables de points qui servent de base au rapport de l’État partie, afin d’aider le Comité à préparer le dialogue avec les représentants des États examinés. Il s’agit d’améliorer l’efficacité du système et d’aider les représentants des États parties dans leur tâche, en se focalisant sur certains points dans la préparation du débat</w:t>
      </w:r>
      <w:r w:rsidRPr="0031089E">
        <w:rPr>
          <w:rStyle w:val="Appelnotedebasdep"/>
          <w:lang w:val="fr-FR"/>
        </w:rPr>
        <w:footnoteReference w:id="4"/>
      </w:r>
      <w:r>
        <w:rPr>
          <w:lang w:val="fr-FR"/>
        </w:rPr>
        <w:t>. Avant les soixante-sixième et soixante</w:t>
      </w:r>
      <w:r>
        <w:rPr>
          <w:lang w:val="fr-FR"/>
        </w:rPr>
        <w:noBreakHyphen/>
        <w:t>septième sessions, le groupe de travail de présession a adopté à la fois des listes classiques et préalables</w:t>
      </w:r>
      <w:r w:rsidRPr="00385604">
        <w:rPr>
          <w:lang w:val="fr-FR"/>
        </w:rPr>
        <w:t xml:space="preserve"> </w:t>
      </w:r>
      <w:r>
        <w:rPr>
          <w:lang w:val="fr-FR"/>
        </w:rPr>
        <w:t>de points.</w:t>
      </w:r>
    </w:p>
    <w:p w14:paraId="3F2FC684" w14:textId="77777777" w:rsidR="00A02B4C" w:rsidRPr="007679BD" w:rsidRDefault="00A02B4C" w:rsidP="00A02B4C">
      <w:pPr>
        <w:pStyle w:val="SingleTxtG"/>
        <w:rPr>
          <w:lang w:val="fr-FR"/>
        </w:rPr>
      </w:pPr>
      <w:r>
        <w:rPr>
          <w:lang w:val="fr-FR"/>
        </w:rPr>
        <w:t>26.</w:t>
      </w:r>
      <w:r>
        <w:rPr>
          <w:lang w:val="fr-FR"/>
        </w:rPr>
        <w:tab/>
        <w:t>S’agissant de ses propres méthodes de travail, dans un souci d’efficacité, le groupe de travail charge d’abord chacun de ses membres d’étudier en détail le rapport d’un État partie en particulier, ou la situation des droits de l’homme dans un pays donné s’il s’agit d’une liste préalable de points, et de lui soumettre un projet de liste de points. Une équipe est désignée pour travailler en étroite collaboration avec chaque rapporteur de pays. Chaque projet que le rapporteur établit pour le pays concerné est révisé et complété compte tenu des observations des autres membres, et la version finale de la liste est adoptée par l’ensemble du groupe de travail. Cette méthode s’applique tant aux rapports initiaux qu’aux rapports périodiques. Toutefois, à sa soixantième session, le Comité a décidé de ne pas utiliser cette procédure pour les rapports initiaux attendus depuis longtemps, afin de ne pas retarder encore plus le dialogue. Il a également décidé que les rapports soumis selon la procédure simplifiée ne seraient pas non plus examinés par le groupe de travail de présession étant donné qu’il n’y a pas lieu, en pareil cas, d’établir de liste de points.</w:t>
      </w:r>
    </w:p>
    <w:p w14:paraId="26DF99C2" w14:textId="77777777" w:rsidR="00A02B4C" w:rsidRPr="007679BD" w:rsidRDefault="00A02B4C" w:rsidP="00A02B4C">
      <w:pPr>
        <w:pStyle w:val="SingleTxtG"/>
        <w:rPr>
          <w:lang w:val="fr-FR"/>
        </w:rPr>
      </w:pPr>
      <w:r>
        <w:rPr>
          <w:lang w:val="fr-FR"/>
        </w:rPr>
        <w:t>27.</w:t>
      </w:r>
      <w:r>
        <w:rPr>
          <w:lang w:val="fr-FR"/>
        </w:rPr>
        <w:tab/>
        <w:t xml:space="preserve">Pour préparer la réunion du groupe de travail de présession, le Comité a demandé au secrétariat de fournir à ses membres tous les documents pertinents comprenant des informations sur chacun des rapports et des pays à examiner. Le Comité a également demandé que les documents d’autres organes conventionnels, y compris des listes classiques et préalables de points à traiter, et les informations concernant le suivi ou d’autres renseignements utiles soient examinés afin d’éviter les chevauchements ou les doubles emplois inutiles. À cette fin, le Comité invite tous les particuliers, organes et organisations </w:t>
      </w:r>
      <w:r>
        <w:rPr>
          <w:lang w:val="fr-FR"/>
        </w:rPr>
        <w:lastRenderedPageBreak/>
        <w:t>non gouvernementales concernés à soumettre des documents pertinents et appropriés au secrétariat.</w:t>
      </w:r>
    </w:p>
    <w:p w14:paraId="6B1A7F37" w14:textId="77777777" w:rsidR="00A02B4C" w:rsidRPr="007679BD" w:rsidRDefault="00A02B4C" w:rsidP="00A02B4C">
      <w:pPr>
        <w:pStyle w:val="SingleTxtG"/>
        <w:rPr>
          <w:lang w:val="fr-FR"/>
        </w:rPr>
      </w:pPr>
      <w:r>
        <w:rPr>
          <w:lang w:val="fr-FR"/>
        </w:rPr>
        <w:t>28.</w:t>
      </w:r>
      <w:r>
        <w:rPr>
          <w:lang w:val="fr-FR"/>
        </w:rPr>
        <w:tab/>
        <w:t>Les listes classiques ou préalables de points sont adressées aux États parties concernés.</w:t>
      </w:r>
    </w:p>
    <w:p w14:paraId="728F55B7" w14:textId="77777777" w:rsidR="00A02B4C" w:rsidRPr="007679BD" w:rsidRDefault="00A02B4C" w:rsidP="00A02B4C">
      <w:pPr>
        <w:pStyle w:val="H23G"/>
        <w:rPr>
          <w:lang w:val="fr-FR"/>
        </w:rPr>
      </w:pPr>
      <w:r>
        <w:rPr>
          <w:lang w:val="fr-FR"/>
        </w:rPr>
        <w:tab/>
        <w:t>2.</w:t>
      </w:r>
      <w:r>
        <w:rPr>
          <w:lang w:val="fr-FR"/>
        </w:rPr>
        <w:tab/>
      </w:r>
      <w:r>
        <w:rPr>
          <w:bCs/>
          <w:lang w:val="fr-FR"/>
        </w:rPr>
        <w:t>Examen des rapports</w:t>
      </w:r>
      <w:bookmarkStart w:id="106" w:name="_Toc321313404"/>
      <w:bookmarkStart w:id="107" w:name="_Toc536190859"/>
      <w:bookmarkStart w:id="108" w:name="_Toc536458144"/>
      <w:bookmarkStart w:id="109" w:name="_Toc63084541"/>
      <w:bookmarkEnd w:id="106"/>
      <w:bookmarkEnd w:id="107"/>
      <w:bookmarkEnd w:id="108"/>
      <w:bookmarkEnd w:id="109"/>
    </w:p>
    <w:p w14:paraId="7FD84DAE" w14:textId="77777777" w:rsidR="00A02B4C" w:rsidRPr="007679BD" w:rsidRDefault="00A02B4C" w:rsidP="00A02B4C">
      <w:pPr>
        <w:pStyle w:val="SingleTxtG"/>
        <w:rPr>
          <w:lang w:val="fr-FR"/>
        </w:rPr>
      </w:pPr>
      <w:r>
        <w:rPr>
          <w:lang w:val="fr-FR"/>
        </w:rPr>
        <w:t>29.</w:t>
      </w:r>
      <w:r>
        <w:rPr>
          <w:lang w:val="fr-FR"/>
        </w:rPr>
        <w:tab/>
        <w:t>Conformément à la pratique de chaque organe conventionnel, les représentants des États qui présentent un rapport assistent aux réunions au cours desquelles le Comité l’examine, et ce, afin que s’instaure un dialogue constructif. En général, le Comité procède comme suit : le représentant de l’État partie est invité à présenter brièvement le rapport et à communiquer toute information nouvelle susceptible de revêtir un intérêt dans le cadre du dialogue avec le Comité, puis le rapporteur du Comité pour l’État partie engage le dialogue en donnant une évaluation succincte du rapport, en signalant les lacunes et en posant une série de premières questions. Le Comité examine ensuite le rapport par groupes d’articles (en général les articles 1</w:t>
      </w:r>
      <w:r w:rsidRPr="00323D69">
        <w:rPr>
          <w:vertAlign w:val="superscript"/>
          <w:lang w:val="fr-FR"/>
        </w:rPr>
        <w:t>er</w:t>
      </w:r>
      <w:r>
        <w:rPr>
          <w:lang w:val="fr-FR"/>
        </w:rPr>
        <w:t xml:space="preserve"> à 5, 6 à 9, 10 à 12 et 13 à 15), en tenant spécialement compte des réponses fournies à la liste de points.</w:t>
      </w:r>
    </w:p>
    <w:p w14:paraId="28290453" w14:textId="77777777" w:rsidR="00A02B4C" w:rsidRPr="007679BD" w:rsidRDefault="00A02B4C" w:rsidP="00A02B4C">
      <w:pPr>
        <w:pStyle w:val="SingleTxtG"/>
        <w:rPr>
          <w:lang w:val="fr-FR"/>
        </w:rPr>
      </w:pPr>
      <w:r>
        <w:rPr>
          <w:lang w:val="fr-FR"/>
        </w:rPr>
        <w:t>30.</w:t>
      </w:r>
      <w:r>
        <w:rPr>
          <w:lang w:val="fr-FR"/>
        </w:rPr>
        <w:tab/>
        <w:t>Conformément à la nouvelle pratique en vigueur, qui consiste à désigner une équipe de travail pour chaque rapport d’État partie, les membres du Comité chargés des groupes d’articles animent le dialogue. Le Président demande aussi aux autres membres du Comité de poser des questions ou de faire des observations, puis il invite les représentants de l’État partie à répondre aux questions qui ne nécessitent pas plus mûre réflexion ou des éléments d’information complémentaires. Les questions qui n’ont pas reçu de réponse sont examinées à une séance ultérieure ou, au besoin, peuvent faire l’objet d’informations complémentaires communiquées au Comité par écrit et dans des délais précis. Les membres du Comité peuvent poursuivre l’examen de questions précises à la lumière des réponses ainsi fournies, mais sont censés éviter de répéter des questions qui ont déjà été posées ou auxquelles il a déjà été répondu et ne pas dépasser cinq minutes de temps de parole pour toute intervention.</w:t>
      </w:r>
    </w:p>
    <w:p w14:paraId="48979E39" w14:textId="77777777" w:rsidR="00A02B4C" w:rsidRPr="007679BD" w:rsidRDefault="00A02B4C" w:rsidP="00A02B4C">
      <w:pPr>
        <w:pStyle w:val="SingleTxtG"/>
        <w:rPr>
          <w:lang w:val="fr-FR"/>
        </w:rPr>
      </w:pPr>
      <w:r>
        <w:rPr>
          <w:lang w:val="fr-FR"/>
        </w:rPr>
        <w:t>31.</w:t>
      </w:r>
      <w:r>
        <w:rPr>
          <w:lang w:val="fr-FR"/>
        </w:rPr>
        <w:tab/>
        <w:t>Pendant la phase finale de l’examen du rapport, le Comité établit et adopte ses observations finales. Le rapporteur pour le pays rédige ensuite, avec l’aide du secrétariat, un projet d’observations finales qui est soumis au Comité pour examen et distribué aux membres pour commentaires avant d’être adopté. Ultérieurement, le Comité examine le projet, en séance privée, en vue de l’adopter par consensus.</w:t>
      </w:r>
    </w:p>
    <w:p w14:paraId="7B9DC1C7" w14:textId="77777777" w:rsidR="00A02B4C" w:rsidRPr="007679BD" w:rsidRDefault="00A02B4C" w:rsidP="00A02B4C">
      <w:pPr>
        <w:pStyle w:val="SingleTxtG"/>
        <w:rPr>
          <w:lang w:val="fr-FR"/>
        </w:rPr>
      </w:pPr>
      <w:r>
        <w:rPr>
          <w:lang w:val="fr-FR"/>
        </w:rPr>
        <w:t>32.</w:t>
      </w:r>
      <w:r>
        <w:rPr>
          <w:lang w:val="fr-FR"/>
        </w:rPr>
        <w:tab/>
        <w:t>Les observations finales, une fois officiellement adoptées, sont transmises dès que possible à l’État partie concerné et rendues publiques.</w:t>
      </w:r>
    </w:p>
    <w:p w14:paraId="6E1FDDA9" w14:textId="77777777" w:rsidR="00A02B4C" w:rsidRPr="007679BD" w:rsidRDefault="00A02B4C" w:rsidP="00A02B4C">
      <w:pPr>
        <w:pStyle w:val="SingleTxtG"/>
        <w:rPr>
          <w:lang w:val="fr-FR"/>
        </w:rPr>
      </w:pPr>
      <w:r>
        <w:rPr>
          <w:lang w:val="fr-FR"/>
        </w:rPr>
        <w:t>33.</w:t>
      </w:r>
      <w:r>
        <w:rPr>
          <w:lang w:val="fr-FR"/>
        </w:rPr>
        <w:tab/>
        <w:t>À sa quarante-sixième session, en mai 2011, le Comité a décidé, en principe, de ne consacrer, provisoirement, que deux séances à l’examen des rapports périodiques pour empêcher le nombre de rapports en souffrance d’augmenter. En conséquence, tous les dialogues avec les États parties ont été organisés en deux séances à la soixante-septième session. Tous les examens des rapports des États parties et les dialogues initialement prévus pour la soixante-huitième session ont été reportés, à titre provisoire, à la soixante-neuvième session, en raison de l’impossibilité de tenir des réunions en présentiel du fait de la COVID-19.</w:t>
      </w:r>
    </w:p>
    <w:p w14:paraId="57878BA9" w14:textId="77777777" w:rsidR="00A02B4C" w:rsidRPr="007679BD" w:rsidRDefault="00A02B4C" w:rsidP="00A02B4C">
      <w:pPr>
        <w:pStyle w:val="SingleTxtG"/>
        <w:rPr>
          <w:lang w:val="fr-FR"/>
        </w:rPr>
      </w:pPr>
      <w:r>
        <w:rPr>
          <w:lang w:val="fr-FR"/>
        </w:rPr>
        <w:t>34.</w:t>
      </w:r>
      <w:r>
        <w:rPr>
          <w:lang w:val="fr-FR"/>
        </w:rPr>
        <w:tab/>
        <w:t>À sa soixante-huitième session, le Comité a examiné les modalités concernant la poursuite de l’examen des rapports des États parties si des réunions en présentiel n’étaient pas possibles dans un avenir proche. Le Comité a décidé d’envisager différentes options pour l’examen en ligne d’un certain nombre de rapports d’États parties à sa soixante</w:t>
      </w:r>
      <w:r>
        <w:rPr>
          <w:lang w:val="fr-FR"/>
        </w:rPr>
        <w:noBreakHyphen/>
        <w:t>neuvième session, si les dialogues ne peuvent avoir lieu à Genève. Ce faisant, le Comité a pris en compte les vues des États concernés et les questions relatives à la langue et à la connectivité.</w:t>
      </w:r>
    </w:p>
    <w:p w14:paraId="0605C88F" w14:textId="77777777" w:rsidR="00A02B4C" w:rsidRPr="007679BD" w:rsidRDefault="00A02B4C" w:rsidP="00A02B4C">
      <w:pPr>
        <w:pStyle w:val="H23G"/>
        <w:rPr>
          <w:lang w:val="fr-FR"/>
        </w:rPr>
      </w:pPr>
      <w:r>
        <w:rPr>
          <w:lang w:val="fr-FR"/>
        </w:rPr>
        <w:tab/>
        <w:t>3.</w:t>
      </w:r>
      <w:r>
        <w:rPr>
          <w:lang w:val="fr-FR"/>
        </w:rPr>
        <w:tab/>
      </w:r>
      <w:r>
        <w:rPr>
          <w:bCs/>
          <w:lang w:val="fr-FR"/>
        </w:rPr>
        <w:t>Commentaires des États parties sur les observations finales</w:t>
      </w:r>
      <w:bookmarkStart w:id="110" w:name="_Toc321313405"/>
      <w:bookmarkStart w:id="111" w:name="_Toc536190860"/>
      <w:bookmarkStart w:id="112" w:name="_Toc536458145"/>
      <w:bookmarkStart w:id="113" w:name="_Toc63084542"/>
      <w:bookmarkEnd w:id="110"/>
      <w:bookmarkEnd w:id="111"/>
      <w:bookmarkEnd w:id="112"/>
      <w:bookmarkEnd w:id="113"/>
    </w:p>
    <w:p w14:paraId="26EBDA96" w14:textId="77777777" w:rsidR="00A02B4C" w:rsidRPr="007679BD" w:rsidRDefault="00A02B4C" w:rsidP="00A02B4C">
      <w:pPr>
        <w:pStyle w:val="SingleTxtG"/>
        <w:rPr>
          <w:lang w:val="fr-FR"/>
        </w:rPr>
      </w:pPr>
      <w:r>
        <w:rPr>
          <w:lang w:val="fr-FR"/>
        </w:rPr>
        <w:t>35.</w:t>
      </w:r>
      <w:r>
        <w:rPr>
          <w:lang w:val="fr-FR"/>
        </w:rPr>
        <w:tab/>
        <w:t>Après que le Comité a adopté ses observations finales concernant le rapport d’un État partie, les commentaires que lui aurait éventuellement soumis celui-ci sont publiés, tels qu’ils sont présentés, et insérés dans le rapport annuel du Comité. Les commentaires des États parties ne sont publiés qu’à titre d’information.</w:t>
      </w:r>
    </w:p>
    <w:p w14:paraId="412D6EA7" w14:textId="77777777" w:rsidR="00A02B4C" w:rsidRPr="007679BD" w:rsidRDefault="00A02B4C" w:rsidP="00A02B4C">
      <w:pPr>
        <w:pStyle w:val="SingleTxtG"/>
        <w:rPr>
          <w:lang w:val="fr-FR"/>
        </w:rPr>
      </w:pPr>
      <w:r>
        <w:rPr>
          <w:lang w:val="fr-FR"/>
        </w:rPr>
        <w:lastRenderedPageBreak/>
        <w:t>36.</w:t>
      </w:r>
      <w:r>
        <w:rPr>
          <w:lang w:val="fr-FR"/>
        </w:rPr>
        <w:tab/>
        <w:t>Pendant la période considérée, le Comité a reçu des commentaires d’un État partie, Israël, concernant son rapport, qui a été examiné à la soixante-sixième session. Les commentaires sont disponibles sur la page Web de cette session.</w:t>
      </w:r>
    </w:p>
    <w:p w14:paraId="06FAE56C" w14:textId="77777777" w:rsidR="00A02B4C" w:rsidRPr="007679BD" w:rsidRDefault="00A02B4C" w:rsidP="00A02B4C">
      <w:pPr>
        <w:pStyle w:val="H23G"/>
        <w:rPr>
          <w:lang w:val="fr-FR"/>
        </w:rPr>
      </w:pPr>
      <w:r>
        <w:rPr>
          <w:lang w:val="fr-FR"/>
        </w:rPr>
        <w:tab/>
        <w:t>4.</w:t>
      </w:r>
      <w:r>
        <w:rPr>
          <w:lang w:val="fr-FR"/>
        </w:rPr>
        <w:tab/>
      </w:r>
      <w:r>
        <w:rPr>
          <w:bCs/>
          <w:lang w:val="fr-FR"/>
        </w:rPr>
        <w:t>Report de l’examen des rapports</w:t>
      </w:r>
      <w:bookmarkStart w:id="114" w:name="_Toc321313406"/>
      <w:bookmarkStart w:id="115" w:name="_Toc536190861"/>
      <w:bookmarkStart w:id="116" w:name="_Toc536458146"/>
      <w:bookmarkStart w:id="117" w:name="_Toc63084543"/>
      <w:bookmarkEnd w:id="114"/>
      <w:bookmarkEnd w:id="115"/>
      <w:bookmarkEnd w:id="116"/>
      <w:bookmarkEnd w:id="117"/>
    </w:p>
    <w:p w14:paraId="62401129" w14:textId="77777777" w:rsidR="00A02B4C" w:rsidRPr="007679BD" w:rsidRDefault="00A02B4C" w:rsidP="00A02B4C">
      <w:pPr>
        <w:pStyle w:val="SingleTxtG"/>
        <w:rPr>
          <w:lang w:val="fr-FR"/>
        </w:rPr>
      </w:pPr>
      <w:r>
        <w:rPr>
          <w:lang w:val="fr-FR"/>
        </w:rPr>
        <w:t>37.</w:t>
      </w:r>
      <w:r>
        <w:rPr>
          <w:lang w:val="fr-FR"/>
        </w:rPr>
        <w:tab/>
        <w:t>Les demandes formulées à la dernière minute par les États, visant à renvoyer à une date ultérieure l’examen de rapports qui était prévu à une session donnée, sont extrêmement fâcheuses pour tous les intéressés et ont posé des problèmes considérables au Comité par le passé. C’est pourquoi le Comité a, de longue date, pour politique de ne pas faire droit à de telles demandes et de procéder à l’examen de tous les rapports inscrits à son ordre du jour, même en l’absence du représentant de l’État partie concerné. Le Comité n’accepte de reporter le dialogue que dans des circonstances exceptionnelles, notamment dans des cas de force majeure comme des catastrophes naturelles. Un tel report a été accordé pour la soixante-septième session.</w:t>
      </w:r>
    </w:p>
    <w:p w14:paraId="4EDF432F" w14:textId="77777777" w:rsidR="00A02B4C" w:rsidRPr="007679BD" w:rsidRDefault="00A02B4C" w:rsidP="00A02B4C">
      <w:pPr>
        <w:pStyle w:val="H1G"/>
        <w:rPr>
          <w:lang w:val="fr-FR"/>
        </w:rPr>
      </w:pPr>
      <w:r>
        <w:rPr>
          <w:lang w:val="fr-FR"/>
        </w:rPr>
        <w:tab/>
        <w:t>E.</w:t>
      </w:r>
      <w:r>
        <w:rPr>
          <w:lang w:val="fr-FR"/>
        </w:rPr>
        <w:tab/>
      </w:r>
      <w:bookmarkStart w:id="118" w:name="_Hlk63770781"/>
      <w:r>
        <w:rPr>
          <w:bCs/>
          <w:lang w:val="fr-FR"/>
        </w:rPr>
        <w:t>Procédure de suivi relative à l’examen des rapports</w:t>
      </w:r>
      <w:bookmarkStart w:id="119" w:name="_Toc321313407"/>
      <w:bookmarkStart w:id="120" w:name="_Toc419703768"/>
      <w:bookmarkStart w:id="121" w:name="_Toc470861812"/>
      <w:bookmarkStart w:id="122" w:name="_Toc504665031"/>
      <w:bookmarkStart w:id="123" w:name="_Toc532996341"/>
      <w:bookmarkStart w:id="124" w:name="_Toc536190862"/>
      <w:bookmarkStart w:id="125" w:name="_Toc536458147"/>
      <w:bookmarkStart w:id="126" w:name="_Toc31123784"/>
      <w:bookmarkStart w:id="127" w:name="_Toc63084544"/>
      <w:bookmarkEnd w:id="119"/>
      <w:bookmarkEnd w:id="120"/>
      <w:bookmarkEnd w:id="121"/>
      <w:bookmarkEnd w:id="122"/>
      <w:bookmarkEnd w:id="123"/>
      <w:bookmarkEnd w:id="124"/>
      <w:bookmarkEnd w:id="125"/>
      <w:bookmarkEnd w:id="126"/>
      <w:bookmarkEnd w:id="127"/>
      <w:bookmarkEnd w:id="118"/>
    </w:p>
    <w:p w14:paraId="6621547D" w14:textId="77777777" w:rsidR="00A02B4C" w:rsidRPr="007679BD" w:rsidRDefault="00A02B4C" w:rsidP="00A02B4C">
      <w:pPr>
        <w:pStyle w:val="SingleTxtG"/>
        <w:rPr>
          <w:lang w:val="fr-FR"/>
        </w:rPr>
      </w:pPr>
      <w:r>
        <w:rPr>
          <w:lang w:val="fr-FR"/>
        </w:rPr>
        <w:t>38.</w:t>
      </w:r>
      <w:r>
        <w:rPr>
          <w:lang w:val="fr-FR"/>
        </w:rPr>
        <w:tab/>
        <w:t>La procédure de suivi arrêtée par le Comité à la 53</w:t>
      </w:r>
      <w:r w:rsidRPr="00647636">
        <w:rPr>
          <w:vertAlign w:val="superscript"/>
          <w:lang w:val="fr-FR"/>
        </w:rPr>
        <w:t>e</w:t>
      </w:r>
      <w:r>
        <w:rPr>
          <w:lang w:val="fr-FR"/>
        </w:rPr>
        <w:t xml:space="preserve"> séance de sa vingt et unième session, le 1</w:t>
      </w:r>
      <w:r w:rsidRPr="00644019">
        <w:rPr>
          <w:vertAlign w:val="superscript"/>
          <w:lang w:val="fr-FR"/>
        </w:rPr>
        <w:t>er</w:t>
      </w:r>
      <w:r>
        <w:rPr>
          <w:lang w:val="fr-FR"/>
        </w:rPr>
        <w:t xml:space="preserve"> décembre 1999</w:t>
      </w:r>
      <w:r w:rsidRPr="0031089E">
        <w:rPr>
          <w:rStyle w:val="Appelnotedebasdep"/>
          <w:lang w:val="fr-FR"/>
        </w:rPr>
        <w:footnoteReference w:id="5"/>
      </w:r>
      <w:r>
        <w:rPr>
          <w:lang w:val="fr-FR"/>
        </w:rPr>
        <w:t>, a déjà été appliquée pour deux États parties, et le Comité juge l’expérience très positive dans les deux cas.</w:t>
      </w:r>
    </w:p>
    <w:p w14:paraId="27B32743" w14:textId="77777777" w:rsidR="00A02B4C" w:rsidRPr="007679BD" w:rsidRDefault="00A02B4C" w:rsidP="00A02B4C">
      <w:pPr>
        <w:pStyle w:val="SingleTxtG"/>
        <w:rPr>
          <w:lang w:val="fr-FR"/>
        </w:rPr>
      </w:pPr>
      <w:r>
        <w:rPr>
          <w:lang w:val="fr-FR"/>
        </w:rPr>
        <w:t>39.</w:t>
      </w:r>
      <w:r>
        <w:rPr>
          <w:lang w:val="fr-FR"/>
        </w:rPr>
        <w:tab/>
        <w:t>À sa cinquante-neuvième session, le Comité a décidé de réexaminer sa procédure de suivi compte tenu des méthodes de travail des autres organes conventionnels et à la lumière de l’expérience acquise en ce qui concerne la suite donnée à ses observations finales. À sa soixante et unième session, il a adopté une nouvelle procédure de suivi.</w:t>
      </w:r>
    </w:p>
    <w:p w14:paraId="1EF605BE" w14:textId="77777777" w:rsidR="00A02B4C" w:rsidRPr="007679BD" w:rsidRDefault="00A02B4C" w:rsidP="00A02B4C">
      <w:pPr>
        <w:pStyle w:val="SingleTxtG"/>
        <w:rPr>
          <w:lang w:val="fr-FR"/>
        </w:rPr>
      </w:pPr>
      <w:r>
        <w:rPr>
          <w:lang w:val="fr-FR"/>
        </w:rPr>
        <w:t>40.</w:t>
      </w:r>
      <w:r>
        <w:rPr>
          <w:lang w:val="fr-FR"/>
        </w:rPr>
        <w:tab/>
        <w:t>À sa soixante-quatrième session, le Comité a décidé de porter à vingt-quatre mois le délai de communication des renseignements sur la suite donnée à ses observations finales. En outre, à sa soixante-sixième session, tenue en 2019, il a décidé d’aligner le délai de soumission d’informations relatives au suivi par les institutions nationales des droits de l’homme, les organisations non gouvernementales et d’autres organisations sur la date limite de présentation d’informations pour la session à laquelle le rapport de suivi doit être examiné (</w:t>
      </w:r>
      <w:r w:rsidRPr="00E626F0">
        <w:rPr>
          <w:lang w:val="fr-FR"/>
        </w:rPr>
        <w:t xml:space="preserve">voir </w:t>
      </w:r>
      <w:hyperlink r:id="rId51" w:history="1">
        <w:r w:rsidRPr="00E626F0">
          <w:rPr>
            <w:rStyle w:val="Lienhypertexte"/>
            <w:lang w:val="fr-FR"/>
          </w:rPr>
          <w:t>E/C.12/2019/3</w:t>
        </w:r>
      </w:hyperlink>
      <w:r w:rsidRPr="00E626F0">
        <w:rPr>
          <w:lang w:val="fr-FR"/>
        </w:rPr>
        <w:t>, annexe</w:t>
      </w:r>
      <w:r>
        <w:rPr>
          <w:lang w:val="fr-FR"/>
        </w:rPr>
        <w:t xml:space="preserve"> I).</w:t>
      </w:r>
    </w:p>
    <w:p w14:paraId="5F46F9AD" w14:textId="77777777" w:rsidR="00A02B4C" w:rsidRPr="007679BD" w:rsidRDefault="00A02B4C" w:rsidP="00A02B4C">
      <w:pPr>
        <w:pStyle w:val="SingleTxtG"/>
        <w:rPr>
          <w:lang w:val="fr-FR"/>
        </w:rPr>
      </w:pPr>
      <w:r>
        <w:rPr>
          <w:lang w:val="fr-FR"/>
        </w:rPr>
        <w:t>41.</w:t>
      </w:r>
      <w:r>
        <w:rPr>
          <w:lang w:val="fr-FR"/>
        </w:rPr>
        <w:tab/>
        <w:t>À sa soixante-septième session, le Comité a examiné les informations reçues de l’Espagne et du Mexique sur la suite donnée à ses observations finales. À sa soixante</w:t>
      </w:r>
      <w:r>
        <w:rPr>
          <w:lang w:val="fr-FR"/>
        </w:rPr>
        <w:noBreakHyphen/>
        <w:t>huitième session, le Comité a examiné les informations reçues de la Nouvelle</w:t>
      </w:r>
      <w:r>
        <w:rPr>
          <w:lang w:val="fr-FR"/>
        </w:rPr>
        <w:noBreakHyphen/>
        <w:t>Zélande sur la suite donnée à ses observations finales. En outre, il a décidé d’adresser des rappels au Bangladesh et à la République centrafricaine, dont les rapports de suivi devaient être soumis le 29 septembre 2019.</w:t>
      </w:r>
    </w:p>
    <w:p w14:paraId="40E54FC5" w14:textId="77777777" w:rsidR="00A02B4C" w:rsidRPr="007679BD" w:rsidRDefault="00A02B4C" w:rsidP="00A02B4C">
      <w:pPr>
        <w:pStyle w:val="H1G"/>
        <w:rPr>
          <w:lang w:val="fr-FR"/>
        </w:rPr>
      </w:pPr>
      <w:r>
        <w:rPr>
          <w:lang w:val="fr-FR"/>
        </w:rPr>
        <w:tab/>
        <w:t>F.</w:t>
      </w:r>
      <w:r>
        <w:rPr>
          <w:lang w:val="fr-FR"/>
        </w:rPr>
        <w:tab/>
      </w:r>
      <w:bookmarkStart w:id="128" w:name="_Hlk63770796"/>
      <w:r>
        <w:rPr>
          <w:bCs/>
          <w:lang w:val="fr-FR"/>
        </w:rPr>
        <w:t xml:space="preserve">Procédure à suivre en cas de non-présentation d’un rapport </w:t>
      </w:r>
      <w:r>
        <w:rPr>
          <w:bCs/>
          <w:lang w:val="fr-FR"/>
        </w:rPr>
        <w:br/>
        <w:t>ou de retard considérable dans sa présentation</w:t>
      </w:r>
      <w:bookmarkStart w:id="129" w:name="_Toc321313408"/>
      <w:bookmarkStart w:id="130" w:name="_Toc419703769"/>
      <w:bookmarkStart w:id="131" w:name="_Toc470861813"/>
      <w:bookmarkStart w:id="132" w:name="_Toc504665032"/>
      <w:bookmarkStart w:id="133" w:name="_Toc532996342"/>
      <w:bookmarkStart w:id="134" w:name="_Toc536190863"/>
      <w:bookmarkStart w:id="135" w:name="_Toc536458148"/>
      <w:bookmarkStart w:id="136" w:name="_Toc31123785"/>
      <w:bookmarkStart w:id="137" w:name="_Toc63084545"/>
      <w:bookmarkEnd w:id="129"/>
      <w:bookmarkEnd w:id="130"/>
      <w:bookmarkEnd w:id="131"/>
      <w:bookmarkEnd w:id="132"/>
      <w:bookmarkEnd w:id="133"/>
      <w:bookmarkEnd w:id="134"/>
      <w:bookmarkEnd w:id="135"/>
      <w:bookmarkEnd w:id="136"/>
      <w:bookmarkEnd w:id="137"/>
      <w:bookmarkEnd w:id="128"/>
    </w:p>
    <w:p w14:paraId="3831FDF3" w14:textId="77777777" w:rsidR="00A02B4C" w:rsidRPr="007679BD" w:rsidRDefault="00A02B4C" w:rsidP="00A02B4C">
      <w:pPr>
        <w:pStyle w:val="SingleTxtG"/>
        <w:rPr>
          <w:lang w:val="fr-FR"/>
        </w:rPr>
      </w:pPr>
      <w:r>
        <w:rPr>
          <w:lang w:val="fr-FR"/>
        </w:rPr>
        <w:t>42.</w:t>
      </w:r>
      <w:r>
        <w:rPr>
          <w:lang w:val="fr-FR"/>
        </w:rPr>
        <w:tab/>
        <w:t>Estimant que le fait que des États parties persistent à ne pas soumettre leurs rapports sape les fondements du Pacte, le Comité a adopté, à sa trente-sixième session, une procédure pour traiter les cas de non-présentation d’un rapport ou de retard important dans sa présentation</w:t>
      </w:r>
      <w:r w:rsidRPr="0031089E">
        <w:rPr>
          <w:rStyle w:val="Appelnotedebasdep"/>
          <w:lang w:val="fr-FR"/>
        </w:rPr>
        <w:footnoteReference w:id="6"/>
      </w:r>
      <w:r>
        <w:rPr>
          <w:lang w:val="fr-FR"/>
        </w:rPr>
        <w:t>.</w:t>
      </w:r>
    </w:p>
    <w:p w14:paraId="70E834C2" w14:textId="77777777" w:rsidR="00A02B4C" w:rsidRPr="007679BD" w:rsidRDefault="00A02B4C" w:rsidP="00A02B4C">
      <w:pPr>
        <w:pStyle w:val="SingleTxtG"/>
        <w:rPr>
          <w:lang w:val="fr-FR"/>
        </w:rPr>
      </w:pPr>
      <w:r>
        <w:rPr>
          <w:lang w:val="fr-FR"/>
        </w:rPr>
        <w:t>43.</w:t>
      </w:r>
      <w:r>
        <w:rPr>
          <w:lang w:val="fr-FR"/>
        </w:rPr>
        <w:tab/>
        <w:t xml:space="preserve">À sa cinquante-neuvième session, le Comité a examiné la situation des États qui ne soumettent pas de rapport et de ceux qui en soumettent avec beaucoup de retard, ce qui pose à son avis un grave problème. Il a décidé de consacrer une séance à ce sujet à sa soixantième session, en consultation avec le Haut-Commissariat des Nations Unies aux droits de l’homme (HCDH) et les États parties concernés, dans la mesure du possible, afin de déterminer la </w:t>
      </w:r>
      <w:r>
        <w:rPr>
          <w:lang w:val="fr-FR"/>
        </w:rPr>
        <w:lastRenderedPageBreak/>
        <w:t>meilleure façon d’inciter et d’aider les États à s’acquitter des obligations prévues par le Pacte en matière de présentation de rapports.</w:t>
      </w:r>
    </w:p>
    <w:p w14:paraId="173CDC62" w14:textId="77777777" w:rsidR="00A02B4C" w:rsidRPr="007679BD" w:rsidRDefault="00A02B4C" w:rsidP="00A02B4C">
      <w:pPr>
        <w:pStyle w:val="SingleTxtG"/>
        <w:rPr>
          <w:lang w:val="fr-FR"/>
        </w:rPr>
      </w:pPr>
      <w:r>
        <w:rPr>
          <w:lang w:val="fr-FR"/>
        </w:rPr>
        <w:t>44.</w:t>
      </w:r>
      <w:r>
        <w:rPr>
          <w:lang w:val="fr-FR"/>
        </w:rPr>
        <w:tab/>
        <w:t xml:space="preserve">À sa soixantième session, le 23 février 2017, le Comité a invité tous les États qui n’avaient pas encore soumis des rapports attendus de longue date à faire part des difficultés auxquelles ils se heurtaient. Il sait que le programme de renforcement des capacités mis en œuvre en application de la résolution </w:t>
      </w:r>
      <w:hyperlink r:id="rId52" w:history="1">
        <w:r w:rsidRPr="00912A88">
          <w:rPr>
            <w:rStyle w:val="Lienhypertexte"/>
            <w:lang w:val="fr-FR"/>
          </w:rPr>
          <w:t>68/268</w:t>
        </w:r>
      </w:hyperlink>
      <w:r>
        <w:rPr>
          <w:lang w:val="fr-FR"/>
        </w:rPr>
        <w:t xml:space="preserve"> de l’Assemblée générale a déjà aidé les États en question à renforcer leurs capacités dans ce domaine.</w:t>
      </w:r>
    </w:p>
    <w:p w14:paraId="14DF5047" w14:textId="77777777" w:rsidR="00A02B4C" w:rsidRPr="007679BD" w:rsidRDefault="00A02B4C" w:rsidP="00A02B4C">
      <w:pPr>
        <w:pStyle w:val="SingleTxtG"/>
        <w:rPr>
          <w:lang w:val="fr-FR"/>
        </w:rPr>
      </w:pPr>
      <w:r w:rsidRPr="00201BB9">
        <w:rPr>
          <w:lang w:val="fr-FR"/>
        </w:rPr>
        <w:t>45.</w:t>
      </w:r>
      <w:r w:rsidRPr="00201BB9">
        <w:rPr>
          <w:lang w:val="fr-FR"/>
        </w:rPr>
        <w:tab/>
        <w:t>À la soixante-septième session du Comité, la coordonnatrice du Comité chargée des États qui n’ont pas présenté de rapport, M</w:t>
      </w:r>
      <w:r w:rsidRPr="00201BB9">
        <w:rPr>
          <w:vertAlign w:val="superscript"/>
          <w:lang w:val="fr-FR"/>
        </w:rPr>
        <w:t>me</w:t>
      </w:r>
      <w:r w:rsidRPr="00201BB9">
        <w:rPr>
          <w:lang w:val="fr-FR"/>
        </w:rPr>
        <w:t> Crăciunean-Tatu, a tenu des réunions avec les représentants de s</w:t>
      </w:r>
      <w:r>
        <w:rPr>
          <w:lang w:val="fr-FR"/>
        </w:rPr>
        <w:t>ix de ces États : Lesotho, Libéria, Malawi, République démocratique populaire lao, Seychelles et Timor-Leste. Le Comité a salué la volonté de ces États de collaborer et d’examiner les difficultés qu’ils ont à élaborer des rapports.</w:t>
      </w:r>
    </w:p>
    <w:p w14:paraId="561781DE" w14:textId="77777777" w:rsidR="00A02B4C" w:rsidRPr="007679BD" w:rsidRDefault="00A02B4C" w:rsidP="00A02B4C">
      <w:pPr>
        <w:pStyle w:val="H1G"/>
        <w:rPr>
          <w:lang w:val="fr-FR"/>
        </w:rPr>
      </w:pPr>
      <w:r>
        <w:rPr>
          <w:lang w:val="fr-FR"/>
        </w:rPr>
        <w:tab/>
        <w:t>G.</w:t>
      </w:r>
      <w:r>
        <w:rPr>
          <w:lang w:val="fr-FR"/>
        </w:rPr>
        <w:tab/>
      </w:r>
      <w:bookmarkStart w:id="138" w:name="_Hlk63770828"/>
      <w:r>
        <w:rPr>
          <w:bCs/>
          <w:lang w:val="fr-FR"/>
        </w:rPr>
        <w:t>Présentation de plusieurs rapports en un seul document</w:t>
      </w:r>
      <w:bookmarkStart w:id="139" w:name="_Toc321313409"/>
      <w:bookmarkStart w:id="140" w:name="_Toc419703770"/>
      <w:bookmarkStart w:id="141" w:name="_Toc470861814"/>
      <w:bookmarkStart w:id="142" w:name="_Toc504665033"/>
      <w:bookmarkStart w:id="143" w:name="_Toc532996343"/>
      <w:bookmarkStart w:id="144" w:name="_Toc536190864"/>
      <w:bookmarkStart w:id="145" w:name="_Toc536458149"/>
      <w:bookmarkStart w:id="146" w:name="_Toc31123786"/>
      <w:bookmarkStart w:id="147" w:name="_Toc63084546"/>
      <w:bookmarkEnd w:id="139"/>
      <w:bookmarkEnd w:id="140"/>
      <w:bookmarkEnd w:id="141"/>
      <w:bookmarkEnd w:id="142"/>
      <w:bookmarkEnd w:id="143"/>
      <w:bookmarkEnd w:id="144"/>
      <w:bookmarkEnd w:id="145"/>
      <w:bookmarkEnd w:id="146"/>
      <w:bookmarkEnd w:id="147"/>
      <w:bookmarkEnd w:id="138"/>
    </w:p>
    <w:p w14:paraId="5EDE05D3" w14:textId="77777777" w:rsidR="00A02B4C" w:rsidRPr="007679BD" w:rsidRDefault="00A02B4C" w:rsidP="00A02B4C">
      <w:pPr>
        <w:pStyle w:val="SingleTxtG"/>
        <w:rPr>
          <w:lang w:val="fr-FR"/>
        </w:rPr>
      </w:pPr>
      <w:r>
        <w:rPr>
          <w:lang w:val="fr-FR"/>
        </w:rPr>
        <w:t>46.</w:t>
      </w:r>
      <w:r>
        <w:rPr>
          <w:lang w:val="fr-FR"/>
        </w:rPr>
        <w:tab/>
        <w:t>À la 55</w:t>
      </w:r>
      <w:r w:rsidRPr="00323D69">
        <w:rPr>
          <w:vertAlign w:val="superscript"/>
          <w:lang w:val="fr-FR"/>
        </w:rPr>
        <w:t>e</w:t>
      </w:r>
      <w:r>
        <w:rPr>
          <w:lang w:val="fr-FR"/>
        </w:rPr>
        <w:t xml:space="preserve"> séance de sa trente-septième session, le 22 novembre 2006, le Comité a examiné la question des rapports en retard, en tenant compte des rapports attendus de longue date qui avaient été soumis récemment, et a décidé qu’il accepterait que les États parties qui n’avaient jamais soumis de rapport en application du Pacte soumettent exceptionnellement jusqu’à trois rapports en un seul document de façon à se mettre à jour de leurs obligations en la matière. Il a également décidé que tout document regroupant plusieurs rapports devait donner un aperçu général des principaux faits survenus qui intéressaient l’application du Pacte sur l’ensemble de la période considérée et fournir des informations détaillées sur les faits les plus récents.</w:t>
      </w:r>
    </w:p>
    <w:p w14:paraId="06926A3D" w14:textId="77777777" w:rsidR="00A02B4C" w:rsidRPr="007679BD" w:rsidRDefault="00A02B4C" w:rsidP="00A02B4C">
      <w:pPr>
        <w:pStyle w:val="SingleTxtG"/>
        <w:rPr>
          <w:lang w:val="fr-FR"/>
        </w:rPr>
      </w:pPr>
      <w:r>
        <w:rPr>
          <w:lang w:val="fr-FR"/>
        </w:rPr>
        <w:t>47.</w:t>
      </w:r>
      <w:r>
        <w:rPr>
          <w:lang w:val="fr-FR"/>
        </w:rPr>
        <w:tab/>
        <w:t>À la 28</w:t>
      </w:r>
      <w:r w:rsidRPr="00323D69">
        <w:rPr>
          <w:vertAlign w:val="superscript"/>
          <w:lang w:val="fr-FR"/>
        </w:rPr>
        <w:t>e</w:t>
      </w:r>
      <w:r>
        <w:rPr>
          <w:lang w:val="fr-FR"/>
        </w:rPr>
        <w:t xml:space="preserve"> séance de sa quarante-huitième session, le 18 mai 2012, le Comité a examiné la situation en ce qui concernait les rapports soumis en un seul document et a décidé que chaque document constituerait un seul rapport. Il a également décidé de fixer la date à laquelle le rapport périodique suivant serait attendu à cinq ans à compter de la date à laquelle le Comité adopterait ses observations finales, au lieu de tous les cinq ans à compter de la date de soumission du rapport, indépendamment de la date de soumission du dernier rapport. Cette mesure avait été prise à titre provisoire compte tenu des retards accumulés du fait du nombre important de rapports en attente d’examen par le Comité, problème aujourd’hui résolu.</w:t>
      </w:r>
    </w:p>
    <w:p w14:paraId="3A025FEE" w14:textId="77777777" w:rsidR="00A02B4C" w:rsidRPr="007679BD" w:rsidRDefault="00A02B4C" w:rsidP="00A02B4C">
      <w:pPr>
        <w:pStyle w:val="H1G"/>
        <w:rPr>
          <w:lang w:val="fr-FR"/>
        </w:rPr>
      </w:pPr>
      <w:r>
        <w:rPr>
          <w:lang w:val="fr-FR"/>
        </w:rPr>
        <w:tab/>
        <w:t>H.</w:t>
      </w:r>
      <w:r>
        <w:rPr>
          <w:lang w:val="fr-FR"/>
        </w:rPr>
        <w:tab/>
      </w:r>
      <w:bookmarkStart w:id="148" w:name="_Hlk63770838"/>
      <w:r>
        <w:rPr>
          <w:bCs/>
          <w:lang w:val="fr-FR"/>
        </w:rPr>
        <w:t xml:space="preserve">Suite donnée par le Comité aux renseignements concernant les droits économiques, sociaux et culturels reçus de sources autres </w:t>
      </w:r>
      <w:r>
        <w:rPr>
          <w:bCs/>
          <w:lang w:val="fr-FR"/>
        </w:rPr>
        <w:br/>
        <w:t>que les États parties</w:t>
      </w:r>
      <w:bookmarkStart w:id="149" w:name="_Toc321313410"/>
      <w:bookmarkStart w:id="150" w:name="_Toc419703771"/>
      <w:bookmarkStart w:id="151" w:name="_Toc470861815"/>
      <w:bookmarkStart w:id="152" w:name="_Toc504665034"/>
      <w:bookmarkStart w:id="153" w:name="_Toc532996344"/>
      <w:bookmarkStart w:id="154" w:name="_Toc536190865"/>
      <w:bookmarkStart w:id="155" w:name="_Toc536458150"/>
      <w:bookmarkStart w:id="156" w:name="_Toc31123787"/>
      <w:bookmarkStart w:id="157" w:name="_Toc63084547"/>
      <w:bookmarkEnd w:id="149"/>
      <w:bookmarkEnd w:id="150"/>
      <w:bookmarkEnd w:id="151"/>
      <w:bookmarkEnd w:id="152"/>
      <w:bookmarkEnd w:id="153"/>
      <w:bookmarkEnd w:id="154"/>
      <w:bookmarkEnd w:id="155"/>
      <w:bookmarkEnd w:id="156"/>
      <w:bookmarkEnd w:id="157"/>
      <w:bookmarkEnd w:id="148"/>
    </w:p>
    <w:p w14:paraId="08270907" w14:textId="77777777" w:rsidR="00A02B4C" w:rsidRPr="007679BD" w:rsidRDefault="00A02B4C" w:rsidP="00A02B4C">
      <w:pPr>
        <w:pStyle w:val="H23G"/>
        <w:rPr>
          <w:lang w:val="fr-FR"/>
        </w:rPr>
      </w:pPr>
      <w:r>
        <w:rPr>
          <w:lang w:val="fr-FR"/>
        </w:rPr>
        <w:tab/>
        <w:t>1.</w:t>
      </w:r>
      <w:r>
        <w:rPr>
          <w:lang w:val="fr-FR"/>
        </w:rPr>
        <w:tab/>
      </w:r>
      <w:r>
        <w:rPr>
          <w:bCs/>
          <w:lang w:val="fr-FR"/>
        </w:rPr>
        <w:t xml:space="preserve">Renseignements fournis à l’occasion de l’examen par le Comité du rapport </w:t>
      </w:r>
      <w:r>
        <w:rPr>
          <w:bCs/>
          <w:lang w:val="fr-FR"/>
        </w:rPr>
        <w:br/>
        <w:t>d’un État partie</w:t>
      </w:r>
      <w:bookmarkStart w:id="158" w:name="_Toc321313411"/>
      <w:bookmarkStart w:id="159" w:name="_Toc536190866"/>
      <w:bookmarkStart w:id="160" w:name="_Toc536458151"/>
      <w:bookmarkStart w:id="161" w:name="_Toc63084548"/>
      <w:bookmarkEnd w:id="158"/>
      <w:bookmarkEnd w:id="159"/>
      <w:bookmarkEnd w:id="160"/>
      <w:bookmarkEnd w:id="161"/>
    </w:p>
    <w:p w14:paraId="5C9203AB" w14:textId="77777777" w:rsidR="00A02B4C" w:rsidRPr="007679BD" w:rsidRDefault="00A02B4C" w:rsidP="00A02B4C">
      <w:pPr>
        <w:pStyle w:val="SingleTxtG"/>
        <w:rPr>
          <w:lang w:val="fr-FR"/>
        </w:rPr>
      </w:pPr>
      <w:r w:rsidRPr="001C7F41">
        <w:rPr>
          <w:lang w:val="fr-FR"/>
        </w:rPr>
        <w:t>48.</w:t>
      </w:r>
      <w:r w:rsidRPr="001C7F41">
        <w:rPr>
          <w:lang w:val="fr-FR"/>
        </w:rPr>
        <w:tab/>
        <w:t>Le Comité prend en considération les renseignements qui sont fournis par des sources autres que les États parties à l’occasion de l’examen du rapport d’un État partie. Ces renseignements, en tant que partie intégrante du dialogue constructif entre le Comité et l’État partie, sont communiqués par le secrétariat à l’État partie concerné, via la page Web</w:t>
      </w:r>
      <w:r>
        <w:rPr>
          <w:lang w:val="fr-FR"/>
        </w:rPr>
        <w:t xml:space="preserve"> du HCDH, avant l’examen par le Comité du rapport de cet État. La publication de ces renseignements sur le site Web du HCDH ne signifie pas que le Comité les approuve.</w:t>
      </w:r>
    </w:p>
    <w:p w14:paraId="68A3A4D0" w14:textId="77777777" w:rsidR="00A02B4C" w:rsidRPr="007679BD" w:rsidRDefault="00A02B4C" w:rsidP="00A02B4C">
      <w:pPr>
        <w:pStyle w:val="H23G"/>
        <w:rPr>
          <w:lang w:val="fr-FR"/>
        </w:rPr>
      </w:pPr>
      <w:r>
        <w:rPr>
          <w:lang w:val="fr-FR"/>
        </w:rPr>
        <w:tab/>
        <w:t>2.</w:t>
      </w:r>
      <w:r>
        <w:rPr>
          <w:lang w:val="fr-FR"/>
        </w:rPr>
        <w:tab/>
      </w:r>
      <w:r>
        <w:rPr>
          <w:bCs/>
          <w:lang w:val="fr-FR"/>
        </w:rPr>
        <w:t xml:space="preserve">Renseignements reçus à la suite de l’examen par le Comité du rapport </w:t>
      </w:r>
      <w:r>
        <w:rPr>
          <w:bCs/>
          <w:lang w:val="fr-FR"/>
        </w:rPr>
        <w:br/>
        <w:t>d’un État partie et de l’adoption d’observations finales</w:t>
      </w:r>
      <w:bookmarkStart w:id="162" w:name="_Toc321313412"/>
      <w:bookmarkStart w:id="163" w:name="_Toc536190867"/>
      <w:bookmarkStart w:id="164" w:name="_Toc536458152"/>
      <w:bookmarkStart w:id="165" w:name="_Toc63084549"/>
      <w:bookmarkEnd w:id="162"/>
      <w:bookmarkEnd w:id="163"/>
      <w:bookmarkEnd w:id="164"/>
      <w:bookmarkEnd w:id="165"/>
    </w:p>
    <w:p w14:paraId="68F6BCC4" w14:textId="77777777" w:rsidR="00A02B4C" w:rsidRPr="007679BD" w:rsidRDefault="00A02B4C" w:rsidP="00A02B4C">
      <w:pPr>
        <w:pStyle w:val="SingleTxtG"/>
        <w:rPr>
          <w:lang w:val="fr-FR"/>
        </w:rPr>
      </w:pPr>
      <w:r>
        <w:rPr>
          <w:lang w:val="fr-FR"/>
        </w:rPr>
        <w:t>49.</w:t>
      </w:r>
      <w:r>
        <w:rPr>
          <w:lang w:val="fr-FR"/>
        </w:rPr>
        <w:tab/>
        <w:t xml:space="preserve">À plusieurs occasions dans le passé, le Comité a reçu des renseignements, principalement d’organisations non gouvernementales, après l’examen du rapport d’un État partie et l’adoption des observations finales s’y rapportant. Ces renseignements étaient, dans les faits, des compléments d’information faisant suite aux conclusions et recommandations du Comité. N’étant pas en mesure de le faire sans rouvrir son dialogue avec l’État partie, le Comité n’examinera les renseignements reçus de sources autres qu’un État partie que dans </w:t>
      </w:r>
      <w:r>
        <w:rPr>
          <w:lang w:val="fr-FR"/>
        </w:rPr>
        <w:lastRenderedPageBreak/>
        <w:t>les cas où ces renseignements auraient été expressément demandés dans ses observations finales.</w:t>
      </w:r>
    </w:p>
    <w:p w14:paraId="5CB4990C" w14:textId="77777777" w:rsidR="00A02B4C" w:rsidRPr="007679BD" w:rsidRDefault="00A02B4C" w:rsidP="00A02B4C">
      <w:pPr>
        <w:pStyle w:val="SingleTxtG"/>
        <w:rPr>
          <w:lang w:val="fr-FR"/>
        </w:rPr>
      </w:pPr>
      <w:r>
        <w:rPr>
          <w:lang w:val="fr-FR"/>
        </w:rPr>
        <w:t>50.</w:t>
      </w:r>
      <w:r>
        <w:rPr>
          <w:lang w:val="fr-FR"/>
        </w:rPr>
        <w:tab/>
        <w:t>Le Comité considère que, après examen du rapport de l’État partie et adoption des observations finales, la responsabilité de la mise en œuvre de celles-ci incombe au premier chef à l’État partie, qui est tenu de rendre compte au Comité, dans son rapport périodique suivant, des mesures prises à cet égard. Aussi recommande-t-il que ceux qui sont à l’origine des renseignements visés au paragraphe précédent les communiquent directement aux autorités nationales compétentes, afin de les aider à appliquer ses observations finales.</w:t>
      </w:r>
    </w:p>
    <w:p w14:paraId="17604624" w14:textId="77777777" w:rsidR="00A02B4C" w:rsidRPr="007679BD" w:rsidRDefault="00A02B4C" w:rsidP="00A02B4C">
      <w:pPr>
        <w:pStyle w:val="H23G"/>
        <w:rPr>
          <w:lang w:val="fr-FR"/>
        </w:rPr>
      </w:pPr>
      <w:r>
        <w:rPr>
          <w:lang w:val="fr-FR"/>
        </w:rPr>
        <w:tab/>
        <w:t>3.</w:t>
      </w:r>
      <w:r>
        <w:rPr>
          <w:lang w:val="fr-FR"/>
        </w:rPr>
        <w:tab/>
      </w:r>
      <w:r>
        <w:rPr>
          <w:bCs/>
          <w:lang w:val="fr-FR"/>
        </w:rPr>
        <w:t>Renseignements fournis au sujet d’États parties n’ayant pas présenté de rapport</w:t>
      </w:r>
      <w:bookmarkStart w:id="166" w:name="_Toc321313413"/>
      <w:bookmarkStart w:id="167" w:name="_Toc536190868"/>
      <w:bookmarkStart w:id="168" w:name="_Toc536458153"/>
      <w:bookmarkStart w:id="169" w:name="_Toc63084550"/>
      <w:bookmarkEnd w:id="166"/>
      <w:bookmarkEnd w:id="167"/>
      <w:bookmarkEnd w:id="168"/>
      <w:bookmarkEnd w:id="169"/>
    </w:p>
    <w:p w14:paraId="636F9251" w14:textId="77777777" w:rsidR="00A02B4C" w:rsidRPr="007679BD" w:rsidRDefault="00A02B4C" w:rsidP="00A02B4C">
      <w:pPr>
        <w:pStyle w:val="SingleTxtG"/>
        <w:rPr>
          <w:lang w:val="fr-FR"/>
        </w:rPr>
      </w:pPr>
      <w:r>
        <w:rPr>
          <w:lang w:val="fr-FR"/>
        </w:rPr>
        <w:t>51.</w:t>
      </w:r>
      <w:r>
        <w:rPr>
          <w:lang w:val="fr-FR"/>
        </w:rPr>
        <w:tab/>
        <w:t>Le Comité a également reçu d’organisations non gouvernementales tant internationales que nationales des renseignements sur la situation relative à la mise en œuvre des droits économiques, sociaux et culturels par :</w:t>
      </w:r>
    </w:p>
    <w:p w14:paraId="4A4D12F4" w14:textId="77777777" w:rsidR="00A02B4C" w:rsidRPr="007679BD" w:rsidRDefault="00A02B4C" w:rsidP="00A02B4C">
      <w:pPr>
        <w:pStyle w:val="SingleTxtG"/>
        <w:ind w:firstLine="567"/>
        <w:rPr>
          <w:lang w:val="fr-FR"/>
        </w:rPr>
      </w:pPr>
      <w:r>
        <w:rPr>
          <w:lang w:val="fr-FR"/>
        </w:rPr>
        <w:t>a)</w:t>
      </w:r>
      <w:r>
        <w:rPr>
          <w:lang w:val="fr-FR"/>
        </w:rPr>
        <w:tab/>
        <w:t>Les États parties qui n’ont présenté aucun rapport depuis la ratification et l’entrée en vigueur du Pacte international relatif aux droits économiques, sociaux et culturels ;</w:t>
      </w:r>
    </w:p>
    <w:p w14:paraId="09DCF934" w14:textId="77777777" w:rsidR="00A02B4C" w:rsidRPr="007679BD" w:rsidRDefault="00A02B4C" w:rsidP="00A02B4C">
      <w:pPr>
        <w:pStyle w:val="SingleTxtG"/>
        <w:ind w:firstLine="567"/>
        <w:rPr>
          <w:lang w:val="fr-FR"/>
        </w:rPr>
      </w:pPr>
      <w:r>
        <w:rPr>
          <w:lang w:val="fr-FR"/>
        </w:rPr>
        <w:t>b)</w:t>
      </w:r>
      <w:r>
        <w:rPr>
          <w:lang w:val="fr-FR"/>
        </w:rPr>
        <w:tab/>
        <w:t>Les États parties qui sont très en retard dans la présentation de leurs rapports périodiques.</w:t>
      </w:r>
    </w:p>
    <w:p w14:paraId="7D50FC34" w14:textId="77777777" w:rsidR="00A02B4C" w:rsidRPr="007679BD" w:rsidRDefault="00A02B4C" w:rsidP="00A02B4C">
      <w:pPr>
        <w:pStyle w:val="SingleTxtG"/>
        <w:rPr>
          <w:lang w:val="fr-FR"/>
        </w:rPr>
      </w:pPr>
      <w:r>
        <w:rPr>
          <w:lang w:val="fr-FR"/>
        </w:rPr>
        <w:t>52.</w:t>
      </w:r>
      <w:r>
        <w:rPr>
          <w:lang w:val="fr-FR"/>
        </w:rPr>
        <w:tab/>
        <w:t>Dans les deux cas, le non-respect par l’État partie des obligations mises à sa charge par le Pacte et, en particulier, de ses obligations en matière de présentation de rapports, a empêché le Comité de suivre efficacement la mise en œuvre, par l’État partie, des droits économiques, sociaux et culturels énoncés dans le Pacte, conformément au mandat que lui a donné le Conseil économique et social.</w:t>
      </w:r>
    </w:p>
    <w:p w14:paraId="26E85F90" w14:textId="77777777" w:rsidR="00A02B4C" w:rsidRPr="007679BD" w:rsidRDefault="00A02B4C" w:rsidP="00A02B4C">
      <w:pPr>
        <w:pStyle w:val="SingleTxtG"/>
        <w:rPr>
          <w:lang w:val="fr-FR"/>
        </w:rPr>
      </w:pPr>
      <w:r>
        <w:rPr>
          <w:lang w:val="fr-FR"/>
        </w:rPr>
        <w:t>53.</w:t>
      </w:r>
      <w:r>
        <w:rPr>
          <w:lang w:val="fr-FR"/>
        </w:rPr>
        <w:tab/>
        <w:t>À sa trentième session, en mai 2003, dans un esprit de dialogue ouvert et constructif avec les États parties, le Comité a décidé que, dans les deux situations visées ci-dessus, il pourrait, par une lettre de son président, porter les renseignements reçus à l’attention de l’État partie concerné et prier instamment celui-ci de soumettre sans délai son rapport en souffrance, et d’y répondre aux questions soulevées dans les communications des organisations non gouvernementales. Ladite lettre pourrait également être communiquée, sur demande, aux organisations non gouvernementales concernées.</w:t>
      </w:r>
    </w:p>
    <w:p w14:paraId="3BA6D6C7" w14:textId="77777777" w:rsidR="00A02B4C" w:rsidRPr="007679BD" w:rsidRDefault="00A02B4C" w:rsidP="00A02B4C">
      <w:pPr>
        <w:pStyle w:val="H1G"/>
        <w:rPr>
          <w:lang w:val="fr-FR"/>
        </w:rPr>
      </w:pPr>
      <w:r>
        <w:rPr>
          <w:lang w:val="fr-FR"/>
        </w:rPr>
        <w:tab/>
        <w:t>I.</w:t>
      </w:r>
      <w:r>
        <w:rPr>
          <w:lang w:val="fr-FR"/>
        </w:rPr>
        <w:tab/>
      </w:r>
      <w:bookmarkStart w:id="170" w:name="_Hlk63770876"/>
      <w:r>
        <w:rPr>
          <w:bCs/>
          <w:lang w:val="fr-FR"/>
        </w:rPr>
        <w:t>Journée de débat général</w:t>
      </w:r>
      <w:bookmarkStart w:id="171" w:name="_Toc321313414"/>
      <w:bookmarkStart w:id="172" w:name="_Toc419703772"/>
      <w:bookmarkStart w:id="173" w:name="_Toc470861816"/>
      <w:bookmarkStart w:id="174" w:name="_Toc504665035"/>
      <w:bookmarkStart w:id="175" w:name="_Toc532996345"/>
      <w:bookmarkStart w:id="176" w:name="_Toc536190869"/>
      <w:bookmarkStart w:id="177" w:name="_Toc536458154"/>
      <w:bookmarkStart w:id="178" w:name="_Toc31123788"/>
      <w:bookmarkStart w:id="179" w:name="_Toc63084551"/>
      <w:bookmarkEnd w:id="171"/>
      <w:bookmarkEnd w:id="172"/>
      <w:bookmarkEnd w:id="173"/>
      <w:bookmarkEnd w:id="174"/>
      <w:bookmarkEnd w:id="175"/>
      <w:bookmarkEnd w:id="176"/>
      <w:bookmarkEnd w:id="177"/>
      <w:bookmarkEnd w:id="178"/>
      <w:bookmarkEnd w:id="179"/>
      <w:bookmarkEnd w:id="170"/>
    </w:p>
    <w:p w14:paraId="0A8A645E" w14:textId="77777777" w:rsidR="00A02B4C" w:rsidRPr="007679BD" w:rsidRDefault="00A02B4C" w:rsidP="00A02B4C">
      <w:pPr>
        <w:pStyle w:val="SingleTxtG"/>
        <w:rPr>
          <w:lang w:val="fr-FR"/>
        </w:rPr>
      </w:pPr>
      <w:r>
        <w:rPr>
          <w:lang w:val="fr-FR"/>
        </w:rPr>
        <w:t>54.</w:t>
      </w:r>
      <w:r>
        <w:rPr>
          <w:lang w:val="fr-FR"/>
        </w:rPr>
        <w:tab/>
        <w:t>À chaque session, le Comité peut consacrer une journée à un débat général sur un droit particulier ou un aspect particulier du Pacte. L’objectif de ce type de débat est triple : aider le Comité à approfondir sa réflexion commune sur les questions à l’examen ; lui permettre d’encourager toutes les parties intéressées à participer à ses travaux ; et l’aider à jeter les bases d’une future observation générale, ou constituer l’occasion de débattre d’un projet d’observation générale.</w:t>
      </w:r>
    </w:p>
    <w:p w14:paraId="7A3915FA" w14:textId="77777777" w:rsidR="00A02B4C" w:rsidRPr="007679BD" w:rsidRDefault="00A02B4C" w:rsidP="00A02B4C">
      <w:pPr>
        <w:pStyle w:val="SingleTxtG"/>
        <w:rPr>
          <w:lang w:val="fr-FR"/>
        </w:rPr>
      </w:pPr>
      <w:r>
        <w:rPr>
          <w:lang w:val="fr-FR"/>
        </w:rPr>
        <w:t>55.</w:t>
      </w:r>
      <w:r>
        <w:rPr>
          <w:lang w:val="fr-FR"/>
        </w:rPr>
        <w:tab/>
        <w:t>Aucune journée de débat général n’a eu lieu en 2020, étant donné que les organes conventionnels ne peuvent organiser des journées de débat général qu’une fois tous les deux ans, compte tenu des ressources limitées disponibles pour de telles activités.</w:t>
      </w:r>
    </w:p>
    <w:p w14:paraId="7B0D21FC" w14:textId="77777777" w:rsidR="00A02B4C" w:rsidRPr="007679BD" w:rsidRDefault="00A02B4C" w:rsidP="00A02B4C">
      <w:pPr>
        <w:pStyle w:val="H1G"/>
        <w:rPr>
          <w:lang w:val="fr-FR"/>
        </w:rPr>
      </w:pPr>
      <w:r>
        <w:rPr>
          <w:lang w:val="fr-FR"/>
        </w:rPr>
        <w:tab/>
        <w:t>J.</w:t>
      </w:r>
      <w:r>
        <w:rPr>
          <w:lang w:val="fr-FR"/>
        </w:rPr>
        <w:tab/>
      </w:r>
      <w:bookmarkStart w:id="180" w:name="_Hlk63770887"/>
      <w:r>
        <w:rPr>
          <w:bCs/>
          <w:lang w:val="fr-FR"/>
        </w:rPr>
        <w:t>Consultations diverses</w:t>
      </w:r>
      <w:bookmarkStart w:id="181" w:name="_Toc321313415"/>
      <w:bookmarkStart w:id="182" w:name="_Toc419703773"/>
      <w:bookmarkStart w:id="183" w:name="_Toc470861817"/>
      <w:bookmarkStart w:id="184" w:name="_Toc504665036"/>
      <w:bookmarkStart w:id="185" w:name="_Toc532996346"/>
      <w:bookmarkStart w:id="186" w:name="_Toc536190870"/>
      <w:bookmarkStart w:id="187" w:name="_Toc536458155"/>
      <w:bookmarkStart w:id="188" w:name="_Toc31123789"/>
      <w:bookmarkStart w:id="189" w:name="_Toc63084552"/>
      <w:bookmarkEnd w:id="181"/>
      <w:bookmarkEnd w:id="182"/>
      <w:bookmarkEnd w:id="183"/>
      <w:bookmarkEnd w:id="184"/>
      <w:bookmarkEnd w:id="185"/>
      <w:bookmarkEnd w:id="186"/>
      <w:bookmarkEnd w:id="187"/>
      <w:bookmarkEnd w:id="188"/>
      <w:bookmarkEnd w:id="189"/>
      <w:bookmarkEnd w:id="180"/>
    </w:p>
    <w:p w14:paraId="41DDBEA7" w14:textId="77777777" w:rsidR="00A02B4C" w:rsidRPr="007679BD" w:rsidRDefault="00A02B4C" w:rsidP="00A02B4C">
      <w:pPr>
        <w:pStyle w:val="SingleTxtG"/>
        <w:rPr>
          <w:lang w:val="fr-FR"/>
        </w:rPr>
      </w:pPr>
      <w:r>
        <w:rPr>
          <w:lang w:val="fr-FR"/>
        </w:rPr>
        <w:t>56.</w:t>
      </w:r>
      <w:r>
        <w:rPr>
          <w:lang w:val="fr-FR"/>
        </w:rPr>
        <w:tab/>
        <w:t>Le Comité s’efforce, autant que faire se peut, de coordonner ses travaux avec ceux des autres organes et de mettre à profit dans toute la mesure possible les compétences disponibles dans les domaines dont il s’occupe. Il essaie également de faire appel aux compétences des institutions spécialisées et des organismes des Nations Unies concernés, ainsi qu’à celles des titulaires de mandat au titre des procédures spéciales du Conseil des droits de l’homme et des présidents et des membres des groupes de travail et autres organes du Conseil. Le Comité a également cherché à poursuivre sa collaboration avec des États parties et des acteurs de la société civile.</w:t>
      </w:r>
    </w:p>
    <w:p w14:paraId="72E7DB1D" w14:textId="77777777" w:rsidR="00A02B4C" w:rsidRPr="007679BD" w:rsidRDefault="00A02B4C" w:rsidP="00A02B4C">
      <w:pPr>
        <w:pStyle w:val="SingleTxtG"/>
        <w:rPr>
          <w:lang w:val="fr-FR"/>
        </w:rPr>
      </w:pPr>
      <w:r>
        <w:rPr>
          <w:lang w:val="fr-FR"/>
        </w:rPr>
        <w:lastRenderedPageBreak/>
        <w:t>57.</w:t>
      </w:r>
      <w:r>
        <w:rPr>
          <w:lang w:val="fr-FR"/>
        </w:rPr>
        <w:tab/>
        <w:t>Le 27 février 2020, le Comité a tenu une réunion informelle avec des États. Il les a informés de sa décision d’introduire le cycle d’examen prévisible et de généraliser l’utilisation de la procédure simplifiée de présentation des rapports. Il a rendu compte de ses travaux sur les communications, sur les observations générales en cours d’examen et sur la procédure de suivi. Par la suite, le Comité s’est entretenu avec les représentants des États parties et a répondu à leurs questions.</w:t>
      </w:r>
    </w:p>
    <w:p w14:paraId="43CDEE8E" w14:textId="77777777" w:rsidR="00A02B4C" w:rsidRPr="007679BD" w:rsidRDefault="00A02B4C" w:rsidP="00A02B4C">
      <w:pPr>
        <w:pStyle w:val="SingleTxtG"/>
        <w:rPr>
          <w:lang w:val="fr-FR"/>
        </w:rPr>
      </w:pPr>
      <w:r>
        <w:rPr>
          <w:lang w:val="fr-FR"/>
        </w:rPr>
        <w:t>58.</w:t>
      </w:r>
      <w:r>
        <w:rPr>
          <w:lang w:val="fr-FR"/>
        </w:rPr>
        <w:tab/>
        <w:t>Le 3 mars 2020, le Comité a tenu une réunion informelle avec des organisations de la société civile pour discuter de la coopération et de la collaboration en général. Le Comité a trouvé cette réunion utile et a convenu de poursuivre cette collaboration régulièrement, sur une base annuelle, y compris dans un cadre plus formel, avec des services d’interprétation dans la mesure du possible.</w:t>
      </w:r>
    </w:p>
    <w:p w14:paraId="4E45A3B6" w14:textId="77777777" w:rsidR="00A02B4C" w:rsidRPr="007679BD" w:rsidRDefault="00A02B4C" w:rsidP="00A02B4C">
      <w:pPr>
        <w:pStyle w:val="SingleTxtG"/>
        <w:rPr>
          <w:lang w:val="fr-FR"/>
        </w:rPr>
      </w:pPr>
      <w:r>
        <w:rPr>
          <w:lang w:val="fr-FR"/>
        </w:rPr>
        <w:t>59.</w:t>
      </w:r>
      <w:r>
        <w:rPr>
          <w:lang w:val="fr-FR"/>
        </w:rPr>
        <w:tab/>
        <w:t>Le 4 mars 2020, les membres du Comité ont eu l’occasion de rencontrer l’Expert indépendant chargé de la question de la protection contre la violence et la discrimination liées à l’orientation sexuelle et à l’identité de genre, Victor Madrigal-Bardoz, pour en savoir plus sur le champ de ses activités et entamer une discussion.</w:t>
      </w:r>
    </w:p>
    <w:p w14:paraId="60A66D0F" w14:textId="77777777" w:rsidR="00A02B4C" w:rsidRPr="007679BD" w:rsidRDefault="00A02B4C" w:rsidP="00A02B4C">
      <w:pPr>
        <w:pStyle w:val="SingleTxtG"/>
        <w:rPr>
          <w:lang w:val="fr-FR"/>
        </w:rPr>
      </w:pPr>
      <w:r>
        <w:rPr>
          <w:lang w:val="fr-FR"/>
        </w:rPr>
        <w:t>60.</w:t>
      </w:r>
      <w:r>
        <w:rPr>
          <w:lang w:val="fr-FR"/>
        </w:rPr>
        <w:tab/>
        <w:t>Le 5 mars 2020, la Plateforme de Genève sur les droits humains de l’Académie de droit international humanitaire et des droits humains à Genève, en coopération avec l’organisation non gouvernementale Public Eye, a organisé une réunion sur les effets des pesticides hautement dangereux à l’intention des membres des organes conventionnels, du Rapporteur spécial sur les incidences sur les droits de l’homme de la gestion et de l’élimination écologiquement rationnelles des produits et déchets dangereux, Baskut Tuncak, et des organisations de la société civile.</w:t>
      </w:r>
    </w:p>
    <w:p w14:paraId="6BB2C086" w14:textId="77777777" w:rsidR="00A02B4C" w:rsidRPr="007679BD" w:rsidRDefault="00A02B4C" w:rsidP="00A02B4C">
      <w:pPr>
        <w:pStyle w:val="SingleTxtG"/>
        <w:rPr>
          <w:lang w:val="fr-FR"/>
        </w:rPr>
      </w:pPr>
      <w:r>
        <w:rPr>
          <w:lang w:val="fr-FR"/>
        </w:rPr>
        <w:t>61.</w:t>
      </w:r>
      <w:r>
        <w:rPr>
          <w:lang w:val="fr-FR"/>
        </w:rPr>
        <w:tab/>
        <w:t>Des institutions spécialisées des Nations Unies ainsi que des organes et des départements de l’Organisation des Nations Unies ont assisté aux dialogues tenus durant la soixante-septième session.</w:t>
      </w:r>
    </w:p>
    <w:p w14:paraId="4390B9FC" w14:textId="77777777" w:rsidR="00A02B4C" w:rsidRPr="007679BD" w:rsidRDefault="00A02B4C" w:rsidP="00A02B4C">
      <w:pPr>
        <w:pStyle w:val="H1G"/>
        <w:rPr>
          <w:lang w:val="fr-FR"/>
        </w:rPr>
      </w:pPr>
      <w:r>
        <w:rPr>
          <w:lang w:val="fr-FR"/>
        </w:rPr>
        <w:tab/>
        <w:t>K.</w:t>
      </w:r>
      <w:r>
        <w:rPr>
          <w:lang w:val="fr-FR"/>
        </w:rPr>
        <w:tab/>
      </w:r>
      <w:bookmarkStart w:id="190" w:name="_Hlk63770905"/>
      <w:r>
        <w:rPr>
          <w:bCs/>
          <w:lang w:val="fr-FR"/>
        </w:rPr>
        <w:t xml:space="preserve">Participation des organisations non gouvernementales aux travaux </w:t>
      </w:r>
      <w:r>
        <w:rPr>
          <w:bCs/>
          <w:lang w:val="fr-FR"/>
        </w:rPr>
        <w:br/>
        <w:t>du Comité</w:t>
      </w:r>
      <w:bookmarkStart w:id="191" w:name="_Toc321313416"/>
      <w:bookmarkStart w:id="192" w:name="_Toc419703774"/>
      <w:bookmarkStart w:id="193" w:name="_Toc470861818"/>
      <w:bookmarkStart w:id="194" w:name="_Toc504665037"/>
      <w:bookmarkStart w:id="195" w:name="_Toc532996347"/>
      <w:bookmarkStart w:id="196" w:name="_Toc536190871"/>
      <w:bookmarkStart w:id="197" w:name="_Toc536458156"/>
      <w:bookmarkStart w:id="198" w:name="_Toc31123790"/>
      <w:bookmarkStart w:id="199" w:name="_Toc63084553"/>
      <w:bookmarkEnd w:id="191"/>
      <w:bookmarkEnd w:id="192"/>
      <w:bookmarkEnd w:id="193"/>
      <w:bookmarkEnd w:id="194"/>
      <w:bookmarkEnd w:id="195"/>
      <w:bookmarkEnd w:id="196"/>
      <w:bookmarkEnd w:id="197"/>
      <w:bookmarkEnd w:id="198"/>
      <w:bookmarkEnd w:id="199"/>
      <w:bookmarkEnd w:id="190"/>
    </w:p>
    <w:p w14:paraId="223BC234" w14:textId="77777777" w:rsidR="00A02B4C" w:rsidRPr="007679BD" w:rsidRDefault="00A02B4C" w:rsidP="00A02B4C">
      <w:pPr>
        <w:pStyle w:val="SingleTxtG"/>
        <w:rPr>
          <w:lang w:val="fr-FR"/>
        </w:rPr>
      </w:pPr>
      <w:r>
        <w:rPr>
          <w:lang w:val="fr-FR"/>
        </w:rPr>
        <w:t>62.</w:t>
      </w:r>
      <w:r>
        <w:rPr>
          <w:lang w:val="fr-FR"/>
        </w:rPr>
        <w:tab/>
        <w:t>Afin d’être aussi bien renseigné que possible, le Comité donne aux organisations non gouvernementales la possibilité de lui communiquer des informations</w:t>
      </w:r>
      <w:r w:rsidRPr="0031089E">
        <w:rPr>
          <w:rStyle w:val="Appelnotedebasdep"/>
          <w:lang w:val="fr-FR"/>
        </w:rPr>
        <w:footnoteReference w:id="7"/>
      </w:r>
      <w:r>
        <w:rPr>
          <w:lang w:val="fr-FR"/>
        </w:rPr>
        <w:t>. Elles peuvent le faire par écrit à tout moment avant l’examen du rapport d’un État partie. Le groupe de travail de présession du Comité est, lui aussi, prêt à recevoir verbalement ou par écrit des informations de toute organisation non gouvernementale, pourvu que celles-ci soient en rapport avec les questions inscrites à son ordre du jour. En outre, le Comité réserve, depuis novembre 2012, une partie des premiers lundis de chacune de ses sessions aux représentants des organisations non gouvernementales qui peuvent, à cette occasion, présenter oralement des informations. Ces informations doivent : a) porter précisément sur les dispositions du Pacte ; b) se rapporter directement aux questions examinées par le Comité ; c) être crédibles ; d) ne pas présenter un caractère offensant.</w:t>
      </w:r>
    </w:p>
    <w:p w14:paraId="69960D92" w14:textId="77777777" w:rsidR="00A02B4C" w:rsidRPr="007679BD" w:rsidRDefault="00A02B4C" w:rsidP="00A02B4C">
      <w:pPr>
        <w:pStyle w:val="SingleTxtG"/>
        <w:rPr>
          <w:lang w:val="fr-FR"/>
        </w:rPr>
      </w:pPr>
      <w:r>
        <w:rPr>
          <w:lang w:val="fr-FR"/>
        </w:rPr>
        <w:t>63.</w:t>
      </w:r>
      <w:r>
        <w:rPr>
          <w:lang w:val="fr-FR"/>
        </w:rPr>
        <w:tab/>
        <w:t>Le Comité a demandé au secrétariat de communiquer, dans les meilleurs délais, aux représentants de l’État partie concerné les informations écrites transmises officiellement par une organisation non gouvernementale, dans le cadre de l’examen du rapport de l’État partie. Ces informations sont normalement affichées sur le site Web du Haut-Commissariat aux droits de l’homme avant chaque session. Le Comité présume, par conséquent, que s’il est fait état de l’une quelconque de ces informations durant le dialogue avec l’État partie, celui-ci en aura déjà eu connaissance.</w:t>
      </w:r>
    </w:p>
    <w:p w14:paraId="3C937B39" w14:textId="77777777" w:rsidR="00A02B4C" w:rsidRPr="007679BD" w:rsidRDefault="00A02B4C" w:rsidP="00A02B4C">
      <w:pPr>
        <w:pStyle w:val="SingleTxtG"/>
        <w:rPr>
          <w:lang w:val="fr-FR"/>
        </w:rPr>
      </w:pPr>
      <w:r>
        <w:rPr>
          <w:lang w:val="fr-FR"/>
        </w:rPr>
        <w:t>64.</w:t>
      </w:r>
      <w:r>
        <w:rPr>
          <w:lang w:val="fr-FR"/>
        </w:rPr>
        <w:tab/>
        <w:t>Les organisations de la société civile prennent également part aux travaux du Comité en contribuant à la rédaction des observations générales et en participant à des réunions thématiques. Comme indiqué plus haut, le Comité cherche à renforcer sa collaboration avec les organisations de la société civile, notamment à la faveur de réunions annuelles régulières.</w:t>
      </w:r>
    </w:p>
    <w:p w14:paraId="00EB03BE" w14:textId="77777777" w:rsidR="00A02B4C" w:rsidRPr="007679BD" w:rsidRDefault="00A02B4C" w:rsidP="00A02B4C">
      <w:pPr>
        <w:pStyle w:val="SingleTxtG"/>
        <w:rPr>
          <w:lang w:val="fr-FR"/>
        </w:rPr>
      </w:pPr>
      <w:r>
        <w:rPr>
          <w:lang w:val="fr-FR"/>
        </w:rPr>
        <w:lastRenderedPageBreak/>
        <w:t>65.</w:t>
      </w:r>
      <w:r>
        <w:rPr>
          <w:lang w:val="fr-FR"/>
        </w:rPr>
        <w:tab/>
        <w:t>Des représentants des organisations non gouvernementales ci-après, dotées du statut consultatif auprès du Conseil économique et social, se sont inscrits pour assister aux réunions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261"/>
        <w:gridCol w:w="4109"/>
      </w:tblGrid>
      <w:tr w:rsidR="00A02B4C" w:rsidRPr="0041666F" w14:paraId="7687EE03" w14:textId="77777777" w:rsidTr="003836D7">
        <w:trPr>
          <w:cantSplit/>
          <w:tblHeader/>
        </w:trPr>
        <w:tc>
          <w:tcPr>
            <w:tcW w:w="3261" w:type="dxa"/>
            <w:tcBorders>
              <w:top w:val="single" w:sz="4" w:space="0" w:color="auto"/>
              <w:bottom w:val="nil"/>
            </w:tcBorders>
            <w:shd w:val="clear" w:color="auto" w:fill="auto"/>
          </w:tcPr>
          <w:p w14:paraId="52FB2ED1" w14:textId="77777777" w:rsidR="00A02B4C" w:rsidRPr="007679BD" w:rsidRDefault="00A02B4C" w:rsidP="003836D7">
            <w:pPr>
              <w:suppressAutoHyphens w:val="0"/>
              <w:spacing w:before="40" w:after="120"/>
              <w:rPr>
                <w:lang w:val="fr-FR"/>
              </w:rPr>
            </w:pPr>
            <w:r>
              <w:rPr>
                <w:lang w:val="fr-FR"/>
              </w:rPr>
              <w:t>À la soixante-septième session :</w:t>
            </w:r>
          </w:p>
        </w:tc>
        <w:tc>
          <w:tcPr>
            <w:tcW w:w="4109" w:type="dxa"/>
            <w:tcBorders>
              <w:top w:val="single" w:sz="4" w:space="0" w:color="auto"/>
              <w:bottom w:val="nil"/>
            </w:tcBorders>
            <w:shd w:val="clear" w:color="auto" w:fill="auto"/>
            <w:vAlign w:val="bottom"/>
          </w:tcPr>
          <w:p w14:paraId="093FFADF" w14:textId="77777777" w:rsidR="00A02B4C" w:rsidRPr="007679BD" w:rsidRDefault="00A02B4C" w:rsidP="003836D7">
            <w:pPr>
              <w:suppressAutoHyphens w:val="0"/>
              <w:spacing w:before="40" w:after="120"/>
              <w:rPr>
                <w:lang w:val="fr-FR"/>
              </w:rPr>
            </w:pPr>
            <w:r>
              <w:rPr>
                <w:lang w:val="fr-FR"/>
              </w:rPr>
              <w:t>Bischöfliches Hilfswerk Misereor ; Buddies Association of Volunteers for Orphans, Disabled and Abandoned Children ; Centre for Corrections and Human Development ; Association européenne des étudiants en droit ; Franciscans International ; Genève pour les droits de l’homme : formation internationale ; Global Initiative for Economic, Social and Cultural Rights ; Organisation mondiale pour la paix et le développement ; Internationale des services publics ; Stichting Global Partnership for the Prevention of Armed Conflict ; Swedwatch ; Syndicat chrétien des travailleurs du Congo ; urbaMonde − Suisse ; Villages unis (United Villages) ; Ligue internationale des femmes pour la paix et la liberté</w:t>
            </w:r>
          </w:p>
        </w:tc>
      </w:tr>
      <w:tr w:rsidR="00A02B4C" w:rsidRPr="0031089E" w14:paraId="00EA1F3A" w14:textId="77777777" w:rsidTr="003836D7">
        <w:trPr>
          <w:cantSplit/>
        </w:trPr>
        <w:tc>
          <w:tcPr>
            <w:tcW w:w="3261" w:type="dxa"/>
            <w:tcBorders>
              <w:top w:val="nil"/>
            </w:tcBorders>
            <w:shd w:val="clear" w:color="auto" w:fill="auto"/>
          </w:tcPr>
          <w:p w14:paraId="57C2E159" w14:textId="77777777" w:rsidR="00A02B4C" w:rsidRPr="007679BD" w:rsidRDefault="00A02B4C" w:rsidP="003836D7">
            <w:pPr>
              <w:suppressAutoHyphens w:val="0"/>
              <w:spacing w:before="40" w:after="120"/>
              <w:rPr>
                <w:lang w:val="fr-FR"/>
              </w:rPr>
            </w:pPr>
            <w:r>
              <w:rPr>
                <w:lang w:val="fr-FR"/>
              </w:rPr>
              <w:t>À la soixante-huitième session :</w:t>
            </w:r>
          </w:p>
        </w:tc>
        <w:tc>
          <w:tcPr>
            <w:tcW w:w="4109" w:type="dxa"/>
            <w:tcBorders>
              <w:top w:val="nil"/>
            </w:tcBorders>
            <w:shd w:val="clear" w:color="auto" w:fill="auto"/>
          </w:tcPr>
          <w:p w14:paraId="6A4C01B3" w14:textId="77777777" w:rsidR="00A02B4C" w:rsidRPr="0031089E" w:rsidRDefault="00A02B4C" w:rsidP="003836D7">
            <w:pPr>
              <w:suppressAutoHyphens w:val="0"/>
              <w:spacing w:before="40" w:after="120"/>
            </w:pPr>
            <w:r>
              <w:rPr>
                <w:lang w:val="fr-FR"/>
              </w:rPr>
              <w:t>Sans objet</w:t>
            </w:r>
          </w:p>
        </w:tc>
      </w:tr>
    </w:tbl>
    <w:p w14:paraId="30BC9677" w14:textId="77777777" w:rsidR="00A02B4C" w:rsidRPr="007679BD" w:rsidRDefault="00A02B4C" w:rsidP="00A02B4C">
      <w:pPr>
        <w:pStyle w:val="SingleTxtG"/>
        <w:spacing w:before="240"/>
        <w:rPr>
          <w:lang w:val="fr-FR"/>
        </w:rPr>
      </w:pPr>
      <w:r>
        <w:rPr>
          <w:lang w:val="fr-FR"/>
        </w:rPr>
        <w:t>66.</w:t>
      </w:r>
      <w:r>
        <w:rPr>
          <w:lang w:val="fr-FR"/>
        </w:rPr>
        <w:tab/>
        <w:t>D’autres organisations non gouvernementales nationales et internationales et coalitions d’organisations non gouvernementales nationales étaient représentées par des observateurs aux deux sessions, à savoir :</w:t>
      </w:r>
    </w:p>
    <w:p w14:paraId="4DE51505" w14:textId="77777777" w:rsidR="00A02B4C" w:rsidRPr="007679BD" w:rsidRDefault="00A02B4C" w:rsidP="00A02B4C">
      <w:pPr>
        <w:pStyle w:val="SingleTxtG"/>
        <w:ind w:firstLine="567"/>
        <w:rPr>
          <w:lang w:val="fr-FR"/>
        </w:rPr>
      </w:pPr>
      <w:r>
        <w:rPr>
          <w:lang w:val="fr-FR"/>
        </w:rPr>
        <w:t>a)</w:t>
      </w:r>
      <w:r>
        <w:rPr>
          <w:lang w:val="fr-FR"/>
        </w:rPr>
        <w:tab/>
        <w:t>Soixante-septième session : Action on African Women Foundation Ghana ; Association des amoureux du livre pour le développement local ; Association de promotion des droits humains et des minorités ; Association pour la promotion de la Francophonie en Flandre ; Changement social Bénin ; Association eurasienne de réduction des risques ; Enfants Solidaires d’Afrique et du Monde ; FIAN Belgique ; FIAN International ; FIAN Norvège ; Groupe d’information sur les crimes contre la personne ; Ligue des droits humains ; NNID Foundation ; Association norvégienne des aveugles et des malvoyants ; Organisation internationale de perspective mondiale ; Centre de défense des droits sociaux ; Spaces for Youth Development and Social Change (Spaces for Change) ; Swiss Youth Delegate to the United Nations ; Church City Mission ; Parlement sâme de Norvège ; Union ukrainienne des droits de l’homme d’Helsinki ; Réseau ukrainien des personnes qui consomment des drogues ; We Shall Overcome ;</w:t>
      </w:r>
    </w:p>
    <w:p w14:paraId="68643239" w14:textId="77777777" w:rsidR="00A02B4C" w:rsidRPr="007679BD" w:rsidRDefault="00A02B4C" w:rsidP="00A02B4C">
      <w:pPr>
        <w:pStyle w:val="SingleTxtG"/>
        <w:ind w:firstLine="567"/>
        <w:rPr>
          <w:lang w:val="fr-FR"/>
        </w:rPr>
      </w:pPr>
      <w:r>
        <w:rPr>
          <w:lang w:val="fr-FR"/>
        </w:rPr>
        <w:t>b)</w:t>
      </w:r>
      <w:r>
        <w:rPr>
          <w:lang w:val="fr-FR"/>
        </w:rPr>
        <w:tab/>
        <w:t>Soixante-huitième session : Abahlali baseMjondolo ; Asia Indigenous Peoples Pact (au nom du Réseau international pour les droits économiques, sociaux et culturels) ; Global Initiative for Economic, Social and Cultural Rights. Ces organisations ont souligné combien il importait que les travaux se poursuivent pendant la pandémie de COVID-19.</w:t>
      </w:r>
    </w:p>
    <w:p w14:paraId="66E7AF4A" w14:textId="77777777" w:rsidR="00A02B4C" w:rsidRPr="007679BD" w:rsidRDefault="00A02B4C" w:rsidP="00A02B4C">
      <w:pPr>
        <w:pStyle w:val="H1G"/>
        <w:rPr>
          <w:lang w:val="fr-FR"/>
        </w:rPr>
      </w:pPr>
      <w:r>
        <w:rPr>
          <w:lang w:val="fr-FR"/>
        </w:rPr>
        <w:tab/>
        <w:t>L.</w:t>
      </w:r>
      <w:r>
        <w:rPr>
          <w:lang w:val="fr-FR"/>
        </w:rPr>
        <w:tab/>
      </w:r>
      <w:bookmarkStart w:id="200" w:name="_Hlk63770920"/>
      <w:r>
        <w:rPr>
          <w:bCs/>
          <w:lang w:val="fr-FR"/>
        </w:rPr>
        <w:t>Observations générales</w:t>
      </w:r>
      <w:bookmarkStart w:id="201" w:name="_Toc321313417"/>
      <w:bookmarkStart w:id="202" w:name="_Toc419703775"/>
      <w:bookmarkStart w:id="203" w:name="_Toc470861819"/>
      <w:bookmarkStart w:id="204" w:name="_Toc504665038"/>
      <w:bookmarkStart w:id="205" w:name="_Toc532996348"/>
      <w:bookmarkStart w:id="206" w:name="_Toc536190872"/>
      <w:bookmarkStart w:id="207" w:name="_Toc536458157"/>
      <w:bookmarkStart w:id="208" w:name="_Toc31123791"/>
      <w:bookmarkStart w:id="209" w:name="_Toc63084554"/>
      <w:bookmarkEnd w:id="201"/>
      <w:bookmarkEnd w:id="202"/>
      <w:bookmarkEnd w:id="203"/>
      <w:bookmarkEnd w:id="204"/>
      <w:bookmarkEnd w:id="205"/>
      <w:bookmarkEnd w:id="206"/>
      <w:bookmarkEnd w:id="207"/>
      <w:bookmarkEnd w:id="208"/>
      <w:bookmarkEnd w:id="209"/>
      <w:bookmarkEnd w:id="200"/>
    </w:p>
    <w:p w14:paraId="613C8A04" w14:textId="77777777" w:rsidR="00A02B4C" w:rsidRPr="007679BD" w:rsidRDefault="00A02B4C" w:rsidP="00A02B4C">
      <w:pPr>
        <w:pStyle w:val="SingleTxtG"/>
        <w:rPr>
          <w:lang w:val="fr-FR"/>
        </w:rPr>
      </w:pPr>
      <w:r>
        <w:rPr>
          <w:lang w:val="fr-FR"/>
        </w:rPr>
        <w:t>67.</w:t>
      </w:r>
      <w:r>
        <w:rPr>
          <w:lang w:val="fr-FR"/>
        </w:rPr>
        <w:tab/>
        <w:t>En réponse à une demande formulée par le Conseil économique et social, le Comité a décidé, depuis sa troisième session, de rédiger des observations générales fondées sur les divers droits énoncés dans le Pacte et sur ses diverses dispositions, en particulier afin d’aider les États parties à s’acquitter des obligations mises à leur charge par le Pacte.</w:t>
      </w:r>
    </w:p>
    <w:p w14:paraId="6A879703" w14:textId="77777777" w:rsidR="00A02B4C" w:rsidRPr="007679BD" w:rsidRDefault="00A02B4C" w:rsidP="00A02B4C">
      <w:pPr>
        <w:pStyle w:val="SingleTxtG"/>
        <w:rPr>
          <w:lang w:val="fr-FR"/>
        </w:rPr>
      </w:pPr>
      <w:r>
        <w:rPr>
          <w:lang w:val="fr-FR"/>
        </w:rPr>
        <w:t>68.</w:t>
      </w:r>
      <w:r>
        <w:rPr>
          <w:lang w:val="fr-FR"/>
        </w:rPr>
        <w:tab/>
        <w:t xml:space="preserve">À sa soixante-septième session, le Comité a adopté l’observation générale </w:t>
      </w:r>
      <w:r w:rsidRPr="00DD0AF4">
        <w:rPr>
          <w:rFonts w:eastAsia="MS Mincho"/>
          <w:lang w:val="fr-FR"/>
        </w:rPr>
        <w:t>n</w:t>
      </w:r>
      <w:r w:rsidRPr="00DD0AF4">
        <w:rPr>
          <w:rFonts w:eastAsia="MS Mincho"/>
          <w:vertAlign w:val="superscript"/>
          <w:lang w:val="fr-FR"/>
        </w:rPr>
        <w:t>o</w:t>
      </w:r>
      <w:r>
        <w:rPr>
          <w:lang w:val="fr-FR"/>
        </w:rPr>
        <w:t> 25 (2020) sur la science et les droits économiques, sociaux et culturels (art. 15, par. 1) b), 2), 3) et 4) du Pacte). Dans l’observation générale, le Comité s’intéresse principalement au droit de chacun de bénéficier du progrès scientifique et de ses applications (art. 15, par. 1) b)), droit à partir duquel il analyse plus largement les liens entre la science et tous les droits consacrés par le Pacte.</w:t>
      </w:r>
    </w:p>
    <w:p w14:paraId="6EB94CF1" w14:textId="77777777" w:rsidR="00A02B4C" w:rsidRPr="007679BD" w:rsidRDefault="00A02B4C" w:rsidP="00A02B4C">
      <w:pPr>
        <w:pStyle w:val="SingleTxtG"/>
        <w:rPr>
          <w:lang w:val="fr-FR"/>
        </w:rPr>
      </w:pPr>
      <w:r>
        <w:rPr>
          <w:lang w:val="fr-FR"/>
        </w:rPr>
        <w:lastRenderedPageBreak/>
        <w:t>69.</w:t>
      </w:r>
      <w:r>
        <w:rPr>
          <w:lang w:val="fr-FR"/>
        </w:rPr>
        <w:tab/>
        <w:t xml:space="preserve">Au 16 octobre 2020, le Comité avait adopté 25 observations générales (voir </w:t>
      </w:r>
      <w:hyperlink r:id="rId53" w:history="1">
        <w:r w:rsidRPr="007B6C54">
          <w:rPr>
            <w:rStyle w:val="Lienhypertexte"/>
            <w:lang w:val="fr-FR"/>
          </w:rPr>
          <w:t>www.ohchr.org/FR/hrbodies/cescr/pages/cescrindex.aspx</w:t>
        </w:r>
      </w:hyperlink>
      <w:r>
        <w:rPr>
          <w:lang w:val="fr-FR"/>
        </w:rPr>
        <w:t>).</w:t>
      </w:r>
    </w:p>
    <w:p w14:paraId="55C9A73F" w14:textId="77777777" w:rsidR="00A02B4C" w:rsidRPr="007679BD" w:rsidRDefault="00A02B4C" w:rsidP="00A02B4C">
      <w:pPr>
        <w:pStyle w:val="SingleTxtG"/>
        <w:rPr>
          <w:lang w:val="fr-FR"/>
        </w:rPr>
      </w:pPr>
      <w:r>
        <w:rPr>
          <w:lang w:val="fr-FR"/>
        </w:rPr>
        <w:t>70.</w:t>
      </w:r>
      <w:r>
        <w:rPr>
          <w:lang w:val="fr-FR"/>
        </w:rPr>
        <w:tab/>
        <w:t>Par ses observations générales, le Comité s’efforce de faire bénéficier tous les États parties de l’expérience acquise dans le cadre de l’examen des rapports qu’ils ont présentés, afin de les aider et de les encourager à continuer d’appliquer le Pacte, d’appeler leur attention sur les insuffisances que font apparaître un grand nombre de rapports, de proposer des améliorations aux procédures de présentation des rapports et d’encourager les États parties, les organisations internationales et les institutions spécialisées des Nations Unies intéressées à œuvrer à la réalisation progressive et effective de tous les droits reconnus dans le Pacte. Chaque fois qu’il le juge nécessaire, le Comité peut, à la lumière de l’expérience des États parties et des conclusions qu’il en a tirées, réviser ses observations générales et les mettre à jour.</w:t>
      </w:r>
    </w:p>
    <w:p w14:paraId="3421F2BB" w14:textId="77777777" w:rsidR="00A02B4C" w:rsidRPr="007679BD" w:rsidRDefault="00A02B4C" w:rsidP="00A02B4C">
      <w:pPr>
        <w:pStyle w:val="SingleTxtG"/>
        <w:rPr>
          <w:lang w:val="fr-FR"/>
        </w:rPr>
      </w:pPr>
      <w:r>
        <w:rPr>
          <w:lang w:val="fr-FR"/>
        </w:rPr>
        <w:t>71.</w:t>
      </w:r>
      <w:r>
        <w:rPr>
          <w:lang w:val="fr-FR"/>
        </w:rPr>
        <w:tab/>
        <w:t>À sa vingt et unième session, le Comité a adopté un canevas pour l’élaboration d’observations générales sur certains droits consacrés par le Pacte</w:t>
      </w:r>
      <w:r w:rsidRPr="0031089E">
        <w:rPr>
          <w:rStyle w:val="Appelnotedebasdep"/>
          <w:lang w:val="fr-FR"/>
        </w:rPr>
        <w:footnoteReference w:id="8"/>
      </w:r>
      <w:r>
        <w:rPr>
          <w:lang w:val="fr-FR"/>
        </w:rPr>
        <w:t>. Il a admis que la structure générale d’une observation générale donnée dépendait de l’objet de ce document, et a fait remarquer qu’il n’était pas nécessaire de suivre le canevas à la lettre. Toutefois, celui-ci fournissait des indications utiles et une liste de questions à prendre en considération au moment de l’élaboration d’une observation générale. À cet égard, le canevas pourrait aider à assurer la cohérence pour ce qui est de la teneur, de la présentation et de la portée des observations générales que le Comité doit adopter. Le Comité a souligné qu’il importait que les observations générales soient d’une lecture agréable et d’une longueur raisonnable, et qu’elles soient facilement compréhensibles pour un large éventail de lecteurs, en premier lieu les États parties au Pacte. Le canevas aiderait à rendre plus cohérente et plus claire la structure des observations générales, ce qui améliorerait leur accessibilité et conforterait l’interprétation autorisée du Pacte que ferait le Comité au moyen de ses observations générales.</w:t>
      </w:r>
    </w:p>
    <w:p w14:paraId="1569B76B" w14:textId="77777777" w:rsidR="00A02B4C" w:rsidRPr="007679BD" w:rsidRDefault="00A02B4C" w:rsidP="00A02B4C">
      <w:pPr>
        <w:pStyle w:val="H1G"/>
        <w:rPr>
          <w:lang w:val="fr-FR"/>
        </w:rPr>
      </w:pPr>
      <w:r>
        <w:rPr>
          <w:lang w:val="fr-FR"/>
        </w:rPr>
        <w:tab/>
        <w:t>M.</w:t>
      </w:r>
      <w:r>
        <w:rPr>
          <w:lang w:val="fr-FR"/>
        </w:rPr>
        <w:tab/>
      </w:r>
      <w:bookmarkStart w:id="210" w:name="_Hlk63770937"/>
      <w:r>
        <w:rPr>
          <w:bCs/>
          <w:lang w:val="fr-FR"/>
        </w:rPr>
        <w:t>Déclarations et lettres adoptées par le Comité</w:t>
      </w:r>
      <w:bookmarkStart w:id="211" w:name="_Toc321313418"/>
      <w:bookmarkStart w:id="212" w:name="_Toc419703776"/>
      <w:bookmarkStart w:id="213" w:name="_Toc470861820"/>
      <w:bookmarkStart w:id="214" w:name="_Toc504665039"/>
      <w:bookmarkStart w:id="215" w:name="_Toc532996349"/>
      <w:bookmarkStart w:id="216" w:name="_Toc536190873"/>
      <w:bookmarkStart w:id="217" w:name="_Toc536458158"/>
      <w:bookmarkStart w:id="218" w:name="_Toc31123792"/>
      <w:bookmarkStart w:id="219" w:name="_Toc63084555"/>
      <w:bookmarkEnd w:id="211"/>
      <w:bookmarkEnd w:id="212"/>
      <w:bookmarkEnd w:id="213"/>
      <w:bookmarkEnd w:id="214"/>
      <w:bookmarkEnd w:id="215"/>
      <w:bookmarkEnd w:id="216"/>
      <w:bookmarkEnd w:id="217"/>
      <w:bookmarkEnd w:id="218"/>
      <w:bookmarkEnd w:id="219"/>
      <w:bookmarkEnd w:id="210"/>
    </w:p>
    <w:p w14:paraId="13AE424A" w14:textId="77777777" w:rsidR="00A02B4C" w:rsidRPr="007679BD" w:rsidRDefault="00A02B4C" w:rsidP="00A02B4C">
      <w:pPr>
        <w:pStyle w:val="SingleTxtG"/>
        <w:rPr>
          <w:lang w:val="fr-FR"/>
        </w:rPr>
      </w:pPr>
      <w:r>
        <w:rPr>
          <w:lang w:val="fr-FR"/>
        </w:rPr>
        <w:t>72.</w:t>
      </w:r>
      <w:r>
        <w:rPr>
          <w:lang w:val="fr-FR"/>
        </w:rPr>
        <w:tab/>
        <w:t>Afin d’aider les États parties au Pacte, le Comité adopte des déclarations visant à préciser et confirmer sa position concernant des faits nouveaux et des problèmes de première importance sur le plan international qui intéressent l’application du Pacte.</w:t>
      </w:r>
    </w:p>
    <w:p w14:paraId="1F31D020" w14:textId="77777777" w:rsidR="00A02B4C" w:rsidRPr="00DD0AF4" w:rsidRDefault="00A02B4C" w:rsidP="00A02B4C">
      <w:pPr>
        <w:pStyle w:val="SingleTxtG"/>
        <w:rPr>
          <w:lang w:val="fr-FR"/>
        </w:rPr>
      </w:pPr>
      <w:r>
        <w:rPr>
          <w:lang w:val="fr-FR"/>
        </w:rPr>
        <w:t>73.</w:t>
      </w:r>
      <w:r>
        <w:rPr>
          <w:lang w:val="fr-FR"/>
        </w:rPr>
        <w:tab/>
        <w:t>Le 6 avril 2020, le Comité a adopté une déclaration sur la pandémie et les droits économiques, sociaux et culturels (</w:t>
      </w:r>
      <w:hyperlink r:id="rId54" w:history="1">
        <w:r w:rsidRPr="00DD0AF4">
          <w:rPr>
            <w:rStyle w:val="Lienhypertexte"/>
            <w:lang w:val="fr-FR"/>
          </w:rPr>
          <w:t>E/C.12/2020/1</w:t>
        </w:r>
      </w:hyperlink>
      <w:r w:rsidRPr="00DD0AF4">
        <w:rPr>
          <w:lang w:val="fr-FR"/>
        </w:rPr>
        <w:t>). Dans sa déclaration, le Comité a défini les mesures ciblées qu’il fallait prendre pour protéger les droits économiques, sociaux et culturels, tout en soulignant l’importance de la coopération et de la solidarité internationales pour soutenir ces mesures au niveau national. Le Comité a reçu des commentaires positifs sur cette déclaration de la part d’un grand nombre de parties prenantes, qui ont dit l’avoir utilisée pour soutenir leur action.</w:t>
      </w:r>
    </w:p>
    <w:p w14:paraId="550A1ACA" w14:textId="77777777" w:rsidR="00A02B4C" w:rsidRPr="007679BD" w:rsidRDefault="00A02B4C" w:rsidP="00A02B4C">
      <w:pPr>
        <w:pStyle w:val="SingleTxtG"/>
        <w:rPr>
          <w:lang w:val="fr-FR"/>
        </w:rPr>
      </w:pPr>
      <w:r>
        <w:rPr>
          <w:lang w:val="fr-FR"/>
        </w:rPr>
        <w:t>74.</w:t>
      </w:r>
      <w:r>
        <w:rPr>
          <w:lang w:val="fr-FR"/>
        </w:rPr>
        <w:tab/>
        <w:t>Au 16 octobre 2020, le Comité avait adopté 30 déclarations. Le Président du Comité a aussi adressé des lettres ouvertes aux États parties au Pacte sur des questions présentant un intérêt particulier, notamment sur les droits économiques, sociaux et culturels et la crise économique et financière, et les mesures d’austérité connexes.</w:t>
      </w:r>
    </w:p>
    <w:p w14:paraId="7FB295F0" w14:textId="77777777" w:rsidR="00A02B4C" w:rsidRPr="007679BD" w:rsidRDefault="00A02B4C" w:rsidP="00A02B4C">
      <w:pPr>
        <w:pStyle w:val="HChG"/>
        <w:rPr>
          <w:lang w:val="fr-FR"/>
        </w:rPr>
      </w:pPr>
      <w:r>
        <w:rPr>
          <w:lang w:val="fr-FR"/>
        </w:rPr>
        <w:lastRenderedPageBreak/>
        <w:tab/>
      </w:r>
      <w:r>
        <w:rPr>
          <w:lang w:val="fr-FR"/>
        </w:rPr>
        <w:tab/>
      </w:r>
      <w:r>
        <w:rPr>
          <w:bCs/>
          <w:lang w:val="fr-FR"/>
        </w:rPr>
        <w:t>Chapitre III</w:t>
      </w:r>
      <w:r>
        <w:rPr>
          <w:bCs/>
          <w:lang w:val="fr-FR"/>
        </w:rPr>
        <w:br/>
      </w:r>
      <w:bookmarkStart w:id="220" w:name="_Hlk63770955"/>
      <w:r>
        <w:rPr>
          <w:bCs/>
          <w:lang w:val="fr-FR"/>
        </w:rPr>
        <w:t xml:space="preserve">Situation en ce qui concerne la soumission de rapports </w:t>
      </w:r>
      <w:r>
        <w:rPr>
          <w:bCs/>
          <w:lang w:val="fr-FR"/>
        </w:rPr>
        <w:br/>
        <w:t xml:space="preserve">par les États parties en application des articles 16 et 17 </w:t>
      </w:r>
      <w:r>
        <w:rPr>
          <w:bCs/>
          <w:lang w:val="fr-FR"/>
        </w:rPr>
        <w:br/>
        <w:t>du Pacte</w:t>
      </w:r>
      <w:bookmarkStart w:id="221" w:name="_Toc321313419"/>
      <w:bookmarkStart w:id="222" w:name="_Toc419703777"/>
      <w:bookmarkStart w:id="223" w:name="_Toc470861821"/>
      <w:bookmarkStart w:id="224" w:name="_Toc504665040"/>
      <w:bookmarkStart w:id="225" w:name="_Toc532996350"/>
      <w:bookmarkStart w:id="226" w:name="_Toc536190874"/>
      <w:bookmarkStart w:id="227" w:name="_Toc536458159"/>
      <w:bookmarkStart w:id="228" w:name="_Toc31123793"/>
      <w:bookmarkStart w:id="229" w:name="_Toc63084556"/>
      <w:bookmarkEnd w:id="221"/>
      <w:bookmarkEnd w:id="222"/>
      <w:bookmarkEnd w:id="223"/>
      <w:bookmarkEnd w:id="224"/>
      <w:bookmarkEnd w:id="225"/>
      <w:bookmarkEnd w:id="226"/>
      <w:bookmarkEnd w:id="227"/>
      <w:bookmarkEnd w:id="228"/>
      <w:bookmarkEnd w:id="229"/>
      <w:bookmarkEnd w:id="220"/>
    </w:p>
    <w:p w14:paraId="012F213C" w14:textId="77777777" w:rsidR="00A02B4C" w:rsidRPr="007679BD" w:rsidRDefault="00A02B4C" w:rsidP="00A02B4C">
      <w:pPr>
        <w:pStyle w:val="SingleTxtG"/>
        <w:rPr>
          <w:lang w:val="fr-FR"/>
        </w:rPr>
      </w:pPr>
      <w:r>
        <w:rPr>
          <w:lang w:val="fr-FR"/>
        </w:rPr>
        <w:t>75.</w:t>
      </w:r>
      <w:r>
        <w:rPr>
          <w:lang w:val="fr-FR"/>
        </w:rPr>
        <w:tab/>
        <w:t>Conformément à l’article 58 de son règlement intérieur, le Comité a examiné à sa 31</w:t>
      </w:r>
      <w:r w:rsidRPr="003624B1">
        <w:rPr>
          <w:vertAlign w:val="superscript"/>
          <w:lang w:val="fr-FR"/>
        </w:rPr>
        <w:t>e</w:t>
      </w:r>
      <w:r>
        <w:rPr>
          <w:lang w:val="fr-FR"/>
        </w:rPr>
        <w:t> séance, le 30 septembre 2020, la situation en ce qui concerne la soumission des rapports en application des articles 16 et 17 du Pacte.</w:t>
      </w:r>
    </w:p>
    <w:p w14:paraId="081AB6D1" w14:textId="77777777" w:rsidR="00A02B4C" w:rsidRPr="007679BD" w:rsidRDefault="00A02B4C" w:rsidP="00A02B4C">
      <w:pPr>
        <w:pStyle w:val="SingleTxtG"/>
        <w:rPr>
          <w:lang w:val="fr-FR"/>
        </w:rPr>
      </w:pPr>
      <w:r>
        <w:rPr>
          <w:lang w:val="fr-FR"/>
        </w:rPr>
        <w:t>76.</w:t>
      </w:r>
      <w:r>
        <w:rPr>
          <w:lang w:val="fr-FR"/>
        </w:rPr>
        <w:tab/>
        <w:t>Le Comité était saisi, à cette fin, des documents suivants :</w:t>
      </w:r>
    </w:p>
    <w:p w14:paraId="03E4365D" w14:textId="77777777" w:rsidR="00A02B4C" w:rsidRPr="007679BD" w:rsidRDefault="00A02B4C" w:rsidP="00A02B4C">
      <w:pPr>
        <w:pStyle w:val="SingleTxtG"/>
        <w:ind w:firstLine="567"/>
        <w:rPr>
          <w:lang w:val="fr-FR"/>
        </w:rPr>
      </w:pPr>
      <w:r>
        <w:rPr>
          <w:lang w:val="fr-FR"/>
        </w:rPr>
        <w:t>a)</w:t>
      </w:r>
      <w:r>
        <w:rPr>
          <w:lang w:val="fr-FR"/>
        </w:rPr>
        <w:tab/>
        <w:t>Note du Secrétaire général sur les directives générales révisées concernant la forme et le contenu des rapports que les États parties doivent présenter (</w:t>
      </w:r>
      <w:hyperlink r:id="rId55" w:history="1">
        <w:r w:rsidRPr="00DD0AF4">
          <w:rPr>
            <w:rStyle w:val="Lienhypertexte"/>
            <w:lang w:val="fr-FR"/>
          </w:rPr>
          <w:t>E/C.12/2008/2</w:t>
        </w:r>
      </w:hyperlink>
      <w:r>
        <w:rPr>
          <w:lang w:val="fr-FR"/>
        </w:rPr>
        <w:t>) ;</w:t>
      </w:r>
    </w:p>
    <w:p w14:paraId="650642DF" w14:textId="77777777" w:rsidR="00A02B4C" w:rsidRPr="007679BD" w:rsidRDefault="00A02B4C" w:rsidP="00A02B4C">
      <w:pPr>
        <w:pStyle w:val="SingleTxtG"/>
        <w:ind w:firstLine="567"/>
        <w:rPr>
          <w:lang w:val="fr-FR"/>
        </w:rPr>
      </w:pPr>
      <w:r>
        <w:rPr>
          <w:lang w:val="fr-FR"/>
        </w:rPr>
        <w:t>b)</w:t>
      </w:r>
      <w:r>
        <w:rPr>
          <w:lang w:val="fr-FR"/>
        </w:rPr>
        <w:tab/>
        <w:t>Note du Secrétaire général sur la situation en ce qui concerne la soumission de rapports par les États parties au 15 juillet 2020 (</w:t>
      </w:r>
      <w:hyperlink r:id="rId56" w:history="1">
        <w:r w:rsidRPr="00DD0AF4">
          <w:rPr>
            <w:rStyle w:val="Lienhypertexte"/>
            <w:lang w:val="fr-FR"/>
          </w:rPr>
          <w:t>E/C.12/68/2</w:t>
        </w:r>
      </w:hyperlink>
      <w:r>
        <w:rPr>
          <w:lang w:val="fr-FR"/>
        </w:rPr>
        <w:t>).</w:t>
      </w:r>
    </w:p>
    <w:p w14:paraId="3C40463B" w14:textId="77777777" w:rsidR="00A02B4C" w:rsidRPr="007679BD" w:rsidRDefault="00A02B4C" w:rsidP="00A02B4C">
      <w:pPr>
        <w:pStyle w:val="SingleTxtG"/>
        <w:rPr>
          <w:lang w:val="fr-FR"/>
        </w:rPr>
      </w:pPr>
      <w:r>
        <w:rPr>
          <w:lang w:val="fr-FR"/>
        </w:rPr>
        <w:t>77.</w:t>
      </w:r>
      <w:r>
        <w:rPr>
          <w:lang w:val="fr-FR"/>
        </w:rPr>
        <w:tab/>
        <w:t xml:space="preserve">Le Secrétaire général a informé le Comité que, outre les rapports devant être examinés par celui-ci à ses soixante-septième et soixante-huitième sessions (voir par. 78 et 79 ci-dessous), il avait reçu, entre le 19 octobre 2019 et le 16 octobre 2020, les rapports soumis par les États parties ci-après en application des articles 16 et 17 du Pacte : </w:t>
      </w:r>
      <w:r w:rsidRPr="00CE660F">
        <w:rPr>
          <w:lang w:val="fr-FR"/>
        </w:rPr>
        <w:t>Arménie, Brésil, Cambodge, Finlande, Luxembourg, Mauritanie, Panama, Portugal, Qatar, Tadjikistan et Tchad</w:t>
      </w:r>
      <w:r>
        <w:rPr>
          <w:lang w:val="fr-FR"/>
        </w:rPr>
        <w:t>.</w:t>
      </w:r>
    </w:p>
    <w:p w14:paraId="08D32618" w14:textId="77777777" w:rsidR="00A02B4C" w:rsidRPr="007679BD" w:rsidRDefault="00A02B4C" w:rsidP="00A02B4C">
      <w:pPr>
        <w:pStyle w:val="HChG"/>
        <w:rPr>
          <w:lang w:val="fr-FR"/>
        </w:rPr>
      </w:pPr>
      <w:r>
        <w:rPr>
          <w:lang w:val="fr-FR"/>
        </w:rPr>
        <w:tab/>
      </w:r>
      <w:r>
        <w:rPr>
          <w:lang w:val="fr-FR"/>
        </w:rPr>
        <w:tab/>
        <w:t>Chapitre IV</w:t>
      </w:r>
      <w:r>
        <w:rPr>
          <w:lang w:val="fr-FR"/>
        </w:rPr>
        <w:br/>
      </w:r>
      <w:bookmarkStart w:id="230" w:name="_Hlk63770984"/>
      <w:r>
        <w:rPr>
          <w:bCs/>
          <w:lang w:val="fr-FR"/>
        </w:rPr>
        <w:t xml:space="preserve">Examen des rapports soumis par les États parties </w:t>
      </w:r>
      <w:r>
        <w:rPr>
          <w:bCs/>
          <w:lang w:val="fr-FR"/>
        </w:rPr>
        <w:br/>
        <w:t>en application des articles 16 et 17 du Pacte</w:t>
      </w:r>
      <w:bookmarkStart w:id="231" w:name="_Toc419703778"/>
      <w:bookmarkStart w:id="232" w:name="_Toc470861822"/>
      <w:bookmarkStart w:id="233" w:name="_Toc504665041"/>
      <w:bookmarkStart w:id="234" w:name="_Toc532996351"/>
      <w:bookmarkStart w:id="235" w:name="_Toc536190875"/>
      <w:bookmarkStart w:id="236" w:name="_Toc536458160"/>
      <w:bookmarkStart w:id="237" w:name="_Toc31123794"/>
      <w:bookmarkStart w:id="238" w:name="_Toc63084557"/>
      <w:bookmarkEnd w:id="231"/>
      <w:bookmarkEnd w:id="232"/>
      <w:bookmarkEnd w:id="233"/>
      <w:bookmarkEnd w:id="234"/>
      <w:bookmarkEnd w:id="235"/>
      <w:bookmarkEnd w:id="236"/>
      <w:bookmarkEnd w:id="237"/>
      <w:bookmarkEnd w:id="238"/>
      <w:bookmarkEnd w:id="230"/>
    </w:p>
    <w:p w14:paraId="27692656" w14:textId="77777777" w:rsidR="00A02B4C" w:rsidRPr="007679BD" w:rsidRDefault="00A02B4C" w:rsidP="00A02B4C">
      <w:pPr>
        <w:pStyle w:val="SingleTxtG"/>
        <w:rPr>
          <w:lang w:val="fr-FR"/>
        </w:rPr>
      </w:pPr>
      <w:r>
        <w:rPr>
          <w:lang w:val="fr-FR"/>
        </w:rPr>
        <w:t>78.</w:t>
      </w:r>
      <w:r>
        <w:rPr>
          <w:lang w:val="fr-FR"/>
        </w:rPr>
        <w:tab/>
        <w:t>À sa soixante-septième session, le Comité a examiné les rapports ci-après, soumis par les États parties en application des articles 16 et 17 du Pacte.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102"/>
        <w:gridCol w:w="2268"/>
      </w:tblGrid>
      <w:tr w:rsidR="00A02B4C" w:rsidRPr="00BE5AB7" w:rsidDel="0072394F" w14:paraId="3D328F6D" w14:textId="77777777" w:rsidTr="003836D7">
        <w:trPr>
          <w:cantSplit/>
          <w:trHeight w:val="70"/>
          <w:tblHeader/>
        </w:trPr>
        <w:tc>
          <w:tcPr>
            <w:tcW w:w="5102" w:type="dxa"/>
            <w:tcBorders>
              <w:top w:val="single" w:sz="4" w:space="0" w:color="auto"/>
              <w:bottom w:val="nil"/>
            </w:tcBorders>
            <w:shd w:val="clear" w:color="auto" w:fill="auto"/>
            <w:vAlign w:val="bottom"/>
          </w:tcPr>
          <w:p w14:paraId="07F06CE4" w14:textId="77777777" w:rsidR="00A02B4C" w:rsidRPr="0031089E" w:rsidRDefault="00A02B4C" w:rsidP="003836D7">
            <w:pPr>
              <w:pStyle w:val="SingleTxtG"/>
              <w:keepNext/>
              <w:keepLines/>
              <w:suppressAutoHyphens w:val="0"/>
              <w:spacing w:before="40"/>
              <w:ind w:left="0" w:right="113"/>
              <w:jc w:val="left"/>
              <w:rPr>
                <w:i/>
                <w:iCs/>
              </w:rPr>
            </w:pPr>
            <w:r>
              <w:rPr>
                <w:i/>
                <w:iCs/>
                <w:lang w:val="fr-FR"/>
              </w:rPr>
              <w:t>Rapport initial</w:t>
            </w:r>
          </w:p>
        </w:tc>
        <w:tc>
          <w:tcPr>
            <w:tcW w:w="2268" w:type="dxa"/>
            <w:tcBorders>
              <w:top w:val="single" w:sz="4" w:space="0" w:color="auto"/>
              <w:bottom w:val="nil"/>
            </w:tcBorders>
            <w:shd w:val="clear" w:color="auto" w:fill="auto"/>
            <w:vAlign w:val="bottom"/>
          </w:tcPr>
          <w:p w14:paraId="2D8E0A6C" w14:textId="77777777" w:rsidR="00A02B4C" w:rsidRPr="0031089E" w:rsidRDefault="00A02B4C" w:rsidP="003836D7">
            <w:pPr>
              <w:pStyle w:val="SingleTxtG"/>
              <w:keepNext/>
              <w:keepLines/>
              <w:suppressAutoHyphens w:val="0"/>
              <w:spacing w:before="40"/>
              <w:ind w:left="0" w:right="113"/>
              <w:jc w:val="left"/>
              <w:rPr>
                <w:i/>
                <w:iCs/>
              </w:rPr>
            </w:pPr>
          </w:p>
        </w:tc>
      </w:tr>
      <w:tr w:rsidR="00A02B4C" w:rsidRPr="0031089E" w:rsidDel="0072394F" w14:paraId="417AD027" w14:textId="77777777" w:rsidTr="003836D7">
        <w:trPr>
          <w:cantSplit/>
          <w:trHeight w:val="70"/>
        </w:trPr>
        <w:tc>
          <w:tcPr>
            <w:tcW w:w="5102" w:type="dxa"/>
            <w:tcBorders>
              <w:top w:val="nil"/>
            </w:tcBorders>
            <w:shd w:val="clear" w:color="auto" w:fill="auto"/>
          </w:tcPr>
          <w:p w14:paraId="57B5194B" w14:textId="77777777" w:rsidR="00A02B4C" w:rsidRPr="0031089E" w:rsidRDefault="00A02B4C" w:rsidP="003836D7">
            <w:pPr>
              <w:pStyle w:val="SingleTxtG"/>
              <w:keepNext/>
              <w:keepLines/>
              <w:suppressAutoHyphens w:val="0"/>
              <w:spacing w:before="40"/>
              <w:ind w:left="0" w:right="113"/>
              <w:jc w:val="left"/>
            </w:pPr>
            <w:r>
              <w:rPr>
                <w:lang w:val="fr-FR"/>
              </w:rPr>
              <w:t>Guinée</w:t>
            </w:r>
          </w:p>
        </w:tc>
        <w:tc>
          <w:tcPr>
            <w:tcW w:w="2268" w:type="dxa"/>
            <w:tcBorders>
              <w:top w:val="nil"/>
            </w:tcBorders>
            <w:shd w:val="clear" w:color="auto" w:fill="auto"/>
          </w:tcPr>
          <w:p w14:paraId="59984423" w14:textId="77777777" w:rsidR="00A02B4C" w:rsidRPr="00307F7E" w:rsidDel="0072394F" w:rsidRDefault="00A02B4C" w:rsidP="003836D7">
            <w:pPr>
              <w:pStyle w:val="SingleTxtG"/>
              <w:keepNext/>
              <w:keepLines/>
              <w:suppressAutoHyphens w:val="0"/>
              <w:spacing w:before="40"/>
              <w:ind w:left="0" w:right="113"/>
              <w:jc w:val="left"/>
            </w:pPr>
            <w:hyperlink r:id="rId57" w:history="1">
              <w:r w:rsidRPr="00307F7E">
                <w:rPr>
                  <w:rStyle w:val="Lienhypertexte"/>
                </w:rPr>
                <w:t>E/C.12/GIN/1</w:t>
              </w:r>
            </w:hyperlink>
          </w:p>
        </w:tc>
      </w:tr>
      <w:tr w:rsidR="00A02B4C" w:rsidRPr="0031089E" w:rsidDel="0072394F" w14:paraId="6CBB341B" w14:textId="77777777" w:rsidTr="003836D7">
        <w:trPr>
          <w:cantSplit/>
          <w:trHeight w:val="70"/>
        </w:trPr>
        <w:tc>
          <w:tcPr>
            <w:tcW w:w="5102" w:type="dxa"/>
            <w:shd w:val="clear" w:color="auto" w:fill="auto"/>
          </w:tcPr>
          <w:p w14:paraId="1F902F0D" w14:textId="77777777" w:rsidR="00A02B4C" w:rsidRPr="0031089E" w:rsidRDefault="00A02B4C" w:rsidP="003836D7">
            <w:pPr>
              <w:pStyle w:val="SingleTxtG"/>
              <w:keepNext/>
              <w:keepLines/>
              <w:suppressAutoHyphens w:val="0"/>
              <w:spacing w:before="40"/>
              <w:ind w:left="0" w:right="113"/>
              <w:jc w:val="left"/>
              <w:rPr>
                <w:i/>
                <w:iCs/>
              </w:rPr>
            </w:pPr>
            <w:r>
              <w:rPr>
                <w:i/>
                <w:iCs/>
                <w:lang w:val="fr-FR"/>
              </w:rPr>
              <w:t>Troisième rapport périodique</w:t>
            </w:r>
          </w:p>
        </w:tc>
        <w:tc>
          <w:tcPr>
            <w:tcW w:w="2268" w:type="dxa"/>
            <w:shd w:val="clear" w:color="auto" w:fill="auto"/>
          </w:tcPr>
          <w:p w14:paraId="7969D91D" w14:textId="77777777" w:rsidR="00A02B4C" w:rsidRPr="00307F7E" w:rsidRDefault="00A02B4C" w:rsidP="003836D7">
            <w:pPr>
              <w:pStyle w:val="SingleTxtG"/>
              <w:keepNext/>
              <w:keepLines/>
              <w:suppressAutoHyphens w:val="0"/>
              <w:spacing w:before="40"/>
              <w:ind w:left="0" w:right="113"/>
              <w:jc w:val="left"/>
              <w:rPr>
                <w:i/>
                <w:iCs/>
              </w:rPr>
            </w:pPr>
          </w:p>
        </w:tc>
      </w:tr>
      <w:tr w:rsidR="00A02B4C" w:rsidRPr="0031089E" w:rsidDel="0072394F" w14:paraId="58B14965" w14:textId="77777777" w:rsidTr="003836D7">
        <w:trPr>
          <w:cantSplit/>
          <w:trHeight w:val="70"/>
        </w:trPr>
        <w:tc>
          <w:tcPr>
            <w:tcW w:w="5102" w:type="dxa"/>
            <w:shd w:val="clear" w:color="auto" w:fill="auto"/>
          </w:tcPr>
          <w:p w14:paraId="64CAD256" w14:textId="77777777" w:rsidR="00A02B4C" w:rsidRPr="0031089E" w:rsidRDefault="00A02B4C" w:rsidP="003836D7">
            <w:pPr>
              <w:pStyle w:val="SingleTxtG"/>
              <w:keepNext/>
              <w:keepLines/>
              <w:suppressAutoHyphens w:val="0"/>
              <w:spacing w:before="40"/>
              <w:ind w:left="0" w:right="113"/>
              <w:jc w:val="left"/>
            </w:pPr>
            <w:r>
              <w:rPr>
                <w:lang w:val="fr-FR"/>
              </w:rPr>
              <w:t>Bénin</w:t>
            </w:r>
          </w:p>
        </w:tc>
        <w:tc>
          <w:tcPr>
            <w:tcW w:w="2268" w:type="dxa"/>
            <w:shd w:val="clear" w:color="auto" w:fill="auto"/>
          </w:tcPr>
          <w:p w14:paraId="53F4280C" w14:textId="77777777" w:rsidR="00A02B4C" w:rsidRPr="00307F7E" w:rsidRDefault="00A02B4C" w:rsidP="003836D7">
            <w:pPr>
              <w:pStyle w:val="SingleTxtG"/>
              <w:keepNext/>
              <w:keepLines/>
              <w:suppressAutoHyphens w:val="0"/>
              <w:spacing w:before="40"/>
              <w:ind w:left="0" w:right="113"/>
              <w:jc w:val="left"/>
              <w:rPr>
                <w:rStyle w:val="Lienhypertexte"/>
              </w:rPr>
            </w:pPr>
            <w:hyperlink r:id="rId58" w:history="1">
              <w:r w:rsidRPr="00307F7E">
                <w:rPr>
                  <w:rStyle w:val="Lienhypertexte"/>
                </w:rPr>
                <w:t>E/C.12/BEN/3</w:t>
              </w:r>
            </w:hyperlink>
          </w:p>
        </w:tc>
      </w:tr>
      <w:tr w:rsidR="00A02B4C" w:rsidRPr="0031089E" w:rsidDel="0072394F" w14:paraId="22F9B434" w14:textId="77777777" w:rsidTr="003836D7">
        <w:trPr>
          <w:cantSplit/>
          <w:trHeight w:val="70"/>
        </w:trPr>
        <w:tc>
          <w:tcPr>
            <w:tcW w:w="5102" w:type="dxa"/>
            <w:shd w:val="clear" w:color="auto" w:fill="auto"/>
          </w:tcPr>
          <w:p w14:paraId="24599D42" w14:textId="77777777" w:rsidR="00A02B4C" w:rsidRPr="0031089E" w:rsidRDefault="00A02B4C" w:rsidP="003836D7">
            <w:pPr>
              <w:pStyle w:val="SingleTxtG"/>
              <w:keepNext/>
              <w:keepLines/>
              <w:suppressAutoHyphens w:val="0"/>
              <w:spacing w:before="40"/>
              <w:ind w:left="0" w:right="113"/>
              <w:jc w:val="left"/>
              <w:rPr>
                <w:i/>
                <w:iCs/>
              </w:rPr>
            </w:pPr>
            <w:r>
              <w:rPr>
                <w:i/>
                <w:iCs/>
                <w:lang w:val="fr-FR"/>
              </w:rPr>
              <w:t>Cinquième rapport périodique</w:t>
            </w:r>
          </w:p>
        </w:tc>
        <w:tc>
          <w:tcPr>
            <w:tcW w:w="2268" w:type="dxa"/>
            <w:shd w:val="clear" w:color="auto" w:fill="auto"/>
          </w:tcPr>
          <w:p w14:paraId="1CF2A03B" w14:textId="77777777" w:rsidR="00A02B4C" w:rsidRPr="00307F7E" w:rsidDel="0072394F" w:rsidRDefault="00A02B4C" w:rsidP="003836D7">
            <w:pPr>
              <w:pStyle w:val="SingleTxtG"/>
              <w:keepNext/>
              <w:keepLines/>
              <w:suppressAutoHyphens w:val="0"/>
              <w:spacing w:before="40"/>
              <w:ind w:left="0" w:right="113"/>
              <w:jc w:val="left"/>
              <w:rPr>
                <w:i/>
                <w:iCs/>
              </w:rPr>
            </w:pPr>
          </w:p>
        </w:tc>
      </w:tr>
      <w:tr w:rsidR="00A02B4C" w:rsidRPr="0031089E" w:rsidDel="0072394F" w14:paraId="7595734A" w14:textId="77777777" w:rsidTr="003836D7">
        <w:trPr>
          <w:cantSplit/>
          <w:trHeight w:val="70"/>
        </w:trPr>
        <w:tc>
          <w:tcPr>
            <w:tcW w:w="5102" w:type="dxa"/>
            <w:shd w:val="clear" w:color="auto" w:fill="auto"/>
          </w:tcPr>
          <w:p w14:paraId="6082EE47" w14:textId="77777777" w:rsidR="00A02B4C" w:rsidRPr="0031089E" w:rsidRDefault="00A02B4C" w:rsidP="003836D7">
            <w:pPr>
              <w:pStyle w:val="SingleTxtG"/>
              <w:keepNext/>
              <w:keepLines/>
              <w:suppressAutoHyphens w:val="0"/>
              <w:spacing w:before="40"/>
              <w:ind w:left="0" w:right="113"/>
              <w:jc w:val="left"/>
            </w:pPr>
            <w:r>
              <w:rPr>
                <w:lang w:val="fr-FR"/>
              </w:rPr>
              <w:t>Belgique</w:t>
            </w:r>
          </w:p>
        </w:tc>
        <w:tc>
          <w:tcPr>
            <w:tcW w:w="2268" w:type="dxa"/>
            <w:shd w:val="clear" w:color="auto" w:fill="auto"/>
          </w:tcPr>
          <w:p w14:paraId="19FC0D43" w14:textId="77777777" w:rsidR="00A02B4C" w:rsidRPr="00307F7E" w:rsidDel="0072394F" w:rsidRDefault="00A02B4C" w:rsidP="003836D7">
            <w:pPr>
              <w:pStyle w:val="SingleTxtG"/>
              <w:keepNext/>
              <w:keepLines/>
              <w:suppressAutoHyphens w:val="0"/>
              <w:spacing w:before="40"/>
              <w:ind w:left="0" w:right="113"/>
              <w:jc w:val="left"/>
              <w:rPr>
                <w:rStyle w:val="Lienhypertexte"/>
              </w:rPr>
            </w:pPr>
            <w:hyperlink r:id="rId59" w:history="1">
              <w:r w:rsidRPr="00307F7E">
                <w:rPr>
                  <w:rStyle w:val="Lienhypertexte"/>
                </w:rPr>
                <w:t>E/C.12/BEL/5</w:t>
              </w:r>
            </w:hyperlink>
          </w:p>
        </w:tc>
      </w:tr>
      <w:tr w:rsidR="00A02B4C" w:rsidRPr="0031089E" w:rsidDel="0072394F" w14:paraId="062EFC07" w14:textId="77777777" w:rsidTr="003836D7">
        <w:trPr>
          <w:cantSplit/>
          <w:trHeight w:val="70"/>
        </w:trPr>
        <w:tc>
          <w:tcPr>
            <w:tcW w:w="5102" w:type="dxa"/>
            <w:shd w:val="clear" w:color="auto" w:fill="auto"/>
          </w:tcPr>
          <w:p w14:paraId="0174E7AE" w14:textId="77777777" w:rsidR="00A02B4C" w:rsidRPr="0031089E" w:rsidDel="006F4D06" w:rsidRDefault="00A02B4C" w:rsidP="003836D7">
            <w:pPr>
              <w:pStyle w:val="SingleTxtG"/>
              <w:keepNext/>
              <w:keepLines/>
              <w:suppressAutoHyphens w:val="0"/>
              <w:spacing w:before="40"/>
              <w:ind w:left="0" w:right="113"/>
              <w:jc w:val="left"/>
              <w:rPr>
                <w:i/>
                <w:iCs/>
              </w:rPr>
            </w:pPr>
            <w:r>
              <w:rPr>
                <w:i/>
                <w:iCs/>
                <w:lang w:val="fr-FR"/>
              </w:rPr>
              <w:t>Sixième rapport périodique</w:t>
            </w:r>
          </w:p>
        </w:tc>
        <w:tc>
          <w:tcPr>
            <w:tcW w:w="2268" w:type="dxa"/>
            <w:shd w:val="clear" w:color="auto" w:fill="auto"/>
          </w:tcPr>
          <w:p w14:paraId="7CE8B32F" w14:textId="77777777" w:rsidR="00A02B4C" w:rsidRPr="00307F7E" w:rsidRDefault="00A02B4C" w:rsidP="003836D7">
            <w:pPr>
              <w:pStyle w:val="SingleTxtG"/>
              <w:keepNext/>
              <w:keepLines/>
              <w:suppressAutoHyphens w:val="0"/>
              <w:spacing w:before="40"/>
              <w:ind w:left="0" w:right="113"/>
              <w:jc w:val="left"/>
              <w:rPr>
                <w:i/>
                <w:iCs/>
              </w:rPr>
            </w:pPr>
          </w:p>
        </w:tc>
      </w:tr>
      <w:tr w:rsidR="00A02B4C" w:rsidRPr="0031089E" w:rsidDel="0072394F" w14:paraId="22B7B5EE" w14:textId="77777777" w:rsidTr="003836D7">
        <w:trPr>
          <w:cantSplit/>
          <w:trHeight w:val="70"/>
        </w:trPr>
        <w:tc>
          <w:tcPr>
            <w:tcW w:w="5102" w:type="dxa"/>
            <w:shd w:val="clear" w:color="auto" w:fill="auto"/>
          </w:tcPr>
          <w:p w14:paraId="5387516A" w14:textId="77777777" w:rsidR="00A02B4C" w:rsidRPr="0031089E" w:rsidRDefault="00A02B4C" w:rsidP="003836D7">
            <w:pPr>
              <w:pStyle w:val="SingleTxtG"/>
              <w:keepNext/>
              <w:keepLines/>
              <w:suppressAutoHyphens w:val="0"/>
              <w:spacing w:before="40"/>
              <w:ind w:left="0" w:right="113"/>
              <w:jc w:val="left"/>
            </w:pPr>
            <w:r>
              <w:rPr>
                <w:lang w:val="fr-FR"/>
              </w:rPr>
              <w:t>Norvège</w:t>
            </w:r>
          </w:p>
        </w:tc>
        <w:tc>
          <w:tcPr>
            <w:tcW w:w="2268" w:type="dxa"/>
            <w:shd w:val="clear" w:color="auto" w:fill="auto"/>
          </w:tcPr>
          <w:p w14:paraId="094B242E" w14:textId="77777777" w:rsidR="00A02B4C" w:rsidRPr="00307F7E" w:rsidDel="0072394F" w:rsidRDefault="00A02B4C" w:rsidP="003836D7">
            <w:pPr>
              <w:pStyle w:val="SingleTxtG"/>
              <w:keepNext/>
              <w:keepLines/>
              <w:suppressAutoHyphens w:val="0"/>
              <w:spacing w:before="40"/>
              <w:ind w:left="0" w:right="113"/>
              <w:jc w:val="left"/>
              <w:rPr>
                <w:rStyle w:val="Lienhypertexte"/>
              </w:rPr>
            </w:pPr>
            <w:hyperlink r:id="rId60" w:history="1">
              <w:r w:rsidRPr="00307F7E">
                <w:rPr>
                  <w:rStyle w:val="Lienhypertexte"/>
                </w:rPr>
                <w:t>E/C.12/NOR/6</w:t>
              </w:r>
            </w:hyperlink>
          </w:p>
        </w:tc>
      </w:tr>
      <w:tr w:rsidR="00A02B4C" w:rsidRPr="0031089E" w:rsidDel="0072394F" w14:paraId="5A99D2F9" w14:textId="77777777" w:rsidTr="003836D7">
        <w:trPr>
          <w:cantSplit/>
          <w:trHeight w:val="70"/>
        </w:trPr>
        <w:tc>
          <w:tcPr>
            <w:tcW w:w="5102" w:type="dxa"/>
            <w:shd w:val="clear" w:color="auto" w:fill="auto"/>
          </w:tcPr>
          <w:p w14:paraId="7CCB2E4B" w14:textId="77777777" w:rsidR="00A02B4C" w:rsidRPr="0031089E" w:rsidRDefault="00A02B4C" w:rsidP="003836D7">
            <w:pPr>
              <w:pStyle w:val="SingleTxtG"/>
              <w:keepNext/>
              <w:keepLines/>
              <w:suppressAutoHyphens w:val="0"/>
              <w:spacing w:before="40"/>
              <w:ind w:left="0" w:right="113"/>
              <w:jc w:val="left"/>
              <w:rPr>
                <w:i/>
                <w:iCs/>
              </w:rPr>
            </w:pPr>
            <w:r>
              <w:rPr>
                <w:i/>
                <w:iCs/>
                <w:lang w:val="fr-FR"/>
              </w:rPr>
              <w:t>Septième rapport périodique</w:t>
            </w:r>
          </w:p>
        </w:tc>
        <w:tc>
          <w:tcPr>
            <w:tcW w:w="2268" w:type="dxa"/>
            <w:shd w:val="clear" w:color="auto" w:fill="auto"/>
          </w:tcPr>
          <w:p w14:paraId="19BBF45A" w14:textId="77777777" w:rsidR="00A02B4C" w:rsidRPr="00307F7E" w:rsidDel="0072394F" w:rsidRDefault="00A02B4C" w:rsidP="003836D7">
            <w:pPr>
              <w:pStyle w:val="SingleTxtG"/>
              <w:keepNext/>
              <w:keepLines/>
              <w:suppressAutoHyphens w:val="0"/>
              <w:spacing w:before="40"/>
              <w:ind w:left="0" w:right="113"/>
              <w:jc w:val="left"/>
              <w:rPr>
                <w:i/>
                <w:iCs/>
              </w:rPr>
            </w:pPr>
          </w:p>
        </w:tc>
      </w:tr>
      <w:tr w:rsidR="00A02B4C" w:rsidRPr="0031089E" w:rsidDel="0072394F" w14:paraId="046FBD38" w14:textId="77777777" w:rsidTr="003836D7">
        <w:trPr>
          <w:cantSplit/>
          <w:trHeight w:val="70"/>
        </w:trPr>
        <w:tc>
          <w:tcPr>
            <w:tcW w:w="5102" w:type="dxa"/>
            <w:shd w:val="clear" w:color="auto" w:fill="auto"/>
          </w:tcPr>
          <w:p w14:paraId="5A3F6FB9" w14:textId="77777777" w:rsidR="00A02B4C" w:rsidRPr="0031089E" w:rsidRDefault="00A02B4C" w:rsidP="003836D7">
            <w:pPr>
              <w:pStyle w:val="SingleTxtG"/>
              <w:keepNext/>
              <w:keepLines/>
              <w:suppressAutoHyphens w:val="0"/>
              <w:spacing w:before="40"/>
              <w:ind w:left="0" w:right="113"/>
              <w:jc w:val="left"/>
            </w:pPr>
            <w:r>
              <w:rPr>
                <w:lang w:val="fr-FR"/>
              </w:rPr>
              <w:t>Ukraine</w:t>
            </w:r>
          </w:p>
        </w:tc>
        <w:tc>
          <w:tcPr>
            <w:tcW w:w="2268" w:type="dxa"/>
            <w:shd w:val="clear" w:color="auto" w:fill="auto"/>
          </w:tcPr>
          <w:p w14:paraId="4EAE012B" w14:textId="77777777" w:rsidR="00A02B4C" w:rsidRPr="00307F7E" w:rsidDel="0072394F" w:rsidRDefault="00A02B4C" w:rsidP="003836D7">
            <w:pPr>
              <w:pStyle w:val="SingleTxtG"/>
              <w:keepNext/>
              <w:keepLines/>
              <w:suppressAutoHyphens w:val="0"/>
              <w:spacing w:before="40"/>
              <w:ind w:left="0" w:right="113"/>
              <w:jc w:val="left"/>
              <w:rPr>
                <w:rStyle w:val="Lienhypertexte"/>
              </w:rPr>
            </w:pPr>
            <w:hyperlink r:id="rId61" w:history="1">
              <w:r w:rsidRPr="00307F7E">
                <w:rPr>
                  <w:rStyle w:val="Lienhypertexte"/>
                </w:rPr>
                <w:t>E/C.12/UKR/7</w:t>
              </w:r>
            </w:hyperlink>
          </w:p>
        </w:tc>
      </w:tr>
    </w:tbl>
    <w:p w14:paraId="4DBAC4B7" w14:textId="77777777" w:rsidR="00A02B4C" w:rsidRPr="007679BD" w:rsidRDefault="00A02B4C" w:rsidP="00A02B4C">
      <w:pPr>
        <w:pStyle w:val="SingleTxtG"/>
        <w:spacing w:before="240"/>
        <w:rPr>
          <w:lang w:val="fr-FR"/>
        </w:rPr>
      </w:pPr>
      <w:r>
        <w:rPr>
          <w:lang w:val="fr-FR"/>
        </w:rPr>
        <w:t>79.</w:t>
      </w:r>
      <w:r>
        <w:rPr>
          <w:lang w:val="fr-FR"/>
        </w:rPr>
        <w:tab/>
        <w:t>À sa soixante-huitième session, le Comité avait prévu d’examiner les rapports ci</w:t>
      </w:r>
      <w:r>
        <w:rPr>
          <w:lang w:val="fr-FR"/>
        </w:rPr>
        <w:noBreakHyphen/>
        <w:t>après, soumis par les États parties en application des articles 16 et 17 du Pacte. En raison de la pandémie de COVID-19, ces examens ont été reportés.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102"/>
        <w:gridCol w:w="2268"/>
      </w:tblGrid>
      <w:tr w:rsidR="00A02B4C" w:rsidRPr="0031089E" w14:paraId="320D5A3F" w14:textId="77777777" w:rsidTr="003836D7">
        <w:trPr>
          <w:cantSplit/>
          <w:tblHeader/>
        </w:trPr>
        <w:tc>
          <w:tcPr>
            <w:tcW w:w="5102" w:type="dxa"/>
            <w:tcBorders>
              <w:top w:val="single" w:sz="4" w:space="0" w:color="auto"/>
              <w:bottom w:val="nil"/>
            </w:tcBorders>
            <w:shd w:val="clear" w:color="auto" w:fill="auto"/>
            <w:vAlign w:val="bottom"/>
          </w:tcPr>
          <w:p w14:paraId="1119833D" w14:textId="77777777" w:rsidR="00A02B4C" w:rsidRPr="00DF4347" w:rsidRDefault="00A02B4C" w:rsidP="003836D7">
            <w:pPr>
              <w:pStyle w:val="SingleTxtG"/>
              <w:keepNext/>
              <w:keepLines/>
              <w:suppressAutoHyphens w:val="0"/>
              <w:spacing w:before="40"/>
              <w:ind w:left="0" w:right="113"/>
              <w:jc w:val="left"/>
              <w:rPr>
                <w:i/>
                <w:iCs/>
              </w:rPr>
            </w:pPr>
            <w:r w:rsidRPr="00DF4347">
              <w:rPr>
                <w:i/>
                <w:iCs/>
                <w:lang w:val="fr-FR"/>
              </w:rPr>
              <w:lastRenderedPageBreak/>
              <w:t>Deuxième rapport périodique</w:t>
            </w:r>
            <w:r w:rsidRPr="00DF4347">
              <w:rPr>
                <w:lang w:val="fr-FR"/>
              </w:rPr>
              <w:t xml:space="preserve"> </w:t>
            </w:r>
          </w:p>
        </w:tc>
        <w:tc>
          <w:tcPr>
            <w:tcW w:w="2268" w:type="dxa"/>
            <w:tcBorders>
              <w:top w:val="single" w:sz="4" w:space="0" w:color="auto"/>
              <w:bottom w:val="nil"/>
            </w:tcBorders>
            <w:shd w:val="clear" w:color="auto" w:fill="auto"/>
            <w:vAlign w:val="bottom"/>
          </w:tcPr>
          <w:p w14:paraId="1ACC7E13" w14:textId="77777777" w:rsidR="00A02B4C" w:rsidRPr="00DF4347" w:rsidRDefault="00A02B4C" w:rsidP="003836D7">
            <w:pPr>
              <w:pStyle w:val="SingleTxtG"/>
              <w:keepNext/>
              <w:keepLines/>
              <w:suppressAutoHyphens w:val="0"/>
              <w:spacing w:before="40"/>
              <w:ind w:left="0" w:right="113"/>
              <w:jc w:val="left"/>
              <w:rPr>
                <w:rStyle w:val="Lienhypertextesuivivisit"/>
                <w:color w:val="auto"/>
              </w:rPr>
            </w:pPr>
          </w:p>
        </w:tc>
      </w:tr>
      <w:tr w:rsidR="00A02B4C" w:rsidRPr="0031089E" w14:paraId="050B84CA" w14:textId="77777777" w:rsidTr="003836D7">
        <w:trPr>
          <w:cantSplit/>
        </w:trPr>
        <w:tc>
          <w:tcPr>
            <w:tcW w:w="5102" w:type="dxa"/>
            <w:tcBorders>
              <w:top w:val="nil"/>
            </w:tcBorders>
            <w:shd w:val="clear" w:color="auto" w:fill="auto"/>
          </w:tcPr>
          <w:p w14:paraId="454BF755" w14:textId="77777777" w:rsidR="00A02B4C" w:rsidRPr="0031089E" w:rsidRDefault="00A02B4C" w:rsidP="003836D7">
            <w:pPr>
              <w:pStyle w:val="SingleTxtG"/>
              <w:keepNext/>
              <w:keepLines/>
              <w:suppressAutoHyphens w:val="0"/>
              <w:spacing w:before="40"/>
              <w:ind w:left="0" w:right="113"/>
              <w:jc w:val="left"/>
            </w:pPr>
            <w:r>
              <w:rPr>
                <w:lang w:val="fr-FR"/>
              </w:rPr>
              <w:t>Lettonie</w:t>
            </w:r>
          </w:p>
        </w:tc>
        <w:tc>
          <w:tcPr>
            <w:tcW w:w="2268" w:type="dxa"/>
            <w:tcBorders>
              <w:top w:val="nil"/>
            </w:tcBorders>
            <w:shd w:val="clear" w:color="auto" w:fill="auto"/>
          </w:tcPr>
          <w:p w14:paraId="0E5C468F" w14:textId="77777777" w:rsidR="00A02B4C" w:rsidRPr="0041666F" w:rsidRDefault="00A02B4C" w:rsidP="003836D7">
            <w:pPr>
              <w:pStyle w:val="SingleTxtG"/>
              <w:keepNext/>
              <w:keepLines/>
              <w:suppressAutoHyphens w:val="0"/>
              <w:spacing w:before="40"/>
              <w:ind w:left="0" w:right="113"/>
              <w:jc w:val="left"/>
              <w:rPr>
                <w:rStyle w:val="Lienhypertexte"/>
              </w:rPr>
            </w:pPr>
            <w:hyperlink r:id="rId62" w:history="1">
              <w:r w:rsidRPr="0041666F">
                <w:rPr>
                  <w:rStyle w:val="Lienhypertexte"/>
                </w:rPr>
                <w:t>E/C.12/LVA/2</w:t>
              </w:r>
            </w:hyperlink>
          </w:p>
        </w:tc>
      </w:tr>
      <w:tr w:rsidR="00A02B4C" w:rsidRPr="0031089E" w14:paraId="75F6B3EF" w14:textId="77777777" w:rsidTr="003836D7">
        <w:trPr>
          <w:cantSplit/>
        </w:trPr>
        <w:tc>
          <w:tcPr>
            <w:tcW w:w="5102" w:type="dxa"/>
            <w:shd w:val="clear" w:color="auto" w:fill="auto"/>
          </w:tcPr>
          <w:p w14:paraId="25F1ECA3" w14:textId="77777777" w:rsidR="00A02B4C" w:rsidRPr="00DF4347" w:rsidDel="006F4D06" w:rsidRDefault="00A02B4C" w:rsidP="003836D7">
            <w:pPr>
              <w:pStyle w:val="SingleTxtG"/>
              <w:keepNext/>
              <w:keepLines/>
              <w:suppressAutoHyphens w:val="0"/>
              <w:spacing w:before="40"/>
              <w:ind w:left="0" w:right="113"/>
              <w:jc w:val="left"/>
              <w:rPr>
                <w:i/>
                <w:iCs/>
              </w:rPr>
            </w:pPr>
            <w:r w:rsidRPr="00DF4347">
              <w:rPr>
                <w:i/>
                <w:iCs/>
                <w:lang w:val="fr-FR"/>
              </w:rPr>
              <w:t>Troisième rapport périodique</w:t>
            </w:r>
            <w:r w:rsidRPr="00DF4347">
              <w:rPr>
                <w:lang w:val="fr-FR"/>
              </w:rPr>
              <w:t xml:space="preserve"> </w:t>
            </w:r>
          </w:p>
        </w:tc>
        <w:tc>
          <w:tcPr>
            <w:tcW w:w="2268" w:type="dxa"/>
            <w:shd w:val="clear" w:color="auto" w:fill="auto"/>
          </w:tcPr>
          <w:p w14:paraId="4D0FE5FB" w14:textId="77777777" w:rsidR="00A02B4C" w:rsidRPr="00DF4347" w:rsidRDefault="00A02B4C" w:rsidP="003836D7">
            <w:pPr>
              <w:pStyle w:val="SingleTxtG"/>
              <w:keepNext/>
              <w:keepLines/>
              <w:suppressAutoHyphens w:val="0"/>
              <w:spacing w:before="40"/>
              <w:ind w:left="0" w:right="113"/>
              <w:jc w:val="left"/>
              <w:rPr>
                <w:rStyle w:val="Lienhypertexte"/>
                <w:color w:val="auto"/>
              </w:rPr>
            </w:pPr>
          </w:p>
        </w:tc>
      </w:tr>
      <w:tr w:rsidR="00A02B4C" w:rsidRPr="0031089E" w14:paraId="289DE3D4" w14:textId="77777777" w:rsidTr="003836D7">
        <w:trPr>
          <w:cantSplit/>
        </w:trPr>
        <w:tc>
          <w:tcPr>
            <w:tcW w:w="5102" w:type="dxa"/>
            <w:shd w:val="clear" w:color="auto" w:fill="auto"/>
          </w:tcPr>
          <w:p w14:paraId="1461CB4B" w14:textId="77777777" w:rsidR="00A02B4C" w:rsidRPr="0031089E" w:rsidDel="006F4D06" w:rsidRDefault="00A02B4C" w:rsidP="003836D7">
            <w:pPr>
              <w:pStyle w:val="SingleTxtG"/>
              <w:keepNext/>
              <w:keepLines/>
              <w:suppressAutoHyphens w:val="0"/>
              <w:spacing w:before="40"/>
              <w:ind w:left="0" w:right="113"/>
              <w:jc w:val="left"/>
            </w:pPr>
            <w:r>
              <w:rPr>
                <w:lang w:val="fr-FR"/>
              </w:rPr>
              <w:t>Bolivie (État plurinational de)</w:t>
            </w:r>
          </w:p>
        </w:tc>
        <w:tc>
          <w:tcPr>
            <w:tcW w:w="2268" w:type="dxa"/>
            <w:shd w:val="clear" w:color="auto" w:fill="auto"/>
          </w:tcPr>
          <w:p w14:paraId="06C0AC47" w14:textId="77777777" w:rsidR="00A02B4C" w:rsidRPr="0041666F" w:rsidRDefault="00A02B4C" w:rsidP="003836D7">
            <w:pPr>
              <w:pStyle w:val="SingleTxtG"/>
              <w:keepNext/>
              <w:keepLines/>
              <w:suppressAutoHyphens w:val="0"/>
              <w:spacing w:before="40"/>
              <w:ind w:left="0" w:right="113"/>
              <w:jc w:val="left"/>
              <w:rPr>
                <w:rStyle w:val="Lienhypertexte"/>
              </w:rPr>
            </w:pPr>
            <w:hyperlink r:id="rId63" w:history="1">
              <w:r w:rsidRPr="0041666F">
                <w:rPr>
                  <w:rStyle w:val="Lienhypertexte"/>
                </w:rPr>
                <w:t>E/C.12/BOL/3</w:t>
              </w:r>
            </w:hyperlink>
          </w:p>
        </w:tc>
      </w:tr>
      <w:tr w:rsidR="00A02B4C" w:rsidRPr="0031089E" w14:paraId="251080C3" w14:textId="77777777" w:rsidTr="003836D7">
        <w:trPr>
          <w:cantSplit/>
        </w:trPr>
        <w:tc>
          <w:tcPr>
            <w:tcW w:w="5102" w:type="dxa"/>
            <w:shd w:val="clear" w:color="auto" w:fill="auto"/>
          </w:tcPr>
          <w:p w14:paraId="4C3A1328" w14:textId="77777777" w:rsidR="00A02B4C" w:rsidRPr="0031089E" w:rsidRDefault="00A02B4C" w:rsidP="003836D7">
            <w:pPr>
              <w:pStyle w:val="SingleTxtG"/>
              <w:keepNext/>
              <w:keepLines/>
              <w:suppressAutoHyphens w:val="0"/>
              <w:spacing w:before="40"/>
              <w:ind w:left="0" w:right="113"/>
              <w:jc w:val="left"/>
            </w:pPr>
            <w:r>
              <w:rPr>
                <w:lang w:val="fr-FR"/>
              </w:rPr>
              <w:t>Bosnie-Herzégovine</w:t>
            </w:r>
          </w:p>
        </w:tc>
        <w:tc>
          <w:tcPr>
            <w:tcW w:w="2268" w:type="dxa"/>
            <w:shd w:val="clear" w:color="auto" w:fill="auto"/>
          </w:tcPr>
          <w:p w14:paraId="6AFDC8E2" w14:textId="77777777" w:rsidR="00A02B4C" w:rsidRPr="0041666F" w:rsidRDefault="00A02B4C" w:rsidP="003836D7">
            <w:pPr>
              <w:pStyle w:val="SingleTxtG"/>
              <w:keepNext/>
              <w:keepLines/>
              <w:suppressAutoHyphens w:val="0"/>
              <w:spacing w:before="40"/>
              <w:ind w:left="0" w:right="113"/>
              <w:jc w:val="left"/>
              <w:rPr>
                <w:rStyle w:val="Lienhypertexte"/>
              </w:rPr>
            </w:pPr>
            <w:hyperlink r:id="rId64" w:history="1">
              <w:r w:rsidRPr="0041666F">
                <w:rPr>
                  <w:rStyle w:val="Lienhypertexte"/>
                </w:rPr>
                <w:t>E/C.12/BIH/3</w:t>
              </w:r>
            </w:hyperlink>
          </w:p>
        </w:tc>
      </w:tr>
      <w:tr w:rsidR="00A02B4C" w:rsidRPr="0031089E" w14:paraId="4CEE0602" w14:textId="77777777" w:rsidTr="003836D7">
        <w:trPr>
          <w:cantSplit/>
        </w:trPr>
        <w:tc>
          <w:tcPr>
            <w:tcW w:w="5102" w:type="dxa"/>
            <w:shd w:val="clear" w:color="auto" w:fill="auto"/>
          </w:tcPr>
          <w:p w14:paraId="052879A8" w14:textId="77777777" w:rsidR="00A02B4C" w:rsidRPr="0031089E" w:rsidDel="0036485D" w:rsidRDefault="00A02B4C" w:rsidP="003836D7">
            <w:pPr>
              <w:pStyle w:val="SingleTxtG"/>
              <w:keepNext/>
              <w:keepLines/>
              <w:suppressAutoHyphens w:val="0"/>
              <w:spacing w:before="40"/>
              <w:ind w:left="0" w:right="113"/>
              <w:jc w:val="left"/>
            </w:pPr>
            <w:r>
              <w:rPr>
                <w:lang w:val="fr-FR"/>
              </w:rPr>
              <w:t>Koweït</w:t>
            </w:r>
          </w:p>
        </w:tc>
        <w:tc>
          <w:tcPr>
            <w:tcW w:w="2268" w:type="dxa"/>
            <w:shd w:val="clear" w:color="auto" w:fill="auto"/>
          </w:tcPr>
          <w:p w14:paraId="7CCFDA13" w14:textId="77777777" w:rsidR="00A02B4C" w:rsidRPr="0041666F" w:rsidDel="0036485D" w:rsidRDefault="00A02B4C" w:rsidP="003836D7">
            <w:pPr>
              <w:pStyle w:val="SingleTxtG"/>
              <w:keepNext/>
              <w:keepLines/>
              <w:suppressAutoHyphens w:val="0"/>
              <w:spacing w:before="40"/>
              <w:ind w:left="0" w:right="113"/>
              <w:jc w:val="left"/>
              <w:rPr>
                <w:rStyle w:val="Lienhypertexte"/>
              </w:rPr>
            </w:pPr>
            <w:hyperlink r:id="rId65" w:history="1">
              <w:r w:rsidRPr="0041666F">
                <w:rPr>
                  <w:rStyle w:val="Lienhypertexte"/>
                </w:rPr>
                <w:t>E/C.12/KWT/3</w:t>
              </w:r>
            </w:hyperlink>
          </w:p>
        </w:tc>
      </w:tr>
      <w:tr w:rsidR="00A02B4C" w:rsidRPr="0031089E" w14:paraId="48C2A73B" w14:textId="77777777" w:rsidTr="003836D7">
        <w:trPr>
          <w:cantSplit/>
        </w:trPr>
        <w:tc>
          <w:tcPr>
            <w:tcW w:w="5102" w:type="dxa"/>
            <w:shd w:val="clear" w:color="auto" w:fill="auto"/>
          </w:tcPr>
          <w:p w14:paraId="62696559" w14:textId="77777777" w:rsidR="00A02B4C" w:rsidRPr="00DF4347" w:rsidDel="0036485D" w:rsidRDefault="00A02B4C" w:rsidP="003836D7">
            <w:pPr>
              <w:pStyle w:val="SingleTxtG"/>
              <w:keepNext/>
              <w:keepLines/>
              <w:suppressAutoHyphens w:val="0"/>
              <w:spacing w:before="40"/>
              <w:ind w:left="0" w:right="113"/>
              <w:jc w:val="left"/>
              <w:rPr>
                <w:i/>
                <w:iCs/>
              </w:rPr>
            </w:pPr>
            <w:r w:rsidRPr="00DF4347">
              <w:rPr>
                <w:i/>
                <w:iCs/>
                <w:lang w:val="fr-FR"/>
              </w:rPr>
              <w:t>Quatrième rapport périodique</w:t>
            </w:r>
          </w:p>
        </w:tc>
        <w:tc>
          <w:tcPr>
            <w:tcW w:w="2268" w:type="dxa"/>
            <w:shd w:val="clear" w:color="auto" w:fill="auto"/>
          </w:tcPr>
          <w:p w14:paraId="0061F362" w14:textId="77777777" w:rsidR="00A02B4C" w:rsidRPr="00DF4347" w:rsidDel="0036485D" w:rsidRDefault="00A02B4C" w:rsidP="003836D7">
            <w:pPr>
              <w:pStyle w:val="SingleTxtG"/>
              <w:keepNext/>
              <w:keepLines/>
              <w:suppressAutoHyphens w:val="0"/>
              <w:spacing w:before="40"/>
              <w:ind w:left="0" w:right="113"/>
              <w:jc w:val="left"/>
              <w:rPr>
                <w:rStyle w:val="Lienhypertexte"/>
                <w:color w:val="auto"/>
              </w:rPr>
            </w:pPr>
          </w:p>
        </w:tc>
      </w:tr>
      <w:tr w:rsidR="00A02B4C" w:rsidRPr="0031089E" w14:paraId="7A2A2D87" w14:textId="77777777" w:rsidTr="003836D7">
        <w:trPr>
          <w:cantSplit/>
        </w:trPr>
        <w:tc>
          <w:tcPr>
            <w:tcW w:w="5102" w:type="dxa"/>
            <w:shd w:val="clear" w:color="auto" w:fill="auto"/>
          </w:tcPr>
          <w:p w14:paraId="6E9657DA" w14:textId="77777777" w:rsidR="00A02B4C" w:rsidRPr="0031089E" w:rsidDel="0036485D" w:rsidRDefault="00A02B4C" w:rsidP="003836D7">
            <w:pPr>
              <w:pStyle w:val="SingleTxtG"/>
              <w:keepNext/>
              <w:keepLines/>
              <w:suppressAutoHyphens w:val="0"/>
              <w:spacing w:before="40"/>
              <w:ind w:left="0" w:right="113"/>
              <w:jc w:val="left"/>
            </w:pPr>
            <w:r>
              <w:rPr>
                <w:lang w:val="fr-FR"/>
              </w:rPr>
              <w:t>Azerbaïdjan</w:t>
            </w:r>
          </w:p>
        </w:tc>
        <w:tc>
          <w:tcPr>
            <w:tcW w:w="2268" w:type="dxa"/>
            <w:shd w:val="clear" w:color="auto" w:fill="auto"/>
          </w:tcPr>
          <w:p w14:paraId="18B5311F" w14:textId="77777777" w:rsidR="00A02B4C" w:rsidRPr="0041666F" w:rsidDel="0036485D" w:rsidRDefault="00A02B4C" w:rsidP="003836D7">
            <w:pPr>
              <w:pStyle w:val="SingleTxtG"/>
              <w:keepNext/>
              <w:keepLines/>
              <w:suppressAutoHyphens w:val="0"/>
              <w:spacing w:before="40"/>
              <w:ind w:left="0" w:right="113"/>
              <w:jc w:val="left"/>
              <w:rPr>
                <w:rStyle w:val="Lienhypertexte"/>
              </w:rPr>
            </w:pPr>
            <w:hyperlink r:id="rId66" w:history="1">
              <w:r w:rsidRPr="0041666F">
                <w:rPr>
                  <w:rStyle w:val="Lienhypertexte"/>
                </w:rPr>
                <w:t>E/C.12/AZE/4</w:t>
              </w:r>
            </w:hyperlink>
          </w:p>
        </w:tc>
      </w:tr>
      <w:tr w:rsidR="00A02B4C" w:rsidRPr="0031089E" w14:paraId="7448F51E" w14:textId="77777777" w:rsidTr="003836D7">
        <w:trPr>
          <w:cantSplit/>
        </w:trPr>
        <w:tc>
          <w:tcPr>
            <w:tcW w:w="5102" w:type="dxa"/>
            <w:shd w:val="clear" w:color="auto" w:fill="auto"/>
          </w:tcPr>
          <w:p w14:paraId="3F2187E2" w14:textId="77777777" w:rsidR="00A02B4C" w:rsidRPr="00DF4347" w:rsidRDefault="00A02B4C" w:rsidP="003836D7">
            <w:pPr>
              <w:pStyle w:val="SingleTxtG"/>
              <w:keepNext/>
              <w:keepLines/>
              <w:suppressAutoHyphens w:val="0"/>
              <w:spacing w:before="40"/>
              <w:ind w:left="0" w:right="113"/>
              <w:jc w:val="left"/>
              <w:rPr>
                <w:i/>
                <w:iCs/>
              </w:rPr>
            </w:pPr>
            <w:r w:rsidRPr="00DF4347">
              <w:rPr>
                <w:i/>
                <w:iCs/>
                <w:lang w:val="fr-FR"/>
              </w:rPr>
              <w:t>Cinquième rapport périodique</w:t>
            </w:r>
            <w:r w:rsidRPr="00DF4347">
              <w:rPr>
                <w:lang w:val="fr-FR"/>
              </w:rPr>
              <w:t xml:space="preserve"> </w:t>
            </w:r>
          </w:p>
        </w:tc>
        <w:tc>
          <w:tcPr>
            <w:tcW w:w="2268" w:type="dxa"/>
            <w:shd w:val="clear" w:color="auto" w:fill="auto"/>
          </w:tcPr>
          <w:p w14:paraId="0466BC0D" w14:textId="77777777" w:rsidR="00A02B4C" w:rsidRPr="00DF4347" w:rsidRDefault="00A02B4C" w:rsidP="003836D7">
            <w:pPr>
              <w:pStyle w:val="SingleTxtG"/>
              <w:keepNext/>
              <w:keepLines/>
              <w:suppressAutoHyphens w:val="0"/>
              <w:spacing w:before="40"/>
              <w:ind w:left="0" w:right="113"/>
              <w:jc w:val="left"/>
              <w:rPr>
                <w:rStyle w:val="Lienhypertexte"/>
                <w:color w:val="auto"/>
              </w:rPr>
            </w:pPr>
          </w:p>
        </w:tc>
      </w:tr>
      <w:tr w:rsidR="00A02B4C" w:rsidRPr="0031089E" w14:paraId="1D7DE661" w14:textId="77777777" w:rsidTr="003836D7">
        <w:trPr>
          <w:cantSplit/>
        </w:trPr>
        <w:tc>
          <w:tcPr>
            <w:tcW w:w="5102" w:type="dxa"/>
            <w:shd w:val="clear" w:color="auto" w:fill="auto"/>
          </w:tcPr>
          <w:p w14:paraId="2DF07B28" w14:textId="77777777" w:rsidR="00A02B4C" w:rsidRPr="0031089E" w:rsidRDefault="00A02B4C" w:rsidP="003836D7">
            <w:pPr>
              <w:pStyle w:val="SingleTxtG"/>
              <w:keepNext/>
              <w:keepLines/>
              <w:suppressAutoHyphens w:val="0"/>
              <w:spacing w:before="40"/>
              <w:ind w:left="0" w:right="113"/>
              <w:jc w:val="left"/>
            </w:pPr>
            <w:r>
              <w:rPr>
                <w:lang w:val="fr-FR"/>
              </w:rPr>
              <w:t>Nicaragua</w:t>
            </w:r>
          </w:p>
        </w:tc>
        <w:tc>
          <w:tcPr>
            <w:tcW w:w="2268" w:type="dxa"/>
            <w:shd w:val="clear" w:color="auto" w:fill="auto"/>
          </w:tcPr>
          <w:p w14:paraId="7DB17FB9" w14:textId="77777777" w:rsidR="00A02B4C" w:rsidRPr="0041666F" w:rsidRDefault="00A02B4C" w:rsidP="003836D7">
            <w:pPr>
              <w:pStyle w:val="SingleTxtG"/>
              <w:keepNext/>
              <w:keepLines/>
              <w:suppressAutoHyphens w:val="0"/>
              <w:spacing w:before="40"/>
              <w:ind w:left="0" w:right="113"/>
              <w:jc w:val="left"/>
              <w:rPr>
                <w:rStyle w:val="Lienhypertexte"/>
              </w:rPr>
            </w:pPr>
            <w:hyperlink r:id="rId67" w:history="1">
              <w:r w:rsidRPr="0041666F">
                <w:rPr>
                  <w:rStyle w:val="Lienhypertexte"/>
                </w:rPr>
                <w:t>E/C.12/NIC/5</w:t>
              </w:r>
            </w:hyperlink>
          </w:p>
        </w:tc>
      </w:tr>
      <w:tr w:rsidR="00A02B4C" w:rsidRPr="0031089E" w14:paraId="0B053CA0" w14:textId="77777777" w:rsidTr="003836D7">
        <w:trPr>
          <w:cantSplit/>
        </w:trPr>
        <w:tc>
          <w:tcPr>
            <w:tcW w:w="5102" w:type="dxa"/>
            <w:shd w:val="clear" w:color="auto" w:fill="auto"/>
          </w:tcPr>
          <w:p w14:paraId="01FBC89F" w14:textId="77777777" w:rsidR="00A02B4C" w:rsidRPr="0031089E" w:rsidRDefault="00A02B4C" w:rsidP="003836D7">
            <w:pPr>
              <w:pStyle w:val="SingleTxtG"/>
              <w:keepNext/>
              <w:keepLines/>
              <w:suppressAutoHyphens w:val="0"/>
              <w:spacing w:before="40"/>
              <w:ind w:left="0" w:right="113"/>
              <w:jc w:val="left"/>
              <w:rPr>
                <w:i/>
                <w:iCs/>
              </w:rPr>
            </w:pPr>
            <w:r>
              <w:rPr>
                <w:i/>
                <w:iCs/>
                <w:lang w:val="fr-FR"/>
              </w:rPr>
              <w:t>Septième rapport périodique</w:t>
            </w:r>
            <w:r>
              <w:rPr>
                <w:lang w:val="fr-FR"/>
              </w:rPr>
              <w:t xml:space="preserve"> </w:t>
            </w:r>
          </w:p>
        </w:tc>
        <w:tc>
          <w:tcPr>
            <w:tcW w:w="2268" w:type="dxa"/>
            <w:shd w:val="clear" w:color="auto" w:fill="auto"/>
          </w:tcPr>
          <w:p w14:paraId="334C23C6" w14:textId="77777777" w:rsidR="00A02B4C" w:rsidRPr="00307F7E" w:rsidRDefault="00A02B4C" w:rsidP="003836D7">
            <w:pPr>
              <w:pStyle w:val="SingleTxtG"/>
              <w:keepNext/>
              <w:keepLines/>
              <w:suppressAutoHyphens w:val="0"/>
              <w:spacing w:before="40"/>
              <w:ind w:left="0" w:right="113"/>
              <w:jc w:val="left"/>
              <w:rPr>
                <w:i/>
                <w:iCs/>
              </w:rPr>
            </w:pPr>
          </w:p>
        </w:tc>
      </w:tr>
      <w:tr w:rsidR="00A02B4C" w:rsidRPr="0031089E" w14:paraId="2EF8AF7A" w14:textId="77777777" w:rsidTr="003836D7">
        <w:trPr>
          <w:cantSplit/>
        </w:trPr>
        <w:tc>
          <w:tcPr>
            <w:tcW w:w="5102" w:type="dxa"/>
            <w:shd w:val="clear" w:color="auto" w:fill="auto"/>
          </w:tcPr>
          <w:p w14:paraId="62F37A80" w14:textId="77777777" w:rsidR="00A02B4C" w:rsidRPr="0031089E" w:rsidDel="0036485D" w:rsidRDefault="00A02B4C" w:rsidP="003836D7">
            <w:pPr>
              <w:pStyle w:val="SingleTxtG"/>
              <w:keepNext/>
              <w:keepLines/>
              <w:suppressAutoHyphens w:val="0"/>
              <w:spacing w:before="40"/>
              <w:ind w:left="0" w:right="113"/>
              <w:jc w:val="left"/>
            </w:pPr>
            <w:r>
              <w:rPr>
                <w:lang w:val="fr-FR"/>
              </w:rPr>
              <w:t>Finlande</w:t>
            </w:r>
          </w:p>
        </w:tc>
        <w:tc>
          <w:tcPr>
            <w:tcW w:w="2268" w:type="dxa"/>
            <w:shd w:val="clear" w:color="auto" w:fill="auto"/>
          </w:tcPr>
          <w:p w14:paraId="31AF5911" w14:textId="77777777" w:rsidR="00A02B4C" w:rsidRPr="00307F7E" w:rsidDel="0036485D" w:rsidRDefault="00A02B4C" w:rsidP="003836D7">
            <w:pPr>
              <w:pStyle w:val="SingleTxtG"/>
              <w:keepNext/>
              <w:keepLines/>
              <w:suppressAutoHyphens w:val="0"/>
              <w:spacing w:before="40"/>
              <w:ind w:left="0" w:right="113"/>
              <w:jc w:val="left"/>
            </w:pPr>
            <w:hyperlink r:id="rId68" w:history="1">
              <w:r w:rsidRPr="00307F7E">
                <w:rPr>
                  <w:rStyle w:val="Lienhypertexte"/>
                </w:rPr>
                <w:t>E/C.12/FIN/7</w:t>
              </w:r>
            </w:hyperlink>
          </w:p>
        </w:tc>
      </w:tr>
    </w:tbl>
    <w:p w14:paraId="1570AE0B" w14:textId="77777777" w:rsidR="00A02B4C" w:rsidRPr="007679BD" w:rsidRDefault="00A02B4C" w:rsidP="00A02B4C">
      <w:pPr>
        <w:pStyle w:val="SingleTxtG"/>
        <w:spacing w:before="240"/>
        <w:rPr>
          <w:lang w:val="fr-FR"/>
        </w:rPr>
      </w:pPr>
      <w:r>
        <w:rPr>
          <w:lang w:val="fr-FR"/>
        </w:rPr>
        <w:t>80.</w:t>
      </w:r>
      <w:r>
        <w:rPr>
          <w:lang w:val="fr-FR"/>
        </w:rPr>
        <w:tab/>
        <w:t>À sa huitième session, le Comité a décidé de ne plus faire figurer, dans son rapport annuel, comme c’en était l’usage, de résumé de l’examen des rapports de pays. Il y a lieu de se reporter, à cet égard, aux comptes rendus analytiques des séances au cours desquelles le Comité a examiné ces rapports. Le Comité a adopté des observations finales sur chacun des rapports examinés. Les observations finales énumérées plus bas sont disponibles sur le Système de diffusion électronique des documents de l’Organisation des Nations Unies. Selon la pratique habituelle du Comité, les membres du Comité ne participent pas au dialogue avec la délégation de leur propre pays ni à l’élaboration et à l’adoption des observations finales relatives au rapport de leur propre pays.</w:t>
      </w:r>
    </w:p>
    <w:p w14:paraId="1ED1A3DB" w14:textId="77777777" w:rsidR="00A02B4C" w:rsidRPr="007679BD" w:rsidRDefault="00A02B4C" w:rsidP="00A02B4C">
      <w:pPr>
        <w:pStyle w:val="H23G"/>
        <w:rPr>
          <w:lang w:val="fr-FR"/>
        </w:rPr>
      </w:pPr>
      <w:r>
        <w:rPr>
          <w:lang w:val="fr-FR"/>
        </w:rPr>
        <w:tab/>
      </w:r>
      <w:r>
        <w:rPr>
          <w:lang w:val="fr-FR"/>
        </w:rPr>
        <w:tab/>
      </w:r>
      <w:r>
        <w:rPr>
          <w:bCs/>
          <w:lang w:val="fr-FR"/>
        </w:rPr>
        <w:t>Observations finales adoptées à la soixante-septième session</w:t>
      </w:r>
      <w:bookmarkStart w:id="239" w:name="_Toc536190876"/>
      <w:bookmarkStart w:id="240" w:name="_Toc536458161"/>
      <w:bookmarkStart w:id="241" w:name="_Toc63084558"/>
      <w:bookmarkEnd w:id="239"/>
      <w:bookmarkEnd w:id="240"/>
      <w:bookmarkEnd w:id="241"/>
    </w:p>
    <w:tbl>
      <w:tblPr>
        <w:tblW w:w="7370" w:type="dxa"/>
        <w:tblInd w:w="1134" w:type="dxa"/>
        <w:tblLayout w:type="fixed"/>
        <w:tblCellMar>
          <w:left w:w="0" w:type="dxa"/>
          <w:right w:w="0" w:type="dxa"/>
        </w:tblCellMar>
        <w:tblLook w:val="00A0" w:firstRow="1" w:lastRow="0" w:firstColumn="1" w:lastColumn="0" w:noHBand="0" w:noVBand="0"/>
      </w:tblPr>
      <w:tblGrid>
        <w:gridCol w:w="5095"/>
        <w:gridCol w:w="2275"/>
      </w:tblGrid>
      <w:tr w:rsidR="00A02B4C" w:rsidRPr="0088239B" w14:paraId="162BC832" w14:textId="77777777" w:rsidTr="003836D7">
        <w:trPr>
          <w:tblHeader/>
        </w:trPr>
        <w:tc>
          <w:tcPr>
            <w:tcW w:w="5095" w:type="dxa"/>
            <w:tcBorders>
              <w:top w:val="single" w:sz="4" w:space="0" w:color="auto"/>
              <w:bottom w:val="single" w:sz="12" w:space="0" w:color="auto"/>
            </w:tcBorders>
            <w:shd w:val="clear" w:color="auto" w:fill="auto"/>
            <w:vAlign w:val="bottom"/>
          </w:tcPr>
          <w:p w14:paraId="6B87C373" w14:textId="77777777" w:rsidR="00A02B4C" w:rsidRPr="0088239B" w:rsidRDefault="00A02B4C" w:rsidP="003836D7">
            <w:pPr>
              <w:spacing w:before="80" w:after="80" w:line="200" w:lineRule="exact"/>
              <w:ind w:right="113"/>
              <w:rPr>
                <w:i/>
                <w:sz w:val="16"/>
              </w:rPr>
            </w:pPr>
            <w:r w:rsidRPr="0088239B">
              <w:rPr>
                <w:i/>
                <w:sz w:val="16"/>
                <w:lang w:val="fr-FR"/>
              </w:rPr>
              <w:t>État partie</w:t>
            </w:r>
          </w:p>
        </w:tc>
        <w:tc>
          <w:tcPr>
            <w:tcW w:w="2275" w:type="dxa"/>
            <w:tcBorders>
              <w:top w:val="single" w:sz="4" w:space="0" w:color="auto"/>
              <w:bottom w:val="single" w:sz="12" w:space="0" w:color="auto"/>
            </w:tcBorders>
            <w:shd w:val="clear" w:color="auto" w:fill="auto"/>
            <w:vAlign w:val="bottom"/>
          </w:tcPr>
          <w:p w14:paraId="52620A23" w14:textId="77777777" w:rsidR="00A02B4C" w:rsidRPr="0088239B" w:rsidRDefault="00A02B4C" w:rsidP="003836D7">
            <w:pPr>
              <w:spacing w:before="80" w:after="80" w:line="200" w:lineRule="exact"/>
              <w:ind w:right="113"/>
              <w:rPr>
                <w:i/>
                <w:sz w:val="16"/>
              </w:rPr>
            </w:pPr>
            <w:r w:rsidRPr="0088239B">
              <w:rPr>
                <w:i/>
                <w:sz w:val="16"/>
                <w:lang w:val="fr-FR"/>
              </w:rPr>
              <w:t>Signe conventionnel</w:t>
            </w:r>
          </w:p>
        </w:tc>
      </w:tr>
      <w:tr w:rsidR="00A02B4C" w:rsidRPr="0088239B" w14:paraId="3211D547" w14:textId="77777777" w:rsidTr="003836D7">
        <w:trPr>
          <w:trHeight w:hRule="exact" w:val="113"/>
          <w:tblHeader/>
        </w:trPr>
        <w:tc>
          <w:tcPr>
            <w:tcW w:w="5095" w:type="dxa"/>
            <w:tcBorders>
              <w:top w:val="single" w:sz="12" w:space="0" w:color="auto"/>
            </w:tcBorders>
            <w:shd w:val="clear" w:color="auto" w:fill="auto"/>
          </w:tcPr>
          <w:p w14:paraId="28ABD3B9" w14:textId="77777777" w:rsidR="00A02B4C" w:rsidRPr="0088239B" w:rsidRDefault="00A02B4C" w:rsidP="003836D7">
            <w:pPr>
              <w:spacing w:before="40" w:after="120"/>
              <w:ind w:right="113"/>
              <w:rPr>
                <w:lang w:val="fr-FR"/>
              </w:rPr>
            </w:pPr>
          </w:p>
        </w:tc>
        <w:tc>
          <w:tcPr>
            <w:tcW w:w="2275" w:type="dxa"/>
            <w:tcBorders>
              <w:top w:val="single" w:sz="12" w:space="0" w:color="auto"/>
            </w:tcBorders>
            <w:shd w:val="clear" w:color="auto" w:fill="auto"/>
          </w:tcPr>
          <w:p w14:paraId="62E62477" w14:textId="77777777" w:rsidR="00A02B4C" w:rsidRPr="0088239B" w:rsidRDefault="00A02B4C" w:rsidP="003836D7">
            <w:pPr>
              <w:spacing w:before="40" w:after="120"/>
              <w:ind w:right="113"/>
              <w:rPr>
                <w:lang w:val="fr-FR"/>
              </w:rPr>
            </w:pPr>
          </w:p>
        </w:tc>
      </w:tr>
      <w:tr w:rsidR="00A02B4C" w:rsidRPr="0088239B" w14:paraId="72323C39" w14:textId="77777777" w:rsidTr="003836D7">
        <w:tc>
          <w:tcPr>
            <w:tcW w:w="5095" w:type="dxa"/>
            <w:shd w:val="clear" w:color="auto" w:fill="auto"/>
          </w:tcPr>
          <w:p w14:paraId="712FDBC8" w14:textId="77777777" w:rsidR="00A02B4C" w:rsidRPr="0088239B" w:rsidRDefault="00A02B4C" w:rsidP="003836D7">
            <w:pPr>
              <w:spacing w:before="40" w:after="120"/>
              <w:ind w:right="113"/>
            </w:pPr>
            <w:r w:rsidRPr="0088239B">
              <w:rPr>
                <w:lang w:val="fr-FR"/>
              </w:rPr>
              <w:t>Belgique</w:t>
            </w:r>
          </w:p>
        </w:tc>
        <w:tc>
          <w:tcPr>
            <w:tcW w:w="2275" w:type="dxa"/>
            <w:shd w:val="clear" w:color="auto" w:fill="auto"/>
          </w:tcPr>
          <w:p w14:paraId="540F8370" w14:textId="77777777" w:rsidR="00A02B4C" w:rsidRPr="0041666F" w:rsidRDefault="00A02B4C" w:rsidP="003836D7">
            <w:pPr>
              <w:spacing w:before="40" w:after="120"/>
              <w:ind w:right="113"/>
              <w:rPr>
                <w:rStyle w:val="Lienhypertexte"/>
              </w:rPr>
            </w:pPr>
            <w:hyperlink r:id="rId69" w:history="1">
              <w:r w:rsidRPr="0041666F">
                <w:rPr>
                  <w:rStyle w:val="Lienhypertexte"/>
                </w:rPr>
                <w:t>E/C.12/BEL/CO/5</w:t>
              </w:r>
            </w:hyperlink>
          </w:p>
        </w:tc>
      </w:tr>
      <w:tr w:rsidR="00A02B4C" w:rsidRPr="0088239B" w14:paraId="031FDA48" w14:textId="77777777" w:rsidTr="003836D7">
        <w:tc>
          <w:tcPr>
            <w:tcW w:w="5095" w:type="dxa"/>
            <w:shd w:val="clear" w:color="auto" w:fill="auto"/>
          </w:tcPr>
          <w:p w14:paraId="0C3D3D10" w14:textId="77777777" w:rsidR="00A02B4C" w:rsidRPr="0088239B" w:rsidRDefault="00A02B4C" w:rsidP="003836D7">
            <w:pPr>
              <w:spacing w:before="40" w:after="120"/>
              <w:ind w:right="113"/>
            </w:pPr>
            <w:r w:rsidRPr="0088239B">
              <w:rPr>
                <w:lang w:val="fr-FR"/>
              </w:rPr>
              <w:t>Bénin</w:t>
            </w:r>
          </w:p>
        </w:tc>
        <w:tc>
          <w:tcPr>
            <w:tcW w:w="2275" w:type="dxa"/>
            <w:shd w:val="clear" w:color="auto" w:fill="auto"/>
          </w:tcPr>
          <w:p w14:paraId="245C4716" w14:textId="77777777" w:rsidR="00A02B4C" w:rsidRPr="0041666F" w:rsidRDefault="00A02B4C" w:rsidP="003836D7">
            <w:pPr>
              <w:spacing w:before="40" w:after="120"/>
              <w:ind w:right="113"/>
              <w:rPr>
                <w:rStyle w:val="Lienhypertexte"/>
              </w:rPr>
            </w:pPr>
            <w:hyperlink r:id="rId70" w:history="1">
              <w:r w:rsidRPr="0041666F">
                <w:rPr>
                  <w:rStyle w:val="Lienhypertexte"/>
                </w:rPr>
                <w:t>E/C.12/BEN/CO/3</w:t>
              </w:r>
            </w:hyperlink>
          </w:p>
        </w:tc>
      </w:tr>
      <w:tr w:rsidR="00A02B4C" w:rsidRPr="0088239B" w14:paraId="74C821CD" w14:textId="77777777" w:rsidTr="003836D7">
        <w:tc>
          <w:tcPr>
            <w:tcW w:w="5095" w:type="dxa"/>
            <w:shd w:val="clear" w:color="auto" w:fill="auto"/>
          </w:tcPr>
          <w:p w14:paraId="7805B3FA" w14:textId="77777777" w:rsidR="00A02B4C" w:rsidRPr="0088239B" w:rsidRDefault="00A02B4C" w:rsidP="003836D7">
            <w:pPr>
              <w:spacing w:before="40" w:after="120"/>
              <w:ind w:right="113"/>
            </w:pPr>
            <w:r w:rsidRPr="0088239B">
              <w:rPr>
                <w:lang w:val="fr-FR"/>
              </w:rPr>
              <w:t>Guinée</w:t>
            </w:r>
          </w:p>
        </w:tc>
        <w:tc>
          <w:tcPr>
            <w:tcW w:w="2275" w:type="dxa"/>
            <w:shd w:val="clear" w:color="auto" w:fill="auto"/>
          </w:tcPr>
          <w:p w14:paraId="0DD66407" w14:textId="77777777" w:rsidR="00A02B4C" w:rsidRPr="0041666F" w:rsidRDefault="00A02B4C" w:rsidP="003836D7">
            <w:pPr>
              <w:spacing w:before="40" w:after="120"/>
              <w:ind w:right="113"/>
              <w:rPr>
                <w:rStyle w:val="Lienhypertexte"/>
              </w:rPr>
            </w:pPr>
            <w:hyperlink r:id="rId71" w:history="1">
              <w:r w:rsidRPr="0041666F">
                <w:rPr>
                  <w:rStyle w:val="Lienhypertexte"/>
                </w:rPr>
                <w:t>E/C.12/GIN/CO/1</w:t>
              </w:r>
            </w:hyperlink>
          </w:p>
        </w:tc>
      </w:tr>
      <w:tr w:rsidR="00A02B4C" w:rsidRPr="0088239B" w14:paraId="08B7ECC0" w14:textId="77777777" w:rsidTr="003836D7">
        <w:tc>
          <w:tcPr>
            <w:tcW w:w="5095" w:type="dxa"/>
            <w:shd w:val="clear" w:color="auto" w:fill="auto"/>
          </w:tcPr>
          <w:p w14:paraId="3CC5BDB1" w14:textId="77777777" w:rsidR="00A02B4C" w:rsidRPr="0088239B" w:rsidRDefault="00A02B4C" w:rsidP="003836D7">
            <w:pPr>
              <w:spacing w:before="40" w:after="120"/>
              <w:ind w:right="113"/>
            </w:pPr>
            <w:r w:rsidRPr="0088239B">
              <w:rPr>
                <w:lang w:val="fr-FR"/>
              </w:rPr>
              <w:t>Norvège</w:t>
            </w:r>
          </w:p>
        </w:tc>
        <w:tc>
          <w:tcPr>
            <w:tcW w:w="2275" w:type="dxa"/>
            <w:shd w:val="clear" w:color="auto" w:fill="auto"/>
          </w:tcPr>
          <w:p w14:paraId="090B11D6" w14:textId="77777777" w:rsidR="00A02B4C" w:rsidRPr="0041666F" w:rsidRDefault="00A02B4C" w:rsidP="003836D7">
            <w:pPr>
              <w:spacing w:before="40" w:after="120"/>
              <w:ind w:right="113"/>
              <w:rPr>
                <w:rStyle w:val="Lienhypertexte"/>
              </w:rPr>
            </w:pPr>
            <w:hyperlink r:id="rId72" w:history="1">
              <w:r w:rsidRPr="0041666F">
                <w:rPr>
                  <w:rStyle w:val="Lienhypertexte"/>
                </w:rPr>
                <w:t>E/C.12/NOR/CO/6</w:t>
              </w:r>
            </w:hyperlink>
          </w:p>
        </w:tc>
      </w:tr>
      <w:tr w:rsidR="00A02B4C" w:rsidRPr="0088239B" w14:paraId="0A65D7E5" w14:textId="77777777" w:rsidTr="003836D7">
        <w:tc>
          <w:tcPr>
            <w:tcW w:w="5095" w:type="dxa"/>
            <w:tcBorders>
              <w:bottom w:val="single" w:sz="12" w:space="0" w:color="auto"/>
            </w:tcBorders>
            <w:shd w:val="clear" w:color="auto" w:fill="auto"/>
          </w:tcPr>
          <w:p w14:paraId="13024976" w14:textId="77777777" w:rsidR="00A02B4C" w:rsidRPr="0088239B" w:rsidRDefault="00A02B4C" w:rsidP="003836D7">
            <w:pPr>
              <w:spacing w:before="40" w:after="120"/>
              <w:ind w:right="113"/>
            </w:pPr>
            <w:r w:rsidRPr="0088239B">
              <w:rPr>
                <w:lang w:val="fr-FR"/>
              </w:rPr>
              <w:t>Ukraine</w:t>
            </w:r>
          </w:p>
        </w:tc>
        <w:tc>
          <w:tcPr>
            <w:tcW w:w="2275" w:type="dxa"/>
            <w:tcBorders>
              <w:bottom w:val="single" w:sz="12" w:space="0" w:color="auto"/>
            </w:tcBorders>
            <w:shd w:val="clear" w:color="auto" w:fill="auto"/>
          </w:tcPr>
          <w:p w14:paraId="59C8E0D3" w14:textId="77777777" w:rsidR="00A02B4C" w:rsidRPr="0041666F" w:rsidRDefault="00A02B4C" w:rsidP="003836D7">
            <w:pPr>
              <w:spacing w:before="40" w:after="120"/>
              <w:ind w:right="113"/>
              <w:rPr>
                <w:rStyle w:val="Lienhypertexte"/>
              </w:rPr>
            </w:pPr>
            <w:hyperlink r:id="rId73" w:history="1">
              <w:r w:rsidRPr="0041666F">
                <w:rPr>
                  <w:rStyle w:val="Lienhypertexte"/>
                </w:rPr>
                <w:t>E/C.12/UKR/CO/7</w:t>
              </w:r>
            </w:hyperlink>
          </w:p>
        </w:tc>
      </w:tr>
    </w:tbl>
    <w:p w14:paraId="00182C7C" w14:textId="77777777" w:rsidR="00A02B4C" w:rsidRPr="007679BD" w:rsidRDefault="00A02B4C" w:rsidP="00A02B4C">
      <w:pPr>
        <w:pStyle w:val="HChG"/>
        <w:rPr>
          <w:lang w:val="fr-FR"/>
        </w:rPr>
      </w:pPr>
      <w:bookmarkStart w:id="242" w:name="_Toc419703779"/>
      <w:r>
        <w:rPr>
          <w:lang w:val="fr-FR"/>
        </w:rPr>
        <w:tab/>
      </w:r>
      <w:r>
        <w:rPr>
          <w:lang w:val="fr-FR"/>
        </w:rPr>
        <w:tab/>
      </w:r>
      <w:r>
        <w:rPr>
          <w:bCs/>
          <w:lang w:val="fr-FR"/>
        </w:rPr>
        <w:t>Chapitre V</w:t>
      </w:r>
      <w:r>
        <w:rPr>
          <w:bCs/>
          <w:lang w:val="fr-FR"/>
        </w:rPr>
        <w:br/>
      </w:r>
      <w:bookmarkStart w:id="243" w:name="_Hlk63771005"/>
      <w:r>
        <w:rPr>
          <w:bCs/>
          <w:lang w:val="fr-FR"/>
        </w:rPr>
        <w:t>Activités du Comité au titre du Protocole facultatif</w:t>
      </w:r>
      <w:bookmarkStart w:id="244" w:name="_Toc470861823"/>
      <w:bookmarkStart w:id="245" w:name="_Toc504665042"/>
      <w:bookmarkStart w:id="246" w:name="_Toc532996352"/>
      <w:bookmarkStart w:id="247" w:name="_Toc536190878"/>
      <w:bookmarkStart w:id="248" w:name="_Toc536458163"/>
      <w:bookmarkStart w:id="249" w:name="_Toc31123795"/>
      <w:bookmarkStart w:id="250" w:name="_Toc63084559"/>
      <w:bookmarkEnd w:id="244"/>
      <w:bookmarkEnd w:id="245"/>
      <w:bookmarkEnd w:id="246"/>
      <w:bookmarkEnd w:id="247"/>
      <w:bookmarkEnd w:id="248"/>
      <w:bookmarkEnd w:id="249"/>
      <w:bookmarkEnd w:id="250"/>
      <w:bookmarkEnd w:id="243"/>
    </w:p>
    <w:p w14:paraId="3A6F3EAE" w14:textId="77777777" w:rsidR="00A02B4C" w:rsidRPr="007679BD" w:rsidRDefault="00A02B4C" w:rsidP="00A02B4C">
      <w:pPr>
        <w:pStyle w:val="H1G"/>
        <w:rPr>
          <w:lang w:val="fr-FR"/>
        </w:rPr>
      </w:pPr>
      <w:r>
        <w:rPr>
          <w:lang w:val="fr-FR"/>
        </w:rPr>
        <w:tab/>
        <w:t>A.</w:t>
      </w:r>
      <w:r>
        <w:rPr>
          <w:lang w:val="fr-FR"/>
        </w:rPr>
        <w:tab/>
      </w:r>
      <w:r>
        <w:rPr>
          <w:bCs/>
          <w:lang w:val="fr-FR"/>
        </w:rPr>
        <w:t xml:space="preserve">État d’avancement des activités concernant les communications </w:t>
      </w:r>
      <w:r>
        <w:rPr>
          <w:bCs/>
          <w:lang w:val="fr-FR"/>
        </w:rPr>
        <w:br/>
        <w:t>de particuliers soumises au Comité</w:t>
      </w:r>
      <w:bookmarkStart w:id="251" w:name="_Toc470861824"/>
      <w:bookmarkStart w:id="252" w:name="_Toc504665043"/>
      <w:bookmarkStart w:id="253" w:name="_Toc532996353"/>
      <w:bookmarkStart w:id="254" w:name="_Toc536190879"/>
      <w:bookmarkStart w:id="255" w:name="_Toc536458164"/>
      <w:bookmarkStart w:id="256" w:name="_Toc31123796"/>
      <w:bookmarkStart w:id="257" w:name="_Toc63084560"/>
      <w:bookmarkEnd w:id="251"/>
      <w:bookmarkEnd w:id="252"/>
      <w:bookmarkEnd w:id="253"/>
      <w:bookmarkEnd w:id="254"/>
      <w:bookmarkEnd w:id="255"/>
      <w:bookmarkEnd w:id="256"/>
      <w:bookmarkEnd w:id="257"/>
    </w:p>
    <w:p w14:paraId="58C46470" w14:textId="77777777" w:rsidR="00A02B4C" w:rsidRPr="007679BD" w:rsidRDefault="00A02B4C" w:rsidP="00A02B4C">
      <w:pPr>
        <w:pStyle w:val="SingleTxtG"/>
        <w:rPr>
          <w:lang w:val="fr-FR"/>
        </w:rPr>
      </w:pPr>
      <w:r>
        <w:rPr>
          <w:lang w:val="fr-FR"/>
        </w:rPr>
        <w:t>81.</w:t>
      </w:r>
      <w:r>
        <w:rPr>
          <w:lang w:val="fr-FR"/>
        </w:rPr>
        <w:tab/>
        <w:t>Au moment de l’adoption du présent rapport, le Comité avait enregistré 190 communications soumises au titre du Protocole facultatif depuis l’entrée en vigueur de cet instrument. Au total, 28 communications ont été enregistrées depuis l’adoption du précédent rapport le 18 octobre 2019. L’état des communications enregistrées est à ce jour le suivant :</w:t>
      </w:r>
    </w:p>
    <w:p w14:paraId="014E1241" w14:textId="77777777" w:rsidR="00A02B4C" w:rsidRPr="007679BD" w:rsidRDefault="00A02B4C" w:rsidP="00A02B4C">
      <w:pPr>
        <w:pStyle w:val="SingleTxtG"/>
        <w:ind w:firstLine="567"/>
        <w:rPr>
          <w:lang w:val="fr-FR"/>
        </w:rPr>
      </w:pPr>
      <w:r>
        <w:rPr>
          <w:lang w:val="fr-FR"/>
        </w:rPr>
        <w:lastRenderedPageBreak/>
        <w:t>a)</w:t>
      </w:r>
      <w:r>
        <w:rPr>
          <w:lang w:val="fr-FR"/>
        </w:rPr>
        <w:tab/>
        <w:t>Examen terminé par l’adoption de constatations conformément au paragraphe 1 de l’article 9 du Protocole facultatif : 7 communications, dont 1 pour laquelle il n’a été conclu à aucune violation du Pacte ;</w:t>
      </w:r>
    </w:p>
    <w:p w14:paraId="2B1EFADE" w14:textId="77777777" w:rsidR="00A02B4C" w:rsidRPr="007679BD" w:rsidRDefault="00A02B4C" w:rsidP="00A02B4C">
      <w:pPr>
        <w:pStyle w:val="SingleTxtG"/>
        <w:ind w:firstLine="567"/>
        <w:rPr>
          <w:lang w:val="fr-FR"/>
        </w:rPr>
      </w:pPr>
      <w:r>
        <w:rPr>
          <w:lang w:val="fr-FR"/>
        </w:rPr>
        <w:t>b)</w:t>
      </w:r>
      <w:r>
        <w:rPr>
          <w:lang w:val="fr-FR"/>
        </w:rPr>
        <w:tab/>
        <w:t>Communications déclarées irrecevables : 19 ;</w:t>
      </w:r>
    </w:p>
    <w:p w14:paraId="5E8AD36A" w14:textId="77777777" w:rsidR="00A02B4C" w:rsidRPr="007679BD" w:rsidRDefault="00A02B4C" w:rsidP="00A02B4C">
      <w:pPr>
        <w:pStyle w:val="SingleTxtG"/>
        <w:ind w:firstLine="567"/>
        <w:rPr>
          <w:lang w:val="fr-FR"/>
        </w:rPr>
      </w:pPr>
      <w:r>
        <w:rPr>
          <w:lang w:val="fr-FR"/>
        </w:rPr>
        <w:t>c)</w:t>
      </w:r>
      <w:r>
        <w:rPr>
          <w:lang w:val="fr-FR"/>
        </w:rPr>
        <w:tab/>
        <w:t>Communications pour lesquelles il a été décidé de mettre fin à l’examen ou qui ont été retirées : 27 ;</w:t>
      </w:r>
    </w:p>
    <w:p w14:paraId="0EDD7AC4" w14:textId="77777777" w:rsidR="00A02B4C" w:rsidRPr="007679BD" w:rsidRDefault="00A02B4C" w:rsidP="00A02B4C">
      <w:pPr>
        <w:pStyle w:val="SingleTxtG"/>
        <w:ind w:firstLine="567"/>
        <w:rPr>
          <w:lang w:val="fr-FR"/>
        </w:rPr>
      </w:pPr>
      <w:r>
        <w:rPr>
          <w:lang w:val="fr-FR"/>
        </w:rPr>
        <w:t>d)</w:t>
      </w:r>
      <w:r>
        <w:rPr>
          <w:lang w:val="fr-FR"/>
        </w:rPr>
        <w:tab/>
        <w:t>Communications dont l’examen n’est pas encore achevé : 137.</w:t>
      </w:r>
    </w:p>
    <w:p w14:paraId="61BB668D" w14:textId="77777777" w:rsidR="00A02B4C" w:rsidRPr="007679BD" w:rsidRDefault="00A02B4C" w:rsidP="00A02B4C">
      <w:pPr>
        <w:pStyle w:val="SingleTxtG"/>
        <w:rPr>
          <w:lang w:val="fr-FR"/>
        </w:rPr>
      </w:pPr>
      <w:r>
        <w:rPr>
          <w:lang w:val="fr-FR"/>
        </w:rPr>
        <w:t>82.</w:t>
      </w:r>
      <w:r>
        <w:rPr>
          <w:lang w:val="fr-FR"/>
        </w:rPr>
        <w:tab/>
        <w:t xml:space="preserve">À </w:t>
      </w:r>
      <w:r w:rsidRPr="00E626F0">
        <w:rPr>
          <w:lang w:val="fr-FR"/>
        </w:rPr>
        <w:t xml:space="preserve">sa soixante-septième session, le Comité a adopté ses constatations sur le fond concernant l’affaire </w:t>
      </w:r>
      <w:r w:rsidRPr="00E626F0">
        <w:rPr>
          <w:i/>
          <w:iCs/>
          <w:lang w:val="fr-FR"/>
        </w:rPr>
        <w:t>Gómez-Limón Pardo c. Espagne</w:t>
      </w:r>
      <w:r w:rsidRPr="00E626F0">
        <w:rPr>
          <w:lang w:val="fr-FR"/>
        </w:rPr>
        <w:t xml:space="preserve"> (</w:t>
      </w:r>
      <w:hyperlink r:id="rId74" w:history="1">
        <w:r w:rsidRPr="00E626F0">
          <w:rPr>
            <w:rStyle w:val="Lienhypertexte"/>
            <w:lang w:val="fr-FR"/>
          </w:rPr>
          <w:t>E/C.12/67/D/52/2018</w:t>
        </w:r>
      </w:hyperlink>
      <w:r w:rsidRPr="00E626F0">
        <w:rPr>
          <w:lang w:val="fr-FR"/>
        </w:rPr>
        <w:t xml:space="preserve">). À sa soixante-huitième session, le Comité a déclaré irrecevables les communications </w:t>
      </w:r>
      <w:r w:rsidRPr="00E626F0">
        <w:rPr>
          <w:i/>
          <w:iCs/>
          <w:lang w:val="fr-FR"/>
        </w:rPr>
        <w:t xml:space="preserve">A. M. O. et J. M. U. c. Espagne </w:t>
      </w:r>
      <w:r w:rsidRPr="00E626F0">
        <w:rPr>
          <w:lang w:val="fr-FR"/>
        </w:rPr>
        <w:t>(</w:t>
      </w:r>
      <w:hyperlink r:id="rId75" w:history="1">
        <w:r w:rsidRPr="00E626F0">
          <w:rPr>
            <w:rStyle w:val="Lienhypertexte"/>
            <w:lang w:val="fr-FR"/>
          </w:rPr>
          <w:t>E/C.12/68/D/45/2018</w:t>
        </w:r>
      </w:hyperlink>
      <w:r w:rsidRPr="00E626F0">
        <w:rPr>
          <w:lang w:val="fr-FR"/>
        </w:rPr>
        <w:t xml:space="preserve">) ; </w:t>
      </w:r>
      <w:r w:rsidRPr="00E626F0">
        <w:rPr>
          <w:i/>
          <w:iCs/>
          <w:lang w:val="fr-FR"/>
        </w:rPr>
        <w:t>M. B. B. c. Espagne</w:t>
      </w:r>
      <w:r w:rsidRPr="00E626F0">
        <w:rPr>
          <w:lang w:val="fr-FR"/>
        </w:rPr>
        <w:t xml:space="preserve"> (</w:t>
      </w:r>
      <w:hyperlink r:id="rId76" w:history="1">
        <w:r w:rsidRPr="00E626F0">
          <w:rPr>
            <w:rStyle w:val="Lienhypertexte"/>
            <w:lang w:val="fr-FR"/>
          </w:rPr>
          <w:t>E/C.12/68/D/79/2018</w:t>
        </w:r>
      </w:hyperlink>
      <w:r w:rsidRPr="00E626F0">
        <w:rPr>
          <w:lang w:val="fr-FR"/>
        </w:rPr>
        <w:t xml:space="preserve">) ; et </w:t>
      </w:r>
      <w:r w:rsidRPr="00E626F0">
        <w:rPr>
          <w:i/>
          <w:iCs/>
          <w:lang w:val="fr-FR"/>
        </w:rPr>
        <w:t>Juárez c. Argentine</w:t>
      </w:r>
      <w:r w:rsidRPr="00E626F0">
        <w:rPr>
          <w:lang w:val="fr-FR"/>
        </w:rPr>
        <w:t xml:space="preserve"> (</w:t>
      </w:r>
      <w:hyperlink r:id="rId77" w:history="1">
        <w:r w:rsidRPr="00E626F0">
          <w:rPr>
            <w:rStyle w:val="Lienhypertexte"/>
            <w:lang w:val="fr-FR"/>
          </w:rPr>
          <w:t>E/C.12/68/D/149/2019</w:t>
        </w:r>
      </w:hyperlink>
      <w:r w:rsidRPr="00E626F0">
        <w:rPr>
          <w:lang w:val="fr-FR"/>
        </w:rPr>
        <w:t>). À ses deux sessions, le Comité a également interrompu l’examen de neuf communications. Dans cinq d’entre elles, les auteurs avaient trouvé une solution à la situation qui les avait amenés à présenter une requête, à savoir qu’ils avaient trouvé ou obtenu</w:t>
      </w:r>
      <w:r>
        <w:rPr>
          <w:lang w:val="fr-FR"/>
        </w:rPr>
        <w:t xml:space="preserve"> un logement convenable.</w:t>
      </w:r>
    </w:p>
    <w:p w14:paraId="6D5A15A6" w14:textId="77777777" w:rsidR="00A02B4C" w:rsidRPr="007679BD" w:rsidRDefault="00A02B4C" w:rsidP="00A02B4C">
      <w:pPr>
        <w:pStyle w:val="SingleTxtG"/>
        <w:rPr>
          <w:lang w:val="fr-FR"/>
        </w:rPr>
      </w:pPr>
      <w:r>
        <w:rPr>
          <w:lang w:val="fr-FR"/>
        </w:rPr>
        <w:t>83.</w:t>
      </w:r>
      <w:r>
        <w:rPr>
          <w:lang w:val="fr-FR"/>
        </w:rPr>
        <w:tab/>
        <w:t xml:space="preserve">Dans ses constatations concernant l’affaire </w:t>
      </w:r>
      <w:r w:rsidRPr="00676D14">
        <w:rPr>
          <w:i/>
          <w:iCs/>
          <w:lang w:val="fr-FR"/>
        </w:rPr>
        <w:t>Gomez-Limón Pardo c. Espagne</w:t>
      </w:r>
      <w:r>
        <w:rPr>
          <w:lang w:val="fr-FR"/>
        </w:rPr>
        <w:t xml:space="preserve">, le Comité a développé sa jurisprudence sur le droit à un logement convenable et les conditions dans lesquelles des expulsions peuvent être effectuées. Dans ses décisions d’irrecevabilité, le Comité a continué de préciser les principaux aspects procéduraux du Protocole facultatif, en particulier les exigences d’épuisement des recours internes et de justification suffisante des communications émanant de particuliers. </w:t>
      </w:r>
    </w:p>
    <w:p w14:paraId="33FD66C2" w14:textId="77777777" w:rsidR="00A02B4C" w:rsidRPr="007679BD" w:rsidRDefault="00A02B4C" w:rsidP="00A02B4C">
      <w:pPr>
        <w:pStyle w:val="SingleTxtG"/>
        <w:rPr>
          <w:lang w:val="fr-FR"/>
        </w:rPr>
      </w:pPr>
      <w:r>
        <w:rPr>
          <w:lang w:val="fr-FR"/>
        </w:rPr>
        <w:t>84.</w:t>
      </w:r>
      <w:r>
        <w:rPr>
          <w:lang w:val="fr-FR"/>
        </w:rPr>
        <w:tab/>
        <w:t>À la soixante-huitième session, le Président-Coordonnateur du Groupe de travail des communications, M. Uprimny, a rendu compte des activités du groupe de travail. Depuis le début de 2020, le Comité a reçu 52 communications émanant de particuliers, dont 16 ont été enregistrées par le Groupe de travail, car elles remplissaient à première vue les critères de recevabilité.</w:t>
      </w:r>
    </w:p>
    <w:p w14:paraId="1B5BF838" w14:textId="77777777" w:rsidR="00A02B4C" w:rsidRPr="007679BD" w:rsidRDefault="00A02B4C" w:rsidP="00A02B4C">
      <w:pPr>
        <w:pStyle w:val="H1G"/>
        <w:rPr>
          <w:lang w:val="fr-FR"/>
        </w:rPr>
      </w:pPr>
      <w:r>
        <w:rPr>
          <w:lang w:val="fr-FR"/>
        </w:rPr>
        <w:tab/>
        <w:t>B.</w:t>
      </w:r>
      <w:r>
        <w:rPr>
          <w:lang w:val="fr-FR"/>
        </w:rPr>
        <w:tab/>
      </w:r>
      <w:bookmarkStart w:id="258" w:name="_Hlk63771059"/>
      <w:r>
        <w:rPr>
          <w:bCs/>
          <w:lang w:val="fr-FR"/>
        </w:rPr>
        <w:t xml:space="preserve">Suite donnée aux constatations du Comité concernant </w:t>
      </w:r>
      <w:r>
        <w:rPr>
          <w:bCs/>
          <w:lang w:val="fr-FR"/>
        </w:rPr>
        <w:br/>
        <w:t>des communications émanant de particuliers</w:t>
      </w:r>
      <w:bookmarkStart w:id="259" w:name="_Toc63084561"/>
      <w:bookmarkEnd w:id="259"/>
      <w:bookmarkEnd w:id="258"/>
    </w:p>
    <w:p w14:paraId="324E4AB8" w14:textId="77777777" w:rsidR="00A02B4C" w:rsidRPr="00E626F0" w:rsidRDefault="00A02B4C" w:rsidP="00A02B4C">
      <w:pPr>
        <w:pStyle w:val="SingleTxtG"/>
        <w:rPr>
          <w:lang w:val="fr-FR"/>
        </w:rPr>
      </w:pPr>
      <w:bookmarkStart w:id="260" w:name="_Toc470861825"/>
      <w:bookmarkStart w:id="261" w:name="_Toc504665044"/>
      <w:bookmarkStart w:id="262" w:name="_Toc532996354"/>
      <w:bookmarkStart w:id="263" w:name="_Toc536190880"/>
      <w:bookmarkStart w:id="264" w:name="_Toc536458165"/>
      <w:bookmarkStart w:id="265" w:name="_Toc31123797"/>
      <w:r>
        <w:rPr>
          <w:lang w:val="fr-FR"/>
        </w:rPr>
        <w:t>85.</w:t>
      </w:r>
      <w:r>
        <w:rPr>
          <w:lang w:val="fr-FR"/>
        </w:rPr>
        <w:tab/>
        <w:t xml:space="preserve">Le Comité a adopté son rapport sur la suite donnée aux communications </w:t>
      </w:r>
      <w:r w:rsidRPr="00E626F0">
        <w:rPr>
          <w:lang w:val="fr-FR"/>
        </w:rPr>
        <w:t>(</w:t>
      </w:r>
      <w:hyperlink r:id="rId78" w:history="1">
        <w:r w:rsidRPr="00E626F0">
          <w:rPr>
            <w:rStyle w:val="Lienhypertexte"/>
            <w:lang w:val="fr-FR"/>
          </w:rPr>
          <w:t>E/C.12/68/3</w:t>
        </w:r>
      </w:hyperlink>
      <w:r w:rsidRPr="00E626F0">
        <w:rPr>
          <w:lang w:val="fr-FR"/>
        </w:rPr>
        <w:t xml:space="preserve">), dans lequel il a fait part de sa décision de mettre un terme à la procédure de suivi de la communication </w:t>
      </w:r>
      <w:r w:rsidRPr="00E626F0">
        <w:rPr>
          <w:i/>
          <w:iCs/>
          <w:lang w:val="fr-FR"/>
        </w:rPr>
        <w:t>I. D. G. c. Espagne</w:t>
      </w:r>
      <w:r w:rsidRPr="00E626F0">
        <w:rPr>
          <w:lang w:val="fr-FR"/>
        </w:rPr>
        <w:t xml:space="preserve"> (</w:t>
      </w:r>
      <w:hyperlink r:id="rId79" w:history="1">
        <w:r w:rsidRPr="00E626F0">
          <w:rPr>
            <w:rStyle w:val="Lienhypertexte"/>
            <w:lang w:val="fr-FR"/>
          </w:rPr>
          <w:t>E/C.12/55/D/2/2014</w:t>
        </w:r>
      </w:hyperlink>
      <w:r w:rsidRPr="00E626F0">
        <w:rPr>
          <w:lang w:val="fr-FR"/>
        </w:rPr>
        <w:t xml:space="preserve">), estimant que la mise en œuvre des recommandations avait été largement satisfaisante. Le Comité a décidé de poursuivre la procédure concernant les communications </w:t>
      </w:r>
      <w:r w:rsidRPr="00E626F0">
        <w:rPr>
          <w:i/>
          <w:iCs/>
          <w:lang w:val="fr-FR"/>
        </w:rPr>
        <w:t>Trujillo Calero c. Équateur</w:t>
      </w:r>
      <w:r w:rsidRPr="00E626F0">
        <w:rPr>
          <w:lang w:val="fr-FR"/>
        </w:rPr>
        <w:t xml:space="preserve"> (</w:t>
      </w:r>
      <w:hyperlink r:id="rId80" w:history="1">
        <w:r w:rsidRPr="00E626F0">
          <w:rPr>
            <w:rStyle w:val="Lienhypertexte"/>
            <w:lang w:val="fr-FR"/>
          </w:rPr>
          <w:t>E/C.12/63/D/10/2015</w:t>
        </w:r>
      </w:hyperlink>
      <w:r w:rsidRPr="00E626F0">
        <w:rPr>
          <w:lang w:val="fr-FR"/>
        </w:rPr>
        <w:t>) et S</w:t>
      </w:r>
      <w:r w:rsidRPr="00E626F0">
        <w:rPr>
          <w:i/>
          <w:iCs/>
          <w:lang w:val="fr-FR"/>
        </w:rPr>
        <w:t>. C. et G. P. c. Italie</w:t>
      </w:r>
      <w:r w:rsidRPr="00E626F0">
        <w:rPr>
          <w:lang w:val="fr-FR"/>
        </w:rPr>
        <w:t xml:space="preserve"> (</w:t>
      </w:r>
      <w:hyperlink r:id="rId81" w:history="1">
        <w:r w:rsidRPr="00E626F0">
          <w:rPr>
            <w:rStyle w:val="Lienhypertexte"/>
            <w:lang w:val="fr-FR"/>
          </w:rPr>
          <w:t>E/C.12/65/D/22/2017</w:t>
        </w:r>
      </w:hyperlink>
      <w:r w:rsidRPr="00E626F0">
        <w:rPr>
          <w:lang w:val="fr-FR"/>
        </w:rPr>
        <w:t xml:space="preserve">). Trois autres affaires font actuellement l’objet de la procédure de suivi : </w:t>
      </w:r>
      <w:r w:rsidRPr="00E626F0">
        <w:rPr>
          <w:i/>
          <w:iCs/>
          <w:lang w:val="fr-FR"/>
        </w:rPr>
        <w:t>Ben Djazia et autres c. Espagne</w:t>
      </w:r>
      <w:r w:rsidRPr="00E626F0">
        <w:rPr>
          <w:lang w:val="fr-FR"/>
        </w:rPr>
        <w:t xml:space="preserve"> (</w:t>
      </w:r>
      <w:hyperlink r:id="rId82" w:history="1">
        <w:r w:rsidRPr="00E626F0">
          <w:rPr>
            <w:rStyle w:val="Lienhypertexte"/>
            <w:lang w:val="fr-FR"/>
          </w:rPr>
          <w:t>E/C.12/61/D/5/2015</w:t>
        </w:r>
      </w:hyperlink>
      <w:r w:rsidRPr="00E626F0">
        <w:rPr>
          <w:lang w:val="fr-FR"/>
        </w:rPr>
        <w:t xml:space="preserve">), </w:t>
      </w:r>
      <w:r w:rsidRPr="00E626F0">
        <w:rPr>
          <w:i/>
          <w:iCs/>
          <w:lang w:val="fr-FR"/>
        </w:rPr>
        <w:t>López Albán et autres c. Espagne</w:t>
      </w:r>
      <w:r w:rsidRPr="00E626F0">
        <w:rPr>
          <w:lang w:val="fr-FR"/>
        </w:rPr>
        <w:t xml:space="preserve"> (</w:t>
      </w:r>
      <w:hyperlink r:id="rId83" w:history="1">
        <w:r w:rsidRPr="00E626F0">
          <w:rPr>
            <w:rStyle w:val="Lienhypertexte"/>
            <w:lang w:val="fr-FR"/>
          </w:rPr>
          <w:t>E/C.12/66/D/37/2018</w:t>
        </w:r>
      </w:hyperlink>
      <w:r w:rsidRPr="00E626F0">
        <w:rPr>
          <w:lang w:val="fr-FR"/>
        </w:rPr>
        <w:t xml:space="preserve">) et </w:t>
      </w:r>
      <w:r w:rsidRPr="00E626F0">
        <w:rPr>
          <w:i/>
          <w:iCs/>
          <w:lang w:val="fr-FR"/>
        </w:rPr>
        <w:t>Gómez</w:t>
      </w:r>
      <w:r w:rsidRPr="00E626F0">
        <w:rPr>
          <w:i/>
          <w:iCs/>
          <w:lang w:val="fr-FR"/>
        </w:rPr>
        <w:noBreakHyphen/>
        <w:t>Limón Pardo c. Espagne</w:t>
      </w:r>
      <w:r w:rsidRPr="00E626F0">
        <w:rPr>
          <w:lang w:val="fr-FR"/>
        </w:rPr>
        <w:t>.</w:t>
      </w:r>
      <w:bookmarkEnd w:id="260"/>
      <w:bookmarkEnd w:id="261"/>
      <w:bookmarkEnd w:id="262"/>
      <w:bookmarkEnd w:id="263"/>
      <w:bookmarkEnd w:id="264"/>
      <w:bookmarkEnd w:id="265"/>
    </w:p>
    <w:p w14:paraId="00954E8A" w14:textId="77777777" w:rsidR="00A02B4C" w:rsidRPr="007679BD" w:rsidRDefault="00A02B4C" w:rsidP="00A02B4C">
      <w:pPr>
        <w:pStyle w:val="HChG"/>
        <w:rPr>
          <w:lang w:val="fr-FR"/>
        </w:rPr>
      </w:pPr>
      <w:bookmarkStart w:id="266" w:name="_Toc419703780"/>
      <w:bookmarkEnd w:id="242"/>
      <w:r>
        <w:rPr>
          <w:lang w:val="fr-FR"/>
        </w:rPr>
        <w:tab/>
      </w:r>
      <w:r>
        <w:rPr>
          <w:lang w:val="fr-FR"/>
        </w:rPr>
        <w:tab/>
      </w:r>
      <w:r w:rsidRPr="00BF558B">
        <w:rPr>
          <w:lang w:val="fr-FR"/>
        </w:rPr>
        <w:t>Chapitre VI</w:t>
      </w:r>
      <w:r w:rsidRPr="00BF558B">
        <w:rPr>
          <w:lang w:val="fr-FR"/>
        </w:rPr>
        <w:br/>
      </w:r>
      <w:bookmarkStart w:id="267" w:name="_Hlk63771078"/>
      <w:r w:rsidRPr="00BF558B">
        <w:rPr>
          <w:bCs/>
          <w:lang w:val="fr-FR"/>
        </w:rPr>
        <w:t>Questions de</w:t>
      </w:r>
      <w:r>
        <w:rPr>
          <w:bCs/>
          <w:lang w:val="fr-FR"/>
        </w:rPr>
        <w:t xml:space="preserve"> fond concernant la mise en œuvre du Pacte</w:t>
      </w:r>
      <w:bookmarkStart w:id="268" w:name="_Toc470861827"/>
      <w:bookmarkStart w:id="269" w:name="_Toc504665045"/>
      <w:bookmarkStart w:id="270" w:name="_Toc532996355"/>
      <w:bookmarkStart w:id="271" w:name="_Toc536190881"/>
      <w:bookmarkStart w:id="272" w:name="_Toc536458166"/>
      <w:bookmarkStart w:id="273" w:name="_Toc31123798"/>
      <w:bookmarkStart w:id="274" w:name="_Toc63084562"/>
      <w:bookmarkEnd w:id="266"/>
      <w:bookmarkEnd w:id="268"/>
      <w:bookmarkEnd w:id="269"/>
      <w:bookmarkEnd w:id="270"/>
      <w:bookmarkEnd w:id="271"/>
      <w:bookmarkEnd w:id="272"/>
      <w:bookmarkEnd w:id="273"/>
      <w:bookmarkEnd w:id="274"/>
      <w:bookmarkEnd w:id="267"/>
    </w:p>
    <w:p w14:paraId="7AF2A180" w14:textId="77777777" w:rsidR="00A02B4C" w:rsidRPr="007679BD" w:rsidRDefault="00A02B4C" w:rsidP="00A02B4C">
      <w:pPr>
        <w:pStyle w:val="SingleTxtG"/>
        <w:rPr>
          <w:lang w:val="fr-FR"/>
        </w:rPr>
      </w:pPr>
      <w:r>
        <w:rPr>
          <w:lang w:val="fr-FR"/>
        </w:rPr>
        <w:t>86.</w:t>
      </w:r>
      <w:r>
        <w:rPr>
          <w:lang w:val="fr-FR"/>
        </w:rPr>
        <w:tab/>
        <w:t>Outre ses travaux relatifs aux observations générales et aux déclarations mentionnées plus haut (voir par. 67 à 71 et 72 à 74), le Comité a continué de réfléchir aux questions qui ont des incidences sur ses travaux. Comme le temps de réunion officiel accordé au Comité ne lui permet que dans une mesure limitée de se consacrer à des débats de fond, les membres se sont aussi mis en rapport avec des partenaires afin d’obtenir leur appui pour mettre en place le cadre nécessaire à ces débats et en faciliter la tenue. Ils effectuent également des travaux de recherche sur des questions de fond par eux-mêmes, ou avec l’appui du Haut-Commissariat aux droits de l’homme, dont les capacités sont de plus en plus limitées.</w:t>
      </w:r>
      <w:bookmarkStart w:id="275" w:name="_Toc321313434"/>
    </w:p>
    <w:p w14:paraId="492AB37F" w14:textId="77777777" w:rsidR="00A02B4C" w:rsidRPr="007679BD" w:rsidRDefault="00A02B4C" w:rsidP="00A02B4C">
      <w:pPr>
        <w:pStyle w:val="HChG"/>
        <w:rPr>
          <w:lang w:val="fr-FR"/>
        </w:rPr>
      </w:pPr>
      <w:r>
        <w:rPr>
          <w:lang w:val="fr-FR"/>
        </w:rPr>
        <w:lastRenderedPageBreak/>
        <w:tab/>
      </w:r>
      <w:r>
        <w:rPr>
          <w:lang w:val="fr-FR"/>
        </w:rPr>
        <w:tab/>
      </w:r>
      <w:r>
        <w:rPr>
          <w:bCs/>
          <w:lang w:val="fr-FR"/>
        </w:rPr>
        <w:t>Chapitre VII</w:t>
      </w:r>
      <w:r>
        <w:rPr>
          <w:bCs/>
          <w:lang w:val="fr-FR"/>
        </w:rPr>
        <w:br/>
      </w:r>
      <w:bookmarkStart w:id="276" w:name="_Hlk63771093"/>
      <w:r>
        <w:rPr>
          <w:bCs/>
          <w:lang w:val="fr-FR"/>
        </w:rPr>
        <w:t>Autres décisions adoptées et questions traitées par le Comité à ses soixante-septième et soixante-huitième sessions</w:t>
      </w:r>
      <w:bookmarkStart w:id="277" w:name="_Toc419703782"/>
      <w:bookmarkStart w:id="278" w:name="_Toc470861828"/>
      <w:bookmarkStart w:id="279" w:name="_Toc504665048"/>
      <w:bookmarkStart w:id="280" w:name="_Toc532996356"/>
      <w:bookmarkStart w:id="281" w:name="_Toc536190882"/>
      <w:bookmarkStart w:id="282" w:name="_Toc536458167"/>
      <w:bookmarkStart w:id="283" w:name="_Toc31123799"/>
      <w:bookmarkStart w:id="284" w:name="_Toc63084563"/>
      <w:bookmarkEnd w:id="277"/>
      <w:bookmarkEnd w:id="278"/>
      <w:bookmarkEnd w:id="279"/>
      <w:bookmarkEnd w:id="280"/>
      <w:bookmarkEnd w:id="281"/>
      <w:bookmarkEnd w:id="282"/>
      <w:bookmarkEnd w:id="283"/>
      <w:bookmarkEnd w:id="284"/>
      <w:bookmarkEnd w:id="276"/>
    </w:p>
    <w:p w14:paraId="0634E83B" w14:textId="77777777" w:rsidR="00A02B4C" w:rsidRPr="007679BD" w:rsidRDefault="00A02B4C" w:rsidP="00A02B4C">
      <w:pPr>
        <w:pStyle w:val="H1G"/>
        <w:rPr>
          <w:lang w:val="fr-FR"/>
        </w:rPr>
      </w:pPr>
      <w:r>
        <w:rPr>
          <w:lang w:val="fr-FR"/>
        </w:rPr>
        <w:tab/>
        <w:t>A.</w:t>
      </w:r>
      <w:r>
        <w:rPr>
          <w:lang w:val="fr-FR"/>
        </w:rPr>
        <w:tab/>
      </w:r>
      <w:r>
        <w:rPr>
          <w:bCs/>
          <w:lang w:val="fr-FR"/>
        </w:rPr>
        <w:t>Participation à des réunions entre les sessions</w:t>
      </w:r>
      <w:bookmarkStart w:id="285" w:name="_Toc419703783"/>
      <w:bookmarkStart w:id="286" w:name="_Toc470861829"/>
      <w:bookmarkStart w:id="287" w:name="_Toc504665049"/>
      <w:bookmarkStart w:id="288" w:name="_Toc532996357"/>
      <w:bookmarkStart w:id="289" w:name="_Toc536190883"/>
      <w:bookmarkStart w:id="290" w:name="_Toc536458168"/>
      <w:bookmarkStart w:id="291" w:name="_Toc31123800"/>
      <w:bookmarkStart w:id="292" w:name="_Toc63084564"/>
      <w:bookmarkEnd w:id="285"/>
      <w:bookmarkEnd w:id="286"/>
      <w:bookmarkEnd w:id="287"/>
      <w:bookmarkEnd w:id="288"/>
      <w:bookmarkEnd w:id="289"/>
      <w:bookmarkEnd w:id="290"/>
      <w:bookmarkEnd w:id="291"/>
      <w:bookmarkEnd w:id="292"/>
    </w:p>
    <w:p w14:paraId="36BDD1C9" w14:textId="77777777" w:rsidR="00A02B4C" w:rsidRPr="007679BD" w:rsidRDefault="00A02B4C" w:rsidP="00A02B4C">
      <w:pPr>
        <w:pStyle w:val="SingleTxtG"/>
        <w:rPr>
          <w:lang w:val="fr-FR"/>
        </w:rPr>
      </w:pPr>
      <w:r>
        <w:rPr>
          <w:lang w:val="fr-FR"/>
        </w:rPr>
        <w:t>87.</w:t>
      </w:r>
      <w:r>
        <w:rPr>
          <w:lang w:val="fr-FR"/>
        </w:rPr>
        <w:tab/>
        <w:t>Les membres du Comité ont continué de participer ou de contribuer à différents titres aux initiatives que diverses parties prenantes avaient lancées dans le but de mieux comprendre et d’appliquer le Pacte. Les invitations à y participer sont adressées au Comité par l’intermédiaire du Président, soit aux membres directement, soit par l’intermédiaire du secrétariat.</w:t>
      </w:r>
    </w:p>
    <w:p w14:paraId="2B25E842" w14:textId="77777777" w:rsidR="00A02B4C" w:rsidRPr="007679BD" w:rsidRDefault="00A02B4C" w:rsidP="00A02B4C">
      <w:pPr>
        <w:pStyle w:val="H1G"/>
        <w:rPr>
          <w:lang w:val="fr-FR"/>
        </w:rPr>
      </w:pPr>
      <w:r>
        <w:rPr>
          <w:lang w:val="fr-FR"/>
        </w:rPr>
        <w:tab/>
        <w:t>B.</w:t>
      </w:r>
      <w:r>
        <w:rPr>
          <w:lang w:val="fr-FR"/>
        </w:rPr>
        <w:tab/>
      </w:r>
      <w:r>
        <w:rPr>
          <w:bCs/>
          <w:lang w:val="fr-FR"/>
        </w:rPr>
        <w:t>Observations générales à venir</w:t>
      </w:r>
      <w:bookmarkStart w:id="293" w:name="_Toc419703784"/>
      <w:bookmarkStart w:id="294" w:name="_Toc470861830"/>
      <w:bookmarkStart w:id="295" w:name="_Toc504665050"/>
      <w:bookmarkStart w:id="296" w:name="_Toc532996358"/>
      <w:bookmarkStart w:id="297" w:name="_Toc536190884"/>
      <w:bookmarkStart w:id="298" w:name="_Toc536458169"/>
      <w:bookmarkStart w:id="299" w:name="_Toc31123801"/>
      <w:bookmarkStart w:id="300" w:name="_Toc63084565"/>
      <w:bookmarkEnd w:id="293"/>
      <w:bookmarkEnd w:id="294"/>
      <w:bookmarkEnd w:id="295"/>
      <w:bookmarkEnd w:id="296"/>
      <w:bookmarkEnd w:id="297"/>
      <w:bookmarkEnd w:id="298"/>
      <w:bookmarkEnd w:id="299"/>
      <w:bookmarkEnd w:id="300"/>
    </w:p>
    <w:p w14:paraId="684BF674" w14:textId="77777777" w:rsidR="00A02B4C" w:rsidRPr="007679BD" w:rsidRDefault="00A02B4C" w:rsidP="00A02B4C">
      <w:pPr>
        <w:pStyle w:val="SingleTxtG"/>
        <w:rPr>
          <w:lang w:val="fr-FR"/>
        </w:rPr>
      </w:pPr>
      <w:r>
        <w:rPr>
          <w:lang w:val="fr-FR"/>
        </w:rPr>
        <w:t>88.</w:t>
      </w:r>
      <w:r>
        <w:rPr>
          <w:lang w:val="fr-FR"/>
        </w:rPr>
        <w:tab/>
        <w:t>Le Comité travaille sur deux observations générales : l’une sur les droits fonciers et le Pacte et l’autre sur le développement durable. Il a poursuivi ses travaux concernant ces projets à ses soixante-septième et soixante-huitième sessions.</w:t>
      </w:r>
    </w:p>
    <w:bookmarkEnd w:id="275"/>
    <w:p w14:paraId="453AAF1C" w14:textId="77777777" w:rsidR="00A02B4C" w:rsidRPr="007679BD" w:rsidRDefault="00A02B4C" w:rsidP="00A02B4C">
      <w:pPr>
        <w:pStyle w:val="H1G"/>
        <w:rPr>
          <w:lang w:val="fr-FR"/>
        </w:rPr>
      </w:pPr>
      <w:r>
        <w:rPr>
          <w:lang w:val="fr-FR"/>
        </w:rPr>
        <w:tab/>
      </w:r>
      <w:r w:rsidRPr="00BF558B">
        <w:rPr>
          <w:lang w:val="fr-FR"/>
        </w:rPr>
        <w:t>C.</w:t>
      </w:r>
      <w:r w:rsidRPr="00BF558B">
        <w:rPr>
          <w:lang w:val="fr-FR"/>
        </w:rPr>
        <w:tab/>
      </w:r>
      <w:r w:rsidRPr="00BF558B">
        <w:rPr>
          <w:bCs/>
          <w:lang w:val="fr-FR"/>
        </w:rPr>
        <w:t>Méthodes de travail du Comité</w:t>
      </w:r>
      <w:bookmarkStart w:id="301" w:name="_Toc321313441"/>
      <w:bookmarkStart w:id="302" w:name="_Toc419703785"/>
      <w:bookmarkStart w:id="303" w:name="_Toc470861831"/>
      <w:bookmarkStart w:id="304" w:name="_Toc504665051"/>
      <w:bookmarkStart w:id="305" w:name="_Toc532996359"/>
      <w:bookmarkStart w:id="306" w:name="_Toc536190885"/>
      <w:bookmarkStart w:id="307" w:name="_Toc536458170"/>
      <w:bookmarkStart w:id="308" w:name="_Toc31123802"/>
      <w:bookmarkStart w:id="309" w:name="_Toc63084566"/>
      <w:bookmarkEnd w:id="301"/>
      <w:bookmarkEnd w:id="302"/>
      <w:bookmarkEnd w:id="303"/>
      <w:bookmarkEnd w:id="304"/>
      <w:bookmarkEnd w:id="305"/>
      <w:bookmarkEnd w:id="306"/>
      <w:bookmarkEnd w:id="307"/>
      <w:bookmarkEnd w:id="308"/>
      <w:bookmarkEnd w:id="309"/>
    </w:p>
    <w:p w14:paraId="775C9F62" w14:textId="77777777" w:rsidR="00A02B4C" w:rsidRPr="007679BD" w:rsidRDefault="00A02B4C" w:rsidP="00A02B4C">
      <w:pPr>
        <w:pStyle w:val="SingleTxtG"/>
        <w:rPr>
          <w:lang w:val="fr-FR"/>
        </w:rPr>
      </w:pPr>
      <w:r>
        <w:rPr>
          <w:lang w:val="fr-FR"/>
        </w:rPr>
        <w:t>89.</w:t>
      </w:r>
      <w:r>
        <w:rPr>
          <w:lang w:val="fr-FR"/>
        </w:rPr>
        <w:tab/>
        <w:t xml:space="preserve">À sa soixante-septième session, le Comité a poursuivi l’examen de plusieurs aspects de ses méthodes de travail. Comme indiqué aux paragraphes 20 à 22 ci-dessus, le Comité a décidé de mettre en place un cycle d’examen prévisible de huit ans et de généraliser l’utilisation de la procédure simplifiée de présentation des rapports pour les États qui souhaitent s’en prévaloir. Cette décision était fondée sur la nécessité de collaborer avec tous les États parties au Pacte et de contribuer davantage à la promotion et à la protection des droits économiques, sociaux et culturels au niveau mondial. Pour parvenir à cette décision, le Comité s’est inspiré des discussions relatives à la révision du système des organes conventionnels en 2020, notamment compte tenu de la résolution </w:t>
      </w:r>
      <w:hyperlink r:id="rId84" w:history="1">
        <w:r w:rsidRPr="00915D81">
          <w:rPr>
            <w:rStyle w:val="Lienhypertexte"/>
            <w:lang w:val="fr-FR"/>
          </w:rPr>
          <w:t>68/268</w:t>
        </w:r>
      </w:hyperlink>
      <w:r>
        <w:rPr>
          <w:lang w:val="fr-FR"/>
        </w:rPr>
        <w:t xml:space="preserve"> de l’Assemblée générale sur le renforcement et l’amélioration du fonctionnement de l’ensemble des organes conventionnels des droits de l’homme, de la façon de voir des présidents des organes conventionnels et des vues exprimées par les États et d’autres parties prenantes.</w:t>
      </w:r>
    </w:p>
    <w:p w14:paraId="375B671E" w14:textId="77777777" w:rsidR="00A02B4C" w:rsidRPr="007679BD" w:rsidRDefault="00A02B4C" w:rsidP="00A02B4C">
      <w:pPr>
        <w:pStyle w:val="SingleTxtG"/>
        <w:rPr>
          <w:lang w:val="fr-FR"/>
        </w:rPr>
      </w:pPr>
      <w:r>
        <w:rPr>
          <w:lang w:val="fr-FR"/>
        </w:rPr>
        <w:t>90.</w:t>
      </w:r>
      <w:r>
        <w:rPr>
          <w:lang w:val="fr-FR"/>
        </w:rPr>
        <w:tab/>
        <w:t>À sa soixante-huitième session, le Comité a arrêté une méthode à suivre pour l’adoption des listes de points à traiter avant la soumission des rapports. Ce faisant, le Comité a bénéficié de l’expérience d’autres organes conventionnels, en particulier du Comité des droits de l’homme, avec lesquels il a échangé des vues et envisagé des démarches communes dans la mesure du possible.</w:t>
      </w:r>
    </w:p>
    <w:p w14:paraId="488FAEC2" w14:textId="77777777" w:rsidR="00A02B4C" w:rsidRPr="007679BD" w:rsidRDefault="00A02B4C" w:rsidP="00A02B4C">
      <w:pPr>
        <w:pStyle w:val="SingleTxtG"/>
        <w:rPr>
          <w:lang w:val="fr-FR"/>
        </w:rPr>
      </w:pPr>
      <w:r>
        <w:rPr>
          <w:lang w:val="fr-FR"/>
        </w:rPr>
        <w:t>91.</w:t>
      </w:r>
      <w:r>
        <w:rPr>
          <w:lang w:val="fr-FR"/>
        </w:rPr>
        <w:tab/>
        <w:t>À cet égard, le Comité et le Comité des droits de l’homme ont décidé de se concerter, à titre expérimental, pour l’élaboration des listes de points concernant un même pays. Une telle concertation devrait contribuer à réduire les chevauchements et les répétitions inutiles dans les rapports des États parties et les observations finales, ainsi qu’à mieux orienter le dialogue constructif avec les États parties. Les membres des deux organes conventionnels ont tenu des échanges à cette fin en mars 2020.</w:t>
      </w:r>
    </w:p>
    <w:p w14:paraId="4B301F8B" w14:textId="77777777" w:rsidR="00A02B4C" w:rsidRPr="007679BD" w:rsidRDefault="00A02B4C" w:rsidP="00A02B4C">
      <w:pPr>
        <w:pStyle w:val="SingleTxtG"/>
        <w:rPr>
          <w:lang w:val="fr-FR"/>
        </w:rPr>
      </w:pPr>
      <w:r>
        <w:rPr>
          <w:lang w:val="fr-FR"/>
        </w:rPr>
        <w:t>92.</w:t>
      </w:r>
      <w:r>
        <w:rPr>
          <w:lang w:val="fr-FR"/>
        </w:rPr>
        <w:tab/>
        <w:t>À ses soixante-septième et soixante-huitième sessions, le Comité a consacré du temps à l’examen de la question de la révision du système des organes conventionnels en 2020, y compris le rapport des cofacilitateurs</w:t>
      </w:r>
      <w:r w:rsidRPr="0031089E">
        <w:rPr>
          <w:rStyle w:val="Appelnotedebasdep"/>
          <w:lang w:val="fr-FR"/>
        </w:rPr>
        <w:footnoteReference w:id="9"/>
      </w:r>
      <w:r>
        <w:rPr>
          <w:lang w:val="fr-FR"/>
        </w:rPr>
        <w:t>.</w:t>
      </w:r>
    </w:p>
    <w:p w14:paraId="1036F3E3" w14:textId="77777777" w:rsidR="00A02B4C" w:rsidRPr="007679BD" w:rsidRDefault="00A02B4C" w:rsidP="00A02B4C">
      <w:pPr>
        <w:pStyle w:val="HChG"/>
        <w:rPr>
          <w:lang w:val="fr-FR"/>
        </w:rPr>
      </w:pPr>
      <w:r>
        <w:rPr>
          <w:lang w:val="fr-FR"/>
        </w:rPr>
        <w:lastRenderedPageBreak/>
        <w:tab/>
      </w:r>
      <w:r>
        <w:rPr>
          <w:lang w:val="fr-FR"/>
        </w:rPr>
        <w:tab/>
      </w:r>
      <w:r>
        <w:rPr>
          <w:bCs/>
          <w:lang w:val="fr-FR"/>
        </w:rPr>
        <w:t>Chapitre VIII</w:t>
      </w:r>
      <w:r>
        <w:rPr>
          <w:bCs/>
          <w:lang w:val="fr-FR"/>
        </w:rPr>
        <w:br/>
      </w:r>
      <w:bookmarkStart w:id="310" w:name="_Hlk63771142"/>
      <w:r>
        <w:rPr>
          <w:bCs/>
          <w:lang w:val="fr-FR"/>
        </w:rPr>
        <w:t>Autres activités du Comité en 2020</w:t>
      </w:r>
      <w:bookmarkStart w:id="311" w:name="_Toc321313442"/>
      <w:bookmarkStart w:id="312" w:name="_Toc419703786"/>
      <w:bookmarkStart w:id="313" w:name="_Toc470861832"/>
      <w:bookmarkStart w:id="314" w:name="_Toc504665052"/>
      <w:bookmarkStart w:id="315" w:name="_Toc532996361"/>
      <w:bookmarkStart w:id="316" w:name="_Toc536190887"/>
      <w:bookmarkStart w:id="317" w:name="_Toc536458172"/>
      <w:bookmarkStart w:id="318" w:name="_Toc31123803"/>
      <w:bookmarkStart w:id="319" w:name="_Toc63084567"/>
      <w:bookmarkEnd w:id="311"/>
      <w:bookmarkEnd w:id="312"/>
      <w:bookmarkEnd w:id="313"/>
      <w:bookmarkEnd w:id="314"/>
      <w:bookmarkEnd w:id="315"/>
      <w:bookmarkEnd w:id="316"/>
      <w:bookmarkEnd w:id="317"/>
      <w:bookmarkEnd w:id="318"/>
      <w:bookmarkEnd w:id="319"/>
      <w:bookmarkEnd w:id="310"/>
    </w:p>
    <w:p w14:paraId="2736FD85" w14:textId="77777777" w:rsidR="00A02B4C" w:rsidRPr="007679BD" w:rsidRDefault="00A02B4C" w:rsidP="00A02B4C">
      <w:pPr>
        <w:pStyle w:val="SingleTxtG"/>
        <w:rPr>
          <w:lang w:val="fr-FR"/>
        </w:rPr>
      </w:pPr>
      <w:r>
        <w:rPr>
          <w:lang w:val="fr-FR"/>
        </w:rPr>
        <w:t>93.</w:t>
      </w:r>
      <w:r>
        <w:rPr>
          <w:lang w:val="fr-FR"/>
        </w:rPr>
        <w:tab/>
        <w:t>Les membres du Comité ont participé à des activités organisées en marge des sessions et entre les sessions. Ces activités étaient souvent organisées à l’initiative des membres eux-mêmes ou de diverses parties prenantes, notamment des États, des institutions nationales des droits de l’homme, des organisations non gouvernementales et des universités.</w:t>
      </w:r>
    </w:p>
    <w:p w14:paraId="03A897AF" w14:textId="77777777" w:rsidR="00A02B4C" w:rsidRPr="007679BD" w:rsidRDefault="00A02B4C" w:rsidP="00A02B4C">
      <w:pPr>
        <w:pStyle w:val="HChG"/>
        <w:rPr>
          <w:lang w:val="fr-FR"/>
        </w:rPr>
      </w:pPr>
      <w:r>
        <w:rPr>
          <w:lang w:val="fr-FR"/>
        </w:rPr>
        <w:tab/>
      </w:r>
      <w:r>
        <w:rPr>
          <w:lang w:val="fr-FR"/>
        </w:rPr>
        <w:tab/>
      </w:r>
      <w:r>
        <w:rPr>
          <w:bCs/>
          <w:lang w:val="fr-FR"/>
        </w:rPr>
        <w:t>Chapitre IX</w:t>
      </w:r>
      <w:r>
        <w:rPr>
          <w:bCs/>
          <w:lang w:val="fr-FR"/>
        </w:rPr>
        <w:br/>
        <w:t>Adoption du rapport</w:t>
      </w:r>
      <w:bookmarkStart w:id="320" w:name="_Toc321313444"/>
      <w:bookmarkStart w:id="321" w:name="_Toc419703787"/>
      <w:bookmarkStart w:id="322" w:name="_Toc470861833"/>
      <w:bookmarkStart w:id="323" w:name="_Toc504665053"/>
      <w:bookmarkStart w:id="324" w:name="_Toc532996362"/>
      <w:bookmarkStart w:id="325" w:name="_Toc536190888"/>
      <w:bookmarkStart w:id="326" w:name="_Toc536458173"/>
      <w:bookmarkStart w:id="327" w:name="_Toc31123804"/>
      <w:bookmarkStart w:id="328" w:name="_Toc63084568"/>
      <w:bookmarkEnd w:id="320"/>
      <w:bookmarkEnd w:id="321"/>
      <w:bookmarkEnd w:id="322"/>
      <w:bookmarkEnd w:id="323"/>
      <w:bookmarkEnd w:id="324"/>
      <w:bookmarkEnd w:id="325"/>
      <w:bookmarkEnd w:id="326"/>
      <w:bookmarkEnd w:id="327"/>
      <w:bookmarkEnd w:id="328"/>
    </w:p>
    <w:p w14:paraId="75CFC92C" w14:textId="77777777" w:rsidR="00A02B4C" w:rsidRPr="007679BD" w:rsidRDefault="00A02B4C" w:rsidP="00A02B4C">
      <w:pPr>
        <w:pStyle w:val="SingleTxtG"/>
        <w:rPr>
          <w:lang w:val="fr-FR"/>
        </w:rPr>
      </w:pPr>
      <w:r>
        <w:rPr>
          <w:lang w:val="fr-FR"/>
        </w:rPr>
        <w:t>94.</w:t>
      </w:r>
      <w:r>
        <w:rPr>
          <w:lang w:val="fr-FR"/>
        </w:rPr>
        <w:tab/>
        <w:t>À sa 51</w:t>
      </w:r>
      <w:r w:rsidRPr="00676D14">
        <w:rPr>
          <w:vertAlign w:val="superscript"/>
          <w:lang w:val="fr-FR"/>
        </w:rPr>
        <w:t>e</w:t>
      </w:r>
      <w:r>
        <w:rPr>
          <w:lang w:val="fr-FR"/>
        </w:rPr>
        <w:t xml:space="preserve"> séance, le 16 octobre 2020, le Comité a examiné le projet de rapport au Conseil économique et social sur les travaux de ses soixante-septième et soixante-huitième sessions. Il a adopté son rapport tel que modifié au cours du débat.</w:t>
      </w:r>
    </w:p>
    <w:p w14:paraId="3F658A74" w14:textId="77777777" w:rsidR="00A02B4C" w:rsidRPr="00EF151C" w:rsidRDefault="00A02B4C" w:rsidP="00A02B4C">
      <w:pPr>
        <w:pStyle w:val="HChG"/>
      </w:pPr>
      <w:r>
        <w:rPr>
          <w:lang w:val="fr-FR"/>
        </w:rPr>
        <w:br w:type="page"/>
      </w:r>
      <w:bookmarkStart w:id="329" w:name="_Toc504665067"/>
      <w:bookmarkStart w:id="330" w:name="_Toc536190899"/>
      <w:bookmarkStart w:id="331" w:name="_Toc536458184"/>
      <w:bookmarkStart w:id="332" w:name="_Toc31123810"/>
      <w:bookmarkStart w:id="333" w:name="_Toc419703790"/>
      <w:bookmarkStart w:id="334" w:name="_Toc470861835"/>
      <w:r>
        <w:rPr>
          <w:lang w:val="fr-FR"/>
        </w:rPr>
        <w:lastRenderedPageBreak/>
        <w:t>Annexe</w:t>
      </w:r>
      <w:bookmarkEnd w:id="329"/>
      <w:bookmarkEnd w:id="330"/>
      <w:bookmarkEnd w:id="331"/>
      <w:bookmarkEnd w:id="332"/>
    </w:p>
    <w:p w14:paraId="357D6C84" w14:textId="77777777" w:rsidR="00A02B4C" w:rsidRDefault="00A02B4C" w:rsidP="00A02B4C">
      <w:pPr>
        <w:pStyle w:val="HChG"/>
        <w:rPr>
          <w:bCs/>
          <w:lang w:val="fr-FR"/>
        </w:rPr>
      </w:pPr>
      <w:r>
        <w:rPr>
          <w:lang w:val="fr-FR"/>
        </w:rPr>
        <w:tab/>
      </w:r>
      <w:r>
        <w:rPr>
          <w:lang w:val="fr-FR"/>
        </w:rPr>
        <w:tab/>
      </w:r>
      <w:r>
        <w:rPr>
          <w:bCs/>
          <w:lang w:val="fr-FR"/>
        </w:rPr>
        <w:t>Membres du Comité</w:t>
      </w:r>
      <w:bookmarkStart w:id="335" w:name="_Toc504665068"/>
      <w:bookmarkStart w:id="336" w:name="_Toc536190900"/>
      <w:bookmarkStart w:id="337" w:name="_Toc536458185"/>
      <w:bookmarkStart w:id="338" w:name="_Toc31123811"/>
      <w:bookmarkEnd w:id="333"/>
      <w:bookmarkEnd w:id="334"/>
      <w:bookmarkEnd w:id="335"/>
      <w:bookmarkEnd w:id="336"/>
      <w:bookmarkEnd w:id="337"/>
      <w:bookmarkEnd w:id="338"/>
    </w:p>
    <w:tbl>
      <w:tblPr>
        <w:tblW w:w="7370" w:type="dxa"/>
        <w:tblInd w:w="1134" w:type="dxa"/>
        <w:tblLayout w:type="fixed"/>
        <w:tblCellMar>
          <w:left w:w="0" w:type="dxa"/>
          <w:right w:w="0" w:type="dxa"/>
        </w:tblCellMar>
        <w:tblLook w:val="01E0" w:firstRow="1" w:lastRow="1" w:firstColumn="1" w:lastColumn="1" w:noHBand="0" w:noVBand="0"/>
      </w:tblPr>
      <w:tblGrid>
        <w:gridCol w:w="4200"/>
        <w:gridCol w:w="1875"/>
        <w:gridCol w:w="1295"/>
      </w:tblGrid>
      <w:tr w:rsidR="00A02B4C" w:rsidRPr="00C70EE5" w14:paraId="07413B5B" w14:textId="77777777" w:rsidTr="00E6322D">
        <w:trPr>
          <w:tblHeader/>
        </w:trPr>
        <w:tc>
          <w:tcPr>
            <w:tcW w:w="4200" w:type="dxa"/>
            <w:tcBorders>
              <w:top w:val="single" w:sz="4" w:space="0" w:color="auto"/>
              <w:bottom w:val="single" w:sz="12" w:space="0" w:color="auto"/>
            </w:tcBorders>
            <w:shd w:val="clear" w:color="auto" w:fill="auto"/>
            <w:vAlign w:val="bottom"/>
          </w:tcPr>
          <w:p w14:paraId="27B8DEC5" w14:textId="77777777" w:rsidR="00A02B4C" w:rsidRPr="00C70EE5" w:rsidRDefault="00A02B4C" w:rsidP="003836D7">
            <w:pPr>
              <w:spacing w:before="80" w:after="80" w:line="200" w:lineRule="exact"/>
              <w:ind w:right="113"/>
              <w:rPr>
                <w:i/>
                <w:sz w:val="16"/>
              </w:rPr>
            </w:pPr>
            <w:r w:rsidRPr="00C70EE5">
              <w:rPr>
                <w:i/>
                <w:sz w:val="16"/>
                <w:lang w:val="fr-FR"/>
              </w:rPr>
              <w:t xml:space="preserve">Nom </w:t>
            </w:r>
          </w:p>
        </w:tc>
        <w:tc>
          <w:tcPr>
            <w:tcW w:w="1875" w:type="dxa"/>
            <w:tcBorders>
              <w:top w:val="single" w:sz="4" w:space="0" w:color="auto"/>
              <w:bottom w:val="single" w:sz="12" w:space="0" w:color="auto"/>
            </w:tcBorders>
            <w:shd w:val="clear" w:color="auto" w:fill="auto"/>
            <w:vAlign w:val="bottom"/>
          </w:tcPr>
          <w:p w14:paraId="7A46E4BC" w14:textId="77777777" w:rsidR="00A02B4C" w:rsidRPr="00C70EE5" w:rsidRDefault="00A02B4C" w:rsidP="003836D7">
            <w:pPr>
              <w:spacing w:before="80" w:after="80" w:line="200" w:lineRule="exact"/>
              <w:ind w:right="113"/>
              <w:rPr>
                <w:i/>
                <w:sz w:val="16"/>
              </w:rPr>
            </w:pPr>
            <w:r w:rsidRPr="00C70EE5">
              <w:rPr>
                <w:i/>
                <w:sz w:val="16"/>
                <w:lang w:val="fr-FR"/>
              </w:rPr>
              <w:t xml:space="preserve">Nationalité </w:t>
            </w:r>
          </w:p>
        </w:tc>
        <w:tc>
          <w:tcPr>
            <w:tcW w:w="1295" w:type="dxa"/>
            <w:tcBorders>
              <w:top w:val="single" w:sz="4" w:space="0" w:color="auto"/>
              <w:bottom w:val="single" w:sz="12" w:space="0" w:color="auto"/>
            </w:tcBorders>
            <w:shd w:val="clear" w:color="auto" w:fill="auto"/>
            <w:vAlign w:val="bottom"/>
          </w:tcPr>
          <w:p w14:paraId="0CC1F0D8" w14:textId="77777777" w:rsidR="00A02B4C" w:rsidRPr="00C70EE5" w:rsidRDefault="00A02B4C" w:rsidP="003836D7">
            <w:pPr>
              <w:spacing w:before="80" w:after="80" w:line="200" w:lineRule="exact"/>
              <w:ind w:right="113"/>
              <w:rPr>
                <w:i/>
                <w:sz w:val="16"/>
              </w:rPr>
            </w:pPr>
            <w:r w:rsidRPr="00C70EE5">
              <w:rPr>
                <w:i/>
                <w:sz w:val="16"/>
                <w:lang w:val="fr-FR"/>
              </w:rPr>
              <w:t>Mandat expirant le 31 décembre</w:t>
            </w:r>
          </w:p>
        </w:tc>
      </w:tr>
      <w:tr w:rsidR="00A02B4C" w:rsidRPr="00C70EE5" w14:paraId="6E1C5AAA" w14:textId="77777777" w:rsidTr="00E6322D">
        <w:trPr>
          <w:trHeight w:hRule="exact" w:val="113"/>
          <w:tblHeader/>
        </w:trPr>
        <w:tc>
          <w:tcPr>
            <w:tcW w:w="4200" w:type="dxa"/>
            <w:tcBorders>
              <w:top w:val="single" w:sz="12" w:space="0" w:color="auto"/>
            </w:tcBorders>
            <w:shd w:val="clear" w:color="auto" w:fill="auto"/>
          </w:tcPr>
          <w:p w14:paraId="6C8EBDF7" w14:textId="77777777" w:rsidR="00A02B4C" w:rsidRPr="00C70EE5" w:rsidRDefault="00A02B4C" w:rsidP="003836D7">
            <w:pPr>
              <w:spacing w:before="40" w:after="120"/>
              <w:ind w:right="113"/>
              <w:rPr>
                <w:lang w:val="fr-FR"/>
              </w:rPr>
            </w:pPr>
          </w:p>
        </w:tc>
        <w:tc>
          <w:tcPr>
            <w:tcW w:w="1875" w:type="dxa"/>
            <w:tcBorders>
              <w:top w:val="single" w:sz="12" w:space="0" w:color="auto"/>
            </w:tcBorders>
            <w:shd w:val="clear" w:color="auto" w:fill="auto"/>
          </w:tcPr>
          <w:p w14:paraId="3B1A9781" w14:textId="77777777" w:rsidR="00A02B4C" w:rsidRPr="00C70EE5" w:rsidRDefault="00A02B4C" w:rsidP="003836D7">
            <w:pPr>
              <w:spacing w:before="40" w:after="120"/>
              <w:ind w:right="113"/>
              <w:rPr>
                <w:lang w:val="fr-FR"/>
              </w:rPr>
            </w:pPr>
          </w:p>
        </w:tc>
        <w:tc>
          <w:tcPr>
            <w:tcW w:w="1295" w:type="dxa"/>
            <w:tcBorders>
              <w:top w:val="single" w:sz="12" w:space="0" w:color="auto"/>
            </w:tcBorders>
            <w:shd w:val="clear" w:color="auto" w:fill="auto"/>
          </w:tcPr>
          <w:p w14:paraId="06330390" w14:textId="77777777" w:rsidR="00A02B4C" w:rsidRPr="00C70EE5" w:rsidRDefault="00A02B4C" w:rsidP="003836D7">
            <w:pPr>
              <w:spacing w:before="40" w:after="120"/>
              <w:ind w:right="113"/>
              <w:rPr>
                <w:lang w:val="fr-FR"/>
              </w:rPr>
            </w:pPr>
          </w:p>
        </w:tc>
      </w:tr>
      <w:tr w:rsidR="00A02B4C" w:rsidRPr="00C70EE5" w14:paraId="1F991C36" w14:textId="77777777" w:rsidTr="00E6322D">
        <w:trPr>
          <w:tblHeader/>
        </w:trPr>
        <w:tc>
          <w:tcPr>
            <w:tcW w:w="4200" w:type="dxa"/>
            <w:shd w:val="clear" w:color="auto" w:fill="auto"/>
          </w:tcPr>
          <w:p w14:paraId="50CF242B" w14:textId="77777777" w:rsidR="00A02B4C" w:rsidRPr="00C70EE5" w:rsidRDefault="00A02B4C" w:rsidP="003836D7">
            <w:pPr>
              <w:spacing w:before="40" w:after="120"/>
              <w:ind w:right="113"/>
            </w:pPr>
            <w:r w:rsidRPr="00C70EE5">
              <w:rPr>
                <w:lang w:val="fr-FR"/>
              </w:rPr>
              <w:t xml:space="preserve">Aslan </w:t>
            </w:r>
            <w:r w:rsidRPr="00C70EE5">
              <w:rPr>
                <w:b/>
                <w:bCs/>
                <w:lang w:val="fr-FR"/>
              </w:rPr>
              <w:t>Abashidze</w:t>
            </w:r>
          </w:p>
        </w:tc>
        <w:tc>
          <w:tcPr>
            <w:tcW w:w="1875" w:type="dxa"/>
            <w:shd w:val="clear" w:color="auto" w:fill="auto"/>
          </w:tcPr>
          <w:p w14:paraId="35AB5B91" w14:textId="77777777" w:rsidR="00A02B4C" w:rsidRPr="00C70EE5" w:rsidRDefault="00A02B4C" w:rsidP="003836D7">
            <w:pPr>
              <w:spacing w:before="40" w:after="120"/>
              <w:ind w:right="113"/>
            </w:pPr>
            <w:r w:rsidRPr="00C70EE5">
              <w:rPr>
                <w:lang w:val="fr-FR"/>
              </w:rPr>
              <w:t>Fédération de Russie</w:t>
            </w:r>
          </w:p>
        </w:tc>
        <w:tc>
          <w:tcPr>
            <w:tcW w:w="1295" w:type="dxa"/>
            <w:shd w:val="clear" w:color="auto" w:fill="auto"/>
          </w:tcPr>
          <w:p w14:paraId="09E48A45" w14:textId="77777777" w:rsidR="00A02B4C" w:rsidRPr="00C70EE5" w:rsidRDefault="00A02B4C" w:rsidP="003836D7">
            <w:pPr>
              <w:spacing w:before="40" w:after="120"/>
              <w:ind w:right="113"/>
            </w:pPr>
            <w:r w:rsidRPr="00C70EE5">
              <w:rPr>
                <w:lang w:val="fr-FR"/>
              </w:rPr>
              <w:t>2022</w:t>
            </w:r>
          </w:p>
        </w:tc>
      </w:tr>
      <w:tr w:rsidR="00A02B4C" w:rsidRPr="00C70EE5" w14:paraId="473632BD" w14:textId="77777777" w:rsidTr="00E6322D">
        <w:trPr>
          <w:tblHeader/>
        </w:trPr>
        <w:tc>
          <w:tcPr>
            <w:tcW w:w="4200" w:type="dxa"/>
            <w:shd w:val="clear" w:color="auto" w:fill="auto"/>
          </w:tcPr>
          <w:p w14:paraId="4FDBFE5C" w14:textId="77777777" w:rsidR="00A02B4C" w:rsidRPr="00C70EE5" w:rsidRDefault="00A02B4C" w:rsidP="003836D7">
            <w:pPr>
              <w:spacing w:before="40" w:after="120"/>
              <w:ind w:right="113"/>
            </w:pPr>
            <w:r w:rsidRPr="00C70EE5">
              <w:rPr>
                <w:lang w:val="fr-FR"/>
              </w:rPr>
              <w:t xml:space="preserve">Mohamed Ezzeldin </w:t>
            </w:r>
            <w:r w:rsidRPr="00C70EE5">
              <w:rPr>
                <w:b/>
                <w:bCs/>
                <w:lang w:val="fr-FR"/>
              </w:rPr>
              <w:t>Abdel-Moneim</w:t>
            </w:r>
            <w:r w:rsidRPr="00C70EE5">
              <w:rPr>
                <w:i/>
                <w:iCs/>
                <w:sz w:val="18"/>
                <w:szCs w:val="18"/>
                <w:vertAlign w:val="superscript"/>
              </w:rPr>
              <w:t>a</w:t>
            </w:r>
            <w:r w:rsidRPr="00C70EE5">
              <w:rPr>
                <w:lang w:val="fr-FR"/>
              </w:rPr>
              <w:t xml:space="preserve"> </w:t>
            </w:r>
          </w:p>
        </w:tc>
        <w:tc>
          <w:tcPr>
            <w:tcW w:w="1875" w:type="dxa"/>
            <w:shd w:val="clear" w:color="auto" w:fill="auto"/>
          </w:tcPr>
          <w:p w14:paraId="45B9F8D9" w14:textId="77777777" w:rsidR="00A02B4C" w:rsidRPr="00C70EE5" w:rsidRDefault="00A02B4C" w:rsidP="003836D7">
            <w:pPr>
              <w:spacing w:before="40" w:after="120"/>
              <w:ind w:right="113"/>
            </w:pPr>
            <w:r w:rsidRPr="00C70EE5">
              <w:rPr>
                <w:lang w:val="fr-FR"/>
              </w:rPr>
              <w:t>Égypte</w:t>
            </w:r>
          </w:p>
        </w:tc>
        <w:tc>
          <w:tcPr>
            <w:tcW w:w="1295" w:type="dxa"/>
            <w:shd w:val="clear" w:color="auto" w:fill="auto"/>
          </w:tcPr>
          <w:p w14:paraId="0A8C661E" w14:textId="77777777" w:rsidR="00A02B4C" w:rsidRPr="00C70EE5" w:rsidRDefault="00A02B4C" w:rsidP="003836D7">
            <w:pPr>
              <w:spacing w:before="40" w:after="120"/>
              <w:ind w:right="113"/>
            </w:pPr>
            <w:r w:rsidRPr="00C70EE5">
              <w:rPr>
                <w:lang w:val="fr-FR"/>
              </w:rPr>
              <w:t>2020</w:t>
            </w:r>
          </w:p>
        </w:tc>
      </w:tr>
      <w:tr w:rsidR="00A02B4C" w:rsidRPr="00C70EE5" w14:paraId="1D2C5FEB" w14:textId="77777777" w:rsidTr="00E6322D">
        <w:trPr>
          <w:tblHeader/>
        </w:trPr>
        <w:tc>
          <w:tcPr>
            <w:tcW w:w="4200" w:type="dxa"/>
            <w:shd w:val="clear" w:color="auto" w:fill="auto"/>
          </w:tcPr>
          <w:p w14:paraId="05454C17" w14:textId="77777777" w:rsidR="00A02B4C" w:rsidRPr="00C70EE5" w:rsidRDefault="00A02B4C" w:rsidP="003836D7">
            <w:pPr>
              <w:spacing w:before="40" w:after="120"/>
              <w:ind w:right="113"/>
            </w:pPr>
            <w:r w:rsidRPr="00C70EE5">
              <w:rPr>
                <w:lang w:val="fr-FR"/>
              </w:rPr>
              <w:t xml:space="preserve">Asraf Ally </w:t>
            </w:r>
            <w:r w:rsidRPr="00C70EE5">
              <w:rPr>
                <w:b/>
                <w:bCs/>
                <w:lang w:val="fr-FR"/>
              </w:rPr>
              <w:t>Caunhye</w:t>
            </w:r>
          </w:p>
        </w:tc>
        <w:tc>
          <w:tcPr>
            <w:tcW w:w="1875" w:type="dxa"/>
            <w:shd w:val="clear" w:color="auto" w:fill="auto"/>
          </w:tcPr>
          <w:p w14:paraId="4E84B026" w14:textId="77777777" w:rsidR="00A02B4C" w:rsidRPr="00C70EE5" w:rsidRDefault="00A02B4C" w:rsidP="003836D7">
            <w:pPr>
              <w:spacing w:before="40" w:after="120"/>
              <w:ind w:right="113"/>
            </w:pPr>
            <w:r w:rsidRPr="00C70EE5">
              <w:rPr>
                <w:lang w:val="fr-FR"/>
              </w:rPr>
              <w:t>Maurice</w:t>
            </w:r>
          </w:p>
        </w:tc>
        <w:tc>
          <w:tcPr>
            <w:tcW w:w="1295" w:type="dxa"/>
            <w:shd w:val="clear" w:color="auto" w:fill="auto"/>
          </w:tcPr>
          <w:p w14:paraId="53667892" w14:textId="77777777" w:rsidR="00A02B4C" w:rsidRPr="00C70EE5" w:rsidRDefault="00A02B4C" w:rsidP="003836D7">
            <w:pPr>
              <w:spacing w:before="40" w:after="120"/>
              <w:ind w:right="113"/>
            </w:pPr>
            <w:r w:rsidRPr="00C70EE5">
              <w:rPr>
                <w:lang w:val="fr-FR"/>
              </w:rPr>
              <w:t>2022</w:t>
            </w:r>
          </w:p>
        </w:tc>
      </w:tr>
      <w:tr w:rsidR="00A02B4C" w:rsidRPr="00C70EE5" w14:paraId="2CCEE199" w14:textId="77777777" w:rsidTr="00E6322D">
        <w:trPr>
          <w:tblHeader/>
        </w:trPr>
        <w:tc>
          <w:tcPr>
            <w:tcW w:w="4200" w:type="dxa"/>
            <w:shd w:val="clear" w:color="auto" w:fill="auto"/>
          </w:tcPr>
          <w:p w14:paraId="4A687CE8" w14:textId="77777777" w:rsidR="00A02B4C" w:rsidRPr="00C70EE5" w:rsidRDefault="00A02B4C" w:rsidP="003836D7">
            <w:pPr>
              <w:spacing w:before="40" w:after="120"/>
              <w:ind w:right="113"/>
            </w:pPr>
            <w:r w:rsidRPr="00C70EE5">
              <w:rPr>
                <w:lang w:val="fr-FR"/>
              </w:rPr>
              <w:t xml:space="preserve">Shiqiu </w:t>
            </w:r>
            <w:r w:rsidRPr="00C70EE5">
              <w:rPr>
                <w:b/>
                <w:bCs/>
                <w:lang w:val="fr-FR"/>
              </w:rPr>
              <w:t>Chen</w:t>
            </w:r>
            <w:r w:rsidRPr="00C70EE5">
              <w:rPr>
                <w:lang w:val="fr-FR"/>
              </w:rPr>
              <w:t xml:space="preserve"> (Vice-Président)</w:t>
            </w:r>
          </w:p>
        </w:tc>
        <w:tc>
          <w:tcPr>
            <w:tcW w:w="1875" w:type="dxa"/>
            <w:shd w:val="clear" w:color="auto" w:fill="auto"/>
          </w:tcPr>
          <w:p w14:paraId="258CB583" w14:textId="77777777" w:rsidR="00A02B4C" w:rsidRPr="00C70EE5" w:rsidRDefault="00A02B4C" w:rsidP="003836D7">
            <w:pPr>
              <w:spacing w:before="40" w:after="120"/>
              <w:ind w:right="113"/>
            </w:pPr>
            <w:r w:rsidRPr="00C70EE5">
              <w:rPr>
                <w:lang w:val="fr-FR"/>
              </w:rPr>
              <w:t>Chine</w:t>
            </w:r>
          </w:p>
        </w:tc>
        <w:tc>
          <w:tcPr>
            <w:tcW w:w="1295" w:type="dxa"/>
            <w:shd w:val="clear" w:color="auto" w:fill="auto"/>
          </w:tcPr>
          <w:p w14:paraId="221C2547" w14:textId="77777777" w:rsidR="00A02B4C" w:rsidRPr="00C70EE5" w:rsidRDefault="00A02B4C" w:rsidP="003836D7">
            <w:pPr>
              <w:spacing w:before="40" w:after="120"/>
              <w:ind w:right="113"/>
            </w:pPr>
            <w:r w:rsidRPr="00C70EE5">
              <w:rPr>
                <w:lang w:val="fr-FR"/>
              </w:rPr>
              <w:t>2020</w:t>
            </w:r>
          </w:p>
        </w:tc>
      </w:tr>
      <w:tr w:rsidR="00A02B4C" w:rsidRPr="00C70EE5" w14:paraId="4B35ECC0" w14:textId="77777777" w:rsidTr="00E6322D">
        <w:trPr>
          <w:tblHeader/>
        </w:trPr>
        <w:tc>
          <w:tcPr>
            <w:tcW w:w="4200" w:type="dxa"/>
            <w:shd w:val="clear" w:color="auto" w:fill="auto"/>
          </w:tcPr>
          <w:p w14:paraId="17B16507" w14:textId="77777777" w:rsidR="00A02B4C" w:rsidRPr="00C70EE5" w:rsidRDefault="00A02B4C" w:rsidP="003836D7">
            <w:pPr>
              <w:spacing w:before="40" w:after="120"/>
              <w:ind w:right="113"/>
              <w:rPr>
                <w:lang w:val="fr-FR"/>
              </w:rPr>
            </w:pPr>
            <w:r w:rsidRPr="00C70EE5">
              <w:rPr>
                <w:lang w:val="fr-FR"/>
              </w:rPr>
              <w:t xml:space="preserve">Laura-Maria </w:t>
            </w:r>
            <w:r w:rsidRPr="00C70EE5">
              <w:rPr>
                <w:b/>
                <w:bCs/>
                <w:lang w:val="fr-FR"/>
              </w:rPr>
              <w:t>Crăciunean-Tatu</w:t>
            </w:r>
            <w:r w:rsidRPr="00C70EE5">
              <w:rPr>
                <w:lang w:val="fr-FR"/>
              </w:rPr>
              <w:t xml:space="preserve"> (Vice-Présidente)</w:t>
            </w:r>
            <w:r w:rsidRPr="00C70EE5">
              <w:rPr>
                <w:i/>
                <w:iCs/>
                <w:sz w:val="18"/>
                <w:szCs w:val="18"/>
                <w:vertAlign w:val="superscript"/>
                <w:lang w:val="fr-FR"/>
              </w:rPr>
              <w:t>a</w:t>
            </w:r>
          </w:p>
        </w:tc>
        <w:tc>
          <w:tcPr>
            <w:tcW w:w="1875" w:type="dxa"/>
            <w:shd w:val="clear" w:color="auto" w:fill="auto"/>
          </w:tcPr>
          <w:p w14:paraId="0B7D8B19" w14:textId="77777777" w:rsidR="00A02B4C" w:rsidRPr="00C70EE5" w:rsidRDefault="00A02B4C" w:rsidP="003836D7">
            <w:pPr>
              <w:spacing w:before="40" w:after="120"/>
              <w:ind w:right="113"/>
            </w:pPr>
            <w:r w:rsidRPr="00C70EE5">
              <w:rPr>
                <w:lang w:val="fr-FR"/>
              </w:rPr>
              <w:t>Roumanie</w:t>
            </w:r>
          </w:p>
        </w:tc>
        <w:tc>
          <w:tcPr>
            <w:tcW w:w="1295" w:type="dxa"/>
            <w:shd w:val="clear" w:color="auto" w:fill="auto"/>
          </w:tcPr>
          <w:p w14:paraId="6A4DF17B" w14:textId="77777777" w:rsidR="00A02B4C" w:rsidRPr="00C70EE5" w:rsidRDefault="00A02B4C" w:rsidP="003836D7">
            <w:pPr>
              <w:spacing w:before="40" w:after="120"/>
              <w:ind w:right="113"/>
            </w:pPr>
            <w:r w:rsidRPr="00C70EE5">
              <w:rPr>
                <w:lang w:val="fr-FR"/>
              </w:rPr>
              <w:t>2020</w:t>
            </w:r>
          </w:p>
        </w:tc>
      </w:tr>
      <w:tr w:rsidR="00A02B4C" w:rsidRPr="00C70EE5" w14:paraId="3AB8375B" w14:textId="77777777" w:rsidTr="00E6322D">
        <w:trPr>
          <w:tblHeader/>
        </w:trPr>
        <w:tc>
          <w:tcPr>
            <w:tcW w:w="4200" w:type="dxa"/>
            <w:shd w:val="clear" w:color="auto" w:fill="auto"/>
          </w:tcPr>
          <w:p w14:paraId="6EC85F42" w14:textId="77777777" w:rsidR="00A02B4C" w:rsidRPr="00C70EE5" w:rsidRDefault="00A02B4C" w:rsidP="003836D7">
            <w:pPr>
              <w:spacing w:before="40" w:after="120"/>
              <w:ind w:right="113"/>
            </w:pPr>
            <w:r w:rsidRPr="00C70EE5">
              <w:rPr>
                <w:lang w:val="fr-FR"/>
              </w:rPr>
              <w:t xml:space="preserve">Peters Sunday Omologbe </w:t>
            </w:r>
            <w:r w:rsidRPr="00C70EE5">
              <w:rPr>
                <w:b/>
                <w:bCs/>
                <w:lang w:val="fr-FR"/>
              </w:rPr>
              <w:t>Emuze</w:t>
            </w:r>
          </w:p>
        </w:tc>
        <w:tc>
          <w:tcPr>
            <w:tcW w:w="1875" w:type="dxa"/>
            <w:shd w:val="clear" w:color="auto" w:fill="auto"/>
          </w:tcPr>
          <w:p w14:paraId="17FB5B31" w14:textId="77777777" w:rsidR="00A02B4C" w:rsidRPr="00C70EE5" w:rsidRDefault="00A02B4C" w:rsidP="003836D7">
            <w:pPr>
              <w:spacing w:before="40" w:after="120"/>
              <w:ind w:right="113"/>
            </w:pPr>
            <w:r w:rsidRPr="00C70EE5">
              <w:rPr>
                <w:lang w:val="fr-FR"/>
              </w:rPr>
              <w:t>Nigéria</w:t>
            </w:r>
          </w:p>
        </w:tc>
        <w:tc>
          <w:tcPr>
            <w:tcW w:w="1295" w:type="dxa"/>
            <w:shd w:val="clear" w:color="auto" w:fill="auto"/>
          </w:tcPr>
          <w:p w14:paraId="20E63627" w14:textId="77777777" w:rsidR="00A02B4C" w:rsidRPr="00C70EE5" w:rsidRDefault="00A02B4C" w:rsidP="003836D7">
            <w:pPr>
              <w:spacing w:before="40" w:after="120"/>
              <w:ind w:right="113"/>
            </w:pPr>
            <w:r w:rsidRPr="00C70EE5">
              <w:rPr>
                <w:lang w:val="fr-FR"/>
              </w:rPr>
              <w:t>2022</w:t>
            </w:r>
          </w:p>
        </w:tc>
      </w:tr>
      <w:tr w:rsidR="00A02B4C" w:rsidRPr="00C70EE5" w14:paraId="6589A5EE" w14:textId="77777777" w:rsidTr="00E6322D">
        <w:trPr>
          <w:tblHeader/>
        </w:trPr>
        <w:tc>
          <w:tcPr>
            <w:tcW w:w="4200" w:type="dxa"/>
            <w:shd w:val="clear" w:color="auto" w:fill="auto"/>
          </w:tcPr>
          <w:p w14:paraId="483078F2" w14:textId="77777777" w:rsidR="00A02B4C" w:rsidRPr="00C70EE5" w:rsidRDefault="00A02B4C" w:rsidP="003836D7">
            <w:pPr>
              <w:spacing w:before="40" w:after="120"/>
              <w:ind w:right="113"/>
            </w:pPr>
            <w:r w:rsidRPr="00C70EE5">
              <w:rPr>
                <w:lang w:val="fr-FR"/>
              </w:rPr>
              <w:t xml:space="preserve">Ludovic </w:t>
            </w:r>
            <w:r w:rsidRPr="00C70EE5">
              <w:rPr>
                <w:b/>
                <w:bCs/>
                <w:lang w:val="fr-FR"/>
              </w:rPr>
              <w:t>Hennebel</w:t>
            </w:r>
            <w:r w:rsidRPr="00C70EE5">
              <w:rPr>
                <w:i/>
                <w:iCs/>
                <w:sz w:val="18"/>
                <w:szCs w:val="18"/>
                <w:vertAlign w:val="superscript"/>
              </w:rPr>
              <w:t>b</w:t>
            </w:r>
          </w:p>
        </w:tc>
        <w:tc>
          <w:tcPr>
            <w:tcW w:w="1875" w:type="dxa"/>
            <w:shd w:val="clear" w:color="auto" w:fill="auto"/>
          </w:tcPr>
          <w:p w14:paraId="069CC26B" w14:textId="77777777" w:rsidR="00A02B4C" w:rsidRPr="00C70EE5" w:rsidRDefault="00A02B4C" w:rsidP="003836D7">
            <w:pPr>
              <w:spacing w:before="40" w:after="120"/>
              <w:ind w:right="113"/>
            </w:pPr>
            <w:r w:rsidRPr="00C70EE5">
              <w:rPr>
                <w:lang w:val="fr-FR"/>
              </w:rPr>
              <w:t xml:space="preserve">Belgique </w:t>
            </w:r>
          </w:p>
        </w:tc>
        <w:tc>
          <w:tcPr>
            <w:tcW w:w="1295" w:type="dxa"/>
            <w:shd w:val="clear" w:color="auto" w:fill="auto"/>
          </w:tcPr>
          <w:p w14:paraId="46DB48EE" w14:textId="77777777" w:rsidR="00A02B4C" w:rsidRPr="00C70EE5" w:rsidRDefault="00A02B4C" w:rsidP="003836D7">
            <w:pPr>
              <w:spacing w:before="40" w:after="120"/>
              <w:ind w:right="113"/>
            </w:pPr>
            <w:r w:rsidRPr="00C70EE5">
              <w:rPr>
                <w:lang w:val="fr-FR"/>
              </w:rPr>
              <w:t>2022</w:t>
            </w:r>
          </w:p>
        </w:tc>
      </w:tr>
      <w:tr w:rsidR="00A02B4C" w:rsidRPr="00C70EE5" w14:paraId="1EC57233" w14:textId="77777777" w:rsidTr="00E6322D">
        <w:trPr>
          <w:tblHeader/>
        </w:trPr>
        <w:tc>
          <w:tcPr>
            <w:tcW w:w="4200" w:type="dxa"/>
            <w:shd w:val="clear" w:color="auto" w:fill="auto"/>
          </w:tcPr>
          <w:p w14:paraId="6CAF82A3" w14:textId="77777777" w:rsidR="00A02B4C" w:rsidRPr="00C70EE5" w:rsidRDefault="00A02B4C" w:rsidP="003836D7">
            <w:pPr>
              <w:spacing w:before="40" w:after="120"/>
              <w:ind w:right="113"/>
            </w:pPr>
            <w:r w:rsidRPr="00C70EE5">
              <w:rPr>
                <w:lang w:val="fr-FR"/>
              </w:rPr>
              <w:t xml:space="preserve">Zdzislaw </w:t>
            </w:r>
            <w:r w:rsidRPr="00C70EE5">
              <w:rPr>
                <w:b/>
                <w:bCs/>
                <w:lang w:val="fr-FR"/>
              </w:rPr>
              <w:t>Kedzia</w:t>
            </w:r>
          </w:p>
        </w:tc>
        <w:tc>
          <w:tcPr>
            <w:tcW w:w="1875" w:type="dxa"/>
            <w:shd w:val="clear" w:color="auto" w:fill="auto"/>
          </w:tcPr>
          <w:p w14:paraId="243385A0" w14:textId="77777777" w:rsidR="00A02B4C" w:rsidRPr="00C70EE5" w:rsidRDefault="00A02B4C" w:rsidP="003836D7">
            <w:pPr>
              <w:spacing w:before="40" w:after="120"/>
              <w:ind w:right="113"/>
            </w:pPr>
            <w:r w:rsidRPr="00C70EE5">
              <w:rPr>
                <w:lang w:val="fr-FR"/>
              </w:rPr>
              <w:t>Pologne</w:t>
            </w:r>
          </w:p>
        </w:tc>
        <w:tc>
          <w:tcPr>
            <w:tcW w:w="1295" w:type="dxa"/>
            <w:shd w:val="clear" w:color="auto" w:fill="auto"/>
          </w:tcPr>
          <w:p w14:paraId="679A1FDE" w14:textId="77777777" w:rsidR="00A02B4C" w:rsidRPr="00C70EE5" w:rsidRDefault="00A02B4C" w:rsidP="003836D7">
            <w:pPr>
              <w:spacing w:before="40" w:after="120"/>
              <w:ind w:right="113"/>
            </w:pPr>
            <w:r w:rsidRPr="00C70EE5">
              <w:rPr>
                <w:lang w:val="fr-FR"/>
              </w:rPr>
              <w:t>2020</w:t>
            </w:r>
          </w:p>
        </w:tc>
      </w:tr>
      <w:tr w:rsidR="00A02B4C" w:rsidRPr="00C70EE5" w14:paraId="15EDCC1D" w14:textId="77777777" w:rsidTr="00E6322D">
        <w:trPr>
          <w:tblHeader/>
        </w:trPr>
        <w:tc>
          <w:tcPr>
            <w:tcW w:w="4200" w:type="dxa"/>
            <w:shd w:val="clear" w:color="auto" w:fill="auto"/>
          </w:tcPr>
          <w:p w14:paraId="17BACD3F" w14:textId="77777777" w:rsidR="00A02B4C" w:rsidRPr="00C70EE5" w:rsidRDefault="00A02B4C" w:rsidP="003836D7">
            <w:pPr>
              <w:spacing w:before="40" w:after="120"/>
              <w:ind w:right="113"/>
              <w:rPr>
                <w:lang w:val="es-ES"/>
              </w:rPr>
            </w:pPr>
            <w:r w:rsidRPr="00C70EE5">
              <w:rPr>
                <w:lang w:val="es-ES"/>
              </w:rPr>
              <w:t xml:space="preserve">Karla Vanessa </w:t>
            </w:r>
            <w:r w:rsidRPr="00C70EE5">
              <w:rPr>
                <w:b/>
                <w:bCs/>
                <w:lang w:val="es-ES"/>
              </w:rPr>
              <w:t>Lemus de Vásquez</w:t>
            </w:r>
          </w:p>
        </w:tc>
        <w:tc>
          <w:tcPr>
            <w:tcW w:w="1875" w:type="dxa"/>
            <w:shd w:val="clear" w:color="auto" w:fill="auto"/>
          </w:tcPr>
          <w:p w14:paraId="74609EA2" w14:textId="77777777" w:rsidR="00A02B4C" w:rsidRPr="00C70EE5" w:rsidRDefault="00A02B4C" w:rsidP="003836D7">
            <w:pPr>
              <w:spacing w:before="40" w:after="120"/>
              <w:ind w:right="113"/>
            </w:pPr>
            <w:r w:rsidRPr="00C70EE5">
              <w:rPr>
                <w:lang w:val="fr-FR"/>
              </w:rPr>
              <w:t>El Salvador</w:t>
            </w:r>
          </w:p>
        </w:tc>
        <w:tc>
          <w:tcPr>
            <w:tcW w:w="1295" w:type="dxa"/>
            <w:shd w:val="clear" w:color="auto" w:fill="auto"/>
          </w:tcPr>
          <w:p w14:paraId="39B2A842" w14:textId="77777777" w:rsidR="00A02B4C" w:rsidRPr="00C70EE5" w:rsidRDefault="00A02B4C" w:rsidP="003836D7">
            <w:pPr>
              <w:spacing w:before="40" w:after="120"/>
              <w:ind w:right="113"/>
            </w:pPr>
            <w:r w:rsidRPr="00C70EE5">
              <w:rPr>
                <w:lang w:val="fr-FR"/>
              </w:rPr>
              <w:t>2022</w:t>
            </w:r>
          </w:p>
        </w:tc>
      </w:tr>
      <w:tr w:rsidR="00A02B4C" w:rsidRPr="00C70EE5" w14:paraId="19709053" w14:textId="77777777" w:rsidTr="00E6322D">
        <w:trPr>
          <w:tblHeader/>
        </w:trPr>
        <w:tc>
          <w:tcPr>
            <w:tcW w:w="4200" w:type="dxa"/>
            <w:shd w:val="clear" w:color="auto" w:fill="auto"/>
          </w:tcPr>
          <w:p w14:paraId="5EBC29BC" w14:textId="77777777" w:rsidR="00A02B4C" w:rsidRPr="00C70EE5" w:rsidRDefault="00A02B4C" w:rsidP="003836D7">
            <w:pPr>
              <w:spacing w:before="40" w:after="120"/>
              <w:ind w:right="113"/>
            </w:pPr>
            <w:r w:rsidRPr="00C70EE5">
              <w:rPr>
                <w:lang w:val="fr-FR"/>
              </w:rPr>
              <w:t xml:space="preserve">Sandra </w:t>
            </w:r>
            <w:r w:rsidRPr="00C70EE5">
              <w:rPr>
                <w:b/>
                <w:bCs/>
                <w:lang w:val="fr-FR"/>
              </w:rPr>
              <w:t>Liebenberg</w:t>
            </w:r>
            <w:r w:rsidRPr="00C70EE5">
              <w:rPr>
                <w:lang w:val="fr-FR"/>
              </w:rPr>
              <w:t xml:space="preserve"> (Vice-Présidente)</w:t>
            </w:r>
          </w:p>
        </w:tc>
        <w:tc>
          <w:tcPr>
            <w:tcW w:w="1875" w:type="dxa"/>
            <w:shd w:val="clear" w:color="auto" w:fill="auto"/>
          </w:tcPr>
          <w:p w14:paraId="7399E9C9" w14:textId="77777777" w:rsidR="00A02B4C" w:rsidRPr="00C70EE5" w:rsidRDefault="00A02B4C" w:rsidP="003836D7">
            <w:pPr>
              <w:spacing w:before="40" w:after="120"/>
              <w:ind w:right="113"/>
            </w:pPr>
            <w:r w:rsidRPr="00C70EE5">
              <w:rPr>
                <w:lang w:val="fr-FR"/>
              </w:rPr>
              <w:t>Afrique du Sud</w:t>
            </w:r>
          </w:p>
        </w:tc>
        <w:tc>
          <w:tcPr>
            <w:tcW w:w="1295" w:type="dxa"/>
            <w:shd w:val="clear" w:color="auto" w:fill="auto"/>
          </w:tcPr>
          <w:p w14:paraId="72AAB1B6" w14:textId="77777777" w:rsidR="00A02B4C" w:rsidRPr="00C70EE5" w:rsidRDefault="00A02B4C" w:rsidP="003836D7">
            <w:pPr>
              <w:spacing w:before="40" w:after="120"/>
              <w:ind w:right="113"/>
            </w:pPr>
            <w:r w:rsidRPr="00C70EE5">
              <w:rPr>
                <w:lang w:val="fr-FR"/>
              </w:rPr>
              <w:t>2020</w:t>
            </w:r>
          </w:p>
        </w:tc>
      </w:tr>
      <w:tr w:rsidR="00A02B4C" w:rsidRPr="00C70EE5" w14:paraId="6DED3C15" w14:textId="77777777" w:rsidTr="00E6322D">
        <w:trPr>
          <w:tblHeader/>
        </w:trPr>
        <w:tc>
          <w:tcPr>
            <w:tcW w:w="4200" w:type="dxa"/>
            <w:shd w:val="clear" w:color="auto" w:fill="auto"/>
          </w:tcPr>
          <w:p w14:paraId="0E5D87B6" w14:textId="77777777" w:rsidR="00A02B4C" w:rsidRPr="00C70EE5" w:rsidRDefault="00A02B4C" w:rsidP="003836D7">
            <w:pPr>
              <w:spacing w:before="40" w:after="120"/>
              <w:ind w:right="113"/>
              <w:rPr>
                <w:lang w:val="es-ES"/>
              </w:rPr>
            </w:pPr>
            <w:r w:rsidRPr="00C70EE5">
              <w:rPr>
                <w:lang w:val="es-ES"/>
              </w:rPr>
              <w:t xml:space="preserve">Mikel </w:t>
            </w:r>
            <w:r w:rsidRPr="00C70EE5">
              <w:rPr>
                <w:b/>
                <w:bCs/>
                <w:lang w:val="es-ES"/>
              </w:rPr>
              <w:t>Mancisidor de la Fuente</w:t>
            </w:r>
            <w:r w:rsidRPr="00C70EE5">
              <w:rPr>
                <w:i/>
                <w:iCs/>
                <w:sz w:val="18"/>
                <w:szCs w:val="18"/>
                <w:vertAlign w:val="superscript"/>
                <w:lang w:val="es-ES"/>
              </w:rPr>
              <w:t>a</w:t>
            </w:r>
          </w:p>
        </w:tc>
        <w:tc>
          <w:tcPr>
            <w:tcW w:w="1875" w:type="dxa"/>
            <w:shd w:val="clear" w:color="auto" w:fill="auto"/>
          </w:tcPr>
          <w:p w14:paraId="352C1680" w14:textId="77777777" w:rsidR="00A02B4C" w:rsidRPr="00C70EE5" w:rsidRDefault="00A02B4C" w:rsidP="003836D7">
            <w:pPr>
              <w:spacing w:before="40" w:after="120"/>
              <w:ind w:right="113"/>
            </w:pPr>
            <w:r w:rsidRPr="00C70EE5">
              <w:rPr>
                <w:lang w:val="fr-FR"/>
              </w:rPr>
              <w:t>Espagne</w:t>
            </w:r>
          </w:p>
        </w:tc>
        <w:tc>
          <w:tcPr>
            <w:tcW w:w="1295" w:type="dxa"/>
            <w:shd w:val="clear" w:color="auto" w:fill="auto"/>
          </w:tcPr>
          <w:p w14:paraId="77680DFB" w14:textId="77777777" w:rsidR="00A02B4C" w:rsidRPr="00C70EE5" w:rsidRDefault="00A02B4C" w:rsidP="003836D7">
            <w:pPr>
              <w:spacing w:before="40" w:after="120"/>
              <w:ind w:right="113"/>
            </w:pPr>
            <w:r w:rsidRPr="00C70EE5">
              <w:rPr>
                <w:lang w:val="fr-FR"/>
              </w:rPr>
              <w:t>2020</w:t>
            </w:r>
          </w:p>
        </w:tc>
      </w:tr>
      <w:tr w:rsidR="00A02B4C" w:rsidRPr="00C70EE5" w14:paraId="7A78C9E4" w14:textId="77777777" w:rsidTr="00E6322D">
        <w:trPr>
          <w:tblHeader/>
        </w:trPr>
        <w:tc>
          <w:tcPr>
            <w:tcW w:w="4200" w:type="dxa"/>
            <w:shd w:val="clear" w:color="auto" w:fill="auto"/>
          </w:tcPr>
          <w:p w14:paraId="4126F308" w14:textId="77777777" w:rsidR="00A02B4C" w:rsidRPr="00C70EE5" w:rsidRDefault="00A02B4C" w:rsidP="003836D7">
            <w:pPr>
              <w:spacing w:before="40" w:after="120"/>
              <w:ind w:right="113"/>
            </w:pPr>
            <w:r w:rsidRPr="00C70EE5">
              <w:rPr>
                <w:lang w:val="fr-FR"/>
              </w:rPr>
              <w:t xml:space="preserve">Lydia </w:t>
            </w:r>
            <w:r w:rsidRPr="00C70EE5">
              <w:rPr>
                <w:b/>
                <w:bCs/>
                <w:lang w:val="fr-FR"/>
              </w:rPr>
              <w:t>Ravenberg</w:t>
            </w:r>
            <w:r w:rsidRPr="00C70EE5">
              <w:rPr>
                <w:i/>
                <w:iCs/>
                <w:sz w:val="18"/>
                <w:szCs w:val="18"/>
                <w:vertAlign w:val="superscript"/>
              </w:rPr>
              <w:t>a</w:t>
            </w:r>
          </w:p>
        </w:tc>
        <w:tc>
          <w:tcPr>
            <w:tcW w:w="1875" w:type="dxa"/>
            <w:shd w:val="clear" w:color="auto" w:fill="auto"/>
          </w:tcPr>
          <w:p w14:paraId="0E46480F" w14:textId="77777777" w:rsidR="00A02B4C" w:rsidRPr="00C70EE5" w:rsidRDefault="00A02B4C" w:rsidP="003836D7">
            <w:pPr>
              <w:spacing w:before="40" w:after="120"/>
              <w:ind w:right="113"/>
            </w:pPr>
            <w:r w:rsidRPr="00C70EE5">
              <w:rPr>
                <w:lang w:val="fr-FR"/>
              </w:rPr>
              <w:t>Suriname</w:t>
            </w:r>
          </w:p>
        </w:tc>
        <w:tc>
          <w:tcPr>
            <w:tcW w:w="1295" w:type="dxa"/>
            <w:shd w:val="clear" w:color="auto" w:fill="auto"/>
          </w:tcPr>
          <w:p w14:paraId="39472C3C" w14:textId="77777777" w:rsidR="00A02B4C" w:rsidRPr="00C70EE5" w:rsidRDefault="00A02B4C" w:rsidP="003836D7">
            <w:pPr>
              <w:spacing w:before="40" w:after="120"/>
              <w:ind w:right="113"/>
            </w:pPr>
            <w:r w:rsidRPr="00C70EE5">
              <w:rPr>
                <w:lang w:val="fr-FR"/>
              </w:rPr>
              <w:t>2020</w:t>
            </w:r>
          </w:p>
        </w:tc>
      </w:tr>
      <w:tr w:rsidR="00A02B4C" w:rsidRPr="00C70EE5" w14:paraId="6A524DCD" w14:textId="77777777" w:rsidTr="00E6322D">
        <w:trPr>
          <w:tblHeader/>
        </w:trPr>
        <w:tc>
          <w:tcPr>
            <w:tcW w:w="4200" w:type="dxa"/>
            <w:shd w:val="clear" w:color="auto" w:fill="auto"/>
          </w:tcPr>
          <w:p w14:paraId="06E636B4" w14:textId="77777777" w:rsidR="00A02B4C" w:rsidRPr="00C70EE5" w:rsidRDefault="00A02B4C" w:rsidP="003836D7">
            <w:pPr>
              <w:spacing w:before="40" w:after="120"/>
              <w:ind w:right="113"/>
            </w:pPr>
            <w:r w:rsidRPr="00C70EE5">
              <w:rPr>
                <w:lang w:val="fr-FR"/>
              </w:rPr>
              <w:t xml:space="preserve">Preeti </w:t>
            </w:r>
            <w:r w:rsidRPr="00C70EE5">
              <w:rPr>
                <w:b/>
                <w:bCs/>
                <w:lang w:val="fr-FR"/>
              </w:rPr>
              <w:t>Saran</w:t>
            </w:r>
          </w:p>
        </w:tc>
        <w:tc>
          <w:tcPr>
            <w:tcW w:w="1875" w:type="dxa"/>
            <w:shd w:val="clear" w:color="auto" w:fill="auto"/>
          </w:tcPr>
          <w:p w14:paraId="48CD4911" w14:textId="77777777" w:rsidR="00A02B4C" w:rsidRPr="00C70EE5" w:rsidRDefault="00A02B4C" w:rsidP="003836D7">
            <w:pPr>
              <w:spacing w:before="40" w:after="120"/>
              <w:ind w:right="113"/>
            </w:pPr>
            <w:r w:rsidRPr="00C70EE5">
              <w:rPr>
                <w:lang w:val="fr-FR"/>
              </w:rPr>
              <w:t>Inde</w:t>
            </w:r>
          </w:p>
        </w:tc>
        <w:tc>
          <w:tcPr>
            <w:tcW w:w="1295" w:type="dxa"/>
            <w:shd w:val="clear" w:color="auto" w:fill="auto"/>
          </w:tcPr>
          <w:p w14:paraId="0678FB6E" w14:textId="77777777" w:rsidR="00A02B4C" w:rsidRPr="00C70EE5" w:rsidRDefault="00A02B4C" w:rsidP="003836D7">
            <w:pPr>
              <w:spacing w:before="40" w:after="120"/>
              <w:ind w:right="113"/>
            </w:pPr>
            <w:r w:rsidRPr="00C70EE5">
              <w:rPr>
                <w:lang w:val="fr-FR"/>
              </w:rPr>
              <w:t>2022</w:t>
            </w:r>
          </w:p>
        </w:tc>
      </w:tr>
      <w:tr w:rsidR="00A02B4C" w:rsidRPr="00C70EE5" w14:paraId="581A9416" w14:textId="77777777" w:rsidTr="00E6322D">
        <w:trPr>
          <w:tblHeader/>
        </w:trPr>
        <w:tc>
          <w:tcPr>
            <w:tcW w:w="4200" w:type="dxa"/>
            <w:shd w:val="clear" w:color="auto" w:fill="auto"/>
          </w:tcPr>
          <w:p w14:paraId="727F9D11" w14:textId="77777777" w:rsidR="00A02B4C" w:rsidRPr="00C70EE5" w:rsidRDefault="00A02B4C" w:rsidP="003836D7">
            <w:pPr>
              <w:spacing w:before="40" w:after="120"/>
              <w:ind w:right="113"/>
            </w:pPr>
            <w:r w:rsidRPr="00C70EE5">
              <w:rPr>
                <w:lang w:val="fr-FR"/>
              </w:rPr>
              <w:t xml:space="preserve">Heisoo </w:t>
            </w:r>
            <w:r w:rsidRPr="00C70EE5">
              <w:rPr>
                <w:b/>
                <w:bCs/>
                <w:lang w:val="fr-FR"/>
              </w:rPr>
              <w:t>Shin</w:t>
            </w:r>
          </w:p>
        </w:tc>
        <w:tc>
          <w:tcPr>
            <w:tcW w:w="1875" w:type="dxa"/>
            <w:shd w:val="clear" w:color="auto" w:fill="auto"/>
          </w:tcPr>
          <w:p w14:paraId="24B98F16" w14:textId="77777777" w:rsidR="00A02B4C" w:rsidRPr="00C70EE5" w:rsidRDefault="00A02B4C" w:rsidP="003836D7">
            <w:pPr>
              <w:spacing w:before="40" w:after="120"/>
              <w:ind w:right="113"/>
            </w:pPr>
            <w:r w:rsidRPr="00C70EE5">
              <w:rPr>
                <w:lang w:val="fr-FR"/>
              </w:rPr>
              <w:t>République de Corée</w:t>
            </w:r>
          </w:p>
        </w:tc>
        <w:tc>
          <w:tcPr>
            <w:tcW w:w="1295" w:type="dxa"/>
            <w:shd w:val="clear" w:color="auto" w:fill="auto"/>
          </w:tcPr>
          <w:p w14:paraId="7DB306D8" w14:textId="77777777" w:rsidR="00A02B4C" w:rsidRPr="00C70EE5" w:rsidRDefault="00A02B4C" w:rsidP="003836D7">
            <w:pPr>
              <w:spacing w:before="40" w:after="120"/>
              <w:ind w:right="113"/>
            </w:pPr>
            <w:r w:rsidRPr="00C70EE5">
              <w:rPr>
                <w:lang w:val="fr-FR"/>
              </w:rPr>
              <w:t>2022</w:t>
            </w:r>
          </w:p>
        </w:tc>
      </w:tr>
      <w:tr w:rsidR="00A02B4C" w:rsidRPr="00C70EE5" w14:paraId="5EE6450E" w14:textId="77777777" w:rsidTr="00E6322D">
        <w:trPr>
          <w:tblHeader/>
        </w:trPr>
        <w:tc>
          <w:tcPr>
            <w:tcW w:w="4200" w:type="dxa"/>
            <w:shd w:val="clear" w:color="auto" w:fill="auto"/>
          </w:tcPr>
          <w:p w14:paraId="0EB00782" w14:textId="77777777" w:rsidR="00A02B4C" w:rsidRPr="00C70EE5" w:rsidRDefault="00A02B4C" w:rsidP="003836D7">
            <w:pPr>
              <w:spacing w:before="40" w:after="120"/>
              <w:ind w:right="113"/>
            </w:pPr>
            <w:r w:rsidRPr="00C70EE5">
              <w:rPr>
                <w:lang w:val="fr-FR"/>
              </w:rPr>
              <w:t xml:space="preserve">Rodrigo </w:t>
            </w:r>
            <w:r w:rsidRPr="00C70EE5">
              <w:rPr>
                <w:b/>
                <w:bCs/>
                <w:lang w:val="fr-FR"/>
              </w:rPr>
              <w:t>Uprimny</w:t>
            </w:r>
          </w:p>
        </w:tc>
        <w:tc>
          <w:tcPr>
            <w:tcW w:w="1875" w:type="dxa"/>
            <w:shd w:val="clear" w:color="auto" w:fill="auto"/>
          </w:tcPr>
          <w:p w14:paraId="121CAED7" w14:textId="77777777" w:rsidR="00A02B4C" w:rsidRPr="00C70EE5" w:rsidRDefault="00A02B4C" w:rsidP="003836D7">
            <w:pPr>
              <w:spacing w:before="40" w:after="120"/>
              <w:ind w:right="113"/>
            </w:pPr>
            <w:r w:rsidRPr="00C70EE5">
              <w:rPr>
                <w:lang w:val="fr-FR"/>
              </w:rPr>
              <w:t>Colombie</w:t>
            </w:r>
          </w:p>
        </w:tc>
        <w:tc>
          <w:tcPr>
            <w:tcW w:w="1295" w:type="dxa"/>
            <w:shd w:val="clear" w:color="auto" w:fill="auto"/>
          </w:tcPr>
          <w:p w14:paraId="716C32D0" w14:textId="77777777" w:rsidR="00A02B4C" w:rsidRPr="00C70EE5" w:rsidRDefault="00A02B4C" w:rsidP="003836D7">
            <w:pPr>
              <w:spacing w:before="40" w:after="120"/>
              <w:ind w:right="113"/>
            </w:pPr>
            <w:r w:rsidRPr="00C70EE5">
              <w:rPr>
                <w:lang w:val="fr-FR"/>
              </w:rPr>
              <w:t>2022</w:t>
            </w:r>
          </w:p>
        </w:tc>
      </w:tr>
      <w:tr w:rsidR="00A02B4C" w:rsidRPr="00C70EE5" w14:paraId="7B46946D" w14:textId="77777777" w:rsidTr="00E6322D">
        <w:trPr>
          <w:tblHeader/>
        </w:trPr>
        <w:tc>
          <w:tcPr>
            <w:tcW w:w="4200" w:type="dxa"/>
            <w:shd w:val="clear" w:color="auto" w:fill="auto"/>
          </w:tcPr>
          <w:p w14:paraId="42F40EB7" w14:textId="77777777" w:rsidR="00A02B4C" w:rsidRPr="00C70EE5" w:rsidRDefault="00A02B4C" w:rsidP="003836D7">
            <w:pPr>
              <w:spacing w:before="40" w:after="120"/>
              <w:ind w:right="113"/>
            </w:pPr>
            <w:r w:rsidRPr="00C70EE5">
              <w:rPr>
                <w:lang w:val="fr-FR"/>
              </w:rPr>
              <w:t xml:space="preserve">Michael </w:t>
            </w:r>
            <w:r w:rsidRPr="00C70EE5">
              <w:rPr>
                <w:b/>
                <w:bCs/>
                <w:lang w:val="fr-FR"/>
              </w:rPr>
              <w:t>Windfuhr</w:t>
            </w:r>
            <w:r w:rsidRPr="00C70EE5">
              <w:rPr>
                <w:i/>
                <w:iCs/>
                <w:sz w:val="18"/>
                <w:szCs w:val="18"/>
                <w:vertAlign w:val="superscript"/>
              </w:rPr>
              <w:t>a</w:t>
            </w:r>
          </w:p>
        </w:tc>
        <w:tc>
          <w:tcPr>
            <w:tcW w:w="1875" w:type="dxa"/>
            <w:shd w:val="clear" w:color="auto" w:fill="auto"/>
          </w:tcPr>
          <w:p w14:paraId="27E55A26" w14:textId="77777777" w:rsidR="00A02B4C" w:rsidRPr="00C70EE5" w:rsidRDefault="00A02B4C" w:rsidP="003836D7">
            <w:pPr>
              <w:spacing w:before="40" w:after="120"/>
              <w:ind w:right="113"/>
            </w:pPr>
            <w:r w:rsidRPr="00C70EE5">
              <w:rPr>
                <w:lang w:val="fr-FR"/>
              </w:rPr>
              <w:t>Allemagne</w:t>
            </w:r>
          </w:p>
        </w:tc>
        <w:tc>
          <w:tcPr>
            <w:tcW w:w="1295" w:type="dxa"/>
            <w:shd w:val="clear" w:color="auto" w:fill="auto"/>
          </w:tcPr>
          <w:p w14:paraId="24C02B37" w14:textId="77777777" w:rsidR="00A02B4C" w:rsidRPr="00C70EE5" w:rsidRDefault="00A02B4C" w:rsidP="003836D7">
            <w:pPr>
              <w:spacing w:before="40" w:after="120"/>
              <w:ind w:right="113"/>
            </w:pPr>
            <w:r w:rsidRPr="00C70EE5">
              <w:rPr>
                <w:lang w:val="fr-FR"/>
              </w:rPr>
              <w:t>2020</w:t>
            </w:r>
          </w:p>
        </w:tc>
      </w:tr>
      <w:tr w:rsidR="00A02B4C" w:rsidRPr="00C70EE5" w14:paraId="37C251AA" w14:textId="77777777" w:rsidTr="00E6322D">
        <w:trPr>
          <w:tblHeader/>
        </w:trPr>
        <w:tc>
          <w:tcPr>
            <w:tcW w:w="4200" w:type="dxa"/>
            <w:tcBorders>
              <w:bottom w:val="single" w:sz="12" w:space="0" w:color="auto"/>
            </w:tcBorders>
            <w:shd w:val="clear" w:color="auto" w:fill="auto"/>
          </w:tcPr>
          <w:p w14:paraId="5DB90352" w14:textId="77777777" w:rsidR="00A02B4C" w:rsidRPr="00C70EE5" w:rsidRDefault="00A02B4C" w:rsidP="003836D7">
            <w:pPr>
              <w:spacing w:before="40" w:after="120"/>
              <w:ind w:right="113"/>
            </w:pPr>
            <w:r w:rsidRPr="00C70EE5">
              <w:rPr>
                <w:lang w:val="fr-FR"/>
              </w:rPr>
              <w:t xml:space="preserve">Renato </w:t>
            </w:r>
            <w:r w:rsidRPr="00C70EE5">
              <w:rPr>
                <w:b/>
                <w:bCs/>
                <w:lang w:val="fr-FR"/>
              </w:rPr>
              <w:t>Zerbini Ribeiro Leão</w:t>
            </w:r>
            <w:r w:rsidRPr="00C70EE5">
              <w:rPr>
                <w:lang w:val="fr-FR"/>
              </w:rPr>
              <w:t xml:space="preserve"> (Président)</w:t>
            </w:r>
          </w:p>
        </w:tc>
        <w:tc>
          <w:tcPr>
            <w:tcW w:w="1875" w:type="dxa"/>
            <w:tcBorders>
              <w:bottom w:val="single" w:sz="12" w:space="0" w:color="auto"/>
            </w:tcBorders>
            <w:shd w:val="clear" w:color="auto" w:fill="auto"/>
          </w:tcPr>
          <w:p w14:paraId="1DC14605" w14:textId="77777777" w:rsidR="00A02B4C" w:rsidRPr="00C70EE5" w:rsidRDefault="00A02B4C" w:rsidP="003836D7">
            <w:pPr>
              <w:spacing w:before="40" w:after="120"/>
              <w:ind w:right="113"/>
            </w:pPr>
            <w:r w:rsidRPr="00C70EE5">
              <w:rPr>
                <w:lang w:val="fr-FR"/>
              </w:rPr>
              <w:t>Brésil</w:t>
            </w:r>
          </w:p>
        </w:tc>
        <w:tc>
          <w:tcPr>
            <w:tcW w:w="1295" w:type="dxa"/>
            <w:tcBorders>
              <w:bottom w:val="single" w:sz="12" w:space="0" w:color="auto"/>
            </w:tcBorders>
            <w:shd w:val="clear" w:color="auto" w:fill="auto"/>
          </w:tcPr>
          <w:p w14:paraId="1AA7F081" w14:textId="77777777" w:rsidR="00A02B4C" w:rsidRPr="00C70EE5" w:rsidRDefault="00A02B4C" w:rsidP="003836D7">
            <w:pPr>
              <w:spacing w:before="40" w:after="120"/>
              <w:ind w:right="113"/>
            </w:pPr>
            <w:r w:rsidRPr="00C70EE5">
              <w:rPr>
                <w:lang w:val="fr-FR"/>
              </w:rPr>
              <w:t>2022</w:t>
            </w:r>
          </w:p>
        </w:tc>
      </w:tr>
    </w:tbl>
    <w:p w14:paraId="34C3C791" w14:textId="77777777" w:rsidR="00A02B4C" w:rsidRPr="00B86018" w:rsidRDefault="00A02B4C" w:rsidP="00A02B4C">
      <w:pPr>
        <w:pStyle w:val="SingleTxtG"/>
        <w:spacing w:before="120" w:after="0"/>
        <w:ind w:firstLine="170"/>
        <w:jc w:val="left"/>
        <w:rPr>
          <w:sz w:val="18"/>
          <w:szCs w:val="18"/>
          <w:lang w:val="fr-FR"/>
        </w:rPr>
      </w:pPr>
      <w:r w:rsidRPr="00C70EE5">
        <w:rPr>
          <w:i/>
          <w:iCs/>
          <w:sz w:val="18"/>
          <w:szCs w:val="18"/>
          <w:vertAlign w:val="superscript"/>
          <w:lang w:val="fr-FR"/>
        </w:rPr>
        <w:t>a</w:t>
      </w:r>
      <w:r w:rsidRPr="00B86018">
        <w:rPr>
          <w:sz w:val="18"/>
          <w:szCs w:val="18"/>
          <w:lang w:val="fr-FR"/>
        </w:rPr>
        <w:t xml:space="preserve"> </w:t>
      </w:r>
      <w:r>
        <w:rPr>
          <w:sz w:val="18"/>
          <w:szCs w:val="18"/>
          <w:lang w:val="fr-FR"/>
        </w:rPr>
        <w:t xml:space="preserve"> </w:t>
      </w:r>
      <w:r w:rsidRPr="00B86018">
        <w:rPr>
          <w:sz w:val="18"/>
          <w:szCs w:val="18"/>
          <w:lang w:val="fr-FR"/>
        </w:rPr>
        <w:t>Réélu pour un mandat de quatre ans (2021-2024).</w:t>
      </w:r>
    </w:p>
    <w:p w14:paraId="55CBD33A" w14:textId="77777777" w:rsidR="00A02B4C" w:rsidRPr="00B86018" w:rsidRDefault="00A02B4C" w:rsidP="00A02B4C">
      <w:pPr>
        <w:pStyle w:val="SingleTxtG"/>
        <w:ind w:firstLine="170"/>
        <w:jc w:val="left"/>
        <w:rPr>
          <w:sz w:val="18"/>
          <w:szCs w:val="18"/>
          <w:lang w:val="fr-FR"/>
        </w:rPr>
      </w:pPr>
      <w:r w:rsidRPr="00C70EE5">
        <w:rPr>
          <w:i/>
          <w:iCs/>
          <w:sz w:val="18"/>
          <w:szCs w:val="18"/>
          <w:vertAlign w:val="superscript"/>
          <w:lang w:val="fr-FR"/>
        </w:rPr>
        <w:t>b</w:t>
      </w:r>
      <w:r w:rsidRPr="00B86018">
        <w:rPr>
          <w:sz w:val="18"/>
          <w:szCs w:val="18"/>
          <w:lang w:val="fr-FR"/>
        </w:rPr>
        <w:t xml:space="preserve"> </w:t>
      </w:r>
      <w:r>
        <w:rPr>
          <w:sz w:val="18"/>
          <w:szCs w:val="18"/>
          <w:lang w:val="fr-FR"/>
        </w:rPr>
        <w:t xml:space="preserve"> </w:t>
      </w:r>
      <w:r w:rsidRPr="00B86018">
        <w:rPr>
          <w:sz w:val="18"/>
          <w:szCs w:val="18"/>
          <w:lang w:val="fr-FR"/>
        </w:rPr>
        <w:t>À compter du 21 juillet, en remplacement d</w:t>
      </w:r>
      <w:r>
        <w:rPr>
          <w:sz w:val="18"/>
          <w:szCs w:val="18"/>
          <w:lang w:val="fr-FR"/>
        </w:rPr>
        <w:t>’</w:t>
      </w:r>
      <w:r w:rsidRPr="00B86018">
        <w:rPr>
          <w:sz w:val="18"/>
          <w:szCs w:val="18"/>
          <w:lang w:val="fr-FR"/>
        </w:rPr>
        <w:t>Olivier De Schutter qui a présenté sa démission à compter du 1</w:t>
      </w:r>
      <w:r w:rsidRPr="00B86018">
        <w:rPr>
          <w:sz w:val="18"/>
          <w:szCs w:val="18"/>
          <w:vertAlign w:val="superscript"/>
          <w:lang w:val="fr-FR"/>
        </w:rPr>
        <w:t>er</w:t>
      </w:r>
      <w:r w:rsidRPr="00B86018">
        <w:rPr>
          <w:sz w:val="18"/>
          <w:szCs w:val="18"/>
          <w:lang w:val="fr-FR"/>
        </w:rPr>
        <w:t xml:space="preserve"> mai 2020.</w:t>
      </w:r>
    </w:p>
    <w:p w14:paraId="077331D7" w14:textId="77777777" w:rsidR="00EF7D1D" w:rsidRPr="00A02B4C" w:rsidRDefault="00A02B4C" w:rsidP="00A02B4C">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EF7D1D" w:rsidRPr="00A02B4C" w:rsidSect="00A02B4C">
      <w:headerReference w:type="default" r:id="rId85"/>
      <w:footerReference w:type="default" r:id="rId86"/>
      <w:endnotePr>
        <w:numFmt w:val="decimal"/>
      </w:endnotePr>
      <w:type w:val="oddPage"/>
      <w:pgSz w:w="11907" w:h="16840" w:code="9"/>
      <w:pgMar w:top="1417" w:right="1134" w:bottom="1134" w:left="1134" w:header="850" w:footer="567"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E4CEBA" w14:textId="77777777" w:rsidR="00DC7F14" w:rsidRDefault="00DC7F14"/>
  </w:endnote>
  <w:endnote w:type="continuationSeparator" w:id="0">
    <w:p w14:paraId="36638F7D" w14:textId="77777777" w:rsidR="00DC7F14" w:rsidRDefault="00DC7F14">
      <w:pPr>
        <w:pStyle w:val="Pieddepage"/>
      </w:pPr>
    </w:p>
  </w:endnote>
  <w:endnote w:type="continuationNotice" w:id="1">
    <w:p w14:paraId="0C3507DF" w14:textId="77777777" w:rsidR="00DC7F14" w:rsidRPr="00C451B9" w:rsidRDefault="00DC7F14"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ms Rmn">
    <w:altName w:val="Times New Roma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D3D30B" w14:textId="77777777" w:rsidR="00BD03A2" w:rsidRDefault="00A02B4C">
    <w:pPr>
      <w:pStyle w:val="Pieddepage"/>
    </w:pPr>
    <w:r>
      <w:rPr>
        <w:noProof/>
        <w:lang w:eastAsia="fr-CH"/>
      </w:rPr>
      <w:drawing>
        <wp:anchor distT="0" distB="0" distL="114300" distR="114300" simplePos="0" relativeHeight="251660288" behindDoc="0" locked="0" layoutInCell="1" allowOverlap="1" wp14:anchorId="65B3EF94" wp14:editId="42FAE65E">
          <wp:simplePos x="0" y="0"/>
          <wp:positionH relativeFrom="margin">
            <wp:posOffset>5489575</wp:posOffset>
          </wp:positionH>
          <wp:positionV relativeFrom="margin">
            <wp:posOffset>8891905</wp:posOffset>
          </wp:positionV>
          <wp:extent cx="638175" cy="638175"/>
          <wp:effectExtent l="0" t="0" r="9525" b="9525"/>
          <wp:wrapNone/>
          <wp:docPr id="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BD03A2">
      <w:rPr>
        <w:noProof/>
        <w:lang w:eastAsia="fr-CH"/>
      </w:rPr>
      <w:drawing>
        <wp:anchor distT="0" distB="0" distL="114300" distR="114300" simplePos="0" relativeHeight="251659264" behindDoc="0" locked="0" layoutInCell="1" allowOverlap="0" wp14:anchorId="2E6489AD" wp14:editId="6202906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246346" w14:textId="77777777" w:rsidR="00B7180A" w:rsidRDefault="00B7180A">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510EAB" w14:textId="77777777" w:rsidR="00B7180A" w:rsidRDefault="00B7180A">
    <w:pPr>
      <w:pStyle w:val="Pieddepag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C4F7CA" w14:textId="77777777" w:rsidR="00A02B4C" w:rsidRPr="00A02B4C" w:rsidRDefault="00A02B4C" w:rsidP="00A02B4C">
    <w:pPr>
      <w:pStyle w:val="Pieddepage"/>
      <w:tabs>
        <w:tab w:val="right" w:pos="9638"/>
      </w:tabs>
    </w:pPr>
    <w:r w:rsidRPr="00A02B4C">
      <w:rPr>
        <w:b/>
        <w:sz w:val="18"/>
      </w:rPr>
      <w:fldChar w:fldCharType="begin"/>
    </w:r>
    <w:r w:rsidRPr="00A02B4C">
      <w:rPr>
        <w:b/>
        <w:sz w:val="18"/>
      </w:rPr>
      <w:instrText xml:space="preserve"> PAGE  \* MERGEFORMAT </w:instrText>
    </w:r>
    <w:r w:rsidRPr="00A02B4C">
      <w:rPr>
        <w:b/>
        <w:sz w:val="18"/>
      </w:rPr>
      <w:fldChar w:fldCharType="separate"/>
    </w:r>
    <w:r w:rsidRPr="00A02B4C">
      <w:rPr>
        <w:b/>
        <w:noProof/>
        <w:sz w:val="18"/>
      </w:rPr>
      <w:t>iv</w:t>
    </w:r>
    <w:r w:rsidRPr="00A02B4C">
      <w:rPr>
        <w:b/>
        <w:sz w:val="18"/>
      </w:rPr>
      <w:fldChar w:fldCharType="end"/>
    </w:r>
    <w:r>
      <w:rPr>
        <w:b/>
        <w:sz w:val="18"/>
      </w:rPr>
      <w:tab/>
    </w:r>
    <w:r>
      <w:t>GE.21-01389</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EA9EEF" w14:textId="77777777" w:rsidR="00B7180A" w:rsidRPr="00A02B4C" w:rsidRDefault="00A02B4C" w:rsidP="00A02B4C">
    <w:pPr>
      <w:pStyle w:val="Pieddepage"/>
      <w:tabs>
        <w:tab w:val="right" w:pos="9638"/>
      </w:tabs>
      <w:rPr>
        <w:b/>
        <w:sz w:val="18"/>
      </w:rPr>
    </w:pPr>
    <w:r>
      <w:t>GE.21-01389</w:t>
    </w:r>
    <w:r>
      <w:tab/>
    </w:r>
    <w:r w:rsidRPr="00A02B4C">
      <w:rPr>
        <w:b/>
        <w:sz w:val="18"/>
      </w:rPr>
      <w:fldChar w:fldCharType="begin"/>
    </w:r>
    <w:r w:rsidRPr="00A02B4C">
      <w:rPr>
        <w:b/>
        <w:sz w:val="18"/>
      </w:rPr>
      <w:instrText xml:space="preserve"> PAGE  \* MERGEFORMAT </w:instrText>
    </w:r>
    <w:r w:rsidRPr="00A02B4C">
      <w:rPr>
        <w:b/>
        <w:sz w:val="18"/>
      </w:rPr>
      <w:fldChar w:fldCharType="separate"/>
    </w:r>
    <w:r w:rsidRPr="00A02B4C">
      <w:rPr>
        <w:b/>
        <w:noProof/>
        <w:sz w:val="18"/>
      </w:rPr>
      <w:t>v</w:t>
    </w:r>
    <w:r w:rsidRPr="00A02B4C">
      <w:rPr>
        <w:b/>
        <w:sz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4742C8" w14:textId="26626BD4" w:rsidR="00A02B4C" w:rsidRPr="00A02B4C" w:rsidRDefault="00A02B4C" w:rsidP="00A02B4C">
    <w:pPr>
      <w:pStyle w:val="Pieddepage"/>
      <w:tabs>
        <w:tab w:val="right" w:pos="9638"/>
      </w:tabs>
      <w:spacing w:before="120"/>
      <w:rPr>
        <w:b/>
        <w:sz w:val="18"/>
      </w:rPr>
    </w:pPr>
    <w:r>
      <w:rPr>
        <w:sz w:val="20"/>
      </w:rPr>
      <w:t>GE.21-01389  (F)</w:t>
    </w:r>
    <w:r w:rsidR="00EF26FD">
      <w:rPr>
        <w:sz w:val="20"/>
      </w:rPr>
      <w:t xml:space="preserve">    090221    090221</w:t>
    </w:r>
    <w:r>
      <w:rPr>
        <w:sz w:val="20"/>
      </w:rPr>
      <w:tab/>
    </w:r>
    <w:r>
      <w:rPr>
        <w:b/>
        <w:sz w:val="18"/>
      </w:rPr>
      <w:fldChar w:fldCharType="begin"/>
    </w:r>
    <w:r>
      <w:rPr>
        <w:b/>
        <w:sz w:val="18"/>
      </w:rPr>
      <w:instrText xml:space="preserve"> PAGE  \* MERGEFORMAT </w:instrText>
    </w:r>
    <w:r>
      <w:rPr>
        <w:b/>
        <w:sz w:val="18"/>
      </w:rPr>
      <w:fldChar w:fldCharType="separate"/>
    </w:r>
    <w:r>
      <w:rPr>
        <w:b/>
        <w:noProof/>
        <w:sz w:val="18"/>
      </w:rPr>
      <w:t>iii</w:t>
    </w:r>
    <w:r>
      <w:rPr>
        <w:b/>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E3F8EE" w14:textId="77777777" w:rsidR="00A02B4C" w:rsidRPr="00A02B4C" w:rsidRDefault="00A02B4C" w:rsidP="00A02B4C">
    <w:pPr>
      <w:pStyle w:val="Pieddepage"/>
      <w:tabs>
        <w:tab w:val="right" w:pos="9638"/>
      </w:tabs>
      <w:rPr>
        <w:b/>
        <w:sz w:val="18"/>
      </w:rPr>
    </w:pPr>
    <w:r>
      <w:t>GE.21-01389</w:t>
    </w:r>
    <w:r>
      <w:tab/>
    </w:r>
    <w:r w:rsidRPr="00A02B4C">
      <w:rPr>
        <w:b/>
        <w:sz w:val="18"/>
      </w:rPr>
      <w:fldChar w:fldCharType="begin"/>
    </w:r>
    <w:r w:rsidRPr="00A02B4C">
      <w:rPr>
        <w:b/>
        <w:sz w:val="18"/>
      </w:rPr>
      <w:instrText xml:space="preserve"> PAGE  \* MERGEFORMAT </w:instrText>
    </w:r>
    <w:r w:rsidRPr="00A02B4C">
      <w:rPr>
        <w:b/>
        <w:sz w:val="18"/>
      </w:rPr>
      <w:fldChar w:fldCharType="separate"/>
    </w:r>
    <w:r w:rsidRPr="00A02B4C">
      <w:rPr>
        <w:b/>
        <w:noProof/>
        <w:sz w:val="18"/>
      </w:rPr>
      <w:t>v</w:t>
    </w:r>
    <w:r w:rsidRPr="00A02B4C">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F9C8BB" w14:textId="77777777" w:rsidR="00DC7F14" w:rsidRPr="00D27D5E" w:rsidRDefault="00DC7F14" w:rsidP="00D27D5E">
      <w:pPr>
        <w:tabs>
          <w:tab w:val="right" w:pos="2155"/>
        </w:tabs>
        <w:spacing w:after="80"/>
        <w:ind w:left="680"/>
        <w:rPr>
          <w:u w:val="single"/>
        </w:rPr>
      </w:pPr>
      <w:r>
        <w:rPr>
          <w:u w:val="single"/>
        </w:rPr>
        <w:tab/>
      </w:r>
    </w:p>
  </w:footnote>
  <w:footnote w:type="continuationSeparator" w:id="0">
    <w:p w14:paraId="29C36792" w14:textId="77777777" w:rsidR="00DC7F14" w:rsidRPr="00D171D4" w:rsidRDefault="00DC7F14" w:rsidP="00D171D4">
      <w:pPr>
        <w:tabs>
          <w:tab w:val="right" w:pos="2155"/>
        </w:tabs>
        <w:spacing w:after="80"/>
        <w:ind w:left="680"/>
        <w:rPr>
          <w:u w:val="single"/>
        </w:rPr>
      </w:pPr>
      <w:r w:rsidRPr="00D171D4">
        <w:rPr>
          <w:u w:val="single"/>
        </w:rPr>
        <w:tab/>
      </w:r>
    </w:p>
  </w:footnote>
  <w:footnote w:type="continuationNotice" w:id="1">
    <w:p w14:paraId="02F93045" w14:textId="77777777" w:rsidR="00DC7F14" w:rsidRPr="00C451B9" w:rsidRDefault="00DC7F14" w:rsidP="00C451B9">
      <w:pPr>
        <w:spacing w:line="240" w:lineRule="auto"/>
        <w:rPr>
          <w:sz w:val="2"/>
          <w:szCs w:val="2"/>
        </w:rPr>
      </w:pPr>
    </w:p>
  </w:footnote>
  <w:footnote w:id="2">
    <w:p w14:paraId="34895684" w14:textId="77777777" w:rsidR="00A02B4C" w:rsidRPr="007679BD" w:rsidRDefault="00A02B4C" w:rsidP="00A02B4C">
      <w:pPr>
        <w:pStyle w:val="Notedebasdepage"/>
        <w:rPr>
          <w:lang w:val="fr-FR"/>
        </w:rPr>
      </w:pPr>
      <w:r>
        <w:rPr>
          <w:lang w:val="fr-FR"/>
        </w:rPr>
        <w:tab/>
        <w:t>*</w:t>
      </w:r>
      <w:r>
        <w:rPr>
          <w:lang w:val="fr-FR"/>
        </w:rPr>
        <w:tab/>
        <w:t>États ayant fait les déclarations prévues aux articles 10 et 11 du Protocole facultatif.</w:t>
      </w:r>
    </w:p>
  </w:footnote>
  <w:footnote w:id="3">
    <w:p w14:paraId="13C8CB6A" w14:textId="77777777" w:rsidR="00A02B4C" w:rsidRPr="007679BD" w:rsidRDefault="00A02B4C" w:rsidP="00A02B4C">
      <w:pPr>
        <w:pStyle w:val="Notedebasdepage"/>
        <w:rPr>
          <w:lang w:val="fr-FR"/>
        </w:rPr>
      </w:pPr>
      <w:r w:rsidRPr="0096541E">
        <w:rPr>
          <w:lang w:val="fr-FR"/>
        </w:rPr>
        <w:tab/>
      </w:r>
      <w:r w:rsidRPr="0031089E">
        <w:rPr>
          <w:rStyle w:val="Appelnotedebasdep"/>
          <w:lang w:val="fr-FR"/>
        </w:rPr>
        <w:footnoteRef/>
      </w:r>
      <w:r>
        <w:rPr>
          <w:lang w:val="fr-FR"/>
        </w:rPr>
        <w:tab/>
        <w:t xml:space="preserve">Voir </w:t>
      </w:r>
      <w:r w:rsidRPr="002015EB">
        <w:rPr>
          <w:i/>
          <w:iCs/>
          <w:lang w:val="fr-FR"/>
        </w:rPr>
        <w:t xml:space="preserve">Documents officiels du Conseil économique et social, 2009, Supplément </w:t>
      </w:r>
      <w:r w:rsidRPr="00270D35">
        <w:rPr>
          <w:rFonts w:eastAsia="MS Mincho"/>
          <w:i/>
          <w:iCs/>
          <w:lang w:val="fr-FR"/>
        </w:rPr>
        <w:t>n</w:t>
      </w:r>
      <w:r w:rsidRPr="00270D35">
        <w:rPr>
          <w:rFonts w:eastAsia="MS Mincho"/>
          <w:i/>
          <w:iCs/>
          <w:vertAlign w:val="superscript"/>
          <w:lang w:val="fr-FR"/>
        </w:rPr>
        <w:t>o</w:t>
      </w:r>
      <w:r>
        <w:rPr>
          <w:i/>
          <w:iCs/>
          <w:lang w:val="fr-FR"/>
        </w:rPr>
        <w:t> </w:t>
      </w:r>
      <w:r w:rsidRPr="002015EB">
        <w:rPr>
          <w:i/>
          <w:iCs/>
          <w:lang w:val="fr-FR"/>
        </w:rPr>
        <w:t>2</w:t>
      </w:r>
      <w:r>
        <w:rPr>
          <w:lang w:val="fr-FR"/>
        </w:rPr>
        <w:t xml:space="preserve"> (</w:t>
      </w:r>
      <w:hyperlink r:id="rId1" w:history="1">
        <w:r w:rsidRPr="00ED6D6A">
          <w:rPr>
            <w:rStyle w:val="Lienhypertexte"/>
            <w:lang w:val="fr-FR"/>
          </w:rPr>
          <w:t>E/2009/22-E/C.12/2008/3</w:t>
        </w:r>
      </w:hyperlink>
      <w:r>
        <w:rPr>
          <w:lang w:val="fr-FR"/>
        </w:rPr>
        <w:t>), annexe VIII.</w:t>
      </w:r>
    </w:p>
  </w:footnote>
  <w:footnote w:id="4">
    <w:p w14:paraId="19306399" w14:textId="77777777" w:rsidR="00A02B4C" w:rsidRPr="007679BD" w:rsidRDefault="00A02B4C" w:rsidP="00A02B4C">
      <w:pPr>
        <w:pStyle w:val="Notedebasdepage"/>
        <w:rPr>
          <w:lang w:val="fr-FR"/>
        </w:rPr>
      </w:pPr>
      <w:r w:rsidRPr="0096541E">
        <w:rPr>
          <w:lang w:val="fr-FR"/>
        </w:rPr>
        <w:tab/>
      </w:r>
      <w:r w:rsidRPr="0031089E">
        <w:rPr>
          <w:rStyle w:val="Appelnotedebasdep"/>
          <w:lang w:val="fr-FR"/>
        </w:rPr>
        <w:footnoteRef/>
      </w:r>
      <w:r w:rsidRPr="0041666F">
        <w:tab/>
        <w:t xml:space="preserve">Ibid., </w:t>
      </w:r>
      <w:r w:rsidRPr="0041666F">
        <w:rPr>
          <w:i/>
          <w:iCs/>
        </w:rPr>
        <w:t xml:space="preserve">1988, Supplément </w:t>
      </w:r>
      <w:r w:rsidRPr="0041666F">
        <w:rPr>
          <w:rFonts w:eastAsia="MS Mincho"/>
          <w:i/>
          <w:iCs/>
        </w:rPr>
        <w:t>n</w:t>
      </w:r>
      <w:r w:rsidRPr="0041666F">
        <w:rPr>
          <w:rFonts w:eastAsia="MS Mincho"/>
          <w:i/>
          <w:iCs/>
          <w:vertAlign w:val="superscript"/>
        </w:rPr>
        <w:t>o</w:t>
      </w:r>
      <w:r w:rsidRPr="0041666F">
        <w:rPr>
          <w:i/>
          <w:iCs/>
        </w:rPr>
        <w:t> 4</w:t>
      </w:r>
      <w:r w:rsidRPr="0041666F">
        <w:t xml:space="preserve"> (</w:t>
      </w:r>
      <w:hyperlink r:id="rId2" w:history="1">
        <w:r w:rsidRPr="0041666F">
          <w:rPr>
            <w:rStyle w:val="Lienhypertexte"/>
          </w:rPr>
          <w:t>E/1988/14-E/C.12/1988/4</w:t>
        </w:r>
      </w:hyperlink>
      <w:r w:rsidRPr="0041666F">
        <w:t xml:space="preserve">), chap. </w:t>
      </w:r>
      <w:r>
        <w:rPr>
          <w:lang w:val="fr-FR"/>
        </w:rPr>
        <w:t>IV, par. 361.</w:t>
      </w:r>
    </w:p>
  </w:footnote>
  <w:footnote w:id="5">
    <w:p w14:paraId="70699FFF" w14:textId="77777777" w:rsidR="00A02B4C" w:rsidRPr="007679BD" w:rsidRDefault="00A02B4C" w:rsidP="00A02B4C">
      <w:pPr>
        <w:pStyle w:val="Notedebasdepage"/>
        <w:rPr>
          <w:lang w:val="fr-FR"/>
        </w:rPr>
      </w:pPr>
      <w:r w:rsidRPr="0096541E">
        <w:rPr>
          <w:lang w:val="fr-FR"/>
        </w:rPr>
        <w:tab/>
      </w:r>
      <w:r w:rsidRPr="0031089E">
        <w:rPr>
          <w:rStyle w:val="Appelnotedebasdep"/>
          <w:lang w:val="fr-FR"/>
        </w:rPr>
        <w:footnoteRef/>
      </w:r>
      <w:r>
        <w:rPr>
          <w:lang w:val="fr-FR"/>
        </w:rPr>
        <w:tab/>
        <w:t xml:space="preserve">Voir </w:t>
      </w:r>
      <w:r w:rsidRPr="00FC6880">
        <w:rPr>
          <w:i/>
          <w:iCs/>
          <w:lang w:val="fr-FR"/>
        </w:rPr>
        <w:t xml:space="preserve">Documents officiels du Conseil économique et social, 2000, Supplément </w:t>
      </w:r>
      <w:r w:rsidRPr="00201BB9">
        <w:rPr>
          <w:rFonts w:eastAsia="MS Mincho"/>
          <w:i/>
          <w:iCs/>
          <w:lang w:val="fr-FR"/>
        </w:rPr>
        <w:t>n</w:t>
      </w:r>
      <w:r w:rsidRPr="00201BB9">
        <w:rPr>
          <w:rFonts w:eastAsia="MS Mincho"/>
          <w:i/>
          <w:iCs/>
          <w:vertAlign w:val="superscript"/>
          <w:lang w:val="fr-FR"/>
        </w:rPr>
        <w:t>o</w:t>
      </w:r>
      <w:r>
        <w:rPr>
          <w:i/>
          <w:iCs/>
          <w:lang w:val="fr-FR"/>
        </w:rPr>
        <w:t> </w:t>
      </w:r>
      <w:r w:rsidRPr="00FC6880">
        <w:rPr>
          <w:i/>
          <w:iCs/>
          <w:lang w:val="fr-FR"/>
        </w:rPr>
        <w:t>2</w:t>
      </w:r>
      <w:r>
        <w:rPr>
          <w:lang w:val="fr-FR"/>
        </w:rPr>
        <w:t xml:space="preserve"> (</w:t>
      </w:r>
      <w:hyperlink r:id="rId3" w:history="1">
        <w:r w:rsidRPr="000F25D2">
          <w:rPr>
            <w:rStyle w:val="Lienhypertexte"/>
            <w:lang w:val="fr-FR"/>
          </w:rPr>
          <w:t>E/2000/22-E/C.12/1999/11</w:t>
        </w:r>
      </w:hyperlink>
      <w:r>
        <w:rPr>
          <w:lang w:val="fr-FR"/>
        </w:rPr>
        <w:t xml:space="preserve"> et </w:t>
      </w:r>
      <w:hyperlink r:id="rId4" w:history="1">
        <w:r w:rsidRPr="000F25D2">
          <w:rPr>
            <w:rStyle w:val="Lienhypertexte"/>
            <w:lang w:val="fr-FR"/>
          </w:rPr>
          <w:t>Corr.1</w:t>
        </w:r>
      </w:hyperlink>
      <w:r>
        <w:rPr>
          <w:lang w:val="fr-FR"/>
        </w:rPr>
        <w:t>), par. 38 et 39.</w:t>
      </w:r>
    </w:p>
  </w:footnote>
  <w:footnote w:id="6">
    <w:p w14:paraId="1F2BFB6A" w14:textId="77777777" w:rsidR="00A02B4C" w:rsidRPr="007679BD" w:rsidRDefault="00A02B4C" w:rsidP="00A02B4C">
      <w:pPr>
        <w:pStyle w:val="Notedebasdepage"/>
        <w:rPr>
          <w:lang w:val="fr-FR"/>
        </w:rPr>
      </w:pPr>
      <w:r w:rsidRPr="0096541E">
        <w:rPr>
          <w:lang w:val="fr-FR"/>
        </w:rPr>
        <w:tab/>
      </w:r>
      <w:r w:rsidRPr="0031089E">
        <w:rPr>
          <w:rStyle w:val="Appelnotedebasdep"/>
          <w:lang w:val="fr-FR"/>
        </w:rPr>
        <w:footnoteRef/>
      </w:r>
      <w:r>
        <w:rPr>
          <w:lang w:val="fr-FR"/>
        </w:rPr>
        <w:tab/>
      </w:r>
      <w:hyperlink r:id="rId5" w:history="1">
        <w:r w:rsidRPr="0041666F">
          <w:rPr>
            <w:rStyle w:val="Lienhypertexte"/>
            <w:lang w:val="fr-FR"/>
          </w:rPr>
          <w:t>E/2007/22</w:t>
        </w:r>
      </w:hyperlink>
      <w:r>
        <w:rPr>
          <w:lang w:val="fr-FR"/>
        </w:rPr>
        <w:t>, par. 42.</w:t>
      </w:r>
    </w:p>
  </w:footnote>
  <w:footnote w:id="7">
    <w:p w14:paraId="7558DC0F" w14:textId="3BA1C268" w:rsidR="00A02B4C" w:rsidRPr="007679BD" w:rsidRDefault="00A02B4C" w:rsidP="00A02B4C">
      <w:pPr>
        <w:pStyle w:val="Notedebasdepage"/>
        <w:rPr>
          <w:lang w:val="fr-FR"/>
        </w:rPr>
      </w:pPr>
      <w:r w:rsidRPr="0096541E">
        <w:rPr>
          <w:lang w:val="fr-FR"/>
        </w:rPr>
        <w:tab/>
      </w:r>
      <w:r w:rsidRPr="0031089E">
        <w:rPr>
          <w:rStyle w:val="Appelnotedebasdep"/>
          <w:lang w:val="fr-FR"/>
        </w:rPr>
        <w:footnoteRef/>
      </w:r>
      <w:r>
        <w:rPr>
          <w:lang w:val="fr-FR"/>
        </w:rPr>
        <w:tab/>
        <w:t xml:space="preserve">Voir </w:t>
      </w:r>
      <w:r w:rsidRPr="009E01CA">
        <w:rPr>
          <w:i/>
          <w:iCs/>
          <w:lang w:val="fr-FR"/>
        </w:rPr>
        <w:t xml:space="preserve">Documents officiels du Conseil économique et social, 2001, Supplément </w:t>
      </w:r>
      <w:r w:rsidRPr="00B84EC4">
        <w:rPr>
          <w:rFonts w:eastAsia="MS Mincho"/>
          <w:i/>
          <w:iCs/>
          <w:lang w:val="fr-FR"/>
        </w:rPr>
        <w:t>n</w:t>
      </w:r>
      <w:r w:rsidRPr="00B84EC4">
        <w:rPr>
          <w:rFonts w:eastAsia="MS Mincho"/>
          <w:i/>
          <w:iCs/>
          <w:vertAlign w:val="superscript"/>
          <w:lang w:val="fr-FR"/>
        </w:rPr>
        <w:t>o</w:t>
      </w:r>
      <w:r w:rsidR="00DF4347" w:rsidRPr="00DF4347">
        <w:rPr>
          <w:rFonts w:eastAsia="MS Mincho"/>
          <w:i/>
          <w:iCs/>
          <w:lang w:val="fr-FR"/>
        </w:rPr>
        <w:t> </w:t>
      </w:r>
      <w:r w:rsidRPr="009E01CA">
        <w:rPr>
          <w:i/>
          <w:iCs/>
          <w:lang w:val="fr-FR"/>
        </w:rPr>
        <w:t>2</w:t>
      </w:r>
      <w:r>
        <w:rPr>
          <w:lang w:val="fr-FR"/>
        </w:rPr>
        <w:t xml:space="preserve"> (</w:t>
      </w:r>
      <w:hyperlink r:id="rId6" w:history="1">
        <w:r w:rsidRPr="00200C7C">
          <w:rPr>
            <w:rStyle w:val="Lienhypertexte"/>
            <w:lang w:val="fr-FR"/>
          </w:rPr>
          <w:t>E/2001/22-E/C.12/2000/21</w:t>
        </w:r>
      </w:hyperlink>
      <w:r>
        <w:rPr>
          <w:lang w:val="fr-FR"/>
        </w:rPr>
        <w:t>), annexe V.</w:t>
      </w:r>
    </w:p>
  </w:footnote>
  <w:footnote w:id="8">
    <w:p w14:paraId="6CFF2162" w14:textId="77777777" w:rsidR="00A02B4C" w:rsidRPr="007679BD" w:rsidRDefault="00A02B4C" w:rsidP="00A02B4C">
      <w:pPr>
        <w:pStyle w:val="Notedebasdepage"/>
        <w:rPr>
          <w:lang w:val="fr-FR"/>
        </w:rPr>
      </w:pPr>
      <w:r w:rsidRPr="0096541E">
        <w:rPr>
          <w:lang w:val="fr-FR"/>
        </w:rPr>
        <w:tab/>
      </w:r>
      <w:r w:rsidRPr="0031089E">
        <w:rPr>
          <w:rStyle w:val="Appelnotedebasdep"/>
          <w:lang w:val="fr-FR"/>
        </w:rPr>
        <w:footnoteRef/>
      </w:r>
      <w:r>
        <w:rPr>
          <w:lang w:val="fr-FR"/>
        </w:rPr>
        <w:tab/>
        <w:t xml:space="preserve">Voir </w:t>
      </w:r>
      <w:r w:rsidRPr="003624B1">
        <w:rPr>
          <w:i/>
          <w:iCs/>
          <w:lang w:val="fr-FR"/>
        </w:rPr>
        <w:t xml:space="preserve">Documents officiels du Conseil économique et social, 2000, Supplément </w:t>
      </w:r>
      <w:r w:rsidRPr="00C04B01">
        <w:rPr>
          <w:rFonts w:eastAsia="MS Mincho"/>
          <w:i/>
          <w:iCs/>
          <w:lang w:val="fr-FR"/>
        </w:rPr>
        <w:t>n</w:t>
      </w:r>
      <w:r w:rsidRPr="00C04B01">
        <w:rPr>
          <w:rFonts w:eastAsia="MS Mincho"/>
          <w:i/>
          <w:iCs/>
          <w:vertAlign w:val="superscript"/>
          <w:lang w:val="fr-FR"/>
        </w:rPr>
        <w:t>o</w:t>
      </w:r>
      <w:r>
        <w:rPr>
          <w:i/>
          <w:iCs/>
          <w:lang w:val="fr-FR"/>
        </w:rPr>
        <w:t> </w:t>
      </w:r>
      <w:r w:rsidRPr="003624B1">
        <w:rPr>
          <w:i/>
          <w:iCs/>
          <w:lang w:val="fr-FR"/>
        </w:rPr>
        <w:t>2</w:t>
      </w:r>
      <w:r>
        <w:rPr>
          <w:lang w:val="fr-FR"/>
        </w:rPr>
        <w:t xml:space="preserve"> (</w:t>
      </w:r>
      <w:hyperlink r:id="rId7" w:history="1">
        <w:r w:rsidRPr="00BA5772">
          <w:rPr>
            <w:rStyle w:val="Lienhypertexte"/>
            <w:lang w:val="fr-FR"/>
          </w:rPr>
          <w:t>E/2000/22-E/C.12/1999/11</w:t>
        </w:r>
      </w:hyperlink>
      <w:r>
        <w:rPr>
          <w:lang w:val="fr-FR"/>
        </w:rPr>
        <w:t xml:space="preserve"> et </w:t>
      </w:r>
      <w:hyperlink r:id="rId8" w:history="1">
        <w:r w:rsidRPr="004863CF">
          <w:rPr>
            <w:rStyle w:val="Lienhypertexte"/>
            <w:lang w:val="fr-FR"/>
          </w:rPr>
          <w:t>Corr.1</w:t>
        </w:r>
      </w:hyperlink>
      <w:r>
        <w:rPr>
          <w:lang w:val="fr-FR"/>
        </w:rPr>
        <w:t>), annexe IX.</w:t>
      </w:r>
    </w:p>
  </w:footnote>
  <w:footnote w:id="9">
    <w:p w14:paraId="12B0A936" w14:textId="77777777" w:rsidR="00A02B4C" w:rsidRPr="007679BD" w:rsidRDefault="00A02B4C" w:rsidP="00A02B4C">
      <w:pPr>
        <w:pStyle w:val="Notedebasdepage"/>
        <w:rPr>
          <w:lang w:val="fr-FR"/>
        </w:rPr>
      </w:pPr>
      <w:r>
        <w:rPr>
          <w:lang w:val="fr-FR"/>
        </w:rPr>
        <w:tab/>
      </w:r>
      <w:r w:rsidRPr="0031089E">
        <w:rPr>
          <w:rStyle w:val="Appelnotedebasdep"/>
          <w:lang w:val="fr-FR"/>
        </w:rPr>
        <w:footnoteRef/>
      </w:r>
      <w:r>
        <w:rPr>
          <w:lang w:val="fr-FR"/>
        </w:rPr>
        <w:tab/>
        <w:t xml:space="preserve">Voir </w:t>
      </w:r>
      <w:hyperlink r:id="rId9" w:history="1">
        <w:r w:rsidRPr="0041666F">
          <w:rPr>
            <w:rStyle w:val="Lienhypertexte"/>
            <w:lang w:val="fr-FR"/>
          </w:rPr>
          <w:t>www.ohchr.org/Documents/HRBodies/TB/HRTD/LeafletTBS_fr.pdf</w:t>
        </w:r>
      </w:hyperlink>
      <w:r w:rsidRPr="0041666F">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9363B5" w14:textId="77777777" w:rsidR="00B7180A" w:rsidRDefault="00B7180A" w:rsidP="00E37E2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94C534" w14:textId="77777777" w:rsidR="00B7180A" w:rsidRDefault="00B7180A" w:rsidP="00A02B4C"/>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F282F1" w14:textId="07464A48" w:rsidR="00A02B4C" w:rsidRDefault="00E6322D" w:rsidP="00A02B4C">
    <w:pPr>
      <w:pStyle w:val="En-tte"/>
    </w:pPr>
    <w:r>
      <w:t>E/2021/22</w:t>
    </w:r>
    <w:r>
      <w:br/>
      <w:t>E/C.12/2020/3</w:t>
    </w:r>
  </w:p>
  <w:p w14:paraId="2E9C6BD9" w14:textId="77777777" w:rsidR="00271921" w:rsidRPr="00271921" w:rsidRDefault="00271921" w:rsidP="00271921"/>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762C13" w14:textId="097E1436" w:rsidR="00B7180A" w:rsidRDefault="00A02B4C" w:rsidP="00A02B4C">
    <w:pPr>
      <w:pStyle w:val="En-tte"/>
      <w:jc w:val="right"/>
    </w:pPr>
    <w:fldSimple w:instr=" TITLE  \* MERGEFORMAT ">
      <w:r w:rsidR="00032695">
        <w:t>E/2021/22</w:t>
      </w:r>
    </w:fldSimple>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968AC9" w14:textId="6E0EBAD0" w:rsidR="00A02B4C" w:rsidRDefault="00E6322D" w:rsidP="00A02B4C">
    <w:pPr>
      <w:pStyle w:val="En-tte"/>
      <w:jc w:val="right"/>
    </w:pPr>
    <w:r>
      <w:t>E/2021/22</w:t>
    </w:r>
    <w:r>
      <w:br/>
      <w:t>E/C.12/2020/3</w:t>
    </w:r>
  </w:p>
  <w:p w14:paraId="4621B11A" w14:textId="77777777" w:rsidR="00271921" w:rsidRPr="00271921" w:rsidRDefault="00271921" w:rsidP="00271921"/>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60D781" w14:textId="41E22672" w:rsidR="00A02B4C" w:rsidRDefault="00E6322D" w:rsidP="00A02B4C">
    <w:pPr>
      <w:pStyle w:val="En-tte"/>
      <w:jc w:val="right"/>
    </w:pPr>
    <w:r>
      <w:t>E/2021/22</w:t>
    </w:r>
    <w:r>
      <w:br/>
      <w:t>E/C.12/2020/3</w:t>
    </w:r>
  </w:p>
  <w:p w14:paraId="1BE9A940" w14:textId="77777777" w:rsidR="00271921" w:rsidRPr="00271921" w:rsidRDefault="00271921" w:rsidP="0027192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enum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enum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enum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enum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epuce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epuce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epuce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epuce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enum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epuce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54B29084">
      <w:start w:val="1"/>
      <w:numFmt w:val="bullet"/>
      <w:pStyle w:val="Appeldenotedefin"/>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AFD3DE4"/>
    <w:multiLevelType w:val="hybridMultilevel"/>
    <w:tmpl w:val="569E52D4"/>
    <w:lvl w:ilvl="0" w:tplc="01823A3A">
      <w:start w:val="1"/>
      <w:numFmt w:val="bullet"/>
      <w:pStyle w:val="Pieddepage"/>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CC639E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2"/>
  </w:num>
  <w:num w:numId="3">
    <w:abstractNumId w:val="10"/>
  </w:num>
  <w:num w:numId="4">
    <w:abstractNumId w:val="14"/>
  </w:num>
  <w:num w:numId="5">
    <w:abstractNumId w:val="12"/>
  </w:num>
  <w:num w:numId="6">
    <w:abstractNumId w:val="10"/>
  </w:num>
  <w:num w:numId="7">
    <w:abstractNumId w:val="9"/>
  </w:num>
  <w:num w:numId="8">
    <w:abstractNumId w:val="18"/>
  </w:num>
  <w:num w:numId="9">
    <w:abstractNumId w:val="17"/>
  </w:num>
  <w:num w:numId="10">
    <w:abstractNumId w:val="13"/>
  </w:num>
  <w:num w:numId="11">
    <w:abstractNumId w:val="8"/>
  </w:num>
  <w:num w:numId="12">
    <w:abstractNumId w:val="3"/>
  </w:num>
  <w:num w:numId="13">
    <w:abstractNumId w:val="2"/>
  </w:num>
  <w:num w:numId="14">
    <w:abstractNumId w:val="1"/>
  </w:num>
  <w:num w:numId="15">
    <w:abstractNumId w:val="0"/>
  </w:num>
  <w:num w:numId="16">
    <w:abstractNumId w:val="7"/>
  </w:num>
  <w:num w:numId="17">
    <w:abstractNumId w:val="6"/>
  </w:num>
  <w:num w:numId="18">
    <w:abstractNumId w:val="5"/>
  </w:num>
  <w:num w:numId="19">
    <w:abstractNumId w:val="4"/>
  </w:num>
  <w:num w:numId="20">
    <w:abstractNumId w:val="15"/>
  </w:num>
  <w:num w:numId="21">
    <w:abstractNumId w:val="11"/>
  </w:num>
  <w:num w:numId="22">
    <w:abstractNumId w:val="1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activeWritingStyle w:appName="MSWord" w:lang="en-GB" w:vendorID="64" w:dllVersion="5" w:nlCheck="1" w:checkStyle="1"/>
  <w:activeWritingStyle w:appName="MSWord" w:lang="fr-CH" w:vendorID="64" w:dllVersion="6" w:nlCheck="1" w:checkStyle="1"/>
  <w:activeWritingStyle w:appName="MSWord" w:lang="fr-FR" w:vendorID="64" w:dllVersion="6" w:nlCheck="1" w:checkStyle="1"/>
  <w:activeWritingStyle w:appName="MSWord" w:lang="fr-CH" w:vendorID="64" w:dllVersion="0" w:nlCheck="1" w:checkStyle="0"/>
  <w:activeWritingStyle w:appName="MSWord" w:lang="fr-FR" w:vendorID="64" w:dllVersion="0" w:nlCheck="1" w:checkStyle="0"/>
  <w:activeWritingStyle w:appName="MSWord" w:lang="es-ES" w:vendorID="64" w:dllVersion="0" w:nlCheck="1" w:checkStyle="0"/>
  <w:activeWritingStyle w:appName="MSWord" w:lang="en-US" w:vendorID="64" w:dllVersion="0" w:nlCheck="1" w:checkStyle="0"/>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F14"/>
    <w:rsid w:val="000067A6"/>
    <w:rsid w:val="0001470D"/>
    <w:rsid w:val="00016165"/>
    <w:rsid w:val="00016AC5"/>
    <w:rsid w:val="00021907"/>
    <w:rsid w:val="000233A5"/>
    <w:rsid w:val="0002445D"/>
    <w:rsid w:val="00024C50"/>
    <w:rsid w:val="00025E92"/>
    <w:rsid w:val="000276A3"/>
    <w:rsid w:val="00031C3D"/>
    <w:rsid w:val="00032060"/>
    <w:rsid w:val="00032695"/>
    <w:rsid w:val="00040539"/>
    <w:rsid w:val="00040598"/>
    <w:rsid w:val="00047F10"/>
    <w:rsid w:val="00052157"/>
    <w:rsid w:val="0005346D"/>
    <w:rsid w:val="00055FE4"/>
    <w:rsid w:val="000641CE"/>
    <w:rsid w:val="00067310"/>
    <w:rsid w:val="00077E35"/>
    <w:rsid w:val="0008669E"/>
    <w:rsid w:val="00090599"/>
    <w:rsid w:val="00096270"/>
    <w:rsid w:val="000A1501"/>
    <w:rsid w:val="000A2494"/>
    <w:rsid w:val="000A6B7E"/>
    <w:rsid w:val="000C6CDB"/>
    <w:rsid w:val="000D5C25"/>
    <w:rsid w:val="000E4F06"/>
    <w:rsid w:val="000E5601"/>
    <w:rsid w:val="000F41F2"/>
    <w:rsid w:val="0010373B"/>
    <w:rsid w:val="00125446"/>
    <w:rsid w:val="00126DCC"/>
    <w:rsid w:val="001358D9"/>
    <w:rsid w:val="00141E26"/>
    <w:rsid w:val="00143EB9"/>
    <w:rsid w:val="00145051"/>
    <w:rsid w:val="0015389C"/>
    <w:rsid w:val="00160540"/>
    <w:rsid w:val="00166C68"/>
    <w:rsid w:val="00174814"/>
    <w:rsid w:val="00181A90"/>
    <w:rsid w:val="00190D5D"/>
    <w:rsid w:val="00192660"/>
    <w:rsid w:val="00192EEB"/>
    <w:rsid w:val="00194484"/>
    <w:rsid w:val="0019559B"/>
    <w:rsid w:val="001A2040"/>
    <w:rsid w:val="001A20FB"/>
    <w:rsid w:val="001A376F"/>
    <w:rsid w:val="001B09BB"/>
    <w:rsid w:val="001C3D8D"/>
    <w:rsid w:val="001C6497"/>
    <w:rsid w:val="001D12EC"/>
    <w:rsid w:val="001D7F8A"/>
    <w:rsid w:val="001E0447"/>
    <w:rsid w:val="001E1495"/>
    <w:rsid w:val="001E34CB"/>
    <w:rsid w:val="001E3FEB"/>
    <w:rsid w:val="001E4541"/>
    <w:rsid w:val="001E4A02"/>
    <w:rsid w:val="001E4E3F"/>
    <w:rsid w:val="001E5979"/>
    <w:rsid w:val="001E653B"/>
    <w:rsid w:val="001E6DF0"/>
    <w:rsid w:val="001F3E68"/>
    <w:rsid w:val="001F4931"/>
    <w:rsid w:val="001F6DE4"/>
    <w:rsid w:val="001F6EA4"/>
    <w:rsid w:val="00200CBA"/>
    <w:rsid w:val="00204B66"/>
    <w:rsid w:val="002059CE"/>
    <w:rsid w:val="00206AD4"/>
    <w:rsid w:val="00224B8B"/>
    <w:rsid w:val="00225A8C"/>
    <w:rsid w:val="00231A7F"/>
    <w:rsid w:val="00242BBD"/>
    <w:rsid w:val="0024586F"/>
    <w:rsid w:val="00246BC8"/>
    <w:rsid w:val="00251F95"/>
    <w:rsid w:val="00252317"/>
    <w:rsid w:val="002659F1"/>
    <w:rsid w:val="00270821"/>
    <w:rsid w:val="00271921"/>
    <w:rsid w:val="00271E41"/>
    <w:rsid w:val="00284C19"/>
    <w:rsid w:val="00286E23"/>
    <w:rsid w:val="002876A1"/>
    <w:rsid w:val="00287CA6"/>
    <w:rsid w:val="00287E79"/>
    <w:rsid w:val="00290049"/>
    <w:rsid w:val="002928F9"/>
    <w:rsid w:val="00294D5B"/>
    <w:rsid w:val="002A2A2C"/>
    <w:rsid w:val="002A5D07"/>
    <w:rsid w:val="002D1BED"/>
    <w:rsid w:val="002D25CA"/>
    <w:rsid w:val="002D3DA4"/>
    <w:rsid w:val="002D64CF"/>
    <w:rsid w:val="002E2F5C"/>
    <w:rsid w:val="002F0C48"/>
    <w:rsid w:val="003016B7"/>
    <w:rsid w:val="00305BCD"/>
    <w:rsid w:val="0030754C"/>
    <w:rsid w:val="00317E54"/>
    <w:rsid w:val="00322DF1"/>
    <w:rsid w:val="00324EBF"/>
    <w:rsid w:val="0032556C"/>
    <w:rsid w:val="00330508"/>
    <w:rsid w:val="0033286A"/>
    <w:rsid w:val="00333130"/>
    <w:rsid w:val="0034168A"/>
    <w:rsid w:val="00346E32"/>
    <w:rsid w:val="003515AA"/>
    <w:rsid w:val="00364F13"/>
    <w:rsid w:val="0036776C"/>
    <w:rsid w:val="00372A7A"/>
    <w:rsid w:val="00372D1D"/>
    <w:rsid w:val="00374106"/>
    <w:rsid w:val="0037679A"/>
    <w:rsid w:val="0038047C"/>
    <w:rsid w:val="00390EEF"/>
    <w:rsid w:val="00394410"/>
    <w:rsid w:val="003976D5"/>
    <w:rsid w:val="003B53B6"/>
    <w:rsid w:val="003D3C77"/>
    <w:rsid w:val="003D6C68"/>
    <w:rsid w:val="003E01D0"/>
    <w:rsid w:val="003E49B9"/>
    <w:rsid w:val="003E5F12"/>
    <w:rsid w:val="003E786C"/>
    <w:rsid w:val="003F2A89"/>
    <w:rsid w:val="003F4433"/>
    <w:rsid w:val="003F4A54"/>
    <w:rsid w:val="0040144C"/>
    <w:rsid w:val="004067AE"/>
    <w:rsid w:val="00410521"/>
    <w:rsid w:val="00413BB0"/>
    <w:rsid w:val="004159D0"/>
    <w:rsid w:val="00417326"/>
    <w:rsid w:val="00422499"/>
    <w:rsid w:val="004342E2"/>
    <w:rsid w:val="00434354"/>
    <w:rsid w:val="00440BC8"/>
    <w:rsid w:val="00454F8D"/>
    <w:rsid w:val="004567EB"/>
    <w:rsid w:val="00460E72"/>
    <w:rsid w:val="00467412"/>
    <w:rsid w:val="00476265"/>
    <w:rsid w:val="00481132"/>
    <w:rsid w:val="00483E94"/>
    <w:rsid w:val="00490F56"/>
    <w:rsid w:val="00491F39"/>
    <w:rsid w:val="004A49A5"/>
    <w:rsid w:val="004A66A2"/>
    <w:rsid w:val="004B51CD"/>
    <w:rsid w:val="004C54C0"/>
    <w:rsid w:val="004C56B2"/>
    <w:rsid w:val="004D00B2"/>
    <w:rsid w:val="004E4963"/>
    <w:rsid w:val="004E6809"/>
    <w:rsid w:val="004E7F24"/>
    <w:rsid w:val="004F49A4"/>
    <w:rsid w:val="005111B1"/>
    <w:rsid w:val="0051457E"/>
    <w:rsid w:val="00516D6F"/>
    <w:rsid w:val="0051714B"/>
    <w:rsid w:val="00520F80"/>
    <w:rsid w:val="005239FF"/>
    <w:rsid w:val="00523DB8"/>
    <w:rsid w:val="00533150"/>
    <w:rsid w:val="00541BE4"/>
    <w:rsid w:val="00543B57"/>
    <w:rsid w:val="00543C47"/>
    <w:rsid w:val="00543D5E"/>
    <w:rsid w:val="00550C89"/>
    <w:rsid w:val="00552260"/>
    <w:rsid w:val="00552777"/>
    <w:rsid w:val="00555494"/>
    <w:rsid w:val="00555CBA"/>
    <w:rsid w:val="005629D6"/>
    <w:rsid w:val="00565B29"/>
    <w:rsid w:val="00567F8A"/>
    <w:rsid w:val="00571BC1"/>
    <w:rsid w:val="00571F41"/>
    <w:rsid w:val="00575476"/>
    <w:rsid w:val="00584373"/>
    <w:rsid w:val="00591DB3"/>
    <w:rsid w:val="005939ED"/>
    <w:rsid w:val="005947BC"/>
    <w:rsid w:val="00595E8A"/>
    <w:rsid w:val="005A0268"/>
    <w:rsid w:val="005A6014"/>
    <w:rsid w:val="005B473C"/>
    <w:rsid w:val="005C549A"/>
    <w:rsid w:val="005D7719"/>
    <w:rsid w:val="005E1B9B"/>
    <w:rsid w:val="005E32D1"/>
    <w:rsid w:val="005E5D1F"/>
    <w:rsid w:val="0061113B"/>
    <w:rsid w:val="00611D43"/>
    <w:rsid w:val="00612D48"/>
    <w:rsid w:val="00613A5E"/>
    <w:rsid w:val="00614FBD"/>
    <w:rsid w:val="00616B45"/>
    <w:rsid w:val="006241C6"/>
    <w:rsid w:val="00627593"/>
    <w:rsid w:val="00630D9B"/>
    <w:rsid w:val="00631953"/>
    <w:rsid w:val="0063208D"/>
    <w:rsid w:val="00643814"/>
    <w:rsid w:val="006439EC"/>
    <w:rsid w:val="00645090"/>
    <w:rsid w:val="00647059"/>
    <w:rsid w:val="00647162"/>
    <w:rsid w:val="0065029A"/>
    <w:rsid w:val="00650770"/>
    <w:rsid w:val="00661667"/>
    <w:rsid w:val="00661E96"/>
    <w:rsid w:val="00665786"/>
    <w:rsid w:val="00671C93"/>
    <w:rsid w:val="00671F00"/>
    <w:rsid w:val="006729C8"/>
    <w:rsid w:val="00675501"/>
    <w:rsid w:val="0068562A"/>
    <w:rsid w:val="006957F9"/>
    <w:rsid w:val="006A6B31"/>
    <w:rsid w:val="006A6C95"/>
    <w:rsid w:val="006A7B29"/>
    <w:rsid w:val="006B0EB2"/>
    <w:rsid w:val="006B0FF8"/>
    <w:rsid w:val="006B4590"/>
    <w:rsid w:val="006C340C"/>
    <w:rsid w:val="006E492F"/>
    <w:rsid w:val="006F1D0B"/>
    <w:rsid w:val="006F27A8"/>
    <w:rsid w:val="006F3493"/>
    <w:rsid w:val="006F3544"/>
    <w:rsid w:val="006F5A52"/>
    <w:rsid w:val="00702F0F"/>
    <w:rsid w:val="0070347C"/>
    <w:rsid w:val="007102D2"/>
    <w:rsid w:val="00714647"/>
    <w:rsid w:val="00714A66"/>
    <w:rsid w:val="007176C1"/>
    <w:rsid w:val="00720BC0"/>
    <w:rsid w:val="0072116B"/>
    <w:rsid w:val="00725063"/>
    <w:rsid w:val="00732E72"/>
    <w:rsid w:val="00741D90"/>
    <w:rsid w:val="007607B1"/>
    <w:rsid w:val="00765296"/>
    <w:rsid w:val="00766D28"/>
    <w:rsid w:val="007723C2"/>
    <w:rsid w:val="007815B9"/>
    <w:rsid w:val="00785F1F"/>
    <w:rsid w:val="00790B9D"/>
    <w:rsid w:val="00796316"/>
    <w:rsid w:val="007A1C58"/>
    <w:rsid w:val="007A20D2"/>
    <w:rsid w:val="007A79CD"/>
    <w:rsid w:val="007D2668"/>
    <w:rsid w:val="007D3119"/>
    <w:rsid w:val="007F1867"/>
    <w:rsid w:val="007F1EC4"/>
    <w:rsid w:val="007F55CB"/>
    <w:rsid w:val="007F6597"/>
    <w:rsid w:val="007F768E"/>
    <w:rsid w:val="008021D4"/>
    <w:rsid w:val="008149F9"/>
    <w:rsid w:val="008245B7"/>
    <w:rsid w:val="0082755E"/>
    <w:rsid w:val="00831A18"/>
    <w:rsid w:val="00837345"/>
    <w:rsid w:val="00844750"/>
    <w:rsid w:val="00851A74"/>
    <w:rsid w:val="00853AB8"/>
    <w:rsid w:val="00854C34"/>
    <w:rsid w:val="0085586A"/>
    <w:rsid w:val="00895DE5"/>
    <w:rsid w:val="008A0FA8"/>
    <w:rsid w:val="008A1EC0"/>
    <w:rsid w:val="008B44C4"/>
    <w:rsid w:val="008B6DFA"/>
    <w:rsid w:val="008C322B"/>
    <w:rsid w:val="008C4B74"/>
    <w:rsid w:val="008D1156"/>
    <w:rsid w:val="008D59DB"/>
    <w:rsid w:val="008E0319"/>
    <w:rsid w:val="008E4DE2"/>
    <w:rsid w:val="008E7CE2"/>
    <w:rsid w:val="008E7FAE"/>
    <w:rsid w:val="00911BF7"/>
    <w:rsid w:val="0091594A"/>
    <w:rsid w:val="009230F1"/>
    <w:rsid w:val="00935490"/>
    <w:rsid w:val="009418DE"/>
    <w:rsid w:val="009516B7"/>
    <w:rsid w:val="0095776B"/>
    <w:rsid w:val="00957CE5"/>
    <w:rsid w:val="009624E2"/>
    <w:rsid w:val="00977EC8"/>
    <w:rsid w:val="00983432"/>
    <w:rsid w:val="009A3048"/>
    <w:rsid w:val="009A6C26"/>
    <w:rsid w:val="009B17AD"/>
    <w:rsid w:val="009B3F8C"/>
    <w:rsid w:val="009B45E0"/>
    <w:rsid w:val="009B540F"/>
    <w:rsid w:val="009D3A8C"/>
    <w:rsid w:val="009E1BA9"/>
    <w:rsid w:val="009E2876"/>
    <w:rsid w:val="009E2F0B"/>
    <w:rsid w:val="009E7956"/>
    <w:rsid w:val="009F072F"/>
    <w:rsid w:val="009F26C1"/>
    <w:rsid w:val="009F3F95"/>
    <w:rsid w:val="00A023FC"/>
    <w:rsid w:val="00A02B4C"/>
    <w:rsid w:val="00A0338D"/>
    <w:rsid w:val="00A05DD1"/>
    <w:rsid w:val="00A077E9"/>
    <w:rsid w:val="00A13520"/>
    <w:rsid w:val="00A2492E"/>
    <w:rsid w:val="00A31163"/>
    <w:rsid w:val="00A34593"/>
    <w:rsid w:val="00A364DB"/>
    <w:rsid w:val="00A45E90"/>
    <w:rsid w:val="00A4770F"/>
    <w:rsid w:val="00A50D6B"/>
    <w:rsid w:val="00A51050"/>
    <w:rsid w:val="00A56945"/>
    <w:rsid w:val="00A57027"/>
    <w:rsid w:val="00A5750C"/>
    <w:rsid w:val="00A72C35"/>
    <w:rsid w:val="00A752BB"/>
    <w:rsid w:val="00A81F93"/>
    <w:rsid w:val="00A9247E"/>
    <w:rsid w:val="00AA7796"/>
    <w:rsid w:val="00AC67A1"/>
    <w:rsid w:val="00AC7977"/>
    <w:rsid w:val="00AC7E56"/>
    <w:rsid w:val="00AE2617"/>
    <w:rsid w:val="00AE352C"/>
    <w:rsid w:val="00AE79AC"/>
    <w:rsid w:val="00B01AAD"/>
    <w:rsid w:val="00B101DB"/>
    <w:rsid w:val="00B10DD9"/>
    <w:rsid w:val="00B21751"/>
    <w:rsid w:val="00B256F0"/>
    <w:rsid w:val="00B31D7D"/>
    <w:rsid w:val="00B32E2D"/>
    <w:rsid w:val="00B43741"/>
    <w:rsid w:val="00B45642"/>
    <w:rsid w:val="00B52F29"/>
    <w:rsid w:val="00B5388D"/>
    <w:rsid w:val="00B5722C"/>
    <w:rsid w:val="00B61990"/>
    <w:rsid w:val="00B6249B"/>
    <w:rsid w:val="00B70CCD"/>
    <w:rsid w:val="00B7180A"/>
    <w:rsid w:val="00B75E66"/>
    <w:rsid w:val="00B773BF"/>
    <w:rsid w:val="00B93C7D"/>
    <w:rsid w:val="00BB2E6E"/>
    <w:rsid w:val="00BC3F20"/>
    <w:rsid w:val="00BD03A2"/>
    <w:rsid w:val="00BD28B2"/>
    <w:rsid w:val="00BD5A8D"/>
    <w:rsid w:val="00BD7343"/>
    <w:rsid w:val="00BF0556"/>
    <w:rsid w:val="00BF37EE"/>
    <w:rsid w:val="00C024A1"/>
    <w:rsid w:val="00C02C42"/>
    <w:rsid w:val="00C10FB1"/>
    <w:rsid w:val="00C11282"/>
    <w:rsid w:val="00C12CA3"/>
    <w:rsid w:val="00C14108"/>
    <w:rsid w:val="00C17757"/>
    <w:rsid w:val="00C261F8"/>
    <w:rsid w:val="00C27662"/>
    <w:rsid w:val="00C33100"/>
    <w:rsid w:val="00C451B9"/>
    <w:rsid w:val="00C467A6"/>
    <w:rsid w:val="00C51D9C"/>
    <w:rsid w:val="00C54DA4"/>
    <w:rsid w:val="00C55118"/>
    <w:rsid w:val="00C577D1"/>
    <w:rsid w:val="00C57A2D"/>
    <w:rsid w:val="00C6018C"/>
    <w:rsid w:val="00C67D23"/>
    <w:rsid w:val="00C71827"/>
    <w:rsid w:val="00C825E5"/>
    <w:rsid w:val="00C95EB8"/>
    <w:rsid w:val="00CB02C5"/>
    <w:rsid w:val="00CB39CD"/>
    <w:rsid w:val="00CC7CE6"/>
    <w:rsid w:val="00CD044C"/>
    <w:rsid w:val="00CD1A71"/>
    <w:rsid w:val="00CD1FBB"/>
    <w:rsid w:val="00CE033D"/>
    <w:rsid w:val="00CE08E5"/>
    <w:rsid w:val="00D016B5"/>
    <w:rsid w:val="00D034F1"/>
    <w:rsid w:val="00D14F42"/>
    <w:rsid w:val="00D171D4"/>
    <w:rsid w:val="00D26F76"/>
    <w:rsid w:val="00D27D5E"/>
    <w:rsid w:val="00D32B08"/>
    <w:rsid w:val="00D407D1"/>
    <w:rsid w:val="00D43E5F"/>
    <w:rsid w:val="00D51CE6"/>
    <w:rsid w:val="00D639BD"/>
    <w:rsid w:val="00D65777"/>
    <w:rsid w:val="00D66E0D"/>
    <w:rsid w:val="00D7425A"/>
    <w:rsid w:val="00D74F7E"/>
    <w:rsid w:val="00D7695F"/>
    <w:rsid w:val="00D83B6C"/>
    <w:rsid w:val="00D9039B"/>
    <w:rsid w:val="00D93582"/>
    <w:rsid w:val="00DA41A2"/>
    <w:rsid w:val="00DA43A1"/>
    <w:rsid w:val="00DA5E1D"/>
    <w:rsid w:val="00DC4F43"/>
    <w:rsid w:val="00DC7F14"/>
    <w:rsid w:val="00DE6D90"/>
    <w:rsid w:val="00DF002F"/>
    <w:rsid w:val="00DF128E"/>
    <w:rsid w:val="00DF4347"/>
    <w:rsid w:val="00DF4D0D"/>
    <w:rsid w:val="00E0244D"/>
    <w:rsid w:val="00E026DF"/>
    <w:rsid w:val="00E02F48"/>
    <w:rsid w:val="00E03712"/>
    <w:rsid w:val="00E06B3F"/>
    <w:rsid w:val="00E10A73"/>
    <w:rsid w:val="00E14F27"/>
    <w:rsid w:val="00E171D2"/>
    <w:rsid w:val="00E25534"/>
    <w:rsid w:val="00E26EF3"/>
    <w:rsid w:val="00E319B6"/>
    <w:rsid w:val="00E32145"/>
    <w:rsid w:val="00E32F5A"/>
    <w:rsid w:val="00E37E21"/>
    <w:rsid w:val="00E510F3"/>
    <w:rsid w:val="00E60012"/>
    <w:rsid w:val="00E62CFF"/>
    <w:rsid w:val="00E6322D"/>
    <w:rsid w:val="00E665EE"/>
    <w:rsid w:val="00E679AE"/>
    <w:rsid w:val="00E71570"/>
    <w:rsid w:val="00E73B13"/>
    <w:rsid w:val="00E75C58"/>
    <w:rsid w:val="00E76819"/>
    <w:rsid w:val="00E81E94"/>
    <w:rsid w:val="00E82607"/>
    <w:rsid w:val="00E84A82"/>
    <w:rsid w:val="00E85025"/>
    <w:rsid w:val="00E9483E"/>
    <w:rsid w:val="00E96710"/>
    <w:rsid w:val="00EA3B1D"/>
    <w:rsid w:val="00EB77B9"/>
    <w:rsid w:val="00EB7D07"/>
    <w:rsid w:val="00ED3A26"/>
    <w:rsid w:val="00EF26FD"/>
    <w:rsid w:val="00EF33E0"/>
    <w:rsid w:val="00EF70BB"/>
    <w:rsid w:val="00EF7D1D"/>
    <w:rsid w:val="00F02FA9"/>
    <w:rsid w:val="00F06660"/>
    <w:rsid w:val="00F1150D"/>
    <w:rsid w:val="00F115C8"/>
    <w:rsid w:val="00F116EB"/>
    <w:rsid w:val="00F1794E"/>
    <w:rsid w:val="00F17DC0"/>
    <w:rsid w:val="00F211AF"/>
    <w:rsid w:val="00F25EC3"/>
    <w:rsid w:val="00F32ADB"/>
    <w:rsid w:val="00F32C98"/>
    <w:rsid w:val="00F37E12"/>
    <w:rsid w:val="00F424BD"/>
    <w:rsid w:val="00F515AD"/>
    <w:rsid w:val="00F57DD7"/>
    <w:rsid w:val="00F636AD"/>
    <w:rsid w:val="00F70677"/>
    <w:rsid w:val="00F734D9"/>
    <w:rsid w:val="00F73F83"/>
    <w:rsid w:val="00F74902"/>
    <w:rsid w:val="00F85A4E"/>
    <w:rsid w:val="00F9353A"/>
    <w:rsid w:val="00F94EBB"/>
    <w:rsid w:val="00F965C2"/>
    <w:rsid w:val="00FA1D61"/>
    <w:rsid w:val="00FA27D4"/>
    <w:rsid w:val="00FA5A79"/>
    <w:rsid w:val="00FB0BFE"/>
    <w:rsid w:val="00FB1C8F"/>
    <w:rsid w:val="00FB4300"/>
    <w:rsid w:val="00FB4C51"/>
    <w:rsid w:val="00FB734D"/>
    <w:rsid w:val="00FC21B2"/>
    <w:rsid w:val="00FD02A2"/>
    <w:rsid w:val="00FD5E64"/>
    <w:rsid w:val="00FD7985"/>
    <w:rsid w:val="00FE6526"/>
    <w:rsid w:val="00FF1DBD"/>
    <w:rsid w:val="00FF1E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4:docId w14:val="21EBC29A"/>
  <w15:docId w15:val="{F524643F-3C90-4005-856A-AD16821A7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99" w:qFormat="1"/>
    <w:lsdException w:name="Quote" w:semiHidden="1" w:uiPriority="9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99" w:qFormat="1"/>
    <w:lsdException w:name="Intense Emphasis" w:semiHidden="1" w:uiPriority="21" w:qFormat="1"/>
    <w:lsdException w:name="Subtle Reference" w:semiHidden="1" w:uiPriority="99" w:qFormat="1"/>
    <w:lsdException w:name="Intense Reference" w:semiHidden="1" w:uiPriority="99" w:qFormat="1"/>
    <w:lsdException w:name="Book Title" w:semiHidden="1" w:uiPriority="99" w:qFormat="1"/>
    <w:lsdException w:name="Bibliography" w:semiHidden="1" w:uiPriority="9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5722C"/>
    <w:pPr>
      <w:suppressAutoHyphens/>
      <w:kinsoku w:val="0"/>
      <w:overflowPunct w:val="0"/>
      <w:autoSpaceDE w:val="0"/>
      <w:autoSpaceDN w:val="0"/>
      <w:adjustRightInd w:val="0"/>
      <w:snapToGrid w:val="0"/>
      <w:spacing w:line="240" w:lineRule="atLeast"/>
    </w:pPr>
    <w:rPr>
      <w:rFonts w:eastAsiaTheme="minorHAnsi"/>
      <w:lang w:val="fr-CH" w:eastAsia="en-US"/>
    </w:rPr>
  </w:style>
  <w:style w:type="paragraph" w:styleId="Titre1">
    <w:name w:val="heading 1"/>
    <w:aliases w:val="Table_G,Cuadro_G"/>
    <w:basedOn w:val="SingleTxtG"/>
    <w:next w:val="SingleTxtG"/>
    <w:link w:val="Titre1Car"/>
    <w:qFormat/>
    <w:rsid w:val="00B5722C"/>
    <w:pPr>
      <w:keepNext/>
      <w:keepLines/>
      <w:numPr>
        <w:numId w:val="9"/>
      </w:numPr>
      <w:spacing w:after="0" w:line="240" w:lineRule="auto"/>
      <w:ind w:right="0"/>
      <w:jc w:val="left"/>
      <w:outlineLvl w:val="0"/>
    </w:pPr>
  </w:style>
  <w:style w:type="paragraph" w:styleId="Titre2">
    <w:name w:val="heading 2"/>
    <w:basedOn w:val="Normal"/>
    <w:next w:val="Normal"/>
    <w:link w:val="Titre2Car"/>
    <w:qFormat/>
    <w:rsid w:val="00B5722C"/>
    <w:pPr>
      <w:numPr>
        <w:ilvl w:val="1"/>
        <w:numId w:val="9"/>
      </w:numPr>
      <w:outlineLvl w:val="1"/>
    </w:pPr>
  </w:style>
  <w:style w:type="paragraph" w:styleId="Titre3">
    <w:name w:val="heading 3"/>
    <w:basedOn w:val="Normal"/>
    <w:next w:val="Normal"/>
    <w:link w:val="Titre3Car"/>
    <w:qFormat/>
    <w:rsid w:val="00B5722C"/>
    <w:pPr>
      <w:numPr>
        <w:ilvl w:val="2"/>
        <w:numId w:val="9"/>
      </w:numPr>
      <w:outlineLvl w:val="2"/>
    </w:pPr>
  </w:style>
  <w:style w:type="paragraph" w:styleId="Titre4">
    <w:name w:val="heading 4"/>
    <w:basedOn w:val="Normal"/>
    <w:next w:val="Normal"/>
    <w:link w:val="Titre4Car"/>
    <w:qFormat/>
    <w:rsid w:val="00B5722C"/>
    <w:pPr>
      <w:numPr>
        <w:ilvl w:val="3"/>
        <w:numId w:val="9"/>
      </w:numPr>
      <w:outlineLvl w:val="3"/>
    </w:pPr>
  </w:style>
  <w:style w:type="paragraph" w:styleId="Titre5">
    <w:name w:val="heading 5"/>
    <w:basedOn w:val="Normal"/>
    <w:next w:val="Normal"/>
    <w:link w:val="Titre5Car"/>
    <w:qFormat/>
    <w:rsid w:val="00B5722C"/>
    <w:pPr>
      <w:numPr>
        <w:ilvl w:val="4"/>
        <w:numId w:val="9"/>
      </w:numPr>
      <w:outlineLvl w:val="4"/>
    </w:pPr>
  </w:style>
  <w:style w:type="paragraph" w:styleId="Titre6">
    <w:name w:val="heading 6"/>
    <w:basedOn w:val="Normal"/>
    <w:next w:val="Normal"/>
    <w:link w:val="Titre6Car"/>
    <w:qFormat/>
    <w:rsid w:val="00B5722C"/>
    <w:pPr>
      <w:numPr>
        <w:ilvl w:val="5"/>
        <w:numId w:val="9"/>
      </w:numPr>
      <w:outlineLvl w:val="5"/>
    </w:pPr>
  </w:style>
  <w:style w:type="paragraph" w:styleId="Titre7">
    <w:name w:val="heading 7"/>
    <w:basedOn w:val="Normal"/>
    <w:next w:val="Normal"/>
    <w:link w:val="Titre7Car"/>
    <w:qFormat/>
    <w:rsid w:val="00B5722C"/>
    <w:pPr>
      <w:numPr>
        <w:ilvl w:val="6"/>
        <w:numId w:val="9"/>
      </w:numPr>
      <w:outlineLvl w:val="6"/>
    </w:pPr>
  </w:style>
  <w:style w:type="paragraph" w:styleId="Titre8">
    <w:name w:val="heading 8"/>
    <w:basedOn w:val="Normal"/>
    <w:next w:val="Normal"/>
    <w:link w:val="Titre8Car"/>
    <w:qFormat/>
    <w:rsid w:val="00B5722C"/>
    <w:pPr>
      <w:numPr>
        <w:ilvl w:val="7"/>
        <w:numId w:val="9"/>
      </w:numPr>
      <w:outlineLvl w:val="7"/>
    </w:pPr>
  </w:style>
  <w:style w:type="paragraph" w:styleId="Titre9">
    <w:name w:val="heading 9"/>
    <w:basedOn w:val="Normal"/>
    <w:next w:val="Normal"/>
    <w:link w:val="Titre9Car"/>
    <w:qFormat/>
    <w:rsid w:val="00B5722C"/>
    <w:pPr>
      <w:numPr>
        <w:ilvl w:val="8"/>
        <w:numId w:val="9"/>
      </w:num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ar"/>
    <w:qFormat/>
    <w:rsid w:val="00B5722C"/>
    <w:pPr>
      <w:tabs>
        <w:tab w:val="left" w:pos="1701"/>
        <w:tab w:val="left" w:pos="2268"/>
        <w:tab w:val="left" w:pos="2835"/>
      </w:tabs>
      <w:spacing w:after="120"/>
      <w:ind w:left="1134" w:right="1134"/>
      <w:jc w:val="both"/>
    </w:pPr>
  </w:style>
  <w:style w:type="paragraph" w:styleId="Notedefin">
    <w:name w:val="endnote text"/>
    <w:aliases w:val="2_G"/>
    <w:basedOn w:val="Notedebasdepage"/>
    <w:link w:val="NotedefinCar"/>
    <w:qFormat/>
    <w:rsid w:val="00B5722C"/>
  </w:style>
  <w:style w:type="paragraph" w:styleId="Notedebasdepage">
    <w:name w:val="footnote text"/>
    <w:aliases w:val="5_G"/>
    <w:basedOn w:val="Normal"/>
    <w:link w:val="NotedebasdepageCar"/>
    <w:qFormat/>
    <w:rsid w:val="00B5722C"/>
    <w:pPr>
      <w:tabs>
        <w:tab w:val="right" w:pos="1021"/>
      </w:tabs>
      <w:spacing w:line="220" w:lineRule="exact"/>
      <w:ind w:left="1134" w:right="1134" w:hanging="1134"/>
    </w:pPr>
    <w:rPr>
      <w:sz w:val="18"/>
    </w:rPr>
  </w:style>
  <w:style w:type="paragraph" w:styleId="Pieddepage">
    <w:name w:val="footer"/>
    <w:aliases w:val="3_G"/>
    <w:basedOn w:val="Normal"/>
    <w:next w:val="Normal"/>
    <w:link w:val="PieddepageCar"/>
    <w:qFormat/>
    <w:rsid w:val="00B5722C"/>
    <w:pPr>
      <w:spacing w:line="240" w:lineRule="auto"/>
    </w:pPr>
    <w:rPr>
      <w:sz w:val="16"/>
    </w:rPr>
  </w:style>
  <w:style w:type="character" w:styleId="Appeldenotedefin">
    <w:name w:val="endnote reference"/>
    <w:aliases w:val="1_G"/>
    <w:basedOn w:val="Appelnotedebasdep"/>
    <w:qFormat/>
    <w:rsid w:val="00B5722C"/>
    <w:rPr>
      <w:rFonts w:ascii="Times New Roman" w:hAnsi="Times New Roman"/>
      <w:sz w:val="18"/>
      <w:vertAlign w:val="superscript"/>
      <w:lang w:val="fr-CH"/>
    </w:rPr>
  </w:style>
  <w:style w:type="character" w:styleId="Appelnotedebasdep">
    <w:name w:val="footnote reference"/>
    <w:aliases w:val="4_G"/>
    <w:basedOn w:val="Policepardfaut"/>
    <w:qFormat/>
    <w:rsid w:val="00B5722C"/>
    <w:rPr>
      <w:rFonts w:ascii="Times New Roman" w:hAnsi="Times New Roman"/>
      <w:sz w:val="18"/>
      <w:vertAlign w:val="superscript"/>
      <w:lang w:val="fr-CH"/>
    </w:rPr>
  </w:style>
  <w:style w:type="character" w:styleId="Numrodepage">
    <w:name w:val="page number"/>
    <w:aliases w:val="7_G"/>
    <w:basedOn w:val="Policepardfaut"/>
    <w:qFormat/>
    <w:rsid w:val="00B5722C"/>
    <w:rPr>
      <w:rFonts w:ascii="Times New Roman" w:hAnsi="Times New Roman"/>
      <w:b/>
      <w:sz w:val="18"/>
      <w:lang w:val="fr-CH"/>
    </w:rPr>
  </w:style>
  <w:style w:type="paragraph" w:styleId="En-tte">
    <w:name w:val="header"/>
    <w:aliases w:val="6_G"/>
    <w:basedOn w:val="Normal"/>
    <w:next w:val="Normal"/>
    <w:link w:val="En-tteCar"/>
    <w:qFormat/>
    <w:rsid w:val="00B5722C"/>
    <w:pPr>
      <w:pBdr>
        <w:bottom w:val="single" w:sz="4" w:space="4" w:color="auto"/>
      </w:pBdr>
      <w:spacing w:line="240" w:lineRule="auto"/>
    </w:pPr>
    <w:rPr>
      <w:b/>
      <w:sz w:val="18"/>
    </w:rPr>
  </w:style>
  <w:style w:type="paragraph" w:customStyle="1" w:styleId="H1G">
    <w:name w:val="_ H_1_G"/>
    <w:basedOn w:val="Normal"/>
    <w:next w:val="Normal"/>
    <w:qFormat/>
    <w:rsid w:val="00B5722C"/>
    <w:pPr>
      <w:keepNext/>
      <w:keepLines/>
      <w:tabs>
        <w:tab w:val="right" w:pos="851"/>
      </w:tabs>
      <w:spacing w:before="360" w:after="240" w:line="270" w:lineRule="exact"/>
      <w:ind w:left="1134" w:right="1134" w:hanging="1134"/>
      <w:outlineLvl w:val="2"/>
    </w:pPr>
    <w:rPr>
      <w:b/>
      <w:sz w:val="24"/>
    </w:rPr>
  </w:style>
  <w:style w:type="paragraph" w:customStyle="1" w:styleId="HChG">
    <w:name w:val="_ H _Ch_G"/>
    <w:basedOn w:val="Normal"/>
    <w:next w:val="Normal"/>
    <w:qFormat/>
    <w:rsid w:val="00B5722C"/>
    <w:pPr>
      <w:keepNext/>
      <w:keepLines/>
      <w:tabs>
        <w:tab w:val="right" w:pos="851"/>
      </w:tabs>
      <w:spacing w:before="360" w:after="240" w:line="300" w:lineRule="exact"/>
      <w:ind w:left="1134" w:right="1134" w:hanging="1134"/>
      <w:outlineLvl w:val="1"/>
    </w:pPr>
    <w:rPr>
      <w:b/>
      <w:sz w:val="28"/>
    </w:rPr>
  </w:style>
  <w:style w:type="paragraph" w:customStyle="1" w:styleId="HMG">
    <w:name w:val="_ H __M_G"/>
    <w:basedOn w:val="Normal"/>
    <w:next w:val="Normal"/>
    <w:qFormat/>
    <w:rsid w:val="00B5722C"/>
    <w:pPr>
      <w:keepNext/>
      <w:keepLines/>
      <w:tabs>
        <w:tab w:val="right" w:pos="851"/>
      </w:tabs>
      <w:spacing w:before="240" w:after="240" w:line="360" w:lineRule="exact"/>
      <w:ind w:left="1134" w:right="1134" w:hanging="1134"/>
      <w:outlineLvl w:val="0"/>
    </w:pPr>
    <w:rPr>
      <w:b/>
      <w:sz w:val="34"/>
    </w:rPr>
  </w:style>
  <w:style w:type="paragraph" w:customStyle="1" w:styleId="H23G">
    <w:name w:val="_ H_2/3_G"/>
    <w:basedOn w:val="Normal"/>
    <w:next w:val="Normal"/>
    <w:qFormat/>
    <w:rsid w:val="00B5722C"/>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link w:val="H4GCar"/>
    <w:qFormat/>
    <w:rsid w:val="00B5722C"/>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B5722C"/>
    <w:pPr>
      <w:keepNext/>
      <w:keepLines/>
      <w:tabs>
        <w:tab w:val="right" w:pos="851"/>
      </w:tabs>
      <w:spacing w:before="240" w:after="120" w:line="240" w:lineRule="exact"/>
      <w:ind w:left="1134" w:right="1134" w:hanging="1134"/>
      <w:outlineLvl w:val="5"/>
    </w:pPr>
  </w:style>
  <w:style w:type="paragraph" w:customStyle="1" w:styleId="SMG">
    <w:name w:val="__S_M_G"/>
    <w:basedOn w:val="Normal"/>
    <w:next w:val="Normal"/>
    <w:rsid w:val="00B5722C"/>
    <w:pPr>
      <w:keepNext/>
      <w:keepLines/>
      <w:spacing w:before="240" w:after="240" w:line="420" w:lineRule="exact"/>
      <w:ind w:left="1134" w:right="1134"/>
    </w:pPr>
    <w:rPr>
      <w:b/>
      <w:sz w:val="40"/>
    </w:rPr>
  </w:style>
  <w:style w:type="paragraph" w:customStyle="1" w:styleId="SLG">
    <w:name w:val="__S_L_G"/>
    <w:basedOn w:val="Normal"/>
    <w:next w:val="Normal"/>
    <w:rsid w:val="00B5722C"/>
    <w:pPr>
      <w:keepNext/>
      <w:keepLines/>
      <w:spacing w:before="240" w:after="240" w:line="580" w:lineRule="exact"/>
      <w:ind w:left="1134" w:right="1134"/>
    </w:pPr>
    <w:rPr>
      <w:b/>
      <w:sz w:val="56"/>
    </w:rPr>
  </w:style>
  <w:style w:type="paragraph" w:customStyle="1" w:styleId="SSG">
    <w:name w:val="__S_S_G"/>
    <w:basedOn w:val="Normal"/>
    <w:next w:val="Normal"/>
    <w:rsid w:val="00B5722C"/>
    <w:pPr>
      <w:keepNext/>
      <w:keepLines/>
      <w:spacing w:before="240" w:after="240" w:line="300" w:lineRule="exact"/>
      <w:ind w:left="1134" w:right="1134"/>
    </w:pPr>
    <w:rPr>
      <w:b/>
      <w:sz w:val="28"/>
    </w:rPr>
  </w:style>
  <w:style w:type="paragraph" w:customStyle="1" w:styleId="XLargeG">
    <w:name w:val="__XLarge_G"/>
    <w:basedOn w:val="Normal"/>
    <w:next w:val="Normal"/>
    <w:rsid w:val="00B5722C"/>
    <w:pPr>
      <w:keepNext/>
      <w:keepLines/>
      <w:spacing w:before="240" w:after="240" w:line="420" w:lineRule="exact"/>
      <w:ind w:left="1134" w:right="1134"/>
    </w:pPr>
    <w:rPr>
      <w:b/>
      <w:sz w:val="40"/>
    </w:rPr>
  </w:style>
  <w:style w:type="paragraph" w:customStyle="1" w:styleId="Bullet1G">
    <w:name w:val="_Bullet 1_G"/>
    <w:basedOn w:val="Normal"/>
    <w:qFormat/>
    <w:rsid w:val="00B5722C"/>
    <w:pPr>
      <w:numPr>
        <w:numId w:val="4"/>
      </w:numPr>
      <w:spacing w:after="120"/>
      <w:ind w:right="1134"/>
      <w:jc w:val="both"/>
    </w:pPr>
  </w:style>
  <w:style w:type="paragraph" w:customStyle="1" w:styleId="Bullet2G">
    <w:name w:val="_Bullet 2_G"/>
    <w:basedOn w:val="Normal"/>
    <w:qFormat/>
    <w:rsid w:val="00B5722C"/>
    <w:pPr>
      <w:numPr>
        <w:numId w:val="5"/>
      </w:numPr>
      <w:spacing w:after="120"/>
      <w:ind w:right="1134"/>
      <w:jc w:val="both"/>
    </w:pPr>
  </w:style>
  <w:style w:type="table" w:styleId="Grilledutableau">
    <w:name w:val="Table Grid"/>
    <w:basedOn w:val="TableauNormal"/>
    <w:rsid w:val="00B5722C"/>
    <w:pPr>
      <w:suppressAutoHyphens/>
      <w:spacing w:line="240" w:lineRule="atLeast"/>
    </w:pPr>
    <w:rPr>
      <w:rFonts w:eastAsiaTheme="minorHAns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ar">
    <w:name w:val="_ Single Txt_G Car"/>
    <w:basedOn w:val="Policepardfaut"/>
    <w:link w:val="SingleTxtG"/>
    <w:rsid w:val="00541BE4"/>
    <w:rPr>
      <w:rFonts w:eastAsiaTheme="minorHAnsi"/>
      <w:lang w:val="fr-CH" w:eastAsia="en-US"/>
    </w:rPr>
  </w:style>
  <w:style w:type="character" w:styleId="Lienhypertexte">
    <w:name w:val="Hyperlink"/>
    <w:basedOn w:val="Policepardfaut"/>
    <w:uiPriority w:val="99"/>
    <w:rsid w:val="00B5722C"/>
    <w:rPr>
      <w:color w:val="0000FF"/>
      <w:u w:val="none"/>
    </w:rPr>
  </w:style>
  <w:style w:type="character" w:styleId="Lienhypertextesuivivisit">
    <w:name w:val="FollowedHyperlink"/>
    <w:basedOn w:val="Policepardfaut"/>
    <w:rsid w:val="00B5722C"/>
    <w:rPr>
      <w:color w:val="0000FF"/>
      <w:u w:val="none"/>
    </w:rPr>
  </w:style>
  <w:style w:type="paragraph" w:customStyle="1" w:styleId="ParNoG">
    <w:name w:val="_ParNo_G"/>
    <w:basedOn w:val="Normal"/>
    <w:qFormat/>
    <w:rsid w:val="00B5722C"/>
    <w:pPr>
      <w:numPr>
        <w:numId w:val="6"/>
      </w:numPr>
      <w:tabs>
        <w:tab w:val="left" w:pos="1701"/>
        <w:tab w:val="left" w:pos="2268"/>
        <w:tab w:val="left" w:pos="2835"/>
      </w:tabs>
      <w:spacing w:after="120"/>
      <w:ind w:right="1134"/>
      <w:jc w:val="both"/>
    </w:pPr>
  </w:style>
  <w:style w:type="paragraph" w:styleId="Textedebulles">
    <w:name w:val="Balloon Text"/>
    <w:basedOn w:val="Normal"/>
    <w:link w:val="TextedebullesCar"/>
    <w:rsid w:val="00550C89"/>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C467A6"/>
    <w:rPr>
      <w:rFonts w:ascii="Tahoma" w:hAnsi="Tahoma" w:cs="Tahoma"/>
      <w:sz w:val="16"/>
      <w:szCs w:val="16"/>
      <w:lang w:val="fr-CH" w:eastAsia="en-US"/>
    </w:rPr>
  </w:style>
  <w:style w:type="character" w:customStyle="1" w:styleId="En-tteCar">
    <w:name w:val="En-tête Car"/>
    <w:aliases w:val="6_G Car"/>
    <w:basedOn w:val="Policepardfaut"/>
    <w:link w:val="En-tte"/>
    <w:rsid w:val="00B5722C"/>
    <w:rPr>
      <w:rFonts w:eastAsiaTheme="minorHAnsi"/>
      <w:b/>
      <w:sz w:val="18"/>
      <w:lang w:val="fr-CH" w:eastAsia="en-US"/>
    </w:rPr>
  </w:style>
  <w:style w:type="character" w:customStyle="1" w:styleId="NotedebasdepageCar">
    <w:name w:val="Note de bas de page Car"/>
    <w:aliases w:val="5_G Car"/>
    <w:basedOn w:val="Policepardfaut"/>
    <w:link w:val="Notedebasdepage"/>
    <w:rsid w:val="00B5722C"/>
    <w:rPr>
      <w:rFonts w:eastAsiaTheme="minorHAnsi"/>
      <w:sz w:val="18"/>
      <w:lang w:val="fr-CH" w:eastAsia="en-US"/>
    </w:rPr>
  </w:style>
  <w:style w:type="character" w:customStyle="1" w:styleId="NotedefinCar">
    <w:name w:val="Note de fin Car"/>
    <w:aliases w:val="2_G Car"/>
    <w:basedOn w:val="Policepardfaut"/>
    <w:link w:val="Notedefin"/>
    <w:rsid w:val="00B5722C"/>
    <w:rPr>
      <w:rFonts w:eastAsiaTheme="minorHAnsi"/>
      <w:sz w:val="18"/>
      <w:lang w:val="fr-CH" w:eastAsia="en-US"/>
    </w:rPr>
  </w:style>
  <w:style w:type="character" w:customStyle="1" w:styleId="PieddepageCar">
    <w:name w:val="Pied de page Car"/>
    <w:aliases w:val="3_G Car"/>
    <w:basedOn w:val="Policepardfaut"/>
    <w:link w:val="Pieddepage"/>
    <w:rsid w:val="00B5722C"/>
    <w:rPr>
      <w:rFonts w:eastAsiaTheme="minorHAnsi"/>
      <w:sz w:val="16"/>
      <w:lang w:val="fr-CH" w:eastAsia="en-US"/>
    </w:rPr>
  </w:style>
  <w:style w:type="character" w:customStyle="1" w:styleId="Titre1Car">
    <w:name w:val="Titre 1 Car"/>
    <w:aliases w:val="Table_G Car,Cuadro_G Car"/>
    <w:basedOn w:val="Policepardfaut"/>
    <w:link w:val="Titre1"/>
    <w:rsid w:val="00B5722C"/>
    <w:rPr>
      <w:rFonts w:eastAsiaTheme="minorHAnsi"/>
      <w:lang w:val="fr-CH" w:eastAsia="en-US"/>
    </w:rPr>
  </w:style>
  <w:style w:type="character" w:customStyle="1" w:styleId="Titre2Car">
    <w:name w:val="Titre 2 Car"/>
    <w:basedOn w:val="Policepardfaut"/>
    <w:link w:val="Titre2"/>
    <w:rsid w:val="00B5722C"/>
    <w:rPr>
      <w:rFonts w:eastAsiaTheme="minorHAnsi"/>
      <w:lang w:val="fr-CH" w:eastAsia="en-US"/>
    </w:rPr>
  </w:style>
  <w:style w:type="character" w:customStyle="1" w:styleId="Titre3Car">
    <w:name w:val="Titre 3 Car"/>
    <w:basedOn w:val="Policepardfaut"/>
    <w:link w:val="Titre3"/>
    <w:rsid w:val="00B5722C"/>
    <w:rPr>
      <w:rFonts w:eastAsiaTheme="minorHAnsi"/>
      <w:lang w:val="fr-CH" w:eastAsia="en-US"/>
    </w:rPr>
  </w:style>
  <w:style w:type="character" w:customStyle="1" w:styleId="Titre4Car">
    <w:name w:val="Titre 4 Car"/>
    <w:basedOn w:val="Policepardfaut"/>
    <w:link w:val="Titre4"/>
    <w:rsid w:val="00B5722C"/>
    <w:rPr>
      <w:rFonts w:eastAsiaTheme="minorHAnsi"/>
      <w:lang w:val="fr-CH" w:eastAsia="en-US"/>
    </w:rPr>
  </w:style>
  <w:style w:type="character" w:customStyle="1" w:styleId="Titre5Car">
    <w:name w:val="Titre 5 Car"/>
    <w:basedOn w:val="Policepardfaut"/>
    <w:link w:val="Titre5"/>
    <w:rsid w:val="00B5722C"/>
    <w:rPr>
      <w:rFonts w:eastAsiaTheme="minorHAnsi"/>
      <w:lang w:val="fr-CH" w:eastAsia="en-US"/>
    </w:rPr>
  </w:style>
  <w:style w:type="character" w:customStyle="1" w:styleId="Titre6Car">
    <w:name w:val="Titre 6 Car"/>
    <w:basedOn w:val="Policepardfaut"/>
    <w:link w:val="Titre6"/>
    <w:rsid w:val="00B5722C"/>
    <w:rPr>
      <w:rFonts w:eastAsiaTheme="minorHAnsi"/>
      <w:lang w:val="fr-CH" w:eastAsia="en-US"/>
    </w:rPr>
  </w:style>
  <w:style w:type="character" w:customStyle="1" w:styleId="Titre7Car">
    <w:name w:val="Titre 7 Car"/>
    <w:basedOn w:val="Policepardfaut"/>
    <w:link w:val="Titre7"/>
    <w:rsid w:val="00B5722C"/>
    <w:rPr>
      <w:rFonts w:eastAsiaTheme="minorHAnsi"/>
      <w:lang w:val="fr-CH" w:eastAsia="en-US"/>
    </w:rPr>
  </w:style>
  <w:style w:type="character" w:customStyle="1" w:styleId="Titre8Car">
    <w:name w:val="Titre 8 Car"/>
    <w:basedOn w:val="Policepardfaut"/>
    <w:link w:val="Titre8"/>
    <w:rsid w:val="00B5722C"/>
    <w:rPr>
      <w:rFonts w:eastAsiaTheme="minorHAnsi"/>
      <w:lang w:val="fr-CH" w:eastAsia="en-US"/>
    </w:rPr>
  </w:style>
  <w:style w:type="character" w:customStyle="1" w:styleId="Titre9Car">
    <w:name w:val="Titre 9 Car"/>
    <w:basedOn w:val="Policepardfaut"/>
    <w:link w:val="Titre9"/>
    <w:rsid w:val="00B5722C"/>
    <w:rPr>
      <w:rFonts w:eastAsiaTheme="minorHAnsi"/>
      <w:lang w:val="fr-CH" w:eastAsia="en-US"/>
    </w:rPr>
  </w:style>
  <w:style w:type="character" w:customStyle="1" w:styleId="SingleTxtGChar">
    <w:name w:val="_ Single Txt_G Char"/>
    <w:basedOn w:val="Policepardfaut"/>
    <w:rsid w:val="00A02B4C"/>
    <w:rPr>
      <w:lang w:val="es-ES" w:eastAsia="es-ES" w:bidi="ar-SA"/>
    </w:rPr>
  </w:style>
  <w:style w:type="numbering" w:styleId="111111">
    <w:name w:val="Outline List 2"/>
    <w:basedOn w:val="Aucuneliste"/>
    <w:rsid w:val="00A02B4C"/>
    <w:pPr>
      <w:numPr>
        <w:numId w:val="8"/>
      </w:numPr>
    </w:pPr>
  </w:style>
  <w:style w:type="numbering" w:styleId="1ai">
    <w:name w:val="Outline List 1"/>
    <w:basedOn w:val="Aucuneliste"/>
    <w:rsid w:val="00A02B4C"/>
    <w:pPr>
      <w:numPr>
        <w:numId w:val="9"/>
      </w:numPr>
    </w:pPr>
  </w:style>
  <w:style w:type="character" w:styleId="AcronymeHTML">
    <w:name w:val="HTML Acronym"/>
    <w:basedOn w:val="Policepardfaut"/>
    <w:semiHidden/>
    <w:rsid w:val="00A02B4C"/>
  </w:style>
  <w:style w:type="numbering" w:styleId="ArticleSection">
    <w:name w:val="Outline List 3"/>
    <w:basedOn w:val="Aucuneliste"/>
    <w:rsid w:val="00A02B4C"/>
    <w:pPr>
      <w:numPr>
        <w:numId w:val="10"/>
      </w:numPr>
    </w:pPr>
  </w:style>
  <w:style w:type="paragraph" w:styleId="Formuledepolitesse">
    <w:name w:val="Closing"/>
    <w:basedOn w:val="Normal"/>
    <w:link w:val="FormuledepolitesseCar"/>
    <w:semiHidden/>
    <w:rsid w:val="00A02B4C"/>
    <w:pPr>
      <w:kinsoku/>
      <w:overflowPunct/>
      <w:autoSpaceDE/>
      <w:autoSpaceDN/>
      <w:adjustRightInd/>
      <w:snapToGrid/>
      <w:ind w:left="4252"/>
    </w:pPr>
    <w:rPr>
      <w:rFonts w:eastAsia="Times New Roman"/>
      <w:lang w:val="en-GB"/>
    </w:rPr>
  </w:style>
  <w:style w:type="character" w:customStyle="1" w:styleId="FormuledepolitesseCar">
    <w:name w:val="Formule de politesse Car"/>
    <w:basedOn w:val="Policepardfaut"/>
    <w:link w:val="Formuledepolitesse"/>
    <w:semiHidden/>
    <w:rsid w:val="00A02B4C"/>
    <w:rPr>
      <w:lang w:eastAsia="en-US"/>
    </w:rPr>
  </w:style>
  <w:style w:type="character" w:styleId="CitationHTML">
    <w:name w:val="HTML Cite"/>
    <w:basedOn w:val="Policepardfaut"/>
    <w:semiHidden/>
    <w:rsid w:val="00A02B4C"/>
    <w:rPr>
      <w:i/>
      <w:iCs/>
    </w:rPr>
  </w:style>
  <w:style w:type="character" w:styleId="CodeHTML">
    <w:name w:val="HTML Code"/>
    <w:basedOn w:val="Policepardfaut"/>
    <w:semiHidden/>
    <w:rsid w:val="00A02B4C"/>
    <w:rPr>
      <w:rFonts w:ascii="Courier New" w:hAnsi="Courier New" w:cs="Courier New"/>
      <w:sz w:val="20"/>
      <w:szCs w:val="20"/>
    </w:rPr>
  </w:style>
  <w:style w:type="paragraph" w:styleId="Listecontinue">
    <w:name w:val="List Continue"/>
    <w:basedOn w:val="Normal"/>
    <w:semiHidden/>
    <w:rsid w:val="00A02B4C"/>
    <w:pPr>
      <w:kinsoku/>
      <w:overflowPunct/>
      <w:autoSpaceDE/>
      <w:autoSpaceDN/>
      <w:adjustRightInd/>
      <w:snapToGrid/>
      <w:spacing w:after="120"/>
      <w:ind w:left="283"/>
    </w:pPr>
    <w:rPr>
      <w:rFonts w:eastAsia="Times New Roman"/>
      <w:lang w:val="en-GB"/>
    </w:rPr>
  </w:style>
  <w:style w:type="paragraph" w:styleId="Listecontinue2">
    <w:name w:val="List Continue 2"/>
    <w:basedOn w:val="Normal"/>
    <w:semiHidden/>
    <w:rsid w:val="00A02B4C"/>
    <w:pPr>
      <w:kinsoku/>
      <w:overflowPunct/>
      <w:autoSpaceDE/>
      <w:autoSpaceDN/>
      <w:adjustRightInd/>
      <w:snapToGrid/>
      <w:spacing w:after="120"/>
      <w:ind w:left="566"/>
    </w:pPr>
    <w:rPr>
      <w:rFonts w:eastAsia="Times New Roman"/>
      <w:lang w:val="en-GB"/>
    </w:rPr>
  </w:style>
  <w:style w:type="paragraph" w:styleId="Listecontinue3">
    <w:name w:val="List Continue 3"/>
    <w:basedOn w:val="Normal"/>
    <w:semiHidden/>
    <w:rsid w:val="00A02B4C"/>
    <w:pPr>
      <w:kinsoku/>
      <w:overflowPunct/>
      <w:autoSpaceDE/>
      <w:autoSpaceDN/>
      <w:adjustRightInd/>
      <w:snapToGrid/>
      <w:spacing w:after="120"/>
      <w:ind w:left="849"/>
    </w:pPr>
    <w:rPr>
      <w:rFonts w:eastAsia="Times New Roman"/>
      <w:lang w:val="en-GB"/>
    </w:rPr>
  </w:style>
  <w:style w:type="paragraph" w:styleId="Listecontinue4">
    <w:name w:val="List Continue 4"/>
    <w:basedOn w:val="Normal"/>
    <w:semiHidden/>
    <w:rsid w:val="00A02B4C"/>
    <w:pPr>
      <w:kinsoku/>
      <w:overflowPunct/>
      <w:autoSpaceDE/>
      <w:autoSpaceDN/>
      <w:adjustRightInd/>
      <w:snapToGrid/>
      <w:spacing w:after="120"/>
      <w:ind w:left="1132"/>
    </w:pPr>
    <w:rPr>
      <w:rFonts w:eastAsia="Times New Roman"/>
      <w:lang w:val="en-GB"/>
    </w:rPr>
  </w:style>
  <w:style w:type="paragraph" w:styleId="Listecontinue5">
    <w:name w:val="List Continue 5"/>
    <w:basedOn w:val="Normal"/>
    <w:semiHidden/>
    <w:rsid w:val="00A02B4C"/>
    <w:pPr>
      <w:kinsoku/>
      <w:overflowPunct/>
      <w:autoSpaceDE/>
      <w:autoSpaceDN/>
      <w:adjustRightInd/>
      <w:snapToGrid/>
      <w:spacing w:after="120"/>
      <w:ind w:left="1415"/>
    </w:pPr>
    <w:rPr>
      <w:rFonts w:eastAsia="Times New Roman"/>
      <w:lang w:val="en-GB"/>
    </w:rPr>
  </w:style>
  <w:style w:type="character" w:styleId="DfinitionHTML">
    <w:name w:val="HTML Definition"/>
    <w:basedOn w:val="Policepardfaut"/>
    <w:semiHidden/>
    <w:rsid w:val="00A02B4C"/>
    <w:rPr>
      <w:i/>
      <w:iCs/>
    </w:rPr>
  </w:style>
  <w:style w:type="paragraph" w:styleId="AdresseHTML">
    <w:name w:val="HTML Address"/>
    <w:basedOn w:val="Normal"/>
    <w:link w:val="AdresseHTMLCar"/>
    <w:semiHidden/>
    <w:rsid w:val="00A02B4C"/>
    <w:pPr>
      <w:kinsoku/>
      <w:overflowPunct/>
      <w:autoSpaceDE/>
      <w:autoSpaceDN/>
      <w:adjustRightInd/>
      <w:snapToGrid/>
    </w:pPr>
    <w:rPr>
      <w:rFonts w:eastAsia="Times New Roman"/>
      <w:i/>
      <w:iCs/>
      <w:lang w:val="en-GB"/>
    </w:rPr>
  </w:style>
  <w:style w:type="character" w:customStyle="1" w:styleId="AdresseHTMLCar">
    <w:name w:val="Adresse HTML Car"/>
    <w:basedOn w:val="Policepardfaut"/>
    <w:link w:val="AdresseHTML"/>
    <w:semiHidden/>
    <w:rsid w:val="00A02B4C"/>
    <w:rPr>
      <w:i/>
      <w:iCs/>
      <w:lang w:eastAsia="en-US"/>
    </w:rPr>
  </w:style>
  <w:style w:type="paragraph" w:styleId="Adressedestinataire">
    <w:name w:val="envelope address"/>
    <w:basedOn w:val="Normal"/>
    <w:semiHidden/>
    <w:rsid w:val="00A02B4C"/>
    <w:pPr>
      <w:framePr w:w="7920" w:h="1980" w:hRule="exact" w:hSpace="141" w:wrap="auto" w:hAnchor="page" w:xAlign="center" w:yAlign="bottom"/>
      <w:kinsoku/>
      <w:overflowPunct/>
      <w:autoSpaceDE/>
      <w:autoSpaceDN/>
      <w:adjustRightInd/>
      <w:snapToGrid/>
      <w:ind w:left="2880"/>
    </w:pPr>
    <w:rPr>
      <w:rFonts w:ascii="Arial" w:eastAsia="Times New Roman" w:hAnsi="Arial" w:cs="Arial"/>
      <w:sz w:val="24"/>
      <w:szCs w:val="24"/>
      <w:lang w:val="en-GB"/>
    </w:rPr>
  </w:style>
  <w:style w:type="character" w:styleId="ExempleHTML">
    <w:name w:val="HTML Sample"/>
    <w:basedOn w:val="Policepardfaut"/>
    <w:semiHidden/>
    <w:rsid w:val="00A02B4C"/>
    <w:rPr>
      <w:rFonts w:ascii="Courier New" w:hAnsi="Courier New" w:cs="Courier New"/>
    </w:rPr>
  </w:style>
  <w:style w:type="paragraph" w:styleId="En-ttedemessage">
    <w:name w:val="Message Header"/>
    <w:basedOn w:val="Normal"/>
    <w:link w:val="En-ttedemessageCar"/>
    <w:semiHidden/>
    <w:rsid w:val="00A02B4C"/>
    <w:pPr>
      <w:pBdr>
        <w:top w:val="single" w:sz="6" w:space="1" w:color="auto"/>
        <w:left w:val="single" w:sz="6" w:space="1" w:color="auto"/>
        <w:bottom w:val="single" w:sz="6" w:space="1" w:color="auto"/>
        <w:right w:val="single" w:sz="6" w:space="1" w:color="auto"/>
      </w:pBdr>
      <w:shd w:val="pct20" w:color="auto" w:fill="auto"/>
      <w:kinsoku/>
      <w:overflowPunct/>
      <w:autoSpaceDE/>
      <w:autoSpaceDN/>
      <w:adjustRightInd/>
      <w:snapToGrid/>
      <w:ind w:left="1134" w:hanging="1134"/>
    </w:pPr>
    <w:rPr>
      <w:rFonts w:ascii="Arial" w:eastAsia="Times New Roman" w:hAnsi="Arial" w:cs="Arial"/>
      <w:sz w:val="24"/>
      <w:szCs w:val="24"/>
      <w:lang w:val="en-GB"/>
    </w:rPr>
  </w:style>
  <w:style w:type="character" w:customStyle="1" w:styleId="En-ttedemessageCar">
    <w:name w:val="En-tête de message Car"/>
    <w:basedOn w:val="Policepardfaut"/>
    <w:link w:val="En-ttedemessage"/>
    <w:semiHidden/>
    <w:rsid w:val="00A02B4C"/>
    <w:rPr>
      <w:rFonts w:ascii="Arial" w:hAnsi="Arial" w:cs="Arial"/>
      <w:sz w:val="24"/>
      <w:szCs w:val="24"/>
      <w:shd w:val="pct20" w:color="auto" w:fill="auto"/>
      <w:lang w:eastAsia="en-US"/>
    </w:rPr>
  </w:style>
  <w:style w:type="paragraph" w:styleId="Titredenote">
    <w:name w:val="Note Heading"/>
    <w:basedOn w:val="Normal"/>
    <w:next w:val="Normal"/>
    <w:link w:val="TitredenoteCar"/>
    <w:semiHidden/>
    <w:rsid w:val="00A02B4C"/>
    <w:pPr>
      <w:kinsoku/>
      <w:overflowPunct/>
      <w:autoSpaceDE/>
      <w:autoSpaceDN/>
      <w:adjustRightInd/>
      <w:snapToGrid/>
    </w:pPr>
    <w:rPr>
      <w:rFonts w:eastAsia="Times New Roman"/>
      <w:lang w:val="en-GB"/>
    </w:rPr>
  </w:style>
  <w:style w:type="character" w:customStyle="1" w:styleId="TitredenoteCar">
    <w:name w:val="Titre de note Car"/>
    <w:basedOn w:val="Policepardfaut"/>
    <w:link w:val="Titredenote"/>
    <w:semiHidden/>
    <w:rsid w:val="00A02B4C"/>
    <w:rPr>
      <w:lang w:eastAsia="en-US"/>
    </w:rPr>
  </w:style>
  <w:style w:type="character" w:styleId="Accentuation">
    <w:name w:val="Emphasis"/>
    <w:basedOn w:val="Policepardfaut"/>
    <w:qFormat/>
    <w:rsid w:val="00A02B4C"/>
    <w:rPr>
      <w:i/>
      <w:iCs/>
    </w:rPr>
  </w:style>
  <w:style w:type="paragraph" w:styleId="Date">
    <w:name w:val="Date"/>
    <w:basedOn w:val="Normal"/>
    <w:next w:val="Normal"/>
    <w:link w:val="DateCar"/>
    <w:rsid w:val="00A02B4C"/>
    <w:pPr>
      <w:kinsoku/>
      <w:overflowPunct/>
      <w:autoSpaceDE/>
      <w:autoSpaceDN/>
      <w:adjustRightInd/>
      <w:snapToGrid/>
    </w:pPr>
    <w:rPr>
      <w:rFonts w:eastAsia="Times New Roman"/>
      <w:lang w:val="en-GB"/>
    </w:rPr>
  </w:style>
  <w:style w:type="character" w:customStyle="1" w:styleId="DateCar">
    <w:name w:val="Date Car"/>
    <w:basedOn w:val="Policepardfaut"/>
    <w:link w:val="Date"/>
    <w:rsid w:val="00A02B4C"/>
    <w:rPr>
      <w:lang w:eastAsia="en-US"/>
    </w:rPr>
  </w:style>
  <w:style w:type="paragraph" w:styleId="Signature">
    <w:name w:val="Signature"/>
    <w:basedOn w:val="Normal"/>
    <w:link w:val="SignatureCar"/>
    <w:semiHidden/>
    <w:rsid w:val="00A02B4C"/>
    <w:pPr>
      <w:kinsoku/>
      <w:overflowPunct/>
      <w:autoSpaceDE/>
      <w:autoSpaceDN/>
      <w:adjustRightInd/>
      <w:snapToGrid/>
      <w:ind w:left="4252"/>
    </w:pPr>
    <w:rPr>
      <w:rFonts w:eastAsia="Times New Roman"/>
      <w:lang w:val="en-GB"/>
    </w:rPr>
  </w:style>
  <w:style w:type="character" w:customStyle="1" w:styleId="SignatureCar">
    <w:name w:val="Signature Car"/>
    <w:basedOn w:val="Policepardfaut"/>
    <w:link w:val="Signature"/>
    <w:semiHidden/>
    <w:rsid w:val="00A02B4C"/>
    <w:rPr>
      <w:lang w:eastAsia="en-US"/>
    </w:rPr>
  </w:style>
  <w:style w:type="paragraph" w:styleId="Signaturelectronique">
    <w:name w:val="E-mail Signature"/>
    <w:basedOn w:val="Normal"/>
    <w:link w:val="SignaturelectroniqueCar"/>
    <w:semiHidden/>
    <w:rsid w:val="00A02B4C"/>
    <w:pPr>
      <w:kinsoku/>
      <w:overflowPunct/>
      <w:autoSpaceDE/>
      <w:autoSpaceDN/>
      <w:adjustRightInd/>
      <w:snapToGrid/>
    </w:pPr>
    <w:rPr>
      <w:rFonts w:eastAsia="Times New Roman"/>
      <w:lang w:val="en-GB"/>
    </w:rPr>
  </w:style>
  <w:style w:type="character" w:customStyle="1" w:styleId="SignaturelectroniqueCar">
    <w:name w:val="Signature électronique Car"/>
    <w:basedOn w:val="Policepardfaut"/>
    <w:link w:val="Signaturelectronique"/>
    <w:semiHidden/>
    <w:rsid w:val="00A02B4C"/>
    <w:rPr>
      <w:lang w:eastAsia="en-US"/>
    </w:rPr>
  </w:style>
  <w:style w:type="paragraph" w:styleId="PrformatHTML">
    <w:name w:val="HTML Preformatted"/>
    <w:basedOn w:val="Normal"/>
    <w:link w:val="PrformatHTMLCar"/>
    <w:semiHidden/>
    <w:rsid w:val="00A02B4C"/>
    <w:pPr>
      <w:kinsoku/>
      <w:overflowPunct/>
      <w:autoSpaceDE/>
      <w:autoSpaceDN/>
      <w:adjustRightInd/>
      <w:snapToGrid/>
    </w:pPr>
    <w:rPr>
      <w:rFonts w:ascii="Courier New" w:eastAsia="Times New Roman" w:hAnsi="Courier New" w:cs="Courier New"/>
      <w:lang w:val="en-GB"/>
    </w:rPr>
  </w:style>
  <w:style w:type="character" w:customStyle="1" w:styleId="PrformatHTMLCar">
    <w:name w:val="Préformaté HTML Car"/>
    <w:basedOn w:val="Policepardfaut"/>
    <w:link w:val="PrformatHTML"/>
    <w:semiHidden/>
    <w:rsid w:val="00A02B4C"/>
    <w:rPr>
      <w:rFonts w:ascii="Courier New" w:hAnsi="Courier New" w:cs="Courier New"/>
      <w:lang w:eastAsia="en-US"/>
    </w:rPr>
  </w:style>
  <w:style w:type="paragraph" w:styleId="Liste">
    <w:name w:val="List"/>
    <w:basedOn w:val="Normal"/>
    <w:semiHidden/>
    <w:rsid w:val="00A02B4C"/>
    <w:pPr>
      <w:kinsoku/>
      <w:overflowPunct/>
      <w:autoSpaceDE/>
      <w:autoSpaceDN/>
      <w:adjustRightInd/>
      <w:snapToGrid/>
      <w:ind w:left="283" w:hanging="283"/>
    </w:pPr>
    <w:rPr>
      <w:rFonts w:eastAsia="Times New Roman"/>
      <w:lang w:val="en-GB"/>
    </w:rPr>
  </w:style>
  <w:style w:type="paragraph" w:styleId="Liste2">
    <w:name w:val="List 2"/>
    <w:basedOn w:val="Normal"/>
    <w:semiHidden/>
    <w:rsid w:val="00A02B4C"/>
    <w:pPr>
      <w:kinsoku/>
      <w:overflowPunct/>
      <w:autoSpaceDE/>
      <w:autoSpaceDN/>
      <w:adjustRightInd/>
      <w:snapToGrid/>
      <w:ind w:left="566" w:hanging="283"/>
    </w:pPr>
    <w:rPr>
      <w:rFonts w:eastAsia="Times New Roman"/>
      <w:lang w:val="en-GB"/>
    </w:rPr>
  </w:style>
  <w:style w:type="paragraph" w:styleId="Liste3">
    <w:name w:val="List 3"/>
    <w:basedOn w:val="Normal"/>
    <w:semiHidden/>
    <w:rsid w:val="00A02B4C"/>
    <w:pPr>
      <w:kinsoku/>
      <w:overflowPunct/>
      <w:autoSpaceDE/>
      <w:autoSpaceDN/>
      <w:adjustRightInd/>
      <w:snapToGrid/>
      <w:ind w:left="849" w:hanging="283"/>
    </w:pPr>
    <w:rPr>
      <w:rFonts w:eastAsia="Times New Roman"/>
      <w:lang w:val="en-GB"/>
    </w:rPr>
  </w:style>
  <w:style w:type="paragraph" w:styleId="Liste4">
    <w:name w:val="List 4"/>
    <w:basedOn w:val="Normal"/>
    <w:rsid w:val="00A02B4C"/>
    <w:pPr>
      <w:kinsoku/>
      <w:overflowPunct/>
      <w:autoSpaceDE/>
      <w:autoSpaceDN/>
      <w:adjustRightInd/>
      <w:snapToGrid/>
      <w:ind w:left="1132" w:hanging="283"/>
    </w:pPr>
    <w:rPr>
      <w:rFonts w:eastAsia="Times New Roman"/>
      <w:lang w:val="en-GB"/>
    </w:rPr>
  </w:style>
  <w:style w:type="paragraph" w:styleId="Liste5">
    <w:name w:val="List 5"/>
    <w:basedOn w:val="Normal"/>
    <w:rsid w:val="00A02B4C"/>
    <w:pPr>
      <w:kinsoku/>
      <w:overflowPunct/>
      <w:autoSpaceDE/>
      <w:autoSpaceDN/>
      <w:adjustRightInd/>
      <w:snapToGrid/>
      <w:ind w:left="1415" w:hanging="283"/>
    </w:pPr>
    <w:rPr>
      <w:rFonts w:eastAsia="Times New Roman"/>
      <w:lang w:val="en-GB"/>
    </w:rPr>
  </w:style>
  <w:style w:type="paragraph" w:styleId="Listenumros">
    <w:name w:val="List Number"/>
    <w:basedOn w:val="Normal"/>
    <w:rsid w:val="00A02B4C"/>
    <w:pPr>
      <w:numPr>
        <w:numId w:val="11"/>
      </w:numPr>
      <w:kinsoku/>
      <w:overflowPunct/>
      <w:autoSpaceDE/>
      <w:autoSpaceDN/>
      <w:adjustRightInd/>
      <w:snapToGrid/>
    </w:pPr>
    <w:rPr>
      <w:rFonts w:eastAsia="Times New Roman"/>
      <w:lang w:val="en-GB"/>
    </w:rPr>
  </w:style>
  <w:style w:type="paragraph" w:styleId="Listenumros2">
    <w:name w:val="List Number 2"/>
    <w:basedOn w:val="Normal"/>
    <w:semiHidden/>
    <w:rsid w:val="00A02B4C"/>
    <w:pPr>
      <w:numPr>
        <w:numId w:val="12"/>
      </w:numPr>
      <w:kinsoku/>
      <w:overflowPunct/>
      <w:autoSpaceDE/>
      <w:autoSpaceDN/>
      <w:adjustRightInd/>
      <w:snapToGrid/>
    </w:pPr>
    <w:rPr>
      <w:rFonts w:eastAsia="Times New Roman"/>
      <w:lang w:val="en-GB"/>
    </w:rPr>
  </w:style>
  <w:style w:type="paragraph" w:styleId="Listenumros3">
    <w:name w:val="List Number 3"/>
    <w:basedOn w:val="Normal"/>
    <w:semiHidden/>
    <w:rsid w:val="00A02B4C"/>
    <w:pPr>
      <w:numPr>
        <w:numId w:val="13"/>
      </w:numPr>
      <w:kinsoku/>
      <w:overflowPunct/>
      <w:autoSpaceDE/>
      <w:autoSpaceDN/>
      <w:adjustRightInd/>
      <w:snapToGrid/>
    </w:pPr>
    <w:rPr>
      <w:rFonts w:eastAsia="Times New Roman"/>
      <w:lang w:val="en-GB"/>
    </w:rPr>
  </w:style>
  <w:style w:type="paragraph" w:styleId="Listenumros4">
    <w:name w:val="List Number 4"/>
    <w:basedOn w:val="Normal"/>
    <w:semiHidden/>
    <w:rsid w:val="00A02B4C"/>
    <w:pPr>
      <w:numPr>
        <w:numId w:val="14"/>
      </w:numPr>
      <w:kinsoku/>
      <w:overflowPunct/>
      <w:autoSpaceDE/>
      <w:autoSpaceDN/>
      <w:adjustRightInd/>
      <w:snapToGrid/>
    </w:pPr>
    <w:rPr>
      <w:rFonts w:eastAsia="Times New Roman"/>
      <w:lang w:val="en-GB"/>
    </w:rPr>
  </w:style>
  <w:style w:type="paragraph" w:styleId="Listenumros5">
    <w:name w:val="List Number 5"/>
    <w:basedOn w:val="Normal"/>
    <w:semiHidden/>
    <w:rsid w:val="00A02B4C"/>
    <w:pPr>
      <w:numPr>
        <w:numId w:val="15"/>
      </w:numPr>
      <w:kinsoku/>
      <w:overflowPunct/>
      <w:autoSpaceDE/>
      <w:autoSpaceDN/>
      <w:adjustRightInd/>
      <w:snapToGrid/>
    </w:pPr>
    <w:rPr>
      <w:rFonts w:eastAsia="Times New Roman"/>
      <w:lang w:val="en-GB"/>
    </w:rPr>
  </w:style>
  <w:style w:type="paragraph" w:styleId="Listepuces">
    <w:name w:val="List Bullet"/>
    <w:basedOn w:val="Normal"/>
    <w:semiHidden/>
    <w:rsid w:val="00A02B4C"/>
    <w:pPr>
      <w:numPr>
        <w:numId w:val="7"/>
      </w:numPr>
      <w:kinsoku/>
      <w:overflowPunct/>
      <w:autoSpaceDE/>
      <w:autoSpaceDN/>
      <w:adjustRightInd/>
      <w:snapToGrid/>
    </w:pPr>
    <w:rPr>
      <w:rFonts w:eastAsia="Times New Roman"/>
      <w:lang w:val="en-GB"/>
    </w:rPr>
  </w:style>
  <w:style w:type="paragraph" w:styleId="Listepuces2">
    <w:name w:val="List Bullet 2"/>
    <w:basedOn w:val="Normal"/>
    <w:semiHidden/>
    <w:rsid w:val="00A02B4C"/>
    <w:pPr>
      <w:numPr>
        <w:numId w:val="16"/>
      </w:numPr>
      <w:kinsoku/>
      <w:overflowPunct/>
      <w:autoSpaceDE/>
      <w:autoSpaceDN/>
      <w:adjustRightInd/>
      <w:snapToGrid/>
    </w:pPr>
    <w:rPr>
      <w:rFonts w:eastAsia="Times New Roman"/>
      <w:lang w:val="en-GB"/>
    </w:rPr>
  </w:style>
  <w:style w:type="paragraph" w:styleId="Listepuces3">
    <w:name w:val="List Bullet 3"/>
    <w:basedOn w:val="Normal"/>
    <w:semiHidden/>
    <w:rsid w:val="00A02B4C"/>
    <w:pPr>
      <w:numPr>
        <w:numId w:val="17"/>
      </w:numPr>
      <w:kinsoku/>
      <w:overflowPunct/>
      <w:autoSpaceDE/>
      <w:autoSpaceDN/>
      <w:adjustRightInd/>
      <w:snapToGrid/>
    </w:pPr>
    <w:rPr>
      <w:rFonts w:eastAsia="Times New Roman"/>
      <w:lang w:val="en-GB"/>
    </w:rPr>
  </w:style>
  <w:style w:type="paragraph" w:styleId="Listepuces4">
    <w:name w:val="List Bullet 4"/>
    <w:basedOn w:val="Normal"/>
    <w:semiHidden/>
    <w:rsid w:val="00A02B4C"/>
    <w:pPr>
      <w:numPr>
        <w:numId w:val="18"/>
      </w:numPr>
      <w:kinsoku/>
      <w:overflowPunct/>
      <w:autoSpaceDE/>
      <w:autoSpaceDN/>
      <w:adjustRightInd/>
      <w:snapToGrid/>
    </w:pPr>
    <w:rPr>
      <w:rFonts w:eastAsia="Times New Roman"/>
      <w:lang w:val="en-GB"/>
    </w:rPr>
  </w:style>
  <w:style w:type="paragraph" w:styleId="Listepuces5">
    <w:name w:val="List Bullet 5"/>
    <w:basedOn w:val="Normal"/>
    <w:semiHidden/>
    <w:rsid w:val="00A02B4C"/>
    <w:pPr>
      <w:numPr>
        <w:numId w:val="19"/>
      </w:numPr>
      <w:kinsoku/>
      <w:overflowPunct/>
      <w:autoSpaceDE/>
      <w:autoSpaceDN/>
      <w:adjustRightInd/>
      <w:snapToGrid/>
    </w:pPr>
    <w:rPr>
      <w:rFonts w:eastAsia="Times New Roman"/>
      <w:lang w:val="en-GB"/>
    </w:rPr>
  </w:style>
  <w:style w:type="character" w:styleId="MachinecrireHTML">
    <w:name w:val="HTML Typewriter"/>
    <w:basedOn w:val="Policepardfaut"/>
    <w:semiHidden/>
    <w:rsid w:val="00A02B4C"/>
    <w:rPr>
      <w:rFonts w:ascii="Courier New" w:hAnsi="Courier New" w:cs="Courier New"/>
      <w:sz w:val="20"/>
      <w:szCs w:val="20"/>
    </w:rPr>
  </w:style>
  <w:style w:type="paragraph" w:styleId="NormalWeb">
    <w:name w:val="Normal (Web)"/>
    <w:basedOn w:val="Normal"/>
    <w:semiHidden/>
    <w:rsid w:val="00A02B4C"/>
    <w:pPr>
      <w:kinsoku/>
      <w:overflowPunct/>
      <w:autoSpaceDE/>
      <w:autoSpaceDN/>
      <w:adjustRightInd/>
      <w:snapToGrid/>
    </w:pPr>
    <w:rPr>
      <w:rFonts w:eastAsia="Times New Roman"/>
      <w:sz w:val="24"/>
      <w:szCs w:val="24"/>
      <w:lang w:val="en-GB"/>
    </w:rPr>
  </w:style>
  <w:style w:type="character" w:styleId="Numrodeligne">
    <w:name w:val="line number"/>
    <w:basedOn w:val="Policepardfaut"/>
    <w:semiHidden/>
    <w:rsid w:val="00A02B4C"/>
  </w:style>
  <w:style w:type="paragraph" w:styleId="Adresseexpditeur">
    <w:name w:val="envelope return"/>
    <w:basedOn w:val="Normal"/>
    <w:semiHidden/>
    <w:rsid w:val="00A02B4C"/>
    <w:pPr>
      <w:kinsoku/>
      <w:overflowPunct/>
      <w:autoSpaceDE/>
      <w:autoSpaceDN/>
      <w:adjustRightInd/>
      <w:snapToGrid/>
    </w:pPr>
    <w:rPr>
      <w:rFonts w:ascii="Arial" w:eastAsia="Times New Roman" w:hAnsi="Arial" w:cs="Arial"/>
      <w:lang w:val="en-GB"/>
    </w:rPr>
  </w:style>
  <w:style w:type="paragraph" w:styleId="Salutations">
    <w:name w:val="Salutation"/>
    <w:basedOn w:val="Normal"/>
    <w:next w:val="Normal"/>
    <w:link w:val="SalutationsCar"/>
    <w:rsid w:val="00A02B4C"/>
    <w:pPr>
      <w:kinsoku/>
      <w:overflowPunct/>
      <w:autoSpaceDE/>
      <w:autoSpaceDN/>
      <w:adjustRightInd/>
      <w:snapToGrid/>
    </w:pPr>
    <w:rPr>
      <w:rFonts w:eastAsia="Times New Roman"/>
      <w:lang w:val="en-GB"/>
    </w:rPr>
  </w:style>
  <w:style w:type="character" w:customStyle="1" w:styleId="SalutationsCar">
    <w:name w:val="Salutations Car"/>
    <w:basedOn w:val="Policepardfaut"/>
    <w:link w:val="Salutations"/>
    <w:rsid w:val="00A02B4C"/>
    <w:rPr>
      <w:lang w:eastAsia="en-US"/>
    </w:rPr>
  </w:style>
  <w:style w:type="paragraph" w:styleId="Retraitcorpsdetexte2">
    <w:name w:val="Body Text Indent 2"/>
    <w:basedOn w:val="Normal"/>
    <w:link w:val="Retraitcorpsdetexte2Car"/>
    <w:semiHidden/>
    <w:rsid w:val="00A02B4C"/>
    <w:pPr>
      <w:kinsoku/>
      <w:overflowPunct/>
      <w:autoSpaceDE/>
      <w:autoSpaceDN/>
      <w:adjustRightInd/>
      <w:snapToGrid/>
      <w:spacing w:after="120" w:line="480" w:lineRule="auto"/>
      <w:ind w:left="283"/>
    </w:pPr>
    <w:rPr>
      <w:rFonts w:eastAsia="Times New Roman"/>
      <w:lang w:val="en-GB"/>
    </w:rPr>
  </w:style>
  <w:style w:type="character" w:customStyle="1" w:styleId="Retraitcorpsdetexte2Car">
    <w:name w:val="Retrait corps de texte 2 Car"/>
    <w:basedOn w:val="Policepardfaut"/>
    <w:link w:val="Retraitcorpsdetexte2"/>
    <w:semiHidden/>
    <w:rsid w:val="00A02B4C"/>
    <w:rPr>
      <w:lang w:eastAsia="en-US"/>
    </w:rPr>
  </w:style>
  <w:style w:type="paragraph" w:styleId="Retraitcorpsdetexte3">
    <w:name w:val="Body Text Indent 3"/>
    <w:basedOn w:val="Normal"/>
    <w:link w:val="Retraitcorpsdetexte3Car"/>
    <w:semiHidden/>
    <w:rsid w:val="00A02B4C"/>
    <w:pPr>
      <w:kinsoku/>
      <w:overflowPunct/>
      <w:autoSpaceDE/>
      <w:autoSpaceDN/>
      <w:adjustRightInd/>
      <w:snapToGrid/>
      <w:spacing w:after="120"/>
      <w:ind w:left="283"/>
    </w:pPr>
    <w:rPr>
      <w:rFonts w:eastAsia="Times New Roman"/>
      <w:sz w:val="16"/>
      <w:szCs w:val="16"/>
      <w:lang w:val="en-GB"/>
    </w:rPr>
  </w:style>
  <w:style w:type="character" w:customStyle="1" w:styleId="Retraitcorpsdetexte3Car">
    <w:name w:val="Retrait corps de texte 3 Car"/>
    <w:basedOn w:val="Policepardfaut"/>
    <w:link w:val="Retraitcorpsdetexte3"/>
    <w:semiHidden/>
    <w:rsid w:val="00A02B4C"/>
    <w:rPr>
      <w:sz w:val="16"/>
      <w:szCs w:val="16"/>
      <w:lang w:eastAsia="en-US"/>
    </w:rPr>
  </w:style>
  <w:style w:type="paragraph" w:styleId="Retraitcorpsdetexte">
    <w:name w:val="Body Text Indent"/>
    <w:basedOn w:val="Normal"/>
    <w:link w:val="RetraitcorpsdetexteCar"/>
    <w:semiHidden/>
    <w:rsid w:val="00A02B4C"/>
    <w:pPr>
      <w:kinsoku/>
      <w:overflowPunct/>
      <w:autoSpaceDE/>
      <w:autoSpaceDN/>
      <w:adjustRightInd/>
      <w:snapToGrid/>
      <w:spacing w:after="120"/>
      <w:ind w:left="283"/>
    </w:pPr>
    <w:rPr>
      <w:rFonts w:eastAsia="Times New Roman"/>
      <w:lang w:val="en-GB"/>
    </w:rPr>
  </w:style>
  <w:style w:type="character" w:customStyle="1" w:styleId="RetraitcorpsdetexteCar">
    <w:name w:val="Retrait corps de texte Car"/>
    <w:basedOn w:val="Policepardfaut"/>
    <w:link w:val="Retraitcorpsdetexte"/>
    <w:semiHidden/>
    <w:rsid w:val="00A02B4C"/>
    <w:rPr>
      <w:lang w:eastAsia="en-US"/>
    </w:rPr>
  </w:style>
  <w:style w:type="paragraph" w:styleId="Retraitnormal">
    <w:name w:val="Normal Indent"/>
    <w:basedOn w:val="Normal"/>
    <w:semiHidden/>
    <w:rsid w:val="00A02B4C"/>
    <w:pPr>
      <w:kinsoku/>
      <w:overflowPunct/>
      <w:autoSpaceDE/>
      <w:autoSpaceDN/>
      <w:adjustRightInd/>
      <w:snapToGrid/>
      <w:ind w:left="567"/>
    </w:pPr>
    <w:rPr>
      <w:rFonts w:eastAsia="Times New Roman"/>
      <w:lang w:val="en-GB"/>
    </w:rPr>
  </w:style>
  <w:style w:type="paragraph" w:styleId="Sous-titre">
    <w:name w:val="Subtitle"/>
    <w:basedOn w:val="Normal"/>
    <w:link w:val="Sous-titreCar"/>
    <w:qFormat/>
    <w:rsid w:val="00A02B4C"/>
    <w:pPr>
      <w:kinsoku/>
      <w:overflowPunct/>
      <w:autoSpaceDE/>
      <w:autoSpaceDN/>
      <w:adjustRightInd/>
      <w:snapToGrid/>
      <w:spacing w:after="60"/>
      <w:jc w:val="center"/>
      <w:outlineLvl w:val="1"/>
    </w:pPr>
    <w:rPr>
      <w:rFonts w:ascii="Arial" w:eastAsia="Times New Roman" w:hAnsi="Arial" w:cs="Arial"/>
      <w:sz w:val="24"/>
      <w:szCs w:val="24"/>
      <w:lang w:val="en-GB"/>
    </w:rPr>
  </w:style>
  <w:style w:type="character" w:customStyle="1" w:styleId="Sous-titreCar">
    <w:name w:val="Sous-titre Car"/>
    <w:basedOn w:val="Policepardfaut"/>
    <w:link w:val="Sous-titre"/>
    <w:rsid w:val="00A02B4C"/>
    <w:rPr>
      <w:rFonts w:ascii="Arial" w:hAnsi="Arial" w:cs="Arial"/>
      <w:sz w:val="24"/>
      <w:szCs w:val="24"/>
      <w:lang w:eastAsia="en-US"/>
    </w:rPr>
  </w:style>
  <w:style w:type="table" w:styleId="Tableausimple1">
    <w:name w:val="Table Simple 1"/>
    <w:basedOn w:val="TableauNormal"/>
    <w:rsid w:val="00A02B4C"/>
    <w:pPr>
      <w:spacing w:line="240" w:lineRule="atLeast"/>
    </w:pPr>
    <w:rPr>
      <w:lang w:val="es-ES" w:eastAsia="es-E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rsid w:val="00A02B4C"/>
    <w:pPr>
      <w:spacing w:line="240" w:lineRule="atLeast"/>
    </w:pPr>
    <w:rPr>
      <w:lang w:val="es-ES"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rsid w:val="00A02B4C"/>
    <w:pPr>
      <w:spacing w:line="240" w:lineRule="atLeast"/>
    </w:pPr>
    <w:rPr>
      <w:lang w:val="es-ES" w:eastAsia="es-E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rsid w:val="00A02B4C"/>
    <w:pPr>
      <w:spacing w:line="240" w:lineRule="atLeast"/>
    </w:pPr>
    <w:rPr>
      <w:lang w:val="es-ES" w:eastAsia="es-E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rsid w:val="00A02B4C"/>
    <w:pPr>
      <w:spacing w:line="240" w:lineRule="atLeast"/>
    </w:pPr>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rsid w:val="00A02B4C"/>
    <w:pPr>
      <w:spacing w:line="240" w:lineRule="atLeast"/>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rsid w:val="00A02B4C"/>
    <w:pPr>
      <w:spacing w:line="240" w:lineRule="atLeast"/>
    </w:pPr>
    <w:rPr>
      <w:lang w:val="es-ES" w:eastAsia="es-E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rsid w:val="00A02B4C"/>
    <w:pPr>
      <w:spacing w:line="240" w:lineRule="atLeast"/>
    </w:pPr>
    <w:rPr>
      <w:b/>
      <w:bCs/>
      <w:lang w:val="es-ES" w:eastAsia="es-E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rsid w:val="00A02B4C"/>
    <w:pPr>
      <w:spacing w:line="240" w:lineRule="atLeast"/>
    </w:pPr>
    <w:rPr>
      <w:b/>
      <w:bCs/>
      <w:lang w:val="es-ES" w:eastAsia="es-E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rsid w:val="00A02B4C"/>
    <w:pPr>
      <w:spacing w:line="240" w:lineRule="atLeast"/>
    </w:pPr>
    <w:rPr>
      <w:b/>
      <w:bCs/>
      <w:lang w:val="es-ES" w:eastAsia="es-E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rsid w:val="00A02B4C"/>
    <w:pPr>
      <w:spacing w:line="240" w:lineRule="atLeast"/>
    </w:pPr>
    <w:rPr>
      <w:lang w:val="es-ES" w:eastAsia="es-E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rsid w:val="00A02B4C"/>
    <w:pPr>
      <w:spacing w:line="240" w:lineRule="atLeast"/>
    </w:pPr>
    <w:rPr>
      <w:lang w:val="es-ES" w:eastAsia="es-E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rsid w:val="00A02B4C"/>
    <w:pPr>
      <w:spacing w:line="240" w:lineRule="atLeast"/>
    </w:pPr>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rsid w:val="00A02B4C"/>
    <w:pPr>
      <w:spacing w:line="240" w:lineRule="atLeast"/>
    </w:pPr>
    <w:rPr>
      <w:lang w:val="es-ES" w:eastAsia="es-E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rsid w:val="00A02B4C"/>
    <w:pPr>
      <w:spacing w:line="240" w:lineRule="atLeast"/>
    </w:pPr>
    <w:rPr>
      <w:lang w:val="es-ES" w:eastAsia="es-E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rsid w:val="00A02B4C"/>
    <w:pPr>
      <w:spacing w:line="240" w:lineRule="atLeast"/>
    </w:pPr>
    <w:rPr>
      <w:lang w:val="es-ES" w:eastAsia="es-E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rsid w:val="00A02B4C"/>
    <w:pPr>
      <w:spacing w:line="240" w:lineRule="atLeast"/>
    </w:pPr>
    <w:rPr>
      <w:lang w:val="es-ES" w:eastAsia="es-E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rsid w:val="00A02B4C"/>
    <w:pPr>
      <w:spacing w:line="240" w:lineRule="atLeast"/>
    </w:pPr>
    <w:rPr>
      <w:lang w:val="es-ES" w:eastAsia="es-E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rsid w:val="00A02B4C"/>
    <w:pPr>
      <w:spacing w:line="240" w:lineRule="atLeast"/>
    </w:pPr>
    <w:rPr>
      <w:b/>
      <w:bCs/>
      <w:lang w:val="es-ES" w:eastAsia="es-E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rsid w:val="00A02B4C"/>
    <w:pPr>
      <w:spacing w:line="240" w:lineRule="atLeast"/>
    </w:pPr>
    <w:rPr>
      <w:lang w:val="es-ES" w:eastAsia="es-E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rsid w:val="00A02B4C"/>
    <w:pPr>
      <w:spacing w:line="240" w:lineRule="atLeast"/>
    </w:pPr>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rsid w:val="00A02B4C"/>
    <w:pPr>
      <w:spacing w:line="240" w:lineRule="atLeast"/>
    </w:pPr>
    <w:rPr>
      <w:lang w:val="es-ES" w:eastAsia="es-E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rsid w:val="00A02B4C"/>
    <w:pPr>
      <w:spacing w:line="240" w:lineRule="atLeast"/>
    </w:pPr>
    <w:rPr>
      <w:lang w:val="es-ES" w:eastAsia="es-E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rsid w:val="00A02B4C"/>
    <w:pPr>
      <w:spacing w:line="240" w:lineRule="atLeast"/>
    </w:pPr>
    <w:rPr>
      <w:lang w:val="es-ES" w:eastAsia="es-E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rsid w:val="00A02B4C"/>
    <w:pPr>
      <w:spacing w:line="240" w:lineRule="atLeast"/>
    </w:pPr>
    <w:rPr>
      <w:lang w:val="es-ES" w:eastAsia="es-E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rsid w:val="00A02B4C"/>
    <w:pPr>
      <w:spacing w:line="240" w:lineRule="atLeast"/>
    </w:pPr>
    <w:rPr>
      <w:lang w:val="es-ES" w:eastAsia="es-E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rsid w:val="00A02B4C"/>
    <w:pPr>
      <w:spacing w:line="240" w:lineRule="atLeast"/>
    </w:pPr>
    <w:rPr>
      <w:lang w:val="es-ES" w:eastAsia="es-E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rsid w:val="00A02B4C"/>
    <w:pPr>
      <w:spacing w:line="240" w:lineRule="atLeast"/>
    </w:pPr>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rsid w:val="00A02B4C"/>
    <w:pPr>
      <w:spacing w:line="240" w:lineRule="atLeast"/>
    </w:pPr>
    <w:rPr>
      <w:lang w:val="es-ES" w:eastAsia="es-E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rsid w:val="00A02B4C"/>
    <w:pPr>
      <w:spacing w:line="240" w:lineRule="atLeast"/>
    </w:pPr>
    <w:rPr>
      <w:lang w:val="es-ES" w:eastAsia="es-E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rsid w:val="00A02B4C"/>
    <w:pPr>
      <w:spacing w:line="240" w:lineRule="atLeast"/>
    </w:pPr>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rsid w:val="00A02B4C"/>
    <w:pPr>
      <w:spacing w:line="240" w:lineRule="atLeast"/>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rsid w:val="00A02B4C"/>
    <w:pPr>
      <w:spacing w:line="240" w:lineRule="atLeast"/>
    </w:pPr>
    <w:rPr>
      <w:lang w:val="es-ES" w:eastAsia="es-E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rsid w:val="00A02B4C"/>
    <w:pPr>
      <w:spacing w:line="240" w:lineRule="atLeast"/>
    </w:pPr>
    <w:rPr>
      <w:lang w:val="es-ES" w:eastAsia="es-E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rsid w:val="00A02B4C"/>
    <w:pPr>
      <w:spacing w:line="240" w:lineRule="atLeast"/>
    </w:pPr>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rsid w:val="00A02B4C"/>
    <w:pPr>
      <w:spacing w:line="240" w:lineRule="atLeast"/>
    </w:pPr>
    <w:rPr>
      <w:lang w:val="es-ES" w:eastAsia="es-E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rsid w:val="00A02B4C"/>
    <w:pPr>
      <w:spacing w:line="240" w:lineRule="atLeast"/>
    </w:pPr>
    <w:rPr>
      <w:lang w:val="es-ES" w:eastAsia="es-E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rsid w:val="00A02B4C"/>
    <w:pPr>
      <w:spacing w:line="240" w:lineRule="atLeast"/>
    </w:pPr>
    <w:rPr>
      <w:color w:val="FFFFFF"/>
      <w:lang w:val="es-ES" w:eastAsia="es-E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rsid w:val="00A02B4C"/>
    <w:pPr>
      <w:spacing w:line="240" w:lineRule="atLeast"/>
    </w:pPr>
    <w:rPr>
      <w:lang w:val="es-ES" w:eastAsia="es-E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rsid w:val="00A02B4C"/>
    <w:pPr>
      <w:spacing w:line="240" w:lineRule="atLeast"/>
    </w:pPr>
    <w:rPr>
      <w:lang w:val="es-ES" w:eastAsia="es-E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rsid w:val="00A02B4C"/>
    <w:pPr>
      <w:spacing w:line="240" w:lineRule="atLeast"/>
    </w:pPr>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rsid w:val="00A02B4C"/>
    <w:pPr>
      <w:spacing w:line="240" w:lineRule="atLeast"/>
    </w:pPr>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rsid w:val="00A02B4C"/>
    <w:pPr>
      <w:spacing w:line="240" w:lineRule="atLeast"/>
    </w:pPr>
    <w:rPr>
      <w:lang w:val="es-ES" w:eastAsia="es-E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basedOn w:val="Policepardfaut"/>
    <w:semiHidden/>
    <w:rsid w:val="00A02B4C"/>
    <w:rPr>
      <w:rFonts w:ascii="Courier New" w:hAnsi="Courier New" w:cs="Courier New"/>
      <w:sz w:val="20"/>
      <w:szCs w:val="20"/>
    </w:rPr>
  </w:style>
  <w:style w:type="paragraph" w:styleId="Normalcentr">
    <w:name w:val="Block Text"/>
    <w:basedOn w:val="Normal"/>
    <w:semiHidden/>
    <w:rsid w:val="00A02B4C"/>
    <w:pPr>
      <w:kinsoku/>
      <w:overflowPunct/>
      <w:autoSpaceDE/>
      <w:autoSpaceDN/>
      <w:adjustRightInd/>
      <w:snapToGrid/>
      <w:spacing w:after="120"/>
      <w:ind w:left="1440" w:right="1440"/>
    </w:pPr>
    <w:rPr>
      <w:rFonts w:eastAsia="Times New Roman"/>
      <w:lang w:val="en-GB"/>
    </w:rPr>
  </w:style>
  <w:style w:type="character" w:styleId="lev">
    <w:name w:val="Strong"/>
    <w:basedOn w:val="Policepardfaut"/>
    <w:qFormat/>
    <w:rsid w:val="00A02B4C"/>
    <w:rPr>
      <w:b/>
      <w:bCs/>
    </w:rPr>
  </w:style>
  <w:style w:type="paragraph" w:styleId="Corpsdetexte">
    <w:name w:val="Body Text"/>
    <w:basedOn w:val="Normal"/>
    <w:link w:val="CorpsdetexteCar"/>
    <w:semiHidden/>
    <w:rsid w:val="00A02B4C"/>
    <w:pPr>
      <w:kinsoku/>
      <w:overflowPunct/>
      <w:autoSpaceDE/>
      <w:autoSpaceDN/>
      <w:adjustRightInd/>
      <w:snapToGrid/>
      <w:spacing w:after="120"/>
    </w:pPr>
    <w:rPr>
      <w:rFonts w:eastAsia="Times New Roman"/>
      <w:lang w:val="en-GB"/>
    </w:rPr>
  </w:style>
  <w:style w:type="character" w:customStyle="1" w:styleId="CorpsdetexteCar">
    <w:name w:val="Corps de texte Car"/>
    <w:basedOn w:val="Policepardfaut"/>
    <w:link w:val="Corpsdetexte"/>
    <w:semiHidden/>
    <w:rsid w:val="00A02B4C"/>
    <w:rPr>
      <w:lang w:eastAsia="en-US"/>
    </w:rPr>
  </w:style>
  <w:style w:type="paragraph" w:styleId="Corpsdetexte2">
    <w:name w:val="Body Text 2"/>
    <w:basedOn w:val="Normal"/>
    <w:link w:val="Corpsdetexte2Car"/>
    <w:semiHidden/>
    <w:rsid w:val="00A02B4C"/>
    <w:pPr>
      <w:kinsoku/>
      <w:overflowPunct/>
      <w:autoSpaceDE/>
      <w:autoSpaceDN/>
      <w:adjustRightInd/>
      <w:snapToGrid/>
      <w:spacing w:after="120" w:line="480" w:lineRule="auto"/>
    </w:pPr>
    <w:rPr>
      <w:rFonts w:eastAsia="Times New Roman"/>
      <w:lang w:val="en-GB"/>
    </w:rPr>
  </w:style>
  <w:style w:type="character" w:customStyle="1" w:styleId="Corpsdetexte2Car">
    <w:name w:val="Corps de texte 2 Car"/>
    <w:basedOn w:val="Policepardfaut"/>
    <w:link w:val="Corpsdetexte2"/>
    <w:semiHidden/>
    <w:rsid w:val="00A02B4C"/>
    <w:rPr>
      <w:lang w:eastAsia="en-US"/>
    </w:rPr>
  </w:style>
  <w:style w:type="paragraph" w:styleId="Corpsdetexte3">
    <w:name w:val="Body Text 3"/>
    <w:basedOn w:val="Normal"/>
    <w:link w:val="Corpsdetexte3Car"/>
    <w:semiHidden/>
    <w:rsid w:val="00A02B4C"/>
    <w:pPr>
      <w:kinsoku/>
      <w:overflowPunct/>
      <w:autoSpaceDE/>
      <w:autoSpaceDN/>
      <w:adjustRightInd/>
      <w:snapToGrid/>
      <w:spacing w:after="120"/>
    </w:pPr>
    <w:rPr>
      <w:rFonts w:eastAsia="Times New Roman"/>
      <w:sz w:val="16"/>
      <w:szCs w:val="16"/>
      <w:lang w:val="en-GB"/>
    </w:rPr>
  </w:style>
  <w:style w:type="character" w:customStyle="1" w:styleId="Corpsdetexte3Car">
    <w:name w:val="Corps de texte 3 Car"/>
    <w:basedOn w:val="Policepardfaut"/>
    <w:link w:val="Corpsdetexte3"/>
    <w:semiHidden/>
    <w:rsid w:val="00A02B4C"/>
    <w:rPr>
      <w:sz w:val="16"/>
      <w:szCs w:val="16"/>
      <w:lang w:eastAsia="en-US"/>
    </w:rPr>
  </w:style>
  <w:style w:type="paragraph" w:styleId="Retrait1religne">
    <w:name w:val="Body Text First Indent"/>
    <w:basedOn w:val="Corpsdetexte"/>
    <w:link w:val="Retrait1religneCar"/>
    <w:rsid w:val="00A02B4C"/>
    <w:pPr>
      <w:ind w:firstLine="210"/>
    </w:pPr>
  </w:style>
  <w:style w:type="character" w:customStyle="1" w:styleId="Retrait1religneCar">
    <w:name w:val="Retrait 1re ligne Car"/>
    <w:basedOn w:val="CorpsdetexteCar"/>
    <w:link w:val="Retrait1religne"/>
    <w:rsid w:val="00A02B4C"/>
    <w:rPr>
      <w:lang w:eastAsia="en-US"/>
    </w:rPr>
  </w:style>
  <w:style w:type="paragraph" w:styleId="Retraitcorpset1relig">
    <w:name w:val="Body Text First Indent 2"/>
    <w:basedOn w:val="Retraitcorpsdetexte"/>
    <w:link w:val="Retraitcorpset1religCar"/>
    <w:semiHidden/>
    <w:rsid w:val="00A02B4C"/>
    <w:pPr>
      <w:ind w:firstLine="210"/>
    </w:pPr>
  </w:style>
  <w:style w:type="character" w:customStyle="1" w:styleId="Retraitcorpset1religCar">
    <w:name w:val="Retrait corps et 1re lig. Car"/>
    <w:basedOn w:val="RetraitcorpsdetexteCar"/>
    <w:link w:val="Retraitcorpset1relig"/>
    <w:semiHidden/>
    <w:rsid w:val="00A02B4C"/>
    <w:rPr>
      <w:lang w:eastAsia="en-US"/>
    </w:rPr>
  </w:style>
  <w:style w:type="paragraph" w:styleId="Textebrut">
    <w:name w:val="Plain Text"/>
    <w:basedOn w:val="Normal"/>
    <w:link w:val="TextebrutCar"/>
    <w:semiHidden/>
    <w:rsid w:val="00A02B4C"/>
    <w:pPr>
      <w:kinsoku/>
      <w:overflowPunct/>
      <w:autoSpaceDE/>
      <w:autoSpaceDN/>
      <w:adjustRightInd/>
      <w:snapToGrid/>
    </w:pPr>
    <w:rPr>
      <w:rFonts w:ascii="Courier New" w:eastAsia="Times New Roman" w:hAnsi="Courier New" w:cs="Courier New"/>
      <w:lang w:val="en-GB"/>
    </w:rPr>
  </w:style>
  <w:style w:type="character" w:customStyle="1" w:styleId="TextebrutCar">
    <w:name w:val="Texte brut Car"/>
    <w:basedOn w:val="Policepardfaut"/>
    <w:link w:val="Textebrut"/>
    <w:semiHidden/>
    <w:rsid w:val="00A02B4C"/>
    <w:rPr>
      <w:rFonts w:ascii="Courier New" w:hAnsi="Courier New" w:cs="Courier New"/>
      <w:lang w:eastAsia="en-US"/>
    </w:rPr>
  </w:style>
  <w:style w:type="paragraph" w:styleId="Titre">
    <w:name w:val="Title"/>
    <w:basedOn w:val="Normal"/>
    <w:link w:val="TitreCar"/>
    <w:qFormat/>
    <w:rsid w:val="00A02B4C"/>
    <w:pPr>
      <w:kinsoku/>
      <w:overflowPunct/>
      <w:autoSpaceDE/>
      <w:autoSpaceDN/>
      <w:adjustRightInd/>
      <w:snapToGrid/>
      <w:spacing w:before="240" w:after="60"/>
      <w:jc w:val="center"/>
      <w:outlineLvl w:val="0"/>
    </w:pPr>
    <w:rPr>
      <w:rFonts w:ascii="Arial" w:eastAsia="Times New Roman" w:hAnsi="Arial" w:cs="Arial"/>
      <w:b/>
      <w:bCs/>
      <w:kern w:val="28"/>
      <w:sz w:val="32"/>
      <w:szCs w:val="32"/>
      <w:lang w:val="en-GB"/>
    </w:rPr>
  </w:style>
  <w:style w:type="character" w:customStyle="1" w:styleId="TitreCar">
    <w:name w:val="Titre Car"/>
    <w:basedOn w:val="Policepardfaut"/>
    <w:link w:val="Titre"/>
    <w:rsid w:val="00A02B4C"/>
    <w:rPr>
      <w:rFonts w:ascii="Arial" w:hAnsi="Arial" w:cs="Arial"/>
      <w:b/>
      <w:bCs/>
      <w:kern w:val="28"/>
      <w:sz w:val="32"/>
      <w:szCs w:val="32"/>
      <w:lang w:eastAsia="en-US"/>
    </w:rPr>
  </w:style>
  <w:style w:type="character" w:styleId="VariableHTML">
    <w:name w:val="HTML Variable"/>
    <w:basedOn w:val="Policepardfaut"/>
    <w:semiHidden/>
    <w:rsid w:val="00A02B4C"/>
    <w:rPr>
      <w:i/>
      <w:iCs/>
    </w:rPr>
  </w:style>
  <w:style w:type="character" w:customStyle="1" w:styleId="H4GCar">
    <w:name w:val="_ H_4_G Car"/>
    <w:basedOn w:val="Policepardfaut"/>
    <w:link w:val="H4G"/>
    <w:rsid w:val="00A02B4C"/>
    <w:rPr>
      <w:rFonts w:eastAsiaTheme="minorHAnsi"/>
      <w:i/>
      <w:lang w:val="fr-CH" w:eastAsia="en-US"/>
    </w:rPr>
  </w:style>
  <w:style w:type="character" w:styleId="Accentuationintense">
    <w:name w:val="Intense Emphasis"/>
    <w:uiPriority w:val="21"/>
    <w:rsid w:val="00A02B4C"/>
    <w:rPr>
      <w:b/>
      <w:bCs/>
      <w:i/>
      <w:iCs/>
      <w:color w:val="4F81BD"/>
    </w:rPr>
  </w:style>
  <w:style w:type="paragraph" w:styleId="Citationintense">
    <w:name w:val="Intense Quote"/>
    <w:basedOn w:val="Normal"/>
    <w:next w:val="Normal"/>
    <w:link w:val="CitationintenseCar"/>
    <w:uiPriority w:val="30"/>
    <w:rsid w:val="00A02B4C"/>
    <w:pPr>
      <w:pBdr>
        <w:bottom w:val="single" w:sz="4" w:space="4" w:color="4F81BD"/>
      </w:pBdr>
      <w:suppressAutoHyphens w:val="0"/>
      <w:kinsoku/>
      <w:overflowPunct/>
      <w:autoSpaceDE/>
      <w:autoSpaceDN/>
      <w:adjustRightInd/>
      <w:snapToGrid/>
      <w:spacing w:before="200" w:after="280"/>
      <w:ind w:left="936" w:right="936"/>
    </w:pPr>
    <w:rPr>
      <w:rFonts w:eastAsia="Times New Roman"/>
      <w:b/>
      <w:bCs/>
      <w:i/>
      <w:iCs/>
      <w:color w:val="4F81BD"/>
      <w:lang w:val="es-ES" w:eastAsia="es-ES"/>
    </w:rPr>
  </w:style>
  <w:style w:type="character" w:customStyle="1" w:styleId="CitationintenseCar">
    <w:name w:val="Citation intense Car"/>
    <w:basedOn w:val="Policepardfaut"/>
    <w:link w:val="Citationintense"/>
    <w:uiPriority w:val="30"/>
    <w:rsid w:val="00A02B4C"/>
    <w:rPr>
      <w:b/>
      <w:bCs/>
      <w:i/>
      <w:iCs/>
      <w:color w:val="4F81BD"/>
      <w:lang w:val="es-ES" w:eastAsia="es-ES"/>
    </w:rPr>
  </w:style>
  <w:style w:type="character" w:styleId="Marquedecommentaire">
    <w:name w:val="annotation reference"/>
    <w:basedOn w:val="Policepardfaut"/>
    <w:semiHidden/>
    <w:unhideWhenUsed/>
    <w:rsid w:val="00A02B4C"/>
    <w:rPr>
      <w:sz w:val="16"/>
      <w:szCs w:val="16"/>
    </w:rPr>
  </w:style>
  <w:style w:type="paragraph" w:styleId="Commentaire">
    <w:name w:val="annotation text"/>
    <w:basedOn w:val="Normal"/>
    <w:link w:val="CommentaireCar"/>
    <w:semiHidden/>
    <w:unhideWhenUsed/>
    <w:rsid w:val="00A02B4C"/>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semiHidden/>
    <w:rsid w:val="00A02B4C"/>
    <w:rPr>
      <w:lang w:eastAsia="en-US"/>
    </w:rPr>
  </w:style>
  <w:style w:type="paragraph" w:styleId="Objetducommentaire">
    <w:name w:val="annotation subject"/>
    <w:basedOn w:val="Commentaire"/>
    <w:next w:val="Commentaire"/>
    <w:link w:val="ObjetducommentaireCar"/>
    <w:semiHidden/>
    <w:unhideWhenUsed/>
    <w:rsid w:val="00A02B4C"/>
    <w:rPr>
      <w:b/>
      <w:bCs/>
    </w:rPr>
  </w:style>
  <w:style w:type="character" w:customStyle="1" w:styleId="ObjetducommentaireCar">
    <w:name w:val="Objet du commentaire Car"/>
    <w:basedOn w:val="CommentaireCar"/>
    <w:link w:val="Objetducommentaire"/>
    <w:semiHidden/>
    <w:rsid w:val="00A02B4C"/>
    <w:rPr>
      <w:b/>
      <w:bCs/>
      <w:lang w:eastAsia="en-US"/>
    </w:rPr>
  </w:style>
  <w:style w:type="paragraph" w:styleId="Rvision">
    <w:name w:val="Revision"/>
    <w:hidden/>
    <w:uiPriority w:val="99"/>
    <w:semiHidden/>
    <w:rsid w:val="00A02B4C"/>
    <w:rPr>
      <w:lang w:eastAsia="en-US"/>
    </w:rPr>
  </w:style>
  <w:style w:type="character" w:customStyle="1" w:styleId="Mencinsinresolver1">
    <w:name w:val="Mención sin resolver1"/>
    <w:basedOn w:val="Policepardfaut"/>
    <w:uiPriority w:val="99"/>
    <w:semiHidden/>
    <w:unhideWhenUsed/>
    <w:rsid w:val="00A02B4C"/>
    <w:rPr>
      <w:color w:val="605E5C"/>
      <w:shd w:val="clear" w:color="auto" w:fill="E1DFDD"/>
    </w:rPr>
  </w:style>
  <w:style w:type="character" w:styleId="Mentionnonrsolue">
    <w:name w:val="Unresolved Mention"/>
    <w:basedOn w:val="Policepardfaut"/>
    <w:uiPriority w:val="99"/>
    <w:semiHidden/>
    <w:unhideWhenUsed/>
    <w:rsid w:val="00A02B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undocs.org/es/E/2020/22" TargetMode="External"/><Relationship Id="rId18" Type="http://schemas.openxmlformats.org/officeDocument/2006/relationships/header" Target="header2.xml"/><Relationship Id="rId26" Type="http://schemas.openxmlformats.org/officeDocument/2006/relationships/hyperlink" Target="https://undocs.org/fr/A/RES/2200(XXI)" TargetMode="External"/><Relationship Id="rId39" Type="http://schemas.openxmlformats.org/officeDocument/2006/relationships/hyperlink" Target="https://undocs.org/fr/E/C.12/2020/SR.30" TargetMode="External"/><Relationship Id="rId21" Type="http://schemas.openxmlformats.org/officeDocument/2006/relationships/header" Target="header4.xml"/><Relationship Id="rId34" Type="http://schemas.openxmlformats.org/officeDocument/2006/relationships/hyperlink" Target="https://undocs.org/fr/E/C.12/2020/SR.6" TargetMode="External"/><Relationship Id="rId42" Type="http://schemas.openxmlformats.org/officeDocument/2006/relationships/hyperlink" Target="https://undocs.org/fr/A/RES/68/268" TargetMode="External"/><Relationship Id="rId47" Type="http://schemas.openxmlformats.org/officeDocument/2006/relationships/hyperlink" Target="https://undocs.org/fr/E/C.12/KWT/3" TargetMode="External"/><Relationship Id="rId50" Type="http://schemas.openxmlformats.org/officeDocument/2006/relationships/hyperlink" Target="https://undocs.org/fr/A/RES/68/268" TargetMode="External"/><Relationship Id="rId55" Type="http://schemas.openxmlformats.org/officeDocument/2006/relationships/hyperlink" Target="https://undocs.org/fr/E/C.12/2008/2" TargetMode="External"/><Relationship Id="rId63" Type="http://schemas.openxmlformats.org/officeDocument/2006/relationships/hyperlink" Target="https://undocs.org/fr/E/C.12/BOL/3" TargetMode="External"/><Relationship Id="rId68" Type="http://schemas.openxmlformats.org/officeDocument/2006/relationships/hyperlink" Target="https://undocs.org/fr/E/C.12/FIN/7" TargetMode="External"/><Relationship Id="rId76" Type="http://schemas.openxmlformats.org/officeDocument/2006/relationships/hyperlink" Target="https://undocs.org/fr/E/C.12/68/D/79/2018" TargetMode="External"/><Relationship Id="rId84" Type="http://schemas.openxmlformats.org/officeDocument/2006/relationships/hyperlink" Target="https://undocs.org/fr/A/RES/68/268" TargetMode="External"/><Relationship Id="rId7" Type="http://schemas.openxmlformats.org/officeDocument/2006/relationships/endnotes" Target="endnotes.xml"/><Relationship Id="rId71" Type="http://schemas.openxmlformats.org/officeDocument/2006/relationships/hyperlink" Target="https://undocs.org/fr/E/C.12/GIN/CO/1" TargetMode="External"/><Relationship Id="rId2" Type="http://schemas.openxmlformats.org/officeDocument/2006/relationships/numbering" Target="numbering.xml"/><Relationship Id="rId16" Type="http://schemas.openxmlformats.org/officeDocument/2006/relationships/header" Target="header1.xml"/><Relationship Id="rId29" Type="http://schemas.openxmlformats.org/officeDocument/2006/relationships/hyperlink" Target="https://undocs.org/fr/E/C.12/68/1" TargetMode="External"/><Relationship Id="rId11" Type="http://schemas.openxmlformats.org/officeDocument/2006/relationships/hyperlink" Target="https://undocs.org/fr/E/2021/22" TargetMode="External"/><Relationship Id="rId24" Type="http://schemas.openxmlformats.org/officeDocument/2006/relationships/header" Target="header5.xml"/><Relationship Id="rId32" Type="http://schemas.openxmlformats.org/officeDocument/2006/relationships/hyperlink" Target="https://undocs.org/fr/E/C.12/2020/SR.3" TargetMode="External"/><Relationship Id="rId37" Type="http://schemas.openxmlformats.org/officeDocument/2006/relationships/hyperlink" Target="https://undocs.org/fr/E/C.12/2020/SR.15" TargetMode="External"/><Relationship Id="rId40" Type="http://schemas.openxmlformats.org/officeDocument/2006/relationships/hyperlink" Target="https://undocs.org/fr/E/C.12/2020/SR.31" TargetMode="External"/><Relationship Id="rId45" Type="http://schemas.openxmlformats.org/officeDocument/2006/relationships/hyperlink" Target="https://undocs.org/fr/E/C.12/BIH/3" TargetMode="External"/><Relationship Id="rId53" Type="http://schemas.openxmlformats.org/officeDocument/2006/relationships/hyperlink" Target="https://undocs.org/fr/https://www.ohchr.org/FR/hrbodies/cescr/pages/cescrindex.aspx" TargetMode="External"/><Relationship Id="rId58" Type="http://schemas.openxmlformats.org/officeDocument/2006/relationships/hyperlink" Target="https://undocs.org/fr/E/C.12/BEN/3" TargetMode="External"/><Relationship Id="rId66" Type="http://schemas.openxmlformats.org/officeDocument/2006/relationships/hyperlink" Target="https://undocs.org/fr/E/C.12/AZE/4" TargetMode="External"/><Relationship Id="rId74" Type="http://schemas.openxmlformats.org/officeDocument/2006/relationships/hyperlink" Target="https://undocs.org/fr/E/C.12/67/D/52/2018" TargetMode="External"/><Relationship Id="rId79" Type="http://schemas.openxmlformats.org/officeDocument/2006/relationships/hyperlink" Target="https://undocs.org/fr/E/C.12/55/D/2/2014" TargetMode="External"/><Relationship Id="rId87"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undocs.org/fr/E/C.12/UKR/7" TargetMode="External"/><Relationship Id="rId82" Type="http://schemas.openxmlformats.org/officeDocument/2006/relationships/hyperlink" Target="https://undocs.org/fr/E/C.12/61/D/5/2015"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undocs.org/fr/E/2021/22" TargetMode="External"/><Relationship Id="rId22" Type="http://schemas.openxmlformats.org/officeDocument/2006/relationships/footer" Target="footer4.xml"/><Relationship Id="rId27" Type="http://schemas.openxmlformats.org/officeDocument/2006/relationships/hyperlink" Target="https://undocs.org/fr/A/RES/63/117" TargetMode="External"/><Relationship Id="rId30" Type="http://schemas.openxmlformats.org/officeDocument/2006/relationships/hyperlink" Target="https://undocs.org/fr/E/C.12/2020/SR.1" TargetMode="External"/><Relationship Id="rId35" Type="http://schemas.openxmlformats.org/officeDocument/2006/relationships/hyperlink" Target="https://undocs.org/fr/E/C.12/2020/SR.9" TargetMode="External"/><Relationship Id="rId43" Type="http://schemas.openxmlformats.org/officeDocument/2006/relationships/hyperlink" Target="https://undocs.org/fr/E/C.12/AZE/4" TargetMode="External"/><Relationship Id="rId48" Type="http://schemas.openxmlformats.org/officeDocument/2006/relationships/hyperlink" Target="https://undocs.org/fr/E/C.12/NIC/5" TargetMode="External"/><Relationship Id="rId56" Type="http://schemas.openxmlformats.org/officeDocument/2006/relationships/hyperlink" Target="https://undocs.org/fr/E/C.12/68/2" TargetMode="External"/><Relationship Id="rId64" Type="http://schemas.openxmlformats.org/officeDocument/2006/relationships/hyperlink" Target="https://undocs.org/fr/E/C.12/BIH/3" TargetMode="External"/><Relationship Id="rId69" Type="http://schemas.openxmlformats.org/officeDocument/2006/relationships/hyperlink" Target="https://undocs.org/fr/E/C.12/BEL/CO/5" TargetMode="External"/><Relationship Id="rId77" Type="http://schemas.openxmlformats.org/officeDocument/2006/relationships/hyperlink" Target="https://undocs.org/fr/E/C.12/68/D/149/2019" TargetMode="External"/><Relationship Id="rId8" Type="http://schemas.openxmlformats.org/officeDocument/2006/relationships/hyperlink" Target="https://undocs.org/fr/E/2021/22" TargetMode="External"/><Relationship Id="rId51" Type="http://schemas.openxmlformats.org/officeDocument/2006/relationships/hyperlink" Target="https://undocs.org/fr/E/C.12/2019/3" TargetMode="External"/><Relationship Id="rId72" Type="http://schemas.openxmlformats.org/officeDocument/2006/relationships/hyperlink" Target="https://undocs.org/fr/E/C.12/NOR/CO/6" TargetMode="External"/><Relationship Id="rId80" Type="http://schemas.openxmlformats.org/officeDocument/2006/relationships/hyperlink" Target="https://undocs.org/fr/E/C.12/63/D/10/2015" TargetMode="External"/><Relationship Id="rId85" Type="http://schemas.openxmlformats.org/officeDocument/2006/relationships/header" Target="header6.xml"/><Relationship Id="rId3" Type="http://schemas.openxmlformats.org/officeDocument/2006/relationships/styles" Target="styles.xml"/><Relationship Id="rId12" Type="http://schemas.openxmlformats.org/officeDocument/2006/relationships/hyperlink" Target="https://undocs.org/fr/E/2021/22"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yperlink" Target="https://undocs.org/fr/E/C.12/2020/SR.4" TargetMode="External"/><Relationship Id="rId38" Type="http://schemas.openxmlformats.org/officeDocument/2006/relationships/hyperlink" Target="https://undocs.org/fr/E/C.12/2020/SR.18" TargetMode="External"/><Relationship Id="rId46" Type="http://schemas.openxmlformats.org/officeDocument/2006/relationships/hyperlink" Target="https://undocs.org/fr/E/C.12/FIN/7" TargetMode="External"/><Relationship Id="rId59" Type="http://schemas.openxmlformats.org/officeDocument/2006/relationships/hyperlink" Target="https://undocs.org/fr/E/C.12/BEL/5" TargetMode="External"/><Relationship Id="rId67" Type="http://schemas.openxmlformats.org/officeDocument/2006/relationships/hyperlink" Target="https://undocs.org/fr/E/C.12/NIC/5" TargetMode="External"/><Relationship Id="rId20" Type="http://schemas.openxmlformats.org/officeDocument/2006/relationships/header" Target="header3.xml"/><Relationship Id="rId41" Type="http://schemas.openxmlformats.org/officeDocument/2006/relationships/hyperlink" Target="https://undocs.org/fr/E/C.12/2020/SR.51" TargetMode="External"/><Relationship Id="rId54" Type="http://schemas.openxmlformats.org/officeDocument/2006/relationships/hyperlink" Target="https://undocs.org/fr/E/C.12/2020/1" TargetMode="External"/><Relationship Id="rId62" Type="http://schemas.openxmlformats.org/officeDocument/2006/relationships/hyperlink" Target="https://undocs.org/fr/E/C.12/LVA/2" TargetMode="External"/><Relationship Id="rId70" Type="http://schemas.openxmlformats.org/officeDocument/2006/relationships/hyperlink" Target="https://undocs.org/fr/E/C.12/BEN/CO/3" TargetMode="External"/><Relationship Id="rId75" Type="http://schemas.openxmlformats.org/officeDocument/2006/relationships/hyperlink" Target="https://undocs.org/fr/E/C.12/68/D/45/2018" TargetMode="External"/><Relationship Id="rId83" Type="http://schemas.openxmlformats.org/officeDocument/2006/relationships/hyperlink" Target="https://undocs.org/fr/E/C.12/66/D/37/2018" TargetMode="Externa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undocs.org/es/E/2020/22" TargetMode="External"/><Relationship Id="rId23" Type="http://schemas.openxmlformats.org/officeDocument/2006/relationships/footer" Target="footer5.xml"/><Relationship Id="rId28" Type="http://schemas.openxmlformats.org/officeDocument/2006/relationships/hyperlink" Target="https://undocs.org/fr/E/C.12/67/1" TargetMode="External"/><Relationship Id="rId36" Type="http://schemas.openxmlformats.org/officeDocument/2006/relationships/hyperlink" Target="https://undocs.org/fr/E/C.12/2020/SR.11" TargetMode="External"/><Relationship Id="rId49" Type="http://schemas.openxmlformats.org/officeDocument/2006/relationships/hyperlink" Target="https://undocs.org/fr/A/RES/68/268" TargetMode="External"/><Relationship Id="rId57" Type="http://schemas.openxmlformats.org/officeDocument/2006/relationships/hyperlink" Target="https://undocs.org/fr/E/C.12/GIN/1" TargetMode="External"/><Relationship Id="rId10" Type="http://schemas.openxmlformats.org/officeDocument/2006/relationships/footer" Target="footer1.xml"/><Relationship Id="rId31" Type="http://schemas.openxmlformats.org/officeDocument/2006/relationships/hyperlink" Target="https://undocs.org/fr/E/C.12/2020/SR.2" TargetMode="External"/><Relationship Id="rId44" Type="http://schemas.openxmlformats.org/officeDocument/2006/relationships/hyperlink" Target="https://undocs.org/fr/E/C.12/BOL/3" TargetMode="External"/><Relationship Id="rId52" Type="http://schemas.openxmlformats.org/officeDocument/2006/relationships/hyperlink" Target="https://undocs.org/fr/A/RES/68/268" TargetMode="External"/><Relationship Id="rId60" Type="http://schemas.openxmlformats.org/officeDocument/2006/relationships/hyperlink" Target="https://undocs.org/fr/E/C.12/NOR/6" TargetMode="External"/><Relationship Id="rId65" Type="http://schemas.openxmlformats.org/officeDocument/2006/relationships/hyperlink" Target="https://undocs.org/fr/E/C.12/KWT/3" TargetMode="External"/><Relationship Id="rId73" Type="http://schemas.openxmlformats.org/officeDocument/2006/relationships/hyperlink" Target="https://undocs.org/fr/E/C.12/UKR/CO/7" TargetMode="External"/><Relationship Id="rId78" Type="http://schemas.openxmlformats.org/officeDocument/2006/relationships/hyperlink" Target="https://undocs.org/fr/E/C.12/68/3" TargetMode="External"/><Relationship Id="rId81" Type="http://schemas.openxmlformats.org/officeDocument/2006/relationships/hyperlink" Target="https://undocs.org/fr/E/C.12/65/D/22/2017" TargetMode="External"/><Relationship Id="rId86" Type="http://schemas.openxmlformats.org/officeDocument/2006/relationships/footer" Target="footer7.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undocs.org/fr/E/2000/22/Corr.1" TargetMode="External"/><Relationship Id="rId3" Type="http://schemas.openxmlformats.org/officeDocument/2006/relationships/hyperlink" Target="https://undocs.org/fr/E/2000/22" TargetMode="External"/><Relationship Id="rId7" Type="http://schemas.openxmlformats.org/officeDocument/2006/relationships/hyperlink" Target="https://undocs.org/fr/E/2000/22" TargetMode="External"/><Relationship Id="rId2" Type="http://schemas.openxmlformats.org/officeDocument/2006/relationships/hyperlink" Target="https://undocs.org/fr/E/1988/14-E/C.12/1988/4" TargetMode="External"/><Relationship Id="rId1" Type="http://schemas.openxmlformats.org/officeDocument/2006/relationships/hyperlink" Target="https://undocs.org/fr/E/2009/22" TargetMode="External"/><Relationship Id="rId6" Type="http://schemas.openxmlformats.org/officeDocument/2006/relationships/hyperlink" Target="https://undocs.org/fr/E/2001/22" TargetMode="External"/><Relationship Id="rId5" Type="http://schemas.openxmlformats.org/officeDocument/2006/relationships/hyperlink" Target="https://undocs.org/fr/E/2007/22" TargetMode="External"/><Relationship Id="rId4" Type="http://schemas.openxmlformats.org/officeDocument/2006/relationships/hyperlink" Target="https://undocs.org/fr/E/2000/22/Corr.1" TargetMode="External"/><Relationship Id="rId9" Type="http://schemas.openxmlformats.org/officeDocument/2006/relationships/hyperlink" Target="https://www.ohchr.org/Documents/HRBodies/TB/HRTD/LeafletTBS_fr.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Rapports\Rapport_AG.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21A278-223C-401C-AA78-3D98285261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Rapport_AG.dotm</Template>
  <TotalTime>0</TotalTime>
  <Pages>24</Pages>
  <Words>9062</Words>
  <Characters>49195</Characters>
  <Application>Microsoft Office Word</Application>
  <DocSecurity>0</DocSecurity>
  <Lines>922</Lines>
  <Paragraphs>338</Paragraphs>
  <ScaleCrop>false</ScaleCrop>
  <HeadingPairs>
    <vt:vector size="2" baseType="variant">
      <vt:variant>
        <vt:lpstr>Titre</vt:lpstr>
      </vt:variant>
      <vt:variant>
        <vt:i4>1</vt:i4>
      </vt:variant>
    </vt:vector>
  </HeadingPairs>
  <TitlesOfParts>
    <vt:vector size="1" baseType="lpstr">
      <vt:lpstr>E/2021/22</vt:lpstr>
    </vt:vector>
  </TitlesOfParts>
  <Manager>Corinne</Manager>
  <Company>CSD</Company>
  <LinksUpToDate>false</LinksUpToDate>
  <CharactersWithSpaces>58048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E/2021/22</dc:title>
  <dc:subject/>
  <dc:creator>Sandrine CLERE</dc:creator>
  <cp:keywords/>
  <cp:lastModifiedBy>Sandrine CLERE</cp:lastModifiedBy>
  <cp:revision>2</cp:revision>
  <cp:lastPrinted>2021-02-09T13:22:00Z</cp:lastPrinted>
  <dcterms:created xsi:type="dcterms:W3CDTF">2021-02-09T13:22:00Z</dcterms:created>
  <dcterms:modified xsi:type="dcterms:W3CDTF">2021-02-09T13:22:00Z</dcterms:modified>
</cp:coreProperties>
</file>