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B90C729" w14:textId="77777777" w:rsidTr="009D5F1A">
        <w:trPr>
          <w:trHeight w:hRule="exact" w:val="851"/>
        </w:trPr>
        <w:tc>
          <w:tcPr>
            <w:tcW w:w="1276" w:type="dxa"/>
            <w:tcBorders>
              <w:bottom w:val="single" w:sz="4" w:space="0" w:color="auto"/>
            </w:tcBorders>
          </w:tcPr>
          <w:p w14:paraId="2F24D216" w14:textId="77777777" w:rsidR="00DC0149" w:rsidRPr="00DB58B5" w:rsidRDefault="00DC0149" w:rsidP="00896042"/>
        </w:tc>
        <w:tc>
          <w:tcPr>
            <w:tcW w:w="2268" w:type="dxa"/>
            <w:tcBorders>
              <w:bottom w:val="single" w:sz="4" w:space="0" w:color="auto"/>
            </w:tcBorders>
            <w:vAlign w:val="bottom"/>
          </w:tcPr>
          <w:p w14:paraId="329C71D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C8AC8F" w14:textId="19DE7D58" w:rsidR="00DC0149" w:rsidRPr="00DB58B5" w:rsidRDefault="00896042" w:rsidP="00896042">
            <w:pPr>
              <w:jc w:val="right"/>
            </w:pPr>
            <w:r w:rsidRPr="00A97D6E">
              <w:rPr>
                <w:sz w:val="40"/>
              </w:rPr>
              <w:t>CERD</w:t>
            </w:r>
            <w:r w:rsidRPr="00A97D6E">
              <w:t>/C/EST/Q/12-13</w:t>
            </w:r>
          </w:p>
        </w:tc>
      </w:tr>
      <w:tr w:rsidR="00DC0149" w:rsidRPr="00DB58B5" w14:paraId="08D0484C" w14:textId="77777777" w:rsidTr="009D5F1A">
        <w:trPr>
          <w:trHeight w:hRule="exact" w:val="2835"/>
        </w:trPr>
        <w:tc>
          <w:tcPr>
            <w:tcW w:w="1276" w:type="dxa"/>
            <w:tcBorders>
              <w:top w:val="single" w:sz="4" w:space="0" w:color="auto"/>
              <w:bottom w:val="single" w:sz="12" w:space="0" w:color="auto"/>
            </w:tcBorders>
          </w:tcPr>
          <w:p w14:paraId="0C35483D" w14:textId="77777777" w:rsidR="00DC0149" w:rsidRPr="00DB58B5" w:rsidRDefault="00DC0149" w:rsidP="009D5F1A">
            <w:pPr>
              <w:spacing w:before="120"/>
              <w:jc w:val="center"/>
            </w:pPr>
            <w:r>
              <w:rPr>
                <w:noProof/>
                <w:lang w:eastAsia="fr-CH"/>
              </w:rPr>
              <w:drawing>
                <wp:inline distT="0" distB="0" distL="0" distR="0" wp14:anchorId="2D4948B8" wp14:editId="6F7792E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21058D"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104548F" w14:textId="2BE189F4" w:rsidR="00DC0149" w:rsidRDefault="00896042" w:rsidP="009D5F1A">
            <w:pPr>
              <w:spacing w:before="240"/>
            </w:pPr>
            <w:proofErr w:type="spellStart"/>
            <w:r>
              <w:t>Distr</w:t>
            </w:r>
            <w:proofErr w:type="spellEnd"/>
            <w:r w:rsidR="004E3C47" w:rsidRPr="004E3C47">
              <w:t>.</w:t>
            </w:r>
            <w:r>
              <w:t xml:space="preserve"> générale</w:t>
            </w:r>
          </w:p>
          <w:p w14:paraId="1EF64A19" w14:textId="77777777" w:rsidR="00896042" w:rsidRDefault="00896042" w:rsidP="00896042">
            <w:pPr>
              <w:spacing w:line="240" w:lineRule="exact"/>
            </w:pPr>
            <w:r>
              <w:t>17 mars 2022</w:t>
            </w:r>
          </w:p>
          <w:p w14:paraId="4CA1F73F" w14:textId="77777777" w:rsidR="00896042" w:rsidRDefault="00896042" w:rsidP="00896042">
            <w:pPr>
              <w:spacing w:line="240" w:lineRule="exact"/>
            </w:pPr>
            <w:r>
              <w:t>Français</w:t>
            </w:r>
          </w:p>
          <w:p w14:paraId="487B3C20" w14:textId="77777777" w:rsidR="00896042" w:rsidRDefault="00896042" w:rsidP="00896042">
            <w:pPr>
              <w:spacing w:line="240" w:lineRule="exact"/>
            </w:pPr>
            <w:r>
              <w:t>Original : anglais</w:t>
            </w:r>
          </w:p>
          <w:p w14:paraId="54DEF7AB" w14:textId="33F316E1" w:rsidR="00896042" w:rsidRPr="00DB58B5" w:rsidRDefault="00896042" w:rsidP="00896042">
            <w:pPr>
              <w:spacing w:line="240" w:lineRule="exact"/>
            </w:pPr>
            <w:r>
              <w:t>Anglais, espagnol et français seulement</w:t>
            </w:r>
          </w:p>
        </w:tc>
      </w:tr>
    </w:tbl>
    <w:p w14:paraId="397231AC" w14:textId="77777777" w:rsidR="00623CA8" w:rsidRDefault="00623CA8" w:rsidP="00623CA8">
      <w:pPr>
        <w:spacing w:before="120"/>
        <w:rPr>
          <w:b/>
          <w:sz w:val="24"/>
          <w:szCs w:val="24"/>
        </w:rPr>
      </w:pPr>
      <w:r w:rsidRPr="00C56102">
        <w:rPr>
          <w:b/>
          <w:sz w:val="24"/>
          <w:szCs w:val="24"/>
        </w:rPr>
        <w:t>Comité pour l’élimination de la discrimination raciale</w:t>
      </w:r>
    </w:p>
    <w:p w14:paraId="0B3C4838" w14:textId="77777777" w:rsidR="00F21CE3" w:rsidRPr="00773889" w:rsidRDefault="00F21CE3" w:rsidP="00F21CE3">
      <w:pPr>
        <w:rPr>
          <w:b/>
          <w:lang w:val="fr-FR"/>
        </w:rPr>
      </w:pPr>
      <w:r>
        <w:rPr>
          <w:b/>
          <w:bCs/>
          <w:lang w:val="fr-FR"/>
        </w:rPr>
        <w:t>106</w:t>
      </w:r>
      <w:r>
        <w:rPr>
          <w:b/>
          <w:bCs/>
          <w:vertAlign w:val="superscript"/>
          <w:lang w:val="fr-FR"/>
        </w:rPr>
        <w:t>e</w:t>
      </w:r>
      <w:r>
        <w:rPr>
          <w:b/>
          <w:bCs/>
          <w:lang w:val="fr-FR"/>
        </w:rPr>
        <w:t xml:space="preserve"> session</w:t>
      </w:r>
    </w:p>
    <w:p w14:paraId="22AB370E" w14:textId="77777777" w:rsidR="00F21CE3" w:rsidRPr="00773889" w:rsidRDefault="00F21CE3" w:rsidP="00F21CE3">
      <w:pPr>
        <w:rPr>
          <w:lang w:val="fr-FR"/>
        </w:rPr>
      </w:pPr>
      <w:r>
        <w:rPr>
          <w:lang w:val="fr-FR"/>
        </w:rPr>
        <w:t>11-29 avril 2022</w:t>
      </w:r>
    </w:p>
    <w:p w14:paraId="1D6BDC18" w14:textId="77777777" w:rsidR="00F21CE3" w:rsidRPr="00773889" w:rsidRDefault="00F21CE3" w:rsidP="00F21CE3">
      <w:pPr>
        <w:rPr>
          <w:lang w:val="fr-FR"/>
        </w:rPr>
      </w:pPr>
      <w:r>
        <w:rPr>
          <w:lang w:val="fr-FR"/>
        </w:rPr>
        <w:t>Point 6 de l’ordre du jour provisoire</w:t>
      </w:r>
    </w:p>
    <w:p w14:paraId="3D96E2FA" w14:textId="0971B3AB" w:rsidR="00F21CE3" w:rsidRPr="00773889" w:rsidRDefault="00F21CE3" w:rsidP="00F21CE3">
      <w:pPr>
        <w:rPr>
          <w:b/>
          <w:bCs/>
          <w:lang w:val="fr-FR"/>
        </w:rPr>
      </w:pPr>
      <w:r>
        <w:rPr>
          <w:b/>
          <w:bCs/>
          <w:lang w:val="fr-FR"/>
        </w:rPr>
        <w:t>Examen des rapports, observations et renseignements soumis</w:t>
      </w:r>
      <w:r w:rsidR="00A97D6E">
        <w:rPr>
          <w:b/>
          <w:bCs/>
          <w:lang w:val="fr-FR"/>
        </w:rPr>
        <w:t xml:space="preserve"> </w:t>
      </w:r>
      <w:r w:rsidR="00A97D6E">
        <w:rPr>
          <w:b/>
          <w:bCs/>
          <w:lang w:val="fr-FR"/>
        </w:rPr>
        <w:br/>
      </w:r>
      <w:r>
        <w:rPr>
          <w:b/>
          <w:bCs/>
          <w:lang w:val="fr-FR"/>
        </w:rPr>
        <w:t>par les États parties en application de l’article 9 de la Convention</w:t>
      </w:r>
    </w:p>
    <w:p w14:paraId="608E78F8" w14:textId="6A066D2D" w:rsidR="00F21CE3" w:rsidRPr="00773889" w:rsidRDefault="00F21CE3" w:rsidP="00F21CE3">
      <w:pPr>
        <w:pStyle w:val="HChG"/>
        <w:rPr>
          <w:lang w:val="fr-FR"/>
        </w:rPr>
      </w:pPr>
      <w:r>
        <w:rPr>
          <w:lang w:val="fr-FR"/>
        </w:rPr>
        <w:tab/>
      </w:r>
      <w:r>
        <w:rPr>
          <w:lang w:val="fr-FR"/>
        </w:rPr>
        <w:tab/>
        <w:t xml:space="preserve">Liste de thèmes concernant le rapport de l’Estonie </w:t>
      </w:r>
      <w:r w:rsidR="00A97D6E">
        <w:rPr>
          <w:lang w:val="fr-FR"/>
        </w:rPr>
        <w:br/>
      </w:r>
      <w:r>
        <w:rPr>
          <w:lang w:val="fr-FR"/>
        </w:rPr>
        <w:t>valant douzième et treizième rapports</w:t>
      </w:r>
    </w:p>
    <w:p w14:paraId="54C3AE5D" w14:textId="77777777" w:rsidR="00F21CE3" w:rsidRPr="00773889" w:rsidRDefault="00F21CE3" w:rsidP="00F21CE3">
      <w:pPr>
        <w:pStyle w:val="H1G"/>
        <w:rPr>
          <w:lang w:val="fr-FR"/>
        </w:rPr>
      </w:pPr>
      <w:r>
        <w:rPr>
          <w:lang w:val="fr-FR"/>
        </w:rPr>
        <w:tab/>
      </w:r>
      <w:r>
        <w:rPr>
          <w:lang w:val="fr-FR"/>
        </w:rPr>
        <w:tab/>
        <w:t>Note du rapporteur de pays</w:t>
      </w:r>
      <w:r w:rsidRPr="00F21CE3">
        <w:rPr>
          <w:rStyle w:val="Appelnotedebasdep"/>
          <w:b w:val="0"/>
          <w:bCs/>
          <w:sz w:val="20"/>
          <w:vertAlign w:val="baseline"/>
          <w:lang w:val="fr-FR"/>
        </w:rPr>
        <w:footnoteReference w:customMarkFollows="1" w:id="2"/>
        <w:t>*</w:t>
      </w:r>
    </w:p>
    <w:p w14:paraId="720511AE" w14:textId="51815131" w:rsidR="00F21CE3" w:rsidRDefault="00F21CE3" w:rsidP="00F21CE3">
      <w:pPr>
        <w:pStyle w:val="SingleTxtG"/>
      </w:pPr>
      <w:r w:rsidRPr="00773889">
        <w:t>1</w:t>
      </w:r>
      <w:r w:rsidR="004E3C47" w:rsidRPr="004E3C47">
        <w:t>.</w:t>
      </w:r>
      <w:r w:rsidRPr="00773889">
        <w:tab/>
      </w:r>
      <w:r>
        <w:rPr>
          <w:lang w:val="fr-FR"/>
        </w:rPr>
        <w:t>À sa soixante-seizième session</w:t>
      </w:r>
      <w:r w:rsidRPr="00F21CE3">
        <w:rPr>
          <w:rStyle w:val="Appelnotedebasdep"/>
        </w:rPr>
        <w:footnoteReference w:id="3"/>
      </w:r>
      <w:r>
        <w:rPr>
          <w:lang w:val="fr-FR"/>
        </w:rPr>
        <w:t>,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w:t>
      </w:r>
      <w:r w:rsidR="004E3C47" w:rsidRPr="004E3C47">
        <w:rPr>
          <w:lang w:val="fr-FR"/>
        </w:rPr>
        <w:t>.</w:t>
      </w:r>
      <w:r>
        <w:rPr>
          <w:lang w:val="fr-FR"/>
        </w:rPr>
        <w:t xml:space="preserve"> On trouvera ci-après une liste de thèmes non exhaustive, d’autres questions pouvant être traitées au cours du dialogue</w:t>
      </w:r>
      <w:r w:rsidR="004E3C47" w:rsidRPr="004E3C47">
        <w:rPr>
          <w:lang w:val="fr-FR"/>
        </w:rPr>
        <w:t>.</w:t>
      </w:r>
      <w:r>
        <w:rPr>
          <w:lang w:val="fr-FR"/>
        </w:rPr>
        <w:t xml:space="preserve"> Cette liste n’appelle pas de réponses écrites</w:t>
      </w:r>
      <w:r w:rsidR="004E3C47" w:rsidRPr="004E3C47">
        <w:rPr>
          <w:lang w:val="fr-FR"/>
        </w:rPr>
        <w:t>.</w:t>
      </w:r>
    </w:p>
    <w:p w14:paraId="47842FA1" w14:textId="58D73713" w:rsidR="00F21CE3" w:rsidRPr="00773889" w:rsidRDefault="00F21CE3" w:rsidP="00F21CE3">
      <w:pPr>
        <w:pStyle w:val="H23G"/>
        <w:rPr>
          <w:lang w:val="fr-FR"/>
        </w:rPr>
      </w:pPr>
      <w:r>
        <w:rPr>
          <w:lang w:val="fr-FR"/>
        </w:rPr>
        <w:tab/>
      </w:r>
      <w:r>
        <w:rPr>
          <w:lang w:val="fr-FR"/>
        </w:rPr>
        <w:tab/>
        <w:t>La Convention dans le droit interne et le cadre institutionnel et stratégique régissant sa mise en œuvre (art</w:t>
      </w:r>
      <w:r w:rsidR="004E3C47" w:rsidRPr="004E3C47">
        <w:rPr>
          <w:lang w:val="fr-FR"/>
        </w:rPr>
        <w:t>.</w:t>
      </w:r>
      <w:r>
        <w:rPr>
          <w:lang w:val="fr-FR"/>
        </w:rPr>
        <w:t xml:space="preserve"> 1, 2, 4, 6 et 7)</w:t>
      </w:r>
    </w:p>
    <w:p w14:paraId="35241139" w14:textId="176996C2" w:rsidR="00F21CE3" w:rsidRPr="00773889" w:rsidRDefault="00F21CE3" w:rsidP="00F21CE3">
      <w:pPr>
        <w:pStyle w:val="SingleTxtG"/>
        <w:rPr>
          <w:lang w:val="fr-FR"/>
        </w:rPr>
      </w:pPr>
      <w:r w:rsidRPr="00773889">
        <w:rPr>
          <w:lang w:val="fr-FR"/>
        </w:rPr>
        <w:t>2</w:t>
      </w:r>
      <w:r w:rsidR="004E3C47" w:rsidRPr="004E3C47">
        <w:rPr>
          <w:lang w:val="fr-FR"/>
        </w:rPr>
        <w:t>.</w:t>
      </w:r>
      <w:r w:rsidRPr="00773889">
        <w:rPr>
          <w:lang w:val="fr-FR"/>
        </w:rPr>
        <w:tab/>
      </w:r>
      <w:r>
        <w:rPr>
          <w:lang w:val="fr-FR"/>
        </w:rPr>
        <w:t>Mesures visant à allouer aux bureaux du Chancelier de justice et du Commissaire chargé de l’égalité femmes-hommes et de l’égalité de traitement des ressources humaines et financières suffisantes pour leur permettre de s’acquitter pleinement de leurs mandats respectifs</w:t>
      </w:r>
      <w:r w:rsidR="004E3C47" w:rsidRPr="004E3C47">
        <w:rPr>
          <w:lang w:val="fr-FR"/>
        </w:rPr>
        <w:t>.</w:t>
      </w:r>
      <w:r>
        <w:rPr>
          <w:lang w:val="fr-FR"/>
        </w:rPr>
        <w:t xml:space="preserve"> Informations sur les activités que ces deux organismes ont menées pour lutter contre la discrimination raciale et faire connaître les principes de la Convention auprès de la population, y compris des informations sur la loi relative à l’égalité de traitement et les recours internes disponibles</w:t>
      </w:r>
      <w:r w:rsidRPr="00F21CE3">
        <w:rPr>
          <w:rStyle w:val="Appelnotedebasdep"/>
        </w:rPr>
        <w:footnoteReference w:id="4"/>
      </w:r>
      <w:r w:rsidR="004E3C47" w:rsidRPr="004E3C47">
        <w:rPr>
          <w:lang w:val="fr-FR"/>
        </w:rPr>
        <w:t>.</w:t>
      </w:r>
      <w:r>
        <w:rPr>
          <w:lang w:val="fr-FR"/>
        </w:rPr>
        <w:t xml:space="preserve"> </w:t>
      </w:r>
    </w:p>
    <w:p w14:paraId="43B59A76" w14:textId="2572FADB" w:rsidR="00F21CE3" w:rsidRPr="00773889" w:rsidRDefault="00F21CE3" w:rsidP="00F21CE3">
      <w:pPr>
        <w:pStyle w:val="SingleTxtG"/>
        <w:rPr>
          <w:b/>
          <w:bCs/>
          <w:lang w:val="fr-FR"/>
        </w:rPr>
      </w:pPr>
      <w:r w:rsidRPr="00773889">
        <w:rPr>
          <w:lang w:val="fr-FR"/>
        </w:rPr>
        <w:t>3</w:t>
      </w:r>
      <w:r w:rsidR="004E3C47" w:rsidRPr="004E3C47">
        <w:rPr>
          <w:lang w:val="fr-FR"/>
        </w:rPr>
        <w:t>.</w:t>
      </w:r>
      <w:r w:rsidRPr="00773889">
        <w:rPr>
          <w:lang w:val="fr-FR"/>
        </w:rPr>
        <w:tab/>
      </w:r>
      <w:r>
        <w:rPr>
          <w:lang w:val="fr-FR"/>
        </w:rPr>
        <w:t xml:space="preserve">Exemples d’affaires dans lesquelles les dispositions de la Convention ont été invoquées devant des tribunaux nationaux ou appliquées par eux, et informations détaillées sur les mesures prises pour faire mieux connaître la Convention auprès du grand public, y compris des avocats, des magistrats, des policiers, des </w:t>
      </w:r>
      <w:proofErr w:type="spellStart"/>
      <w:r>
        <w:rPr>
          <w:lang w:val="fr-FR"/>
        </w:rPr>
        <w:t>gardes</w:t>
      </w:r>
      <w:r w:rsidR="00A97D6E">
        <w:rPr>
          <w:lang w:val="fr-FR"/>
        </w:rPr>
        <w:t xml:space="preserve"> </w:t>
      </w:r>
      <w:r>
        <w:rPr>
          <w:lang w:val="fr-FR"/>
        </w:rPr>
        <w:t>frontière</w:t>
      </w:r>
      <w:proofErr w:type="spellEnd"/>
      <w:r>
        <w:rPr>
          <w:lang w:val="fr-FR"/>
        </w:rPr>
        <w:t xml:space="preserve"> et de la population, en particulier des minorités, et notamment les recours disponibles</w:t>
      </w:r>
      <w:r w:rsidR="004E3C47" w:rsidRPr="004E3C47">
        <w:rPr>
          <w:lang w:val="fr-FR"/>
        </w:rPr>
        <w:t>.</w:t>
      </w:r>
    </w:p>
    <w:p w14:paraId="28F38A25" w14:textId="30D73EEB" w:rsidR="00F21CE3" w:rsidRPr="00773889" w:rsidRDefault="00F21CE3" w:rsidP="00F21CE3">
      <w:pPr>
        <w:pStyle w:val="SingleTxtG"/>
        <w:rPr>
          <w:bCs/>
          <w:lang w:val="fr-FR"/>
        </w:rPr>
      </w:pPr>
      <w:r w:rsidRPr="00773889">
        <w:rPr>
          <w:lang w:val="fr-FR"/>
        </w:rPr>
        <w:t>4</w:t>
      </w:r>
      <w:r w:rsidR="004E3C47" w:rsidRPr="004E3C47">
        <w:rPr>
          <w:lang w:val="fr-FR"/>
        </w:rPr>
        <w:t>.</w:t>
      </w:r>
      <w:r w:rsidRPr="00773889">
        <w:rPr>
          <w:lang w:val="fr-FR"/>
        </w:rPr>
        <w:tab/>
      </w:r>
      <w:r>
        <w:rPr>
          <w:lang w:val="fr-FR"/>
        </w:rPr>
        <w:t>Point sur les mesures prises pour garantir la pleine conformité du Code pénal avec les dispositions de l’article 4 (al</w:t>
      </w:r>
      <w:r w:rsidR="004E3C47" w:rsidRPr="004E3C47">
        <w:rPr>
          <w:lang w:val="fr-FR"/>
        </w:rPr>
        <w:t>.</w:t>
      </w:r>
      <w:r>
        <w:rPr>
          <w:lang w:val="fr-FR"/>
        </w:rPr>
        <w:t> b)) de la Convention</w:t>
      </w:r>
      <w:r w:rsidR="004E3C47" w:rsidRPr="004E3C47">
        <w:rPr>
          <w:lang w:val="fr-FR"/>
        </w:rPr>
        <w:t>.</w:t>
      </w:r>
      <w:r>
        <w:rPr>
          <w:lang w:val="fr-FR"/>
        </w:rPr>
        <w:t xml:space="preserve"> Exemples de dissolution par les tribunaux d’organisations racistes qui incitent à la discrimination raciale et la favorisent</w:t>
      </w:r>
      <w:r w:rsidRPr="00F21CE3">
        <w:rPr>
          <w:rStyle w:val="Appelnotedebasdep"/>
        </w:rPr>
        <w:footnoteReference w:id="5"/>
      </w:r>
      <w:r w:rsidR="004E3C47" w:rsidRPr="004E3C47">
        <w:rPr>
          <w:lang w:val="fr-FR"/>
        </w:rPr>
        <w:t>.</w:t>
      </w:r>
      <w:r>
        <w:rPr>
          <w:lang w:val="fr-FR"/>
        </w:rPr>
        <w:t xml:space="preserve"> </w:t>
      </w:r>
    </w:p>
    <w:p w14:paraId="220768C9" w14:textId="2D059E2A" w:rsidR="00F21CE3" w:rsidRPr="00773889" w:rsidRDefault="00F21CE3" w:rsidP="00F21CE3">
      <w:pPr>
        <w:pStyle w:val="SingleTxtG"/>
        <w:rPr>
          <w:lang w:val="fr-FR"/>
        </w:rPr>
      </w:pPr>
      <w:r w:rsidRPr="00773889">
        <w:rPr>
          <w:lang w:val="fr-FR"/>
        </w:rPr>
        <w:lastRenderedPageBreak/>
        <w:t>5</w:t>
      </w:r>
      <w:r w:rsidR="004E3C47" w:rsidRPr="004E3C47">
        <w:rPr>
          <w:lang w:val="fr-FR"/>
        </w:rPr>
        <w:t>.</w:t>
      </w:r>
      <w:r w:rsidRPr="00773889">
        <w:rPr>
          <w:lang w:val="fr-FR"/>
        </w:rPr>
        <w:tab/>
      </w:r>
      <w:r>
        <w:rPr>
          <w:lang w:val="fr-FR"/>
        </w:rPr>
        <w:t>Informations à jour sur les mesures prises pour modifier le droit pénal et veiller à ce qu’un mobile raciste ou une motivation haineuse constitue une circonstance aggravante</w:t>
      </w:r>
      <w:r w:rsidRPr="00F21CE3">
        <w:rPr>
          <w:rStyle w:val="Appelnotedebasdep"/>
        </w:rPr>
        <w:footnoteReference w:id="6"/>
      </w:r>
      <w:r w:rsidR="004E3C47" w:rsidRPr="004E3C47">
        <w:rPr>
          <w:lang w:val="fr-FR"/>
        </w:rPr>
        <w:t>.</w:t>
      </w:r>
      <w:r>
        <w:rPr>
          <w:lang w:val="fr-FR"/>
        </w:rPr>
        <w:t xml:space="preserve"> Renseignements sur la création par le Ministère de la justice d’outils méthodologiques permettant de reconnaître les infractions motivées par la haine</w:t>
      </w:r>
      <w:r w:rsidRPr="00F21CE3">
        <w:rPr>
          <w:rStyle w:val="Appelnotedebasdep"/>
        </w:rPr>
        <w:footnoteReference w:id="7"/>
      </w:r>
      <w:r w:rsidR="004E3C47" w:rsidRPr="004E3C47">
        <w:rPr>
          <w:lang w:val="fr-FR"/>
        </w:rPr>
        <w:t>.</w:t>
      </w:r>
      <w:r>
        <w:rPr>
          <w:lang w:val="fr-FR"/>
        </w:rPr>
        <w:t xml:space="preserve"> </w:t>
      </w:r>
    </w:p>
    <w:p w14:paraId="114BBB78" w14:textId="76FCD688" w:rsidR="00F21CE3" w:rsidRPr="00773889" w:rsidRDefault="00F21CE3" w:rsidP="00F21CE3">
      <w:pPr>
        <w:pStyle w:val="SingleTxtG"/>
        <w:rPr>
          <w:lang w:val="fr-FR"/>
        </w:rPr>
      </w:pPr>
      <w:r w:rsidRPr="00773889">
        <w:rPr>
          <w:lang w:val="fr-FR"/>
        </w:rPr>
        <w:t>6</w:t>
      </w:r>
      <w:r w:rsidR="004E3C47" w:rsidRPr="004E3C47">
        <w:rPr>
          <w:lang w:val="fr-FR"/>
        </w:rPr>
        <w:t>.</w:t>
      </w:r>
      <w:r w:rsidRPr="00773889">
        <w:rPr>
          <w:lang w:val="fr-FR"/>
        </w:rPr>
        <w:tab/>
      </w:r>
      <w:r>
        <w:rPr>
          <w:lang w:val="fr-FR"/>
        </w:rPr>
        <w:t>Point sur les mesures visant à prévenir et à combattre les infractions motivées par la haine et les discours de haine à caractère raciste, y compris sur Internet</w:t>
      </w:r>
      <w:r w:rsidRPr="00F21CE3">
        <w:rPr>
          <w:rStyle w:val="Appelnotedebasdep"/>
        </w:rPr>
        <w:footnoteReference w:id="8"/>
      </w:r>
      <w:r w:rsidR="004E3C47" w:rsidRPr="004E3C47">
        <w:rPr>
          <w:lang w:val="fr-FR"/>
        </w:rPr>
        <w:t>.</w:t>
      </w:r>
    </w:p>
    <w:p w14:paraId="216392E8" w14:textId="1C51744E" w:rsidR="00F21CE3" w:rsidRPr="00773889" w:rsidRDefault="00F21CE3" w:rsidP="00F21CE3">
      <w:pPr>
        <w:pStyle w:val="SingleTxtG"/>
        <w:rPr>
          <w:lang w:val="fr-FR"/>
        </w:rPr>
      </w:pPr>
      <w:r w:rsidRPr="00773889">
        <w:rPr>
          <w:lang w:val="fr-FR"/>
        </w:rPr>
        <w:t>7</w:t>
      </w:r>
      <w:r w:rsidR="004E3C47" w:rsidRPr="004E3C47">
        <w:rPr>
          <w:lang w:val="fr-FR"/>
        </w:rPr>
        <w:t>.</w:t>
      </w:r>
      <w:r w:rsidRPr="00773889">
        <w:rPr>
          <w:lang w:val="fr-FR"/>
        </w:rPr>
        <w:tab/>
      </w:r>
      <w:r>
        <w:rPr>
          <w:lang w:val="fr-FR"/>
        </w:rPr>
        <w:t>Mesures prises pour faire en sorte que les victimes de discrimination raciale puissent porter plainte sans craindre de subir des représailles et qu’elles fassent davantage confiance à la police et aux autorités judiciaires</w:t>
      </w:r>
      <w:r w:rsidRPr="00F21CE3">
        <w:rPr>
          <w:rStyle w:val="Appelnotedebasdep"/>
        </w:rPr>
        <w:footnoteReference w:id="9"/>
      </w:r>
      <w:r w:rsidR="004E3C47" w:rsidRPr="004E3C47">
        <w:rPr>
          <w:lang w:val="fr-FR"/>
        </w:rPr>
        <w:t>.</w:t>
      </w:r>
    </w:p>
    <w:p w14:paraId="04079D7C" w14:textId="621D15A4" w:rsidR="00F21CE3" w:rsidRPr="00773889" w:rsidRDefault="00F21CE3" w:rsidP="00F21CE3">
      <w:pPr>
        <w:pStyle w:val="SingleTxtG"/>
        <w:rPr>
          <w:lang w:val="fr-FR"/>
        </w:rPr>
      </w:pPr>
      <w:r w:rsidRPr="00773889">
        <w:rPr>
          <w:lang w:val="fr-FR"/>
        </w:rPr>
        <w:t>8</w:t>
      </w:r>
      <w:r w:rsidR="004E3C47" w:rsidRPr="004E3C47">
        <w:rPr>
          <w:lang w:val="fr-FR"/>
        </w:rPr>
        <w:t>.</w:t>
      </w:r>
      <w:r w:rsidRPr="00773889">
        <w:rPr>
          <w:lang w:val="fr-FR"/>
        </w:rPr>
        <w:tab/>
      </w:r>
      <w:r>
        <w:rPr>
          <w:lang w:val="fr-FR"/>
        </w:rPr>
        <w:t>Informations actualisées sur les affaires de discrimination raciale, y compris les discours de haine à caractère raciste et les infractions motivées par la haine, signalées à la police ou portées devant les tribunaux nationaux ou le Chancelier de justice et le Commissaire chargé de l’égalité femmes-hommes et de l’égalité de traitement, notamment sur le fondement des articles 151 à 153 du Code pénal</w:t>
      </w:r>
      <w:r w:rsidR="004E3C47" w:rsidRPr="004E3C47">
        <w:rPr>
          <w:lang w:val="fr-FR"/>
        </w:rPr>
        <w:t>.</w:t>
      </w:r>
      <w:r>
        <w:rPr>
          <w:lang w:val="fr-FR"/>
        </w:rPr>
        <w:t xml:space="preserve"> Point sur les enquêtes et les poursuites concernant des cas d’infraction motivée par la haine et de discours de haine à caractère raciste et leur issue, notamment les sanctions infligées aux auteurs et les réparations accordées aux victimes</w:t>
      </w:r>
      <w:r w:rsidRPr="00F21CE3">
        <w:rPr>
          <w:rStyle w:val="Appelnotedebasdep"/>
        </w:rPr>
        <w:footnoteReference w:id="10"/>
      </w:r>
      <w:r w:rsidR="004E3C47" w:rsidRPr="004E3C47">
        <w:rPr>
          <w:lang w:val="fr-FR"/>
        </w:rPr>
        <w:t>.</w:t>
      </w:r>
    </w:p>
    <w:p w14:paraId="3331514D" w14:textId="40CA1050" w:rsidR="00F21CE3" w:rsidRPr="00773889" w:rsidRDefault="00F21CE3" w:rsidP="00F21CE3">
      <w:pPr>
        <w:pStyle w:val="SingleTxtG"/>
        <w:rPr>
          <w:lang w:val="fr-FR"/>
        </w:rPr>
      </w:pPr>
      <w:r w:rsidRPr="00773889">
        <w:rPr>
          <w:lang w:val="fr-FR"/>
        </w:rPr>
        <w:t>9</w:t>
      </w:r>
      <w:r w:rsidR="004E3C47" w:rsidRPr="004E3C47">
        <w:rPr>
          <w:lang w:val="fr-FR"/>
        </w:rPr>
        <w:t>.</w:t>
      </w:r>
      <w:r w:rsidRPr="00773889">
        <w:rPr>
          <w:lang w:val="fr-FR"/>
        </w:rPr>
        <w:tab/>
      </w:r>
      <w:r>
        <w:rPr>
          <w:lang w:val="fr-FR"/>
        </w:rPr>
        <w:t>Résultats des activités de sensibilisation menées pour faire en sorte que les différences et les situations différentes ne soient plus perçues de façon négative, pour favoriser la tolérance et pour mieux informer la population de ses droits</w:t>
      </w:r>
      <w:r w:rsidRPr="00F21CE3">
        <w:rPr>
          <w:rStyle w:val="Appelnotedebasdep"/>
        </w:rPr>
        <w:footnoteReference w:id="11"/>
      </w:r>
      <w:r w:rsidR="004E3C47" w:rsidRPr="004E3C47">
        <w:rPr>
          <w:lang w:val="fr-FR"/>
        </w:rPr>
        <w:t>.</w:t>
      </w:r>
      <w:r>
        <w:rPr>
          <w:lang w:val="fr-FR"/>
        </w:rPr>
        <w:t xml:space="preserve"> </w:t>
      </w:r>
    </w:p>
    <w:p w14:paraId="0608B3BE" w14:textId="27F80994" w:rsidR="00F21CE3" w:rsidRPr="00773889" w:rsidRDefault="00F21CE3" w:rsidP="00F21CE3">
      <w:pPr>
        <w:pStyle w:val="SingleTxtG"/>
        <w:rPr>
          <w:lang w:val="fr-FR"/>
        </w:rPr>
      </w:pPr>
      <w:r w:rsidRPr="00773889">
        <w:rPr>
          <w:lang w:val="fr-FR"/>
        </w:rPr>
        <w:t>10</w:t>
      </w:r>
      <w:r w:rsidR="004E3C47" w:rsidRPr="004E3C47">
        <w:rPr>
          <w:lang w:val="fr-FR"/>
        </w:rPr>
        <w:t>.</w:t>
      </w:r>
      <w:r w:rsidRPr="00773889">
        <w:rPr>
          <w:lang w:val="fr-FR"/>
        </w:rPr>
        <w:tab/>
      </w:r>
      <w:r>
        <w:rPr>
          <w:lang w:val="fr-FR"/>
        </w:rPr>
        <w:t>Informations sur la possibilité pour les immigrés de bénéficier d’une aide juridictionnelle quel que soit leur pays d’origine</w:t>
      </w:r>
      <w:r w:rsidRPr="00F21CE3">
        <w:rPr>
          <w:rStyle w:val="Appelnotedebasdep"/>
        </w:rPr>
        <w:footnoteReference w:id="12"/>
      </w:r>
      <w:r w:rsidR="004E3C47" w:rsidRPr="004E3C47">
        <w:rPr>
          <w:lang w:val="fr-FR"/>
        </w:rPr>
        <w:t>.</w:t>
      </w:r>
    </w:p>
    <w:p w14:paraId="16E43F6A" w14:textId="2245BFB7" w:rsidR="00F21CE3" w:rsidRPr="00773889" w:rsidRDefault="00F21CE3" w:rsidP="00F21CE3">
      <w:pPr>
        <w:pStyle w:val="SingleTxtG"/>
        <w:rPr>
          <w:lang w:val="fr-FR"/>
        </w:rPr>
      </w:pPr>
      <w:r w:rsidRPr="00773889">
        <w:rPr>
          <w:lang w:val="fr-FR"/>
        </w:rPr>
        <w:t>11</w:t>
      </w:r>
      <w:r w:rsidR="004E3C47" w:rsidRPr="004E3C47">
        <w:rPr>
          <w:lang w:val="fr-FR"/>
        </w:rPr>
        <w:t>.</w:t>
      </w:r>
      <w:r w:rsidRPr="00773889">
        <w:rPr>
          <w:lang w:val="fr-FR"/>
        </w:rPr>
        <w:tab/>
      </w:r>
      <w:r>
        <w:rPr>
          <w:lang w:val="fr-FR"/>
        </w:rPr>
        <w:t xml:space="preserve">Promotion des cultures et langues minoritaires autres que la culture et la langue russes, y compris dans les </w:t>
      </w:r>
      <w:proofErr w:type="spellStart"/>
      <w:r>
        <w:rPr>
          <w:lang w:val="fr-FR"/>
        </w:rPr>
        <w:t>médias</w:t>
      </w:r>
      <w:proofErr w:type="spellEnd"/>
      <w:r w:rsidRPr="00F21CE3">
        <w:rPr>
          <w:rStyle w:val="Appelnotedebasdep"/>
        </w:rPr>
        <w:footnoteReference w:id="13"/>
      </w:r>
      <w:r w:rsidR="004E3C47" w:rsidRPr="004E3C47">
        <w:rPr>
          <w:lang w:val="fr-FR"/>
        </w:rPr>
        <w:t>.</w:t>
      </w:r>
    </w:p>
    <w:p w14:paraId="4D61929C" w14:textId="5A1B4983" w:rsidR="00F21CE3" w:rsidRPr="00773889" w:rsidRDefault="00F21CE3" w:rsidP="00F21CE3">
      <w:pPr>
        <w:pStyle w:val="H23G"/>
        <w:rPr>
          <w:lang w:val="fr-FR"/>
        </w:rPr>
      </w:pPr>
      <w:r>
        <w:rPr>
          <w:lang w:val="fr-FR"/>
        </w:rPr>
        <w:tab/>
      </w:r>
      <w:r>
        <w:rPr>
          <w:lang w:val="fr-FR"/>
        </w:rPr>
        <w:tab/>
        <w:t>Situation des minorités ethniques (art</w:t>
      </w:r>
      <w:r w:rsidR="004E3C47" w:rsidRPr="004E3C47">
        <w:rPr>
          <w:lang w:val="fr-FR"/>
        </w:rPr>
        <w:t>.</w:t>
      </w:r>
      <w:r>
        <w:rPr>
          <w:lang w:val="fr-FR"/>
        </w:rPr>
        <w:t xml:space="preserve"> 2 et 5)</w:t>
      </w:r>
    </w:p>
    <w:p w14:paraId="334240FE" w14:textId="14AD1685" w:rsidR="00F21CE3" w:rsidRPr="00773889" w:rsidRDefault="00F21CE3" w:rsidP="00F21CE3">
      <w:pPr>
        <w:pStyle w:val="SingleTxtG"/>
        <w:rPr>
          <w:lang w:val="fr-FR"/>
        </w:rPr>
      </w:pPr>
      <w:r w:rsidRPr="00773889">
        <w:rPr>
          <w:lang w:val="fr-FR"/>
        </w:rPr>
        <w:t>12</w:t>
      </w:r>
      <w:r w:rsidR="004E3C47" w:rsidRPr="004E3C47">
        <w:rPr>
          <w:lang w:val="fr-FR"/>
        </w:rPr>
        <w:t>.</w:t>
      </w:r>
      <w:r w:rsidRPr="00773889">
        <w:rPr>
          <w:lang w:val="fr-FR"/>
        </w:rPr>
        <w:tab/>
      </w:r>
      <w:r>
        <w:rPr>
          <w:lang w:val="fr-FR"/>
        </w:rPr>
        <w:t>Mesures visant à mieux représenter les minorités dans la vie publique et politique, aux niveaux local et national et à tous les échelons de l’administration</w:t>
      </w:r>
      <w:r w:rsidR="004E3C47" w:rsidRPr="004E3C47">
        <w:rPr>
          <w:lang w:val="fr-FR"/>
        </w:rPr>
        <w:t>.</w:t>
      </w:r>
      <w:r>
        <w:rPr>
          <w:lang w:val="fr-FR"/>
        </w:rPr>
        <w:t xml:space="preserve"> Mesures destinées à intensifier la coopération entre les autorités estoniennes et le Conseil des minorités ethniques</w:t>
      </w:r>
      <w:r w:rsidRPr="00F21CE3">
        <w:rPr>
          <w:rStyle w:val="Appelnotedebasdep"/>
        </w:rPr>
        <w:footnoteReference w:id="14"/>
      </w:r>
      <w:r w:rsidR="004E3C47" w:rsidRPr="004E3C47">
        <w:rPr>
          <w:lang w:val="fr-FR"/>
        </w:rPr>
        <w:t>.</w:t>
      </w:r>
      <w:r>
        <w:rPr>
          <w:lang w:val="fr-FR"/>
        </w:rPr>
        <w:t xml:space="preserve"> </w:t>
      </w:r>
    </w:p>
    <w:p w14:paraId="0FC40D58" w14:textId="0065837C" w:rsidR="00F21CE3" w:rsidRPr="00773889" w:rsidRDefault="00F21CE3" w:rsidP="00F21CE3">
      <w:pPr>
        <w:pStyle w:val="SingleTxtG"/>
        <w:rPr>
          <w:lang w:val="fr-FR"/>
        </w:rPr>
      </w:pPr>
      <w:r w:rsidRPr="00773889">
        <w:rPr>
          <w:lang w:val="fr-FR"/>
        </w:rPr>
        <w:t>13</w:t>
      </w:r>
      <w:r w:rsidR="004E3C47" w:rsidRPr="004E3C47">
        <w:rPr>
          <w:lang w:val="fr-FR"/>
        </w:rPr>
        <w:t>.</w:t>
      </w:r>
      <w:r w:rsidRPr="00773889">
        <w:rPr>
          <w:lang w:val="fr-FR"/>
        </w:rPr>
        <w:tab/>
      </w:r>
      <w:r>
        <w:rPr>
          <w:lang w:val="fr-FR"/>
        </w:rPr>
        <w:t>Informations actualisées sur le taux d’emploi des minorités</w:t>
      </w:r>
      <w:r w:rsidR="004E3C47" w:rsidRPr="004E3C47">
        <w:rPr>
          <w:lang w:val="fr-FR"/>
        </w:rPr>
        <w:t>.</w:t>
      </w:r>
      <w:r>
        <w:rPr>
          <w:lang w:val="fr-FR"/>
        </w:rPr>
        <w:t xml:space="preserve"> Résultats des initiatives visant à améliorer l’accès des minorités au marché du travail</w:t>
      </w:r>
      <w:r w:rsidRPr="00F21CE3">
        <w:rPr>
          <w:rStyle w:val="Appelnotedebasdep"/>
        </w:rPr>
        <w:footnoteReference w:id="15"/>
      </w:r>
      <w:r>
        <w:rPr>
          <w:lang w:val="fr-FR"/>
        </w:rPr>
        <w:t>, et mesures destinées à éliminer les écarts en ce qui concerne les conditions d’emploi et les revenus entre Estoniens et non-Estoniens qui sont dus à une connaissance insuffisante de l’estonien</w:t>
      </w:r>
      <w:r w:rsidRPr="00F21CE3">
        <w:rPr>
          <w:rStyle w:val="Appelnotedebasdep"/>
        </w:rPr>
        <w:footnoteReference w:id="16"/>
      </w:r>
      <w:r w:rsidR="004E3C47" w:rsidRPr="004E3C47">
        <w:rPr>
          <w:lang w:val="fr-FR"/>
        </w:rPr>
        <w:t>.</w:t>
      </w:r>
    </w:p>
    <w:p w14:paraId="6F409DDE" w14:textId="661DC7BD" w:rsidR="00F21CE3" w:rsidRPr="00773889" w:rsidRDefault="00F21CE3" w:rsidP="00F21CE3">
      <w:pPr>
        <w:pStyle w:val="SingleTxtG"/>
        <w:rPr>
          <w:lang w:val="fr-FR"/>
        </w:rPr>
      </w:pPr>
      <w:r w:rsidRPr="00773889">
        <w:rPr>
          <w:lang w:val="fr-FR"/>
        </w:rPr>
        <w:t>14</w:t>
      </w:r>
      <w:r w:rsidR="004E3C47" w:rsidRPr="004E3C47">
        <w:rPr>
          <w:lang w:val="fr-FR"/>
        </w:rPr>
        <w:t>.</w:t>
      </w:r>
      <w:r w:rsidRPr="00773889">
        <w:rPr>
          <w:lang w:val="fr-FR"/>
        </w:rPr>
        <w:tab/>
      </w:r>
      <w:r>
        <w:rPr>
          <w:lang w:val="fr-FR"/>
        </w:rPr>
        <w:t>Point sur l’accès des enfants roms à l’éducation, y compris dans l’enseignement secondaire supérieur</w:t>
      </w:r>
      <w:r w:rsidR="004E3C47" w:rsidRPr="004E3C47">
        <w:rPr>
          <w:lang w:val="fr-FR"/>
        </w:rPr>
        <w:t>.</w:t>
      </w:r>
      <w:r>
        <w:rPr>
          <w:lang w:val="fr-FR"/>
        </w:rPr>
        <w:t xml:space="preserve"> Informations à jour sur les résultats des initiatives en faveur de l’intégration des Roms dans la société, notamment en matière d’accès à l’emploi, à l’éducation, au logement et aux soins de santé</w:t>
      </w:r>
      <w:r w:rsidR="004E3C47" w:rsidRPr="004E3C47">
        <w:rPr>
          <w:lang w:val="fr-FR"/>
        </w:rPr>
        <w:t>.</w:t>
      </w:r>
      <w:r>
        <w:rPr>
          <w:lang w:val="fr-FR"/>
        </w:rPr>
        <w:t xml:space="preserve"> Renseignements détaillés sur le Comité consultatif chargé d’analyser les questions relatives à l’intégration des Roms dans la société, son mandat, sa composition et ses activités en faveur de l’intégration des Roms</w:t>
      </w:r>
      <w:r w:rsidRPr="00F21CE3">
        <w:rPr>
          <w:rStyle w:val="Appelnotedebasdep"/>
        </w:rPr>
        <w:footnoteReference w:id="17"/>
      </w:r>
      <w:r w:rsidR="004E3C47" w:rsidRPr="004E3C47">
        <w:rPr>
          <w:lang w:val="fr-FR"/>
        </w:rPr>
        <w:t>.</w:t>
      </w:r>
    </w:p>
    <w:p w14:paraId="1CF530A2" w14:textId="3CB1C414" w:rsidR="00F21CE3" w:rsidRPr="00773889" w:rsidRDefault="00F21CE3" w:rsidP="00F21CE3">
      <w:pPr>
        <w:pStyle w:val="H23G"/>
        <w:rPr>
          <w:lang w:val="fr-FR"/>
        </w:rPr>
      </w:pPr>
      <w:r>
        <w:rPr>
          <w:lang w:val="fr-FR"/>
        </w:rPr>
        <w:lastRenderedPageBreak/>
        <w:tab/>
      </w:r>
      <w:r>
        <w:rPr>
          <w:lang w:val="fr-FR"/>
        </w:rPr>
        <w:tab/>
        <w:t xml:space="preserve">Situation des non-ressortissants, des migrants, des demandeurs d’asile, </w:t>
      </w:r>
      <w:r>
        <w:rPr>
          <w:lang w:val="fr-FR"/>
        </w:rPr>
        <w:br/>
      </w:r>
      <w:r>
        <w:rPr>
          <w:lang w:val="fr-FR"/>
        </w:rPr>
        <w:t>des réfugiés et des apatrides (art</w:t>
      </w:r>
      <w:r w:rsidR="004E3C47" w:rsidRPr="004E3C47">
        <w:rPr>
          <w:lang w:val="fr-FR"/>
        </w:rPr>
        <w:t>.</w:t>
      </w:r>
      <w:r>
        <w:rPr>
          <w:lang w:val="fr-FR"/>
        </w:rPr>
        <w:t xml:space="preserve"> 5)</w:t>
      </w:r>
    </w:p>
    <w:p w14:paraId="05576862" w14:textId="05EBECBA" w:rsidR="00F21CE3" w:rsidRPr="00773889" w:rsidRDefault="00F21CE3" w:rsidP="00F21CE3">
      <w:pPr>
        <w:pStyle w:val="SingleTxtG"/>
        <w:rPr>
          <w:lang w:val="fr-FR"/>
        </w:rPr>
      </w:pPr>
      <w:r w:rsidRPr="00773889">
        <w:rPr>
          <w:lang w:val="fr-FR"/>
        </w:rPr>
        <w:t>15</w:t>
      </w:r>
      <w:r w:rsidR="004E3C47" w:rsidRPr="004E3C47">
        <w:rPr>
          <w:lang w:val="fr-FR"/>
        </w:rPr>
        <w:t>.</w:t>
      </w:r>
      <w:r w:rsidRPr="00773889">
        <w:rPr>
          <w:lang w:val="fr-FR"/>
        </w:rPr>
        <w:tab/>
      </w:r>
      <w:r>
        <w:rPr>
          <w:lang w:val="fr-FR"/>
        </w:rPr>
        <w:t>Mesures prises pour inclure la citoyenneté, la race et l’origine ethnique parmi les motifs de discrimination dans la loi relative à l’égalité de traitement</w:t>
      </w:r>
      <w:r w:rsidRPr="00F21CE3">
        <w:rPr>
          <w:rStyle w:val="Appelnotedebasdep"/>
        </w:rPr>
        <w:footnoteReference w:id="18"/>
      </w:r>
      <w:r w:rsidR="004E3C47" w:rsidRPr="004E3C47">
        <w:rPr>
          <w:lang w:val="fr-FR"/>
        </w:rPr>
        <w:t>.</w:t>
      </w:r>
    </w:p>
    <w:p w14:paraId="054C2D8E" w14:textId="4C5BA7B9" w:rsidR="00F21CE3" w:rsidRPr="00773889" w:rsidRDefault="00F21CE3" w:rsidP="00F21CE3">
      <w:pPr>
        <w:pStyle w:val="SingleTxtG"/>
        <w:rPr>
          <w:lang w:val="fr-FR"/>
        </w:rPr>
      </w:pPr>
      <w:r w:rsidRPr="00773889">
        <w:rPr>
          <w:lang w:val="fr-FR"/>
        </w:rPr>
        <w:t>16</w:t>
      </w:r>
      <w:r w:rsidR="004E3C47" w:rsidRPr="004E3C47">
        <w:rPr>
          <w:lang w:val="fr-FR"/>
        </w:rPr>
        <w:t>.</w:t>
      </w:r>
      <w:r w:rsidRPr="00773889">
        <w:rPr>
          <w:lang w:val="fr-FR"/>
        </w:rPr>
        <w:tab/>
      </w:r>
      <w:r>
        <w:rPr>
          <w:lang w:val="fr-FR"/>
        </w:rPr>
        <w:t>Informations à jour sur l’acquisition de la citoyenneté estonienne, y compris pour les personnes dont la nationalité n’est pas établie</w:t>
      </w:r>
      <w:r w:rsidR="004E3C47" w:rsidRPr="004E3C47">
        <w:rPr>
          <w:lang w:val="fr-FR"/>
        </w:rPr>
        <w:t>.</w:t>
      </w:r>
      <w:r>
        <w:rPr>
          <w:lang w:val="fr-FR"/>
        </w:rPr>
        <w:t xml:space="preserve"> Mesures prises aux niveaux local et national pour recenser les personnes apatrides, prévenir l’apatridie et faciliter l’acquisition de la citoyenneté par les apatrides</w:t>
      </w:r>
      <w:r w:rsidR="004E3C47" w:rsidRPr="004E3C47">
        <w:rPr>
          <w:lang w:val="fr-FR"/>
        </w:rPr>
        <w:t>.</w:t>
      </w:r>
      <w:r>
        <w:rPr>
          <w:lang w:val="fr-FR"/>
        </w:rPr>
        <w:t xml:space="preserve"> Utilité des réunions de sensibilisation et des tables rondes organisées pour encourager les personnes remplissant les conditions voulues à demander la citoyenneté</w:t>
      </w:r>
      <w:r w:rsidRPr="00F21CE3">
        <w:rPr>
          <w:rStyle w:val="Appelnotedebasdep"/>
        </w:rPr>
        <w:footnoteReference w:id="19"/>
      </w:r>
      <w:r w:rsidR="004E3C47" w:rsidRPr="004E3C47">
        <w:rPr>
          <w:lang w:val="fr-FR"/>
        </w:rPr>
        <w:t>.</w:t>
      </w:r>
    </w:p>
    <w:p w14:paraId="567C4BAB" w14:textId="145CAF9B" w:rsidR="00F21CE3" w:rsidRPr="00773889" w:rsidRDefault="00F21CE3" w:rsidP="00F21CE3">
      <w:pPr>
        <w:pStyle w:val="SingleTxtG"/>
        <w:rPr>
          <w:lang w:val="fr-FR"/>
        </w:rPr>
      </w:pPr>
      <w:r w:rsidRPr="00773889">
        <w:rPr>
          <w:lang w:val="fr-FR"/>
        </w:rPr>
        <w:t>17</w:t>
      </w:r>
      <w:r w:rsidR="004E3C47" w:rsidRPr="004E3C47">
        <w:rPr>
          <w:lang w:val="fr-FR"/>
        </w:rPr>
        <w:t>.</w:t>
      </w:r>
      <w:r w:rsidRPr="00773889">
        <w:rPr>
          <w:lang w:val="fr-FR"/>
        </w:rPr>
        <w:tab/>
      </w:r>
      <w:r>
        <w:rPr>
          <w:lang w:val="fr-FR"/>
        </w:rPr>
        <w:t>Informations actualisées sur le nombre de non-Estoniens dans la population carcérale, en particulier les personnes dont la nationalité n’est pas établie</w:t>
      </w:r>
      <w:r w:rsidR="004E3C47" w:rsidRPr="004E3C47">
        <w:rPr>
          <w:lang w:val="fr-FR"/>
        </w:rPr>
        <w:t>.</w:t>
      </w:r>
      <w:r>
        <w:rPr>
          <w:lang w:val="fr-FR"/>
        </w:rPr>
        <w:t xml:space="preserve"> Mesures de prévention de la discrimination raciale à l’égard des non-ressortissants dans le système de justice pénale</w:t>
      </w:r>
      <w:r w:rsidRPr="00F21CE3">
        <w:rPr>
          <w:rStyle w:val="Appelnotedebasdep"/>
        </w:rPr>
        <w:footnoteReference w:id="20"/>
      </w:r>
      <w:r w:rsidR="004E3C47" w:rsidRPr="004E3C47">
        <w:rPr>
          <w:lang w:val="fr-FR"/>
        </w:rPr>
        <w:t>.</w:t>
      </w:r>
    </w:p>
    <w:p w14:paraId="796FC9F7" w14:textId="4903340C" w:rsidR="00F21CE3" w:rsidRPr="00773889" w:rsidRDefault="00F21CE3" w:rsidP="00F21CE3">
      <w:pPr>
        <w:pStyle w:val="SingleTxtG"/>
        <w:rPr>
          <w:lang w:val="fr-FR"/>
        </w:rPr>
      </w:pPr>
      <w:r w:rsidRPr="00773889">
        <w:rPr>
          <w:lang w:val="fr-FR"/>
        </w:rPr>
        <w:t>18</w:t>
      </w:r>
      <w:r w:rsidR="004E3C47" w:rsidRPr="004E3C47">
        <w:rPr>
          <w:lang w:val="fr-FR"/>
        </w:rPr>
        <w:t>.</w:t>
      </w:r>
      <w:r w:rsidRPr="00773889">
        <w:rPr>
          <w:lang w:val="fr-FR"/>
        </w:rPr>
        <w:tab/>
      </w:r>
      <w:r>
        <w:rPr>
          <w:lang w:val="fr-FR"/>
        </w:rPr>
        <w:t>Mesures visant à garantir pleinement le principe de non-refoulement des demandeurs d’asile qui arrivent aux postes frontière de l’État partie et pourraient, dans la pratique, déposer une demande d’asile</w:t>
      </w:r>
      <w:r w:rsidR="004E3C47" w:rsidRPr="004E3C47">
        <w:rPr>
          <w:lang w:val="fr-FR"/>
        </w:rPr>
        <w:t>.</w:t>
      </w:r>
      <w:r>
        <w:rPr>
          <w:lang w:val="fr-FR"/>
        </w:rPr>
        <w:t xml:space="preserve"> Mesures destinées à fournir une aide juridictionnelle gratuite aux demandeurs d’asile</w:t>
      </w:r>
      <w:r w:rsidR="004E3C47" w:rsidRPr="004E3C47">
        <w:rPr>
          <w:lang w:val="fr-FR"/>
        </w:rPr>
        <w:t>.</w:t>
      </w:r>
      <w:r>
        <w:rPr>
          <w:lang w:val="fr-FR"/>
        </w:rPr>
        <w:t xml:space="preserve"> Mesures visant à exonérer les demandeurs d’asile de toute responsabilité pénale pour </w:t>
      </w:r>
      <w:proofErr w:type="spellStart"/>
      <w:r>
        <w:rPr>
          <w:lang w:val="fr-FR"/>
        </w:rPr>
        <w:t>entrée</w:t>
      </w:r>
      <w:proofErr w:type="spellEnd"/>
      <w:r>
        <w:rPr>
          <w:lang w:val="fr-FR"/>
        </w:rPr>
        <w:t xml:space="preserve"> illégale sur le territoire national</w:t>
      </w:r>
      <w:r w:rsidR="004E3C47" w:rsidRPr="004E3C47">
        <w:rPr>
          <w:lang w:val="fr-FR"/>
        </w:rPr>
        <w:t>.</w:t>
      </w:r>
      <w:r>
        <w:rPr>
          <w:lang w:val="fr-FR"/>
        </w:rPr>
        <w:t xml:space="preserve"> Mise en place d’un système indépendant de suivi des demandes d’asile aux postes frontière</w:t>
      </w:r>
      <w:r w:rsidR="004E3C47" w:rsidRPr="004E3C47">
        <w:rPr>
          <w:lang w:val="fr-FR"/>
        </w:rPr>
        <w:t>.</w:t>
      </w:r>
      <w:r>
        <w:rPr>
          <w:lang w:val="fr-FR"/>
        </w:rPr>
        <w:t xml:space="preserve"> Mesures visant à améliorer les conditions de vie des demandeurs d’asile et des réfugiés dans les centres d’accueil</w:t>
      </w:r>
      <w:r w:rsidR="004E3C47" w:rsidRPr="004E3C47">
        <w:rPr>
          <w:lang w:val="fr-FR"/>
        </w:rPr>
        <w:t>.</w:t>
      </w:r>
    </w:p>
    <w:p w14:paraId="50A409AE" w14:textId="052EA628" w:rsidR="00F21CE3" w:rsidRPr="00773889" w:rsidRDefault="00F21CE3" w:rsidP="00F21CE3">
      <w:pPr>
        <w:pStyle w:val="SingleTxtG"/>
        <w:rPr>
          <w:lang w:val="fr-FR"/>
        </w:rPr>
      </w:pPr>
      <w:r w:rsidRPr="00773889">
        <w:rPr>
          <w:lang w:val="fr-FR"/>
        </w:rPr>
        <w:t>19</w:t>
      </w:r>
      <w:r w:rsidR="004E3C47" w:rsidRPr="004E3C47">
        <w:rPr>
          <w:lang w:val="fr-FR"/>
        </w:rPr>
        <w:t>.</w:t>
      </w:r>
      <w:r w:rsidRPr="00773889">
        <w:rPr>
          <w:lang w:val="fr-FR"/>
        </w:rPr>
        <w:tab/>
      </w:r>
      <w:r>
        <w:rPr>
          <w:lang w:val="fr-FR"/>
        </w:rPr>
        <w:t>Point sur l’adoption d’une stratégie nationale globale d’intégration des réfugiés dans la société et sur son exécution</w:t>
      </w:r>
      <w:r w:rsidR="004E3C47" w:rsidRPr="004E3C47">
        <w:rPr>
          <w:lang w:val="fr-FR"/>
        </w:rPr>
        <w:t>.</w:t>
      </w:r>
    </w:p>
    <w:p w14:paraId="40144947" w14:textId="25052CE5" w:rsidR="00F21CE3" w:rsidRPr="00773889" w:rsidRDefault="00F21CE3" w:rsidP="00F21CE3">
      <w:pPr>
        <w:pStyle w:val="SingleTxtG"/>
        <w:rPr>
          <w:lang w:val="fr-FR"/>
        </w:rPr>
      </w:pPr>
      <w:r w:rsidRPr="00773889">
        <w:rPr>
          <w:lang w:val="fr-FR"/>
        </w:rPr>
        <w:t>20</w:t>
      </w:r>
      <w:r w:rsidR="004E3C47" w:rsidRPr="004E3C47">
        <w:rPr>
          <w:lang w:val="fr-FR"/>
        </w:rPr>
        <w:t>.</w:t>
      </w:r>
      <w:r w:rsidRPr="00773889">
        <w:rPr>
          <w:lang w:val="fr-FR"/>
        </w:rPr>
        <w:tab/>
      </w:r>
      <w:r>
        <w:rPr>
          <w:lang w:val="fr-FR"/>
        </w:rPr>
        <w:t>Informations actualisées sur les indicateurs économiques relatifs à l’intégration des migrants, y compris les demandeurs d’asile, les réfugiés et les apatrides, dans la société en ce qui concerne l’éducation, la santé, l’emploi et le logement</w:t>
      </w:r>
      <w:r w:rsidR="004E3C47" w:rsidRPr="004E3C47">
        <w:rPr>
          <w:lang w:val="fr-FR"/>
        </w:rPr>
        <w:t>.</w:t>
      </w:r>
      <w:r>
        <w:rPr>
          <w:lang w:val="fr-FR"/>
        </w:rPr>
        <w:t xml:space="preserve"> </w:t>
      </w:r>
    </w:p>
    <w:p w14:paraId="52547D7C" w14:textId="2FB14B84" w:rsidR="00984B29" w:rsidRDefault="00F21CE3" w:rsidP="00F21CE3">
      <w:pPr>
        <w:pStyle w:val="SingleTxtG"/>
        <w:rPr>
          <w:lang w:val="fr-FR"/>
        </w:rPr>
      </w:pPr>
      <w:r w:rsidRPr="00773889">
        <w:rPr>
          <w:lang w:val="fr-FR"/>
        </w:rPr>
        <w:t>21</w:t>
      </w:r>
      <w:r w:rsidR="004E3C47" w:rsidRPr="004E3C47">
        <w:rPr>
          <w:lang w:val="fr-FR"/>
        </w:rPr>
        <w:t>.</w:t>
      </w:r>
      <w:r w:rsidRPr="00773889">
        <w:rPr>
          <w:lang w:val="fr-FR"/>
        </w:rPr>
        <w:tab/>
      </w:r>
      <w:r>
        <w:rPr>
          <w:lang w:val="fr-FR"/>
        </w:rPr>
        <w:t>Informations concernant les effets de la pandémie de maladie à coronavirus (COVID</w:t>
      </w:r>
      <w:r>
        <w:rPr>
          <w:lang w:val="fr-FR"/>
        </w:rPr>
        <w:noBreakHyphen/>
      </w:r>
      <w:r>
        <w:rPr>
          <w:lang w:val="fr-FR"/>
        </w:rPr>
        <w:t>19) sur les personnes les plus vulnérables face à la discrimination et sur les différents groupes protégés par la Convention, y compris les groupes ethniques minoritaires, les peuples autochtones et les non-ressortissants</w:t>
      </w:r>
      <w:r w:rsidR="004E3C47" w:rsidRPr="004E3C47">
        <w:rPr>
          <w:lang w:val="fr-FR"/>
        </w:rPr>
        <w:t>.</w:t>
      </w:r>
      <w:r>
        <w:rPr>
          <w:lang w:val="fr-FR"/>
        </w:rPr>
        <w:t xml:space="preserve"> Mesures prises afin de protéger ces personnes contre les effets de la pandémie de COVID-19 et les actes discriminatoires, de combattre les discours de haine et la stigmatisation en lien avec la pandémie et d’atténuer les répercussions </w:t>
      </w:r>
      <w:proofErr w:type="spellStart"/>
      <w:r>
        <w:rPr>
          <w:lang w:val="fr-FR"/>
        </w:rPr>
        <w:t>socioéconomiques</w:t>
      </w:r>
      <w:proofErr w:type="spellEnd"/>
      <w:r>
        <w:rPr>
          <w:lang w:val="fr-FR"/>
        </w:rPr>
        <w:t xml:space="preserve"> de la pandémie sur ces personnes et groupes</w:t>
      </w:r>
      <w:r w:rsidR="004E3C47" w:rsidRPr="004E3C47">
        <w:rPr>
          <w:lang w:val="fr-FR"/>
        </w:rPr>
        <w:t>.</w:t>
      </w:r>
    </w:p>
    <w:p w14:paraId="52B40CA5" w14:textId="6055EE94" w:rsidR="00F21CE3" w:rsidRPr="00F21CE3" w:rsidRDefault="00F21CE3" w:rsidP="00F21CE3">
      <w:pPr>
        <w:pStyle w:val="SingleTxtG"/>
        <w:spacing w:before="240" w:after="0"/>
        <w:jc w:val="center"/>
        <w:rPr>
          <w:u w:val="single"/>
        </w:rPr>
      </w:pPr>
      <w:r>
        <w:rPr>
          <w:u w:val="single"/>
        </w:rPr>
        <w:tab/>
      </w:r>
      <w:r>
        <w:rPr>
          <w:u w:val="single"/>
        </w:rPr>
        <w:tab/>
      </w:r>
      <w:r>
        <w:rPr>
          <w:u w:val="single"/>
        </w:rPr>
        <w:tab/>
      </w:r>
    </w:p>
    <w:sectPr w:rsidR="00F21CE3" w:rsidRPr="00F21CE3" w:rsidSect="0089604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5B06B" w14:textId="77777777" w:rsidR="00665C80" w:rsidRDefault="00665C80" w:rsidP="00F95C08">
      <w:pPr>
        <w:spacing w:line="240" w:lineRule="auto"/>
      </w:pPr>
    </w:p>
  </w:endnote>
  <w:endnote w:type="continuationSeparator" w:id="0">
    <w:p w14:paraId="3318C44E" w14:textId="77777777" w:rsidR="00665C80" w:rsidRPr="00AC3823" w:rsidRDefault="00665C80" w:rsidP="00AC3823">
      <w:pPr>
        <w:pStyle w:val="Pieddepage"/>
      </w:pPr>
    </w:p>
  </w:endnote>
  <w:endnote w:type="continuationNotice" w:id="1">
    <w:p w14:paraId="37BFB721" w14:textId="77777777" w:rsidR="00665C80" w:rsidRDefault="00665C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F3D47" w14:textId="74C7FD09" w:rsidR="00896042" w:rsidRPr="00896042" w:rsidRDefault="00896042" w:rsidP="00896042">
    <w:pPr>
      <w:pStyle w:val="Pieddepage"/>
      <w:tabs>
        <w:tab w:val="right" w:pos="9638"/>
      </w:tabs>
    </w:pPr>
    <w:r w:rsidRPr="00896042">
      <w:rPr>
        <w:b/>
        <w:sz w:val="18"/>
      </w:rPr>
      <w:fldChar w:fldCharType="begin"/>
    </w:r>
    <w:r w:rsidRPr="00896042">
      <w:rPr>
        <w:b/>
        <w:sz w:val="18"/>
      </w:rPr>
      <w:instrText xml:space="preserve"> PAGE  \* MERGEFORMAT </w:instrText>
    </w:r>
    <w:r w:rsidRPr="00896042">
      <w:rPr>
        <w:b/>
        <w:sz w:val="18"/>
      </w:rPr>
      <w:fldChar w:fldCharType="separate"/>
    </w:r>
    <w:r w:rsidRPr="00896042">
      <w:rPr>
        <w:b/>
        <w:noProof/>
        <w:sz w:val="18"/>
      </w:rPr>
      <w:t>2</w:t>
    </w:r>
    <w:r w:rsidRPr="00896042">
      <w:rPr>
        <w:b/>
        <w:sz w:val="18"/>
      </w:rPr>
      <w:fldChar w:fldCharType="end"/>
    </w:r>
    <w:r>
      <w:rPr>
        <w:b/>
        <w:sz w:val="18"/>
      </w:rPr>
      <w:tab/>
    </w:r>
    <w:r>
      <w:t>GE</w:t>
    </w:r>
    <w:r w:rsidR="004E3C47" w:rsidRPr="004E3C47">
      <w:t>.</w:t>
    </w:r>
    <w:r>
      <w:t>22-03909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CFA25" w14:textId="28FB3D7C" w:rsidR="00896042" w:rsidRPr="00896042" w:rsidRDefault="00896042" w:rsidP="00896042">
    <w:pPr>
      <w:pStyle w:val="Pieddepage"/>
      <w:tabs>
        <w:tab w:val="right" w:pos="9638"/>
      </w:tabs>
      <w:rPr>
        <w:b/>
        <w:sz w:val="18"/>
      </w:rPr>
    </w:pPr>
    <w:r>
      <w:t>GE</w:t>
    </w:r>
    <w:r w:rsidR="004E3C47" w:rsidRPr="004E3C47">
      <w:t>.</w:t>
    </w:r>
    <w:r>
      <w:t>22-03909</w:t>
    </w:r>
    <w:r>
      <w:tab/>
    </w:r>
    <w:r w:rsidRPr="00896042">
      <w:rPr>
        <w:b/>
        <w:sz w:val="18"/>
      </w:rPr>
      <w:fldChar w:fldCharType="begin"/>
    </w:r>
    <w:r w:rsidRPr="00896042">
      <w:rPr>
        <w:b/>
        <w:sz w:val="18"/>
      </w:rPr>
      <w:instrText xml:space="preserve"> PAGE  \* MERGEFORMAT </w:instrText>
    </w:r>
    <w:r w:rsidRPr="00896042">
      <w:rPr>
        <w:b/>
        <w:sz w:val="18"/>
      </w:rPr>
      <w:fldChar w:fldCharType="separate"/>
    </w:r>
    <w:r w:rsidRPr="00896042">
      <w:rPr>
        <w:b/>
        <w:noProof/>
        <w:sz w:val="18"/>
      </w:rPr>
      <w:t>3</w:t>
    </w:r>
    <w:r w:rsidRPr="008960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5E692" w14:textId="480F411E" w:rsidR="00984B29" w:rsidRPr="00896042" w:rsidRDefault="00896042" w:rsidP="00896042">
    <w:pPr>
      <w:pStyle w:val="Pieddepage"/>
      <w:spacing w:before="120"/>
      <w:rPr>
        <w:sz w:val="20"/>
      </w:rPr>
    </w:pPr>
    <w:r>
      <w:rPr>
        <w:sz w:val="20"/>
      </w:rPr>
      <w:t>GE</w:t>
    </w:r>
    <w:r w:rsidR="004E3C47" w:rsidRPr="004E3C47">
      <w:rPr>
        <w:sz w:val="20"/>
      </w:rPr>
      <w:t>.</w:t>
    </w:r>
    <w:r w:rsidR="00984B29">
      <w:rPr>
        <w:noProof/>
        <w:lang w:eastAsia="fr-CH"/>
      </w:rPr>
      <w:drawing>
        <wp:anchor distT="0" distB="0" distL="114300" distR="114300" simplePos="0" relativeHeight="251659264" behindDoc="0" locked="0" layoutInCell="1" allowOverlap="0" wp14:anchorId="27A2031A" wp14:editId="1EAF54B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22-03909  (F)</w:t>
    </w:r>
    <w:r>
      <w:rPr>
        <w:noProof/>
        <w:sz w:val="20"/>
      </w:rPr>
      <w:drawing>
        <wp:anchor distT="0" distB="0" distL="114300" distR="114300" simplePos="0" relativeHeight="251660288" behindDoc="0" locked="0" layoutInCell="1" allowOverlap="1" wp14:anchorId="62DA4125" wp14:editId="7ED8589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310322    310322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AD259" w14:textId="77777777" w:rsidR="00665C80" w:rsidRPr="00AC3823" w:rsidRDefault="00665C80" w:rsidP="00AC3823">
      <w:pPr>
        <w:pStyle w:val="Pieddepage"/>
        <w:tabs>
          <w:tab w:val="right" w:pos="2155"/>
        </w:tabs>
        <w:spacing w:after="80" w:line="240" w:lineRule="atLeast"/>
        <w:ind w:left="680"/>
        <w:rPr>
          <w:u w:val="single"/>
        </w:rPr>
      </w:pPr>
      <w:r>
        <w:rPr>
          <w:u w:val="single"/>
        </w:rPr>
        <w:tab/>
      </w:r>
    </w:p>
  </w:footnote>
  <w:footnote w:type="continuationSeparator" w:id="0">
    <w:p w14:paraId="60C715E4" w14:textId="77777777" w:rsidR="00665C80" w:rsidRPr="00AC3823" w:rsidRDefault="00665C80" w:rsidP="00AC3823">
      <w:pPr>
        <w:pStyle w:val="Pieddepage"/>
        <w:tabs>
          <w:tab w:val="right" w:pos="2155"/>
        </w:tabs>
        <w:spacing w:after="80" w:line="240" w:lineRule="atLeast"/>
        <w:ind w:left="680"/>
        <w:rPr>
          <w:u w:val="single"/>
        </w:rPr>
      </w:pPr>
      <w:r>
        <w:rPr>
          <w:u w:val="single"/>
        </w:rPr>
        <w:tab/>
      </w:r>
    </w:p>
  </w:footnote>
  <w:footnote w:type="continuationNotice" w:id="1">
    <w:p w14:paraId="1B3579AB" w14:textId="77777777" w:rsidR="00665C80" w:rsidRPr="00AC3823" w:rsidRDefault="00665C80">
      <w:pPr>
        <w:spacing w:line="240" w:lineRule="auto"/>
        <w:rPr>
          <w:sz w:val="2"/>
          <w:szCs w:val="2"/>
        </w:rPr>
      </w:pPr>
    </w:p>
  </w:footnote>
  <w:footnote w:id="2">
    <w:p w14:paraId="309AAC30" w14:textId="14D892F6" w:rsidR="00F21CE3" w:rsidRPr="00773889" w:rsidRDefault="00F21CE3" w:rsidP="00F21CE3">
      <w:pPr>
        <w:pStyle w:val="Notedebasdepage"/>
        <w:rPr>
          <w:lang w:val="fr-FR"/>
        </w:rPr>
      </w:pPr>
      <w:r w:rsidRPr="00F21CE3">
        <w:rPr>
          <w:sz w:val="20"/>
          <w:lang w:val="fr-FR"/>
        </w:rPr>
        <w:tab/>
        <w:t>*</w:t>
      </w:r>
      <w:r w:rsidRPr="00F21CE3">
        <w:rPr>
          <w:sz w:val="20"/>
          <w:lang w:val="fr-FR"/>
        </w:rPr>
        <w:tab/>
      </w:r>
      <w:r>
        <w:rPr>
          <w:lang w:val="fr-FR"/>
        </w:rPr>
        <w:t xml:space="preserve">Il a été convenu que le présent document serait publié après la date normale de publication en raison de circonstances indépendantes de la volonté du </w:t>
      </w:r>
      <w:proofErr w:type="spellStart"/>
      <w:r>
        <w:rPr>
          <w:lang w:val="fr-FR"/>
        </w:rPr>
        <w:t>soumetteur</w:t>
      </w:r>
      <w:proofErr w:type="spellEnd"/>
      <w:r w:rsidR="004E3C47" w:rsidRPr="004E3C47">
        <w:rPr>
          <w:lang w:val="fr-FR"/>
        </w:rPr>
        <w:t>.</w:t>
      </w:r>
    </w:p>
  </w:footnote>
  <w:footnote w:id="3">
    <w:p w14:paraId="38CC7CB6" w14:textId="0B3CF1AD" w:rsidR="00F21CE3" w:rsidRPr="00773889" w:rsidRDefault="00F21CE3" w:rsidP="00F21CE3">
      <w:pPr>
        <w:pStyle w:val="Notedebasdepage"/>
        <w:rPr>
          <w:lang w:val="fr-FR"/>
        </w:rPr>
      </w:pPr>
      <w:r>
        <w:rPr>
          <w:lang w:val="fr-FR"/>
        </w:rPr>
        <w:tab/>
      </w:r>
      <w:r w:rsidRPr="00F21CE3">
        <w:rPr>
          <w:rStyle w:val="Appelnotedebasdep"/>
        </w:rPr>
        <w:footnoteRef/>
      </w:r>
      <w:r>
        <w:rPr>
          <w:lang w:val="fr-FR"/>
        </w:rPr>
        <w:tab/>
      </w:r>
      <w:hyperlink r:id="rId1" w:history="1">
        <w:r w:rsidRPr="00A97D6E">
          <w:rPr>
            <w:rStyle w:val="Lienhypertexte"/>
            <w:lang w:val="fr-FR"/>
          </w:rPr>
          <w:t>A/65/18</w:t>
        </w:r>
      </w:hyperlink>
      <w:r>
        <w:rPr>
          <w:lang w:val="fr-FR"/>
        </w:rPr>
        <w:t>, par</w:t>
      </w:r>
      <w:r w:rsidR="004E3C47" w:rsidRPr="004E3C47">
        <w:rPr>
          <w:lang w:val="fr-FR"/>
        </w:rPr>
        <w:t>.</w:t>
      </w:r>
      <w:r>
        <w:rPr>
          <w:lang w:val="fr-FR"/>
        </w:rPr>
        <w:t xml:space="preserve"> 85</w:t>
      </w:r>
      <w:r w:rsidR="004E3C47" w:rsidRPr="004E3C47">
        <w:rPr>
          <w:lang w:val="fr-FR"/>
        </w:rPr>
        <w:t>.</w:t>
      </w:r>
    </w:p>
  </w:footnote>
  <w:footnote w:id="4">
    <w:p w14:paraId="17D932B4" w14:textId="34A4B058" w:rsidR="00F21CE3" w:rsidRPr="00773889" w:rsidRDefault="00F21CE3" w:rsidP="00F21CE3">
      <w:pPr>
        <w:pStyle w:val="Notedebasdepage"/>
        <w:rPr>
          <w:lang w:val="fr-FR"/>
        </w:rPr>
      </w:pPr>
      <w:r w:rsidRPr="00F31DD4">
        <w:rPr>
          <w:lang w:val="fr-FR"/>
        </w:rPr>
        <w:tab/>
      </w:r>
      <w:r w:rsidRPr="00F21CE3">
        <w:rPr>
          <w:rStyle w:val="Appelnotedebasdep"/>
        </w:rPr>
        <w:footnoteRef/>
      </w:r>
      <w:r>
        <w:rPr>
          <w:lang w:val="fr-FR"/>
        </w:rPr>
        <w:tab/>
      </w:r>
      <w:hyperlink r:id="rId2" w:history="1">
        <w:r w:rsidRPr="00A97D6E">
          <w:rPr>
            <w:rStyle w:val="Lienhypertexte"/>
            <w:lang w:val="fr-FR"/>
          </w:rPr>
          <w:t>CERD/C/EST/12-13</w:t>
        </w:r>
      </w:hyperlink>
      <w:r>
        <w:rPr>
          <w:lang w:val="fr-FR"/>
        </w:rPr>
        <w:t>, par</w:t>
      </w:r>
      <w:r w:rsidR="004E3C47" w:rsidRPr="004E3C47">
        <w:rPr>
          <w:lang w:val="fr-FR"/>
        </w:rPr>
        <w:t>.</w:t>
      </w:r>
      <w:r>
        <w:rPr>
          <w:lang w:val="fr-FR"/>
        </w:rPr>
        <w:t xml:space="preserve"> 15 à 17, et </w:t>
      </w:r>
      <w:hyperlink r:id="rId3" w:history="1">
        <w:r w:rsidRPr="00A97D6E">
          <w:rPr>
            <w:rStyle w:val="Lienhypertexte"/>
            <w:lang w:val="fr-FR"/>
          </w:rPr>
          <w:t>CERD/C/EST/CO/10-11</w:t>
        </w:r>
      </w:hyperlink>
      <w:r>
        <w:rPr>
          <w:lang w:val="fr-FR"/>
        </w:rPr>
        <w:t>, par</w:t>
      </w:r>
      <w:r w:rsidR="004E3C47" w:rsidRPr="004E3C47">
        <w:rPr>
          <w:lang w:val="fr-FR"/>
        </w:rPr>
        <w:t>.</w:t>
      </w:r>
      <w:r>
        <w:rPr>
          <w:lang w:val="fr-FR"/>
        </w:rPr>
        <w:t xml:space="preserve"> 6</w:t>
      </w:r>
      <w:r w:rsidR="004E3C47" w:rsidRPr="004E3C47">
        <w:rPr>
          <w:lang w:val="fr-FR"/>
        </w:rPr>
        <w:t>.</w:t>
      </w:r>
    </w:p>
  </w:footnote>
  <w:footnote w:id="5">
    <w:p w14:paraId="027ADC0A" w14:textId="26364446" w:rsidR="00F21CE3" w:rsidRPr="00773889" w:rsidRDefault="00F21CE3" w:rsidP="00F21CE3">
      <w:pPr>
        <w:pStyle w:val="Notedebasdepage"/>
        <w:rPr>
          <w:lang w:val="fr-FR"/>
        </w:rPr>
      </w:pPr>
      <w:r>
        <w:rPr>
          <w:lang w:val="fr-FR"/>
        </w:rPr>
        <w:tab/>
      </w:r>
      <w:r w:rsidRPr="00F21CE3">
        <w:rPr>
          <w:rStyle w:val="Appelnotedebasdep"/>
        </w:rPr>
        <w:footnoteRef/>
      </w:r>
      <w:r>
        <w:rPr>
          <w:lang w:val="fr-FR"/>
        </w:rPr>
        <w:tab/>
      </w:r>
      <w:hyperlink r:id="rId4" w:history="1">
        <w:r w:rsidRPr="00A97D6E">
          <w:rPr>
            <w:rStyle w:val="Lienhypertexte"/>
            <w:lang w:val="fr-FR"/>
          </w:rPr>
          <w:t>CERD/C/EST/12-13</w:t>
        </w:r>
      </w:hyperlink>
      <w:r>
        <w:rPr>
          <w:lang w:val="fr-FR"/>
        </w:rPr>
        <w:t>, par</w:t>
      </w:r>
      <w:r w:rsidR="004E3C47" w:rsidRPr="004E3C47">
        <w:rPr>
          <w:lang w:val="fr-FR"/>
        </w:rPr>
        <w:t>.</w:t>
      </w:r>
      <w:r>
        <w:rPr>
          <w:lang w:val="fr-FR"/>
        </w:rPr>
        <w:t xml:space="preserve"> 105 à 107, et </w:t>
      </w:r>
      <w:hyperlink r:id="rId5" w:history="1">
        <w:r w:rsidRPr="00A97D6E">
          <w:rPr>
            <w:rStyle w:val="Lienhypertexte"/>
            <w:lang w:val="fr-FR"/>
          </w:rPr>
          <w:t>CERD/C/EST/CO/10-11</w:t>
        </w:r>
      </w:hyperlink>
      <w:r>
        <w:rPr>
          <w:lang w:val="fr-FR"/>
        </w:rPr>
        <w:t>, par</w:t>
      </w:r>
      <w:r w:rsidR="004E3C47" w:rsidRPr="004E3C47">
        <w:rPr>
          <w:lang w:val="fr-FR"/>
        </w:rPr>
        <w:t>.</w:t>
      </w:r>
      <w:r>
        <w:rPr>
          <w:lang w:val="fr-FR"/>
        </w:rPr>
        <w:t xml:space="preserve"> 7</w:t>
      </w:r>
      <w:r w:rsidR="004E3C47" w:rsidRPr="004E3C47">
        <w:rPr>
          <w:lang w:val="fr-FR"/>
        </w:rPr>
        <w:t>.</w:t>
      </w:r>
    </w:p>
  </w:footnote>
  <w:footnote w:id="6">
    <w:p w14:paraId="3E582B66" w14:textId="5783A82F" w:rsidR="00F21CE3" w:rsidRPr="00773889" w:rsidRDefault="00F21CE3" w:rsidP="00F21CE3">
      <w:pPr>
        <w:pStyle w:val="Notedebasdepage"/>
        <w:rPr>
          <w:lang w:val="fr-FR"/>
        </w:rPr>
      </w:pPr>
      <w:r>
        <w:rPr>
          <w:lang w:val="fr-FR"/>
        </w:rPr>
        <w:tab/>
      </w:r>
      <w:r w:rsidRPr="00F21CE3">
        <w:rPr>
          <w:rStyle w:val="Appelnotedebasdep"/>
        </w:rPr>
        <w:footnoteRef/>
      </w:r>
      <w:r>
        <w:rPr>
          <w:lang w:val="fr-FR"/>
        </w:rPr>
        <w:tab/>
      </w:r>
      <w:hyperlink r:id="rId6" w:history="1">
        <w:r w:rsidRPr="00A97D6E">
          <w:rPr>
            <w:rStyle w:val="Lienhypertexte"/>
            <w:lang w:val="fr-FR"/>
          </w:rPr>
          <w:t>CERD/C/EST/12-13</w:t>
        </w:r>
      </w:hyperlink>
      <w:r>
        <w:rPr>
          <w:lang w:val="fr-FR"/>
        </w:rPr>
        <w:t>, par</w:t>
      </w:r>
      <w:r w:rsidR="004E3C47" w:rsidRPr="004E3C47">
        <w:rPr>
          <w:lang w:val="fr-FR"/>
        </w:rPr>
        <w:t>.</w:t>
      </w:r>
      <w:r>
        <w:rPr>
          <w:lang w:val="fr-FR"/>
        </w:rPr>
        <w:t xml:space="preserve"> 109 à 112, et </w:t>
      </w:r>
      <w:hyperlink r:id="rId7" w:history="1">
        <w:r w:rsidRPr="00A97D6E">
          <w:rPr>
            <w:rStyle w:val="Lienhypertexte"/>
            <w:lang w:val="fr-FR"/>
          </w:rPr>
          <w:t>CERD/C/EST/CO/10-11</w:t>
        </w:r>
      </w:hyperlink>
      <w:r>
        <w:rPr>
          <w:lang w:val="fr-FR"/>
        </w:rPr>
        <w:t>, par</w:t>
      </w:r>
      <w:r w:rsidR="004E3C47" w:rsidRPr="004E3C47">
        <w:rPr>
          <w:lang w:val="fr-FR"/>
        </w:rPr>
        <w:t>.</w:t>
      </w:r>
      <w:r>
        <w:rPr>
          <w:lang w:val="fr-FR"/>
        </w:rPr>
        <w:t xml:space="preserve"> 8</w:t>
      </w:r>
      <w:r w:rsidR="004E3C47" w:rsidRPr="004E3C47">
        <w:rPr>
          <w:lang w:val="fr-FR"/>
        </w:rPr>
        <w:t>.</w:t>
      </w:r>
    </w:p>
  </w:footnote>
  <w:footnote w:id="7">
    <w:p w14:paraId="5785B1A3" w14:textId="0AB7E4E9" w:rsidR="00F21CE3" w:rsidRPr="00773889" w:rsidRDefault="00F21CE3" w:rsidP="00F21CE3">
      <w:pPr>
        <w:pStyle w:val="Notedebasdepage"/>
        <w:rPr>
          <w:lang w:val="fr-FR"/>
        </w:rPr>
      </w:pPr>
      <w:r w:rsidRPr="00F31DD4">
        <w:rPr>
          <w:lang w:val="fr-FR"/>
        </w:rPr>
        <w:tab/>
      </w:r>
      <w:r w:rsidRPr="00F21CE3">
        <w:rPr>
          <w:rStyle w:val="Appelnotedebasdep"/>
        </w:rPr>
        <w:footnoteRef/>
      </w:r>
      <w:r>
        <w:rPr>
          <w:lang w:val="fr-FR"/>
        </w:rPr>
        <w:tab/>
      </w:r>
      <w:hyperlink r:id="rId8" w:history="1">
        <w:r w:rsidRPr="00A97D6E">
          <w:rPr>
            <w:rStyle w:val="Lienhypertexte"/>
            <w:lang w:val="fr-FR"/>
          </w:rPr>
          <w:t>CERD/C/EST/12-13</w:t>
        </w:r>
      </w:hyperlink>
      <w:r>
        <w:rPr>
          <w:lang w:val="fr-FR"/>
        </w:rPr>
        <w:t>, par</w:t>
      </w:r>
      <w:r w:rsidR="004E3C47" w:rsidRPr="004E3C47">
        <w:rPr>
          <w:lang w:val="fr-FR"/>
        </w:rPr>
        <w:t>.</w:t>
      </w:r>
      <w:r>
        <w:rPr>
          <w:lang w:val="fr-FR"/>
        </w:rPr>
        <w:t xml:space="preserve"> 105 à 111</w:t>
      </w:r>
      <w:r w:rsidR="004E3C47" w:rsidRPr="004E3C47">
        <w:rPr>
          <w:lang w:val="fr-FR"/>
        </w:rPr>
        <w:t>.</w:t>
      </w:r>
    </w:p>
  </w:footnote>
  <w:footnote w:id="8">
    <w:p w14:paraId="3EFC92EE" w14:textId="0A856503" w:rsidR="00F21CE3" w:rsidRPr="00773889" w:rsidRDefault="00F21CE3" w:rsidP="00F21CE3">
      <w:pPr>
        <w:pStyle w:val="Notedebasdepage"/>
        <w:rPr>
          <w:lang w:val="fr-FR"/>
        </w:rPr>
      </w:pPr>
      <w:r w:rsidRPr="00F31DD4">
        <w:rPr>
          <w:lang w:val="fr-FR"/>
        </w:rPr>
        <w:tab/>
      </w:r>
      <w:r w:rsidRPr="00F21CE3">
        <w:rPr>
          <w:rStyle w:val="Appelnotedebasdep"/>
        </w:rPr>
        <w:footnoteRef/>
      </w:r>
      <w:r>
        <w:rPr>
          <w:lang w:val="fr-FR"/>
        </w:rPr>
        <w:tab/>
        <w:t>Ibid</w:t>
      </w:r>
      <w:r w:rsidR="004E3C47" w:rsidRPr="004E3C47">
        <w:rPr>
          <w:lang w:val="fr-FR"/>
        </w:rPr>
        <w:t>.</w:t>
      </w:r>
      <w:r>
        <w:rPr>
          <w:lang w:val="fr-FR"/>
        </w:rPr>
        <w:t>, par</w:t>
      </w:r>
      <w:r w:rsidR="004E3C47" w:rsidRPr="004E3C47">
        <w:rPr>
          <w:lang w:val="fr-FR"/>
        </w:rPr>
        <w:t>.</w:t>
      </w:r>
      <w:r>
        <w:rPr>
          <w:lang w:val="fr-FR"/>
        </w:rPr>
        <w:t xml:space="preserve"> 104 et 105</w:t>
      </w:r>
      <w:r w:rsidR="004E3C47" w:rsidRPr="004E3C47">
        <w:rPr>
          <w:lang w:val="fr-FR"/>
        </w:rPr>
        <w:t>.</w:t>
      </w:r>
    </w:p>
  </w:footnote>
  <w:footnote w:id="9">
    <w:p w14:paraId="7A9D90B2" w14:textId="75EA9EDF" w:rsidR="00F21CE3" w:rsidRPr="00773889" w:rsidRDefault="00F21CE3" w:rsidP="00F21CE3">
      <w:pPr>
        <w:pStyle w:val="Notedebasdepage"/>
        <w:rPr>
          <w:lang w:val="fr-FR"/>
        </w:rPr>
      </w:pPr>
      <w:r w:rsidRPr="00F31DD4">
        <w:rPr>
          <w:lang w:val="fr-FR"/>
        </w:rPr>
        <w:tab/>
      </w:r>
      <w:r w:rsidRPr="00F21CE3">
        <w:rPr>
          <w:rStyle w:val="Appelnotedebasdep"/>
        </w:rPr>
        <w:footnoteRef/>
      </w:r>
      <w:r>
        <w:rPr>
          <w:lang w:val="fr-FR"/>
        </w:rPr>
        <w:tab/>
      </w:r>
      <w:hyperlink r:id="rId9" w:history="1">
        <w:r w:rsidRPr="00A97D6E">
          <w:rPr>
            <w:rStyle w:val="Lienhypertexte"/>
            <w:lang w:val="fr-FR"/>
          </w:rPr>
          <w:t>CERD/C/EST/CO/10-11</w:t>
        </w:r>
      </w:hyperlink>
      <w:r>
        <w:rPr>
          <w:lang w:val="fr-FR"/>
        </w:rPr>
        <w:t>, par</w:t>
      </w:r>
      <w:r w:rsidR="004E3C47" w:rsidRPr="004E3C47">
        <w:rPr>
          <w:lang w:val="fr-FR"/>
        </w:rPr>
        <w:t>.</w:t>
      </w:r>
      <w:r>
        <w:rPr>
          <w:lang w:val="fr-FR"/>
        </w:rPr>
        <w:t xml:space="preserve"> 15</w:t>
      </w:r>
      <w:r w:rsidR="004E3C47" w:rsidRPr="004E3C47">
        <w:rPr>
          <w:lang w:val="fr-FR"/>
        </w:rPr>
        <w:t>.</w:t>
      </w:r>
    </w:p>
  </w:footnote>
  <w:footnote w:id="10">
    <w:p w14:paraId="09C4ED82" w14:textId="3092BB71" w:rsidR="00F21CE3" w:rsidRPr="00773889" w:rsidRDefault="00F21CE3" w:rsidP="00F21CE3">
      <w:pPr>
        <w:pStyle w:val="Notedebasdepage"/>
        <w:rPr>
          <w:lang w:val="fr-FR"/>
        </w:rPr>
      </w:pPr>
      <w:r>
        <w:rPr>
          <w:lang w:val="fr-FR"/>
        </w:rPr>
        <w:tab/>
      </w:r>
      <w:r w:rsidRPr="00F21CE3">
        <w:rPr>
          <w:rStyle w:val="Appelnotedebasdep"/>
        </w:rPr>
        <w:footnoteRef/>
      </w:r>
      <w:r>
        <w:rPr>
          <w:lang w:val="fr-FR"/>
        </w:rPr>
        <w:tab/>
      </w:r>
      <w:hyperlink r:id="rId10" w:history="1">
        <w:r w:rsidRPr="00A97D6E">
          <w:rPr>
            <w:rStyle w:val="Lienhypertexte"/>
            <w:lang w:val="fr-FR"/>
          </w:rPr>
          <w:t>CERD/C/EST/12-13</w:t>
        </w:r>
      </w:hyperlink>
      <w:r>
        <w:rPr>
          <w:lang w:val="fr-FR"/>
        </w:rPr>
        <w:t>, par</w:t>
      </w:r>
      <w:r w:rsidR="004E3C47" w:rsidRPr="004E3C47">
        <w:rPr>
          <w:lang w:val="fr-FR"/>
        </w:rPr>
        <w:t>.</w:t>
      </w:r>
      <w:r>
        <w:rPr>
          <w:lang w:val="fr-FR"/>
        </w:rPr>
        <w:t xml:space="preserve"> 20 à 27 et 89 à 99, et </w:t>
      </w:r>
      <w:hyperlink r:id="rId11" w:history="1">
        <w:r w:rsidRPr="00A97D6E">
          <w:rPr>
            <w:rStyle w:val="Lienhypertexte"/>
            <w:lang w:val="fr-FR"/>
          </w:rPr>
          <w:t>CERD/C/EST/CO/10-11</w:t>
        </w:r>
      </w:hyperlink>
      <w:r>
        <w:rPr>
          <w:lang w:val="fr-FR"/>
        </w:rPr>
        <w:t>, par</w:t>
      </w:r>
      <w:r w:rsidR="004E3C47" w:rsidRPr="004E3C47">
        <w:rPr>
          <w:lang w:val="fr-FR"/>
        </w:rPr>
        <w:t>.</w:t>
      </w:r>
      <w:r>
        <w:rPr>
          <w:lang w:val="fr-FR"/>
        </w:rPr>
        <w:t xml:space="preserve"> 15 et 16</w:t>
      </w:r>
      <w:r w:rsidR="004E3C47" w:rsidRPr="004E3C47">
        <w:rPr>
          <w:lang w:val="fr-FR"/>
        </w:rPr>
        <w:t>.</w:t>
      </w:r>
    </w:p>
  </w:footnote>
  <w:footnote w:id="11">
    <w:p w14:paraId="62D85CFB" w14:textId="438327B8" w:rsidR="00F21CE3" w:rsidRPr="00773889" w:rsidRDefault="00F21CE3" w:rsidP="00F21CE3">
      <w:pPr>
        <w:pStyle w:val="Notedebasdepage"/>
        <w:rPr>
          <w:lang w:val="fr-FR"/>
        </w:rPr>
      </w:pPr>
      <w:r w:rsidRPr="00F31DD4">
        <w:rPr>
          <w:lang w:val="fr-FR"/>
        </w:rPr>
        <w:tab/>
      </w:r>
      <w:r w:rsidRPr="00F21CE3">
        <w:rPr>
          <w:rStyle w:val="Appelnotedebasdep"/>
        </w:rPr>
        <w:footnoteRef/>
      </w:r>
      <w:r>
        <w:rPr>
          <w:lang w:val="fr-FR"/>
        </w:rPr>
        <w:tab/>
      </w:r>
      <w:hyperlink r:id="rId12" w:history="1">
        <w:r w:rsidRPr="00A97D6E">
          <w:rPr>
            <w:rStyle w:val="Lienhypertexte"/>
            <w:lang w:val="fr-FR"/>
          </w:rPr>
          <w:t>CERD/C/EST/12-13</w:t>
        </w:r>
      </w:hyperlink>
      <w:r>
        <w:rPr>
          <w:lang w:val="fr-FR"/>
        </w:rPr>
        <w:t>, par</w:t>
      </w:r>
      <w:r w:rsidR="004E3C47" w:rsidRPr="004E3C47">
        <w:rPr>
          <w:lang w:val="fr-FR"/>
        </w:rPr>
        <w:t>.</w:t>
      </w:r>
      <w:r>
        <w:rPr>
          <w:lang w:val="fr-FR"/>
        </w:rPr>
        <w:t xml:space="preserve"> 209 et 210</w:t>
      </w:r>
      <w:r w:rsidR="004E3C47" w:rsidRPr="004E3C47">
        <w:rPr>
          <w:lang w:val="fr-FR"/>
        </w:rPr>
        <w:t>.</w:t>
      </w:r>
    </w:p>
  </w:footnote>
  <w:footnote w:id="12">
    <w:p w14:paraId="2173F156" w14:textId="202BDDF1" w:rsidR="00F21CE3" w:rsidRPr="00773889" w:rsidRDefault="00F21CE3" w:rsidP="00F21CE3">
      <w:pPr>
        <w:pStyle w:val="Notedebasdepage"/>
        <w:rPr>
          <w:lang w:val="fr-FR"/>
        </w:rPr>
      </w:pPr>
      <w:r w:rsidRPr="00F31DD4">
        <w:rPr>
          <w:lang w:val="fr-FR"/>
        </w:rPr>
        <w:tab/>
      </w:r>
      <w:r w:rsidRPr="00F21CE3">
        <w:rPr>
          <w:rStyle w:val="Appelnotedebasdep"/>
        </w:rPr>
        <w:footnoteRef/>
      </w:r>
      <w:r>
        <w:rPr>
          <w:lang w:val="fr-FR"/>
        </w:rPr>
        <w:tab/>
        <w:t>Ibid</w:t>
      </w:r>
      <w:r w:rsidR="004E3C47" w:rsidRPr="004E3C47">
        <w:rPr>
          <w:lang w:val="fr-FR"/>
        </w:rPr>
        <w:t>.</w:t>
      </w:r>
      <w:r>
        <w:rPr>
          <w:lang w:val="fr-FR"/>
        </w:rPr>
        <w:t>, par</w:t>
      </w:r>
      <w:r w:rsidR="004E3C47" w:rsidRPr="004E3C47">
        <w:rPr>
          <w:lang w:val="fr-FR"/>
        </w:rPr>
        <w:t>.</w:t>
      </w:r>
      <w:r>
        <w:rPr>
          <w:lang w:val="fr-FR"/>
        </w:rPr>
        <w:t xml:space="preserve"> 211</w:t>
      </w:r>
      <w:r w:rsidR="004E3C47" w:rsidRPr="004E3C47">
        <w:rPr>
          <w:lang w:val="fr-FR"/>
        </w:rPr>
        <w:t>.</w:t>
      </w:r>
    </w:p>
  </w:footnote>
  <w:footnote w:id="13">
    <w:p w14:paraId="77FE3626" w14:textId="4ACCB9EA" w:rsidR="00F21CE3" w:rsidRPr="00773889" w:rsidRDefault="00F21CE3" w:rsidP="00F21CE3">
      <w:pPr>
        <w:pStyle w:val="Notedebasdepage"/>
        <w:rPr>
          <w:lang w:val="fr-FR"/>
        </w:rPr>
      </w:pPr>
      <w:r w:rsidRPr="00F31DD4">
        <w:rPr>
          <w:lang w:val="fr-FR"/>
        </w:rPr>
        <w:tab/>
      </w:r>
      <w:r w:rsidRPr="00F21CE3">
        <w:rPr>
          <w:rStyle w:val="Appelnotedebasdep"/>
        </w:rPr>
        <w:footnoteRef/>
      </w:r>
      <w:r>
        <w:rPr>
          <w:lang w:val="fr-FR"/>
        </w:rPr>
        <w:tab/>
        <w:t>Ibid</w:t>
      </w:r>
      <w:r w:rsidR="004E3C47" w:rsidRPr="004E3C47">
        <w:rPr>
          <w:lang w:val="fr-FR"/>
        </w:rPr>
        <w:t>.</w:t>
      </w:r>
      <w:r>
        <w:rPr>
          <w:lang w:val="fr-FR"/>
        </w:rPr>
        <w:t>, par</w:t>
      </w:r>
      <w:r w:rsidR="004E3C47" w:rsidRPr="004E3C47">
        <w:rPr>
          <w:lang w:val="fr-FR"/>
        </w:rPr>
        <w:t>.</w:t>
      </w:r>
      <w:r>
        <w:rPr>
          <w:lang w:val="fr-FR"/>
        </w:rPr>
        <w:t xml:space="preserve"> 232 à 253</w:t>
      </w:r>
      <w:r w:rsidR="004E3C47" w:rsidRPr="004E3C47">
        <w:rPr>
          <w:lang w:val="fr-FR"/>
        </w:rPr>
        <w:t>.</w:t>
      </w:r>
    </w:p>
  </w:footnote>
  <w:footnote w:id="14">
    <w:p w14:paraId="6E703BB3" w14:textId="216773D1" w:rsidR="00F21CE3" w:rsidRPr="00773889" w:rsidRDefault="00F21CE3" w:rsidP="00F21CE3">
      <w:pPr>
        <w:pStyle w:val="Notedebasdepage"/>
        <w:rPr>
          <w:lang w:val="fr-FR"/>
        </w:rPr>
      </w:pPr>
      <w:r w:rsidRPr="00F31DD4">
        <w:rPr>
          <w:lang w:val="fr-FR"/>
        </w:rPr>
        <w:tab/>
      </w:r>
      <w:r w:rsidRPr="00F21CE3">
        <w:rPr>
          <w:rStyle w:val="Appelnotedebasdep"/>
        </w:rPr>
        <w:footnoteRef/>
      </w:r>
      <w:r>
        <w:rPr>
          <w:lang w:val="fr-FR"/>
        </w:rPr>
        <w:tab/>
      </w:r>
      <w:hyperlink r:id="rId13" w:history="1">
        <w:r w:rsidRPr="00A97D6E">
          <w:rPr>
            <w:rStyle w:val="Lienhypertexte"/>
            <w:lang w:val="fr-FR"/>
          </w:rPr>
          <w:t>CERD/C/EST/CO/10-11</w:t>
        </w:r>
      </w:hyperlink>
      <w:r>
        <w:rPr>
          <w:lang w:val="fr-FR"/>
        </w:rPr>
        <w:t>, par</w:t>
      </w:r>
      <w:r w:rsidR="004E3C47" w:rsidRPr="004E3C47">
        <w:rPr>
          <w:lang w:val="fr-FR"/>
        </w:rPr>
        <w:t>.</w:t>
      </w:r>
      <w:r>
        <w:rPr>
          <w:lang w:val="fr-FR"/>
        </w:rPr>
        <w:t xml:space="preserve"> 14</w:t>
      </w:r>
      <w:r w:rsidR="004E3C47" w:rsidRPr="004E3C47">
        <w:rPr>
          <w:lang w:val="fr-FR"/>
        </w:rPr>
        <w:t>.</w:t>
      </w:r>
    </w:p>
  </w:footnote>
  <w:footnote w:id="15">
    <w:p w14:paraId="62AF3172" w14:textId="4A9DB840" w:rsidR="00F21CE3" w:rsidRPr="00773889" w:rsidRDefault="00F21CE3" w:rsidP="00F21CE3">
      <w:pPr>
        <w:pStyle w:val="Notedebasdepage"/>
        <w:rPr>
          <w:lang w:val="fr-FR"/>
        </w:rPr>
      </w:pPr>
      <w:r w:rsidRPr="00F31DD4">
        <w:rPr>
          <w:lang w:val="fr-FR"/>
        </w:rPr>
        <w:tab/>
      </w:r>
      <w:r w:rsidRPr="00F21CE3">
        <w:rPr>
          <w:rStyle w:val="Appelnotedebasdep"/>
        </w:rPr>
        <w:footnoteRef/>
      </w:r>
      <w:r>
        <w:rPr>
          <w:lang w:val="fr-FR"/>
        </w:rPr>
        <w:tab/>
      </w:r>
      <w:hyperlink r:id="rId14" w:history="1">
        <w:r w:rsidRPr="00A97D6E">
          <w:rPr>
            <w:rStyle w:val="Lienhypertexte"/>
            <w:lang w:val="fr-FR"/>
          </w:rPr>
          <w:t>CERD/C/EST/12-13</w:t>
        </w:r>
      </w:hyperlink>
      <w:r>
        <w:rPr>
          <w:lang w:val="fr-FR"/>
        </w:rPr>
        <w:t>, par</w:t>
      </w:r>
      <w:r w:rsidR="004E3C47" w:rsidRPr="004E3C47">
        <w:rPr>
          <w:lang w:val="fr-FR"/>
        </w:rPr>
        <w:t>.</w:t>
      </w:r>
      <w:r>
        <w:rPr>
          <w:lang w:val="fr-FR"/>
        </w:rPr>
        <w:t xml:space="preserve"> 141 à 145</w:t>
      </w:r>
      <w:r w:rsidR="004E3C47" w:rsidRPr="004E3C47">
        <w:rPr>
          <w:lang w:val="fr-FR"/>
        </w:rPr>
        <w:t>.</w:t>
      </w:r>
    </w:p>
  </w:footnote>
  <w:footnote w:id="16">
    <w:p w14:paraId="7608C025" w14:textId="10D053A7" w:rsidR="00F21CE3" w:rsidRPr="00773889" w:rsidRDefault="00F21CE3" w:rsidP="00F21CE3">
      <w:pPr>
        <w:pStyle w:val="Notedebasdepage"/>
        <w:rPr>
          <w:lang w:val="fr-FR"/>
        </w:rPr>
      </w:pPr>
      <w:r w:rsidRPr="00F31DD4">
        <w:rPr>
          <w:lang w:val="fr-FR"/>
        </w:rPr>
        <w:tab/>
      </w:r>
      <w:r w:rsidRPr="00F21CE3">
        <w:rPr>
          <w:rStyle w:val="Appelnotedebasdep"/>
        </w:rPr>
        <w:footnoteRef/>
      </w:r>
      <w:r>
        <w:rPr>
          <w:lang w:val="fr-FR"/>
        </w:rPr>
        <w:tab/>
        <w:t>Ibid</w:t>
      </w:r>
      <w:r w:rsidR="004E3C47" w:rsidRPr="004E3C47">
        <w:rPr>
          <w:lang w:val="fr-FR"/>
        </w:rPr>
        <w:t>.</w:t>
      </w:r>
      <w:r>
        <w:rPr>
          <w:lang w:val="fr-FR"/>
        </w:rPr>
        <w:t>, par</w:t>
      </w:r>
      <w:r w:rsidR="004E3C47" w:rsidRPr="004E3C47">
        <w:rPr>
          <w:lang w:val="fr-FR"/>
        </w:rPr>
        <w:t>.</w:t>
      </w:r>
      <w:r>
        <w:rPr>
          <w:lang w:val="fr-FR"/>
        </w:rPr>
        <w:t xml:space="preserve"> 146 à 155, et </w:t>
      </w:r>
      <w:hyperlink r:id="rId15" w:history="1">
        <w:r w:rsidRPr="00A97D6E">
          <w:rPr>
            <w:rStyle w:val="Lienhypertexte"/>
            <w:lang w:val="fr-FR"/>
          </w:rPr>
          <w:t>CERD/C/EST/CO/10-11</w:t>
        </w:r>
      </w:hyperlink>
      <w:r>
        <w:rPr>
          <w:lang w:val="fr-FR"/>
        </w:rPr>
        <w:t>, par</w:t>
      </w:r>
      <w:r w:rsidR="004E3C47" w:rsidRPr="004E3C47">
        <w:rPr>
          <w:lang w:val="fr-FR"/>
        </w:rPr>
        <w:t>.</w:t>
      </w:r>
      <w:r>
        <w:rPr>
          <w:lang w:val="fr-FR"/>
        </w:rPr>
        <w:t xml:space="preserve"> 10</w:t>
      </w:r>
      <w:r w:rsidR="004E3C47" w:rsidRPr="004E3C47">
        <w:rPr>
          <w:lang w:val="fr-FR"/>
        </w:rPr>
        <w:t>.</w:t>
      </w:r>
    </w:p>
  </w:footnote>
  <w:footnote w:id="17">
    <w:p w14:paraId="48C0548F" w14:textId="242B4D6B" w:rsidR="00F21CE3" w:rsidRPr="00773889" w:rsidRDefault="00F21CE3" w:rsidP="00F21CE3">
      <w:pPr>
        <w:pStyle w:val="Notedebasdepage"/>
        <w:rPr>
          <w:lang w:val="fr-FR"/>
        </w:rPr>
      </w:pPr>
      <w:r w:rsidRPr="00F31DD4">
        <w:rPr>
          <w:lang w:val="fr-FR"/>
        </w:rPr>
        <w:tab/>
      </w:r>
      <w:r w:rsidRPr="00F21CE3">
        <w:rPr>
          <w:rStyle w:val="Appelnotedebasdep"/>
        </w:rPr>
        <w:footnoteRef/>
      </w:r>
      <w:r>
        <w:rPr>
          <w:lang w:val="fr-FR"/>
        </w:rPr>
        <w:tab/>
      </w:r>
      <w:hyperlink r:id="rId16" w:history="1">
        <w:r w:rsidRPr="00A97D6E">
          <w:rPr>
            <w:rStyle w:val="Lienhypertexte"/>
            <w:lang w:val="fr-FR"/>
          </w:rPr>
          <w:t>CERD/C/EST/12-13</w:t>
        </w:r>
      </w:hyperlink>
      <w:r>
        <w:rPr>
          <w:lang w:val="fr-FR"/>
        </w:rPr>
        <w:t>, par</w:t>
      </w:r>
      <w:r w:rsidR="004E3C47" w:rsidRPr="004E3C47">
        <w:rPr>
          <w:lang w:val="fr-FR"/>
        </w:rPr>
        <w:t>.</w:t>
      </w:r>
      <w:r>
        <w:rPr>
          <w:lang w:val="fr-FR"/>
        </w:rPr>
        <w:t xml:space="preserve"> 71 à 80</w:t>
      </w:r>
      <w:r w:rsidR="004E3C47" w:rsidRPr="004E3C47">
        <w:rPr>
          <w:lang w:val="fr-FR"/>
        </w:rPr>
        <w:t>.</w:t>
      </w:r>
    </w:p>
  </w:footnote>
  <w:footnote w:id="18">
    <w:p w14:paraId="1578DB60" w14:textId="413DA23C" w:rsidR="00F21CE3" w:rsidRPr="00773889" w:rsidRDefault="00F21CE3" w:rsidP="00F21CE3">
      <w:pPr>
        <w:pStyle w:val="Notedebasdepage"/>
        <w:rPr>
          <w:lang w:val="fr-FR"/>
        </w:rPr>
      </w:pPr>
      <w:r w:rsidRPr="00F31DD4">
        <w:rPr>
          <w:lang w:val="fr-FR"/>
        </w:rPr>
        <w:tab/>
      </w:r>
      <w:r w:rsidRPr="00F21CE3">
        <w:rPr>
          <w:rStyle w:val="Appelnotedebasdep"/>
        </w:rPr>
        <w:footnoteRef/>
      </w:r>
      <w:r>
        <w:rPr>
          <w:lang w:val="fr-FR"/>
        </w:rPr>
        <w:tab/>
        <w:t>Ibid</w:t>
      </w:r>
      <w:r w:rsidR="004E3C47" w:rsidRPr="004E3C47">
        <w:rPr>
          <w:lang w:val="fr-FR"/>
        </w:rPr>
        <w:t>.</w:t>
      </w:r>
      <w:r>
        <w:rPr>
          <w:lang w:val="fr-FR"/>
        </w:rPr>
        <w:t>, par</w:t>
      </w:r>
      <w:r w:rsidR="004E3C47" w:rsidRPr="004E3C47">
        <w:rPr>
          <w:lang w:val="fr-FR"/>
        </w:rPr>
        <w:t>.</w:t>
      </w:r>
      <w:r>
        <w:rPr>
          <w:lang w:val="fr-FR"/>
        </w:rPr>
        <w:t xml:space="preserve"> 208</w:t>
      </w:r>
      <w:r w:rsidR="004E3C47" w:rsidRPr="004E3C47">
        <w:rPr>
          <w:lang w:val="fr-FR"/>
        </w:rPr>
        <w:t>.</w:t>
      </w:r>
    </w:p>
  </w:footnote>
  <w:footnote w:id="19">
    <w:p w14:paraId="5884BB27" w14:textId="27C806DD" w:rsidR="00F21CE3" w:rsidRPr="00773889" w:rsidRDefault="00F21CE3" w:rsidP="00F21CE3">
      <w:pPr>
        <w:pStyle w:val="Notedebasdepage"/>
        <w:rPr>
          <w:lang w:val="fr-FR"/>
        </w:rPr>
      </w:pPr>
      <w:r>
        <w:rPr>
          <w:lang w:val="fr-FR"/>
        </w:rPr>
        <w:tab/>
      </w:r>
      <w:r w:rsidRPr="00F21CE3">
        <w:rPr>
          <w:rStyle w:val="Appelnotedebasdep"/>
        </w:rPr>
        <w:footnoteRef/>
      </w:r>
      <w:r>
        <w:rPr>
          <w:lang w:val="fr-FR"/>
        </w:rPr>
        <w:tab/>
        <w:t>Ibid</w:t>
      </w:r>
      <w:r w:rsidR="004E3C47" w:rsidRPr="004E3C47">
        <w:rPr>
          <w:lang w:val="fr-FR"/>
        </w:rPr>
        <w:t>.</w:t>
      </w:r>
      <w:r>
        <w:rPr>
          <w:lang w:val="fr-FR"/>
        </w:rPr>
        <w:t>, par</w:t>
      </w:r>
      <w:r w:rsidR="004E3C47" w:rsidRPr="004E3C47">
        <w:rPr>
          <w:lang w:val="fr-FR"/>
        </w:rPr>
        <w:t>.</w:t>
      </w:r>
      <w:r>
        <w:rPr>
          <w:lang w:val="fr-FR"/>
        </w:rPr>
        <w:t xml:space="preserve"> 119 à 130</w:t>
      </w:r>
      <w:r w:rsidR="004E3C47" w:rsidRPr="004E3C47">
        <w:rPr>
          <w:lang w:val="fr-FR"/>
        </w:rPr>
        <w:t>.</w:t>
      </w:r>
    </w:p>
  </w:footnote>
  <w:footnote w:id="20">
    <w:p w14:paraId="770CB9BB" w14:textId="3B8FF818" w:rsidR="00F21CE3" w:rsidRPr="00773889" w:rsidRDefault="00F21CE3" w:rsidP="00F21CE3">
      <w:pPr>
        <w:pStyle w:val="Notedebasdepage"/>
        <w:rPr>
          <w:lang w:val="fr-FR"/>
        </w:rPr>
      </w:pPr>
      <w:r>
        <w:rPr>
          <w:lang w:val="fr-FR"/>
        </w:rPr>
        <w:tab/>
      </w:r>
      <w:r w:rsidRPr="00F21CE3">
        <w:rPr>
          <w:rStyle w:val="Appelnotedebasdep"/>
        </w:rPr>
        <w:footnoteRef/>
      </w:r>
      <w:r>
        <w:rPr>
          <w:lang w:val="fr-FR"/>
        </w:rPr>
        <w:tab/>
        <w:t>Ibid</w:t>
      </w:r>
      <w:r w:rsidR="004E3C47" w:rsidRPr="004E3C47">
        <w:rPr>
          <w:lang w:val="fr-FR"/>
        </w:rPr>
        <w:t>.</w:t>
      </w:r>
      <w:r>
        <w:rPr>
          <w:lang w:val="fr-FR"/>
        </w:rPr>
        <w:t>, par</w:t>
      </w:r>
      <w:r w:rsidR="004E3C47" w:rsidRPr="004E3C47">
        <w:rPr>
          <w:lang w:val="fr-FR"/>
        </w:rPr>
        <w:t>.</w:t>
      </w:r>
      <w:r>
        <w:rPr>
          <w:lang w:val="fr-FR"/>
        </w:rPr>
        <w:t xml:space="preserve"> 219 à 227, et </w:t>
      </w:r>
      <w:hyperlink r:id="rId17" w:history="1">
        <w:r w:rsidRPr="00A97D6E">
          <w:rPr>
            <w:rStyle w:val="Lienhypertexte"/>
            <w:lang w:val="fr-FR"/>
          </w:rPr>
          <w:t>CERD/C/EST/CO/10-11</w:t>
        </w:r>
      </w:hyperlink>
      <w:r>
        <w:rPr>
          <w:lang w:val="fr-FR"/>
        </w:rPr>
        <w:t>, par</w:t>
      </w:r>
      <w:r w:rsidR="004E3C47" w:rsidRPr="004E3C47">
        <w:rPr>
          <w:lang w:val="fr-FR"/>
        </w:rPr>
        <w:t>.</w:t>
      </w:r>
      <w:r>
        <w:rPr>
          <w:lang w:val="fr-FR"/>
        </w:rPr>
        <w:t xml:space="preserve"> 12</w:t>
      </w:r>
      <w:r w:rsidR="004E3C47" w:rsidRPr="004E3C4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6861A" w14:textId="7AD08630" w:rsidR="00896042" w:rsidRPr="00896042" w:rsidRDefault="00896042">
    <w:pPr>
      <w:pStyle w:val="En-tte"/>
    </w:pPr>
    <w:fldSimple w:instr=" TITLE  \* MERGEFORMAT ">
      <w:r w:rsidR="00927644">
        <w:t>CERD/C/EST/Q/12-13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FDB68" w14:textId="4A5FF439" w:rsidR="00896042" w:rsidRPr="00896042" w:rsidRDefault="00896042" w:rsidP="00896042">
    <w:pPr>
      <w:pStyle w:val="En-tte"/>
      <w:jc w:val="right"/>
    </w:pPr>
    <w:fldSimple w:instr=" TITLE  \* MERGEFORMAT ">
      <w:r w:rsidR="00927644">
        <w:t>CERD/C/EST/Q/12-13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C80"/>
    <w:rsid w:val="00017F94"/>
    <w:rsid w:val="00023842"/>
    <w:rsid w:val="000334F9"/>
    <w:rsid w:val="0007796D"/>
    <w:rsid w:val="000B7790"/>
    <w:rsid w:val="00111F2F"/>
    <w:rsid w:val="0014365E"/>
    <w:rsid w:val="00176178"/>
    <w:rsid w:val="001F525A"/>
    <w:rsid w:val="00215BEC"/>
    <w:rsid w:val="00223272"/>
    <w:rsid w:val="0024779E"/>
    <w:rsid w:val="00262657"/>
    <w:rsid w:val="003E18C1"/>
    <w:rsid w:val="00446FE5"/>
    <w:rsid w:val="00452396"/>
    <w:rsid w:val="004E3C47"/>
    <w:rsid w:val="004F094E"/>
    <w:rsid w:val="005505B7"/>
    <w:rsid w:val="00573BE5"/>
    <w:rsid w:val="00586ED3"/>
    <w:rsid w:val="00596AA9"/>
    <w:rsid w:val="00623CA8"/>
    <w:rsid w:val="00665C80"/>
    <w:rsid w:val="006E0451"/>
    <w:rsid w:val="00712E6E"/>
    <w:rsid w:val="0071601D"/>
    <w:rsid w:val="00780585"/>
    <w:rsid w:val="00783E9F"/>
    <w:rsid w:val="007A62E6"/>
    <w:rsid w:val="0080684C"/>
    <w:rsid w:val="00871C75"/>
    <w:rsid w:val="008776DC"/>
    <w:rsid w:val="00896042"/>
    <w:rsid w:val="00927644"/>
    <w:rsid w:val="009705C8"/>
    <w:rsid w:val="00984B29"/>
    <w:rsid w:val="009D5F1A"/>
    <w:rsid w:val="00A30353"/>
    <w:rsid w:val="00A97D6E"/>
    <w:rsid w:val="00AC3823"/>
    <w:rsid w:val="00AE323C"/>
    <w:rsid w:val="00B00181"/>
    <w:rsid w:val="00B765F7"/>
    <w:rsid w:val="00BA0CA9"/>
    <w:rsid w:val="00BB0B66"/>
    <w:rsid w:val="00BB19C3"/>
    <w:rsid w:val="00C02897"/>
    <w:rsid w:val="00C57713"/>
    <w:rsid w:val="00D3439C"/>
    <w:rsid w:val="00DB1831"/>
    <w:rsid w:val="00DC0149"/>
    <w:rsid w:val="00DD3BFD"/>
    <w:rsid w:val="00DF6678"/>
    <w:rsid w:val="00F21CE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3B6EF2"/>
  <w15:docId w15:val="{934A3AEE-DD9E-4219-8E5F-6B94CB1C4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97D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EST/12" TargetMode="External"/><Relationship Id="rId13" Type="http://schemas.openxmlformats.org/officeDocument/2006/relationships/hyperlink" Target="http://undocs.org/fr/CERD/C/EST/CO/10" TargetMode="External"/><Relationship Id="rId3" Type="http://schemas.openxmlformats.org/officeDocument/2006/relationships/hyperlink" Target="http://undocs.org/fr/CERD/C/EST/CO/10" TargetMode="External"/><Relationship Id="rId7" Type="http://schemas.openxmlformats.org/officeDocument/2006/relationships/hyperlink" Target="http://undocs.org/fr/CERD/C/EST/CO/10" TargetMode="External"/><Relationship Id="rId12" Type="http://schemas.openxmlformats.org/officeDocument/2006/relationships/hyperlink" Target="http://undocs.org/fr/CERD/C/EST/12" TargetMode="External"/><Relationship Id="rId17" Type="http://schemas.openxmlformats.org/officeDocument/2006/relationships/hyperlink" Target="http://undocs.org/fr/CERD/C/EST/CO/10" TargetMode="External"/><Relationship Id="rId2" Type="http://schemas.openxmlformats.org/officeDocument/2006/relationships/hyperlink" Target="http://undocs.org/fr/CERD/C/EST/12" TargetMode="External"/><Relationship Id="rId16" Type="http://schemas.openxmlformats.org/officeDocument/2006/relationships/hyperlink" Target="http://undocs.org/fr/CERD/C/EST/12" TargetMode="External"/><Relationship Id="rId1" Type="http://schemas.openxmlformats.org/officeDocument/2006/relationships/hyperlink" Target="http://undocs.org/fr/A/65/18" TargetMode="External"/><Relationship Id="rId6" Type="http://schemas.openxmlformats.org/officeDocument/2006/relationships/hyperlink" Target="http://undocs.org/fr/CERD/C/EST/12" TargetMode="External"/><Relationship Id="rId11" Type="http://schemas.openxmlformats.org/officeDocument/2006/relationships/hyperlink" Target="http://undocs.org/fr/CERD/C/EST/CO/10" TargetMode="External"/><Relationship Id="rId5" Type="http://schemas.openxmlformats.org/officeDocument/2006/relationships/hyperlink" Target="http://undocs.org/fr/CERD/C/EST/CO/10" TargetMode="External"/><Relationship Id="rId15" Type="http://schemas.openxmlformats.org/officeDocument/2006/relationships/hyperlink" Target="http://undocs.org/fr/CERD/C/EST/CO/10" TargetMode="External"/><Relationship Id="rId10" Type="http://schemas.openxmlformats.org/officeDocument/2006/relationships/hyperlink" Target="http://undocs.org/fr/CERD/C/EST/12" TargetMode="External"/><Relationship Id="rId4" Type="http://schemas.openxmlformats.org/officeDocument/2006/relationships/hyperlink" Target="http://undocs.org/fr/CERD/C/EST/12" TargetMode="External"/><Relationship Id="rId9" Type="http://schemas.openxmlformats.org/officeDocument/2006/relationships/hyperlink" Target="http://undocs.org/fr/CERD/C/EST/CO/10" TargetMode="External"/><Relationship Id="rId14" Type="http://schemas.openxmlformats.org/officeDocument/2006/relationships/hyperlink" Target="http://undocs.org/fr/CERD/C/EST/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1028</Words>
  <Characters>7199</Characters>
  <Application>Microsoft Office Word</Application>
  <DocSecurity>0</DocSecurity>
  <Lines>479</Lines>
  <Paragraphs>175</Paragraphs>
  <ScaleCrop>false</ScaleCrop>
  <HeadingPairs>
    <vt:vector size="2" baseType="variant">
      <vt:variant>
        <vt:lpstr>Titre</vt:lpstr>
      </vt:variant>
      <vt:variant>
        <vt:i4>1</vt:i4>
      </vt:variant>
    </vt:vector>
  </HeadingPairs>
  <TitlesOfParts>
    <vt:vector size="1" baseType="lpstr">
      <vt:lpstr>CERD/C/EST/Q/12-13</vt:lpstr>
    </vt:vector>
  </TitlesOfParts>
  <Company>DCM</Company>
  <LinksUpToDate>false</LinksUpToDate>
  <CharactersWithSpaces>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CERD/C/EST/Q/12-13</dc:title>
  <dc:subject/>
  <dc:creator>Maud DARICHE</dc:creator>
  <cp:keywords/>
  <cp:lastModifiedBy>Maud Dariche</cp:lastModifiedBy>
  <cp:revision>3</cp:revision>
  <cp:lastPrinted>2022-03-31T12:56:00Z</cp:lastPrinted>
  <dcterms:created xsi:type="dcterms:W3CDTF">2022-03-31T12:56:00Z</dcterms:created>
  <dcterms:modified xsi:type="dcterms:W3CDTF">2022-03-31T12:57:00Z</dcterms:modified>
</cp:coreProperties>
</file>