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071" w:rsidRDefault="00436071">
      <w:pPr>
        <w:spacing w:line="60" w:lineRule="exact"/>
        <w:rPr>
          <w:sz w:val="6"/>
        </w:rPr>
        <w:sectPr w:rsidR="00436071">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436071" w:rsidRDefault="00436071">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rPr>
          <w:rFonts w:hint="eastAsia"/>
        </w:rPr>
        <w:t>消除对妇女歧视委员会</w:t>
      </w:r>
    </w:p>
    <w:p w:rsidR="00436071" w:rsidRDefault="00436071">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tab/>
      </w:r>
      <w:r>
        <w:tab/>
      </w:r>
      <w:r>
        <w:rPr>
          <w:rFonts w:hint="eastAsia"/>
        </w:rPr>
        <w:t>审议各缔约国根据《消除对妇女一切形式歧视公约》第18条提交的报告</w:t>
      </w:r>
    </w:p>
    <w:p w:rsidR="00436071" w:rsidRDefault="00436071">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tab/>
      </w:r>
      <w:r>
        <w:tab/>
      </w:r>
      <w:r>
        <w:rPr>
          <w:rFonts w:hint="eastAsia"/>
        </w:rPr>
        <w:t>缔约国的第二、三、四和五次合并定期报告</w:t>
      </w:r>
    </w:p>
    <w:p w:rsidR="00436071" w:rsidRDefault="00436071">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 xml:space="preserve">加蓬 </w:t>
      </w:r>
      <w:r>
        <w:rPr>
          <w:rFonts w:hint="eastAsia"/>
          <w:vertAlign w:val="superscript"/>
        </w:rPr>
        <w:t>*</w:t>
      </w:r>
    </w:p>
    <w:p w:rsidR="00436071" w:rsidRDefault="00436071">
      <w:pPr>
        <w:framePr w:w="9792" w:h="432" w:hSpace="180" w:wrap="around" w:hAnchor="page" w:x="1210" w:yAlign="bottom"/>
        <w:spacing w:line="100" w:lineRule="exact"/>
        <w:rPr>
          <w:sz w:val="10"/>
        </w:rPr>
      </w:pPr>
    </w:p>
    <w:p w:rsidR="00436071" w:rsidRDefault="00436071">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436071" w:rsidRDefault="00436071">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sz w:val="18"/>
        </w:rPr>
      </w:pPr>
      <w:r>
        <w:rPr>
          <w:sz w:val="18"/>
        </w:rPr>
        <w:tab/>
      </w:r>
      <w:r>
        <w:rPr>
          <w:sz w:val="18"/>
          <w:vertAlign w:val="superscript"/>
        </w:rPr>
        <w:t>*</w:t>
      </w:r>
      <w:r>
        <w:rPr>
          <w:sz w:val="18"/>
        </w:rPr>
        <w:tab/>
      </w:r>
      <w:r>
        <w:rPr>
          <w:rFonts w:hint="eastAsia"/>
          <w:sz w:val="18"/>
        </w:rPr>
        <w:t>本文件未经正式编辑而印发。加蓬政府的初次报告见委员会在其第八次会议上审议的CEDAW/C/5/A</w:t>
      </w:r>
      <w:r>
        <w:rPr>
          <w:sz w:val="18"/>
        </w:rPr>
        <w:t>dd.54</w:t>
      </w:r>
      <w:r>
        <w:rPr>
          <w:rFonts w:hint="eastAsia"/>
          <w:sz w:val="18"/>
        </w:rPr>
        <w:t>号文件。</w:t>
      </w:r>
    </w:p>
    <w:p w:rsidR="00436071" w:rsidRDefault="00436071">
      <w:pPr>
        <w:pStyle w:val="SingleTxt"/>
      </w:pPr>
    </w:p>
    <w:p w:rsidR="00436071" w:rsidRDefault="00436071">
      <w:pPr>
        <w:pStyle w:val="SingleTxt"/>
      </w:pPr>
      <w:r>
        <w:t xml:space="preserve"> </w:t>
      </w:r>
    </w:p>
    <w:p w:rsidR="00436071" w:rsidRDefault="00436071">
      <w:pPr>
        <w:pStyle w:val="SingleTxt"/>
      </w:pPr>
    </w:p>
    <w:p w:rsidR="00436071" w:rsidRDefault="00436071">
      <w:pPr>
        <w:pStyle w:val="SingleTxt"/>
      </w:pPr>
    </w:p>
    <w:p w:rsidR="00436071" w:rsidRDefault="00436071">
      <w:pPr>
        <w:pStyle w:val="SingleTxt"/>
      </w:pPr>
    </w:p>
    <w:p w:rsidR="00436071" w:rsidRDefault="00436071">
      <w:pPr>
        <w:pStyle w:val="SingleTxt"/>
      </w:pPr>
    </w:p>
    <w:p w:rsidR="00436071" w:rsidRDefault="00436071">
      <w:pPr>
        <w:pStyle w:val="SingleTxt"/>
      </w:pPr>
    </w:p>
    <w:p w:rsidR="00436071" w:rsidRDefault="00436071">
      <w:pPr>
        <w:pStyle w:val="SingleTxt"/>
      </w:pPr>
    </w:p>
    <w:p w:rsidR="00436071" w:rsidRDefault="00436071">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ab/>
      </w:r>
      <w:r>
        <w:rPr>
          <w:rFonts w:hint="eastAsia"/>
        </w:rPr>
        <w:tab/>
        <w:t>导言</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加蓬于1988年6月14日提交了初次报告（CEDAW C/SR/134），联合国消除对妇女歧视委员会已于1989年2月21日在其第134次会议上对其进行了审查。加蓬继之提交加蓬执行《消除对妇女一切形式歧视公约》情况的第二、三、四和五次定期报告。</w:t>
      </w:r>
    </w:p>
    <w:p w:rsidR="00436071" w:rsidRDefault="00436071">
      <w:pPr>
        <w:pStyle w:val="SingleTxt"/>
        <w:rPr>
          <w:rFonts w:hint="eastAsia"/>
        </w:rPr>
      </w:pPr>
      <w:r>
        <w:rPr>
          <w:rFonts w:hint="eastAsia"/>
        </w:rPr>
        <w:tab/>
        <w:t>本报告包括三个部分：</w:t>
      </w:r>
    </w:p>
    <w:p w:rsidR="00436071" w:rsidRDefault="00436071">
      <w:pPr>
        <w:pStyle w:val="SingleTxt"/>
        <w:rPr>
          <w:rFonts w:hint="eastAsia"/>
        </w:rPr>
      </w:pPr>
      <w:r>
        <w:rPr>
          <w:rFonts w:hint="eastAsia"/>
        </w:rPr>
        <w:tab/>
        <w:t>-</w:t>
      </w:r>
      <w:r>
        <w:rPr>
          <w:rFonts w:hint="eastAsia"/>
        </w:rPr>
        <w:tab/>
        <w:t>与加蓬采取的促进男女平等政策有关的国家一般情况；</w:t>
      </w:r>
    </w:p>
    <w:p w:rsidR="00436071" w:rsidRDefault="00436071">
      <w:pPr>
        <w:pStyle w:val="SingleTxt"/>
        <w:rPr>
          <w:rFonts w:hint="eastAsia"/>
        </w:rPr>
      </w:pPr>
      <w:r>
        <w:rPr>
          <w:rFonts w:hint="eastAsia"/>
        </w:rPr>
        <w:tab/>
        <w:t>-</w:t>
      </w:r>
      <w:r>
        <w:rPr>
          <w:rFonts w:hint="eastAsia"/>
        </w:rPr>
        <w:tab/>
        <w:t>逐条论述在执行上述公约中取得的进步和遇到的困难；</w:t>
      </w:r>
    </w:p>
    <w:p w:rsidR="00436071" w:rsidRDefault="00436071">
      <w:pPr>
        <w:pStyle w:val="SingleTxt"/>
        <w:rPr>
          <w:rFonts w:hint="eastAsia"/>
        </w:rPr>
      </w:pPr>
      <w:r>
        <w:rPr>
          <w:rFonts w:hint="eastAsia"/>
        </w:rPr>
        <w:tab/>
        <w:t>-</w:t>
      </w:r>
      <w:r>
        <w:rPr>
          <w:rFonts w:hint="eastAsia"/>
        </w:rPr>
        <w:tab/>
        <w:t>结论。</w:t>
      </w:r>
    </w:p>
    <w:p w:rsidR="00436071" w:rsidRDefault="00436071">
      <w:pPr>
        <w:pStyle w:val="SingleTxt"/>
        <w:rPr>
          <w:rFonts w:hint="eastAsia"/>
        </w:rPr>
      </w:pPr>
      <w:r>
        <w:rPr>
          <w:rFonts w:hint="eastAsia"/>
        </w:rPr>
        <w:tab/>
        <w:t>本报告是家庭、保护儿童和提高妇女地位部、非政府组织、工会、妇女协会和其他部委合作的成果。</w:t>
      </w:r>
    </w:p>
    <w:p w:rsidR="00436071" w:rsidRDefault="00436071">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一.</w:t>
      </w:r>
      <w:r>
        <w:rPr>
          <w:rFonts w:hint="eastAsia"/>
        </w:rPr>
        <w:tab/>
        <w:t>一般情况</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加蓬位于几内亚湾，横跨赤道，面积267 667平方公里，北与喀麦隆交界，西北与赤道几内亚接壤，东、南与刚果共和国为邻，西濒大西洋。</w:t>
      </w:r>
    </w:p>
    <w:p w:rsidR="00436071" w:rsidRDefault="00436071">
      <w:pPr>
        <w:pStyle w:val="SingleTxt"/>
        <w:rPr>
          <w:rFonts w:hint="eastAsia"/>
        </w:rPr>
      </w:pPr>
      <w:r>
        <w:rPr>
          <w:rFonts w:hint="eastAsia"/>
        </w:rPr>
        <w:tab/>
        <w:t>加蓬人口稀少，常住人口为120万。尽管在社会文化方面存在着因循守旧的思想，但加蓬认识到占人口52%的妇女所具有的重要性。</w:t>
      </w:r>
    </w:p>
    <w:p w:rsidR="00436071" w:rsidRDefault="00436071">
      <w:pPr>
        <w:pStyle w:val="SingleTxt"/>
        <w:rPr>
          <w:rFonts w:hint="eastAsia"/>
        </w:rPr>
      </w:pPr>
      <w:r>
        <w:rPr>
          <w:rFonts w:hint="eastAsia"/>
        </w:rPr>
        <w:tab/>
        <w:t>为此，加蓬于1982年7月22日批准了《消除对妇女一切形式歧视公约》，并于1983年1月21日开始执行。</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法律方面：</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w:t>
      </w:r>
      <w:r>
        <w:rPr>
          <w:rFonts w:hint="eastAsia"/>
        </w:rPr>
        <w:tab/>
        <w:t>1990年，加蓬将所有公民不论性别一律平等的原则写入了加蓬宪法；</w:t>
      </w:r>
    </w:p>
    <w:p w:rsidR="00436071" w:rsidRDefault="00436071">
      <w:pPr>
        <w:pStyle w:val="SingleTxt"/>
        <w:ind w:left="2115" w:hanging="431"/>
        <w:rPr>
          <w:rFonts w:hint="eastAsia"/>
        </w:rPr>
      </w:pPr>
      <w:r>
        <w:rPr>
          <w:rFonts w:hint="eastAsia"/>
        </w:rPr>
        <w:tab/>
        <w:t>-</w:t>
      </w:r>
      <w:r>
        <w:rPr>
          <w:rFonts w:hint="eastAsia"/>
        </w:rPr>
        <w:tab/>
        <w:t>同年，废除了禁止使用避孕药具的1969年10月4日第64/69号法令，《自由宪章》承认了避孕权利；</w:t>
      </w:r>
    </w:p>
    <w:p w:rsidR="00436071" w:rsidRDefault="00436071">
      <w:pPr>
        <w:pStyle w:val="SingleTxt"/>
        <w:ind w:left="2115" w:hanging="431"/>
        <w:rPr>
          <w:rFonts w:hint="eastAsia"/>
        </w:rPr>
      </w:pPr>
      <w:r>
        <w:rPr>
          <w:rFonts w:hint="eastAsia"/>
        </w:rPr>
        <w:t>-</w:t>
      </w:r>
      <w:r>
        <w:rPr>
          <w:rFonts w:hint="eastAsia"/>
        </w:rPr>
        <w:tab/>
        <w:t>起草了加蓬妇女地位的社会－法律研究报告，该报告重点揭示了对妇女的歧视性规定；</w:t>
      </w:r>
    </w:p>
    <w:p w:rsidR="00436071" w:rsidRDefault="00436071">
      <w:pPr>
        <w:pStyle w:val="SingleTxt"/>
        <w:ind w:left="2115" w:hanging="431"/>
        <w:rPr>
          <w:rFonts w:hint="eastAsia"/>
        </w:rPr>
      </w:pPr>
      <w:r>
        <w:rPr>
          <w:rFonts w:hint="eastAsia"/>
        </w:rPr>
        <w:t>-</w:t>
      </w:r>
      <w:r>
        <w:rPr>
          <w:rFonts w:hint="eastAsia"/>
        </w:rPr>
        <w:tab/>
        <w:t>通过了确定给妇女、母亲和儿童提供健康和社会保护的某些措施的2000年8月18日第1/2000号法律，废除了上述第64/69号法令；</w:t>
      </w:r>
    </w:p>
    <w:p w:rsidR="00436071" w:rsidRDefault="00436071">
      <w:pPr>
        <w:pStyle w:val="SingleTxt"/>
        <w:ind w:left="2115" w:hanging="431"/>
        <w:rPr>
          <w:rFonts w:hint="eastAsia"/>
        </w:rPr>
      </w:pPr>
      <w:r>
        <w:rPr>
          <w:rFonts w:hint="eastAsia"/>
        </w:rPr>
        <w:t>-</w:t>
      </w:r>
      <w:r>
        <w:rPr>
          <w:rFonts w:hint="eastAsia"/>
        </w:rPr>
        <w:tab/>
        <w:t>通过了关于新国籍法的1999年7月20日第87/98号法律，新的国籍法有利于妇女和儿童。</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社会方面：</w:t>
      </w:r>
    </w:p>
    <w:p w:rsidR="00436071" w:rsidRDefault="00436071">
      <w:pPr>
        <w:pStyle w:val="SingleTxt"/>
        <w:spacing w:after="0" w:line="120" w:lineRule="exact"/>
        <w:rPr>
          <w:rFonts w:hint="eastAsia"/>
          <w:sz w:val="10"/>
        </w:rPr>
      </w:pPr>
    </w:p>
    <w:p w:rsidR="00436071" w:rsidRDefault="00436071">
      <w:pPr>
        <w:pStyle w:val="SingleTxt"/>
        <w:ind w:left="2115" w:hanging="431"/>
        <w:rPr>
          <w:rFonts w:hint="eastAsia"/>
        </w:rPr>
      </w:pPr>
      <w:r>
        <w:rPr>
          <w:rFonts w:hint="eastAsia"/>
        </w:rPr>
        <w:tab/>
        <w:t>-</w:t>
      </w:r>
      <w:r>
        <w:rPr>
          <w:rFonts w:hint="eastAsia"/>
        </w:rPr>
        <w:tab/>
        <w:t>启动了性别问题处理方法制度化进程；</w:t>
      </w:r>
    </w:p>
    <w:p w:rsidR="00436071" w:rsidRDefault="00436071">
      <w:pPr>
        <w:pStyle w:val="SingleTxt"/>
        <w:ind w:left="2115" w:hanging="431"/>
        <w:rPr>
          <w:rFonts w:hint="eastAsia"/>
        </w:rPr>
      </w:pPr>
      <w:r>
        <w:rPr>
          <w:rFonts w:hint="eastAsia"/>
        </w:rPr>
        <w:t>-</w:t>
      </w:r>
      <w:r>
        <w:rPr>
          <w:rFonts w:hint="eastAsia"/>
        </w:rPr>
        <w:tab/>
        <w:t>捍卫妇女权利的团体和非政府组织应运而生；</w:t>
      </w:r>
    </w:p>
    <w:p w:rsidR="00436071" w:rsidRDefault="00436071">
      <w:pPr>
        <w:pStyle w:val="SingleTxt"/>
        <w:ind w:left="2115" w:hanging="431"/>
        <w:rPr>
          <w:rFonts w:hint="eastAsia"/>
        </w:rPr>
      </w:pPr>
      <w:r>
        <w:rPr>
          <w:rFonts w:hint="eastAsia"/>
        </w:rPr>
        <w:t>-</w:t>
      </w:r>
      <w:r>
        <w:rPr>
          <w:rFonts w:hint="eastAsia"/>
        </w:rPr>
        <w:tab/>
        <w:t>家庭、保护儿童和提高妇女地位部与联合国开发计划署协同建立了妇女权利与平等观察站，该站的目标是捍卫妇女和儿童的权利，使一些歧视性规定符合公约的精神；</w:t>
      </w:r>
    </w:p>
    <w:p w:rsidR="00436071" w:rsidRDefault="00436071">
      <w:pPr>
        <w:pStyle w:val="SingleTxt"/>
        <w:ind w:left="2115" w:hanging="431"/>
        <w:rPr>
          <w:rFonts w:hint="eastAsia"/>
        </w:rPr>
      </w:pPr>
      <w:r>
        <w:rPr>
          <w:rFonts w:hint="eastAsia"/>
        </w:rPr>
        <w:tab/>
        <w:t>-</w:t>
      </w:r>
      <w:r>
        <w:rPr>
          <w:rFonts w:hint="eastAsia"/>
        </w:rPr>
        <w:tab/>
        <w:t>建立了非政府组织与妇女协会协调委员会，该委员会是家庭、保护儿童和提高妇女地位部的合作伙伴。</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政治方面：</w:t>
      </w:r>
    </w:p>
    <w:p w:rsidR="00436071" w:rsidRDefault="00436071">
      <w:pPr>
        <w:pStyle w:val="SingleTxt"/>
        <w:spacing w:after="0" w:line="120" w:lineRule="exact"/>
        <w:ind w:left="2058" w:hanging="794"/>
        <w:rPr>
          <w:rFonts w:hint="eastAsia"/>
          <w:sz w:val="10"/>
        </w:rPr>
      </w:pPr>
    </w:p>
    <w:p w:rsidR="00436071" w:rsidRDefault="00436071">
      <w:pPr>
        <w:pStyle w:val="SingleTxt"/>
        <w:ind w:left="2115" w:hanging="431"/>
        <w:rPr>
          <w:rFonts w:hint="eastAsia"/>
        </w:rPr>
      </w:pPr>
      <w:r>
        <w:rPr>
          <w:rFonts w:hint="eastAsia"/>
        </w:rPr>
        <w:tab/>
        <w:t>-</w:t>
      </w:r>
      <w:r>
        <w:rPr>
          <w:rFonts w:hint="eastAsia"/>
        </w:rPr>
        <w:tab/>
        <w:t>关于政党的1996年6月6日第24/96号法律，规定各政党对男女参与政治生活应一视同仁；</w:t>
      </w:r>
    </w:p>
    <w:p w:rsidR="00436071" w:rsidRDefault="00436071">
      <w:pPr>
        <w:pStyle w:val="SingleTxt"/>
        <w:ind w:left="2115" w:hanging="431"/>
        <w:rPr>
          <w:rFonts w:hint="eastAsia"/>
        </w:rPr>
      </w:pPr>
      <w:r>
        <w:rPr>
          <w:rFonts w:hint="eastAsia"/>
        </w:rPr>
        <w:tab/>
        <w:t>-</w:t>
      </w:r>
      <w:r>
        <w:rPr>
          <w:rFonts w:hint="eastAsia"/>
        </w:rPr>
        <w:tab/>
        <w:t>同样，关于政治选举的第7/96号法律，规定不得在这方面实行歧视。</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经济方面：</w:t>
      </w:r>
    </w:p>
    <w:p w:rsidR="00436071" w:rsidRDefault="00436071">
      <w:pPr>
        <w:pStyle w:val="SingleTxt"/>
        <w:spacing w:after="0" w:line="120" w:lineRule="exact"/>
        <w:rPr>
          <w:rFonts w:hint="eastAsia"/>
          <w:sz w:val="10"/>
        </w:rPr>
      </w:pPr>
    </w:p>
    <w:p w:rsidR="00436071" w:rsidRDefault="00436071">
      <w:pPr>
        <w:pStyle w:val="SingleTxt"/>
        <w:spacing w:line="350" w:lineRule="exact"/>
        <w:rPr>
          <w:rFonts w:hint="eastAsia"/>
        </w:rPr>
      </w:pPr>
      <w:r>
        <w:rPr>
          <w:rFonts w:hint="eastAsia"/>
        </w:rPr>
        <w:tab/>
        <w:t>为使妇女能得到信贷，政府出台了多个项目，特别是：</w:t>
      </w:r>
    </w:p>
    <w:p w:rsidR="00436071" w:rsidRDefault="00436071">
      <w:pPr>
        <w:pStyle w:val="SingleTxt"/>
        <w:ind w:left="2115" w:hanging="431"/>
        <w:rPr>
          <w:rFonts w:hint="eastAsia"/>
        </w:rPr>
      </w:pPr>
      <w:r>
        <w:rPr>
          <w:rFonts w:hint="eastAsia"/>
        </w:rPr>
        <w:tab/>
        <w:t>-</w:t>
      </w:r>
      <w:r>
        <w:rPr>
          <w:rFonts w:hint="eastAsia"/>
        </w:rPr>
        <w:tab/>
        <w:t>促进加蓬发展（Promo Gabon）；</w:t>
      </w:r>
    </w:p>
    <w:p w:rsidR="00436071" w:rsidRDefault="00436071">
      <w:pPr>
        <w:pStyle w:val="SingleTxt"/>
        <w:ind w:left="2115" w:hanging="431"/>
        <w:rPr>
          <w:rFonts w:hint="eastAsia"/>
        </w:rPr>
      </w:pPr>
      <w:r>
        <w:rPr>
          <w:rFonts w:hint="eastAsia"/>
        </w:rPr>
        <w:tab/>
        <w:t>-</w:t>
      </w:r>
      <w:r>
        <w:rPr>
          <w:rFonts w:hint="eastAsia"/>
        </w:rPr>
        <w:tab/>
        <w:t>援助与保障基金；</w:t>
      </w:r>
    </w:p>
    <w:p w:rsidR="00436071" w:rsidRDefault="00436071">
      <w:pPr>
        <w:pStyle w:val="SingleTxt"/>
        <w:ind w:left="2115" w:hanging="431"/>
        <w:rPr>
          <w:rFonts w:hint="eastAsia"/>
        </w:rPr>
      </w:pPr>
      <w:r>
        <w:rPr>
          <w:rFonts w:hint="eastAsia"/>
        </w:rPr>
        <w:tab/>
        <w:t>-</w:t>
      </w:r>
      <w:r>
        <w:rPr>
          <w:rFonts w:hint="eastAsia"/>
        </w:rPr>
        <w:tab/>
        <w:t>加蓬创业；</w:t>
      </w:r>
    </w:p>
    <w:p w:rsidR="00436071" w:rsidRDefault="00436071">
      <w:pPr>
        <w:pStyle w:val="SingleTxt"/>
        <w:ind w:left="2115" w:hanging="431"/>
        <w:rPr>
          <w:rFonts w:hint="eastAsia"/>
        </w:rPr>
      </w:pPr>
      <w:r>
        <w:rPr>
          <w:rFonts w:hint="eastAsia"/>
        </w:rPr>
        <w:tab/>
        <w:t>-</w:t>
      </w:r>
      <w:r>
        <w:rPr>
          <w:rFonts w:hint="eastAsia"/>
        </w:rPr>
        <w:tab/>
        <w:t>加蓬企业网，它负责培养经济促进者；</w:t>
      </w:r>
    </w:p>
    <w:p w:rsidR="00436071" w:rsidRDefault="00436071">
      <w:pPr>
        <w:pStyle w:val="SingleTxt"/>
        <w:ind w:left="2115" w:hanging="431"/>
        <w:rPr>
          <w:rFonts w:hint="eastAsia"/>
        </w:rPr>
      </w:pPr>
      <w:r>
        <w:rPr>
          <w:rFonts w:hint="eastAsia"/>
        </w:rPr>
        <w:tab/>
        <w:t>-</w:t>
      </w:r>
      <w:r>
        <w:rPr>
          <w:rFonts w:hint="eastAsia"/>
        </w:rPr>
        <w:tab/>
        <w:t>经济扩张基金。</w:t>
      </w:r>
    </w:p>
    <w:p w:rsidR="00436071" w:rsidRDefault="00436071">
      <w:pPr>
        <w:pStyle w:val="SingleTxt"/>
        <w:spacing w:line="350" w:lineRule="exact"/>
        <w:rPr>
          <w:rFonts w:hint="eastAsia"/>
        </w:rPr>
      </w:pPr>
      <w:r>
        <w:rPr>
          <w:rFonts w:hint="eastAsia"/>
        </w:rPr>
        <w:tab/>
        <w:t>另一方面，为了绕过银行信贷方面的困难，妇女本人通过养老储金会和乡村储蓄所参加了联合金融活动。</w:t>
      </w:r>
    </w:p>
    <w:p w:rsidR="00436071" w:rsidRDefault="00436071">
      <w:pPr>
        <w:pStyle w:val="SingleTxt"/>
        <w:spacing w:line="350" w:lineRule="exact"/>
        <w:rPr>
          <w:rFonts w:hint="eastAsia"/>
        </w:rPr>
      </w:pPr>
      <w:r>
        <w:rPr>
          <w:rFonts w:hint="eastAsia"/>
        </w:rPr>
        <w:tab/>
        <w:t>然而，这一系列措施有时遇到了社会文化方面的一些因循守旧思想的抵制，执行起来有点困难。</w:t>
      </w:r>
    </w:p>
    <w:p w:rsidR="00436071" w:rsidRDefault="00436071">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二.</w:t>
      </w:r>
      <w:r>
        <w:rPr>
          <w:rFonts w:hint="eastAsia"/>
        </w:rPr>
        <w:tab/>
        <w:t>执行公约中取得的进步和遇到的困难</w:t>
      </w:r>
    </w:p>
    <w:p w:rsidR="00436071" w:rsidRDefault="00436071">
      <w:pPr>
        <w:pStyle w:val="SingleTxt"/>
        <w:spacing w:after="0" w:line="120" w:lineRule="exact"/>
        <w:rPr>
          <w:rFonts w:hint="eastAsia"/>
          <w:sz w:val="10"/>
        </w:rPr>
      </w:pP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第一条：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对歧视妇女的定义</w:t>
      </w:r>
    </w:p>
    <w:p w:rsidR="00436071" w:rsidRDefault="00436071">
      <w:pPr>
        <w:pStyle w:val="SingleTxt"/>
        <w:spacing w:after="0" w:line="120" w:lineRule="exact"/>
        <w:rPr>
          <w:rFonts w:hint="eastAsia"/>
          <w:sz w:val="10"/>
        </w:rPr>
      </w:pPr>
    </w:p>
    <w:p w:rsidR="00436071" w:rsidRDefault="00436071">
      <w:pPr>
        <w:pStyle w:val="SingleTxt"/>
        <w:spacing w:line="350" w:lineRule="exact"/>
      </w:pPr>
      <w:r>
        <w:rPr>
          <w:rFonts w:hint="eastAsia"/>
        </w:rPr>
        <w:tab/>
        <w:t>加蓬共和国完全同意公约第一条对“歧视”一词的定义，然而它认为不将其列入加蓬宪法是恰当的，符合公约精神的基本法已经包含了男女平等的原则，它更希望这一原则体现在行动中。</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第二条：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消除歧视</w:t>
      </w:r>
    </w:p>
    <w:p w:rsidR="00436071" w:rsidRDefault="00436071">
      <w:pPr>
        <w:pStyle w:val="SingleTxt"/>
        <w:spacing w:after="0" w:line="120" w:lineRule="exact"/>
        <w:rPr>
          <w:rFonts w:hint="eastAsia"/>
          <w:sz w:val="10"/>
        </w:rPr>
      </w:pPr>
    </w:p>
    <w:p w:rsidR="00436071" w:rsidRDefault="00436071">
      <w:pPr>
        <w:pStyle w:val="SingleTxt"/>
        <w:spacing w:line="340" w:lineRule="exact"/>
        <w:rPr>
          <w:rFonts w:hint="eastAsia"/>
        </w:rPr>
      </w:pPr>
      <w:r>
        <w:rPr>
          <w:rFonts w:hint="eastAsia"/>
        </w:rPr>
        <w:tab/>
        <w:t>加蓬共和国十分重视诸如《人权和公民权宣言》（1789）、《世界人权宣言》（1948）、《非洲人权和人民权利宪章》（1981）等国际文书，它一方面努力保证国家的法律与公约精神相统一，另一方面注意严格执行其宪法中认可的平等原则。</w:t>
      </w:r>
    </w:p>
    <w:p w:rsidR="00436071" w:rsidRDefault="00436071">
      <w:pPr>
        <w:pStyle w:val="SingleTxt"/>
        <w:spacing w:line="340" w:lineRule="exact"/>
        <w:rPr>
          <w:rFonts w:hint="eastAsia"/>
        </w:rPr>
      </w:pPr>
      <w:r>
        <w:rPr>
          <w:rFonts w:hint="eastAsia"/>
        </w:rPr>
        <w:tab/>
        <w:t>因此，这里略举几例：</w:t>
      </w:r>
    </w:p>
    <w:p w:rsidR="00436071" w:rsidRDefault="00436071">
      <w:pPr>
        <w:pStyle w:val="SingleTxt"/>
        <w:spacing w:line="340" w:lineRule="exact"/>
        <w:ind w:left="2115" w:hanging="431"/>
        <w:rPr>
          <w:rFonts w:hint="eastAsia"/>
        </w:rPr>
      </w:pPr>
      <w:r>
        <w:rPr>
          <w:rFonts w:hint="eastAsia"/>
        </w:rPr>
        <w:tab/>
      </w:r>
      <w:r>
        <w:rPr>
          <w:rFonts w:hint="eastAsia"/>
        </w:rPr>
        <w:sym w:font="Symbol" w:char="F0B7"/>
      </w:r>
      <w:r>
        <w:rPr>
          <w:rFonts w:hint="eastAsia"/>
        </w:rPr>
        <w:tab/>
        <w:t>在司法方面，妇女有权向某个法院提起申诉，控告一项对她造成不利的法律法规或条例违反宪法（宪法第86条）。在这种情况下，法官必须将案卷移交宪法法院，首先由宪法法院作出裁定。</w:t>
      </w:r>
    </w:p>
    <w:p w:rsidR="00436071" w:rsidRDefault="00436071">
      <w:pPr>
        <w:pStyle w:val="SingleTxt"/>
        <w:spacing w:line="340" w:lineRule="exact"/>
        <w:rPr>
          <w:rFonts w:hint="eastAsia"/>
        </w:rPr>
      </w:pPr>
      <w:r>
        <w:rPr>
          <w:rFonts w:hint="eastAsia"/>
        </w:rPr>
        <w:tab/>
        <w:t>一般说来，司法系统一直在努力以一视同仁的方式执行现行法律。</w:t>
      </w:r>
    </w:p>
    <w:p w:rsidR="00436071" w:rsidRDefault="00436071">
      <w:pPr>
        <w:pStyle w:val="SingleTxt"/>
        <w:spacing w:line="340" w:lineRule="exact"/>
        <w:rPr>
          <w:rFonts w:hint="eastAsia"/>
        </w:rPr>
      </w:pPr>
      <w:r>
        <w:rPr>
          <w:rFonts w:hint="eastAsia"/>
        </w:rPr>
        <w:tab/>
        <w:t>上诉途径对男女并无不同。实际上，当妇女受到损害时，她可以对法院的任何裁决提出上诉。</w:t>
      </w:r>
    </w:p>
    <w:p w:rsidR="00436071" w:rsidRDefault="00436071">
      <w:pPr>
        <w:pStyle w:val="SingleTxt"/>
        <w:spacing w:line="340" w:lineRule="exact"/>
        <w:rPr>
          <w:rFonts w:hint="eastAsia"/>
        </w:rPr>
      </w:pPr>
      <w:r>
        <w:rPr>
          <w:rFonts w:hint="eastAsia"/>
        </w:rPr>
        <w:tab/>
        <w:t>实际上，自1996年以来，加蓬对其立法中的一些歧视性影响展开了一些研究。从事的研究主要有以下方面：</w:t>
      </w:r>
    </w:p>
    <w:p w:rsidR="00436071" w:rsidRDefault="00436071">
      <w:pPr>
        <w:pStyle w:val="SingleTxt"/>
        <w:spacing w:line="340" w:lineRule="exact"/>
        <w:ind w:left="2115" w:hanging="431"/>
        <w:rPr>
          <w:rFonts w:hint="eastAsia"/>
        </w:rPr>
      </w:pPr>
      <w:r>
        <w:rPr>
          <w:rFonts w:hint="eastAsia"/>
        </w:rPr>
        <w:tab/>
        <w:t>-</w:t>
      </w:r>
      <w:r>
        <w:rPr>
          <w:rFonts w:hint="eastAsia"/>
        </w:rPr>
        <w:tab/>
        <w:t>《妇女权利：关于民法与宪法保持一致的建议》，这项研究是加蓬女法律工作者协会与美国驻加蓬大使馆共同进行的；</w:t>
      </w:r>
    </w:p>
    <w:p w:rsidR="00436071" w:rsidRDefault="00436071">
      <w:pPr>
        <w:pStyle w:val="SingleTxt"/>
        <w:spacing w:line="340" w:lineRule="exact"/>
        <w:ind w:left="2115" w:hanging="431"/>
        <w:rPr>
          <w:rFonts w:hint="eastAsia"/>
        </w:rPr>
      </w:pPr>
      <w:r>
        <w:rPr>
          <w:rFonts w:hint="eastAsia"/>
        </w:rPr>
        <w:tab/>
        <w:t>-</w:t>
      </w:r>
      <w:r>
        <w:rPr>
          <w:rFonts w:hint="eastAsia"/>
        </w:rPr>
        <w:tab/>
        <w:t>《加蓬妇女地位的社会－法律研究》，这项研究是由家庭、保护儿童和提高妇女地位部与联合国人口基金于1997年3月联合进行的；</w:t>
      </w:r>
    </w:p>
    <w:p w:rsidR="00436071" w:rsidRDefault="00436071">
      <w:pPr>
        <w:pStyle w:val="SingleTxt"/>
        <w:spacing w:line="340" w:lineRule="exact"/>
        <w:ind w:left="2115" w:hanging="431"/>
        <w:rPr>
          <w:rFonts w:hint="eastAsia"/>
        </w:rPr>
      </w:pPr>
      <w:r>
        <w:rPr>
          <w:rFonts w:hint="eastAsia"/>
        </w:rPr>
        <w:tab/>
        <w:t>-</w:t>
      </w:r>
      <w:r>
        <w:rPr>
          <w:rFonts w:hint="eastAsia"/>
        </w:rPr>
        <w:tab/>
        <w:t>《妇女与决策调查》，这项调查是由家庭、保护儿童和提高妇女地位部与联合国开发计划署于2000年7月联合进行的。</w:t>
      </w:r>
    </w:p>
    <w:p w:rsidR="00436071" w:rsidRDefault="00436071">
      <w:pPr>
        <w:pStyle w:val="SingleTxt"/>
        <w:spacing w:line="340" w:lineRule="exact"/>
        <w:ind w:left="2115" w:hanging="431"/>
        <w:rPr>
          <w:rFonts w:hint="eastAsia"/>
        </w:rPr>
      </w:pPr>
      <w:r>
        <w:rPr>
          <w:rFonts w:hint="eastAsia"/>
        </w:rPr>
        <w:tab/>
      </w:r>
      <w:r>
        <w:rPr>
          <w:rFonts w:hint="eastAsia"/>
        </w:rPr>
        <w:sym w:font="Symbol" w:char="F0B7"/>
      </w:r>
      <w:r>
        <w:rPr>
          <w:rFonts w:hint="eastAsia"/>
        </w:rPr>
        <w:tab/>
        <w:t>在行政方面也存在其他一些机制：</w:t>
      </w:r>
    </w:p>
    <w:p w:rsidR="00436071" w:rsidRDefault="00436071">
      <w:pPr>
        <w:pStyle w:val="SingleTxt"/>
        <w:spacing w:line="340" w:lineRule="exact"/>
        <w:rPr>
          <w:rFonts w:hint="eastAsia"/>
        </w:rPr>
      </w:pPr>
      <w:r>
        <w:rPr>
          <w:rFonts w:hint="eastAsia"/>
        </w:rPr>
        <w:tab/>
        <w:t>妇女可与负责解决各类角色间冲突的共和国调解员（目前是一位女性）联系。她还可以寻求家庭、保护儿童和提高妇女地位部的帮助，该部设有一个倾听意见和提供指导的单位。</w:t>
      </w:r>
    </w:p>
    <w:p w:rsidR="00436071" w:rsidRDefault="00436071">
      <w:pPr>
        <w:pStyle w:val="SingleTxt"/>
        <w:spacing w:line="340" w:lineRule="exact"/>
        <w:rPr>
          <w:rFonts w:hint="eastAsia"/>
        </w:rPr>
      </w:pPr>
      <w:r>
        <w:rPr>
          <w:rFonts w:hint="eastAsia"/>
        </w:rPr>
        <w:tab/>
        <w:t>另外还存在一个得到家庭和提高妇女地位国家委员会支持的协商框架，委员会的主要目标之一是提出政府有关家庭和妇女问题的行动方针、跟踪其实施情况并对此作出评估。</w:t>
      </w:r>
    </w:p>
    <w:p w:rsidR="00436071" w:rsidRDefault="00436071">
      <w:pPr>
        <w:pStyle w:val="SingleTxt"/>
        <w:spacing w:line="340" w:lineRule="exact"/>
        <w:rPr>
          <w:rFonts w:hint="eastAsia"/>
        </w:rPr>
      </w:pPr>
      <w:r>
        <w:rPr>
          <w:rFonts w:hint="eastAsia"/>
        </w:rPr>
        <w:tab/>
        <w:t>该委员会还负责保证落实在国内外为提高家庭和妇女地位举行的研讨会、讨论会和会议上通过的建议和决议，以及后续行动的采取；（关于成立家庭和提高妇女地位国家委员会及其权限和运作的第000298/PR/MFPF法令，第1章第3条。）1983年建立的负责保证提高妇女地位的政府机构——妇女状况国务秘书部（关于妇女状况国务秘书部的权限和组织的1983年12月2日第1666/PR号法令，）充分显示了它的重要性，于是在1999年2月升格为家庭和提高妇女地位部，该部后于2002年1月改为家庭、保护儿童和提高妇女地位部。</w:t>
      </w:r>
    </w:p>
    <w:p w:rsidR="00436071" w:rsidRDefault="00436071">
      <w:pPr>
        <w:pStyle w:val="SingleTxt"/>
        <w:spacing w:line="340" w:lineRule="exact"/>
        <w:rPr>
          <w:rFonts w:hint="eastAsia"/>
        </w:rPr>
      </w:pPr>
      <w:r>
        <w:rPr>
          <w:rFonts w:hint="eastAsia"/>
        </w:rPr>
        <w:tab/>
        <w:t>该部举办过多期论坛、研讨会和学习班，目的在于提高各社会阶层妇女的认识，使她们了解其在社会中的权利和义务，更好地与某些不利于她们充分发展的传统行为作斗争。</w:t>
      </w:r>
    </w:p>
    <w:p w:rsidR="00436071" w:rsidRDefault="00436071">
      <w:pPr>
        <w:pStyle w:val="SingleTxt"/>
        <w:spacing w:line="340" w:lineRule="exact"/>
        <w:rPr>
          <w:rFonts w:hint="eastAsia"/>
        </w:rPr>
      </w:pPr>
      <w:r>
        <w:rPr>
          <w:rFonts w:hint="eastAsia"/>
        </w:rPr>
        <w:tab/>
        <w:t>尽管政府和民间社团作出了努力，然而妇女在不少方面，无论在法律上还是在实践中，仍然受到种种歧视。</w:t>
      </w:r>
    </w:p>
    <w:p w:rsidR="00436071" w:rsidRDefault="00436071">
      <w:pPr>
        <w:pStyle w:val="SingleTxt"/>
        <w:spacing w:line="340" w:lineRule="exact"/>
        <w:rPr>
          <w:rFonts w:hint="eastAsia"/>
        </w:rPr>
      </w:pPr>
      <w:r>
        <w:rPr>
          <w:rFonts w:hint="eastAsia"/>
        </w:rPr>
        <w:tab/>
        <w:t>应该指出的是，《刑法》第270条规定了对丈夫和妻子重婚罪的惩处，而第178条第2款允许在婚姻过程中改变选择。在日常生活中，只有男子能在婚姻过程中改变选择。因此，妇女如果不想看到自己被丈夫抛弃或离婚，通常只得接受丈夫的决定。</w:t>
      </w:r>
    </w:p>
    <w:p w:rsidR="00436071" w:rsidRDefault="00436071">
      <w:pPr>
        <w:pStyle w:val="SingleTxt"/>
        <w:spacing w:line="340" w:lineRule="exact"/>
        <w:rPr>
          <w:rFonts w:hint="eastAsia"/>
        </w:rPr>
      </w:pPr>
      <w:r>
        <w:rPr>
          <w:rFonts w:hint="eastAsia"/>
        </w:rPr>
        <w:tab/>
        <w:t>另外还应该提一下第692条，该条规定，寡妇再婚时若无正当理由嫁到别的家庭而不嫁给已故丈夫的家庭成员，则剥夺其用益权。</w:t>
      </w:r>
    </w:p>
    <w:p w:rsidR="00436071" w:rsidRDefault="00436071">
      <w:pPr>
        <w:pStyle w:val="SingleTxt"/>
        <w:spacing w:line="340" w:lineRule="exact"/>
        <w:ind w:left="2115" w:hanging="431"/>
        <w:rPr>
          <w:rFonts w:hint="eastAsia"/>
        </w:rPr>
      </w:pPr>
      <w:r>
        <w:rPr>
          <w:rFonts w:hint="eastAsia"/>
        </w:rPr>
        <w:tab/>
      </w:r>
      <w:r>
        <w:rPr>
          <w:rFonts w:hint="eastAsia"/>
        </w:rPr>
        <w:sym w:font="Symbol" w:char="F0B7"/>
      </w:r>
      <w:r>
        <w:rPr>
          <w:rFonts w:hint="eastAsia"/>
        </w:rPr>
        <w:tab/>
        <w:t>在就业方面，宪法在其第1条第7款中规定：“每位公民都享有工作和就业的权利。对任何人不得因其出身、性别、种族或政治观点而损害其工作。”</w:t>
      </w:r>
    </w:p>
    <w:p w:rsidR="00436071" w:rsidRDefault="00436071">
      <w:pPr>
        <w:pStyle w:val="SingleTxt"/>
        <w:spacing w:line="340" w:lineRule="exact"/>
        <w:ind w:left="2115" w:hanging="431"/>
        <w:rPr>
          <w:rFonts w:hint="eastAsia"/>
        </w:rPr>
      </w:pPr>
      <w:r>
        <w:rPr>
          <w:rFonts w:hint="eastAsia"/>
        </w:rPr>
        <w:tab/>
      </w:r>
      <w:r>
        <w:rPr>
          <w:rFonts w:hint="eastAsia"/>
        </w:rPr>
        <w:tab/>
        <w:t>关于劳动法的1994年11月21日第3/94号法律在其第1和第9条中规定，所有劳动者（包括残疾人）在法律面前人人平等，享有同样的保护和同样的保障。禁止在就业和工作条件方面实行任何歧视，特别是基于种族、肤色、性别、宗教、政治观点、民族或社会出身的歧视。</w:t>
      </w:r>
    </w:p>
    <w:p w:rsidR="00436071" w:rsidRDefault="00436071">
      <w:pPr>
        <w:pStyle w:val="SingleTxt"/>
        <w:spacing w:line="340" w:lineRule="exact"/>
        <w:rPr>
          <w:rFonts w:hint="eastAsia"/>
        </w:rPr>
      </w:pPr>
      <w:r>
        <w:rPr>
          <w:rFonts w:hint="eastAsia"/>
        </w:rPr>
        <w:tab/>
        <w:t>在公职总条例和公务员总条例中也有同样规定。</w:t>
      </w:r>
    </w:p>
    <w:p w:rsidR="00436071" w:rsidRDefault="00436071">
      <w:pPr>
        <w:pStyle w:val="SingleTxt"/>
        <w:spacing w:line="340" w:lineRule="exact"/>
        <w:ind w:left="2115" w:hanging="431"/>
        <w:rPr>
          <w:rFonts w:hint="eastAsia"/>
        </w:rPr>
      </w:pPr>
      <w:r>
        <w:rPr>
          <w:rFonts w:hint="eastAsia"/>
        </w:rPr>
        <w:tab/>
      </w:r>
      <w:r>
        <w:rPr>
          <w:rFonts w:hint="eastAsia"/>
        </w:rPr>
        <w:sym w:font="Symbol" w:char="F0B7"/>
      </w:r>
      <w:r>
        <w:rPr>
          <w:rFonts w:hint="eastAsia"/>
        </w:rPr>
        <w:tab/>
        <w:t>在地产方面，管理地产的法律在获得建筑用地的条件方面对男女是一视同仁的（例如：关于建筑许可证条例的1989年2月2日第80/PR/MHUL号法令对男女提出了同样条件。）</w:t>
      </w:r>
    </w:p>
    <w:p w:rsidR="00436071" w:rsidRDefault="00436071">
      <w:pPr>
        <w:pStyle w:val="SingleTxt"/>
        <w:spacing w:line="340" w:lineRule="exact"/>
        <w:ind w:left="2115" w:hanging="431"/>
        <w:rPr>
          <w:rFonts w:hint="eastAsia"/>
        </w:rPr>
      </w:pPr>
      <w:r>
        <w:rPr>
          <w:rFonts w:hint="eastAsia"/>
        </w:rPr>
        <w:tab/>
      </w:r>
      <w:r>
        <w:rPr>
          <w:rFonts w:hint="eastAsia"/>
        </w:rPr>
        <w:sym w:font="Symbol" w:char="F0B7"/>
      </w:r>
      <w:r>
        <w:rPr>
          <w:rFonts w:hint="eastAsia"/>
        </w:rPr>
        <w:tab/>
        <w:t>在健康方面，母婴健康列入了政府的工作重点（社会和卫生行动计划，关于为妇女、母亲和儿童提供社会保护和健康保护的若干措施的第001/2000号法律。）</w:t>
      </w:r>
    </w:p>
    <w:p w:rsidR="00436071" w:rsidRDefault="00436071">
      <w:pPr>
        <w:pStyle w:val="SingleTxt"/>
        <w:spacing w:line="340" w:lineRule="exact"/>
        <w:ind w:left="2115" w:hanging="431"/>
        <w:rPr>
          <w:rFonts w:hint="eastAsia"/>
        </w:rPr>
      </w:pPr>
      <w:r>
        <w:rPr>
          <w:rFonts w:hint="eastAsia"/>
        </w:rPr>
        <w:tab/>
      </w:r>
      <w:r>
        <w:rPr>
          <w:rFonts w:hint="eastAsia"/>
        </w:rPr>
        <w:sym w:font="Symbol" w:char="F0B7"/>
      </w:r>
      <w:r>
        <w:rPr>
          <w:rFonts w:hint="eastAsia"/>
        </w:rPr>
        <w:tab/>
        <w:t>在教育方面，学校有义务接收6岁至16岁的所有儿童，男女一视同仁。</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40" w:lineRule="exact"/>
        <w:ind w:left="1264" w:right="1264" w:hanging="1264"/>
        <w:jc w:val="both"/>
        <w:rPr>
          <w:rFonts w:hint="eastAsia"/>
        </w:rPr>
      </w:pPr>
      <w:r>
        <w:rPr>
          <w:rFonts w:hint="eastAsia"/>
        </w:rPr>
        <w:tab/>
      </w:r>
      <w:r>
        <w:rPr>
          <w:rFonts w:hint="eastAsia"/>
        </w:rPr>
        <w:tab/>
        <w:t>第三条：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40" w:lineRule="exact"/>
        <w:ind w:left="1264" w:right="1264" w:hanging="1264"/>
        <w:jc w:val="both"/>
        <w:rPr>
          <w:rFonts w:hint="eastAsia"/>
        </w:rPr>
      </w:pPr>
      <w:r>
        <w:rPr>
          <w:rFonts w:hint="eastAsia"/>
        </w:rPr>
        <w:tab/>
      </w:r>
      <w:r>
        <w:rPr>
          <w:rFonts w:hint="eastAsia"/>
        </w:rPr>
        <w:tab/>
        <w:t>妇女的充分发展和进步</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政府努力采取必要措施，保证妇女享有宪法中保障的权利。今天，加蓬妇女充分参与了国家的可持续发展进程。</w:t>
      </w:r>
    </w:p>
    <w:p w:rsidR="00436071" w:rsidRDefault="00436071">
      <w:pPr>
        <w:pStyle w:val="SingleTxt"/>
        <w:rPr>
          <w:rFonts w:hint="eastAsia"/>
        </w:rPr>
      </w:pPr>
      <w:r>
        <w:rPr>
          <w:rFonts w:hint="eastAsia"/>
        </w:rPr>
        <w:tab/>
        <w:t>实际上，在所有活动领域（政府、公共管理部门、国民议会、参议院……）都能遇到妇女。不过，在某些决策岗位上妇女数量不足（例如：在政府中，39名成员中只有5名妇女。）</w:t>
      </w:r>
    </w:p>
    <w:p w:rsidR="00436071" w:rsidRDefault="00436071">
      <w:pPr>
        <w:pStyle w:val="SingleTxt"/>
        <w:rPr>
          <w:rFonts w:hint="eastAsia"/>
        </w:rPr>
      </w:pPr>
      <w:r>
        <w:rPr>
          <w:rFonts w:hint="eastAsia"/>
        </w:rPr>
        <w:tab/>
        <w:t>另外，同男子一样，也给妇女提供了一切培训机会。她们可以获得一切社会服务，享受保健、医疗、教育，参与识字计划，拥有财产等等。</w:t>
      </w:r>
    </w:p>
    <w:p w:rsidR="00436071" w:rsidRDefault="00436071">
      <w:pPr>
        <w:pStyle w:val="SingleTxt"/>
        <w:rPr>
          <w:rFonts w:hint="eastAsia"/>
        </w:rPr>
      </w:pPr>
      <w:r>
        <w:rPr>
          <w:rFonts w:hint="eastAsia"/>
        </w:rPr>
        <w:tab/>
        <w:t>为了对付法律和心理方面的障碍，政府采取了诸多行动：</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在法律方面，一些有关军队的法律对妇女存在歧视，它们禁止妇女进入某些级别（特别是在国家海军），目前正在对这类法律进行重新审议（参阅“加蓬妇女地位的社会－法律研究，1997年3月”）；</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在心理方面，开展了许多提高认识的运动，使得妇女能同逆来顺受的思想、自卑感、害怕创业的心理作斗争，能够自由自在地行动；</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在社会方面，家庭、保护儿童和提高妇女地位部同联合国开发计划署合作建立了妇女权利与平等观察站，观察站的主要目标是：</w:t>
      </w:r>
    </w:p>
    <w:p w:rsidR="00436071" w:rsidRDefault="00436071">
      <w:pPr>
        <w:pStyle w:val="SingleTxt"/>
        <w:ind w:left="2115" w:hanging="431"/>
        <w:rPr>
          <w:rFonts w:hint="eastAsia"/>
        </w:rPr>
      </w:pPr>
      <w:r>
        <w:rPr>
          <w:rFonts w:hint="eastAsia"/>
        </w:rPr>
        <w:tab/>
        <w:t>-</w:t>
      </w:r>
      <w:r>
        <w:rPr>
          <w:rFonts w:hint="eastAsia"/>
        </w:rPr>
        <w:tab/>
        <w:t>搜集国内外与妇女权利有关的法律文书；</w:t>
      </w:r>
    </w:p>
    <w:p w:rsidR="00436071" w:rsidRDefault="00436071">
      <w:pPr>
        <w:pStyle w:val="SingleTxt"/>
        <w:ind w:left="2115" w:hanging="431"/>
        <w:rPr>
          <w:rFonts w:hint="eastAsia"/>
        </w:rPr>
      </w:pPr>
      <w:r>
        <w:rPr>
          <w:rFonts w:hint="eastAsia"/>
        </w:rPr>
        <w:tab/>
        <w:t>-</w:t>
      </w:r>
      <w:r>
        <w:rPr>
          <w:rFonts w:hint="eastAsia"/>
        </w:rPr>
        <w:tab/>
        <w:t>收集有关各个领域男女平等的信息，记录最明显的侵犯妇女权利的例子；</w:t>
      </w:r>
    </w:p>
    <w:p w:rsidR="00436071" w:rsidRDefault="00436071">
      <w:pPr>
        <w:pStyle w:val="SingleTxt"/>
        <w:ind w:left="2115" w:hanging="431"/>
        <w:rPr>
          <w:rFonts w:hint="eastAsia"/>
        </w:rPr>
      </w:pPr>
      <w:r>
        <w:rPr>
          <w:rFonts w:hint="eastAsia"/>
        </w:rPr>
        <w:tab/>
        <w:t>-</w:t>
      </w:r>
      <w:r>
        <w:rPr>
          <w:rFonts w:hint="eastAsia"/>
        </w:rPr>
        <w:tab/>
        <w:t>揭露一切带歧视性质的措施和行动；</w:t>
      </w:r>
    </w:p>
    <w:p w:rsidR="00436071" w:rsidRDefault="00436071">
      <w:pPr>
        <w:pStyle w:val="SingleTxt"/>
        <w:ind w:left="2115" w:hanging="431"/>
        <w:rPr>
          <w:rFonts w:hint="eastAsia"/>
        </w:rPr>
      </w:pPr>
      <w:r>
        <w:rPr>
          <w:rFonts w:hint="eastAsia"/>
        </w:rPr>
        <w:tab/>
        <w:t>-</w:t>
      </w:r>
      <w:r>
        <w:rPr>
          <w:rFonts w:hint="eastAsia"/>
        </w:rPr>
        <w:tab/>
        <w:t>提出改革或调整建议，使得法律和习俗符合国内外的法律文书。</w:t>
      </w:r>
    </w:p>
    <w:p w:rsidR="00436071" w:rsidRDefault="00436071">
      <w:pPr>
        <w:pStyle w:val="SingleTxt"/>
        <w:rPr>
          <w:rFonts w:hint="eastAsia"/>
        </w:rPr>
      </w:pPr>
      <w:r>
        <w:rPr>
          <w:rFonts w:hint="eastAsia"/>
        </w:rPr>
        <w:tab/>
        <w:t>然而，在家庭和提高妇女地位部开展的研究工作结束时披露了某些障碍。（在联合国开发计划署合作下于2000年7月公布的“妇女与决策调查结果”。）问题主要是思想落后，缺乏对妇女的政策教育，妇女本身之间缺乏团结。</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rPr>
          <w:rFonts w:hint="eastAsia"/>
        </w:rPr>
        <w:tab/>
      </w:r>
      <w:r>
        <w:rPr>
          <w:rFonts w:hint="eastAsia"/>
        </w:rPr>
        <w:tab/>
        <w:t>第四条：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采取特别措施，加速实现男女平等</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为了加速实现男女平等，加蓬共和国专门针对妇女采取了特别措施。它们主要有：</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提名一些妇女担任传统上保留给男子的指挥职位（2名女将军，5名女部长，一名女飞行员，一名共和国女调解员，一名宪法法院女院长）。</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采取了与妇女的本性和她的生育功能有关的特定措施。（年假以外的产假，哺乳权，禁止妇女从事夜间工作和超出她们能力的工作，等等。）在雇主不尊重这些权利的情况下，同样可以求助法律，向法院起诉或在家庭和提高妇女地位国家委员会开会时将纠纷提交委员会审查（关于成立家庭和提高妇女地位国家委员会及其权限和运作的第298/PR/MFPF号法令，第1章第3条）。</w:t>
      </w:r>
    </w:p>
    <w:p w:rsidR="00436071" w:rsidRDefault="00436071">
      <w:pPr>
        <w:pStyle w:val="SingleTxt"/>
        <w:rPr>
          <w:rFonts w:hint="eastAsia"/>
        </w:rPr>
      </w:pPr>
      <w:r>
        <w:rPr>
          <w:rFonts w:hint="eastAsia"/>
        </w:rPr>
        <w:tab/>
        <w:t>此外，每年授予特别值得称赞的多人口家庭的母亲（1975年5月31日第00562/PR号法令）和好心肠母亲（自己没有子女但抚育别人孩子的母亲）“加蓬感谢奖章”。</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第五条：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性别角色和定型观念</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某些思想和文化习俗对切实提高加蓬妇女的社会地位起到了阻碍作用。其中可以列举出以下几个方面：娶寡嫂制、娶姨制、传统的分工，这些实际上将妇女置于一种低下的社会地位。</w:t>
      </w:r>
    </w:p>
    <w:p w:rsidR="00436071" w:rsidRDefault="00436071">
      <w:pPr>
        <w:pStyle w:val="SingleTxt"/>
        <w:rPr>
          <w:rFonts w:hint="eastAsia"/>
        </w:rPr>
      </w:pPr>
      <w:r>
        <w:rPr>
          <w:rFonts w:hint="eastAsia"/>
        </w:rPr>
        <w:tab/>
        <w:t>加蓬政府还在联合国开发计划署和一些妇女协会的合作下推行了提高认识的计划，使男子和妇女都能意识到与这些落后的思想和习俗作斗争的必要性。</w:t>
      </w:r>
    </w:p>
    <w:p w:rsidR="00436071" w:rsidRDefault="00436071">
      <w:pPr>
        <w:pStyle w:val="SingleTxt"/>
        <w:rPr>
          <w:rFonts w:hint="eastAsia"/>
        </w:rPr>
      </w:pPr>
      <w:r>
        <w:rPr>
          <w:rFonts w:hint="eastAsia"/>
        </w:rPr>
        <w:tab/>
        <w:t>在所采取的行动中，有必要特别提一下以下几个方面：</w:t>
      </w:r>
    </w:p>
    <w:p w:rsidR="00436071" w:rsidRDefault="00436071">
      <w:pPr>
        <w:pStyle w:val="SingleTxt"/>
        <w:ind w:left="2115" w:hanging="431"/>
        <w:rPr>
          <w:rFonts w:hint="eastAsia"/>
        </w:rPr>
      </w:pPr>
      <w:r>
        <w:rPr>
          <w:rFonts w:hint="eastAsia"/>
        </w:rPr>
        <w:tab/>
        <w:t>-</w:t>
      </w:r>
      <w:r>
        <w:rPr>
          <w:rFonts w:hint="eastAsia"/>
        </w:rPr>
        <w:tab/>
        <w:t>在各级举办了性别问题培训班（非政府组织和妇女协会，公共管理部门秘书长，私营公司人力资源部主任，政府成员，共和国副总统府干部，负责起草减贫战略文件的部际间小组）；</w:t>
      </w:r>
    </w:p>
    <w:p w:rsidR="00436071" w:rsidRDefault="00436071">
      <w:pPr>
        <w:pStyle w:val="SingleTxt"/>
        <w:ind w:left="2115" w:hanging="431"/>
        <w:rPr>
          <w:rFonts w:hint="eastAsia"/>
        </w:rPr>
      </w:pPr>
      <w:r>
        <w:rPr>
          <w:rFonts w:hint="eastAsia"/>
        </w:rPr>
        <w:tab/>
        <w:t>-</w:t>
      </w:r>
      <w:r>
        <w:rPr>
          <w:rFonts w:hint="eastAsia"/>
        </w:rPr>
        <w:tab/>
        <w:t>开展提高认识运动，充分认识妇女在社会中应起的重要作用；</w:t>
      </w:r>
    </w:p>
    <w:p w:rsidR="00436071" w:rsidRDefault="00436071">
      <w:pPr>
        <w:pStyle w:val="SingleTxt"/>
        <w:ind w:left="2115" w:hanging="431"/>
        <w:rPr>
          <w:rFonts w:hint="eastAsia"/>
        </w:rPr>
      </w:pPr>
      <w:r>
        <w:rPr>
          <w:rFonts w:hint="eastAsia"/>
        </w:rPr>
        <w:tab/>
        <w:t>-</w:t>
      </w:r>
      <w:r>
        <w:rPr>
          <w:rFonts w:hint="eastAsia"/>
        </w:rPr>
        <w:tab/>
        <w:t>再次开展《加蓬妇女》活动，《加蓬妇女》是家庭、保护儿童和提高妇女地位部出版的宣传杂志。</w:t>
      </w:r>
    </w:p>
    <w:p w:rsidR="00436071" w:rsidRDefault="00436071">
      <w:pPr>
        <w:pStyle w:val="SingleTxt"/>
        <w:rPr>
          <w:rFonts w:hint="eastAsia"/>
        </w:rPr>
      </w:pPr>
      <w:r>
        <w:rPr>
          <w:rFonts w:hint="eastAsia"/>
        </w:rPr>
        <w:tab/>
        <w:t>关于青年方面，男孩和女孩的任务实际上越来越趋于相同。例如在学校，所有儿童都接受同样的教育，参加同样的体育活动。</w:t>
      </w:r>
    </w:p>
    <w:p w:rsidR="00436071" w:rsidRDefault="00436071">
      <w:pPr>
        <w:pStyle w:val="SingleTxt"/>
        <w:rPr>
          <w:rFonts w:hint="eastAsia"/>
        </w:rPr>
      </w:pPr>
      <w:r>
        <w:rPr>
          <w:rFonts w:hint="eastAsia"/>
        </w:rPr>
        <w:tab/>
        <w:t>在劳动者的培训方面，制定加蓬共和国新劳动法的1978年6月1日第5/78号法律在其第17条中规定：“所有男女劳动者均享有进入一切培训机构和职业进修机构接受训练的同等权利。”因此，一些了解自身智力情况的年轻女子最终参加了各种培训单位的培训，而且人数与日俱增。</w:t>
      </w:r>
    </w:p>
    <w:p w:rsidR="00436071" w:rsidRDefault="00436071">
      <w:pPr>
        <w:pStyle w:val="SingleTxt"/>
        <w:rPr>
          <w:rFonts w:hint="eastAsia"/>
        </w:rPr>
      </w:pPr>
      <w:r>
        <w:rPr>
          <w:rFonts w:hint="eastAsia"/>
        </w:rPr>
        <w:tab/>
        <w:t>所有父母都承担着照料子女的责任，特别是母亲，她们对子女的需要似乎了解更为深刻，也更加重视。</w:t>
      </w:r>
    </w:p>
    <w:p w:rsidR="00436071" w:rsidRDefault="00436071">
      <w:pPr>
        <w:pStyle w:val="SingleTxt"/>
        <w:rPr>
          <w:rFonts w:hint="eastAsia"/>
        </w:rPr>
      </w:pPr>
      <w:r>
        <w:rPr>
          <w:rFonts w:hint="eastAsia"/>
        </w:rPr>
        <w:tab/>
        <w:t>此外，共和国政府和非政府组织为对父母、妇女和男子进行家庭生活教育，开展了一些提高认识的运动。这些运动有些是通过媒体进行的，有些采取了定期组织会晤的方式。另外，还对他们进行了计划生育基本知识、预算、与性传染病/艾滋病作斗争等方面的教育。1987年，提高认识运动已遍及利伯维尔各中学和大专院校。</w:t>
      </w:r>
    </w:p>
    <w:p w:rsidR="00436071" w:rsidRDefault="00436071">
      <w:pPr>
        <w:pStyle w:val="SingleTxt"/>
        <w:rPr>
          <w:rFonts w:hint="eastAsia"/>
        </w:rPr>
      </w:pPr>
      <w:r>
        <w:rPr>
          <w:rFonts w:hint="eastAsia"/>
        </w:rPr>
        <w:tab/>
        <w:t>《刑法》规定了对暴力行为的惩处。男子对妇女的“惩罚权”并不存在。然而，笔录显示妇女一般不愿意揭露丈夫对其施加的暴力。</w:t>
      </w:r>
    </w:p>
    <w:p w:rsidR="00436071" w:rsidRDefault="00436071">
      <w:pPr>
        <w:pStyle w:val="SingleTxt"/>
        <w:rPr>
          <w:rFonts w:hint="eastAsia"/>
        </w:rPr>
      </w:pPr>
      <w:r>
        <w:rPr>
          <w:rFonts w:hint="eastAsia"/>
        </w:rPr>
        <w:tab/>
        <w:t>在这方面，加蓬将启动一项研究，以确定这些现象的广泛性。有两部关于暴力问题的影片正在制作中，一部关于乱伦的影片（《沉默的重负》）已经制作完成。</w:t>
      </w:r>
    </w:p>
    <w:p w:rsidR="00436071" w:rsidRDefault="00436071">
      <w:pPr>
        <w:pStyle w:val="SingleTxt"/>
        <w:rPr>
          <w:rFonts w:hint="eastAsia"/>
        </w:rPr>
      </w:pPr>
      <w:r>
        <w:rPr>
          <w:rFonts w:hint="eastAsia"/>
        </w:rPr>
        <w:tab/>
        <w:t>在加蓬，已正式取缔了嫁妆（1963年5月31日第20号法律），但是这种习俗仍然十分流行，因为某些传统准则对维持这种习俗起到了支持作用，特别是作为一种象征的嫁妆。</w:t>
      </w:r>
    </w:p>
    <w:p w:rsidR="00436071" w:rsidRDefault="00436071">
      <w:pPr>
        <w:pStyle w:val="SingleTxt"/>
        <w:rPr>
          <w:rFonts w:hint="eastAsia"/>
        </w:rPr>
      </w:pPr>
      <w:r>
        <w:rPr>
          <w:rFonts w:hint="eastAsia"/>
        </w:rPr>
        <w:tab/>
        <w:t>受到性侵犯的妇女被送往医院，或直接送往指定的服务机构。法律严厉惩处对儿童的性虐待。《刑法》第256条规定：“凡犯有强奸罪的，将判处5至10年监禁。如果被强奸者是不满15周岁的儿童，犯罪者将判处有期苦役。”</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第六条：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禁止一切形式的卖淫和贩卖妇女</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在加蓬，几年来，主管当局发现过贩卖儿童的现象，其中一些女孩来自西非。</w:t>
      </w:r>
    </w:p>
    <w:p w:rsidR="00436071" w:rsidRDefault="00436071">
      <w:pPr>
        <w:pStyle w:val="SingleTxt"/>
        <w:rPr>
          <w:rFonts w:hint="eastAsia"/>
        </w:rPr>
      </w:pPr>
      <w:r>
        <w:rPr>
          <w:rFonts w:hint="eastAsia"/>
        </w:rPr>
        <w:tab/>
        <w:t>在这里应该说明的是，加蓬的《刑法》在第260条及其后的条款中禁止一切形式的奴隶制。</w:t>
      </w:r>
    </w:p>
    <w:p w:rsidR="00436071" w:rsidRDefault="00436071">
      <w:pPr>
        <w:pStyle w:val="SingleTxt"/>
        <w:rPr>
          <w:rFonts w:hint="eastAsia"/>
        </w:rPr>
      </w:pPr>
      <w:r>
        <w:rPr>
          <w:rFonts w:hint="eastAsia"/>
        </w:rPr>
        <w:tab/>
        <w:t>面对贩卖儿童和剥削童工的现象日益猖獗的情况，在2000年2月利伯维尔西非和中非贩卖儿童问题次地区磋商会议之后，加蓬政府采取了一些打击贩卖活动的措施。从根本上讲，这些措施在于建立一个适当的法律框架和加强国家的能力。它们主要是：</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2001年8月14日的第4/2001号法令，该法令修改和补充了《刑法》的某些条款，在其第278条第1款（2）项规定：“凡组织贩卖儿童、为其提供方便或参与贩卖活动，尤其是运送、引入本国领土、容留、出售、非法雇用儿童并从中获利的，将判处有期徒刑并处以1 000万至2 000万非洲金融共同体法郎的罚金……”</w:t>
      </w:r>
    </w:p>
    <w:p w:rsidR="00436071" w:rsidRDefault="00436071">
      <w:pPr>
        <w:pStyle w:val="SingleTxt"/>
        <w:rPr>
          <w:rFonts w:hint="eastAsia"/>
        </w:rPr>
      </w:pPr>
      <w:r>
        <w:rPr>
          <w:rFonts w:hint="eastAsia"/>
        </w:rPr>
        <w:tab/>
        <w:t>按照《刑法》第6、48和49条，同谋者和唆使者将判处与主犯同样的刑罚，并不得给予缓刑。</w:t>
      </w:r>
    </w:p>
    <w:p w:rsidR="00436071" w:rsidRDefault="00436071">
      <w:pPr>
        <w:pStyle w:val="SingleTxt"/>
        <w:rPr>
          <w:rFonts w:hint="eastAsia"/>
        </w:rPr>
      </w:pPr>
      <w:r>
        <w:rPr>
          <w:rFonts w:hint="eastAsia"/>
        </w:rPr>
        <w:tab/>
        <w:t>当犯罪者为外国国籍时，将宣布将其驱逐出境，或禁止在加蓬逗留；当他们是加蓬国籍时，将禁止他们行使民事权利、公民权利和家庭权利。</w:t>
      </w:r>
    </w:p>
    <w:p w:rsidR="00436071" w:rsidRDefault="00436071">
      <w:pPr>
        <w:pStyle w:val="SingleTxt"/>
        <w:rPr>
          <w:rFonts w:hint="eastAsia"/>
        </w:rPr>
      </w:pPr>
      <w:r>
        <w:rPr>
          <w:rFonts w:hint="eastAsia"/>
        </w:rPr>
        <w:tab/>
        <w:t>此外，遣返儿童的费用将由被判刑者负担；用于犯罪的财产，从该活动中获得的收益将全部没收，归国家所有。</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于2000年2月制定了打击剥削童工的共同行动纲领；</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成立了主管打击贩卖儿童现象的部际间委员会；</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成立了后续行动委员会，它已经发起了多项行动：</w:t>
      </w:r>
    </w:p>
    <w:p w:rsidR="00436071" w:rsidRDefault="00436071">
      <w:pPr>
        <w:pStyle w:val="SingleTxt"/>
        <w:ind w:left="2115" w:hanging="431"/>
        <w:rPr>
          <w:rFonts w:hint="eastAsia"/>
        </w:rPr>
      </w:pPr>
      <w:r>
        <w:rPr>
          <w:rFonts w:hint="eastAsia"/>
        </w:rPr>
        <w:tab/>
        <w:t>-</w:t>
      </w:r>
      <w:r>
        <w:rPr>
          <w:rFonts w:hint="eastAsia"/>
        </w:rPr>
        <w:tab/>
        <w:t>举办了培训班；</w:t>
      </w:r>
    </w:p>
    <w:p w:rsidR="00436071" w:rsidRDefault="00436071">
      <w:pPr>
        <w:pStyle w:val="SingleTxt"/>
        <w:ind w:left="2115" w:hanging="431"/>
        <w:rPr>
          <w:rFonts w:hint="eastAsia"/>
        </w:rPr>
      </w:pPr>
      <w:r>
        <w:rPr>
          <w:rFonts w:hint="eastAsia"/>
        </w:rPr>
        <w:tab/>
        <w:t>-</w:t>
      </w:r>
      <w:r>
        <w:rPr>
          <w:rFonts w:hint="eastAsia"/>
        </w:rPr>
        <w:tab/>
        <w:t>起草了关于遣返西非和中非被贩卖儿童的合作协定草案；</w:t>
      </w:r>
    </w:p>
    <w:p w:rsidR="00436071" w:rsidRDefault="00436071">
      <w:pPr>
        <w:pStyle w:val="SingleTxt"/>
        <w:ind w:left="2115" w:hanging="431"/>
        <w:rPr>
          <w:rFonts w:hint="eastAsia"/>
        </w:rPr>
      </w:pPr>
      <w:r>
        <w:rPr>
          <w:rFonts w:hint="eastAsia"/>
        </w:rPr>
        <w:tab/>
        <w:t>-</w:t>
      </w:r>
      <w:r>
        <w:rPr>
          <w:rFonts w:hint="eastAsia"/>
        </w:rPr>
        <w:tab/>
        <w:t>起草了关于奴隶制和贩卖儿童问题的法律草案，该草案修改了《刑法》的某些条款；</w:t>
      </w:r>
    </w:p>
    <w:p w:rsidR="00436071" w:rsidRDefault="00436071">
      <w:pPr>
        <w:pStyle w:val="SingleTxt"/>
        <w:ind w:left="2115" w:hanging="431"/>
        <w:rPr>
          <w:rFonts w:hint="eastAsia"/>
        </w:rPr>
      </w:pPr>
      <w:r>
        <w:rPr>
          <w:rFonts w:hint="eastAsia"/>
        </w:rPr>
        <w:tab/>
        <w:t>-</w:t>
      </w:r>
      <w:r>
        <w:rPr>
          <w:rFonts w:hint="eastAsia"/>
        </w:rPr>
        <w:tab/>
        <w:t>按照《劳动法》第177条之规定起草了反对使用童工的法令草案。</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建立了被遗弃儿童和被贩卖儿童接待和中转中心，以便将他们遣返回国。</w:t>
      </w:r>
    </w:p>
    <w:p w:rsidR="00436071" w:rsidRDefault="00436071">
      <w:pPr>
        <w:pStyle w:val="SingleTxt"/>
        <w:rPr>
          <w:rFonts w:hint="eastAsia"/>
        </w:rPr>
      </w:pPr>
      <w:r>
        <w:rPr>
          <w:rFonts w:hint="eastAsia"/>
        </w:rPr>
        <w:tab/>
        <w:t>至于卖淫问题，尽管这种现象并不典型，但不幸的是它们还是存在的，这是因为某些阶层十分贫困，处境艰难，而这种状况又给他们造成了许多灾难，诸如艾滋病、性传染病、吸毒等等。</w:t>
      </w:r>
    </w:p>
    <w:p w:rsidR="00436071" w:rsidRDefault="00436071">
      <w:pPr>
        <w:pStyle w:val="SingleTxt"/>
        <w:rPr>
          <w:rFonts w:hint="eastAsia"/>
        </w:rPr>
      </w:pPr>
      <w:r>
        <w:rPr>
          <w:rFonts w:hint="eastAsia"/>
        </w:rPr>
        <w:tab/>
        <w:t>迄今为止，还没有为评估这个问题的广泛性和确定应采取的措施对其进行过任何研究。</w:t>
      </w:r>
    </w:p>
    <w:p w:rsidR="00436071" w:rsidRDefault="00436071">
      <w:pPr>
        <w:pStyle w:val="SingleTxt"/>
        <w:rPr>
          <w:rFonts w:hint="eastAsia"/>
        </w:rPr>
      </w:pPr>
      <w:r>
        <w:rPr>
          <w:rFonts w:hint="eastAsia"/>
        </w:rPr>
        <w:tab/>
        <w:t>然而，应该指出的是，加蓬的法律在《刑法》第260条及其后条款（第18/84号法律加强了这些条款）中，禁止卖淫和以淫媒牟利。因此，根据这些法律条款，凡保护卖淫或帮助卖淫的，将判处6个月至2年的监禁，并处以5万至100万非洲金融共同体法郎的罚金。</w:t>
      </w:r>
    </w:p>
    <w:p w:rsidR="00436071" w:rsidRDefault="00436071">
      <w:pPr>
        <w:pStyle w:val="SingleTxt"/>
        <w:rPr>
          <w:rFonts w:hint="eastAsia"/>
        </w:rPr>
      </w:pPr>
      <w:r>
        <w:rPr>
          <w:rFonts w:hint="eastAsia"/>
        </w:rPr>
        <w:tab/>
        <w:t>《刑法》第230条、256条及其后条款，禁止对妇女一切形式的暴力和任何有伤风化的行为，不论年龄大小和社会类别均一视同仁。</w:t>
      </w:r>
    </w:p>
    <w:p w:rsidR="00436071" w:rsidRDefault="00436071">
      <w:pPr>
        <w:pStyle w:val="SingleTxt"/>
        <w:rPr>
          <w:rFonts w:hint="eastAsia"/>
        </w:rPr>
      </w:pPr>
      <w:r>
        <w:rPr>
          <w:rFonts w:hint="eastAsia"/>
        </w:rPr>
        <w:tab/>
        <w:t>在与贩卖儿童（包括女孩）的现象作斗争中遇到的种种障碍主要表现在以下方面：</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边境的易渗透性；</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有关人员的抵制；</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贩卖人口团伙组织严密。</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第七条：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参与政治生活和公共生活</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加蓬宪法保障男女公民享有平等的政治权利。因此，加蓬妇女享有选举权和被选举权，可以以与男子同样的条件入选所有公共机构。</w:t>
      </w:r>
    </w:p>
    <w:p w:rsidR="00436071" w:rsidRDefault="00436071">
      <w:pPr>
        <w:pStyle w:val="SingleTxt"/>
        <w:rPr>
          <w:rFonts w:hint="eastAsia"/>
        </w:rPr>
      </w:pPr>
      <w:r>
        <w:rPr>
          <w:rFonts w:hint="eastAsia"/>
        </w:rPr>
        <w:tab/>
        <w:t>从此，妇女开始出现并活跃在公共部门和私营部门高级领导岗位上，不过人数仍然很少。</w:t>
      </w:r>
    </w:p>
    <w:p w:rsidR="00436071" w:rsidRDefault="00436071">
      <w:pPr>
        <w:pStyle w:val="SingleTxt"/>
        <w:rPr>
          <w:rFonts w:hint="eastAsia"/>
        </w:rPr>
      </w:pPr>
      <w:r>
        <w:rPr>
          <w:rFonts w:hint="eastAsia"/>
        </w:rPr>
        <w:tab/>
        <w:t>引人注意的是，只有一名妇女被提名担任省长职务，自1993年以来加蓬共和国还没有过女省长、县长或副县长。</w:t>
      </w:r>
    </w:p>
    <w:p w:rsidR="00436071" w:rsidRDefault="00436071">
      <w:pPr>
        <w:pStyle w:val="SingleTxt"/>
      </w:pPr>
      <w:r>
        <w:rPr>
          <w:rFonts w:hint="eastAsia"/>
        </w:rPr>
        <w:tab/>
        <w:t>下表显示了妇女参加国民议会、参议院和地方机构的变化情况：</w:t>
      </w:r>
    </w:p>
    <w:p w:rsidR="00436071" w:rsidRDefault="00436071">
      <w:pPr>
        <w:pStyle w:val="SingleTxt"/>
        <w:rPr>
          <w:rFonts w:ascii="SimHei" w:eastAsia="SimHei" w:hint="eastAsia"/>
          <w:color w:val="FF0000"/>
        </w:rPr>
      </w:pPr>
      <w:r>
        <w:rPr>
          <w:rFonts w:hint="eastAsia"/>
        </w:rPr>
        <w:t>表1：</w:t>
      </w:r>
      <w:r>
        <w:br/>
      </w:r>
      <w:r>
        <w:rPr>
          <w:rFonts w:ascii="SimHei" w:eastAsia="SimHei" w:hint="eastAsia"/>
          <w:color w:val="FF0000"/>
        </w:rPr>
        <w:t>国民议会中女性代表的变化情况</w:t>
      </w:r>
    </w:p>
    <w:tbl>
      <w:tblPr>
        <w:tblW w:w="0" w:type="auto"/>
        <w:tblInd w:w="1268"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830"/>
        <w:gridCol w:w="1372"/>
        <w:gridCol w:w="1373"/>
        <w:gridCol w:w="1373"/>
        <w:gridCol w:w="1373"/>
      </w:tblGrid>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left"/>
              <w:rPr>
                <w:rFonts w:ascii="KaiTi_GB2312" w:eastAsia="KaiTi_GB2312" w:hint="eastAsia"/>
                <w:color w:val="0000FF"/>
                <w:sz w:val="15"/>
              </w:rPr>
            </w:pPr>
            <w:r>
              <w:rPr>
                <w:rFonts w:ascii="KaiTi_GB2312" w:eastAsia="KaiTi_GB2312" w:hint="eastAsia"/>
                <w:color w:val="0000FF"/>
                <w:sz w:val="15"/>
              </w:rPr>
              <w:t>时期</w:t>
            </w:r>
          </w:p>
        </w:tc>
        <w:tc>
          <w:tcPr>
            <w:tcW w:w="1372"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rFonts w:ascii="SimHei" w:eastAsia="SimHei" w:hint="eastAsia"/>
                <w:b/>
                <w:bCs/>
                <w:color w:val="FF0000"/>
                <w:sz w:val="15"/>
              </w:rPr>
            </w:pPr>
            <w:r>
              <w:rPr>
                <w:rFonts w:ascii="SimHei" w:eastAsia="SimHei" w:hint="eastAsia"/>
                <w:b/>
                <w:bCs/>
                <w:color w:val="FF0000"/>
                <w:sz w:val="15"/>
              </w:rPr>
              <w:t>总数</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rFonts w:ascii="KaiTi_GB2312" w:eastAsia="KaiTi_GB2312" w:hint="eastAsia"/>
                <w:color w:val="0000FF"/>
                <w:sz w:val="15"/>
              </w:rPr>
            </w:pPr>
            <w:r>
              <w:rPr>
                <w:rFonts w:ascii="KaiTi_GB2312" w:eastAsia="KaiTi_GB2312" w:hint="eastAsia"/>
                <w:color w:val="0000FF"/>
                <w:sz w:val="15"/>
              </w:rPr>
              <w:t>男性</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rFonts w:ascii="KaiTi_GB2312" w:eastAsia="KaiTi_GB2312" w:hint="eastAsia"/>
                <w:color w:val="0000FF"/>
                <w:sz w:val="15"/>
              </w:rPr>
            </w:pPr>
            <w:r>
              <w:rPr>
                <w:rFonts w:ascii="KaiTi_GB2312" w:eastAsia="KaiTi_GB2312" w:hint="eastAsia"/>
                <w:color w:val="0000FF"/>
                <w:sz w:val="15"/>
              </w:rPr>
              <w:t>女性</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rFonts w:ascii="KaiTi_GB2312" w:eastAsia="KaiTi_GB2312" w:hint="eastAsia"/>
                <w:color w:val="0000FF"/>
                <w:sz w:val="15"/>
              </w:rPr>
            </w:pPr>
            <w:r>
              <w:rPr>
                <w:rFonts w:ascii="KaiTi_GB2312" w:eastAsia="KaiTi_GB2312" w:hint="eastAsia"/>
                <w:color w:val="0000FF"/>
                <w:sz w:val="15"/>
              </w:rPr>
              <w:t>女性百分比</w:t>
            </w:r>
          </w:p>
        </w:tc>
      </w:tr>
      <w:tr w:rsidR="00436071">
        <w:tblPrEx>
          <w:tblCellMar>
            <w:top w:w="0" w:type="dxa"/>
            <w:bottom w:w="0" w:type="dxa"/>
          </w:tblCellMar>
        </w:tblPrEx>
        <w:trPr>
          <w:cantSplit/>
        </w:trPr>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rPr>
                <w:rFonts w:ascii="KaiTi_GB2312" w:eastAsia="KaiTi_GB2312" w:hint="eastAsia"/>
                <w:color w:val="0000FF"/>
                <w:sz w:val="17"/>
              </w:rPr>
            </w:pPr>
            <w:r>
              <w:rPr>
                <w:sz w:val="17"/>
              </w:rPr>
              <w:t>1980-1985</w:t>
            </w:r>
          </w:p>
        </w:tc>
        <w:tc>
          <w:tcPr>
            <w:tcW w:w="1372"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rFonts w:ascii="SimHei" w:eastAsia="SimHei" w:hint="eastAsia"/>
                <w:b/>
                <w:bCs/>
                <w:color w:val="FF0000"/>
                <w:sz w:val="17"/>
              </w:rPr>
            </w:pPr>
            <w:r>
              <w:rPr>
                <w:rFonts w:ascii="SimHei" w:eastAsia="SimHei" w:hint="eastAsia"/>
                <w:b/>
                <w:bCs/>
                <w:color w:val="FF0000"/>
                <w:sz w:val="17"/>
              </w:rPr>
              <w:t>93</w:t>
            </w:r>
          </w:p>
        </w:tc>
        <w:tc>
          <w:tcPr>
            <w:tcW w:w="1373"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rFonts w:hint="eastAsia"/>
                <w:sz w:val="17"/>
              </w:rPr>
            </w:pPr>
            <w:r>
              <w:rPr>
                <w:rFonts w:hint="eastAsia"/>
                <w:sz w:val="17"/>
              </w:rPr>
              <w:t>80</w:t>
            </w:r>
          </w:p>
        </w:tc>
        <w:tc>
          <w:tcPr>
            <w:tcW w:w="1373"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rFonts w:hint="eastAsia"/>
                <w:sz w:val="17"/>
              </w:rPr>
            </w:pPr>
            <w:r>
              <w:rPr>
                <w:rFonts w:hint="eastAsia"/>
                <w:sz w:val="17"/>
              </w:rPr>
              <w:t>13</w:t>
            </w:r>
          </w:p>
        </w:tc>
        <w:tc>
          <w:tcPr>
            <w:tcW w:w="1373"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sz w:val="17"/>
              </w:rPr>
            </w:pPr>
            <w:r>
              <w:rPr>
                <w:rFonts w:hint="eastAsia"/>
                <w:sz w:val="17"/>
              </w:rPr>
              <w:t>13</w:t>
            </w:r>
            <w:r>
              <w:rPr>
                <w:sz w:val="17"/>
              </w:rPr>
              <w:t>.9</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rPr>
                <w:rFonts w:hint="eastAsia"/>
                <w:sz w:val="17"/>
              </w:rPr>
            </w:pPr>
            <w:r>
              <w:rPr>
                <w:rFonts w:hint="eastAsia"/>
                <w:sz w:val="17"/>
              </w:rPr>
              <w:t>1985-1990</w:t>
            </w:r>
          </w:p>
        </w:tc>
        <w:tc>
          <w:tcPr>
            <w:tcW w:w="1372"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rFonts w:ascii="SimHei" w:eastAsia="SimHei"/>
                <w:b/>
                <w:bCs/>
                <w:color w:val="FF0000"/>
                <w:sz w:val="17"/>
              </w:rPr>
            </w:pPr>
            <w:r>
              <w:rPr>
                <w:rFonts w:ascii="SimHei" w:eastAsia="SimHei"/>
                <w:b/>
                <w:bCs/>
                <w:color w:val="FF0000"/>
                <w:sz w:val="17"/>
              </w:rPr>
              <w:t>120</w:t>
            </w:r>
          </w:p>
        </w:tc>
        <w:tc>
          <w:tcPr>
            <w:tcW w:w="1373"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sz w:val="17"/>
              </w:rPr>
            </w:pPr>
            <w:r>
              <w:rPr>
                <w:sz w:val="17"/>
              </w:rPr>
              <w:t>103</w:t>
            </w:r>
          </w:p>
        </w:tc>
        <w:tc>
          <w:tcPr>
            <w:tcW w:w="1373"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sz w:val="17"/>
              </w:rPr>
            </w:pPr>
            <w:r>
              <w:rPr>
                <w:sz w:val="17"/>
              </w:rPr>
              <w:t>17</w:t>
            </w:r>
          </w:p>
        </w:tc>
        <w:tc>
          <w:tcPr>
            <w:tcW w:w="1373"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sz w:val="17"/>
              </w:rPr>
            </w:pPr>
            <w:r>
              <w:rPr>
                <w:sz w:val="17"/>
              </w:rPr>
              <w:t>14.2</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rPr>
                <w:rFonts w:hint="eastAsia"/>
                <w:sz w:val="17"/>
              </w:rPr>
            </w:pPr>
            <w:r>
              <w:rPr>
                <w:rFonts w:hint="eastAsia"/>
                <w:sz w:val="17"/>
              </w:rPr>
              <w:t>1990-1996</w:t>
            </w:r>
          </w:p>
        </w:tc>
        <w:tc>
          <w:tcPr>
            <w:tcW w:w="1372"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rFonts w:ascii="SimHei" w:eastAsia="SimHei"/>
                <w:b/>
                <w:bCs/>
                <w:color w:val="FF0000"/>
                <w:sz w:val="17"/>
              </w:rPr>
            </w:pPr>
            <w:r>
              <w:rPr>
                <w:rFonts w:ascii="SimHei" w:eastAsia="SimHei"/>
                <w:b/>
                <w:bCs/>
                <w:color w:val="FF0000"/>
                <w:sz w:val="17"/>
              </w:rPr>
              <w:t>120</w:t>
            </w:r>
          </w:p>
        </w:tc>
        <w:tc>
          <w:tcPr>
            <w:tcW w:w="1373"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sz w:val="17"/>
              </w:rPr>
            </w:pPr>
            <w:r>
              <w:rPr>
                <w:sz w:val="17"/>
              </w:rPr>
              <w:t>114</w:t>
            </w:r>
          </w:p>
        </w:tc>
        <w:tc>
          <w:tcPr>
            <w:tcW w:w="1373"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sz w:val="17"/>
              </w:rPr>
            </w:pPr>
            <w:r>
              <w:rPr>
                <w:sz w:val="17"/>
              </w:rPr>
              <w:t>6</w:t>
            </w:r>
          </w:p>
        </w:tc>
        <w:tc>
          <w:tcPr>
            <w:tcW w:w="1373"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sz w:val="17"/>
              </w:rPr>
            </w:pPr>
            <w:r>
              <w:rPr>
                <w:sz w:val="17"/>
              </w:rPr>
              <w:t>5</w:t>
            </w:r>
          </w:p>
        </w:tc>
      </w:tr>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rPr>
                <w:rFonts w:hint="eastAsia"/>
                <w:sz w:val="17"/>
              </w:rPr>
            </w:pPr>
            <w:r>
              <w:rPr>
                <w:rFonts w:hint="eastAsia"/>
                <w:sz w:val="17"/>
              </w:rPr>
              <w:t>1996-2001</w:t>
            </w:r>
          </w:p>
        </w:tc>
        <w:tc>
          <w:tcPr>
            <w:tcW w:w="1372"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rFonts w:ascii="SimHei" w:eastAsia="SimHei"/>
                <w:b/>
                <w:bCs/>
                <w:color w:val="FF0000"/>
                <w:sz w:val="17"/>
              </w:rPr>
            </w:pPr>
            <w:r>
              <w:rPr>
                <w:rFonts w:ascii="SimHei" w:eastAsia="SimHei"/>
                <w:b/>
                <w:bCs/>
                <w:color w:val="FF0000"/>
                <w:sz w:val="17"/>
              </w:rPr>
              <w:t>120</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sz w:val="17"/>
              </w:rPr>
            </w:pPr>
            <w:r>
              <w:rPr>
                <w:sz w:val="17"/>
              </w:rPr>
              <w:t>109</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sz w:val="17"/>
              </w:rPr>
            </w:pPr>
            <w:r>
              <w:rPr>
                <w:sz w:val="17"/>
              </w:rPr>
              <w:t>11</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57"/>
              <w:jc w:val="right"/>
              <w:rPr>
                <w:sz w:val="17"/>
              </w:rPr>
            </w:pPr>
            <w:r>
              <w:rPr>
                <w:sz w:val="17"/>
              </w:rPr>
              <w:t>9.2</w:t>
            </w:r>
          </w:p>
        </w:tc>
      </w:tr>
    </w:tbl>
    <w:p w:rsidR="00436071" w:rsidRDefault="00436071">
      <w:pPr>
        <w:pStyle w:val="SingleTxt"/>
        <w:spacing w:after="0" w:line="120" w:lineRule="exact"/>
        <w:rPr>
          <w:sz w:val="10"/>
        </w:rPr>
      </w:pPr>
    </w:p>
    <w:p w:rsidR="00436071" w:rsidRDefault="00436071">
      <w:pPr>
        <w:pStyle w:val="SingleTxt"/>
        <w:rPr>
          <w:rFonts w:hint="eastAsia"/>
        </w:rPr>
      </w:pPr>
      <w:r>
        <w:tab/>
      </w:r>
      <w:r>
        <w:rPr>
          <w:rFonts w:hint="eastAsia"/>
        </w:rPr>
        <w:t>妇女在国民议会的代表情况与在其他领域见到的趋势基本相同，即妇女的比例在14％上达到了极限，在一党制期间比例较高，为13.9％和14.2％，而多党制期间比例较低，为5％和8.5％。</w:t>
      </w:r>
    </w:p>
    <w:p w:rsidR="00436071" w:rsidRDefault="00436071">
      <w:pPr>
        <w:pStyle w:val="SingleTxt"/>
        <w:rPr>
          <w:rFonts w:hint="eastAsia"/>
        </w:rPr>
      </w:pPr>
      <w:r>
        <w:tab/>
      </w:r>
      <w:r>
        <w:rPr>
          <w:rFonts w:hint="eastAsia"/>
        </w:rPr>
        <w:t>在1996年的立法选举中，共有候选人1 142名，其中妇女为80名。她们中间有13.75％当选。</w:t>
      </w:r>
    </w:p>
    <w:p w:rsidR="00436071" w:rsidRDefault="00436071">
      <w:pPr>
        <w:pStyle w:val="SingleTxt"/>
      </w:pPr>
      <w:r>
        <w:rPr>
          <w:rFonts w:hint="eastAsia"/>
        </w:rPr>
        <w:t>表2：</w:t>
      </w:r>
    </w:p>
    <w:p w:rsidR="00436071" w:rsidRDefault="00436071">
      <w:pPr>
        <w:pStyle w:val="SingleTxt"/>
        <w:rPr>
          <w:rFonts w:ascii="SimHei" w:eastAsia="SimHei" w:hint="eastAsia"/>
          <w:color w:val="FF0000"/>
        </w:rPr>
      </w:pPr>
      <w:r>
        <w:rPr>
          <w:rFonts w:ascii="SimHei" w:eastAsia="SimHei" w:hint="eastAsia"/>
          <w:color w:val="FF0000"/>
        </w:rPr>
        <w:t>参议院中女性代表的情况</w:t>
      </w:r>
    </w:p>
    <w:tbl>
      <w:tblPr>
        <w:tblW w:w="0" w:type="auto"/>
        <w:tblInd w:w="1268"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830"/>
        <w:gridCol w:w="1372"/>
        <w:gridCol w:w="1373"/>
        <w:gridCol w:w="1373"/>
        <w:gridCol w:w="1373"/>
      </w:tblGrid>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ascii="KaiTi_GB2312" w:eastAsia="KaiTi_GB2312" w:hint="eastAsia"/>
                <w:color w:val="0000FF"/>
                <w:sz w:val="15"/>
              </w:rPr>
            </w:pPr>
            <w:r>
              <w:rPr>
                <w:rFonts w:ascii="KaiTi_GB2312" w:eastAsia="KaiTi_GB2312" w:hint="eastAsia"/>
                <w:color w:val="0000FF"/>
                <w:sz w:val="15"/>
              </w:rPr>
              <w:t>时期</w:t>
            </w:r>
          </w:p>
        </w:tc>
        <w:tc>
          <w:tcPr>
            <w:tcW w:w="1372"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b/>
                <w:bCs/>
                <w:color w:val="FF0000"/>
                <w:sz w:val="15"/>
              </w:rPr>
            </w:pPr>
            <w:r>
              <w:rPr>
                <w:rFonts w:ascii="SimHei" w:eastAsia="SimHei" w:hint="eastAsia"/>
                <w:b/>
                <w:bCs/>
                <w:color w:val="FF0000"/>
                <w:sz w:val="15"/>
              </w:rPr>
              <w:t>总数</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KaiTi_GB2312" w:eastAsia="KaiTi_GB2312" w:hint="eastAsia"/>
                <w:color w:val="0000FF"/>
                <w:sz w:val="15"/>
              </w:rPr>
            </w:pPr>
            <w:r>
              <w:rPr>
                <w:rFonts w:ascii="KaiTi_GB2312" w:eastAsia="KaiTi_GB2312" w:hint="eastAsia"/>
                <w:color w:val="0000FF"/>
                <w:sz w:val="15"/>
              </w:rPr>
              <w:t>男性</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KaiTi_GB2312" w:eastAsia="KaiTi_GB2312" w:hint="eastAsia"/>
                <w:color w:val="0000FF"/>
                <w:sz w:val="15"/>
              </w:rPr>
            </w:pPr>
            <w:r>
              <w:rPr>
                <w:rFonts w:ascii="KaiTi_GB2312" w:eastAsia="KaiTi_GB2312" w:hint="eastAsia"/>
                <w:color w:val="0000FF"/>
                <w:sz w:val="15"/>
              </w:rPr>
              <w:t>女性</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KaiTi_GB2312" w:eastAsia="KaiTi_GB2312" w:hint="eastAsia"/>
                <w:color w:val="0000FF"/>
                <w:sz w:val="15"/>
              </w:rPr>
            </w:pPr>
            <w:r>
              <w:rPr>
                <w:rFonts w:ascii="KaiTi_GB2312" w:eastAsia="KaiTi_GB2312" w:hint="eastAsia"/>
                <w:color w:val="0000FF"/>
                <w:sz w:val="15"/>
              </w:rPr>
              <w:t>女性百分比</w:t>
            </w:r>
          </w:p>
        </w:tc>
      </w:tr>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hint="eastAsia"/>
                <w:sz w:val="17"/>
              </w:rPr>
            </w:pPr>
            <w:r>
              <w:rPr>
                <w:rFonts w:hint="eastAsia"/>
                <w:sz w:val="17"/>
              </w:rPr>
              <w:t>1996-2001</w:t>
            </w:r>
          </w:p>
        </w:tc>
        <w:tc>
          <w:tcPr>
            <w:tcW w:w="1372"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ascii="SimHei" w:eastAsia="SimHei" w:hint="eastAsia"/>
                <w:b/>
                <w:bCs/>
                <w:color w:val="FF0000"/>
                <w:sz w:val="17"/>
              </w:rPr>
            </w:pPr>
            <w:r>
              <w:rPr>
                <w:rFonts w:ascii="SimHei" w:eastAsia="SimHei" w:hint="eastAsia"/>
                <w:b/>
                <w:bCs/>
                <w:color w:val="FF0000"/>
                <w:sz w:val="17"/>
              </w:rPr>
              <w:t>91</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int="eastAsia"/>
                <w:sz w:val="17"/>
              </w:rPr>
            </w:pPr>
            <w:r>
              <w:rPr>
                <w:rFonts w:hint="eastAsia"/>
                <w:sz w:val="17"/>
              </w:rPr>
              <w:t>80</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int="eastAsia"/>
                <w:sz w:val="17"/>
              </w:rPr>
            </w:pPr>
            <w:r>
              <w:rPr>
                <w:rFonts w:hint="eastAsia"/>
                <w:sz w:val="17"/>
              </w:rPr>
              <w:t>11</w:t>
            </w:r>
          </w:p>
        </w:tc>
        <w:tc>
          <w:tcPr>
            <w:tcW w:w="1373"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int="eastAsia"/>
                <w:sz w:val="17"/>
              </w:rPr>
            </w:pPr>
            <w:r>
              <w:rPr>
                <w:rFonts w:hint="eastAsia"/>
                <w:sz w:val="17"/>
              </w:rPr>
              <w:t>12</w:t>
            </w:r>
          </w:p>
        </w:tc>
      </w:tr>
    </w:tbl>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妇女在参议院中的情况，如果必要的话，它可以证明女性在共和国国家机构中没有得到充分代表。</w:t>
      </w:r>
    </w:p>
    <w:p w:rsidR="00436071" w:rsidRDefault="00436071">
      <w:pPr>
        <w:pStyle w:val="SingleTxt"/>
        <w:rPr>
          <w:rFonts w:hint="eastAsia"/>
        </w:rPr>
      </w:pPr>
      <w:r>
        <w:rPr>
          <w:rFonts w:hint="eastAsia"/>
        </w:rPr>
        <w:tab/>
        <w:t>总的说来，即使在议会两院的一院中达到14%的最高比例，也根本不足以使妇女能以某种方式影响决策。</w:t>
      </w:r>
    </w:p>
    <w:p w:rsidR="00436071" w:rsidRDefault="00436071">
      <w:pPr>
        <w:pStyle w:val="SingleTxt"/>
      </w:pPr>
      <w:r>
        <w:rPr>
          <w:rFonts w:hint="eastAsia"/>
        </w:rPr>
        <w:tab/>
        <w:t>此外，某些决策部门领导机构的构成充分显示了妇女在决策进程中所处的边缘化状态。</w:t>
      </w:r>
    </w:p>
    <w:p w:rsidR="00436071" w:rsidRDefault="00436071">
      <w:pPr>
        <w:pStyle w:val="SingleTxt"/>
        <w:spacing w:after="60"/>
        <w:rPr>
          <w:rFonts w:hint="eastAsia"/>
        </w:rPr>
      </w:pPr>
      <w:r>
        <w:rPr>
          <w:rFonts w:hint="eastAsia"/>
        </w:rPr>
        <w:t>表3：</w:t>
      </w:r>
    </w:p>
    <w:p w:rsidR="00436071" w:rsidRDefault="00436071">
      <w:pPr>
        <w:pStyle w:val="SingleTxt"/>
        <w:rPr>
          <w:rFonts w:ascii="SimHei" w:eastAsia="SimHei"/>
          <w:color w:val="FF0000"/>
        </w:rPr>
      </w:pPr>
      <w:r>
        <w:rPr>
          <w:rFonts w:ascii="SimHei" w:eastAsia="SimHei" w:hint="eastAsia"/>
          <w:color w:val="FF0000"/>
        </w:rPr>
        <w:t>妇女在国民议会主席团中的存在</w:t>
      </w:r>
    </w:p>
    <w:tbl>
      <w:tblPr>
        <w:tblW w:w="0" w:type="auto"/>
        <w:tblInd w:w="1268"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1"/>
      </w:tblGrid>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left"/>
              <w:rPr>
                <w:rFonts w:ascii="KaiTi_GB2312" w:eastAsia="KaiTi_GB2312" w:hint="eastAsia"/>
                <w:color w:val="0000FF"/>
                <w:sz w:val="15"/>
              </w:rPr>
            </w:pPr>
            <w:r>
              <w:rPr>
                <w:rFonts w:ascii="KaiTi_GB2312" w:eastAsia="KaiTi_GB2312" w:hint="eastAsia"/>
                <w:color w:val="0000FF"/>
                <w:sz w:val="15"/>
              </w:rPr>
              <w:t>时期</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ascii="SimHei" w:eastAsia="SimHei" w:hint="eastAsia"/>
                <w:color w:val="FF0000"/>
                <w:sz w:val="15"/>
              </w:rPr>
            </w:pPr>
            <w:r>
              <w:rPr>
                <w:rFonts w:ascii="SimHei" w:eastAsia="SimHei" w:hint="eastAsia"/>
                <w:color w:val="FF0000"/>
                <w:sz w:val="15"/>
              </w:rPr>
              <w:t>总数</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ascii="KaiTi_GB2312" w:eastAsia="KaiTi_GB2312" w:hint="eastAsia"/>
                <w:color w:val="0000FF"/>
                <w:sz w:val="15"/>
              </w:rPr>
            </w:pPr>
            <w:r>
              <w:rPr>
                <w:rFonts w:ascii="KaiTi_GB2312" w:eastAsia="KaiTi_GB2312" w:hint="eastAsia"/>
                <w:color w:val="0000FF"/>
                <w:sz w:val="15"/>
              </w:rPr>
              <w:t>妇女人数</w:t>
            </w:r>
          </w:p>
        </w:tc>
        <w:tc>
          <w:tcPr>
            <w:tcW w:w="1831"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ascii="KaiTi_GB2312" w:eastAsia="KaiTi_GB2312" w:hint="eastAsia"/>
                <w:color w:val="0000FF"/>
                <w:sz w:val="15"/>
              </w:rPr>
            </w:pPr>
            <w:r>
              <w:rPr>
                <w:rFonts w:ascii="KaiTi_GB2312" w:eastAsia="KaiTi_GB2312" w:hint="eastAsia"/>
                <w:color w:val="0000FF"/>
                <w:sz w:val="15"/>
              </w:rPr>
              <w:t>妇女百分比</w:t>
            </w:r>
          </w:p>
        </w:tc>
      </w:tr>
      <w:tr w:rsidR="00436071">
        <w:tblPrEx>
          <w:tblCellMar>
            <w:top w:w="0" w:type="dxa"/>
            <w:bottom w:w="0" w:type="dxa"/>
          </w:tblCellMar>
        </w:tblPrEx>
        <w:trPr>
          <w:cantSplit/>
        </w:trPr>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left"/>
              <w:rPr>
                <w:rFonts w:ascii="KaiTi_GB2312" w:eastAsia="KaiTi_GB2312" w:hint="eastAsia"/>
                <w:color w:val="0000FF"/>
                <w:sz w:val="17"/>
              </w:rPr>
            </w:pPr>
            <w:r>
              <w:rPr>
                <w:sz w:val="17"/>
              </w:rPr>
              <w:t>1985-1990</w:t>
            </w:r>
          </w:p>
        </w:tc>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ascii="SimHei" w:eastAsia="SimHei" w:hint="eastAsia"/>
                <w:b/>
                <w:bCs/>
                <w:color w:val="FF0000"/>
                <w:sz w:val="17"/>
              </w:rPr>
            </w:pPr>
            <w:r>
              <w:rPr>
                <w:rFonts w:ascii="SimHei" w:eastAsia="SimHei" w:hint="eastAsia"/>
                <w:b/>
                <w:bCs/>
                <w:color w:val="FF0000"/>
                <w:sz w:val="17"/>
              </w:rPr>
              <w:t>16</w:t>
            </w:r>
          </w:p>
        </w:tc>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hint="eastAsia"/>
                <w:sz w:val="17"/>
              </w:rPr>
            </w:pPr>
            <w:r>
              <w:rPr>
                <w:rFonts w:hint="eastAsia"/>
                <w:sz w:val="17"/>
              </w:rPr>
              <w:t>3</w:t>
            </w:r>
          </w:p>
        </w:tc>
        <w:tc>
          <w:tcPr>
            <w:tcW w:w="1831"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hint="eastAsia"/>
                <w:sz w:val="17"/>
              </w:rPr>
            </w:pPr>
            <w:r>
              <w:rPr>
                <w:sz w:val="17"/>
              </w:rPr>
              <w:t>18.75</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left"/>
              <w:rPr>
                <w:rFonts w:ascii="KaiTi_GB2312" w:eastAsia="KaiTi_GB2312" w:hint="eastAsia"/>
                <w:color w:val="0000FF"/>
                <w:sz w:val="17"/>
              </w:rPr>
            </w:pPr>
            <w:r>
              <w:rPr>
                <w:rFonts w:hint="eastAsia"/>
                <w:sz w:val="17"/>
              </w:rPr>
              <w:t>1990-1996</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ascii="SimHei" w:eastAsia="SimHei" w:hint="eastAsia"/>
                <w:b/>
                <w:bCs/>
                <w:color w:val="FF0000"/>
                <w:sz w:val="17"/>
              </w:rPr>
            </w:pPr>
            <w:r>
              <w:rPr>
                <w:rFonts w:ascii="SimHei" w:eastAsia="SimHei" w:hint="eastAsia"/>
                <w:b/>
                <w:bCs/>
                <w:color w:val="FF0000"/>
                <w:sz w:val="17"/>
              </w:rPr>
              <w:t>21</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hint="eastAsia"/>
                <w:sz w:val="17"/>
              </w:rPr>
            </w:pPr>
            <w:r>
              <w:rPr>
                <w:rFonts w:hint="eastAsia"/>
                <w:sz w:val="17"/>
              </w:rPr>
              <w:t>4</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hint="eastAsia"/>
                <w:sz w:val="17"/>
              </w:rPr>
            </w:pPr>
            <w:r>
              <w:rPr>
                <w:rFonts w:hint="eastAsia"/>
                <w:sz w:val="17"/>
              </w:rPr>
              <w:t>19</w:t>
            </w:r>
          </w:p>
        </w:tc>
      </w:tr>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left"/>
              <w:rPr>
                <w:rFonts w:hint="eastAsia"/>
                <w:sz w:val="17"/>
              </w:rPr>
            </w:pPr>
            <w:r>
              <w:rPr>
                <w:rFonts w:hint="eastAsia"/>
                <w:sz w:val="17"/>
              </w:rPr>
              <w:t>1996-2001</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ascii="SimHei" w:eastAsia="SimHei" w:hint="eastAsia"/>
                <w:b/>
                <w:bCs/>
                <w:color w:val="FF0000"/>
                <w:sz w:val="17"/>
              </w:rPr>
            </w:pPr>
            <w:r>
              <w:rPr>
                <w:rFonts w:ascii="SimHei" w:eastAsia="SimHei" w:hint="eastAsia"/>
                <w:b/>
                <w:bCs/>
                <w:color w:val="FF0000"/>
                <w:sz w:val="17"/>
              </w:rPr>
              <w:t>21</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hint="eastAsia"/>
                <w:sz w:val="17"/>
              </w:rPr>
            </w:pPr>
            <w:r>
              <w:rPr>
                <w:rFonts w:hint="eastAsia"/>
                <w:sz w:val="17"/>
              </w:rPr>
              <w:t>2</w:t>
            </w:r>
          </w:p>
        </w:tc>
        <w:tc>
          <w:tcPr>
            <w:tcW w:w="1831"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300" w:lineRule="exact"/>
              <w:ind w:left="0" w:right="40"/>
              <w:jc w:val="right"/>
              <w:rPr>
                <w:rFonts w:hint="eastAsia"/>
                <w:sz w:val="17"/>
              </w:rPr>
            </w:pPr>
            <w:r>
              <w:rPr>
                <w:rFonts w:hint="eastAsia"/>
                <w:sz w:val="17"/>
              </w:rPr>
              <w:t>9.5</w:t>
            </w:r>
          </w:p>
        </w:tc>
      </w:tr>
    </w:tbl>
    <w:p w:rsidR="00436071" w:rsidRDefault="00436071">
      <w:pPr>
        <w:pStyle w:val="SingleTxt"/>
        <w:spacing w:after="0" w:line="120" w:lineRule="exact"/>
        <w:rPr>
          <w:rFonts w:hint="eastAsia"/>
          <w:sz w:val="10"/>
        </w:rPr>
      </w:pPr>
    </w:p>
    <w:p w:rsidR="00436071" w:rsidRDefault="00436071">
      <w:pPr>
        <w:pStyle w:val="SingleTxt"/>
        <w:tabs>
          <w:tab w:val="left" w:pos="2835"/>
        </w:tabs>
        <w:spacing w:after="60"/>
        <w:rPr>
          <w:rFonts w:hint="eastAsia"/>
        </w:rPr>
      </w:pPr>
      <w:r>
        <w:rPr>
          <w:rFonts w:hint="eastAsia"/>
        </w:rPr>
        <w:t>表4：</w:t>
      </w:r>
    </w:p>
    <w:p w:rsidR="00436071" w:rsidRDefault="00436071">
      <w:pPr>
        <w:pStyle w:val="SingleTxt"/>
        <w:rPr>
          <w:rFonts w:ascii="SimHei" w:eastAsia="SimHei" w:hint="eastAsia"/>
          <w:color w:val="FF0000"/>
        </w:rPr>
      </w:pPr>
      <w:r>
        <w:rPr>
          <w:rFonts w:ascii="SimHei" w:eastAsia="SimHei" w:hint="eastAsia"/>
          <w:color w:val="FF0000"/>
        </w:rPr>
        <w:t>妇女在参议院主席团中的存在</w:t>
      </w:r>
    </w:p>
    <w:tbl>
      <w:tblPr>
        <w:tblW w:w="0" w:type="auto"/>
        <w:tblInd w:w="1268"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1"/>
      </w:tblGrid>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ascii="KaiTi_GB2312" w:eastAsia="KaiTi_GB2312" w:hint="eastAsia"/>
                <w:color w:val="0000FF"/>
                <w:sz w:val="15"/>
              </w:rPr>
            </w:pPr>
            <w:r>
              <w:rPr>
                <w:rFonts w:ascii="KaiTi_GB2312" w:eastAsia="KaiTi_GB2312" w:hint="eastAsia"/>
                <w:color w:val="0000FF"/>
                <w:sz w:val="15"/>
              </w:rPr>
              <w:t>时期</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ascii="KaiTi_GB2312" w:eastAsia="KaiTi_GB2312" w:hint="eastAsia"/>
                <w:color w:val="0000FF"/>
                <w:sz w:val="15"/>
              </w:rPr>
            </w:pPr>
            <w:r>
              <w:rPr>
                <w:rFonts w:ascii="KaiTi_GB2312" w:eastAsia="KaiTi_GB2312" w:hint="eastAsia"/>
                <w:color w:val="0000FF"/>
                <w:sz w:val="15"/>
              </w:rPr>
              <w:t>总数</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ascii="KaiTi_GB2312" w:eastAsia="KaiTi_GB2312" w:hint="eastAsia"/>
                <w:color w:val="0000FF"/>
                <w:sz w:val="15"/>
              </w:rPr>
            </w:pPr>
            <w:r>
              <w:rPr>
                <w:rFonts w:ascii="KaiTi_GB2312" w:eastAsia="KaiTi_GB2312" w:hint="eastAsia"/>
                <w:color w:val="0000FF"/>
                <w:sz w:val="15"/>
              </w:rPr>
              <w:t>妇女人数</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ascii="KaiTi_GB2312" w:eastAsia="KaiTi_GB2312" w:hint="eastAsia"/>
                <w:color w:val="0000FF"/>
                <w:sz w:val="15"/>
              </w:rPr>
            </w:pPr>
            <w:r>
              <w:rPr>
                <w:rFonts w:ascii="KaiTi_GB2312" w:eastAsia="KaiTi_GB2312" w:hint="eastAsia"/>
                <w:color w:val="0000FF"/>
                <w:sz w:val="15"/>
              </w:rPr>
              <w:t>妇女百分比</w:t>
            </w:r>
          </w:p>
        </w:tc>
      </w:tr>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hint="eastAsia"/>
                <w:sz w:val="17"/>
              </w:rPr>
            </w:pPr>
            <w:r>
              <w:rPr>
                <w:rFonts w:hint="eastAsia"/>
                <w:sz w:val="17"/>
              </w:rPr>
              <w:t>1996-2001</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15</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2</w:t>
            </w:r>
          </w:p>
        </w:tc>
        <w:tc>
          <w:tcPr>
            <w:tcW w:w="1831"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13</w:t>
            </w:r>
            <w:r>
              <w:rPr>
                <w:sz w:val="17"/>
              </w:rPr>
              <w:t>.33</w:t>
            </w:r>
          </w:p>
        </w:tc>
      </w:tr>
    </w:tbl>
    <w:p w:rsidR="00436071" w:rsidRDefault="00436071">
      <w:pPr>
        <w:pStyle w:val="SingleTxt"/>
        <w:spacing w:after="0" w:line="120" w:lineRule="exact"/>
        <w:rPr>
          <w:rFonts w:hint="eastAsia"/>
          <w:sz w:val="10"/>
        </w:rPr>
      </w:pPr>
    </w:p>
    <w:p w:rsidR="00436071" w:rsidRDefault="00436071">
      <w:pPr>
        <w:pStyle w:val="SingleTxt"/>
        <w:spacing w:line="340" w:lineRule="exact"/>
        <w:rPr>
          <w:rFonts w:hint="eastAsia"/>
        </w:rPr>
      </w:pPr>
      <w:r>
        <w:rPr>
          <w:rFonts w:hint="eastAsia"/>
        </w:rPr>
        <w:tab/>
        <w:t>关于妇女在地方机构中的存在，据内政部称，1996年举行的选举使得61名妇女当选大区议会议员，174名妇女当选市议会议员，其中有多人被选为市长（让蒂尔港、兰巴雷内、奇班加、穆伊拉等）。69名（占总数的8.8％）妇女成为了省议会议员。</w:t>
      </w:r>
    </w:p>
    <w:p w:rsidR="00436071" w:rsidRDefault="00436071">
      <w:pPr>
        <w:pStyle w:val="SingleTxt"/>
        <w:spacing w:line="340" w:lineRule="exact"/>
        <w:rPr>
          <w:rFonts w:hint="eastAsia"/>
        </w:rPr>
      </w:pPr>
      <w:r>
        <w:rPr>
          <w:rFonts w:hint="eastAsia"/>
        </w:rPr>
        <w:tab/>
        <w:t>加蓬政府意识到需要为更多的妇女进入这些机构作出努力，并且已经在全力以赴。为此，家庭、保护儿童和提高妇女地位部在联合国人口基金的合作下建立了加蓬妇女部长和女议员网络，其主席为女性。</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第八条：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妇女在国际上的代表</w:t>
      </w:r>
    </w:p>
    <w:p w:rsidR="00436071" w:rsidRDefault="00436071">
      <w:pPr>
        <w:pStyle w:val="SingleTxt"/>
        <w:spacing w:after="0" w:line="120" w:lineRule="exact"/>
        <w:rPr>
          <w:rFonts w:hint="eastAsia"/>
          <w:sz w:val="10"/>
        </w:rPr>
      </w:pPr>
    </w:p>
    <w:p w:rsidR="00436071" w:rsidRDefault="00436071">
      <w:pPr>
        <w:pStyle w:val="SingleTxt"/>
        <w:spacing w:line="340" w:lineRule="exact"/>
        <w:rPr>
          <w:rFonts w:hint="eastAsia"/>
        </w:rPr>
      </w:pPr>
      <w:r>
        <w:rPr>
          <w:rFonts w:hint="eastAsia"/>
        </w:rPr>
        <w:tab/>
        <w:t>尽管在国际机构和国际会议中通常都有妇女存在，但是与男子相比，她们的人数依然很少。</w:t>
      </w:r>
    </w:p>
    <w:p w:rsidR="00436071" w:rsidRDefault="00436071">
      <w:pPr>
        <w:pStyle w:val="SingleTxt"/>
        <w:spacing w:line="340" w:lineRule="exact"/>
        <w:rPr>
          <w:rFonts w:hint="eastAsia"/>
        </w:rPr>
      </w:pPr>
      <w:r>
        <w:rPr>
          <w:rFonts w:hint="eastAsia"/>
        </w:rPr>
        <w:tab/>
        <w:t>目前，加蓬有：</w:t>
      </w:r>
    </w:p>
    <w:p w:rsidR="00436071" w:rsidRDefault="00436071">
      <w:pPr>
        <w:pStyle w:val="SingleTxt"/>
        <w:ind w:left="2115" w:hanging="431"/>
        <w:rPr>
          <w:rFonts w:hint="eastAsia"/>
        </w:rPr>
      </w:pPr>
      <w:r>
        <w:rPr>
          <w:rFonts w:hint="eastAsia"/>
        </w:rPr>
        <w:tab/>
        <w:t>-</w:t>
      </w:r>
      <w:r>
        <w:rPr>
          <w:rFonts w:hint="eastAsia"/>
        </w:rPr>
        <w:tab/>
        <w:t>常驻联合国女大使一名；</w:t>
      </w:r>
    </w:p>
    <w:p w:rsidR="00436071" w:rsidRDefault="00436071">
      <w:pPr>
        <w:pStyle w:val="SingleTxt"/>
        <w:ind w:left="2115" w:hanging="431"/>
        <w:rPr>
          <w:rFonts w:hint="eastAsia"/>
        </w:rPr>
      </w:pPr>
      <w:r>
        <w:rPr>
          <w:rFonts w:hint="eastAsia"/>
        </w:rPr>
        <w:t>-</w:t>
      </w:r>
      <w:r>
        <w:rPr>
          <w:rFonts w:hint="eastAsia"/>
        </w:rPr>
        <w:tab/>
        <w:t>无任所女大使两名，巡回女大使两名</w:t>
      </w:r>
    </w:p>
    <w:p w:rsidR="00436071" w:rsidRDefault="00436071">
      <w:pPr>
        <w:pStyle w:val="SingleTxt"/>
        <w:spacing w:line="340" w:lineRule="exact"/>
        <w:rPr>
          <w:rFonts w:hint="eastAsia"/>
          <w:spacing w:val="-4"/>
        </w:rPr>
      </w:pPr>
      <w:r>
        <w:rPr>
          <w:rFonts w:hint="eastAsia"/>
        </w:rPr>
        <w:tab/>
      </w:r>
      <w:r>
        <w:rPr>
          <w:rFonts w:hint="eastAsia"/>
          <w:spacing w:val="-4"/>
        </w:rPr>
        <w:t>此外，妇女参加了联合国大会和会议，以及在地区和国际一级举行的其他会议。</w:t>
      </w:r>
    </w:p>
    <w:p w:rsidR="00436071" w:rsidRDefault="00436071">
      <w:pPr>
        <w:pStyle w:val="SingleTxt"/>
        <w:spacing w:line="340" w:lineRule="exact"/>
      </w:pPr>
      <w:r>
        <w:rPr>
          <w:rFonts w:hint="eastAsia"/>
        </w:rPr>
        <w:tab/>
        <w:t>这里可以指出的是，主要障碍依然是已婚妇女需要得到丈夫的准许。</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第九条：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国籍</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关于新国籍法的1998年7月20日第37/98号法律已获通过。该法增加了一些新的内容，明确了男女之间的平等权利。从而，加蓬国籍可以通过以下方式取得：出生、亲子关系、承认、入籍、恢复国籍以及婚姻等。</w:t>
      </w:r>
    </w:p>
    <w:p w:rsidR="00436071" w:rsidRDefault="00436071">
      <w:pPr>
        <w:pStyle w:val="SingleTxt"/>
        <w:rPr>
          <w:rFonts w:hint="eastAsia"/>
        </w:rPr>
      </w:pPr>
      <w:r>
        <w:rPr>
          <w:rFonts w:hint="eastAsia"/>
        </w:rPr>
        <w:tab/>
        <w:t>取得国籍的条件男女都一样。在新国籍法中增加的新内容有：娶加蓬女子为妻的外国男子，只要明确提出要求，就可取得加蓬国籍，但条件是结婚必须满三年，而且婚姻没有解体，或者没有宣布无效（《国籍法》第20条和24条）。居住地法庭庭长有权对以以下理由提出的国籍要求作出裁定：出生、亲子关系、承认或婚姻效力等（《国籍法》第38条）。</w:t>
      </w:r>
    </w:p>
    <w:p w:rsidR="00436071" w:rsidRDefault="00436071">
      <w:pPr>
        <w:pStyle w:val="SingleTxt"/>
        <w:rPr>
          <w:rFonts w:hint="eastAsia"/>
        </w:rPr>
      </w:pPr>
      <w:r>
        <w:rPr>
          <w:rFonts w:hint="eastAsia"/>
        </w:rPr>
        <w:tab/>
        <w:t>男女均可通过声明放弃国籍（《国籍法》第34条）。</w:t>
      </w:r>
    </w:p>
    <w:p w:rsidR="00436071" w:rsidRDefault="00436071">
      <w:pPr>
        <w:pStyle w:val="SingleTxt"/>
        <w:rPr>
          <w:rFonts w:hint="eastAsia"/>
        </w:rPr>
      </w:pPr>
      <w:r>
        <w:rPr>
          <w:rFonts w:hint="eastAsia"/>
        </w:rPr>
        <w:tab/>
        <w:t>嫁给外国人的加蓬妇女不再像以前规定的那样自动丧失其国籍。</w:t>
      </w:r>
    </w:p>
    <w:p w:rsidR="00436071" w:rsidRDefault="00436071">
      <w:pPr>
        <w:pStyle w:val="SingleTxt"/>
        <w:rPr>
          <w:rFonts w:hint="eastAsia"/>
        </w:rPr>
      </w:pPr>
      <w:r>
        <w:rPr>
          <w:rFonts w:hint="eastAsia"/>
        </w:rPr>
        <w:tab/>
        <w:t>男女均可将国籍传给子女。</w:t>
      </w:r>
    </w:p>
    <w:p w:rsidR="00436071" w:rsidRDefault="00436071">
      <w:pPr>
        <w:pStyle w:val="SingleTxt"/>
        <w:rPr>
          <w:rFonts w:hint="eastAsia"/>
        </w:rPr>
      </w:pPr>
      <w:r>
        <w:rPr>
          <w:rFonts w:hint="eastAsia"/>
        </w:rPr>
        <w:tab/>
        <w:t>然而，在实践中，人们往往无视立法，总是赋予父亲的国籍以特权地位。</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第十条：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促进妇女教育</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加蓬宪法保障所有男女儿童享有受教育的平等机会。1966年8月10日的第16/66号法律规定了普及6至16岁儿童的义务教育。</w:t>
      </w:r>
    </w:p>
    <w:p w:rsidR="00436071" w:rsidRDefault="00436071">
      <w:pPr>
        <w:pStyle w:val="SingleTxt"/>
        <w:rPr>
          <w:rFonts w:hint="eastAsia"/>
        </w:rPr>
      </w:pPr>
      <w:r>
        <w:rPr>
          <w:rFonts w:hint="eastAsia"/>
        </w:rPr>
        <w:tab/>
        <w:t>给女生提供奖学金的条件与男生相同（给任何一位中学生提供奖学金，其平均分高于或等同于10/20）。</w:t>
      </w:r>
    </w:p>
    <w:p w:rsidR="00436071" w:rsidRDefault="00436071">
      <w:pPr>
        <w:pStyle w:val="SingleTxt"/>
        <w:rPr>
          <w:rFonts w:hint="eastAsia"/>
        </w:rPr>
      </w:pPr>
      <w:r>
        <w:rPr>
          <w:rFonts w:hint="eastAsia"/>
        </w:rPr>
        <w:tab/>
        <w:t>政府还为所有儿童建立了培训和教育机构。</w:t>
      </w:r>
    </w:p>
    <w:p w:rsidR="00436071" w:rsidRDefault="00436071">
      <w:pPr>
        <w:pStyle w:val="SingleTxt"/>
        <w:rPr>
          <w:rFonts w:hint="eastAsia"/>
        </w:rPr>
      </w:pPr>
      <w:r>
        <w:rPr>
          <w:rFonts w:hint="eastAsia"/>
        </w:rPr>
        <w:tab/>
      </w:r>
      <w:r>
        <w:rPr>
          <w:rFonts w:hint="eastAsia"/>
          <w:spacing w:val="6"/>
        </w:rPr>
        <w:t>女孩的小学在学率为100％，初中为39.94％，高中为7.20％，大学为2.63％。这说明层次越高女生在学生总数中</w:t>
      </w:r>
      <w:r>
        <w:rPr>
          <w:rFonts w:hint="eastAsia"/>
        </w:rPr>
        <w:t>所占比例越小。</w:t>
      </w:r>
    </w:p>
    <w:p w:rsidR="00436071" w:rsidRDefault="00436071">
      <w:pPr>
        <w:pStyle w:val="SingleTxt"/>
        <w:rPr>
          <w:rFonts w:hint="eastAsia"/>
        </w:rPr>
      </w:pPr>
      <w:r>
        <w:rPr>
          <w:rFonts w:hint="eastAsia"/>
        </w:rPr>
        <w:tab/>
        <w:t>这种情况应归因于这样一个事实：女孩遇到的问题是多方面的，诸如父母退职、家庭负担和早婚早孕等。然而，有些女孩最后还是完成了学业。</w:t>
      </w:r>
    </w:p>
    <w:p w:rsidR="00436071" w:rsidRDefault="00436071">
      <w:pPr>
        <w:pStyle w:val="SingleTxt"/>
      </w:pPr>
      <w:r>
        <w:rPr>
          <w:rFonts w:hint="eastAsia"/>
        </w:rPr>
        <w:tab/>
        <w:t>在这方面，下表显示了毕业于医学院的女生人数变化情况。</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表5：</w:t>
      </w:r>
    </w:p>
    <w:p w:rsidR="00436071" w:rsidRDefault="00436071">
      <w:pPr>
        <w:pStyle w:val="SingleTxt"/>
        <w:rPr>
          <w:rFonts w:ascii="SimHei" w:eastAsia="SimHei" w:hint="eastAsia"/>
          <w:color w:val="FF0000"/>
        </w:rPr>
      </w:pPr>
      <w:r>
        <w:rPr>
          <w:rFonts w:ascii="SimHei" w:eastAsia="SimHei" w:hint="eastAsia"/>
          <w:color w:val="FF0000"/>
        </w:rPr>
        <w:t>毕业于加蓬医学和卫生科学学院的学生人数：</w:t>
      </w:r>
    </w:p>
    <w:tbl>
      <w:tblPr>
        <w:tblW w:w="0" w:type="auto"/>
        <w:tblInd w:w="1268"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1"/>
      </w:tblGrid>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ascii="KaiTi_GB2312" w:eastAsia="KaiTi_GB2312" w:hint="eastAsia"/>
                <w:color w:val="0000FF"/>
                <w:sz w:val="15"/>
              </w:rPr>
            </w:pPr>
            <w:r>
              <w:rPr>
                <w:rFonts w:ascii="KaiTi_GB2312" w:eastAsia="KaiTi_GB2312" w:hint="eastAsia"/>
                <w:color w:val="0000FF"/>
                <w:sz w:val="14"/>
              </w:rPr>
              <w:t>年份</w:t>
            </w:r>
            <w:r>
              <w:rPr>
                <w:rFonts w:ascii="KaiTi_GB2312" w:eastAsia="KaiTi_GB2312" w:hint="eastAsia"/>
                <w:color w:val="0000FF"/>
                <w:sz w:val="14"/>
              </w:rPr>
              <w:tab/>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KaiTi_GB2312" w:eastAsia="KaiTi_GB2312" w:hint="eastAsia"/>
                <w:color w:val="0000FF"/>
                <w:sz w:val="14"/>
              </w:rPr>
            </w:pPr>
            <w:r>
              <w:rPr>
                <w:rFonts w:ascii="KaiTi_GB2312" w:eastAsia="KaiTi_GB2312" w:hint="eastAsia"/>
                <w:color w:val="0000FF"/>
                <w:sz w:val="14"/>
              </w:rPr>
              <w:t>男生</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KaiTi_GB2312" w:eastAsia="KaiTi_GB2312" w:hint="eastAsia"/>
                <w:color w:val="0000FF"/>
                <w:sz w:val="14"/>
              </w:rPr>
            </w:pPr>
            <w:r>
              <w:rPr>
                <w:rFonts w:ascii="KaiTi_GB2312" w:eastAsia="KaiTi_GB2312" w:hint="eastAsia"/>
                <w:color w:val="0000FF"/>
                <w:sz w:val="14"/>
              </w:rPr>
              <w:t>女生</w:t>
            </w:r>
          </w:p>
        </w:tc>
        <w:tc>
          <w:tcPr>
            <w:tcW w:w="1831"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4"/>
              </w:rPr>
            </w:pPr>
            <w:r>
              <w:rPr>
                <w:rFonts w:ascii="SimHei" w:eastAsia="SimHei" w:hint="eastAsia"/>
                <w:color w:val="FF0000"/>
                <w:sz w:val="14"/>
              </w:rPr>
              <w:t>合计</w:t>
            </w:r>
          </w:p>
        </w:tc>
      </w:tr>
      <w:tr w:rsidR="00436071">
        <w:tblPrEx>
          <w:tblCellMar>
            <w:top w:w="0" w:type="dxa"/>
            <w:bottom w:w="0" w:type="dxa"/>
          </w:tblCellMar>
        </w:tblPrEx>
        <w:trPr>
          <w:cantSplit/>
        </w:trPr>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ascii="KaiTi_GB2312" w:eastAsia="KaiTi_GB2312" w:hint="eastAsia"/>
                <w:color w:val="0000FF"/>
                <w:sz w:val="17"/>
              </w:rPr>
            </w:pPr>
            <w:r>
              <w:rPr>
                <w:sz w:val="17"/>
              </w:rPr>
              <w:t>1988</w:t>
            </w:r>
          </w:p>
        </w:tc>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15</w:t>
            </w:r>
          </w:p>
        </w:tc>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14</w:t>
            </w:r>
          </w:p>
        </w:tc>
        <w:tc>
          <w:tcPr>
            <w:tcW w:w="1831"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29</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1989</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14</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10</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24</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1991</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7</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3</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10</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1992</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12</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14</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26</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1993</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8</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6</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14</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1994</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10</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9</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19</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1995</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11</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4</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15</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1996</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15</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11</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26</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ascii="KaiTi_GB2312" w:eastAsia="KaiTi_GB2312" w:hint="eastAsia"/>
                <w:color w:val="0000FF"/>
                <w:sz w:val="17"/>
              </w:rPr>
            </w:pPr>
            <w:r>
              <w:rPr>
                <w:rFonts w:hint="eastAsia"/>
                <w:sz w:val="17"/>
              </w:rPr>
              <w:t>1997</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6</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3</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9</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1998</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5</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3</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8</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1999</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5</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19</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24</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2000</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8</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8</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16</w:t>
            </w:r>
          </w:p>
        </w:tc>
      </w:tr>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2001</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23</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hint="eastAsia"/>
                <w:sz w:val="17"/>
              </w:rPr>
            </w:pPr>
            <w:r>
              <w:rPr>
                <w:rFonts w:hint="eastAsia"/>
                <w:sz w:val="17"/>
              </w:rPr>
              <w:t>16</w:t>
            </w:r>
          </w:p>
        </w:tc>
        <w:tc>
          <w:tcPr>
            <w:tcW w:w="1831"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7"/>
              </w:rPr>
            </w:pPr>
            <w:r>
              <w:rPr>
                <w:rFonts w:ascii="SimHei" w:eastAsia="SimHei" w:hint="eastAsia"/>
                <w:color w:val="FF0000"/>
                <w:sz w:val="17"/>
              </w:rPr>
              <w:t>39</w:t>
            </w:r>
          </w:p>
        </w:tc>
      </w:tr>
    </w:tbl>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另外，政府和民间社会还采取了其他一些行动：</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政府采取的行动：</w:t>
      </w:r>
    </w:p>
    <w:p w:rsidR="00436071" w:rsidRDefault="00436071">
      <w:pPr>
        <w:pStyle w:val="SingleTxt"/>
        <w:ind w:left="2115" w:hanging="431"/>
        <w:rPr>
          <w:rFonts w:hint="eastAsia"/>
        </w:rPr>
      </w:pPr>
      <w:r>
        <w:rPr>
          <w:rFonts w:hint="eastAsia"/>
        </w:rPr>
        <w:tab/>
        <w:t>-</w:t>
      </w:r>
      <w:r>
        <w:rPr>
          <w:rFonts w:hint="eastAsia"/>
        </w:rPr>
        <w:tab/>
        <w:t>1998年，组织全国中学毕业会考；</w:t>
      </w:r>
    </w:p>
    <w:p w:rsidR="00436071" w:rsidRDefault="00436071">
      <w:pPr>
        <w:pStyle w:val="SingleTxt"/>
        <w:ind w:left="2115" w:hanging="431"/>
        <w:rPr>
          <w:rFonts w:hint="eastAsia"/>
        </w:rPr>
      </w:pPr>
      <w:r>
        <w:rPr>
          <w:rFonts w:hint="eastAsia"/>
        </w:rPr>
        <w:tab/>
        <w:t>-</w:t>
      </w:r>
      <w:r>
        <w:rPr>
          <w:rFonts w:hint="eastAsia"/>
        </w:rPr>
        <w:tab/>
        <w:t>2000年，举行了全国复读问题思考日；</w:t>
      </w:r>
    </w:p>
    <w:p w:rsidR="00436071" w:rsidRDefault="00436071">
      <w:pPr>
        <w:pStyle w:val="SingleTxt"/>
        <w:ind w:left="2115" w:hanging="431"/>
        <w:rPr>
          <w:rFonts w:hint="eastAsia"/>
        </w:rPr>
      </w:pPr>
      <w:r>
        <w:rPr>
          <w:rFonts w:hint="eastAsia"/>
        </w:rPr>
        <w:tab/>
        <w:t>-</w:t>
      </w:r>
      <w:r>
        <w:rPr>
          <w:rFonts w:hint="eastAsia"/>
        </w:rPr>
        <w:tab/>
        <w:t>2001年，推出了关于少女母亲留校和回校学习的项目；</w:t>
      </w:r>
    </w:p>
    <w:p w:rsidR="00436071" w:rsidRDefault="00436071">
      <w:pPr>
        <w:pStyle w:val="SingleTxt"/>
        <w:ind w:left="2115" w:hanging="431"/>
        <w:rPr>
          <w:rFonts w:hint="eastAsia"/>
        </w:rPr>
      </w:pPr>
      <w:r>
        <w:rPr>
          <w:rFonts w:hint="eastAsia"/>
        </w:rPr>
        <w:tab/>
        <w:t>-</w:t>
      </w:r>
      <w:r>
        <w:rPr>
          <w:rFonts w:hint="eastAsia"/>
        </w:rPr>
        <w:tab/>
        <w:t>为贫困少女母亲的子女建立一所临时托儿所；</w:t>
      </w:r>
    </w:p>
    <w:p w:rsidR="00436071" w:rsidRDefault="00436071">
      <w:pPr>
        <w:pStyle w:val="SingleTxt"/>
        <w:ind w:left="2115" w:hanging="431"/>
        <w:rPr>
          <w:rFonts w:hint="eastAsia"/>
        </w:rPr>
      </w:pPr>
      <w:r>
        <w:rPr>
          <w:rFonts w:hint="eastAsia"/>
        </w:rPr>
        <w:tab/>
        <w:t>-</w:t>
      </w:r>
      <w:r>
        <w:rPr>
          <w:rFonts w:hint="eastAsia"/>
        </w:rPr>
        <w:tab/>
        <w:t>培训社区女教育工作者，特别是负责照料农村地区幼童的女教育工作者；</w:t>
      </w:r>
    </w:p>
    <w:p w:rsidR="00436071" w:rsidRDefault="00436071">
      <w:pPr>
        <w:pStyle w:val="SingleTxt"/>
        <w:ind w:left="2115" w:hanging="431"/>
        <w:rPr>
          <w:rFonts w:hint="eastAsia"/>
        </w:rPr>
      </w:pPr>
      <w:r>
        <w:rPr>
          <w:rFonts w:hint="eastAsia"/>
        </w:rPr>
        <w:tab/>
        <w:t>-</w:t>
      </w:r>
      <w:r>
        <w:rPr>
          <w:rFonts w:hint="eastAsia"/>
        </w:rPr>
        <w:tab/>
        <w:t>建立妇女中心，对妇女进行各种业务培训。</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民间社会采取的行动：</w:t>
      </w:r>
    </w:p>
    <w:p w:rsidR="00436071" w:rsidRDefault="00436071">
      <w:pPr>
        <w:pStyle w:val="SingleTxt"/>
        <w:ind w:left="2115" w:hanging="431"/>
        <w:rPr>
          <w:rFonts w:hint="eastAsia"/>
        </w:rPr>
      </w:pPr>
      <w:r>
        <w:rPr>
          <w:rFonts w:hint="eastAsia"/>
        </w:rPr>
        <w:tab/>
        <w:t>-</w:t>
      </w:r>
      <w:r>
        <w:rPr>
          <w:rFonts w:hint="eastAsia"/>
        </w:rPr>
        <w:tab/>
        <w:t>女孩辍学情况调查（加蓬女教育工作者协会，1997）；</w:t>
      </w:r>
    </w:p>
    <w:p w:rsidR="00436071" w:rsidRDefault="00436071">
      <w:pPr>
        <w:pStyle w:val="SingleTxt"/>
        <w:ind w:left="2115" w:hanging="431"/>
        <w:rPr>
          <w:rFonts w:hint="eastAsia"/>
        </w:rPr>
      </w:pPr>
      <w:r>
        <w:rPr>
          <w:rFonts w:hint="eastAsia"/>
        </w:rPr>
        <w:tab/>
        <w:t>-</w:t>
      </w:r>
      <w:r>
        <w:rPr>
          <w:rFonts w:hint="eastAsia"/>
        </w:rPr>
        <w:tab/>
        <w:t>开展提高对学校重要性认识的运动（加蓬女教育工作者协会）。</w:t>
      </w:r>
    </w:p>
    <w:p w:rsidR="00436071" w:rsidRDefault="00436071">
      <w:pPr>
        <w:pStyle w:val="SingleTxt"/>
        <w:ind w:left="2001" w:hanging="737"/>
      </w:pPr>
      <w:r>
        <w:rPr>
          <w:rFonts w:hint="eastAsia"/>
        </w:rPr>
        <w:tab/>
        <w:t>关于识字情况，下表显示了不同的倾向：</w:t>
      </w:r>
    </w:p>
    <w:p w:rsidR="00436071" w:rsidRDefault="00436071">
      <w:pPr>
        <w:pStyle w:val="SingleTxt"/>
        <w:rPr>
          <w:rFonts w:hint="eastAsia"/>
        </w:rPr>
      </w:pPr>
      <w:r>
        <w:rPr>
          <w:rFonts w:hint="eastAsia"/>
        </w:rPr>
        <w:t>表6：</w:t>
      </w:r>
    </w:p>
    <w:p w:rsidR="00436071" w:rsidRDefault="00436071">
      <w:pPr>
        <w:pStyle w:val="SingleTxt"/>
        <w:rPr>
          <w:rFonts w:ascii="SimHei" w:eastAsia="SimHei" w:hint="eastAsia"/>
          <w:color w:val="FF0000"/>
        </w:rPr>
      </w:pPr>
      <w:r>
        <w:rPr>
          <w:rFonts w:ascii="SimHei" w:eastAsia="SimHei" w:hint="eastAsia"/>
          <w:color w:val="FF0000"/>
        </w:rPr>
        <w:t>识字人口</w:t>
      </w:r>
    </w:p>
    <w:tbl>
      <w:tblPr>
        <w:tblW w:w="0" w:type="auto"/>
        <w:tblInd w:w="1268"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1"/>
      </w:tblGrid>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ascii="KaiTi_GB2312" w:eastAsia="KaiTi_GB2312" w:hint="eastAsia"/>
                <w:color w:val="0000FF"/>
                <w:sz w:val="14"/>
              </w:rPr>
            </w:pPr>
            <w:r>
              <w:rPr>
                <w:rFonts w:ascii="KaiTi_GB2312" w:eastAsia="KaiTi_GB2312" w:hint="eastAsia"/>
                <w:color w:val="0000FF"/>
                <w:sz w:val="14"/>
              </w:rPr>
              <w:t>年龄组</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KaiTi_GB2312" w:eastAsia="KaiTi_GB2312" w:hint="eastAsia"/>
                <w:color w:val="0000FF"/>
                <w:sz w:val="14"/>
              </w:rPr>
            </w:pPr>
            <w:r>
              <w:rPr>
                <w:rFonts w:ascii="KaiTi_GB2312" w:eastAsia="KaiTi_GB2312" w:hint="eastAsia"/>
                <w:color w:val="0000FF"/>
                <w:sz w:val="14"/>
              </w:rPr>
              <w:t>男性</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KaiTi_GB2312" w:eastAsia="KaiTi_GB2312" w:hint="eastAsia"/>
                <w:color w:val="0000FF"/>
                <w:sz w:val="14"/>
              </w:rPr>
            </w:pPr>
            <w:r>
              <w:rPr>
                <w:rFonts w:ascii="KaiTi_GB2312" w:eastAsia="KaiTi_GB2312" w:hint="eastAsia"/>
                <w:color w:val="0000FF"/>
                <w:sz w:val="14"/>
              </w:rPr>
              <w:t>女性</w:t>
            </w:r>
          </w:p>
        </w:tc>
        <w:tc>
          <w:tcPr>
            <w:tcW w:w="1831"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hint="eastAsia"/>
                <w:color w:val="FF0000"/>
                <w:sz w:val="14"/>
              </w:rPr>
            </w:pPr>
            <w:r>
              <w:rPr>
                <w:rFonts w:ascii="SimHei" w:eastAsia="SimHei" w:hint="eastAsia"/>
                <w:color w:val="FF0000"/>
                <w:sz w:val="14"/>
              </w:rPr>
              <w:t>合计</w:t>
            </w:r>
          </w:p>
        </w:tc>
      </w:tr>
      <w:tr w:rsidR="00436071">
        <w:tblPrEx>
          <w:tblCellMar>
            <w:top w:w="0" w:type="dxa"/>
            <w:bottom w:w="0" w:type="dxa"/>
          </w:tblCellMar>
        </w:tblPrEx>
        <w:trPr>
          <w:cantSplit/>
        </w:trPr>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ascii="KaiTi_GB2312" w:eastAsia="KaiTi_GB2312" w:hint="eastAsia"/>
                <w:color w:val="0000FF"/>
                <w:sz w:val="17"/>
              </w:rPr>
            </w:pPr>
            <w:r>
              <w:rPr>
                <w:rFonts w:hint="eastAsia"/>
                <w:sz w:val="17"/>
              </w:rPr>
              <w:t>15-19岁</w:t>
            </w:r>
          </w:p>
        </w:tc>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45 692</w:t>
            </w:r>
          </w:p>
        </w:tc>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47 348</w:t>
            </w:r>
          </w:p>
        </w:tc>
        <w:tc>
          <w:tcPr>
            <w:tcW w:w="1831"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color w:val="FF0000"/>
                <w:sz w:val="17"/>
              </w:rPr>
            </w:pPr>
            <w:r>
              <w:rPr>
                <w:rFonts w:ascii="SimHei" w:eastAsia="SimHei"/>
                <w:color w:val="FF0000"/>
                <w:sz w:val="17"/>
              </w:rPr>
              <w:t>93 040</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20-24岁</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35 059</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42 770</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color w:val="FF0000"/>
                <w:sz w:val="17"/>
              </w:rPr>
            </w:pPr>
            <w:r>
              <w:rPr>
                <w:rFonts w:ascii="SimHei" w:eastAsia="SimHei"/>
                <w:color w:val="FF0000"/>
                <w:sz w:val="17"/>
              </w:rPr>
              <w:t>81 829</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25-29岁</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34 722</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35 501</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color w:val="FF0000"/>
                <w:sz w:val="17"/>
              </w:rPr>
            </w:pPr>
            <w:r>
              <w:rPr>
                <w:rFonts w:ascii="SimHei" w:eastAsia="SimHei"/>
                <w:color w:val="FF0000"/>
                <w:sz w:val="17"/>
              </w:rPr>
              <w:t>70 223</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30-34岁</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38 868</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27 748</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color w:val="FF0000"/>
                <w:sz w:val="17"/>
              </w:rPr>
            </w:pPr>
            <w:r>
              <w:rPr>
                <w:rFonts w:ascii="SimHei" w:eastAsia="SimHei"/>
                <w:color w:val="FF0000"/>
                <w:sz w:val="17"/>
              </w:rPr>
              <w:t>58 616</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35-39岁</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24 077</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18 094</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color w:val="FF0000"/>
                <w:sz w:val="17"/>
              </w:rPr>
            </w:pPr>
            <w:r>
              <w:rPr>
                <w:rFonts w:ascii="SimHei" w:eastAsia="SimHei"/>
                <w:color w:val="FF0000"/>
                <w:sz w:val="17"/>
              </w:rPr>
              <w:t>42 171</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40-44岁</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17 810</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10 263</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color w:val="FF0000"/>
                <w:sz w:val="17"/>
              </w:rPr>
            </w:pPr>
            <w:r>
              <w:rPr>
                <w:rFonts w:ascii="SimHei" w:eastAsia="SimHei"/>
                <w:color w:val="FF0000"/>
                <w:sz w:val="17"/>
              </w:rPr>
              <w:t>28 073</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45-49岁</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12 315</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5 266</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color w:val="FF0000"/>
                <w:sz w:val="17"/>
              </w:rPr>
            </w:pPr>
            <w:r>
              <w:rPr>
                <w:rFonts w:ascii="SimHei" w:eastAsia="SimHei"/>
                <w:color w:val="FF0000"/>
                <w:sz w:val="17"/>
              </w:rPr>
              <w:t>17 581</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50-54岁</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8 181</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2 743</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color w:val="FF0000"/>
                <w:sz w:val="17"/>
              </w:rPr>
            </w:pPr>
            <w:r>
              <w:rPr>
                <w:rFonts w:ascii="SimHei" w:eastAsia="SimHei"/>
                <w:color w:val="FF0000"/>
                <w:sz w:val="17"/>
              </w:rPr>
              <w:t>10 924</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55-59岁</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6 156</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1 570</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color w:val="FF0000"/>
                <w:sz w:val="17"/>
              </w:rPr>
            </w:pPr>
            <w:r>
              <w:rPr>
                <w:rFonts w:ascii="SimHei" w:eastAsia="SimHei"/>
                <w:color w:val="FF0000"/>
                <w:sz w:val="17"/>
              </w:rPr>
              <w:t>7 726</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60-64岁</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3 256</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745</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color w:val="FF0000"/>
                <w:sz w:val="17"/>
              </w:rPr>
            </w:pPr>
            <w:r>
              <w:rPr>
                <w:rFonts w:ascii="SimHei" w:eastAsia="SimHei"/>
                <w:color w:val="FF0000"/>
                <w:sz w:val="17"/>
              </w:rPr>
              <w:t>4 001</w:t>
            </w:r>
          </w:p>
        </w:tc>
      </w:tr>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left"/>
              <w:rPr>
                <w:rFonts w:hint="eastAsia"/>
                <w:sz w:val="17"/>
              </w:rPr>
            </w:pPr>
            <w:r>
              <w:rPr>
                <w:rFonts w:hint="eastAsia"/>
                <w:sz w:val="17"/>
              </w:rPr>
              <w:t>65＋</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3 429</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sz w:val="17"/>
              </w:rPr>
            </w:pPr>
            <w:r>
              <w:rPr>
                <w:sz w:val="17"/>
              </w:rPr>
              <w:t>1 118</w:t>
            </w:r>
          </w:p>
        </w:tc>
        <w:tc>
          <w:tcPr>
            <w:tcW w:w="1831"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jc w:val="right"/>
              <w:rPr>
                <w:rFonts w:ascii="SimHei" w:eastAsia="SimHei"/>
                <w:color w:val="FF0000"/>
                <w:sz w:val="17"/>
              </w:rPr>
            </w:pPr>
            <w:r>
              <w:rPr>
                <w:rFonts w:ascii="SimHei" w:eastAsia="SimHei"/>
                <w:color w:val="FF0000"/>
                <w:sz w:val="17"/>
              </w:rPr>
              <w:t>4 547</w:t>
            </w:r>
          </w:p>
        </w:tc>
      </w:tr>
    </w:tbl>
    <w:p w:rsidR="00436071" w:rsidRDefault="00436071">
      <w:pPr>
        <w:pStyle w:val="SingleTxt"/>
        <w:spacing w:after="0" w:line="120" w:lineRule="exact"/>
        <w:rPr>
          <w:rFonts w:ascii="KaiTi_GB2312" w:eastAsia="KaiTi_GB2312" w:hint="eastAsia"/>
          <w:color w:val="0000FF"/>
          <w:sz w:val="10"/>
        </w:rPr>
      </w:pPr>
    </w:p>
    <w:p w:rsidR="00436071" w:rsidRDefault="00436071">
      <w:pPr>
        <w:pStyle w:val="SingleTxt"/>
        <w:rPr>
          <w:rFonts w:hint="eastAsia"/>
        </w:rPr>
      </w:pPr>
      <w:r>
        <w:rPr>
          <w:rFonts w:ascii="KaiTi_GB2312" w:eastAsia="KaiTi_GB2312" w:hint="eastAsia"/>
          <w:color w:val="0000FF"/>
          <w:sz w:val="18"/>
        </w:rPr>
        <w:t>资料来源</w:t>
      </w:r>
      <w:r>
        <w:rPr>
          <w:rFonts w:hint="eastAsia"/>
        </w:rPr>
        <w:t>：</w:t>
      </w:r>
      <w:r>
        <w:rPr>
          <w:rFonts w:hint="eastAsia"/>
          <w:sz w:val="18"/>
        </w:rPr>
        <w:t>常住人口普查（1993）</w:t>
      </w:r>
    </w:p>
    <w:p w:rsidR="00436071" w:rsidRDefault="00436071">
      <w:pPr>
        <w:pStyle w:val="SingleTxt"/>
        <w:rPr>
          <w:rFonts w:hint="eastAsia"/>
        </w:rPr>
      </w:pPr>
      <w:r>
        <w:tab/>
      </w:r>
      <w:r>
        <w:rPr>
          <w:rFonts w:hint="eastAsia"/>
        </w:rPr>
        <w:t>因此，在15至49岁的年龄段会读写者占了人口的80%。妇女识字率达64%，但在50至65年这个年龄段比率明显下降，其原因是，从前由于社会文化方面存在因循守旧的思想，人们并不把送女孩上学当作一回事。</w:t>
      </w:r>
    </w:p>
    <w:p w:rsidR="00436071" w:rsidRDefault="00436071">
      <w:pPr>
        <w:pStyle w:val="SingleTxt"/>
        <w:rPr>
          <w:rFonts w:hint="eastAsia"/>
        </w:rPr>
      </w:pPr>
      <w:r>
        <w:tab/>
      </w:r>
      <w:r>
        <w:rPr>
          <w:rFonts w:hint="eastAsia"/>
        </w:rPr>
        <w:t>在学习和职业指导方面，不存在任何歧视，只考虑天赋和能力。然而，人们注意到，女孩选择科学职业的极少。</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第十一条：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促进妇女就业</w:t>
      </w:r>
    </w:p>
    <w:p w:rsidR="00436071" w:rsidRDefault="00436071">
      <w:pPr>
        <w:pStyle w:val="SingleTxt"/>
        <w:spacing w:after="0" w:line="120" w:lineRule="exact"/>
        <w:rPr>
          <w:rFonts w:hint="eastAsia"/>
          <w:sz w:val="10"/>
        </w:rPr>
      </w:pPr>
    </w:p>
    <w:p w:rsidR="00436071" w:rsidRDefault="00436071">
      <w:pPr>
        <w:pStyle w:val="SingleTxt"/>
        <w:rPr>
          <w:rFonts w:hint="eastAsia"/>
        </w:rPr>
      </w:pPr>
      <w:r>
        <w:tab/>
      </w:r>
      <w:r>
        <w:rPr>
          <w:rFonts w:hint="eastAsia"/>
        </w:rPr>
        <w:t>在加蓬，法律方面不存在对妇女就业的歧视。甚至，妇女在治安部队中的地位也正在彻底改变，而过去在这方面一直存在着歧视。</w:t>
      </w:r>
    </w:p>
    <w:p w:rsidR="00436071" w:rsidRDefault="00436071">
      <w:pPr>
        <w:pStyle w:val="SingleTxt"/>
        <w:rPr>
          <w:rFonts w:hint="eastAsia"/>
        </w:rPr>
      </w:pPr>
      <w:r>
        <w:tab/>
      </w:r>
      <w:r>
        <w:rPr>
          <w:rFonts w:hint="eastAsia"/>
        </w:rPr>
        <w:t>以下法律保障男女在就业中的平等权利：</w:t>
      </w:r>
    </w:p>
    <w:p w:rsidR="00436071" w:rsidRDefault="00436071">
      <w:pPr>
        <w:pStyle w:val="SingleTxt"/>
        <w:ind w:left="2115" w:hanging="431"/>
        <w:rPr>
          <w:rFonts w:hint="eastAsia"/>
        </w:rPr>
      </w:pPr>
      <w:r>
        <w:tab/>
        <w:t>-</w:t>
      </w:r>
      <w:r>
        <w:tab/>
      </w:r>
      <w:r>
        <w:rPr>
          <w:rFonts w:hint="eastAsia"/>
        </w:rPr>
        <w:t>加蓬共和国宪法（2000年10月11日第14/2000号法律），第1条第7款；</w:t>
      </w:r>
    </w:p>
    <w:p w:rsidR="00436071" w:rsidRDefault="00436071">
      <w:pPr>
        <w:pStyle w:val="SingleTxt"/>
        <w:ind w:left="2115" w:hanging="431"/>
        <w:rPr>
          <w:rFonts w:hint="eastAsia"/>
        </w:rPr>
      </w:pPr>
      <w:r>
        <w:tab/>
        <w:t>-</w:t>
      </w:r>
      <w:r>
        <w:tab/>
      </w:r>
      <w:r>
        <w:rPr>
          <w:rFonts w:hint="eastAsia"/>
        </w:rPr>
        <w:t>关于公职总条例的1993年9月13日第18/93号法律；</w:t>
      </w:r>
    </w:p>
    <w:p w:rsidR="00436071" w:rsidRDefault="00436071">
      <w:pPr>
        <w:pStyle w:val="SingleTxt"/>
        <w:ind w:left="2115" w:hanging="431"/>
        <w:rPr>
          <w:rFonts w:hint="eastAsia"/>
        </w:rPr>
      </w:pPr>
      <w:r>
        <w:tab/>
        <w:t>-</w:t>
      </w:r>
      <w:r>
        <w:tab/>
      </w:r>
      <w:r>
        <w:rPr>
          <w:rFonts w:hint="eastAsia"/>
        </w:rPr>
        <w:t>关于公务员总条例的1991年9月26日第8/91号法律；</w:t>
      </w:r>
    </w:p>
    <w:p w:rsidR="00436071" w:rsidRDefault="00436071">
      <w:pPr>
        <w:pStyle w:val="SingleTxt"/>
        <w:ind w:left="2115" w:hanging="431"/>
        <w:rPr>
          <w:rFonts w:hint="eastAsia"/>
        </w:rPr>
      </w:pPr>
      <w:r>
        <w:tab/>
        <w:t>-</w:t>
      </w:r>
      <w:r>
        <w:tab/>
      </w:r>
      <w:r>
        <w:rPr>
          <w:rFonts w:hint="eastAsia"/>
        </w:rPr>
        <w:t>关于劳动法的1994年9月21日第3/94号法律；</w:t>
      </w:r>
    </w:p>
    <w:p w:rsidR="00436071" w:rsidRDefault="00436071">
      <w:pPr>
        <w:pStyle w:val="SingleTxt"/>
        <w:ind w:left="2115" w:hanging="431"/>
        <w:rPr>
          <w:rFonts w:hint="eastAsia"/>
        </w:rPr>
      </w:pPr>
      <w:r>
        <w:tab/>
        <w:t>-</w:t>
      </w:r>
      <w:r>
        <w:tab/>
      </w:r>
      <w:r>
        <w:rPr>
          <w:rFonts w:hint="eastAsia"/>
        </w:rPr>
        <w:t>关于加蓬共和国健康政策方向的第001/95号法令；</w:t>
      </w:r>
    </w:p>
    <w:p w:rsidR="00436071" w:rsidRDefault="00436071">
      <w:pPr>
        <w:pStyle w:val="SingleTxt"/>
        <w:ind w:left="2115" w:hanging="431"/>
        <w:rPr>
          <w:rFonts w:hint="eastAsia"/>
        </w:rPr>
      </w:pPr>
      <w:r>
        <w:tab/>
        <w:t>-</w:t>
      </w:r>
      <w:r>
        <w:tab/>
      </w:r>
      <w:r>
        <w:rPr>
          <w:rFonts w:hint="eastAsia"/>
        </w:rPr>
        <w:t>确定国家养老金制度的1996年3月11日第4/96号法律；</w:t>
      </w:r>
    </w:p>
    <w:p w:rsidR="00436071" w:rsidRDefault="00436071">
      <w:pPr>
        <w:pStyle w:val="SingleTxt"/>
        <w:ind w:left="2115" w:hanging="431"/>
        <w:rPr>
          <w:rFonts w:hint="eastAsia"/>
        </w:rPr>
      </w:pPr>
      <w:r>
        <w:tab/>
        <w:t>-</w:t>
      </w:r>
      <w:r>
        <w:tab/>
      </w:r>
      <w:r>
        <w:rPr>
          <w:rFonts w:hint="eastAsia"/>
        </w:rPr>
        <w:t>关于民法第一部分的1972年9月2日第15/72号法律（第261条）。</w:t>
      </w:r>
    </w:p>
    <w:p w:rsidR="00436071" w:rsidRDefault="00436071">
      <w:pPr>
        <w:pStyle w:val="SingleTxt"/>
        <w:rPr>
          <w:rFonts w:hint="eastAsia"/>
        </w:rPr>
      </w:pPr>
      <w:r>
        <w:tab/>
      </w:r>
      <w:r>
        <w:rPr>
          <w:rFonts w:hint="eastAsia"/>
        </w:rPr>
        <w:t>然而，人们可能会注意到，实际上雇主宁愿在某些岗位上使用男性人员，因为这些岗位需要工作人员始终在位，需要他们具有生理上的抗御力，这样一来工作就不会因妇女缺席而受到影响，而妇女认为因休产假而缺席那是天经地义的。</w:t>
      </w:r>
    </w:p>
    <w:p w:rsidR="00436071" w:rsidRDefault="00436071">
      <w:pPr>
        <w:pStyle w:val="SingleTxt"/>
        <w:rPr>
          <w:rFonts w:hint="eastAsia"/>
        </w:rPr>
      </w:pPr>
      <w:r>
        <w:tab/>
      </w:r>
      <w:r>
        <w:rPr>
          <w:rFonts w:hint="eastAsia"/>
        </w:rPr>
        <w:t>另外，《公职总条例》第50条规定：只要工作需要要求那样做，各部门的规章又有这方面的规定，每年都可举行职业考试。</w:t>
      </w:r>
    </w:p>
    <w:p w:rsidR="00436071" w:rsidRDefault="00436071">
      <w:pPr>
        <w:pStyle w:val="SingleTxt"/>
        <w:rPr>
          <w:rFonts w:hint="eastAsia"/>
        </w:rPr>
      </w:pPr>
      <w:r>
        <w:tab/>
      </w:r>
      <w:r>
        <w:rPr>
          <w:rFonts w:hint="eastAsia"/>
        </w:rPr>
        <w:t>《条例》第51条明确指出，国家可根据工作需要送符合现行法律规定条件的正式人员或得到认可的人员接受培训（见《劳动法》第98和99条）。</w:t>
      </w:r>
    </w:p>
    <w:p w:rsidR="00436071" w:rsidRDefault="00436071">
      <w:pPr>
        <w:pStyle w:val="SingleTxt"/>
        <w:rPr>
          <w:rFonts w:hint="eastAsia"/>
        </w:rPr>
      </w:pPr>
      <w:r>
        <w:tab/>
      </w:r>
      <w:r>
        <w:rPr>
          <w:rFonts w:hint="eastAsia"/>
        </w:rPr>
        <w:t>计算工资的基础是资格和效率。公共部门和私营部门的所有职工，不论其出身、政治观点、性别和年龄，基础工资一律相同（《劳动法》第140条）。</w:t>
      </w:r>
    </w:p>
    <w:p w:rsidR="00436071" w:rsidRDefault="00436071">
      <w:pPr>
        <w:pStyle w:val="SingleTxt"/>
        <w:rPr>
          <w:rFonts w:hint="eastAsia"/>
        </w:rPr>
      </w:pPr>
      <w:r>
        <w:tab/>
      </w:r>
      <w:r>
        <w:rPr>
          <w:rFonts w:hint="eastAsia"/>
        </w:rPr>
        <w:t>职工通常享有的福利有：</w:t>
      </w:r>
    </w:p>
    <w:p w:rsidR="00436071" w:rsidRDefault="00436071">
      <w:pPr>
        <w:pStyle w:val="SingleTxt"/>
        <w:ind w:left="2115" w:hanging="431"/>
        <w:rPr>
          <w:rFonts w:hint="eastAsia"/>
        </w:rPr>
      </w:pPr>
      <w:r>
        <w:tab/>
      </w:r>
      <w:r>
        <w:rPr>
          <w:rFonts w:hint="eastAsia"/>
        </w:rPr>
        <w:sym w:font="Symbol" w:char="F0B7"/>
      </w:r>
      <w:r>
        <w:tab/>
      </w:r>
      <w:r>
        <w:rPr>
          <w:rFonts w:hint="eastAsia"/>
        </w:rPr>
        <w:t>家庭补助，它们包括家庭补贴、新生儿津贴、产妇补助等；</w:t>
      </w:r>
    </w:p>
    <w:p w:rsidR="00436071" w:rsidRDefault="00436071">
      <w:pPr>
        <w:pStyle w:val="SingleTxt"/>
        <w:ind w:left="2115" w:hanging="431"/>
        <w:rPr>
          <w:rFonts w:hint="eastAsia"/>
        </w:rPr>
      </w:pPr>
      <w:r>
        <w:tab/>
      </w:r>
      <w:r>
        <w:rPr>
          <w:rFonts w:hint="eastAsia"/>
        </w:rPr>
        <w:sym w:font="Symbol" w:char="F0B7"/>
      </w:r>
      <w:r>
        <w:tab/>
      </w:r>
      <w:r>
        <w:rPr>
          <w:rFonts w:hint="eastAsia"/>
        </w:rPr>
        <w:t>医疗；</w:t>
      </w:r>
    </w:p>
    <w:p w:rsidR="00436071" w:rsidRDefault="00436071">
      <w:pPr>
        <w:pStyle w:val="SingleTxt"/>
        <w:ind w:left="2115" w:hanging="431"/>
        <w:rPr>
          <w:rFonts w:hint="eastAsia"/>
        </w:rPr>
      </w:pPr>
      <w:r>
        <w:tab/>
      </w:r>
      <w:r>
        <w:rPr>
          <w:rFonts w:hint="eastAsia"/>
        </w:rPr>
        <w:sym w:font="Symbol" w:char="F0B7"/>
      </w:r>
      <w:r>
        <w:tab/>
      </w:r>
      <w:r>
        <w:rPr>
          <w:rFonts w:hint="eastAsia"/>
        </w:rPr>
        <w:t>老年和残疾补助；</w:t>
      </w:r>
    </w:p>
    <w:p w:rsidR="00436071" w:rsidRDefault="00436071">
      <w:pPr>
        <w:pStyle w:val="SingleTxt"/>
        <w:ind w:left="2115" w:hanging="431"/>
        <w:rPr>
          <w:rFonts w:hint="eastAsia"/>
        </w:rPr>
      </w:pPr>
      <w:r>
        <w:tab/>
      </w:r>
      <w:r>
        <w:rPr>
          <w:rFonts w:hint="eastAsia"/>
        </w:rPr>
        <w:sym w:font="Symbol" w:char="F0B7"/>
      </w:r>
      <w:r>
        <w:tab/>
      </w:r>
      <w:r>
        <w:rPr>
          <w:rFonts w:hint="eastAsia"/>
        </w:rPr>
        <w:t>单一工资补贴；</w:t>
      </w:r>
    </w:p>
    <w:p w:rsidR="00436071" w:rsidRDefault="00436071">
      <w:pPr>
        <w:pStyle w:val="SingleTxt"/>
        <w:ind w:left="2115" w:hanging="431"/>
        <w:rPr>
          <w:rFonts w:hint="eastAsia"/>
        </w:rPr>
      </w:pPr>
      <w:r>
        <w:tab/>
      </w:r>
      <w:r>
        <w:rPr>
          <w:rFonts w:hint="eastAsia"/>
        </w:rPr>
        <w:sym w:font="Symbol" w:char="F0B7"/>
      </w:r>
      <w:r>
        <w:tab/>
      </w:r>
      <w:r>
        <w:rPr>
          <w:rFonts w:hint="eastAsia"/>
        </w:rPr>
        <w:t>开学补贴；</w:t>
      </w:r>
    </w:p>
    <w:p w:rsidR="00436071" w:rsidRDefault="00436071">
      <w:pPr>
        <w:pStyle w:val="SingleTxt"/>
        <w:ind w:left="2115" w:hanging="431"/>
        <w:rPr>
          <w:rFonts w:hint="eastAsia"/>
        </w:rPr>
      </w:pPr>
      <w:r>
        <w:tab/>
      </w:r>
      <w:r>
        <w:rPr>
          <w:rFonts w:hint="eastAsia"/>
        </w:rPr>
        <w:sym w:font="Symbol" w:char="F0B7"/>
      </w:r>
      <w:r>
        <w:tab/>
      </w:r>
      <w:r>
        <w:rPr>
          <w:rFonts w:hint="eastAsia"/>
        </w:rPr>
        <w:t>带薪假期；</w:t>
      </w:r>
    </w:p>
    <w:p w:rsidR="00436071" w:rsidRDefault="00436071">
      <w:pPr>
        <w:pStyle w:val="SingleTxt"/>
        <w:rPr>
          <w:rFonts w:hint="eastAsia"/>
        </w:rPr>
      </w:pPr>
      <w:r>
        <w:tab/>
      </w:r>
      <w:r>
        <w:rPr>
          <w:rFonts w:hint="eastAsia"/>
        </w:rPr>
        <w:t>退休年龄是强制性的，男女均为55岁。这一年龄在某些军事部门则因级别不同而存在差别。不存在可由男女自行选择退休的习惯年龄。然而，在工作满15至20年后，无论公共部门的人员还是私营部门的人员，都可以应他们的要求同意他们行使退休权利。</w:t>
      </w:r>
    </w:p>
    <w:p w:rsidR="00436071" w:rsidRDefault="00436071">
      <w:pPr>
        <w:pStyle w:val="SingleTxt"/>
        <w:rPr>
          <w:rFonts w:hint="eastAsia"/>
        </w:rPr>
      </w:pPr>
      <w:r>
        <w:tab/>
      </w:r>
      <w:r>
        <w:rPr>
          <w:rFonts w:hint="eastAsia"/>
        </w:rPr>
        <w:t>同样，某些部门由于具有特殊性，可通过特定的条例规定延长退休年龄，然而不得超过65岁，如：</w:t>
      </w:r>
    </w:p>
    <w:p w:rsidR="00436071" w:rsidRDefault="00436071">
      <w:pPr>
        <w:pStyle w:val="SingleTxt"/>
        <w:ind w:left="2115" w:hanging="431"/>
        <w:rPr>
          <w:rFonts w:hint="eastAsia"/>
        </w:rPr>
      </w:pPr>
      <w:r>
        <w:tab/>
      </w:r>
      <w:r>
        <w:rPr>
          <w:rFonts w:hint="eastAsia"/>
        </w:rPr>
        <w:sym w:font="Symbol" w:char="F0B7"/>
      </w:r>
      <w:r>
        <w:tab/>
      </w:r>
      <w:r>
        <w:rPr>
          <w:rFonts w:hint="eastAsia"/>
        </w:rPr>
        <w:t>法官；</w:t>
      </w:r>
    </w:p>
    <w:p w:rsidR="00436071" w:rsidRDefault="00436071">
      <w:pPr>
        <w:pStyle w:val="SingleTxt"/>
        <w:ind w:left="2115" w:hanging="431"/>
        <w:rPr>
          <w:rFonts w:hint="eastAsia"/>
        </w:rPr>
      </w:pPr>
      <w:r>
        <w:tab/>
      </w:r>
      <w:r>
        <w:rPr>
          <w:rFonts w:hint="eastAsia"/>
        </w:rPr>
        <w:sym w:font="Symbol" w:char="F0B7"/>
      </w:r>
      <w:r>
        <w:tab/>
      </w:r>
      <w:r>
        <w:rPr>
          <w:rFonts w:hint="eastAsia"/>
        </w:rPr>
        <w:t>医生；</w:t>
      </w:r>
    </w:p>
    <w:p w:rsidR="00436071" w:rsidRDefault="00436071">
      <w:pPr>
        <w:pStyle w:val="SingleTxt"/>
        <w:ind w:left="2115" w:hanging="431"/>
        <w:rPr>
          <w:rFonts w:hint="eastAsia"/>
        </w:rPr>
      </w:pPr>
      <w:r>
        <w:tab/>
      </w:r>
      <w:r>
        <w:rPr>
          <w:rFonts w:hint="eastAsia"/>
        </w:rPr>
        <w:sym w:font="Symbol" w:char="F0B7"/>
      </w:r>
      <w:r>
        <w:tab/>
      </w:r>
      <w:r>
        <w:rPr>
          <w:rFonts w:hint="eastAsia"/>
        </w:rPr>
        <w:t>药剂师；</w:t>
      </w:r>
    </w:p>
    <w:p w:rsidR="00436071" w:rsidRDefault="00436071">
      <w:pPr>
        <w:pStyle w:val="SingleTxt"/>
        <w:ind w:left="2115" w:hanging="431"/>
        <w:rPr>
          <w:rFonts w:hint="eastAsia"/>
        </w:rPr>
      </w:pPr>
      <w:r>
        <w:tab/>
      </w:r>
      <w:r>
        <w:rPr>
          <w:rFonts w:hint="eastAsia"/>
        </w:rPr>
        <w:sym w:font="Symbol" w:char="F0B7"/>
      </w:r>
      <w:r>
        <w:tab/>
      </w:r>
      <w:r>
        <w:rPr>
          <w:rFonts w:hint="eastAsia"/>
        </w:rPr>
        <w:t>高等院校教师和研究人员；</w:t>
      </w:r>
    </w:p>
    <w:p w:rsidR="00436071" w:rsidRDefault="00436071">
      <w:pPr>
        <w:pStyle w:val="SingleTxt"/>
        <w:ind w:left="2115" w:hanging="431"/>
        <w:rPr>
          <w:rFonts w:hint="eastAsia"/>
        </w:rPr>
      </w:pPr>
      <w:r>
        <w:tab/>
      </w:r>
      <w:r>
        <w:rPr>
          <w:rFonts w:hint="eastAsia"/>
        </w:rPr>
        <w:sym w:font="Symbol" w:char="F0B7"/>
      </w:r>
      <w:r>
        <w:tab/>
      </w:r>
      <w:r>
        <w:rPr>
          <w:rFonts w:hint="eastAsia"/>
        </w:rPr>
        <w:t>监督和监察部门（《公务员总条例》第114条）</w:t>
      </w:r>
    </w:p>
    <w:p w:rsidR="00436071" w:rsidRDefault="00436071">
      <w:pPr>
        <w:pStyle w:val="SingleTxt"/>
        <w:rPr>
          <w:rFonts w:hint="eastAsia"/>
        </w:rPr>
      </w:pPr>
      <w:r>
        <w:tab/>
      </w:r>
      <w:r>
        <w:rPr>
          <w:rFonts w:hint="eastAsia"/>
        </w:rPr>
        <w:t>此外，不管以按每月提取的方式扣缴退休保险还是由雇用机构从男女工作人员基础工资中代扣代缴，男女都是平等的。</w:t>
      </w:r>
    </w:p>
    <w:p w:rsidR="00436071" w:rsidRDefault="00436071">
      <w:pPr>
        <w:pStyle w:val="SingleTxt"/>
        <w:rPr>
          <w:rFonts w:hint="eastAsia"/>
        </w:rPr>
      </w:pPr>
      <w:r>
        <w:tab/>
      </w:r>
      <w:r>
        <w:rPr>
          <w:rFonts w:hint="eastAsia"/>
        </w:rPr>
        <w:t>加蓬拥有社会保障方面的立法。这些法律并未涵盖所有妇女，除非她们或者其丈夫有工作。</w:t>
      </w:r>
    </w:p>
    <w:p w:rsidR="00436071" w:rsidRDefault="00436071">
      <w:pPr>
        <w:pStyle w:val="SingleTxt"/>
        <w:rPr>
          <w:rFonts w:hint="eastAsia"/>
        </w:rPr>
      </w:pPr>
      <w:r>
        <w:tab/>
      </w:r>
      <w:r>
        <w:rPr>
          <w:rFonts w:hint="eastAsia"/>
        </w:rPr>
        <w:t>夫妇一方在其配偶死亡以后只部分享有配偶的退休金。</w:t>
      </w:r>
    </w:p>
    <w:p w:rsidR="00436071" w:rsidRDefault="00436071">
      <w:pPr>
        <w:pStyle w:val="SingleTxt"/>
        <w:rPr>
          <w:rFonts w:hint="eastAsia"/>
        </w:rPr>
      </w:pPr>
      <w:r>
        <w:tab/>
      </w:r>
      <w:r>
        <w:rPr>
          <w:rFonts w:hint="eastAsia"/>
        </w:rPr>
        <w:t>根据《劳动法》第170条，不得以怀孕或产假为由辞退妇女。</w:t>
      </w:r>
    </w:p>
    <w:p w:rsidR="00436071" w:rsidRDefault="00436071">
      <w:pPr>
        <w:pStyle w:val="SingleTxt"/>
        <w:rPr>
          <w:rFonts w:hint="eastAsia"/>
        </w:rPr>
      </w:pPr>
      <w:r>
        <w:tab/>
      </w:r>
      <w:r>
        <w:rPr>
          <w:rFonts w:hint="eastAsia"/>
        </w:rPr>
        <w:t>辞退经医生证实确已怀孕的妇女，或在分娩后15个月内辞退妇女，均需经劳动监察员事先批准。</w:t>
      </w:r>
    </w:p>
    <w:p w:rsidR="00436071" w:rsidRDefault="00436071">
      <w:pPr>
        <w:pStyle w:val="SingleTxt"/>
        <w:rPr>
          <w:rFonts w:hint="eastAsia"/>
        </w:rPr>
      </w:pPr>
      <w:r>
        <w:tab/>
      </w:r>
      <w:r>
        <w:rPr>
          <w:rFonts w:hint="eastAsia"/>
        </w:rPr>
        <w:t>《劳动法》第173条明确了为产假所作的规定。“在产假期内，妇女有权得到免费医疗，并在暂停工作期间获得原先的全部薪金，以及由国家社会保障基金负责的补助。她保留享有实物补助的权利。”此外，第12/2000号法律规定，哺乳时间头6个月为每日两小时，后6个月为每日一小时。在这期间，母亲可自行离职，不必事先通知，也无需因此为中止合同支付赔偿金。</w:t>
      </w:r>
    </w:p>
    <w:p w:rsidR="00436071" w:rsidRDefault="00436071">
      <w:pPr>
        <w:pStyle w:val="SingleTxt"/>
        <w:rPr>
          <w:rFonts w:hint="eastAsia"/>
        </w:rPr>
      </w:pPr>
      <w:r>
        <w:tab/>
      </w:r>
      <w:r>
        <w:rPr>
          <w:rFonts w:hint="eastAsia"/>
        </w:rPr>
        <w:t>上面提到的法律还规定了父亲育儿假，不论他在哪个部门工作（公共部门、私营部门、民事或军事部门）。</w:t>
      </w:r>
    </w:p>
    <w:p w:rsidR="00436071" w:rsidRDefault="00436071">
      <w:pPr>
        <w:pStyle w:val="SingleTxt"/>
        <w:rPr>
          <w:rFonts w:hint="eastAsia"/>
        </w:rPr>
      </w:pPr>
      <w:r>
        <w:tab/>
      </w:r>
      <w:r>
        <w:rPr>
          <w:rFonts w:hint="eastAsia"/>
        </w:rPr>
        <w:t>加蓬还作出了一些有关带薪假的规定。这种福利以同样的方式提供给妇女和男子。根据《劳动法》第188条，“雇主应该在整个假期期间给职工提供补贴，其数额至少等同于职工在休假开始前12个月里各种工资、补贴、津贴和佣金相应的平均数。”“公职人员有权在法律规定的条件下享有带薪假期。”（《公职总条例》第59条）。公职人员的假期由每个行政部门负责安排。</w:t>
      </w:r>
    </w:p>
    <w:p w:rsidR="00436071" w:rsidRDefault="00436071">
      <w:pPr>
        <w:pStyle w:val="SingleTxt"/>
        <w:rPr>
          <w:rFonts w:hint="eastAsia"/>
        </w:rPr>
      </w:pPr>
      <w:r>
        <w:tab/>
      </w:r>
      <w:r>
        <w:rPr>
          <w:rFonts w:hint="eastAsia"/>
        </w:rPr>
        <w:t>在职业卫生和安全方面，加蓬通过了以下法律和法规：</w:t>
      </w:r>
    </w:p>
    <w:p w:rsidR="00436071" w:rsidRDefault="00436071">
      <w:pPr>
        <w:pStyle w:val="SingleTxt"/>
        <w:ind w:left="2115" w:hanging="431"/>
        <w:rPr>
          <w:rFonts w:hint="eastAsia"/>
        </w:rPr>
      </w:pPr>
      <w:r>
        <w:tab/>
      </w:r>
      <w:r>
        <w:rPr>
          <w:rFonts w:hint="eastAsia"/>
        </w:rPr>
        <w:sym w:font="Symbol" w:char="F0B7"/>
      </w:r>
      <w:r>
        <w:tab/>
      </w:r>
      <w:r>
        <w:rPr>
          <w:rFonts w:hint="eastAsia"/>
        </w:rPr>
        <w:t>关于劳动法的第3/94号法律（第172条）为妇女提供了变更工作或任务类型的可能性，只要其医生认为分娩引起的并发症使她不能再从事原先的工作。这种变动是暂时性的，时限为分娩后三个月，但产假除外；</w:t>
      </w:r>
    </w:p>
    <w:p w:rsidR="00436071" w:rsidRDefault="00436071">
      <w:pPr>
        <w:pStyle w:val="SingleTxt"/>
        <w:ind w:left="2115" w:hanging="431"/>
        <w:rPr>
          <w:rFonts w:hint="eastAsia"/>
        </w:rPr>
      </w:pPr>
      <w:r>
        <w:tab/>
      </w:r>
      <w:r>
        <w:rPr>
          <w:rFonts w:hint="eastAsia"/>
        </w:rPr>
        <w:sym w:font="Symbol" w:char="F0B7"/>
      </w:r>
      <w:r>
        <w:tab/>
      </w:r>
      <w:r>
        <w:rPr>
          <w:rFonts w:hint="eastAsia"/>
        </w:rPr>
        <w:t>2000年8月18日第1/2000号法律，它确定了给妇女、母亲和儿童提供健康和社会保护的某些一般措施；</w:t>
      </w:r>
    </w:p>
    <w:p w:rsidR="00436071" w:rsidRDefault="00436071">
      <w:pPr>
        <w:pStyle w:val="SingleTxt"/>
        <w:ind w:left="2115" w:hanging="431"/>
        <w:rPr>
          <w:rFonts w:hint="eastAsia"/>
        </w:rPr>
      </w:pPr>
      <w:r>
        <w:tab/>
      </w:r>
      <w:r>
        <w:rPr>
          <w:rFonts w:hint="eastAsia"/>
        </w:rPr>
        <w:sym w:font="Symbol" w:char="F0B7"/>
      </w:r>
      <w:r>
        <w:tab/>
      </w:r>
      <w:r>
        <w:rPr>
          <w:rFonts w:hint="eastAsia"/>
        </w:rPr>
        <w:t>一些用于确保提供特殊保护的法律规定。</w:t>
      </w:r>
    </w:p>
    <w:p w:rsidR="00436071" w:rsidRDefault="00436071">
      <w:pPr>
        <w:pStyle w:val="SingleTxt"/>
        <w:rPr>
          <w:rFonts w:hint="eastAsia"/>
        </w:rPr>
      </w:pPr>
      <w:r>
        <w:tab/>
      </w:r>
      <w:r>
        <w:rPr>
          <w:rFonts w:hint="eastAsia"/>
        </w:rPr>
        <w:t>还有一些法律条款确保在妇女怀孕期间为她们提供特殊保护，不让她们从事事实证明有害于她们健康的工作。《劳动法》第172条规定：“在怀孕期间和在分娩后15个月内，原先从事公认会危及健康的工作的或有医生证明为了妇女及其子女的健康有必要改变工作性质的妇女，有权调往对其身体无害的工作岗位，并且不得减少薪金。”</w:t>
      </w:r>
    </w:p>
    <w:p w:rsidR="00436071" w:rsidRDefault="00436071">
      <w:pPr>
        <w:pStyle w:val="SingleTxt"/>
        <w:rPr>
          <w:rFonts w:hint="eastAsia"/>
        </w:rPr>
      </w:pPr>
      <w:r>
        <w:tab/>
      </w:r>
      <w:r>
        <w:rPr>
          <w:rFonts w:hint="eastAsia"/>
        </w:rPr>
        <w:t>此外，严禁不满18周岁的青少年和妇女从事夜间工作和采矿工作（《劳动法》第159条至167条）。</w:t>
      </w:r>
    </w:p>
    <w:p w:rsidR="00436071" w:rsidRDefault="00436071">
      <w:pPr>
        <w:pStyle w:val="SingleTxt"/>
        <w:rPr>
          <w:rFonts w:hint="eastAsia"/>
        </w:rPr>
      </w:pPr>
      <w:r>
        <w:tab/>
      </w:r>
      <w:r>
        <w:rPr>
          <w:rFonts w:hint="eastAsia"/>
        </w:rPr>
        <w:t>加蓬有一些公立的幼儿园和多所属于私人的幼儿园。它们向所有妇女，主要是职业妇女开放。</w:t>
      </w:r>
    </w:p>
    <w:p w:rsidR="00436071" w:rsidRDefault="00436071">
      <w:pPr>
        <w:pStyle w:val="SingleTxt"/>
        <w:rPr>
          <w:rFonts w:hint="eastAsia"/>
        </w:rPr>
      </w:pPr>
      <w:r>
        <w:tab/>
      </w:r>
      <w:r>
        <w:rPr>
          <w:rFonts w:hint="eastAsia"/>
        </w:rPr>
        <w:t>许多犯罪行为，诸如性骚扰和贩卖儿童等，过去在加蓬并不存在，而目前国民议会正在进行讨论，以便将其列入加蓬的《刑法》。</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r>
        <w:tab/>
      </w:r>
      <w:r>
        <w:tab/>
      </w:r>
      <w:r>
        <w:rPr>
          <w:rFonts w:hint="eastAsia"/>
        </w:rPr>
        <w:t>第十二条：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健康领域的平等</w:t>
      </w:r>
    </w:p>
    <w:p w:rsidR="00436071" w:rsidRDefault="00436071">
      <w:pPr>
        <w:pStyle w:val="SingleTxt"/>
        <w:spacing w:after="0" w:line="120" w:lineRule="exact"/>
        <w:rPr>
          <w:rFonts w:hint="eastAsia"/>
          <w:sz w:val="10"/>
        </w:rPr>
      </w:pPr>
    </w:p>
    <w:p w:rsidR="00436071" w:rsidRDefault="00436071">
      <w:pPr>
        <w:pStyle w:val="SingleTxt"/>
        <w:rPr>
          <w:rFonts w:hint="eastAsia"/>
        </w:rPr>
      </w:pPr>
      <w:r>
        <w:tab/>
      </w:r>
      <w:r>
        <w:rPr>
          <w:rFonts w:hint="eastAsia"/>
        </w:rPr>
        <w:t>在保健领域不存在对妇女的歧视。此外，为了应对妇女的疾病及她们的特殊需要，加蓬专门为妇女建立了特殊的服务。</w:t>
      </w:r>
    </w:p>
    <w:p w:rsidR="00436071" w:rsidRDefault="00436071">
      <w:pPr>
        <w:pStyle w:val="SingleTxt"/>
        <w:ind w:left="2115" w:hanging="431"/>
        <w:rPr>
          <w:rFonts w:hint="eastAsia"/>
        </w:rPr>
      </w:pPr>
      <w:r>
        <w:tab/>
        <w:t>-</w:t>
      </w:r>
      <w:r>
        <w:tab/>
      </w:r>
      <w:r>
        <w:rPr>
          <w:rFonts w:hint="eastAsia"/>
        </w:rPr>
        <w:t>例如：母婴保健中心（CSMI）；</w:t>
      </w:r>
    </w:p>
    <w:p w:rsidR="00436071" w:rsidRDefault="00436071">
      <w:pPr>
        <w:pStyle w:val="SingleTxt"/>
        <w:ind w:left="2115" w:hanging="431"/>
        <w:rPr>
          <w:rFonts w:hint="eastAsia"/>
        </w:rPr>
      </w:pPr>
      <w:r>
        <w:tab/>
        <w:t>-</w:t>
      </w:r>
      <w:r>
        <w:tab/>
      </w:r>
      <w:r>
        <w:rPr>
          <w:rFonts w:hint="eastAsia"/>
        </w:rPr>
        <w:t>妇产服务机构等</w:t>
      </w:r>
    </w:p>
    <w:p w:rsidR="00436071" w:rsidRDefault="00436071">
      <w:pPr>
        <w:pStyle w:val="SingleTxt"/>
        <w:ind w:left="2115" w:hanging="431"/>
        <w:rPr>
          <w:rFonts w:hint="eastAsia"/>
        </w:rPr>
      </w:pPr>
      <w:r>
        <w:tab/>
      </w:r>
      <w:r>
        <w:rPr>
          <w:rFonts w:hint="eastAsia"/>
        </w:rPr>
        <w:t>妇女在怀孕期间和产后的医疗不免费。例如：</w:t>
      </w:r>
    </w:p>
    <w:p w:rsidR="00436071" w:rsidRDefault="00436071">
      <w:pPr>
        <w:pStyle w:val="SingleTxt"/>
        <w:ind w:left="2115" w:hanging="431"/>
        <w:rPr>
          <w:rFonts w:hint="eastAsia"/>
        </w:rPr>
      </w:pPr>
      <w:r>
        <w:tab/>
        <w:t>-</w:t>
      </w:r>
      <w:r>
        <w:rPr>
          <w:rFonts w:hint="eastAsia"/>
        </w:rPr>
        <w:tab/>
        <w:t>购买药品和保健手册、产前检查和超声波检查。</w:t>
      </w:r>
    </w:p>
    <w:p w:rsidR="00436071" w:rsidRDefault="00436071">
      <w:pPr>
        <w:pStyle w:val="SingleTxt"/>
        <w:rPr>
          <w:rFonts w:hint="eastAsia"/>
        </w:rPr>
      </w:pPr>
      <w:r>
        <w:tab/>
      </w:r>
      <w:r>
        <w:rPr>
          <w:rFonts w:hint="eastAsia"/>
        </w:rPr>
        <w:t>在加蓬，国家通过保健人员（妇科医生、产科医生、助产士、男女护士……）确保对妇女的产前监视，并为怀孕妇女和哺乳妇女举办营养方面的讲座。</w:t>
      </w:r>
    </w:p>
    <w:p w:rsidR="00436071" w:rsidRDefault="00436071">
      <w:pPr>
        <w:pStyle w:val="SingleTxt"/>
        <w:rPr>
          <w:rFonts w:hint="eastAsia"/>
        </w:rPr>
      </w:pPr>
      <w:r>
        <w:tab/>
      </w:r>
      <w:r>
        <w:rPr>
          <w:rFonts w:hint="eastAsia"/>
        </w:rPr>
        <w:t>造成妇女生病和死亡的主要原因有：</w:t>
      </w:r>
    </w:p>
    <w:p w:rsidR="00436071" w:rsidRDefault="00436071">
      <w:pPr>
        <w:pStyle w:val="SingleTxt"/>
        <w:rPr>
          <w:rFonts w:hint="eastAsia"/>
        </w:rPr>
      </w:pPr>
      <w:r>
        <w:tab/>
      </w:r>
      <w:r>
        <w:rPr>
          <w:rFonts w:hint="eastAsia"/>
        </w:rPr>
        <w:t>关于死亡：</w:t>
      </w:r>
    </w:p>
    <w:p w:rsidR="00436071" w:rsidRDefault="00436071">
      <w:pPr>
        <w:pStyle w:val="SingleTxt"/>
        <w:ind w:left="2115" w:hanging="431"/>
        <w:rPr>
          <w:rFonts w:hint="eastAsia"/>
        </w:rPr>
      </w:pPr>
      <w:r>
        <w:tab/>
      </w:r>
      <w:r>
        <w:rPr>
          <w:rFonts w:hint="eastAsia"/>
        </w:rPr>
        <w:t>-</w:t>
      </w:r>
      <w:r>
        <w:rPr>
          <w:rFonts w:hint="eastAsia"/>
        </w:rPr>
        <w:tab/>
        <w:t>大出血；</w:t>
      </w:r>
    </w:p>
    <w:p w:rsidR="00436071" w:rsidRDefault="00436071">
      <w:pPr>
        <w:pStyle w:val="SingleTxt"/>
        <w:ind w:left="2115" w:hanging="431"/>
        <w:rPr>
          <w:rFonts w:hint="eastAsia"/>
        </w:rPr>
      </w:pPr>
      <w:r>
        <w:tab/>
      </w:r>
      <w:r>
        <w:rPr>
          <w:rFonts w:hint="eastAsia"/>
        </w:rPr>
        <w:t>-</w:t>
      </w:r>
      <w:r>
        <w:rPr>
          <w:rFonts w:hint="eastAsia"/>
        </w:rPr>
        <w:tab/>
        <w:t>人工流产；</w:t>
      </w:r>
    </w:p>
    <w:p w:rsidR="00436071" w:rsidRDefault="00436071">
      <w:pPr>
        <w:pStyle w:val="SingleTxt"/>
        <w:ind w:left="2115" w:hanging="431"/>
        <w:rPr>
          <w:rFonts w:hint="eastAsia"/>
        </w:rPr>
      </w:pPr>
      <w:r>
        <w:tab/>
      </w:r>
      <w:r>
        <w:rPr>
          <w:rFonts w:hint="eastAsia"/>
        </w:rPr>
        <w:t>-</w:t>
      </w:r>
      <w:r>
        <w:rPr>
          <w:rFonts w:hint="eastAsia"/>
        </w:rPr>
        <w:tab/>
        <w:t>癌症；</w:t>
      </w:r>
    </w:p>
    <w:p w:rsidR="00436071" w:rsidRDefault="00436071">
      <w:pPr>
        <w:pStyle w:val="SingleTxt"/>
        <w:ind w:left="2115" w:hanging="431"/>
        <w:rPr>
          <w:rFonts w:hint="eastAsia"/>
        </w:rPr>
      </w:pPr>
      <w:r>
        <w:tab/>
      </w:r>
      <w:r>
        <w:rPr>
          <w:rFonts w:hint="eastAsia"/>
        </w:rPr>
        <w:t>-</w:t>
      </w:r>
      <w:r>
        <w:rPr>
          <w:rFonts w:hint="eastAsia"/>
        </w:rPr>
        <w:tab/>
        <w:t>感染；</w:t>
      </w:r>
    </w:p>
    <w:p w:rsidR="00436071" w:rsidRDefault="00436071">
      <w:pPr>
        <w:pStyle w:val="SingleTxt"/>
        <w:ind w:left="2115" w:hanging="431"/>
        <w:rPr>
          <w:rFonts w:hint="eastAsia"/>
        </w:rPr>
      </w:pPr>
      <w:r>
        <w:tab/>
      </w:r>
      <w:r>
        <w:rPr>
          <w:rFonts w:hint="eastAsia"/>
        </w:rPr>
        <w:t>-</w:t>
      </w:r>
      <w:r>
        <w:rPr>
          <w:rFonts w:hint="eastAsia"/>
        </w:rPr>
        <w:tab/>
        <w:t>艾滋病毒/艾滋病。</w:t>
      </w:r>
    </w:p>
    <w:p w:rsidR="00436071" w:rsidRDefault="00436071">
      <w:pPr>
        <w:pStyle w:val="SingleTxt"/>
        <w:rPr>
          <w:rFonts w:hint="eastAsia"/>
        </w:rPr>
      </w:pPr>
      <w:r>
        <w:tab/>
      </w:r>
      <w:r>
        <w:rPr>
          <w:rFonts w:hint="eastAsia"/>
        </w:rPr>
        <w:t>关于生病：</w:t>
      </w:r>
    </w:p>
    <w:p w:rsidR="00436071" w:rsidRDefault="00436071">
      <w:pPr>
        <w:pStyle w:val="SingleTxt"/>
        <w:ind w:left="2115" w:hanging="431"/>
        <w:rPr>
          <w:rFonts w:hint="eastAsia"/>
        </w:rPr>
      </w:pPr>
      <w:r>
        <w:tab/>
      </w:r>
      <w:r>
        <w:rPr>
          <w:rFonts w:hint="eastAsia"/>
        </w:rPr>
        <w:t>-</w:t>
      </w:r>
      <w:r>
        <w:rPr>
          <w:rFonts w:hint="eastAsia"/>
        </w:rPr>
        <w:tab/>
        <w:t>寄生虫病（疟疾，丝虫病）；</w:t>
      </w:r>
    </w:p>
    <w:p w:rsidR="00436071" w:rsidRDefault="00436071">
      <w:pPr>
        <w:pStyle w:val="SingleTxt"/>
        <w:ind w:left="2115" w:hanging="431"/>
        <w:rPr>
          <w:rFonts w:hint="eastAsia"/>
        </w:rPr>
      </w:pPr>
      <w:r>
        <w:tab/>
      </w:r>
      <w:r>
        <w:rPr>
          <w:rFonts w:hint="eastAsia"/>
        </w:rPr>
        <w:t>-</w:t>
      </w:r>
      <w:r>
        <w:rPr>
          <w:rFonts w:hint="eastAsia"/>
        </w:rPr>
        <w:tab/>
        <w:t>营养缺乏性和缺铁性贫血；</w:t>
      </w:r>
    </w:p>
    <w:p w:rsidR="00436071" w:rsidRDefault="00436071">
      <w:pPr>
        <w:pStyle w:val="SingleTxt"/>
        <w:ind w:left="2115" w:hanging="431"/>
        <w:rPr>
          <w:rFonts w:hint="eastAsia"/>
        </w:rPr>
      </w:pPr>
      <w:r>
        <w:tab/>
      </w:r>
      <w:r>
        <w:rPr>
          <w:rFonts w:hint="eastAsia"/>
        </w:rPr>
        <w:t>-</w:t>
      </w:r>
      <w:r>
        <w:rPr>
          <w:rFonts w:hint="eastAsia"/>
        </w:rPr>
        <w:tab/>
        <w:t>性传播感染。</w:t>
      </w:r>
    </w:p>
    <w:p w:rsidR="00436071" w:rsidRDefault="00436071">
      <w:pPr>
        <w:pStyle w:val="SingleTxt"/>
        <w:rPr>
          <w:rFonts w:hint="eastAsia"/>
        </w:rPr>
      </w:pPr>
      <w:r>
        <w:tab/>
      </w:r>
      <w:r>
        <w:rPr>
          <w:rFonts w:hint="eastAsia"/>
        </w:rPr>
        <w:t>产妇死亡率为十万活产519人（据2000年加蓬“人口与健康”调查结果（EDSG2000））。</w:t>
      </w:r>
    </w:p>
    <w:p w:rsidR="00436071" w:rsidRDefault="00436071">
      <w:pPr>
        <w:pStyle w:val="SingleTxt"/>
        <w:rPr>
          <w:rFonts w:hint="eastAsia"/>
        </w:rPr>
      </w:pPr>
      <w:r>
        <w:tab/>
      </w:r>
      <w:r>
        <w:rPr>
          <w:rFonts w:hint="eastAsia"/>
        </w:rPr>
        <w:t>婴儿死亡率为千分之57.3（EDSG2000）。</w:t>
      </w:r>
    </w:p>
    <w:p w:rsidR="00436071" w:rsidRDefault="00436071">
      <w:pPr>
        <w:pStyle w:val="SingleTxt"/>
        <w:rPr>
          <w:rFonts w:hint="eastAsia"/>
        </w:rPr>
      </w:pPr>
      <w:r>
        <w:tab/>
      </w:r>
      <w:r>
        <w:rPr>
          <w:rFonts w:hint="eastAsia"/>
        </w:rPr>
        <w:t>青少年死亡率为千分之33.2（EDSG2000）。造成婴儿死亡的主要原因有：</w:t>
      </w:r>
    </w:p>
    <w:p w:rsidR="00436071" w:rsidRDefault="00436071">
      <w:pPr>
        <w:pStyle w:val="SingleTxt"/>
        <w:ind w:left="2115" w:hanging="431"/>
        <w:rPr>
          <w:rFonts w:hint="eastAsia"/>
        </w:rPr>
      </w:pPr>
      <w:r>
        <w:tab/>
      </w:r>
      <w:r>
        <w:rPr>
          <w:rFonts w:hint="eastAsia"/>
        </w:rPr>
        <w:t>-</w:t>
      </w:r>
      <w:r>
        <w:rPr>
          <w:rFonts w:hint="eastAsia"/>
        </w:rPr>
        <w:tab/>
        <w:t>急性呼吸道感染；</w:t>
      </w:r>
    </w:p>
    <w:p w:rsidR="00436071" w:rsidRDefault="00436071">
      <w:pPr>
        <w:pStyle w:val="SingleTxt"/>
        <w:ind w:left="2115" w:hanging="431"/>
        <w:rPr>
          <w:rFonts w:hint="eastAsia"/>
        </w:rPr>
      </w:pPr>
      <w:r>
        <w:tab/>
      </w:r>
      <w:r>
        <w:rPr>
          <w:rFonts w:hint="eastAsia"/>
        </w:rPr>
        <w:t>-</w:t>
      </w:r>
      <w:r>
        <w:rPr>
          <w:rFonts w:hint="eastAsia"/>
        </w:rPr>
        <w:tab/>
        <w:t>腹泻并发症；</w:t>
      </w:r>
    </w:p>
    <w:p w:rsidR="00436071" w:rsidRDefault="00436071">
      <w:pPr>
        <w:pStyle w:val="SingleTxt"/>
        <w:ind w:left="2115" w:hanging="431"/>
        <w:rPr>
          <w:rFonts w:hint="eastAsia"/>
        </w:rPr>
      </w:pPr>
      <w:r>
        <w:tab/>
      </w:r>
      <w:r>
        <w:rPr>
          <w:rFonts w:hint="eastAsia"/>
        </w:rPr>
        <w:t>-</w:t>
      </w:r>
      <w:r>
        <w:rPr>
          <w:rFonts w:hint="eastAsia"/>
        </w:rPr>
        <w:tab/>
        <w:t>6种传染病；</w:t>
      </w:r>
    </w:p>
    <w:p w:rsidR="00436071" w:rsidRDefault="00436071">
      <w:pPr>
        <w:pStyle w:val="SingleTxt"/>
        <w:ind w:left="2115" w:hanging="431"/>
        <w:rPr>
          <w:rFonts w:hint="eastAsia"/>
        </w:rPr>
      </w:pPr>
      <w:r>
        <w:tab/>
      </w:r>
      <w:r>
        <w:rPr>
          <w:rFonts w:hint="eastAsia"/>
        </w:rPr>
        <w:t>-</w:t>
      </w:r>
      <w:r>
        <w:rPr>
          <w:rFonts w:hint="eastAsia"/>
        </w:rPr>
        <w:tab/>
        <w:t>疟疾。</w:t>
      </w:r>
    </w:p>
    <w:p w:rsidR="00436071" w:rsidRDefault="00436071">
      <w:pPr>
        <w:pStyle w:val="SingleTxt"/>
        <w:rPr>
          <w:rFonts w:hint="eastAsia"/>
        </w:rPr>
      </w:pPr>
      <w:r>
        <w:tab/>
      </w:r>
      <w:r>
        <w:rPr>
          <w:rFonts w:hint="eastAsia"/>
        </w:rPr>
        <w:t>造成女孩和男孩生病和死亡的原因是一样的，即：</w:t>
      </w:r>
    </w:p>
    <w:p w:rsidR="00436071" w:rsidRDefault="00436071">
      <w:pPr>
        <w:pStyle w:val="SingleTxt"/>
        <w:ind w:left="2115" w:hanging="431"/>
        <w:rPr>
          <w:rFonts w:hint="eastAsia"/>
        </w:rPr>
      </w:pPr>
      <w:r>
        <w:tab/>
      </w:r>
      <w:r>
        <w:rPr>
          <w:rFonts w:hint="eastAsia"/>
        </w:rPr>
        <w:t>-</w:t>
      </w:r>
      <w:r>
        <w:rPr>
          <w:rFonts w:hint="eastAsia"/>
        </w:rPr>
        <w:tab/>
        <w:t>疟疾；</w:t>
      </w:r>
    </w:p>
    <w:p w:rsidR="00436071" w:rsidRDefault="00436071">
      <w:pPr>
        <w:pStyle w:val="SingleTxt"/>
        <w:ind w:left="2115" w:hanging="431"/>
        <w:rPr>
          <w:rFonts w:hint="eastAsia"/>
        </w:rPr>
      </w:pPr>
      <w:r>
        <w:tab/>
      </w:r>
      <w:r>
        <w:rPr>
          <w:rFonts w:hint="eastAsia"/>
        </w:rPr>
        <w:t>-</w:t>
      </w:r>
      <w:r>
        <w:rPr>
          <w:rFonts w:hint="eastAsia"/>
        </w:rPr>
        <w:tab/>
        <w:t>肠寄生虫病；</w:t>
      </w:r>
    </w:p>
    <w:p w:rsidR="00436071" w:rsidRDefault="00436071">
      <w:pPr>
        <w:pStyle w:val="SingleTxt"/>
        <w:ind w:left="2115" w:hanging="431"/>
        <w:rPr>
          <w:rFonts w:hint="eastAsia"/>
        </w:rPr>
      </w:pPr>
      <w:r>
        <w:tab/>
      </w:r>
      <w:r>
        <w:rPr>
          <w:rFonts w:hint="eastAsia"/>
        </w:rPr>
        <w:t>-</w:t>
      </w:r>
      <w:r>
        <w:rPr>
          <w:rFonts w:hint="eastAsia"/>
        </w:rPr>
        <w:tab/>
        <w:t>镰状细胞性贫血；</w:t>
      </w:r>
    </w:p>
    <w:p w:rsidR="00436071" w:rsidRDefault="00436071">
      <w:pPr>
        <w:pStyle w:val="SingleTxt"/>
        <w:ind w:left="2115" w:hanging="431"/>
        <w:rPr>
          <w:rFonts w:hint="eastAsia"/>
        </w:rPr>
      </w:pPr>
      <w:r>
        <w:tab/>
      </w:r>
      <w:r>
        <w:rPr>
          <w:rFonts w:hint="eastAsia"/>
        </w:rPr>
        <w:t>-</w:t>
      </w:r>
      <w:r>
        <w:rPr>
          <w:rFonts w:hint="eastAsia"/>
        </w:rPr>
        <w:tab/>
        <w:t>营养缺乏性贫血；</w:t>
      </w:r>
    </w:p>
    <w:p w:rsidR="00436071" w:rsidRDefault="00436071">
      <w:pPr>
        <w:pStyle w:val="SingleTxt"/>
        <w:ind w:left="2115" w:hanging="431"/>
        <w:rPr>
          <w:rFonts w:hint="eastAsia"/>
        </w:rPr>
      </w:pPr>
      <w:r>
        <w:tab/>
      </w:r>
      <w:r>
        <w:rPr>
          <w:rFonts w:hint="eastAsia"/>
        </w:rPr>
        <w:t>-</w:t>
      </w:r>
      <w:r>
        <w:rPr>
          <w:rFonts w:hint="eastAsia"/>
        </w:rPr>
        <w:tab/>
        <w:t>感染；</w:t>
      </w:r>
    </w:p>
    <w:p w:rsidR="00436071" w:rsidRDefault="00436071">
      <w:pPr>
        <w:pStyle w:val="SingleTxt"/>
        <w:ind w:left="2115" w:hanging="431"/>
        <w:rPr>
          <w:rFonts w:hint="eastAsia"/>
        </w:rPr>
      </w:pPr>
      <w:r>
        <w:tab/>
      </w:r>
      <w:r>
        <w:rPr>
          <w:rFonts w:hint="eastAsia"/>
        </w:rPr>
        <w:t>-</w:t>
      </w:r>
      <w:r>
        <w:rPr>
          <w:rFonts w:hint="eastAsia"/>
        </w:rPr>
        <w:tab/>
        <w:t>营养不良。</w:t>
      </w:r>
    </w:p>
    <w:p w:rsidR="00436071" w:rsidRDefault="00436071">
      <w:pPr>
        <w:pStyle w:val="SingleTxt"/>
        <w:rPr>
          <w:rFonts w:hint="eastAsia"/>
        </w:rPr>
      </w:pPr>
      <w:r>
        <w:tab/>
      </w:r>
      <w:r>
        <w:rPr>
          <w:rFonts w:hint="eastAsia"/>
        </w:rPr>
        <w:t>平均预期寿命为女54岁，男53岁。</w:t>
      </w:r>
    </w:p>
    <w:p w:rsidR="00436071" w:rsidRDefault="00436071">
      <w:pPr>
        <w:pStyle w:val="SingleTxt"/>
        <w:rPr>
          <w:rFonts w:hint="eastAsia"/>
        </w:rPr>
      </w:pPr>
      <w:r>
        <w:tab/>
      </w:r>
      <w:r>
        <w:rPr>
          <w:rFonts w:hint="eastAsia"/>
        </w:rPr>
        <w:t>年总出生率为千分之33.1（EDSG2000）。</w:t>
      </w:r>
    </w:p>
    <w:p w:rsidR="00436071" w:rsidRDefault="00436071">
      <w:pPr>
        <w:pStyle w:val="SingleTxt"/>
        <w:rPr>
          <w:rFonts w:hint="eastAsia"/>
        </w:rPr>
      </w:pPr>
      <w:r>
        <w:tab/>
      </w:r>
      <w:r>
        <w:rPr>
          <w:rFonts w:hint="eastAsia"/>
        </w:rPr>
        <w:t>在城市地区，接受产前保健的妇女达95.1％。</w:t>
      </w:r>
    </w:p>
    <w:p w:rsidR="00436071" w:rsidRDefault="00436071">
      <w:pPr>
        <w:pStyle w:val="SingleTxt"/>
        <w:rPr>
          <w:rFonts w:hint="eastAsia"/>
        </w:rPr>
      </w:pPr>
      <w:r>
        <w:rPr>
          <w:rFonts w:hint="eastAsia"/>
        </w:rPr>
        <w:tab/>
        <w:t>每位妇女活产婴儿平均为4.3个。</w:t>
      </w:r>
    </w:p>
    <w:p w:rsidR="00436071" w:rsidRDefault="00436071">
      <w:pPr>
        <w:pStyle w:val="SingleTxt"/>
        <w:rPr>
          <w:rFonts w:hint="eastAsia"/>
        </w:rPr>
      </w:pPr>
      <w:r>
        <w:rPr>
          <w:rFonts w:hint="eastAsia"/>
        </w:rPr>
        <w:tab/>
        <w:t>在避孕方面未满足需要的比率全国为35.6％，主要城市（利伯维尔和让蒂尔港）为14.3％。</w:t>
      </w:r>
    </w:p>
    <w:p w:rsidR="00436071" w:rsidRDefault="00436071">
      <w:pPr>
        <w:pStyle w:val="SingleTxt"/>
        <w:rPr>
          <w:rFonts w:hint="eastAsia"/>
        </w:rPr>
      </w:pPr>
      <w:r>
        <w:rPr>
          <w:rFonts w:hint="eastAsia"/>
        </w:rPr>
        <w:tab/>
        <w:t>采用现代方式避孕的占11.8％。</w:t>
      </w:r>
    </w:p>
    <w:p w:rsidR="00436071" w:rsidRDefault="00436071">
      <w:pPr>
        <w:pStyle w:val="SingleTxt"/>
        <w:rPr>
          <w:rFonts w:hint="eastAsia"/>
        </w:rPr>
      </w:pPr>
      <w:r>
        <w:rPr>
          <w:rFonts w:hint="eastAsia"/>
        </w:rPr>
        <w:tab/>
        <w:t>加蓬的政策是鼓励生育的，因为加蓬人口不足。</w:t>
      </w:r>
    </w:p>
    <w:p w:rsidR="00436071" w:rsidRDefault="00436071">
      <w:pPr>
        <w:pStyle w:val="SingleTxt"/>
        <w:rPr>
          <w:rFonts w:hint="eastAsia"/>
        </w:rPr>
      </w:pPr>
      <w:r>
        <w:rPr>
          <w:rFonts w:hint="eastAsia"/>
        </w:rPr>
        <w:tab/>
        <w:t>这方面的一个例证是，授予多人口家庭母亲和好心肠母亲“感谢奖章”一事已经形成制度。</w:t>
      </w:r>
    </w:p>
    <w:p w:rsidR="00436071" w:rsidRDefault="00436071">
      <w:pPr>
        <w:pStyle w:val="SingleTxt"/>
        <w:rPr>
          <w:rFonts w:hint="eastAsia"/>
        </w:rPr>
      </w:pPr>
      <w:r>
        <w:rPr>
          <w:rFonts w:hint="eastAsia"/>
        </w:rPr>
        <w:tab/>
        <w:t>然而，在父亲或母亲工资中支付的儿童补贴值得重新审议，而给予无业母亲的补贴值得恢复。</w:t>
      </w:r>
    </w:p>
    <w:p w:rsidR="00436071" w:rsidRDefault="00436071">
      <w:pPr>
        <w:pStyle w:val="SingleTxt"/>
        <w:rPr>
          <w:rFonts w:hint="eastAsia"/>
        </w:rPr>
      </w:pPr>
      <w:r>
        <w:rPr>
          <w:rFonts w:hint="eastAsia"/>
        </w:rPr>
        <w:tab/>
        <w:t>妇女获得计划生育服务的问题遇到了文化上的障碍，传统认为子女是一件珍贵的礼物，它能使家庭和氏族一代一代延续下去。</w:t>
      </w:r>
    </w:p>
    <w:p w:rsidR="00436071" w:rsidRDefault="00436071">
      <w:pPr>
        <w:pStyle w:val="SingleTxt"/>
        <w:rPr>
          <w:rFonts w:hint="eastAsia"/>
        </w:rPr>
      </w:pPr>
      <w:r>
        <w:rPr>
          <w:rFonts w:hint="eastAsia"/>
        </w:rPr>
        <w:tab/>
        <w:t>有55.17％的妇女工作在卫生部门（卫生部1986年统计资料）。</w:t>
      </w:r>
    </w:p>
    <w:p w:rsidR="00436071" w:rsidRDefault="00436071">
      <w:pPr>
        <w:pStyle w:val="SingleTxt"/>
        <w:rPr>
          <w:rFonts w:hint="eastAsia"/>
        </w:rPr>
      </w:pPr>
      <w:r>
        <w:rPr>
          <w:rFonts w:hint="eastAsia"/>
        </w:rPr>
        <w:tab/>
        <w:t>此外，国家有一批从事传统医学的医务工作者，称为传统医生，统归传统医生协会管理。</w:t>
      </w:r>
    </w:p>
    <w:p w:rsidR="00436071" w:rsidRDefault="00436071">
      <w:pPr>
        <w:pStyle w:val="SingleTxt"/>
        <w:rPr>
          <w:rFonts w:hint="eastAsia"/>
        </w:rPr>
      </w:pPr>
      <w:r>
        <w:rPr>
          <w:rFonts w:hint="eastAsia"/>
        </w:rPr>
        <w:tab/>
        <w:t>2000年8月18日废除了1969年10月4日的第64/69号法令，该法令规定妇女在实行计划生育前需经丈夫允准，禁止采取会造成私下流产和并发症（母亲死亡，不育症）后果的节育措施。该法令废除后，加蓬妇女今天可以自由地实行计划生育。</w:t>
      </w:r>
    </w:p>
    <w:p w:rsidR="00436071" w:rsidRDefault="00436071">
      <w:pPr>
        <w:pStyle w:val="SingleTxt"/>
        <w:rPr>
          <w:rFonts w:hint="eastAsia"/>
        </w:rPr>
      </w:pPr>
      <w:r>
        <w:rPr>
          <w:rFonts w:hint="eastAsia"/>
        </w:rPr>
        <w:tab/>
        <w:t>然而，尽管实行了避孕自由化，但堕胎现象依然存在。《刑法》第244条和245条规定，医务人员和其他人员，凡通过食物、饮料、药物，或使用花招、暴力或其他任何手段，导致或试图导致怀孕妇女或推测怀孕的妇女堕胎的，不论是否经妇女本人同意，均将判处1至5年监禁。</w:t>
      </w:r>
    </w:p>
    <w:p w:rsidR="00436071" w:rsidRDefault="00436071">
      <w:pPr>
        <w:pStyle w:val="SingleTxt"/>
        <w:rPr>
          <w:rFonts w:hint="eastAsia"/>
        </w:rPr>
      </w:pPr>
      <w:r>
        <w:rPr>
          <w:rFonts w:hint="eastAsia"/>
        </w:rPr>
        <w:tab/>
        <w:t>在这一刑罚上还可加处24 000至500 000非洲金融共同体法郎的罚金。</w:t>
      </w:r>
    </w:p>
    <w:p w:rsidR="00436071" w:rsidRDefault="00436071">
      <w:pPr>
        <w:pStyle w:val="SingleTxt"/>
        <w:rPr>
          <w:rFonts w:hint="eastAsia"/>
        </w:rPr>
      </w:pPr>
      <w:r>
        <w:rPr>
          <w:rFonts w:hint="eastAsia"/>
        </w:rPr>
        <w:tab/>
        <w:t>如果犯罪人在这方面属于屡犯，则可加重处罚，判处5至10年监禁和50 000至1 000 000非洲金融共同体法郎的罚金。妇女本人自行堕胎或试图堕胎的，也将判处6个月至2年监禁和24 000至240 000非洲金融共同体法郎的罚金，或只给予其中一项处罚。</w:t>
      </w:r>
    </w:p>
    <w:p w:rsidR="00436071" w:rsidRDefault="00436071">
      <w:pPr>
        <w:pStyle w:val="SingleTxt"/>
        <w:rPr>
          <w:rFonts w:hint="eastAsia"/>
        </w:rPr>
      </w:pPr>
      <w:r>
        <w:rPr>
          <w:rFonts w:hint="eastAsia"/>
        </w:rPr>
        <w:tab/>
        <w:t>然而，如果怀孕危及到母亲的健康，则可做治病流产。</w:t>
      </w:r>
    </w:p>
    <w:p w:rsidR="00436071" w:rsidRDefault="00436071">
      <w:pPr>
        <w:pStyle w:val="SingleTxt"/>
        <w:rPr>
          <w:rFonts w:hint="eastAsia"/>
        </w:rPr>
      </w:pPr>
      <w:r>
        <w:rPr>
          <w:rFonts w:hint="eastAsia"/>
        </w:rPr>
        <w:tab/>
        <w:t>社会保障不负担人工流产的费用。这些规定对生活在城市地区和农村地区的妇女同样有效。</w:t>
      </w:r>
    </w:p>
    <w:p w:rsidR="00436071" w:rsidRDefault="00436071">
      <w:pPr>
        <w:pStyle w:val="SingleTxt"/>
        <w:rPr>
          <w:rFonts w:hint="eastAsia"/>
        </w:rPr>
      </w:pPr>
      <w:r>
        <w:rPr>
          <w:rFonts w:hint="eastAsia"/>
        </w:rPr>
        <w:tab/>
        <w:t>产前检查是有的，但是费用很高。做治病流产的妇女由医务人员照料，以拯救她的生命。例如：1992年在利伯维尔的医疗中心有28%的母亲是因为流产死亡的。</w:t>
      </w:r>
    </w:p>
    <w:p w:rsidR="00436071" w:rsidRDefault="00436071">
      <w:pPr>
        <w:pStyle w:val="SingleTxt"/>
        <w:rPr>
          <w:rFonts w:hint="eastAsia"/>
        </w:rPr>
      </w:pPr>
      <w:r>
        <w:rPr>
          <w:rFonts w:hint="eastAsia"/>
        </w:rPr>
        <w:tab/>
        <w:t>关于绝育手术，实际上它并不存在。某种社会类别的妇女更愿使用避孕环来拉长生育间隔时间。</w:t>
      </w:r>
    </w:p>
    <w:p w:rsidR="00436071" w:rsidRDefault="00436071">
      <w:pPr>
        <w:pStyle w:val="SingleTxt"/>
        <w:rPr>
          <w:rFonts w:hint="eastAsia"/>
        </w:rPr>
      </w:pPr>
      <w:r>
        <w:rPr>
          <w:rFonts w:hint="eastAsia"/>
        </w:rPr>
        <w:tab/>
        <w:t>国家现已出台了防治艾滋病（包括性传播感染）的国家计划。该计划的主要活动是宣传与这一疾病有关的风险和影响，提高人们的认识。</w:t>
      </w:r>
    </w:p>
    <w:p w:rsidR="00436071" w:rsidRDefault="00436071">
      <w:pPr>
        <w:pStyle w:val="SingleTxt"/>
        <w:rPr>
          <w:rFonts w:hint="eastAsia"/>
        </w:rPr>
      </w:pPr>
      <w:r>
        <w:rPr>
          <w:rFonts w:hint="eastAsia"/>
        </w:rPr>
        <w:tab/>
        <w:t>同时，国家制定了防治艾滋病国家行动计划，于2001年开设了一个门诊治疗中心。国家元首，共和国总统先生阁下，建立了帮助和援助艾滋病病人和人体免疫缺损病毒携带者的基金。</w:t>
      </w:r>
    </w:p>
    <w:p w:rsidR="00436071" w:rsidRDefault="00436071">
      <w:pPr>
        <w:pStyle w:val="SingleTxt"/>
        <w:rPr>
          <w:rFonts w:hint="eastAsia"/>
        </w:rPr>
      </w:pPr>
      <w:r>
        <w:rPr>
          <w:rFonts w:hint="eastAsia"/>
        </w:rPr>
        <w:tab/>
        <w:t>在这方面，还以实验的名义向妇女发放了阴道隔膜。</w:t>
      </w:r>
    </w:p>
    <w:p w:rsidR="00436071" w:rsidRDefault="00436071">
      <w:pPr>
        <w:pStyle w:val="SingleTxt"/>
        <w:rPr>
          <w:rFonts w:hint="eastAsia"/>
        </w:rPr>
      </w:pPr>
      <w:r>
        <w:rPr>
          <w:rFonts w:hint="eastAsia"/>
        </w:rPr>
        <w:tab/>
        <w:t>另外，还应指出的是，目前加蓬有好几个与艾滋病作斗争的团体。其中有：非洲妇女与艾滋病学会（在加蓬的分支称为非洲妇女抗击艾滋病协会），青年生殖健康网，零艾滋病协会和其他的基督教团体。</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第十三条：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社会福利</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加蓬设有两个社会保护机构：</w:t>
      </w:r>
    </w:p>
    <w:p w:rsidR="00436071" w:rsidRDefault="00436071">
      <w:pPr>
        <w:pStyle w:val="SingleTxt"/>
        <w:ind w:left="2115" w:hanging="431"/>
        <w:rPr>
          <w:rFonts w:hint="eastAsia"/>
        </w:rPr>
      </w:pPr>
      <w:r>
        <w:rPr>
          <w:rFonts w:hint="eastAsia"/>
        </w:rPr>
        <w:tab/>
        <w:t>-</w:t>
      </w:r>
      <w:r>
        <w:rPr>
          <w:rFonts w:hint="eastAsia"/>
        </w:rPr>
        <w:tab/>
        <w:t>国家社会保险基金（关于社会保险法的1975年11月25日第6/75号法律）；</w:t>
      </w:r>
    </w:p>
    <w:p w:rsidR="00436071" w:rsidRDefault="00436071">
      <w:pPr>
        <w:pStyle w:val="SingleTxt"/>
        <w:ind w:left="2115" w:hanging="431"/>
        <w:rPr>
          <w:rFonts w:hint="eastAsia"/>
        </w:rPr>
      </w:pPr>
      <w:r>
        <w:rPr>
          <w:rFonts w:hint="eastAsia"/>
        </w:rPr>
        <w:tab/>
        <w:t>-</w:t>
      </w:r>
      <w:r>
        <w:rPr>
          <w:rFonts w:hint="eastAsia"/>
        </w:rPr>
        <w:tab/>
        <w:t>国家社会保障基金（关于社会保障法的1982年1月24日第010/84号法律）。</w:t>
      </w:r>
    </w:p>
    <w:p w:rsidR="00436071" w:rsidRDefault="00436071">
      <w:pPr>
        <w:pStyle w:val="SingleTxt"/>
        <w:ind w:left="2115" w:hanging="431"/>
        <w:rPr>
          <w:rFonts w:hint="eastAsia"/>
        </w:rPr>
      </w:pPr>
      <w:r>
        <w:rPr>
          <w:rFonts w:hint="eastAsia"/>
        </w:rPr>
        <w:tab/>
        <w:t>对于公务员，他们的家庭和社会补助由国家财政发给。</w:t>
      </w:r>
    </w:p>
    <w:p w:rsidR="00436071" w:rsidRDefault="00436071">
      <w:pPr>
        <w:pStyle w:val="SingleTxt"/>
        <w:rPr>
          <w:rFonts w:hint="eastAsia"/>
        </w:rPr>
      </w:pPr>
      <w:r>
        <w:rPr>
          <w:rFonts w:hint="eastAsia"/>
        </w:rPr>
        <w:t>上述机构给参加基金的人员发放以下家庭补助，男女一视同仁：</w:t>
      </w:r>
    </w:p>
    <w:p w:rsidR="00436071" w:rsidRDefault="00436071">
      <w:pPr>
        <w:pStyle w:val="SingleTxt"/>
        <w:ind w:left="2115" w:hanging="431"/>
        <w:rPr>
          <w:rFonts w:hint="eastAsia"/>
        </w:rPr>
      </w:pPr>
      <w:r>
        <w:rPr>
          <w:rFonts w:hint="eastAsia"/>
        </w:rPr>
        <w:tab/>
        <w:t>-</w:t>
      </w:r>
      <w:r>
        <w:rPr>
          <w:rFonts w:hint="eastAsia"/>
        </w:rPr>
        <w:tab/>
        <w:t>家庭补贴；</w:t>
      </w:r>
    </w:p>
    <w:p w:rsidR="00436071" w:rsidRDefault="00436071">
      <w:pPr>
        <w:pStyle w:val="SingleTxt"/>
        <w:ind w:left="2115" w:hanging="431"/>
        <w:rPr>
          <w:rFonts w:hint="eastAsia"/>
        </w:rPr>
      </w:pPr>
      <w:r>
        <w:rPr>
          <w:rFonts w:hint="eastAsia"/>
        </w:rPr>
        <w:tab/>
        <w:t>-</w:t>
      </w:r>
      <w:r>
        <w:rPr>
          <w:rFonts w:hint="eastAsia"/>
        </w:rPr>
        <w:tab/>
        <w:t>产前补贴；</w:t>
      </w:r>
    </w:p>
    <w:p w:rsidR="00436071" w:rsidRDefault="00436071">
      <w:pPr>
        <w:pStyle w:val="SingleTxt"/>
        <w:ind w:left="2115" w:hanging="431"/>
        <w:rPr>
          <w:rFonts w:hint="eastAsia"/>
        </w:rPr>
      </w:pPr>
      <w:r>
        <w:rPr>
          <w:rFonts w:hint="eastAsia"/>
        </w:rPr>
        <w:tab/>
        <w:t>-</w:t>
      </w:r>
      <w:r>
        <w:rPr>
          <w:rFonts w:hint="eastAsia"/>
        </w:rPr>
        <w:tab/>
        <w:t>开学补贴；</w:t>
      </w:r>
    </w:p>
    <w:p w:rsidR="00436071" w:rsidRDefault="00436071">
      <w:pPr>
        <w:pStyle w:val="SingleTxt"/>
        <w:ind w:left="2115" w:hanging="431"/>
        <w:rPr>
          <w:rFonts w:hint="eastAsia"/>
        </w:rPr>
      </w:pPr>
      <w:r>
        <w:rPr>
          <w:rFonts w:hint="eastAsia"/>
        </w:rPr>
        <w:tab/>
        <w:t>-</w:t>
      </w:r>
      <w:r>
        <w:rPr>
          <w:rFonts w:hint="eastAsia"/>
        </w:rPr>
        <w:tab/>
        <w:t>产妇补助。</w:t>
      </w:r>
    </w:p>
    <w:p w:rsidR="00436071" w:rsidRDefault="00436071">
      <w:pPr>
        <w:pStyle w:val="SingleTxt"/>
        <w:rPr>
          <w:rFonts w:hint="eastAsia"/>
        </w:rPr>
      </w:pPr>
      <w:r>
        <w:rPr>
          <w:rFonts w:hint="eastAsia"/>
        </w:rPr>
        <w:tab/>
        <w:t>在社会保险基金中，参保的在职男子或妇女，凡在一家雇主或多家雇主那里连续工作满4个月的，均有权享受家庭补助。</w:t>
      </w:r>
    </w:p>
    <w:p w:rsidR="00436071" w:rsidRDefault="00436071">
      <w:pPr>
        <w:pStyle w:val="SingleTxt"/>
        <w:rPr>
          <w:rFonts w:hint="eastAsia"/>
        </w:rPr>
      </w:pPr>
      <w:r>
        <w:rPr>
          <w:rFonts w:hint="eastAsia"/>
        </w:rPr>
        <w:tab/>
        <w:t>在社会保障基金中，在基金中注册的各种类别人员均有权享受家庭补助，即：</w:t>
      </w:r>
    </w:p>
    <w:p w:rsidR="00436071" w:rsidRDefault="00436071">
      <w:pPr>
        <w:pStyle w:val="SingleTxt"/>
        <w:ind w:left="2115" w:hanging="431"/>
        <w:rPr>
          <w:rFonts w:hint="eastAsia"/>
        </w:rPr>
      </w:pPr>
      <w:r>
        <w:rPr>
          <w:rFonts w:hint="eastAsia"/>
        </w:rPr>
        <w:tab/>
        <w:t>-</w:t>
      </w:r>
      <w:r>
        <w:rPr>
          <w:rFonts w:hint="eastAsia"/>
        </w:rPr>
        <w:tab/>
        <w:t>订有契约的工作人员；</w:t>
      </w:r>
    </w:p>
    <w:p w:rsidR="00436071" w:rsidRDefault="00436071">
      <w:pPr>
        <w:pStyle w:val="SingleTxt"/>
        <w:ind w:left="2115" w:hanging="431"/>
        <w:rPr>
          <w:rFonts w:hint="eastAsia"/>
        </w:rPr>
      </w:pPr>
      <w:r>
        <w:rPr>
          <w:rFonts w:hint="eastAsia"/>
        </w:rPr>
        <w:tab/>
        <w:t>-</w:t>
      </w:r>
      <w:r>
        <w:rPr>
          <w:rFonts w:hint="eastAsia"/>
        </w:rPr>
        <w:tab/>
        <w:t>独立劳动者；</w:t>
      </w:r>
    </w:p>
    <w:p w:rsidR="00436071" w:rsidRDefault="00436071">
      <w:pPr>
        <w:pStyle w:val="SingleTxt"/>
        <w:ind w:left="2115" w:hanging="431"/>
        <w:rPr>
          <w:rFonts w:hint="eastAsia"/>
        </w:rPr>
      </w:pPr>
      <w:r>
        <w:rPr>
          <w:rFonts w:hint="eastAsia"/>
        </w:rPr>
        <w:tab/>
        <w:t>-</w:t>
      </w:r>
      <w:r>
        <w:rPr>
          <w:rFonts w:hint="eastAsia"/>
        </w:rPr>
        <w:tab/>
        <w:t>贫民。</w:t>
      </w:r>
    </w:p>
    <w:p w:rsidR="00436071" w:rsidRDefault="00436071">
      <w:pPr>
        <w:pStyle w:val="SingleTxt"/>
        <w:rPr>
          <w:rFonts w:hint="eastAsia"/>
        </w:rPr>
      </w:pPr>
      <w:r>
        <w:rPr>
          <w:rFonts w:hint="eastAsia"/>
        </w:rPr>
        <w:tab/>
        <w:t>在商业银行或发展银行中不存在任何与性别有关的歧视，对所有人，不论男女，都适用同样条件。</w:t>
      </w:r>
    </w:p>
    <w:p w:rsidR="00436071" w:rsidRDefault="00436071">
      <w:pPr>
        <w:pStyle w:val="SingleTxt"/>
        <w:rPr>
          <w:rFonts w:hint="eastAsia"/>
        </w:rPr>
      </w:pPr>
      <w:r>
        <w:rPr>
          <w:rFonts w:hint="eastAsia"/>
        </w:rPr>
        <w:tab/>
        <w:t>实际上，凡是身心健康、品质良好、有固定收入并在银行开有账户的自然人或法人（男子及妇女），均承认他们有权获得银行贷款和抵押贷款。</w:t>
      </w:r>
    </w:p>
    <w:p w:rsidR="00436071" w:rsidRDefault="00436071">
      <w:pPr>
        <w:pStyle w:val="SingleTxt"/>
        <w:rPr>
          <w:rFonts w:hint="eastAsia"/>
        </w:rPr>
      </w:pPr>
      <w:r>
        <w:rPr>
          <w:rFonts w:hint="eastAsia"/>
        </w:rPr>
        <w:tab/>
        <w:t>然而，我们注意到对要求信贷的已婚妇女还存在着一些落后的态度，这类态度出自于那些按个人意愿行事的银行负责人的个人行为。</w:t>
      </w:r>
    </w:p>
    <w:p w:rsidR="00436071" w:rsidRDefault="00436071">
      <w:pPr>
        <w:pStyle w:val="SingleTxt"/>
        <w:rPr>
          <w:rFonts w:hint="eastAsia"/>
        </w:rPr>
      </w:pPr>
      <w:r>
        <w:rPr>
          <w:rFonts w:hint="eastAsia"/>
        </w:rPr>
        <w:tab/>
        <w:t>所以，有固定收入并在银行开有账户的工薪妇女在申请信贷时，除了以下情况毋需第三者批准：</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要求担保：申请信贷的客户（不论男女）应该提供一名男担保人或女担保人；</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当账户为夫妻双方共有时：如果女方要求信贷，其丈夫可出面担保。</w:t>
      </w:r>
    </w:p>
    <w:p w:rsidR="00436071" w:rsidRDefault="00436071">
      <w:pPr>
        <w:pStyle w:val="SingleTxt"/>
        <w:rPr>
          <w:rFonts w:hint="eastAsia"/>
        </w:rPr>
      </w:pPr>
      <w:r>
        <w:rPr>
          <w:rFonts w:hint="eastAsia"/>
        </w:rPr>
        <w:tab/>
        <w:t>在抵押贷款情况下，只有收入才能证明是否具备信贷条件。可用土地（建筑用地）或房屋（例如可修复的不动产）作抵押担保。或许应该强调指出的是，获得上述信贷的条件只有极少数妇女能够满足。</w:t>
      </w:r>
    </w:p>
    <w:p w:rsidR="00436071" w:rsidRDefault="00436071">
      <w:pPr>
        <w:pStyle w:val="SingleTxt"/>
        <w:rPr>
          <w:rFonts w:hint="eastAsia"/>
        </w:rPr>
      </w:pPr>
      <w:r>
        <w:rPr>
          <w:rFonts w:hint="eastAsia"/>
        </w:rPr>
        <w:tab/>
        <w:t>因此，加蓬建立了其他一些妇女能获得金融资源的机构，既有官方的，也有非官方的：</w:t>
      </w:r>
    </w:p>
    <w:p w:rsidR="00436071" w:rsidRDefault="00436071">
      <w:pPr>
        <w:pStyle w:val="SingleTxt"/>
        <w:rPr>
          <w:rFonts w:hint="eastAsia"/>
        </w:rPr>
      </w:pPr>
      <w:r>
        <w:rPr>
          <w:rFonts w:hint="eastAsia"/>
        </w:rPr>
        <w:tab/>
        <w:t>1.</w:t>
      </w:r>
      <w:r>
        <w:rPr>
          <w:rFonts w:hint="eastAsia"/>
        </w:rPr>
        <w:tab/>
        <w:t>养老储金会；</w:t>
      </w:r>
    </w:p>
    <w:p w:rsidR="00436071" w:rsidRDefault="00436071">
      <w:pPr>
        <w:pStyle w:val="SingleTxt"/>
        <w:rPr>
          <w:rFonts w:hint="eastAsia"/>
        </w:rPr>
      </w:pPr>
      <w:r>
        <w:rPr>
          <w:rFonts w:hint="eastAsia"/>
        </w:rPr>
        <w:tab/>
        <w:t>2.</w:t>
      </w:r>
      <w:r>
        <w:rPr>
          <w:rFonts w:hint="eastAsia"/>
        </w:rPr>
        <w:tab/>
        <w:t>共和国总统奖，这是为鼓励妇女开展有收益的经济活动而设立的（见家庭部采用的方式）；</w:t>
      </w:r>
    </w:p>
    <w:p w:rsidR="00436071" w:rsidRDefault="00436071">
      <w:pPr>
        <w:pStyle w:val="SingleTxt"/>
        <w:rPr>
          <w:rFonts w:hint="eastAsia"/>
        </w:rPr>
      </w:pPr>
      <w:r>
        <w:rPr>
          <w:rFonts w:hint="eastAsia"/>
        </w:rPr>
        <w:tab/>
        <w:t>3.</w:t>
      </w:r>
      <w:r>
        <w:rPr>
          <w:rFonts w:hint="eastAsia"/>
        </w:rPr>
        <w:tab/>
        <w:t>信贷储蓄银行：AGASS（CECAG），这是由加蓬社会服务参与者协会建立的机构，建立这一机构的目的是帮助农村妇女参加有一定组织的储蓄和获得当地银行不允许向她们提供的信贷。CECAG自1998年开始建立，现有会员120个；</w:t>
      </w:r>
    </w:p>
    <w:p w:rsidR="00436071" w:rsidRDefault="00436071">
      <w:pPr>
        <w:pStyle w:val="SingleTxt"/>
        <w:rPr>
          <w:rFonts w:hint="eastAsia"/>
        </w:rPr>
      </w:pPr>
      <w:r>
        <w:rPr>
          <w:rFonts w:hint="eastAsia"/>
        </w:rPr>
        <w:tab/>
        <w:t>4.</w:t>
      </w:r>
      <w:r>
        <w:rPr>
          <w:rFonts w:hint="eastAsia"/>
        </w:rPr>
        <w:tab/>
        <w:t>家庭、保护儿童和提高妇女地位部与联合国开发计划署签署了一项协议，在尼扬加省推行一个促进妇女独立自主的小额信贷试点项目。</w:t>
      </w:r>
    </w:p>
    <w:p w:rsidR="00436071" w:rsidRDefault="00436071">
      <w:pPr>
        <w:pStyle w:val="SingleTxt"/>
        <w:rPr>
          <w:rFonts w:hint="eastAsia"/>
        </w:rPr>
      </w:pPr>
      <w:r>
        <w:rPr>
          <w:rFonts w:hint="eastAsia"/>
        </w:rPr>
        <w:tab/>
        <w:t>获得信贷的条件男女都一样，不存在对女孩不公正的情况。</w:t>
      </w:r>
    </w:p>
    <w:p w:rsidR="00436071" w:rsidRDefault="00436071">
      <w:pPr>
        <w:pStyle w:val="SingleTxt"/>
        <w:rPr>
          <w:rFonts w:hint="eastAsia"/>
        </w:rPr>
      </w:pPr>
      <w:r>
        <w:rPr>
          <w:rFonts w:hint="eastAsia"/>
        </w:rPr>
        <w:tab/>
        <w:t>妇女真正参加系统化的体育活动，也就是说按照十分明确的规则拟定的活动，始于1960年加蓬独立日。</w:t>
      </w:r>
    </w:p>
    <w:p w:rsidR="00436071" w:rsidRDefault="00436071">
      <w:pPr>
        <w:pStyle w:val="SingleTxt"/>
        <w:rPr>
          <w:rFonts w:hint="eastAsia"/>
        </w:rPr>
      </w:pPr>
      <w:r>
        <w:rPr>
          <w:rFonts w:hint="eastAsia"/>
        </w:rPr>
        <w:tab/>
        <w:t>因此，在这些年里，参加体育运动的许多妇女在非洲大陆和国际比赛中，以及在田径、篮球、手球和柔道等项目中取得了优异的成绩，其中有一项多次在非洲锦标赛上获得过冠军，在国际军体比赛中获得过亚军。</w:t>
      </w:r>
    </w:p>
    <w:p w:rsidR="00436071" w:rsidRDefault="00436071">
      <w:pPr>
        <w:pStyle w:val="SingleTxt"/>
      </w:pPr>
      <w:r>
        <w:rPr>
          <w:rFonts w:hint="eastAsia"/>
        </w:rPr>
        <w:tab/>
        <w:t>在体育运动教育方面，某些妇女在国民体育培训和指导方面表现出众，如下表所示：</w:t>
      </w:r>
    </w:p>
    <w:tbl>
      <w:tblPr>
        <w:tblW w:w="0" w:type="auto"/>
        <w:tblInd w:w="1268"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1"/>
      </w:tblGrid>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ascii="KaiTi_GB2312" w:eastAsia="KaiTi_GB2312" w:hint="eastAsia"/>
                <w:color w:val="0000FF"/>
                <w:sz w:val="14"/>
              </w:rPr>
            </w:pPr>
            <w:r>
              <w:rPr>
                <w:rFonts w:ascii="KaiTi_GB2312" w:eastAsia="KaiTi_GB2312" w:hint="eastAsia"/>
                <w:color w:val="0000FF"/>
                <w:sz w:val="14"/>
              </w:rPr>
              <w:t>职务</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ascii="KaiTi_GB2312" w:eastAsia="KaiTi_GB2312" w:hint="eastAsia"/>
                <w:color w:val="0000FF"/>
                <w:sz w:val="14"/>
              </w:rPr>
            </w:pP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ascii="KaiTi_GB2312" w:eastAsia="KaiTi_GB2312" w:hint="eastAsia"/>
                <w:color w:val="0000FF"/>
                <w:sz w:val="14"/>
              </w:rPr>
            </w:pPr>
            <w:r>
              <w:rPr>
                <w:rFonts w:ascii="KaiTi_GB2312" w:eastAsia="KaiTi_GB2312" w:hint="eastAsia"/>
                <w:color w:val="0000FF"/>
                <w:sz w:val="14"/>
              </w:rPr>
              <w:t>女性</w:t>
            </w:r>
          </w:p>
        </w:tc>
        <w:tc>
          <w:tcPr>
            <w:tcW w:w="1831"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ascii="KaiTi_GB2312" w:eastAsia="KaiTi_GB2312" w:hint="eastAsia"/>
                <w:color w:val="0000FF"/>
                <w:sz w:val="14"/>
              </w:rPr>
            </w:pPr>
            <w:r>
              <w:rPr>
                <w:rFonts w:ascii="KaiTi_GB2312" w:eastAsia="KaiTi_GB2312" w:hint="eastAsia"/>
                <w:color w:val="0000FF"/>
                <w:sz w:val="14"/>
              </w:rPr>
              <w:t>男性</w:t>
            </w:r>
          </w:p>
        </w:tc>
      </w:tr>
      <w:tr w:rsidR="00436071">
        <w:tblPrEx>
          <w:tblCellMar>
            <w:top w:w="0" w:type="dxa"/>
            <w:bottom w:w="0" w:type="dxa"/>
          </w:tblCellMar>
        </w:tblPrEx>
        <w:trPr>
          <w:cantSplit/>
        </w:trPr>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ascii="KaiTi_GB2312" w:eastAsia="KaiTi_GB2312" w:hint="eastAsia"/>
                <w:color w:val="0000FF"/>
                <w:sz w:val="17"/>
              </w:rPr>
            </w:pPr>
            <w:r>
              <w:rPr>
                <w:rFonts w:hint="eastAsia"/>
                <w:sz w:val="17"/>
              </w:rPr>
              <w:t>青年和体育督察</w:t>
            </w:r>
          </w:p>
        </w:tc>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sz w:val="17"/>
              </w:rPr>
            </w:pPr>
          </w:p>
        </w:tc>
        <w:tc>
          <w:tcPr>
            <w:tcW w:w="1830"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2</w:t>
            </w:r>
          </w:p>
        </w:tc>
        <w:tc>
          <w:tcPr>
            <w:tcW w:w="1831" w:type="dxa"/>
            <w:tcBorders>
              <w:top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39</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hint="eastAsia"/>
                <w:sz w:val="17"/>
              </w:rPr>
            </w:pPr>
            <w:r>
              <w:rPr>
                <w:rFonts w:hint="eastAsia"/>
                <w:sz w:val="17"/>
              </w:rPr>
              <w:t>体育运动教育正教授</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sz w:val="17"/>
              </w:rPr>
            </w:pP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3</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73</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hint="eastAsia"/>
                <w:sz w:val="17"/>
              </w:rPr>
            </w:pPr>
            <w:r>
              <w:rPr>
                <w:rFonts w:hint="eastAsia"/>
                <w:sz w:val="17"/>
              </w:rPr>
              <w:t>体育运动教育副教授</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sz w:val="17"/>
              </w:rPr>
            </w:pP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1</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42</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hint="eastAsia"/>
                <w:sz w:val="17"/>
              </w:rPr>
            </w:pPr>
            <w:r>
              <w:rPr>
                <w:rFonts w:hint="eastAsia"/>
                <w:sz w:val="17"/>
              </w:rPr>
              <w:t>体育运动教育顾问</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sz w:val="17"/>
              </w:rPr>
            </w:pP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4</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8</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hint="eastAsia"/>
                <w:sz w:val="17"/>
              </w:rPr>
            </w:pPr>
            <w:r>
              <w:rPr>
                <w:rFonts w:hint="eastAsia"/>
                <w:sz w:val="17"/>
              </w:rPr>
              <w:t>体育顾问</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sz w:val="17"/>
              </w:rPr>
            </w:pP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2</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15</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hint="eastAsia"/>
                <w:sz w:val="17"/>
              </w:rPr>
            </w:pPr>
            <w:r>
              <w:rPr>
                <w:rFonts w:hint="eastAsia"/>
                <w:sz w:val="17"/>
              </w:rPr>
              <w:t>体育运动教育教师</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sz w:val="17"/>
              </w:rPr>
            </w:pP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6</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97</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hint="eastAsia"/>
                <w:sz w:val="17"/>
              </w:rPr>
            </w:pPr>
            <w:r>
              <w:rPr>
                <w:rFonts w:hint="eastAsia"/>
                <w:sz w:val="17"/>
              </w:rPr>
              <w:t>三级教练</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sz w:val="17"/>
              </w:rPr>
            </w:pP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3</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w:t>
            </w:r>
          </w:p>
        </w:tc>
      </w:tr>
      <w:tr w:rsidR="00436071">
        <w:tblPrEx>
          <w:tblCellMar>
            <w:top w:w="0" w:type="dxa"/>
            <w:bottom w:w="0" w:type="dxa"/>
          </w:tblCellMar>
        </w:tblPrEx>
        <w:trPr>
          <w:cantSplit/>
        </w:trPr>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hint="eastAsia"/>
                <w:sz w:val="17"/>
              </w:rPr>
            </w:pPr>
            <w:r>
              <w:rPr>
                <w:rFonts w:hint="eastAsia"/>
                <w:sz w:val="17"/>
              </w:rPr>
              <w:t>技术指导</w:t>
            </w: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sz w:val="17"/>
              </w:rPr>
            </w:pPr>
          </w:p>
        </w:tc>
        <w:tc>
          <w:tcPr>
            <w:tcW w:w="1830"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1</w:t>
            </w:r>
          </w:p>
        </w:tc>
        <w:tc>
          <w:tcPr>
            <w:tcW w:w="1831" w:type="dxa"/>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12</w:t>
            </w:r>
          </w:p>
        </w:tc>
      </w:tr>
      <w:tr w:rsidR="00436071">
        <w:tblPrEx>
          <w:tblCellMar>
            <w:top w:w="0" w:type="dxa"/>
            <w:bottom w:w="0" w:type="dxa"/>
          </w:tblCellMar>
        </w:tblPrEx>
        <w:trPr>
          <w:cantSplit/>
        </w:trPr>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left"/>
              <w:rPr>
                <w:rFonts w:hint="eastAsia"/>
                <w:sz w:val="17"/>
              </w:rPr>
            </w:pPr>
            <w:r>
              <w:rPr>
                <w:rFonts w:hint="eastAsia"/>
                <w:sz w:val="17"/>
              </w:rPr>
              <w:t>联合会主席</w:t>
            </w: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sz w:val="17"/>
              </w:rPr>
            </w:pPr>
          </w:p>
        </w:tc>
        <w:tc>
          <w:tcPr>
            <w:tcW w:w="1830"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1</w:t>
            </w:r>
          </w:p>
        </w:tc>
        <w:tc>
          <w:tcPr>
            <w:tcW w:w="1831" w:type="dxa"/>
            <w:tcBorders>
              <w:bottom w:val="single" w:sz="12" w:space="0" w:color="auto"/>
            </w:tcBorders>
          </w:tcPr>
          <w:p w:rsidR="00436071" w:rsidRDefault="004360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280" w:lineRule="exact"/>
              <w:ind w:left="0" w:right="40"/>
              <w:jc w:val="right"/>
              <w:rPr>
                <w:rFonts w:hint="eastAsia"/>
                <w:sz w:val="17"/>
              </w:rPr>
            </w:pPr>
            <w:r>
              <w:rPr>
                <w:rFonts w:hint="eastAsia"/>
                <w:sz w:val="17"/>
              </w:rPr>
              <w:t>16</w:t>
            </w:r>
          </w:p>
        </w:tc>
      </w:tr>
    </w:tbl>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在行政管理一级，妇女占据了体育部的某些负责岗位：</w:t>
      </w:r>
    </w:p>
    <w:p w:rsidR="00436071" w:rsidRDefault="00436071">
      <w:pPr>
        <w:pStyle w:val="SingleTxt"/>
        <w:ind w:left="2115" w:hanging="431"/>
        <w:rPr>
          <w:rFonts w:hint="eastAsia"/>
        </w:rPr>
      </w:pPr>
      <w:r>
        <w:rPr>
          <w:rFonts w:hint="eastAsia"/>
        </w:rPr>
        <w:tab/>
        <w:t>-</w:t>
      </w:r>
      <w:r>
        <w:rPr>
          <w:rFonts w:hint="eastAsia"/>
        </w:rPr>
        <w:tab/>
        <w:t>副秘书长1名；</w:t>
      </w:r>
    </w:p>
    <w:p w:rsidR="00436071" w:rsidRDefault="00436071">
      <w:pPr>
        <w:pStyle w:val="SingleTxt"/>
        <w:ind w:left="2115" w:hanging="431"/>
        <w:rPr>
          <w:rFonts w:hint="eastAsia"/>
        </w:rPr>
      </w:pPr>
      <w:r>
        <w:rPr>
          <w:rFonts w:hint="eastAsia"/>
        </w:rPr>
        <w:tab/>
        <w:t>-</w:t>
      </w:r>
      <w:r>
        <w:rPr>
          <w:rFonts w:hint="eastAsia"/>
        </w:rPr>
        <w:tab/>
        <w:t>总司长1名；</w:t>
      </w:r>
    </w:p>
    <w:p w:rsidR="00436071" w:rsidRDefault="00436071">
      <w:pPr>
        <w:pStyle w:val="SingleTxt"/>
        <w:ind w:left="2115" w:hanging="431"/>
        <w:rPr>
          <w:rFonts w:hint="eastAsia"/>
        </w:rPr>
      </w:pPr>
      <w:r>
        <w:rPr>
          <w:rFonts w:hint="eastAsia"/>
        </w:rPr>
        <w:tab/>
        <w:t>-</w:t>
      </w:r>
      <w:r>
        <w:rPr>
          <w:rFonts w:hint="eastAsia"/>
        </w:rPr>
        <w:tab/>
        <w:t>司长1名；</w:t>
      </w:r>
    </w:p>
    <w:p w:rsidR="00436071" w:rsidRDefault="00436071">
      <w:pPr>
        <w:pStyle w:val="SingleTxt"/>
        <w:ind w:left="2115" w:hanging="431"/>
        <w:rPr>
          <w:rFonts w:hint="eastAsia"/>
        </w:rPr>
      </w:pPr>
      <w:r>
        <w:rPr>
          <w:rFonts w:hint="eastAsia"/>
        </w:rPr>
        <w:tab/>
        <w:t>-</w:t>
      </w:r>
      <w:r>
        <w:rPr>
          <w:rFonts w:hint="eastAsia"/>
        </w:rPr>
        <w:tab/>
        <w:t>处长1名。</w:t>
      </w:r>
    </w:p>
    <w:p w:rsidR="00436071" w:rsidRDefault="00436071">
      <w:pPr>
        <w:pStyle w:val="SingleTxt"/>
        <w:rPr>
          <w:rFonts w:hint="eastAsia"/>
        </w:rPr>
      </w:pPr>
      <w:r>
        <w:rPr>
          <w:rFonts w:hint="eastAsia"/>
        </w:rPr>
        <w:tab/>
        <w:t>在加蓬，管理体育的法律法规不存在任何歧视。然而，人们注意到，在预算分配上女子体育与男子体育相比后者获益更多。</w:t>
      </w:r>
    </w:p>
    <w:p w:rsidR="00436071" w:rsidRDefault="00436071">
      <w:pPr>
        <w:pStyle w:val="SingleTxt"/>
        <w:rPr>
          <w:rFonts w:hint="eastAsia"/>
        </w:rPr>
      </w:pPr>
      <w:r>
        <w:rPr>
          <w:rFonts w:hint="eastAsia"/>
        </w:rPr>
        <w:tab/>
        <w:t>总的说来，社会文化方面的某些因循守旧思想阻止了许多妇女参与体育运动。在这方面，应该通过媒体提高妇女与体育的形象，促进女子体育的发展。</w:t>
      </w:r>
    </w:p>
    <w:p w:rsidR="00436071" w:rsidRDefault="00436071">
      <w:pPr>
        <w:pStyle w:val="SingleTxt"/>
        <w:rPr>
          <w:rFonts w:hint="eastAsia"/>
        </w:rPr>
      </w:pPr>
      <w:r>
        <w:rPr>
          <w:rFonts w:hint="eastAsia"/>
        </w:rPr>
        <w:tab/>
        <w:t>此外，应该在体育组织的领导机构中增加妇女的数量。</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第十四条：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农村妇女的特殊问题</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农村妇女占加蓬妇女人口的27.64％。她们处境困难，比较贫穷。这种局面可归因于农村地区比较封闭孤立和社会、卫生和文化设施不足，前者是路网状况不好造成的。这些因素限制了她们从事基本上涉及生产和小型商业的活动。</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生产活动：</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主要是农业活动。</w:t>
      </w:r>
    </w:p>
    <w:p w:rsidR="00436071" w:rsidRDefault="00436071">
      <w:pPr>
        <w:pStyle w:val="SingleTxt"/>
        <w:spacing w:line="340" w:lineRule="exact"/>
        <w:rPr>
          <w:rFonts w:hint="eastAsia"/>
        </w:rPr>
      </w:pPr>
      <w:r>
        <w:rPr>
          <w:rFonts w:hint="eastAsia"/>
        </w:rPr>
        <w:tab/>
        <w:t>从法律上讲，农村妇女的地位与生活在城市的妇女的地位没有什么区别。</w:t>
      </w:r>
    </w:p>
    <w:p w:rsidR="00436071" w:rsidRDefault="00436071">
      <w:pPr>
        <w:pStyle w:val="SingleTxt"/>
        <w:spacing w:line="340" w:lineRule="exact"/>
        <w:rPr>
          <w:rFonts w:hint="eastAsia"/>
        </w:rPr>
      </w:pPr>
      <w:r>
        <w:rPr>
          <w:rFonts w:hint="eastAsia"/>
        </w:rPr>
        <w:tab/>
        <w:t>换句话说，农村妇女只要满足土地部门提出的条件，就可以成为城市和城市地区建筑用地的所有人。</w:t>
      </w:r>
    </w:p>
    <w:p w:rsidR="00436071" w:rsidRDefault="00436071">
      <w:pPr>
        <w:pStyle w:val="SingleTxt"/>
        <w:spacing w:line="340" w:lineRule="exact"/>
        <w:rPr>
          <w:rFonts w:hint="eastAsia"/>
        </w:rPr>
      </w:pPr>
      <w:r>
        <w:rPr>
          <w:rFonts w:hint="eastAsia"/>
        </w:rPr>
        <w:tab/>
        <w:t>真正的问题出自于以下情况：在妇女出嫁时和婚姻存续期间，她会很容易地得到其配偶家庭的土地，毫无问题会从事她的农业活动，但她不拥有土地。</w:t>
      </w:r>
    </w:p>
    <w:p w:rsidR="00436071" w:rsidRDefault="00436071">
      <w:pPr>
        <w:pStyle w:val="SingleTxt"/>
        <w:spacing w:line="340" w:lineRule="exact"/>
        <w:rPr>
          <w:rFonts w:hint="eastAsia"/>
        </w:rPr>
      </w:pPr>
      <w:r>
        <w:rPr>
          <w:rFonts w:hint="eastAsia"/>
        </w:rPr>
        <w:tab/>
        <w:t>然而，一旦离婚回自己的娘家，她既不能带走她种植的成果，也不能要求得到这些成果。</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加工活动：</w:t>
      </w:r>
    </w:p>
    <w:p w:rsidR="00436071" w:rsidRDefault="00436071">
      <w:pPr>
        <w:pStyle w:val="SingleTxt"/>
        <w:spacing w:after="0" w:line="120" w:lineRule="exact"/>
        <w:rPr>
          <w:rFonts w:hint="eastAsia"/>
          <w:sz w:val="10"/>
        </w:rPr>
      </w:pPr>
    </w:p>
    <w:p w:rsidR="00436071" w:rsidRDefault="00436071">
      <w:pPr>
        <w:pStyle w:val="SingleTxt"/>
        <w:spacing w:line="340" w:lineRule="exact"/>
        <w:rPr>
          <w:rFonts w:hint="eastAsia"/>
        </w:rPr>
      </w:pPr>
      <w:r>
        <w:rPr>
          <w:rFonts w:hint="eastAsia"/>
        </w:rPr>
        <w:tab/>
        <w:t>加工活动微不足道，这是因为：</w:t>
      </w:r>
    </w:p>
    <w:p w:rsidR="00436071" w:rsidRDefault="00436071">
      <w:pPr>
        <w:pStyle w:val="SingleTxt"/>
        <w:ind w:left="2115" w:hanging="431"/>
        <w:rPr>
          <w:rFonts w:hint="eastAsia"/>
        </w:rPr>
      </w:pPr>
      <w:r>
        <w:rPr>
          <w:rFonts w:hint="eastAsia"/>
        </w:rPr>
        <w:tab/>
        <w:t>-</w:t>
      </w:r>
      <w:r>
        <w:rPr>
          <w:rFonts w:hint="eastAsia"/>
        </w:rPr>
        <w:tab/>
        <w:t>连尚属初步的加工技术和工具都不可靠；</w:t>
      </w:r>
    </w:p>
    <w:p w:rsidR="00436071" w:rsidRDefault="00436071">
      <w:pPr>
        <w:pStyle w:val="SingleTxt"/>
        <w:ind w:left="2115" w:hanging="431"/>
        <w:rPr>
          <w:rFonts w:hint="eastAsia"/>
        </w:rPr>
      </w:pPr>
      <w:r>
        <w:rPr>
          <w:rFonts w:hint="eastAsia"/>
        </w:rPr>
        <w:tab/>
        <w:t>-</w:t>
      </w:r>
      <w:r>
        <w:rPr>
          <w:rFonts w:hint="eastAsia"/>
        </w:rPr>
        <w:tab/>
        <w:t>缺乏指导和训练；</w:t>
      </w:r>
    </w:p>
    <w:p w:rsidR="00436071" w:rsidRDefault="00436071">
      <w:pPr>
        <w:pStyle w:val="SingleTxt"/>
        <w:ind w:left="2115" w:hanging="431"/>
        <w:rPr>
          <w:rFonts w:hint="eastAsia"/>
        </w:rPr>
      </w:pPr>
      <w:r>
        <w:rPr>
          <w:rFonts w:hint="eastAsia"/>
        </w:rPr>
        <w:tab/>
        <w:t>-</w:t>
      </w:r>
      <w:r>
        <w:rPr>
          <w:rFonts w:hint="eastAsia"/>
        </w:rPr>
        <w:tab/>
        <w:t>收入微薄。</w:t>
      </w:r>
    </w:p>
    <w:p w:rsidR="00436071" w:rsidRDefault="00436071">
      <w:pPr>
        <w:pStyle w:val="SingleTxt"/>
        <w:spacing w:line="340" w:lineRule="exact"/>
        <w:rPr>
          <w:rFonts w:hint="eastAsia"/>
        </w:rPr>
      </w:pPr>
      <w:r>
        <w:rPr>
          <w:rFonts w:hint="eastAsia"/>
        </w:rPr>
        <w:tab/>
        <w:t>总的说来，加工的产品都是自产自用，而不是作为商品出售。</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商品化：</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农村地区市场很少，因此商品销售大多是在路边或种植园出口的临时市场上进行的。</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获得信贷：</w:t>
      </w:r>
    </w:p>
    <w:p w:rsidR="00436071" w:rsidRDefault="00436071">
      <w:pPr>
        <w:pStyle w:val="SingleTxt"/>
        <w:spacing w:after="0" w:line="120" w:lineRule="exact"/>
        <w:rPr>
          <w:rFonts w:hint="eastAsia"/>
          <w:sz w:val="10"/>
        </w:rPr>
      </w:pPr>
    </w:p>
    <w:p w:rsidR="00436071" w:rsidRDefault="00436071">
      <w:pPr>
        <w:pStyle w:val="SingleTxt"/>
        <w:spacing w:line="340" w:lineRule="exact"/>
        <w:rPr>
          <w:rFonts w:hint="eastAsia"/>
        </w:rPr>
      </w:pPr>
      <w:r>
        <w:rPr>
          <w:rFonts w:hint="eastAsia"/>
        </w:rPr>
        <w:tab/>
        <w:t>农村地区缺少银行机构。它们离最近的银行也有200公里左右。此外，由于妇女收入微薄，因此她们被强行排斥在传统的银行体制之外。她们无力为得到信贷提供任何担保物。</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识字方面：</w:t>
      </w:r>
    </w:p>
    <w:p w:rsidR="00436071" w:rsidRDefault="00436071">
      <w:pPr>
        <w:pStyle w:val="SingleTxt"/>
        <w:spacing w:after="0" w:line="120" w:lineRule="exact"/>
        <w:rPr>
          <w:rFonts w:hint="eastAsia"/>
          <w:sz w:val="10"/>
        </w:rPr>
      </w:pPr>
    </w:p>
    <w:p w:rsidR="00436071" w:rsidRDefault="00436071">
      <w:pPr>
        <w:pStyle w:val="SingleTxt"/>
        <w:spacing w:line="340" w:lineRule="exact"/>
        <w:rPr>
          <w:rFonts w:hint="eastAsia"/>
        </w:rPr>
      </w:pPr>
      <w:r>
        <w:rPr>
          <w:rFonts w:hint="eastAsia"/>
        </w:rPr>
        <w:tab/>
        <w:t>农村妇女识字率很低。妇女总的识字率为60.5％，而农村妇女仅为15%。相关的年龄段在15至39岁之间。</w:t>
      </w:r>
    </w:p>
    <w:p w:rsidR="00436071" w:rsidRDefault="00436071">
      <w:pPr>
        <w:pStyle w:val="SingleTxt"/>
        <w:spacing w:line="340" w:lineRule="exact"/>
        <w:rPr>
          <w:rFonts w:hint="eastAsia"/>
        </w:rPr>
      </w:pPr>
      <w:r>
        <w:rPr>
          <w:rFonts w:hint="eastAsia"/>
        </w:rPr>
        <w:tab/>
        <w:t>家庭、保护儿童和提高妇女地位部通过其在各省的部门推行了广泛的扫盲计划。该计划主要涉及以下方面：将扫盲和提高居民对社区问题的认识纳入负责农村地区少年儿童指导工作的社区女教育工作者的活动范围。</w:t>
      </w:r>
    </w:p>
    <w:p w:rsidR="00436071" w:rsidRDefault="00436071">
      <w:pPr>
        <w:pStyle w:val="SingleTxt"/>
        <w:spacing w:line="340" w:lineRule="exact"/>
      </w:pPr>
      <w:r>
        <w:rPr>
          <w:rFonts w:hint="eastAsia"/>
        </w:rPr>
        <w:tab/>
        <w:t>该计划起始于2002年2月，当时培训了20来名社区女教育工作者。在这项行动中，联合国儿童基金会是该部的主要合作伙伴。</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保健方面：</w:t>
      </w:r>
    </w:p>
    <w:p w:rsidR="00436071" w:rsidRDefault="00436071">
      <w:pPr>
        <w:pStyle w:val="SingleTxt"/>
        <w:rPr>
          <w:rFonts w:hint="eastAsia"/>
        </w:rPr>
      </w:pPr>
      <w:r>
        <w:rPr>
          <w:rFonts w:hint="eastAsia"/>
        </w:rPr>
        <w:tab/>
        <w:t>尽管加蓬的卫生基础设施极为发达，但是农村妇女并没有获得高质量的服务。实际上，在设备和人员分配上存在着不平等，它不能满足居民的要求：公共卫生部门76％的医生集中在加蓬的大城市（利伯维尔和让蒂尔港），其他地方仅占24％。</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卫生方面：</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在农村，卫生问题是造成许多疾病的根源，它们主要涉及到公厕的建设和洁净饮用水的供应。</w:t>
      </w:r>
    </w:p>
    <w:p w:rsidR="00436071" w:rsidRDefault="00436071">
      <w:pPr>
        <w:pStyle w:val="SingleTxt"/>
        <w:rPr>
          <w:rFonts w:hint="eastAsia"/>
        </w:rPr>
      </w:pPr>
      <w:r>
        <w:rPr>
          <w:rFonts w:hint="eastAsia"/>
        </w:rPr>
        <w:tab/>
        <w:t>水的供应、收集、运输、管理、贮存和分配都属于妇女的责任范围。1976年出台了乡村水利计划，满足了加蓬9个省中3个省40％的农村人口对饮用水的需求。目前，该计划正在向其他6省扩展。</w:t>
      </w:r>
    </w:p>
    <w:p w:rsidR="00436071" w:rsidRDefault="00436071">
      <w:pPr>
        <w:pStyle w:val="SingleTxt"/>
        <w:rPr>
          <w:rFonts w:hint="eastAsia"/>
        </w:rPr>
      </w:pPr>
      <w:r>
        <w:rPr>
          <w:rFonts w:hint="eastAsia"/>
        </w:rPr>
        <w:tab/>
        <w:t>此外，由于缺乏后续行动和继续培训，居民对水泵的维护不力。</w:t>
      </w:r>
    </w:p>
    <w:p w:rsidR="00436071" w:rsidRDefault="00436071">
      <w:pPr>
        <w:pStyle w:val="SingleTxt"/>
        <w:rPr>
          <w:rFonts w:hint="eastAsia"/>
        </w:rPr>
      </w:pPr>
      <w:r>
        <w:rPr>
          <w:rFonts w:hint="eastAsia"/>
        </w:rPr>
        <w:tab/>
        <w:t>国家已意识到农村妇女遇到的多种问题，于是为她们采取了一些行动，推出了一些发展项目和计划。</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尤其是：</w:t>
      </w:r>
    </w:p>
    <w:p w:rsidR="00436071" w:rsidRDefault="00436071">
      <w:pPr>
        <w:pStyle w:val="SingleTxt"/>
        <w:spacing w:after="0" w:line="120" w:lineRule="exact"/>
        <w:rPr>
          <w:rFonts w:hint="eastAsia"/>
          <w:sz w:val="10"/>
        </w:rPr>
      </w:pP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2001年起草并通过了有关管理中非地区小额信贷的一些法律，这是完全必要的，它为建立更适合发展农村妇女贷款的小额信贷机构开辟了道路；</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自2000年开始在民间社会的配合下起草了有关减贫战略的国家文件，其中贫困人口和弱势群体的问题成了特定行动的对象，尤其是在提供培训和指导方面；</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1999年6月通过了一项针对加蓬妇女的具体行动计划，它将重点放在了对传统女助产士的培训和建立资助生产活动的支助基金上；</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使共和国总统年度奖制度化，它是促进妇女，特别是农村妇女社会－经济活动的一个方面；</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起草并通过了关于为妇女、儿童和女青年提供社会保护和健康保护的第001/2000号法律。</w:t>
      </w:r>
    </w:p>
    <w:p w:rsidR="00436071" w:rsidRDefault="00436071">
      <w:pPr>
        <w:pStyle w:val="SingleTxt"/>
        <w:rPr>
          <w:rFonts w:hint="eastAsia"/>
        </w:rPr>
      </w:pPr>
      <w:r>
        <w:rPr>
          <w:rFonts w:hint="eastAsia"/>
        </w:rPr>
        <w:tab/>
        <w:t>还应该强调指出的是，某些非政府组织与国家一起通过培训、指导和发放小额信贷为农村妇女提供了帮助。</w:t>
      </w:r>
    </w:p>
    <w:p w:rsidR="00436071" w:rsidRDefault="00436071">
      <w:pPr>
        <w:pStyle w:val="SingleTxt"/>
        <w:rPr>
          <w:rFonts w:hint="eastAsia"/>
        </w:rPr>
      </w:pPr>
      <w:r>
        <w:rPr>
          <w:rFonts w:hint="eastAsia"/>
        </w:rPr>
        <w:tab/>
        <w:t>尽管国家为改善农村妇女的生活条件作出了这些努力，但困难始终存在，特别是：</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在确保其生产效益方面缺乏培训和指导；</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道路运输方面基础设施不足，造成产品流通困难，产品流通得依靠中间商来进行；</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至于土地方面，立法没有作出任何特定的规定，没有专门对农村妇女所忧虑的问题作出回应。妇女获得土地所有权的问题是一个十分值得注意的问题。</w:t>
      </w:r>
    </w:p>
    <w:p w:rsidR="00436071" w:rsidRDefault="00436071">
      <w:pPr>
        <w:pStyle w:val="SingleTxt"/>
        <w:rPr>
          <w:rFonts w:hint="eastAsia"/>
        </w:rPr>
      </w:pPr>
      <w:r>
        <w:rPr>
          <w:rFonts w:hint="eastAsia"/>
        </w:rPr>
        <w:tab/>
        <w:t>面对这种局面，国家考虑为农村妇女采取一些重要措施，特别是：</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成立扫盲中心，同时开展一些运动，提高妇女对识字必要性的认识；</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成立妇女社会－经济活动培训和指导中心，目标进一步定在小额信贷机构的技术手段和技术应用上。</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发展小额信贷机构；</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继续推行路网管理计划，认真考虑农村的道路问题；</w:t>
      </w:r>
    </w:p>
    <w:p w:rsidR="00436071" w:rsidRDefault="00436071">
      <w:pPr>
        <w:pStyle w:val="SingleTxt"/>
        <w:ind w:left="2115" w:hanging="431"/>
        <w:rPr>
          <w:rFonts w:hint="eastAsia"/>
        </w:rPr>
      </w:pPr>
      <w:r>
        <w:rPr>
          <w:rFonts w:hint="eastAsia"/>
        </w:rPr>
        <w:tab/>
      </w:r>
      <w:r>
        <w:rPr>
          <w:rFonts w:hint="eastAsia"/>
        </w:rPr>
        <w:sym w:font="Symbol" w:char="F0B7"/>
      </w:r>
      <w:r>
        <w:rPr>
          <w:rFonts w:hint="eastAsia"/>
        </w:rPr>
        <w:tab/>
        <w:t>落实1983年出台的国家人居计划，它要求正常提供建筑用地，并重新组织对社会人居的援助和资助。</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sz w:val="10"/>
        </w:rPr>
      </w:pPr>
      <w:r>
        <w:rPr>
          <w:rFonts w:hint="eastAsia"/>
        </w:rPr>
        <w:tab/>
      </w:r>
      <w:r>
        <w:rPr>
          <w:rFonts w:hint="eastAsia"/>
        </w:rPr>
        <w:tab/>
        <w:t>第15条：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民权平等</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在加蓬，不论男女，在法律面前人人平等。</w:t>
      </w:r>
    </w:p>
    <w:p w:rsidR="00436071" w:rsidRDefault="00436071">
      <w:pPr>
        <w:pStyle w:val="SingleTxt"/>
        <w:rPr>
          <w:rFonts w:hint="eastAsia"/>
        </w:rPr>
      </w:pPr>
      <w:r>
        <w:rPr>
          <w:rFonts w:hint="eastAsia"/>
        </w:rPr>
        <w:tab/>
        <w:t>民法规定了对财产的管理。实际上，单身男女的财产都由各人自行管理。</w:t>
      </w:r>
    </w:p>
    <w:p w:rsidR="00436071" w:rsidRDefault="00436071">
      <w:pPr>
        <w:pStyle w:val="SingleTxt"/>
        <w:rPr>
          <w:rFonts w:hint="eastAsia"/>
        </w:rPr>
      </w:pPr>
      <w:r>
        <w:rPr>
          <w:rFonts w:hint="eastAsia"/>
        </w:rPr>
        <w:tab/>
        <w:t>对于已婚男女，财产管理取决于采取哪种夫妻财产制。在分别财产制下，配偶双方每一方的财产均由各人自行管理，而在共同财产制下，财产管理人是丈夫。</w:t>
      </w:r>
    </w:p>
    <w:p w:rsidR="00436071" w:rsidRDefault="00436071">
      <w:pPr>
        <w:pStyle w:val="SingleTxt"/>
        <w:rPr>
          <w:rFonts w:hint="eastAsia"/>
        </w:rPr>
      </w:pPr>
      <w:r>
        <w:rPr>
          <w:rFonts w:hint="eastAsia"/>
        </w:rPr>
        <w:tab/>
        <w:t>缔结合同也是一样。</w:t>
      </w:r>
    </w:p>
    <w:p w:rsidR="00436071" w:rsidRDefault="00436071">
      <w:pPr>
        <w:pStyle w:val="SingleTxt"/>
        <w:rPr>
          <w:rFonts w:hint="eastAsia"/>
        </w:rPr>
      </w:pPr>
      <w:r>
        <w:rPr>
          <w:rFonts w:hint="eastAsia"/>
        </w:rPr>
        <w:tab/>
        <w:t>然而发现，在实践中存在着对法律条文的错误解释以及习俗对法律的抵制。</w:t>
      </w:r>
    </w:p>
    <w:p w:rsidR="00436071" w:rsidRDefault="00436071">
      <w:pPr>
        <w:pStyle w:val="SingleTxt"/>
        <w:rPr>
          <w:rFonts w:hint="eastAsia"/>
        </w:rPr>
      </w:pPr>
      <w:r>
        <w:rPr>
          <w:rFonts w:hint="eastAsia"/>
        </w:rPr>
        <w:t>例如：</w:t>
      </w:r>
    </w:p>
    <w:p w:rsidR="00436071" w:rsidRDefault="00436071">
      <w:pPr>
        <w:pStyle w:val="SingleTxt"/>
        <w:ind w:left="2115" w:hanging="431"/>
        <w:rPr>
          <w:rFonts w:hint="eastAsia"/>
        </w:rPr>
      </w:pPr>
      <w:r>
        <w:rPr>
          <w:rFonts w:hint="eastAsia"/>
        </w:rPr>
        <w:tab/>
        <w:t>-</w:t>
      </w:r>
      <w:r>
        <w:rPr>
          <w:rFonts w:hint="eastAsia"/>
        </w:rPr>
        <w:tab/>
        <w:t>某些银行要求，妻子在银行开户须经丈夫允准，而法律的提法是只需通知一下丈夫即可（《民法》第257条第2款）；</w:t>
      </w:r>
    </w:p>
    <w:p w:rsidR="00436071" w:rsidRDefault="00436071">
      <w:pPr>
        <w:pStyle w:val="SingleTxt"/>
        <w:ind w:left="2115" w:hanging="431"/>
        <w:rPr>
          <w:rFonts w:hint="eastAsia"/>
        </w:rPr>
      </w:pPr>
      <w:r>
        <w:rPr>
          <w:rFonts w:hint="eastAsia"/>
        </w:rPr>
        <w:tab/>
        <w:t>-</w:t>
      </w:r>
      <w:r>
        <w:rPr>
          <w:rFonts w:hint="eastAsia"/>
        </w:rPr>
        <w:tab/>
        <w:t>文献和移民总署要求，给妻子建立、发放、更新护照和旅行签证须经丈夫允准；</w:t>
      </w:r>
    </w:p>
    <w:p w:rsidR="00436071" w:rsidRDefault="00436071">
      <w:pPr>
        <w:pStyle w:val="SingleTxt"/>
        <w:ind w:left="2115" w:hanging="431"/>
        <w:rPr>
          <w:rFonts w:hint="eastAsia"/>
        </w:rPr>
      </w:pPr>
      <w:r>
        <w:rPr>
          <w:rFonts w:hint="eastAsia"/>
        </w:rPr>
        <w:tab/>
        <w:t>-</w:t>
      </w:r>
      <w:r>
        <w:rPr>
          <w:rFonts w:hint="eastAsia"/>
        </w:rPr>
        <w:tab/>
        <w:t>有时，在丈夫和父亲死后，寡妇和孤儿会遇到来自死者家庭方面的刁难和不公正待遇。</w:t>
      </w:r>
    </w:p>
    <w:p w:rsidR="00436071" w:rsidRDefault="00436071">
      <w:pPr>
        <w:pStyle w:val="SingleTxt"/>
        <w:rPr>
          <w:rFonts w:hint="eastAsia"/>
        </w:rPr>
      </w:pPr>
      <w:r>
        <w:rPr>
          <w:rFonts w:hint="eastAsia"/>
        </w:rPr>
        <w:tab/>
        <w:t>关于居所的选择，第254条规定，家庭居所由丈夫选择；妇女必须同丈夫居住在一起，丈夫有义务接纳她。只有当丈夫确定的居所会危及家庭身心健康时，妇女可经法庭允准为她和子女另择居所。</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第16条：</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消除婚姻中的歧视</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加蓬宪法在其第1条中将家庭定为社会自然的基础细胞，婚姻是家庭的合法支柱。</w:t>
      </w:r>
    </w:p>
    <w:p w:rsidR="00436071" w:rsidRDefault="00436071">
      <w:pPr>
        <w:pStyle w:val="SingleTxt"/>
        <w:rPr>
          <w:rFonts w:hint="eastAsia"/>
        </w:rPr>
      </w:pPr>
      <w:r>
        <w:rPr>
          <w:rFonts w:hint="eastAsia"/>
        </w:rPr>
        <w:tab/>
        <w:t>管理家庭关系的《民法》在其第78条和80条中宣布，人的权利始于生，终于死。他享有并行使一切个人权利，除非法律有相反规定。如果不是真正出于突出的社会利益，则不得对这些权利和自由的行使实行任何限制。</w:t>
      </w:r>
    </w:p>
    <w:p w:rsidR="00436071" w:rsidRDefault="00436071">
      <w:pPr>
        <w:pStyle w:val="SingleTxt"/>
        <w:rPr>
          <w:rFonts w:hint="eastAsia"/>
        </w:rPr>
      </w:pPr>
      <w:r>
        <w:rPr>
          <w:rFonts w:hint="eastAsia"/>
        </w:rPr>
        <w:tab/>
        <w:t>然而，人们注意到在家庭内部和婚姻关系中，定型观念和陈腐思想对妇女的影响相当严重。</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婚姻的同意与配偶的选择</w:t>
      </w:r>
    </w:p>
    <w:p w:rsidR="00436071" w:rsidRDefault="00436071">
      <w:pPr>
        <w:pStyle w:val="SingleTxt"/>
        <w:spacing w:after="0" w:line="120" w:lineRule="exact"/>
        <w:rPr>
          <w:rFonts w:hint="eastAsia"/>
          <w:sz w:val="10"/>
        </w:rPr>
      </w:pPr>
    </w:p>
    <w:p w:rsidR="00436071" w:rsidRDefault="00436071">
      <w:pPr>
        <w:pStyle w:val="SingleTxt"/>
        <w:spacing w:after="160"/>
        <w:rPr>
          <w:rFonts w:hint="eastAsia"/>
        </w:rPr>
      </w:pPr>
      <w:r>
        <w:rPr>
          <w:rFonts w:hint="eastAsia"/>
        </w:rPr>
        <w:tab/>
        <w:t>《民法》在其第198条中列入了相互接受婚约这一内容，并在第202条中规定，不得采取任何行动强迫拒绝结婚的未婚妻或未婚夫结婚。</w:t>
      </w:r>
    </w:p>
    <w:p w:rsidR="00436071" w:rsidRDefault="00436071">
      <w:pPr>
        <w:pStyle w:val="SingleTxt"/>
        <w:spacing w:after="160"/>
        <w:rPr>
          <w:rFonts w:hint="eastAsia"/>
        </w:rPr>
      </w:pPr>
      <w:r>
        <w:rPr>
          <w:rFonts w:hint="eastAsia"/>
        </w:rPr>
        <w:tab/>
        <w:t>此外，它还在第211条中明确规定，须由配偶双方中每一方在婚礼上亲自表示同意结婚。如果其中伴有不合法的勾当，同意则被视为完全无效。然而，对第204条中的各款及不满21岁的男女规定了例外，不满21岁者需由法定负责人同意或拒绝。</w:t>
      </w:r>
    </w:p>
    <w:p w:rsidR="00436071" w:rsidRDefault="00436071">
      <w:pPr>
        <w:pStyle w:val="SingleTxt"/>
        <w:spacing w:after="160"/>
        <w:rPr>
          <w:rFonts w:hint="eastAsia"/>
        </w:rPr>
      </w:pPr>
      <w:r>
        <w:rPr>
          <w:rFonts w:hint="eastAsia"/>
        </w:rPr>
        <w:tab/>
        <w:t>此外，《刑法》制止强迫配偶一方或另一方结婚的行为，该法在其第264条中规定，凡以习惯婚姻方式嫁女或以习惯方式娶妻，而该女自身不同意或者不满15周岁的，将判处1至5年监禁。凡试图强迫不满15周岁的儿童结婚的，将根据《刑法》第265条判处1年至10年监禁。</w:t>
      </w:r>
    </w:p>
    <w:p w:rsidR="00436071" w:rsidRDefault="00436071">
      <w:pPr>
        <w:pStyle w:val="SingleTxt"/>
        <w:spacing w:after="160"/>
        <w:rPr>
          <w:rFonts w:hint="eastAsia"/>
        </w:rPr>
      </w:pPr>
      <w:r>
        <w:rPr>
          <w:rFonts w:hint="eastAsia"/>
        </w:rPr>
        <w:tab/>
        <w:t>从前，结婚——不论其形式是什么——实际上都是由家庭一手安排的。在这方面，有时女孩同意结婚实际上是父母施加影响的结果，他们嫁女完全出于个人的动机。</w:t>
      </w:r>
    </w:p>
    <w:p w:rsidR="00436071" w:rsidRDefault="00436071">
      <w:pPr>
        <w:pStyle w:val="SingleTxt"/>
        <w:spacing w:after="160"/>
        <w:rPr>
          <w:rFonts w:hint="eastAsia"/>
        </w:rPr>
      </w:pPr>
      <w:r>
        <w:rPr>
          <w:rFonts w:hint="eastAsia"/>
        </w:rPr>
        <w:tab/>
        <w:t>然而，在今天，婚姻安排出现了新的趋势，家庭安排不再起主导作用。对象的选择往往由未婚夫妻自己作主，在第二阶段才告诉家里。</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rPr>
          <w:rFonts w:hint="eastAsia"/>
        </w:rPr>
        <w:tab/>
      </w:r>
      <w:r>
        <w:rPr>
          <w:rFonts w:hint="eastAsia"/>
        </w:rPr>
        <w:tab/>
        <w:t>最低结婚年龄</w:t>
      </w:r>
    </w:p>
    <w:p w:rsidR="00436071" w:rsidRDefault="00436071">
      <w:pPr>
        <w:pStyle w:val="SingleTxt"/>
        <w:spacing w:after="160"/>
        <w:rPr>
          <w:rFonts w:hint="eastAsia"/>
        </w:rPr>
      </w:pPr>
      <w:r>
        <w:rPr>
          <w:rFonts w:hint="eastAsia"/>
        </w:rPr>
        <w:tab/>
        <w:t>《民法》第203条将男女青年的结婚年龄分别定为男18岁，女15岁。然而，《民法》在其第492条中规定男女青年法定成年年龄为21岁。</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在婚姻存续期间和婚姻解体时的权利平等</w:t>
      </w:r>
    </w:p>
    <w:p w:rsidR="00436071" w:rsidRDefault="00436071">
      <w:pPr>
        <w:pStyle w:val="SingleTxt"/>
        <w:spacing w:after="0" w:line="120" w:lineRule="exact"/>
        <w:rPr>
          <w:rFonts w:ascii="SimHei" w:eastAsia="SimHei" w:hint="eastAsia"/>
          <w:color w:val="FF0000"/>
          <w:sz w:val="10"/>
        </w:rPr>
      </w:pPr>
    </w:p>
    <w:p w:rsidR="00436071" w:rsidRDefault="00436071">
      <w:pPr>
        <w:pStyle w:val="SingleTxt"/>
        <w:rPr>
          <w:rFonts w:ascii="SimHei" w:eastAsia="SimHei" w:hint="eastAsia"/>
          <w:color w:val="FF0000"/>
        </w:rPr>
      </w:pPr>
      <w:r>
        <w:rPr>
          <w:rFonts w:ascii="SimHei" w:eastAsia="SimHei"/>
          <w:color w:val="FF0000"/>
        </w:rPr>
        <w:t>(a)</w:t>
      </w:r>
      <w:r>
        <w:rPr>
          <w:rFonts w:ascii="SimHei" w:eastAsia="SimHei"/>
          <w:color w:val="FF0000"/>
        </w:rPr>
        <w:tab/>
      </w:r>
      <w:r>
        <w:rPr>
          <w:rFonts w:ascii="SimHei" w:eastAsia="SimHei" w:hint="eastAsia"/>
          <w:color w:val="FF0000"/>
        </w:rPr>
        <w:t>在婚姻存续期间</w:t>
      </w:r>
    </w:p>
    <w:p w:rsidR="00436071" w:rsidRDefault="00436071">
      <w:pPr>
        <w:pStyle w:val="SingleTxt"/>
        <w:rPr>
          <w:rFonts w:hint="eastAsia"/>
        </w:rPr>
      </w:pPr>
      <w:r>
        <w:tab/>
      </w:r>
      <w:r>
        <w:rPr>
          <w:rFonts w:hint="eastAsia"/>
        </w:rPr>
        <w:t>《民法》规定了夫妻双方的权利和义务：夫妻双方应相互忠诚、相互支持和相互帮助（第252条第2款）。妻子同丈夫一起确保家庭的精神和物质管理以及家庭的财产，抚育他们的子女并为子女的安排作准备（第253条第2款）。夫妻</w:t>
      </w:r>
      <w:r>
        <w:tab/>
      </w:r>
      <w:r>
        <w:rPr>
          <w:rFonts w:hint="eastAsia"/>
        </w:rPr>
        <w:t>双方中任何一方都不得单方面拥有确保家庭住所的权利（第254条第3款）。另外夫妻双方对配偶为维持家庭生活和子女教育所缔结的契约负有共同责任，但一些明显过度的开支、以分期付款方式进行的购买，如果未经夫妻双方同意，则不负共同责任。</w:t>
      </w:r>
    </w:p>
    <w:p w:rsidR="00436071" w:rsidRDefault="00436071">
      <w:pPr>
        <w:pStyle w:val="SingleTxt"/>
        <w:rPr>
          <w:rFonts w:hint="eastAsia"/>
        </w:rPr>
      </w:pPr>
      <w:r>
        <w:tab/>
      </w:r>
      <w:r>
        <w:rPr>
          <w:rFonts w:hint="eastAsia"/>
        </w:rPr>
        <w:t>然而，在这同一部《民法》中，人们发现自己面对着一些悖论，这些悖论违反了夫妻平等的原则。实际上，《民法》第232条承认一夫多妻的选择，在日常生活中，这种选择在处理多房妻子问题上造成了许多不平等。在第232条第4款中，它使这种情况成为了普通法的婚姻制度，第4款规定，如果户籍官在婚礼上没有让人明确作出选择，那么婚姻被认为是一夫多妻制婚姻。</w:t>
      </w:r>
    </w:p>
    <w:p w:rsidR="00436071" w:rsidRDefault="00436071">
      <w:pPr>
        <w:pStyle w:val="SingleTxt"/>
        <w:rPr>
          <w:rFonts w:hint="eastAsia"/>
        </w:rPr>
      </w:pPr>
      <w:r>
        <w:tab/>
      </w:r>
      <w:r>
        <w:rPr>
          <w:rFonts w:hint="eastAsia"/>
        </w:rPr>
        <w:t>结婚后，妇女必须服从其丈夫（《民法》第252条），按照第253条，丈夫被赋予了一家之长的权力。根据第114条和254条，居所由丈夫决定，只要婚姻存在，妻子必须居住在那里，丈夫必须接纳她。她只有经法庭允准才能搬出去另住。这里应该明确指出的是，私自离开夫妇双方住所的已婚妇女将以通奸论处（《刑法》第269条）。这意味着，不管出现什么紧急情况，为了最终避免她有可能遭受的暴力，妻子将不得不诉诸漫长的和代价昂贵的诉讼程序。</w:t>
      </w:r>
    </w:p>
    <w:p w:rsidR="00436071" w:rsidRDefault="00436071">
      <w:pPr>
        <w:pStyle w:val="SingleTxt"/>
        <w:rPr>
          <w:rFonts w:hint="eastAsia"/>
        </w:rPr>
      </w:pPr>
      <w:r>
        <w:tab/>
      </w:r>
      <w:r>
        <w:rPr>
          <w:rFonts w:hint="eastAsia"/>
        </w:rPr>
        <w:t>反之，《刑法》第271条在其第2款中规定，如果丈夫知道妻子已经怀孕但无正当理由故意抛弃妻子，他将受到惩处。人们可以因此理解为丈夫如果不知道妻子怀孕就可以免于惩处。</w:t>
      </w:r>
    </w:p>
    <w:p w:rsidR="00436071" w:rsidRDefault="00436071">
      <w:pPr>
        <w:pStyle w:val="SingleTxt"/>
        <w:rPr>
          <w:rFonts w:hint="eastAsia"/>
        </w:rPr>
      </w:pPr>
      <w:r>
        <w:tab/>
      </w:r>
      <w:r>
        <w:rPr>
          <w:rFonts w:hint="eastAsia"/>
        </w:rPr>
        <w:t>如果婚姻关系尚未解除，妇女不得缔结新的婚约。这同样适用于选择一夫一妻制的男子。不遵守这些规定者可判处6个月至3年监禁。然而，根据第178条的规定，在婚姻存续期间，夫妻可放弃一夫一妻制的选择。事实上，这一规定只与男子有关，他们可以采取一夫多妻制，并利用《刑法》第270条来逃避法律规定的惩罚，该条允许他们援引习惯法准许实行的一夫多妻这一事实。不过，加蓬的刑法不承认习惯婚姻。</w:t>
      </w:r>
    </w:p>
    <w:p w:rsidR="00436071" w:rsidRDefault="00436071">
      <w:pPr>
        <w:pStyle w:val="SingleTxt"/>
        <w:rPr>
          <w:rFonts w:hint="eastAsia"/>
        </w:rPr>
      </w:pPr>
      <w:r>
        <w:tab/>
      </w:r>
      <w:r>
        <w:rPr>
          <w:rFonts w:hint="eastAsia"/>
        </w:rPr>
        <w:t>现在，人们看到，年轻夫妇越来越多地承担了对自身家庭的责任，尽管他们的父母还在抵制，父母总想介入他们的夫妻生活，甚至在婚后。</w:t>
      </w:r>
    </w:p>
    <w:p w:rsidR="00436071" w:rsidRDefault="00436071">
      <w:pPr>
        <w:pStyle w:val="SingleTxt"/>
        <w:rPr>
          <w:rFonts w:hint="eastAsia"/>
        </w:rPr>
      </w:pPr>
      <w:r>
        <w:tab/>
      </w:r>
      <w:r>
        <w:rPr>
          <w:rFonts w:hint="eastAsia"/>
        </w:rPr>
        <w:t>夫妻分居应由法庭宣布。在家庭中妻子一旦被休，她就可以不再履行共居、顺从和忠诚的义务，并可按照《民法》第265条带走在被休之日分到的财产。</w:t>
      </w:r>
    </w:p>
    <w:p w:rsidR="00436071" w:rsidRDefault="00436071">
      <w:pPr>
        <w:pStyle w:val="SingleTxt"/>
        <w:rPr>
          <w:rFonts w:hint="eastAsia"/>
        </w:rPr>
      </w:pPr>
      <w:r>
        <w:tab/>
      </w:r>
      <w:r>
        <w:rPr>
          <w:rFonts w:hint="eastAsia"/>
        </w:rPr>
        <w:t>在实践中，就法庭制裁犯有通奸罪和抛弃家庭罪的被休妻子这个意义上讲，它似乎不会正确执行这一规定。</w:t>
      </w:r>
    </w:p>
    <w:p w:rsidR="00436071" w:rsidRDefault="00436071">
      <w:pPr>
        <w:pStyle w:val="SingleTxt"/>
        <w:rPr>
          <w:rFonts w:ascii="SimHei" w:eastAsia="SimHei" w:hint="eastAsia"/>
          <w:color w:val="FF0000"/>
        </w:rPr>
      </w:pPr>
      <w:r>
        <w:rPr>
          <w:rFonts w:ascii="SimHei" w:eastAsia="SimHei"/>
          <w:color w:val="FF0000"/>
        </w:rPr>
        <w:t>(b)</w:t>
      </w:r>
      <w:r>
        <w:rPr>
          <w:rFonts w:ascii="SimHei" w:eastAsia="SimHei"/>
          <w:color w:val="FF0000"/>
        </w:rPr>
        <w:tab/>
      </w:r>
      <w:r>
        <w:rPr>
          <w:rFonts w:ascii="SimHei" w:eastAsia="SimHei" w:hint="eastAsia"/>
          <w:color w:val="FF0000"/>
        </w:rPr>
        <w:t>当婚姻关系解除时（第264条）</w:t>
      </w:r>
    </w:p>
    <w:p w:rsidR="00436071" w:rsidRDefault="00436071">
      <w:pPr>
        <w:pStyle w:val="SingleTxt"/>
        <w:rPr>
          <w:rFonts w:hint="eastAsia"/>
        </w:rPr>
      </w:pPr>
      <w:r>
        <w:tab/>
      </w:r>
      <w:r>
        <w:rPr>
          <w:rFonts w:hint="eastAsia"/>
        </w:rPr>
        <w:t>婚姻关系可因以下原因宣布解除：</w:t>
      </w:r>
    </w:p>
    <w:p w:rsidR="00436071" w:rsidRDefault="00436071">
      <w:pPr>
        <w:pStyle w:val="SingleTxt"/>
        <w:ind w:left="2115" w:hanging="431"/>
        <w:rPr>
          <w:rFonts w:hint="eastAsia"/>
        </w:rPr>
      </w:pPr>
      <w:r>
        <w:rPr>
          <w:rFonts w:hint="eastAsia"/>
        </w:rPr>
        <w:tab/>
      </w:r>
      <w:r>
        <w:t>-</w:t>
      </w:r>
      <w:r>
        <w:rPr>
          <w:rFonts w:hint="eastAsia"/>
        </w:rPr>
        <w:tab/>
        <w:t>夫妻一方死亡；</w:t>
      </w:r>
    </w:p>
    <w:p w:rsidR="00436071" w:rsidRDefault="00436071">
      <w:pPr>
        <w:pStyle w:val="SingleTxt"/>
        <w:ind w:left="2115" w:hanging="431"/>
        <w:rPr>
          <w:rFonts w:hint="eastAsia"/>
        </w:rPr>
      </w:pPr>
      <w:r>
        <w:rPr>
          <w:rFonts w:hint="eastAsia"/>
        </w:rPr>
        <w:tab/>
        <w:t>-</w:t>
      </w:r>
      <w:r>
        <w:rPr>
          <w:rFonts w:hint="eastAsia"/>
        </w:rPr>
        <w:tab/>
        <w:t>离婚；</w:t>
      </w:r>
    </w:p>
    <w:p w:rsidR="00436071" w:rsidRDefault="00436071">
      <w:pPr>
        <w:pStyle w:val="SingleTxt"/>
        <w:ind w:left="2115" w:hanging="431"/>
        <w:rPr>
          <w:rFonts w:hint="eastAsia"/>
        </w:rPr>
      </w:pPr>
      <w:r>
        <w:rPr>
          <w:rFonts w:hint="eastAsia"/>
        </w:rPr>
        <w:tab/>
        <w:t>-</w:t>
      </w:r>
      <w:r>
        <w:rPr>
          <w:rFonts w:hint="eastAsia"/>
        </w:rPr>
        <w:tab/>
        <w:t>司法作出裁定，宣告一方失踪。</w:t>
      </w:r>
    </w:p>
    <w:p w:rsidR="00436071" w:rsidRDefault="00436071">
      <w:pPr>
        <w:pStyle w:val="SingleTxt"/>
        <w:rPr>
          <w:rFonts w:hint="eastAsia"/>
        </w:rPr>
      </w:pPr>
      <w:r>
        <w:tab/>
      </w:r>
      <w:r>
        <w:rPr>
          <w:rFonts w:hint="eastAsia"/>
        </w:rPr>
        <w:t>夫妻一方死亡则婚姻关系解除。幸存的一方不再承担婚姻义务，而且今后始终不必再履行这方面义务。因而，他（或她）可自由地重新安排生活。然而，这种自由对寡妇来说不再是绝对的，她继承遗产的资格是有限度的。</w:t>
      </w:r>
    </w:p>
    <w:p w:rsidR="00436071" w:rsidRDefault="00436071">
      <w:pPr>
        <w:pStyle w:val="SingleTxt"/>
        <w:rPr>
          <w:rFonts w:hint="eastAsia"/>
        </w:rPr>
      </w:pPr>
      <w:r>
        <w:tab/>
      </w:r>
      <w:r>
        <w:rPr>
          <w:rFonts w:hint="eastAsia"/>
        </w:rPr>
        <w:t>一旦出现声名狼藉的姘居，寡妇就在继承方面失去了行使供养权的可能性。此外，第264条规定解除婚姻关系的理由之一是死亡，这是与该法第692相矛盾的，后者规定如果妻子无正当理由在原家庭外重新结婚，或者寡妇继承遗产的资格依然是虚假的，她将被剥夺用益权。继承权的特点是它是由多种因素构成的，这将某些特许权留给了传统和习俗。</w:t>
      </w:r>
    </w:p>
    <w:p w:rsidR="00436071" w:rsidRDefault="00436071">
      <w:pPr>
        <w:pStyle w:val="SingleTxt"/>
        <w:rPr>
          <w:rFonts w:hint="eastAsia"/>
        </w:rPr>
      </w:pPr>
      <w:r>
        <w:tab/>
      </w:r>
      <w:r>
        <w:rPr>
          <w:rFonts w:hint="eastAsia"/>
        </w:rPr>
        <w:t>至于离婚，按照《民法》第264和266条规定，它只涉及在一方有过失，特别是通奸的情况下的离婚，此外，《刑法》第267至271条以及第274条规定通奸是一种应从轻判刑的犯罪行为。另外，离婚也可能属于这样一种情况：因选择一夫一妻制而解除婚姻关系。</w:t>
      </w:r>
    </w:p>
    <w:p w:rsidR="00436071" w:rsidRDefault="00436071">
      <w:pPr>
        <w:pStyle w:val="SingleTxt"/>
        <w:rPr>
          <w:rFonts w:hint="eastAsia"/>
        </w:rPr>
      </w:pPr>
      <w:r>
        <w:tab/>
      </w:r>
      <w:r>
        <w:rPr>
          <w:rFonts w:hint="eastAsia"/>
        </w:rPr>
        <w:t>在加蓬法律上不存在经双方协议离婚的情况。一旦法庭宣布关于丈夫失踪的决定并完成了相关程序，婚姻关系则被认为解除。</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在与生育有关的问题上的权利平等</w:t>
      </w:r>
    </w:p>
    <w:p w:rsidR="00436071" w:rsidRDefault="00436071">
      <w:pPr>
        <w:pStyle w:val="SingleTxt"/>
        <w:spacing w:after="0" w:line="120" w:lineRule="exact"/>
        <w:rPr>
          <w:rFonts w:hint="eastAsia"/>
          <w:sz w:val="10"/>
        </w:rPr>
      </w:pPr>
    </w:p>
    <w:p w:rsidR="00436071" w:rsidRDefault="00436071">
      <w:pPr>
        <w:pStyle w:val="SingleTxt"/>
        <w:rPr>
          <w:rFonts w:hint="eastAsia"/>
        </w:rPr>
      </w:pPr>
      <w:r>
        <w:tab/>
      </w:r>
      <w:r>
        <w:rPr>
          <w:rFonts w:hint="eastAsia"/>
        </w:rPr>
        <w:t>在婚姻关系中，亲子关系、子女姓氏的归属、亲权，都是由《民法》第391条至396条规定的。加蓬《民法》将保护儿童的原则定为它的原则，可以说这方面的平等倾向在加蓬法律中占据了首要地位，只要子女具有合法的或得到认可的子女身份。法律在这方面还走得更远，它明确规定：妻子被遗弃（这是禁止的）后出生的子女以其母亲的法定丈夫为父亲。</w:t>
      </w:r>
    </w:p>
    <w:p w:rsidR="00436071" w:rsidRDefault="00436071">
      <w:pPr>
        <w:pStyle w:val="SingleTxt"/>
        <w:rPr>
          <w:rFonts w:hint="eastAsia"/>
        </w:rPr>
      </w:pPr>
      <w:r>
        <w:tab/>
      </w:r>
      <w:r>
        <w:rPr>
          <w:rFonts w:hint="eastAsia"/>
        </w:rPr>
        <w:t>一旦离婚，子女将交由能充分保证儿童权益者监护。</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在选择姓氏和职业方面的平等</w:t>
      </w:r>
    </w:p>
    <w:p w:rsidR="00436071" w:rsidRDefault="00436071">
      <w:pPr>
        <w:pStyle w:val="SingleTxt"/>
        <w:spacing w:after="0" w:line="120" w:lineRule="exact"/>
        <w:rPr>
          <w:rFonts w:hint="eastAsia"/>
          <w:sz w:val="10"/>
        </w:rPr>
      </w:pPr>
    </w:p>
    <w:p w:rsidR="00436071" w:rsidRDefault="00436071">
      <w:pPr>
        <w:pStyle w:val="SingleTxt"/>
        <w:rPr>
          <w:rFonts w:hint="eastAsia"/>
        </w:rPr>
      </w:pPr>
      <w:r>
        <w:tab/>
      </w:r>
      <w:r>
        <w:rPr>
          <w:rFonts w:hint="eastAsia"/>
        </w:rPr>
        <w:t>根据《民法》第98条，已婚妇女保留自身的姓氏。然而，她可以使用丈夫的姓氏或在其姓氏上加上丈夫的姓氏。即使丈夫死亡也不剥夺其使用或添加死者姓氏的权利，除非再婚。</w:t>
      </w:r>
    </w:p>
    <w:p w:rsidR="00436071" w:rsidRDefault="00436071">
      <w:pPr>
        <w:pStyle w:val="SingleTxt"/>
        <w:rPr>
          <w:rFonts w:hint="eastAsia"/>
        </w:rPr>
      </w:pPr>
      <w:r>
        <w:tab/>
      </w:r>
      <w:r>
        <w:rPr>
          <w:rFonts w:hint="eastAsia"/>
        </w:rPr>
        <w:t>事实上，妻子经常用丈夫的姓氏，并没有任何人对她施加压力。</w:t>
      </w:r>
    </w:p>
    <w:p w:rsidR="00436071" w:rsidRDefault="00436071">
      <w:pPr>
        <w:pStyle w:val="SingleTxt"/>
        <w:rPr>
          <w:rFonts w:hint="eastAsia"/>
        </w:rPr>
      </w:pPr>
      <w:r>
        <w:tab/>
      </w:r>
      <w:r>
        <w:rPr>
          <w:rFonts w:hint="eastAsia"/>
        </w:rPr>
        <w:t>父母承认的合法子女或私生子女用父母的姓氏或父亲给予的姓氏。</w:t>
      </w:r>
    </w:p>
    <w:p w:rsidR="00436071" w:rsidRDefault="00436071">
      <w:pPr>
        <w:pStyle w:val="SingleTxt"/>
        <w:rPr>
          <w:rFonts w:hint="eastAsia"/>
        </w:rPr>
      </w:pPr>
      <w:r>
        <w:tab/>
      </w:r>
      <w:r>
        <w:rPr>
          <w:rFonts w:hint="eastAsia"/>
        </w:rPr>
        <w:t>按照《民法》第261条，妇女可从事她所选择的职业。然而，丈夫可以要求法庭为了家庭利益禁止她从事她所选择的职业。相反，妻子不能对丈夫这样做。</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财产所有权、管理和处置方面的平等</w:t>
      </w:r>
    </w:p>
    <w:p w:rsidR="00436071" w:rsidRDefault="00436071">
      <w:pPr>
        <w:pStyle w:val="SingleTxt"/>
        <w:spacing w:after="0" w:line="120" w:lineRule="exact"/>
        <w:rPr>
          <w:rFonts w:hint="eastAsia"/>
          <w:sz w:val="10"/>
        </w:rPr>
      </w:pPr>
    </w:p>
    <w:p w:rsidR="00436071" w:rsidRDefault="00436071">
      <w:pPr>
        <w:pStyle w:val="SingleTxt"/>
        <w:rPr>
          <w:rFonts w:hint="eastAsia"/>
        </w:rPr>
      </w:pPr>
      <w:r>
        <w:tab/>
      </w:r>
      <w:r>
        <w:rPr>
          <w:rFonts w:hint="eastAsia"/>
        </w:rPr>
        <w:t>自1989年以来，加蓬采取的法律制度是分别财产制。当夫妻双方的财产分离后，各方都可管理、享用和自由处置其个人财产。在婚前或婚姻存续期间个人所欠的债务由各人自行负担。</w:t>
      </w:r>
    </w:p>
    <w:p w:rsidR="00436071" w:rsidRDefault="00436071">
      <w:pPr>
        <w:pStyle w:val="SingleTxt"/>
        <w:rPr>
          <w:rFonts w:hint="eastAsia"/>
        </w:rPr>
      </w:pPr>
      <w:r>
        <w:tab/>
      </w:r>
      <w:r>
        <w:rPr>
          <w:rFonts w:hint="eastAsia"/>
        </w:rPr>
        <w:t>然而，夫妻双方可选择共同财产制。在这种情况下，根据《民法》第335条，共同财产由丈夫一人管理，除非他应对在管理中犯有的过失负责。然而，在现实中这一规定很难检查。</w:t>
      </w:r>
    </w:p>
    <w:p w:rsidR="00436071" w:rsidRDefault="00436071">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三.</w:t>
      </w:r>
      <w:r>
        <w:rPr>
          <w:rFonts w:hint="eastAsia"/>
        </w:rPr>
        <w:tab/>
        <w:t>结论</w:t>
      </w:r>
    </w:p>
    <w:p w:rsidR="00436071" w:rsidRDefault="00436071">
      <w:pPr>
        <w:pStyle w:val="SingleTxt"/>
        <w:spacing w:after="0" w:line="120" w:lineRule="exact"/>
        <w:rPr>
          <w:rFonts w:hint="eastAsia"/>
          <w:sz w:val="10"/>
        </w:rPr>
      </w:pPr>
    </w:p>
    <w:p w:rsidR="00436071" w:rsidRDefault="00436071">
      <w:pPr>
        <w:pStyle w:val="SingleTxt"/>
        <w:rPr>
          <w:rFonts w:hint="eastAsia"/>
        </w:rPr>
      </w:pPr>
      <w:r>
        <w:rPr>
          <w:rFonts w:hint="eastAsia"/>
        </w:rPr>
        <w:tab/>
        <w:t>正如上面所述，自1988年以来，即提交初次报告以来，从以下意义上讲加蓬妇女的状况有了一定改善，即今天大部分加蓬妇女意识到了她们在社会中的重要作用和地位。</w:t>
      </w:r>
    </w:p>
    <w:p w:rsidR="00436071" w:rsidRDefault="00436071">
      <w:pPr>
        <w:pStyle w:val="SingleTxt"/>
        <w:rPr>
          <w:rFonts w:hint="eastAsia"/>
        </w:rPr>
      </w:pPr>
      <w:r>
        <w:rPr>
          <w:rFonts w:hint="eastAsia"/>
        </w:rPr>
        <w:tab/>
        <w:t>开展和举办的许多提高认识运动和有关性别问题的情况研讨会，提高了男子和妇女的觉悟，使他们认识到了促进妇女权利的必要性，妇女是社会的支柱，没有这一支柱，可持续发展就无从谈起。</w:t>
      </w:r>
    </w:p>
    <w:p w:rsidR="00436071" w:rsidRDefault="00436071">
      <w:pPr>
        <w:pStyle w:val="SingleTxt"/>
        <w:rPr>
          <w:rFonts w:hint="eastAsia"/>
        </w:rPr>
      </w:pPr>
      <w:r>
        <w:rPr>
          <w:rFonts w:hint="eastAsia"/>
        </w:rPr>
        <w:tab/>
        <w:t>加蓬政府在国家元首，共和国总统先生阁下的大力推动下，在法律领域采取了种种措施，从法律上制止妇女在以前所遭遇的歧视，这符合《消除对妇女一切形式歧视公约》的精神。</w:t>
      </w:r>
    </w:p>
    <w:p w:rsidR="00436071" w:rsidRDefault="00436071">
      <w:pPr>
        <w:pStyle w:val="SingleTxt"/>
        <w:rPr>
          <w:rFonts w:hint="eastAsia"/>
        </w:rPr>
      </w:pPr>
      <w:r>
        <w:rPr>
          <w:rFonts w:hint="eastAsia"/>
        </w:rPr>
        <w:tab/>
        <w:t>实际上，如果没有国家元首，共和国总统先生阁下的亲自过问，加蓬妇女的状况不可能得到如此快地的改善。这方面的例子如：他对妇女遭受的不幸，特别是某些家庭中寡妇和孤儿遭受的虐待多次表明了自己的立场。最近在独立日期间，他向全国发表了一个讲话，在讲话中他强烈谴责了上述情况，并威胁要对这些行为的当事人进行报复。</w:t>
      </w:r>
    </w:p>
    <w:p w:rsidR="00436071" w:rsidRDefault="00436071">
      <w:pPr>
        <w:pStyle w:val="SingleTxt"/>
        <w:rPr>
          <w:rFonts w:hint="eastAsia"/>
        </w:rPr>
      </w:pPr>
      <w:r>
        <w:rPr>
          <w:rFonts w:hint="eastAsia"/>
        </w:rPr>
        <w:tab/>
        <w:t>此外，在他的大力推动下，全国加蓬妇女日已形成了制度。自1998年以来每年的4月17日都要举行庆祝活动。</w:t>
      </w:r>
    </w:p>
    <w:p w:rsidR="00436071" w:rsidRDefault="00436071">
      <w:pPr>
        <w:pStyle w:val="SingleTxt"/>
        <w:rPr>
          <w:rFonts w:hint="eastAsia"/>
        </w:rPr>
      </w:pPr>
      <w:r>
        <w:rPr>
          <w:rFonts w:hint="eastAsia"/>
        </w:rPr>
        <w:tab/>
        <w:t>为保证采取的所有措施都能得到有效执行，加蓬还开展了一些研究，建立了一些机构，尤其是成立了家庭和提高妇女地位国家委员会、妇女权利与平等观察站以及负责重新审议歧视妇女的法律的部际间委员会。</w:t>
      </w:r>
    </w:p>
    <w:p w:rsidR="00436071" w:rsidRDefault="00436071">
      <w:pPr>
        <w:pStyle w:val="SingleTxt"/>
        <w:rPr>
          <w:rFonts w:hint="eastAsia"/>
        </w:rPr>
      </w:pPr>
      <w:r>
        <w:rPr>
          <w:rFonts w:hint="eastAsia"/>
        </w:rPr>
        <w:tab/>
        <w:t>然而，加蓬共和国意识到仍需在以下方面作出一致的努力：</w:t>
      </w:r>
    </w:p>
    <w:p w:rsidR="00436071" w:rsidRDefault="00436071">
      <w:pPr>
        <w:pStyle w:val="SingleTxt"/>
        <w:ind w:left="2115" w:hanging="431"/>
        <w:rPr>
          <w:rFonts w:hint="eastAsia"/>
        </w:rPr>
      </w:pPr>
      <w:r>
        <w:rPr>
          <w:rFonts w:hint="eastAsia"/>
        </w:rPr>
        <w:tab/>
        <w:t>-</w:t>
      </w:r>
      <w:r>
        <w:rPr>
          <w:rFonts w:hint="eastAsia"/>
        </w:rPr>
        <w:tab/>
        <w:t>提高居民的认识，它应该延伸到社会所有阶层；</w:t>
      </w:r>
    </w:p>
    <w:p w:rsidR="00436071" w:rsidRDefault="00436071">
      <w:pPr>
        <w:pStyle w:val="SingleTxt"/>
        <w:ind w:left="2115" w:hanging="431"/>
        <w:rPr>
          <w:rFonts w:hint="eastAsia"/>
        </w:rPr>
      </w:pPr>
      <w:r>
        <w:rPr>
          <w:rFonts w:hint="eastAsia"/>
        </w:rPr>
        <w:tab/>
        <w:t>-</w:t>
      </w:r>
      <w:r>
        <w:rPr>
          <w:rFonts w:hint="eastAsia"/>
        </w:rPr>
        <w:tab/>
        <w:t>加强妇女在各级决策岗位上的代表性；</w:t>
      </w:r>
    </w:p>
    <w:p w:rsidR="00436071" w:rsidRDefault="00436071">
      <w:pPr>
        <w:pStyle w:val="SingleTxt"/>
        <w:ind w:left="2115" w:hanging="431"/>
        <w:rPr>
          <w:rFonts w:hint="eastAsia"/>
        </w:rPr>
      </w:pPr>
      <w:r>
        <w:rPr>
          <w:rFonts w:hint="eastAsia"/>
        </w:rPr>
        <w:tab/>
        <w:t>-</w:t>
      </w:r>
      <w:r>
        <w:rPr>
          <w:rFonts w:hint="eastAsia"/>
        </w:rPr>
        <w:tab/>
        <w:t>改变人们的心态，这种心态仍然来自于社会文化方面因循守旧的思想，它们延缓了妇女的进步速度。</w:t>
      </w:r>
    </w:p>
    <w:p w:rsidR="00436071" w:rsidRDefault="00436071">
      <w:pPr>
        <w:pStyle w:val="SingleTxt"/>
        <w:rPr>
          <w:rFonts w:hint="eastAsia"/>
        </w:rPr>
      </w:pPr>
      <w:r>
        <w:rPr>
          <w:rFonts w:hint="eastAsia"/>
        </w:rPr>
        <w:tab/>
        <w:t>从今以后，政府围绕促进妇女权利采取的努力以及民间社会的动员，预料将会有产生一个美好的未来，所有男子，所有妇女将会在互补与和谐的气氛中得到充分发展。</w:t>
      </w:r>
    </w:p>
    <w:p w:rsidR="00436071" w:rsidRDefault="0043607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KaiTi_GB2312" w:eastAsia="KaiTi_GB2312" w:hint="eastAsia"/>
          <w:color w:val="0000FF"/>
        </w:rPr>
      </w:pPr>
      <w:r>
        <w:rPr>
          <w:rFonts w:hint="eastAsia"/>
        </w:rPr>
        <w:tab/>
      </w:r>
      <w:r>
        <w:rPr>
          <w:rFonts w:hint="eastAsia"/>
        </w:rPr>
        <w:tab/>
      </w:r>
      <w:r>
        <w:rPr>
          <w:rFonts w:ascii="KaiTi_GB2312" w:eastAsia="KaiTi_GB2312" w:hint="eastAsia"/>
          <w:color w:val="0000FF"/>
        </w:rPr>
        <w:t>资料来源</w:t>
      </w:r>
    </w:p>
    <w:p w:rsidR="00436071" w:rsidRDefault="00436071">
      <w:pPr>
        <w:pStyle w:val="SingleTxt"/>
        <w:spacing w:after="0" w:line="120" w:lineRule="exact"/>
        <w:rPr>
          <w:rFonts w:hint="eastAsia"/>
          <w:sz w:val="10"/>
          <w:vertAlign w:val="superscript"/>
        </w:rPr>
      </w:pPr>
    </w:p>
    <w:p w:rsidR="00436071" w:rsidRDefault="00436071">
      <w:pPr>
        <w:pStyle w:val="SingleTxt"/>
        <w:rPr>
          <w:rFonts w:hint="eastAsia"/>
        </w:rPr>
      </w:pPr>
      <w:r>
        <w:rPr>
          <w:rFonts w:hint="eastAsia"/>
        </w:rPr>
        <w:t>《加蓬妇女地位的社会-法律研究》，由妇女状况总局在联合国人口基金的合作下撰写，利伯维尔，1997年3月，136页。</w:t>
      </w:r>
    </w:p>
    <w:p w:rsidR="00436071" w:rsidRDefault="00436071">
      <w:pPr>
        <w:pStyle w:val="SingleTxt"/>
        <w:rPr>
          <w:rFonts w:hint="eastAsia"/>
        </w:rPr>
      </w:pPr>
      <w:r>
        <w:rPr>
          <w:rFonts w:hint="eastAsia"/>
        </w:rPr>
        <w:t>加蓬《民法》。</w:t>
      </w:r>
    </w:p>
    <w:p w:rsidR="00436071" w:rsidRDefault="00436071">
      <w:pPr>
        <w:pStyle w:val="SingleTxt"/>
        <w:rPr>
          <w:rFonts w:hint="eastAsia"/>
        </w:rPr>
      </w:pPr>
      <w:r>
        <w:rPr>
          <w:rFonts w:hint="eastAsia"/>
        </w:rPr>
        <w:t>《刑法》及附属法律。</w:t>
      </w:r>
    </w:p>
    <w:p w:rsidR="00436071" w:rsidRDefault="00436071">
      <w:pPr>
        <w:pStyle w:val="SingleTxt"/>
        <w:rPr>
          <w:rFonts w:hint="eastAsia"/>
        </w:rPr>
      </w:pPr>
      <w:r>
        <w:rPr>
          <w:rFonts w:hint="eastAsia"/>
        </w:rPr>
        <w:t>《劳动法》。</w:t>
      </w:r>
    </w:p>
    <w:p w:rsidR="00436071" w:rsidRDefault="00436071">
      <w:pPr>
        <w:pStyle w:val="SingleTxt"/>
        <w:rPr>
          <w:rFonts w:hint="eastAsia"/>
        </w:rPr>
      </w:pPr>
      <w:r>
        <w:rPr>
          <w:rFonts w:hint="eastAsia"/>
        </w:rPr>
        <w:t>《民法与家庭讨论会总报告》，提高妇女地位总局，1993年3月5日至8日，52页。</w:t>
      </w:r>
    </w:p>
    <w:p w:rsidR="00436071" w:rsidRDefault="00436071">
      <w:pPr>
        <w:pStyle w:val="SingleTxt"/>
        <w:rPr>
          <w:rFonts w:hint="eastAsia"/>
        </w:rPr>
      </w:pPr>
      <w:r>
        <w:rPr>
          <w:rFonts w:hint="eastAsia"/>
        </w:rPr>
        <w:t>《妇女与决策调查结果》，由家庭、保护儿童和提高妇女地位部在联合国开发计划署合作下撰写，2000年7月，61页。</w:t>
      </w:r>
    </w:p>
    <w:p w:rsidR="00436071" w:rsidRDefault="00436071">
      <w:pPr>
        <w:pStyle w:val="SingleTxt"/>
        <w:rPr>
          <w:rFonts w:hint="eastAsia"/>
        </w:rPr>
      </w:pPr>
      <w:r>
        <w:rPr>
          <w:rFonts w:hint="eastAsia"/>
        </w:rPr>
        <w:t>《妇女权利——对民法与宪法保持一致的建议》，由加蓬女法学家协会在美国驻加蓬大使馆的合作下撰写，39页。</w:t>
      </w:r>
    </w:p>
    <w:p w:rsidR="00436071" w:rsidRDefault="00436071">
      <w:pPr>
        <w:pStyle w:val="SingleTxt"/>
        <w:rPr>
          <w:rFonts w:hint="eastAsia"/>
        </w:rPr>
      </w:pPr>
      <w:r>
        <w:rPr>
          <w:rFonts w:hint="eastAsia"/>
        </w:rPr>
        <w:t>确定给妇女、母亲和儿童提供健康和社会保护的某些措施的2000年4月7日第1/2000号法律。</w:t>
      </w:r>
    </w:p>
    <w:p w:rsidR="00436071" w:rsidRDefault="00436071">
      <w:pPr>
        <w:pStyle w:val="SingleTxt"/>
        <w:rPr>
          <w:rFonts w:hint="eastAsia"/>
        </w:rPr>
      </w:pPr>
      <w:r>
        <w:rPr>
          <w:rFonts w:hint="eastAsia"/>
        </w:rPr>
        <w:t>关于妇女状况国务秘书部的权限和组织的1983年12月2日第1666/PR号法令。</w:t>
      </w:r>
    </w:p>
    <w:p w:rsidR="00436071" w:rsidRDefault="00436071">
      <w:pPr>
        <w:pStyle w:val="SingleTxt"/>
        <w:rPr>
          <w:rFonts w:hint="eastAsia"/>
        </w:rPr>
      </w:pPr>
      <w:r>
        <w:rPr>
          <w:rFonts w:hint="eastAsia"/>
        </w:rPr>
        <w:t>关于成立家庭和提高妇女地位国家委员会及其权限和运作的2001年3月7日第000298/PR/MFPF号法令。</w:t>
      </w:r>
    </w:p>
    <w:p w:rsidR="00436071" w:rsidRDefault="00436071">
      <w:pPr>
        <w:pStyle w:val="SingleTxt"/>
      </w:pPr>
    </w:p>
    <w:p w:rsidR="00436071" w:rsidRDefault="00436071">
      <w:pPr>
        <w:pStyle w:val="SingleTxt"/>
        <w:spacing w:after="0" w:line="240" w:lineRule="auto"/>
        <w:rPr>
          <w:sz w:val="20"/>
        </w:rPr>
      </w:pPr>
      <w:r>
        <w:rPr>
          <w:noProof/>
          <w:sz w:val="20"/>
        </w:rPr>
        <w:pict>
          <v:line id="_x0000_s2051" style="position:absolute;left:0;text-align:left;z-index:2;mso-position-horizontal:center" from="0,30pt" to="1in,30pt" strokeweight=".25pt"/>
        </w:pict>
      </w:r>
    </w:p>
    <w:sectPr w:rsidR="00436071">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36071" w:rsidRDefault="00436071">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NO&gt;&gt;N0344384C&lt;&lt;ODS JOB NO&gt;&gt;</w:t>
      </w:r>
    </w:p>
    <w:p w:rsidR="00436071" w:rsidRDefault="00436071">
      <w:pPr>
        <w:pStyle w:val="CommentText"/>
      </w:pPr>
      <w:r>
        <w:t>&lt;&lt;ODS DOC SYMBOL1&gt;&gt;CEDAW/C/GAB/2-5&lt;&lt;ODS DOC SYMBOL1&gt;&gt;</w:t>
      </w:r>
    </w:p>
    <w:p w:rsidR="00436071" w:rsidRDefault="004360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97177">
      <w:pPr>
        <w:spacing w:line="240" w:lineRule="auto"/>
      </w:pPr>
      <w:r>
        <w:separator/>
      </w:r>
    </w:p>
  </w:endnote>
  <w:endnote w:type="continuationSeparator" w:id="0">
    <w:p w:rsidR="00000000" w:rsidRDefault="00F971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36071">
      <w:tblPrEx>
        <w:tblCellMar>
          <w:top w:w="0" w:type="dxa"/>
          <w:bottom w:w="0" w:type="dxa"/>
        </w:tblCellMar>
      </w:tblPrEx>
      <w:tc>
        <w:tcPr>
          <w:tcW w:w="5034" w:type="dxa"/>
          <w:vAlign w:val="bottom"/>
        </w:tcPr>
        <w:p w:rsidR="00436071" w:rsidRDefault="00436071">
          <w:pPr>
            <w:pStyle w:val="Footer"/>
          </w:pPr>
          <w:r>
            <w:fldChar w:fldCharType="begin"/>
          </w:r>
          <w:r>
            <w:instrText xml:space="preserve"> PAGE  \* MERGEFORMAT </w:instrText>
          </w:r>
          <w:r>
            <w:fldChar w:fldCharType="separate"/>
          </w:r>
          <w:r>
            <w:t>30</w:t>
          </w:r>
          <w:r>
            <w:fldChar w:fldCharType="end"/>
          </w:r>
        </w:p>
      </w:tc>
      <w:tc>
        <w:tcPr>
          <w:tcW w:w="5034" w:type="dxa"/>
          <w:vAlign w:val="bottom"/>
        </w:tcPr>
        <w:p w:rsidR="00436071" w:rsidRDefault="00436071">
          <w:pPr>
            <w:pStyle w:val="Footer"/>
            <w:jc w:val="right"/>
          </w:pPr>
        </w:p>
      </w:tc>
    </w:tr>
  </w:tbl>
  <w:p w:rsidR="00436071" w:rsidRDefault="004360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36071">
      <w:tblPrEx>
        <w:tblCellMar>
          <w:top w:w="0" w:type="dxa"/>
          <w:bottom w:w="0" w:type="dxa"/>
        </w:tblCellMar>
      </w:tblPrEx>
      <w:tc>
        <w:tcPr>
          <w:tcW w:w="5034" w:type="dxa"/>
          <w:vAlign w:val="bottom"/>
        </w:tcPr>
        <w:p w:rsidR="00436071" w:rsidRDefault="00436071">
          <w:pPr>
            <w:pStyle w:val="Footer"/>
          </w:pPr>
        </w:p>
      </w:tc>
      <w:tc>
        <w:tcPr>
          <w:tcW w:w="5034" w:type="dxa"/>
          <w:vAlign w:val="bottom"/>
        </w:tcPr>
        <w:p w:rsidR="00436071" w:rsidRDefault="00436071">
          <w:pPr>
            <w:pStyle w:val="Footer"/>
            <w:jc w:val="right"/>
          </w:pPr>
          <w:r>
            <w:fldChar w:fldCharType="begin"/>
          </w:r>
          <w:r>
            <w:instrText xml:space="preserve"> PAGE  \* MERGEFORMAT </w:instrText>
          </w:r>
          <w:r>
            <w:fldChar w:fldCharType="separate"/>
          </w:r>
          <w:r>
            <w:t>29</w:t>
          </w:r>
          <w:r>
            <w:fldChar w:fldCharType="end"/>
          </w:r>
        </w:p>
      </w:tc>
    </w:tr>
  </w:tbl>
  <w:p w:rsidR="00436071" w:rsidRDefault="004360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071" w:rsidRDefault="00436071">
    <w:pPr>
      <w:pStyle w:val="Footer"/>
      <w:rPr>
        <w:b w:val="0"/>
        <w:sz w:val="21"/>
      </w:rPr>
    </w:pPr>
    <w:r>
      <w:rPr>
        <w:b w:val="0"/>
        <w:sz w:val="21"/>
      </w:rPr>
      <w:t xml:space="preserve">03-44384 (C)    </w:t>
    </w:r>
    <w:r>
      <w:rPr>
        <w:rFonts w:hint="eastAsia"/>
        <w:b w:val="0"/>
        <w:sz w:val="21"/>
      </w:rPr>
      <w:t>29</w:t>
    </w:r>
    <w:r>
      <w:rPr>
        <w:b w:val="0"/>
        <w:sz w:val="21"/>
      </w:rPr>
      <w:t xml:space="preserve">0903    </w:t>
    </w:r>
    <w:r>
      <w:rPr>
        <w:rFonts w:hint="eastAsia"/>
        <w:b w:val="0"/>
        <w:sz w:val="21"/>
      </w:rPr>
      <w:t>02</w:t>
    </w:r>
    <w:r>
      <w:rPr>
        <w:b w:val="0"/>
        <w:sz w:val="21"/>
      </w:rPr>
      <w:t>1003</w:t>
    </w:r>
  </w:p>
  <w:p w:rsidR="00436071" w:rsidRDefault="00436071">
    <w:pPr>
      <w:spacing w:before="60" w:line="200" w:lineRule="exact"/>
      <w:rPr>
        <w:rFonts w:ascii="Barcode 3 of 9 by request" w:hAnsi="Barcode 3 of 9 by request"/>
        <w:b/>
      </w:rPr>
    </w:pPr>
    <w:r>
      <w:rPr>
        <w:rFonts w:ascii="Barcode 3 of 9 by request" w:hAnsi="Barcode 3 of 9 by request"/>
        <w:b/>
      </w:rPr>
      <w:t>*0344384*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97177">
      <w:pPr>
        <w:spacing w:line="240" w:lineRule="auto"/>
      </w:pPr>
      <w:r>
        <w:separator/>
      </w:r>
    </w:p>
  </w:footnote>
  <w:footnote w:type="continuationSeparator" w:id="0">
    <w:p w:rsidR="00000000" w:rsidRDefault="00F9717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071" w:rsidRDefault="00436071">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36071">
                  <w:tblPrEx>
                    <w:tblCellMar>
                      <w:top w:w="0" w:type="dxa"/>
                      <w:bottom w:w="0" w:type="dxa"/>
                    </w:tblCellMar>
                  </w:tblPrEx>
                  <w:trPr>
                    <w:trHeight w:hRule="exact" w:val="864"/>
                  </w:trPr>
                  <w:tc>
                    <w:tcPr>
                      <w:tcW w:w="4838" w:type="dxa"/>
                      <w:vAlign w:val="bottom"/>
                    </w:tcPr>
                    <w:p w:rsidR="00436071" w:rsidRDefault="00436071">
                      <w:pPr>
                        <w:pStyle w:val="Header"/>
                        <w:spacing w:after="80"/>
                        <w:rPr>
                          <w:b/>
                          <w:sz w:val="17"/>
                        </w:rPr>
                      </w:pPr>
                      <w:r>
                        <w:rPr>
                          <w:b/>
                          <w:sz w:val="17"/>
                        </w:rPr>
                        <w:t>CEDAW/C/GAB/2-5</w:t>
                      </w:r>
                    </w:p>
                  </w:tc>
                  <w:tc>
                    <w:tcPr>
                      <w:tcW w:w="5048" w:type="dxa"/>
                      <w:vAlign w:val="bottom"/>
                    </w:tcPr>
                    <w:p w:rsidR="00436071" w:rsidRDefault="00436071">
                      <w:pPr>
                        <w:pStyle w:val="Header"/>
                      </w:pPr>
                    </w:p>
                  </w:tc>
                </w:tr>
              </w:tbl>
              <w:p w:rsidR="00436071" w:rsidRDefault="0043607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071" w:rsidRDefault="00436071">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36071">
                  <w:tblPrEx>
                    <w:tblCellMar>
                      <w:top w:w="0" w:type="dxa"/>
                      <w:bottom w:w="0" w:type="dxa"/>
                    </w:tblCellMar>
                  </w:tblPrEx>
                  <w:trPr>
                    <w:trHeight w:hRule="exact" w:val="864"/>
                  </w:trPr>
                  <w:tc>
                    <w:tcPr>
                      <w:tcW w:w="4838" w:type="dxa"/>
                      <w:vAlign w:val="bottom"/>
                    </w:tcPr>
                    <w:p w:rsidR="00436071" w:rsidRDefault="00436071">
                      <w:pPr>
                        <w:pStyle w:val="Header"/>
                      </w:pPr>
                    </w:p>
                  </w:tc>
                  <w:tc>
                    <w:tcPr>
                      <w:tcW w:w="5048" w:type="dxa"/>
                      <w:vAlign w:val="bottom"/>
                    </w:tcPr>
                    <w:p w:rsidR="00436071" w:rsidRDefault="00436071">
                      <w:pPr>
                        <w:pStyle w:val="Header"/>
                        <w:spacing w:after="80"/>
                        <w:jc w:val="right"/>
                        <w:rPr>
                          <w:b/>
                          <w:sz w:val="17"/>
                        </w:rPr>
                      </w:pPr>
                      <w:r>
                        <w:rPr>
                          <w:b/>
                          <w:sz w:val="17"/>
                        </w:rPr>
                        <w:t>CEDAW/C/GAB/2-5</w:t>
                      </w:r>
                    </w:p>
                  </w:tc>
                </w:tr>
              </w:tbl>
              <w:p w:rsidR="00436071" w:rsidRDefault="0043607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3607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36071" w:rsidRDefault="00436071">
          <w:pPr>
            <w:pStyle w:val="Header"/>
            <w:spacing w:after="120"/>
          </w:pPr>
        </w:p>
      </w:tc>
      <w:tc>
        <w:tcPr>
          <w:tcW w:w="1872" w:type="dxa"/>
          <w:tcBorders>
            <w:top w:val="nil"/>
            <w:left w:val="nil"/>
            <w:bottom w:val="single" w:sz="4" w:space="0" w:color="auto"/>
            <w:right w:val="nil"/>
          </w:tcBorders>
          <w:vAlign w:val="bottom"/>
        </w:tcPr>
        <w:p w:rsidR="00436071" w:rsidRDefault="00436071">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436071" w:rsidRDefault="00436071">
          <w:pPr>
            <w:pStyle w:val="Header"/>
            <w:spacing w:after="120"/>
          </w:pPr>
        </w:p>
      </w:tc>
      <w:tc>
        <w:tcPr>
          <w:tcW w:w="6523" w:type="dxa"/>
          <w:gridSpan w:val="3"/>
          <w:tcBorders>
            <w:top w:val="nil"/>
            <w:left w:val="nil"/>
            <w:bottom w:val="single" w:sz="4" w:space="0" w:color="auto"/>
            <w:right w:val="nil"/>
          </w:tcBorders>
          <w:vAlign w:val="bottom"/>
        </w:tcPr>
        <w:p w:rsidR="00436071" w:rsidRDefault="00436071">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/C/GAB/2-5</w:t>
          </w:r>
        </w:p>
      </w:tc>
    </w:tr>
    <w:tr w:rsidR="00436071">
      <w:tblPrEx>
        <w:tblCellMar>
          <w:top w:w="0" w:type="dxa"/>
          <w:bottom w:w="0" w:type="dxa"/>
        </w:tblCellMar>
      </w:tblPrEx>
      <w:trPr>
        <w:trHeight w:hRule="exact" w:val="2880"/>
      </w:trPr>
      <w:tc>
        <w:tcPr>
          <w:tcW w:w="1267" w:type="dxa"/>
          <w:tcBorders>
            <w:left w:val="nil"/>
            <w:bottom w:val="single" w:sz="12" w:space="0" w:color="auto"/>
            <w:right w:val="nil"/>
          </w:tcBorders>
        </w:tcPr>
        <w:p w:rsidR="00436071" w:rsidRDefault="0043607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36071" w:rsidRDefault="00436071">
          <w:pPr>
            <w:pStyle w:val="Header"/>
            <w:spacing w:before="109"/>
            <w:ind w:left="-72"/>
          </w:pPr>
        </w:p>
      </w:tc>
      <w:tc>
        <w:tcPr>
          <w:tcW w:w="5227" w:type="dxa"/>
          <w:gridSpan w:val="3"/>
          <w:tcBorders>
            <w:left w:val="nil"/>
            <w:bottom w:val="single" w:sz="12" w:space="0" w:color="auto"/>
            <w:right w:val="nil"/>
          </w:tcBorders>
        </w:tcPr>
        <w:p w:rsidR="00436071" w:rsidRDefault="00436071">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436071" w:rsidRDefault="00436071">
          <w:pPr>
            <w:pStyle w:val="Header"/>
            <w:spacing w:before="109"/>
          </w:pPr>
        </w:p>
      </w:tc>
      <w:tc>
        <w:tcPr>
          <w:tcW w:w="3180" w:type="dxa"/>
          <w:gridSpan w:val="2"/>
          <w:tcBorders>
            <w:left w:val="nil"/>
            <w:bottom w:val="single" w:sz="12" w:space="0" w:color="auto"/>
            <w:right w:val="nil"/>
          </w:tcBorders>
        </w:tcPr>
        <w:p w:rsidR="00436071" w:rsidRDefault="00436071">
          <w:pPr>
            <w:spacing w:before="240" w:line="240" w:lineRule="exact"/>
            <w:rPr>
              <w:rFonts w:ascii="Times New Roman"/>
            </w:rPr>
          </w:pPr>
          <w:r>
            <w:rPr>
              <w:rFonts w:ascii="Times New Roman"/>
            </w:rPr>
            <w:t>Distr.: General</w:t>
          </w:r>
        </w:p>
        <w:p w:rsidR="00436071" w:rsidRDefault="00436071">
          <w:pPr>
            <w:spacing w:line="240" w:lineRule="exact"/>
            <w:rPr>
              <w:rFonts w:ascii="Times New Roman"/>
            </w:rPr>
          </w:pPr>
          <w:r>
            <w:rPr>
              <w:rFonts w:ascii="Times New Roman"/>
            </w:rPr>
            <w:t>25 June 2003</w:t>
          </w:r>
        </w:p>
        <w:p w:rsidR="00436071" w:rsidRDefault="00436071">
          <w:pPr>
            <w:spacing w:line="240" w:lineRule="exact"/>
            <w:rPr>
              <w:rFonts w:ascii="Times New Roman"/>
            </w:rPr>
          </w:pPr>
          <w:r>
            <w:rPr>
              <w:rFonts w:ascii="Times New Roman"/>
            </w:rPr>
            <w:t>Chinese</w:t>
          </w:r>
        </w:p>
        <w:p w:rsidR="00436071" w:rsidRDefault="00436071">
          <w:pPr>
            <w:spacing w:line="240" w:lineRule="exact"/>
            <w:rPr>
              <w:rFonts w:ascii="Times New Roman"/>
            </w:rPr>
          </w:pPr>
          <w:r>
            <w:rPr>
              <w:rFonts w:ascii="Times New Roman"/>
            </w:rPr>
            <w:t>Original: French</w:t>
          </w:r>
        </w:p>
      </w:tc>
    </w:tr>
  </w:tbl>
  <w:p w:rsidR="00436071" w:rsidRDefault="004360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5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0/2003 2:22: PM"/>
    <w:docVar w:name="DocCategory" w:val="Doc"/>
    <w:docVar w:name="DocType" w:val="Final"/>
    <w:docVar w:name="JobNo" w:val="0344384C"/>
    <w:docVar w:name="OandT" w:val="YANG HUA"/>
    <w:docVar w:name="Symbol1" w:val="CEDAW/C/GAB/2-5"/>
    <w:docVar w:name="Symbol2" w:val="-"/>
  </w:docVars>
  <w:rsids>
    <w:rsidRoot w:val="00436071"/>
    <w:rsid w:val="00436071"/>
    <w:rsid w:val="00F971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43607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256</TotalTime>
  <Pages>30</Pages>
  <Words>3145</Words>
  <Characters>17927</Characters>
  <Application>Microsoft Office Word</Application>
  <DocSecurity>4</DocSecurity>
  <Lines>149</Lines>
  <Paragraphs>42</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21030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25</cp:revision>
  <cp:lastPrinted>2003-10-02T13:42:00Z</cp:lastPrinted>
  <dcterms:created xsi:type="dcterms:W3CDTF">2003-10-01T12:22:00Z</dcterms:created>
  <dcterms:modified xsi:type="dcterms:W3CDTF">2003-10-02T13:43:00Z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0344384</vt:lpwstr>
  </property>
  <property fmtid="{D5CDD505-2E9C-101B-9397-08002B2CF9AE}" pid="3" name="Symbol1">
    <vt:lpwstr>CEDAW/C/GAB/2-5</vt:lpwstr>
  </property>
  <property fmtid="{D5CDD505-2E9C-101B-9397-08002B2CF9AE}" pid="4" name="Symbol2">
    <vt:lpwstr/>
  </property>
  <property fmtid="{D5CDD505-2E9C-101B-9397-08002B2CF9AE}" pid="5" name="Translator">
    <vt:lpwstr/>
  </property>
  <property fmtid="{D5CDD505-2E9C-101B-9397-08002B2CF9AE}" pid="6" name="Operator">
    <vt:lpwstr>YANG HUA</vt:lpwstr>
  </property>
  <property fmtid="{D5CDD505-2E9C-101B-9397-08002B2CF9AE}" pid="7" name="DraftPages">
    <vt:lpwstr> </vt:lpwstr>
  </property>
  <property fmtid="{D5CDD505-2E9C-101B-9397-08002B2CF9AE}" pid="8" name="Comment">
    <vt:lpwstr/>
  </property>
</Properties>
</file>