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6AB86" w14:textId="77777777" w:rsidR="00555166" w:rsidRPr="00125FA8" w:rsidRDefault="00555166" w:rsidP="00555166">
      <w:pPr>
        <w:pStyle w:val="RepertoireFootnoteText"/>
        <w:spacing w:line="240" w:lineRule="auto"/>
        <w:ind w:left="0" w:right="0" w:firstLine="0"/>
        <w:jc w:val="both"/>
        <w:rPr>
          <w:sz w:val="2"/>
        </w:rPr>
        <w:sectPr w:rsidR="00555166" w:rsidRPr="00125FA8" w:rsidSect="0036019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25FA8">
        <w:rPr>
          <w:rStyle w:val="CommentReference"/>
          <w:rFonts w:ascii="Times New Roman" w:hAnsi="Times New Roman" w:cs="Times New Roman"/>
          <w:szCs w:val="20"/>
        </w:rPr>
        <w:commentReference w:id="0"/>
      </w:r>
    </w:p>
    <w:p w14:paraId="54E0A274" w14:textId="77777777" w:rsidR="00360199" w:rsidRPr="00125FA8" w:rsidRDefault="00360199" w:rsidP="003601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125FA8">
        <w:t>Comité para la Eliminación de la Discriminación</w:t>
      </w:r>
      <w:r w:rsidRPr="00170EBE">
        <w:rPr>
          <w:b w:val="0"/>
          <w:bCs/>
        </w:rPr>
        <w:t xml:space="preserve"> </w:t>
      </w:r>
      <w:r w:rsidRPr="00125FA8">
        <w:t>contra la Mujer</w:t>
      </w:r>
    </w:p>
    <w:p w14:paraId="48C52C75" w14:textId="77777777" w:rsidR="00360199" w:rsidRPr="00125FA8" w:rsidRDefault="00360199" w:rsidP="00360199">
      <w:pPr>
        <w:pStyle w:val="Session"/>
      </w:pPr>
      <w:r w:rsidRPr="00125FA8">
        <w:t>91</w:t>
      </w:r>
      <w:r w:rsidRPr="00125FA8">
        <w:rPr>
          <w:vertAlign w:val="superscript"/>
        </w:rPr>
        <w:t>er</w:t>
      </w:r>
      <w:r w:rsidRPr="00125FA8">
        <w:t xml:space="preserve"> período de sesiones</w:t>
      </w:r>
    </w:p>
    <w:p w14:paraId="4F47690F" w14:textId="77777777" w:rsidR="00360199" w:rsidRPr="00125FA8" w:rsidRDefault="00360199" w:rsidP="00360199">
      <w:r w:rsidRPr="00125FA8">
        <w:t>Ginebra, 16 de junio a 4 de julio de 2025</w:t>
      </w:r>
    </w:p>
    <w:p w14:paraId="01963527" w14:textId="77777777" w:rsidR="00360199" w:rsidRPr="00125FA8" w:rsidRDefault="00360199" w:rsidP="00360199">
      <w:pPr>
        <w:pStyle w:val="AgendaItemNormal"/>
      </w:pPr>
      <w:r w:rsidRPr="00125FA8">
        <w:t>Tema 4 del programa provisional</w:t>
      </w:r>
    </w:p>
    <w:p w14:paraId="7A81BE54" w14:textId="7F8F4B8A" w:rsidR="00360199" w:rsidRPr="00125FA8" w:rsidRDefault="00360199" w:rsidP="00360199">
      <w:pPr>
        <w:pStyle w:val="AgendaTitleH2"/>
      </w:pPr>
      <w:r w:rsidRPr="00125FA8">
        <w:t>Examen de los informes presentados por los Estados partes en virtud del artículo 18 de la Convención sobre la Eliminación de Todas las Formas de</w:t>
      </w:r>
      <w:r w:rsidR="00816E4C">
        <w:t xml:space="preserve"> </w:t>
      </w:r>
      <w:r w:rsidRPr="00125FA8">
        <w:t>Discriminación contra la Mujer</w:t>
      </w:r>
    </w:p>
    <w:p w14:paraId="4744196D" w14:textId="77777777" w:rsidR="00360199" w:rsidRPr="00125FA8" w:rsidRDefault="00360199" w:rsidP="00360199">
      <w:pPr>
        <w:pStyle w:val="SingleTxt"/>
        <w:spacing w:after="0" w:line="120" w:lineRule="exact"/>
        <w:rPr>
          <w:sz w:val="10"/>
        </w:rPr>
      </w:pPr>
    </w:p>
    <w:p w14:paraId="65604380" w14:textId="77777777" w:rsidR="00360199" w:rsidRPr="00125FA8" w:rsidRDefault="00360199" w:rsidP="00360199">
      <w:pPr>
        <w:pStyle w:val="SingleTxt"/>
        <w:spacing w:after="0" w:line="120" w:lineRule="exact"/>
        <w:rPr>
          <w:sz w:val="10"/>
        </w:rPr>
      </w:pPr>
    </w:p>
    <w:p w14:paraId="2B90C4ED" w14:textId="77777777" w:rsidR="00360199" w:rsidRPr="00125FA8" w:rsidRDefault="00360199" w:rsidP="00360199">
      <w:pPr>
        <w:pStyle w:val="SingleTxt"/>
        <w:spacing w:after="0" w:line="120" w:lineRule="exact"/>
        <w:rPr>
          <w:sz w:val="10"/>
        </w:rPr>
      </w:pPr>
    </w:p>
    <w:p w14:paraId="5424352B" w14:textId="3B065DE5" w:rsidR="009C5C79" w:rsidRPr="00125FA8" w:rsidRDefault="009C5C79" w:rsidP="00170EB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kern w:val="14"/>
          <w:sz w:val="17"/>
          <w:szCs w:val="20"/>
        </w:rPr>
      </w:pPr>
      <w:r w:rsidRPr="00125FA8">
        <w:rPr>
          <w:noProof/>
          <w:w w:val="100"/>
        </w:rPr>
        <mc:AlternateContent>
          <mc:Choice Requires="wps">
            <w:drawing>
              <wp:anchor distT="0" distB="0" distL="114300" distR="114300" simplePos="0" relativeHeight="251659264" behindDoc="0" locked="0" layoutInCell="1" allowOverlap="1" wp14:anchorId="29EE3468" wp14:editId="40EDC87B">
                <wp:simplePos x="0" y="0"/>
                <wp:positionH relativeFrom="column">
                  <wp:posOffset>548640</wp:posOffset>
                </wp:positionH>
                <wp:positionV relativeFrom="paragraph">
                  <wp:posOffset>-12700</wp:posOffset>
                </wp:positionV>
                <wp:extent cx="914400" cy="0"/>
                <wp:effectExtent l="0" t="0" r="0" b="0"/>
                <wp:wrapNone/>
                <wp:docPr id="214257634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C21F9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125FA8">
        <w:rPr>
          <w:spacing w:val="5"/>
          <w:w w:val="104"/>
          <w:kern w:val="14"/>
          <w:sz w:val="17"/>
          <w:szCs w:val="20"/>
        </w:rPr>
        <w:tab/>
        <w:t>*</w:t>
      </w:r>
      <w:r w:rsidRPr="00125FA8">
        <w:rPr>
          <w:spacing w:val="5"/>
          <w:w w:val="104"/>
          <w:kern w:val="14"/>
          <w:sz w:val="17"/>
          <w:szCs w:val="20"/>
        </w:rPr>
        <w:tab/>
      </w:r>
      <w:r w:rsidR="00F8464F" w:rsidRPr="00125FA8">
        <w:rPr>
          <w:spacing w:val="5"/>
          <w:w w:val="104"/>
          <w:kern w:val="14"/>
          <w:sz w:val="17"/>
          <w:szCs w:val="20"/>
        </w:rPr>
        <w:t>La versión original del presente documento no fue objeto de revisión editorial oficial</w:t>
      </w:r>
      <w:r w:rsidR="0015367C" w:rsidRPr="00125FA8">
        <w:rPr>
          <w:spacing w:val="5"/>
          <w:w w:val="104"/>
          <w:kern w:val="14"/>
          <w:sz w:val="17"/>
          <w:szCs w:val="20"/>
        </w:rPr>
        <w:t>.</w:t>
      </w:r>
    </w:p>
    <w:p w14:paraId="278B3823" w14:textId="6FBA9765" w:rsidR="009C5C79" w:rsidRPr="00125FA8" w:rsidRDefault="00AD14DB" w:rsidP="00170EB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rPr>
      </w:pPr>
      <w:r w:rsidRPr="00125FA8">
        <w:rPr>
          <w:spacing w:val="5"/>
          <w:w w:val="104"/>
          <w:kern w:val="14"/>
          <w:sz w:val="17"/>
          <w:szCs w:val="20"/>
        </w:rPr>
        <w:tab/>
        <w:t>**</w:t>
      </w:r>
      <w:r w:rsidRPr="00125FA8">
        <w:rPr>
          <w:spacing w:val="5"/>
          <w:w w:val="104"/>
          <w:kern w:val="14"/>
          <w:sz w:val="17"/>
          <w:szCs w:val="20"/>
        </w:rPr>
        <w:tab/>
      </w:r>
      <w:r w:rsidR="00D6458E" w:rsidRPr="00125FA8">
        <w:rPr>
          <w:spacing w:val="5"/>
          <w:w w:val="104"/>
          <w:kern w:val="14"/>
          <w:sz w:val="17"/>
          <w:szCs w:val="20"/>
        </w:rPr>
        <w:t>Este documento se presentó fuera de plazo para su procesamiento por los servicios de conferencias debido a que se recibió tardíamente del Estado parte.</w:t>
      </w:r>
    </w:p>
    <w:p w14:paraId="0477FC4E" w14:textId="3707A309" w:rsidR="00AD14DB" w:rsidRPr="00125FA8" w:rsidRDefault="00AD14DB" w:rsidP="00170EB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10" w:lineRule="exact"/>
        <w:ind w:left="1267" w:right="1267" w:hanging="576"/>
        <w:rPr>
          <w:w w:val="104"/>
          <w:kern w:val="14"/>
          <w:sz w:val="17"/>
          <w:szCs w:val="20"/>
        </w:rPr>
      </w:pPr>
      <w:r w:rsidRPr="00125FA8">
        <w:rPr>
          <w:spacing w:val="5"/>
          <w:w w:val="104"/>
          <w:kern w:val="14"/>
          <w:sz w:val="17"/>
          <w:szCs w:val="20"/>
        </w:rPr>
        <w:tab/>
        <w:t>***</w:t>
      </w:r>
      <w:r w:rsidRPr="00125FA8">
        <w:rPr>
          <w:spacing w:val="5"/>
          <w:w w:val="104"/>
          <w:kern w:val="14"/>
          <w:sz w:val="17"/>
          <w:szCs w:val="20"/>
        </w:rPr>
        <w:tab/>
      </w:r>
      <w:r w:rsidR="0015367C" w:rsidRPr="00125FA8">
        <w:rPr>
          <w:spacing w:val="5"/>
          <w:w w:val="104"/>
          <w:kern w:val="14"/>
          <w:sz w:val="17"/>
          <w:szCs w:val="20"/>
        </w:rPr>
        <w:t xml:space="preserve">En este documento solo figuran los párrafos 1 a 140 de las respuestas, que son los únicos que se </w:t>
      </w:r>
      <w:r w:rsidR="0015367C" w:rsidRPr="00125FA8">
        <w:rPr>
          <w:w w:val="104"/>
          <w:kern w:val="14"/>
          <w:sz w:val="17"/>
          <w:szCs w:val="20"/>
        </w:rPr>
        <w:t>han traducido, en consonancia con las medidas vigentes de gestión de la liquidez. La versión original completa de la comunicación (en inglés) puede consultarse en la página web del Comité.</w:t>
      </w:r>
    </w:p>
    <w:p w14:paraId="7E929100" w14:textId="29B32DE9" w:rsidR="00555166" w:rsidRPr="00125FA8" w:rsidRDefault="00360199" w:rsidP="00AA6A2C">
      <w:pPr>
        <w:pStyle w:val="TitleHCH"/>
        <w:ind w:right="1260"/>
        <w:rPr>
          <w:b w:val="0"/>
          <w:bCs/>
          <w:sz w:val="20"/>
          <w:szCs w:val="20"/>
        </w:rPr>
      </w:pPr>
      <w:r w:rsidRPr="00125FA8">
        <w:tab/>
      </w:r>
      <w:r w:rsidRPr="00125FA8">
        <w:tab/>
        <w:t>Respuestas de Botswana a la lista de cuestiones y preguntas relativa a su quinto informe periódico</w:t>
      </w:r>
      <w:r w:rsidR="00AA6A2C" w:rsidRPr="00125FA8">
        <w:rPr>
          <w:b w:val="0"/>
          <w:bCs/>
          <w:sz w:val="20"/>
          <w:szCs w:val="20"/>
        </w:rPr>
        <w:t>*</w:t>
      </w:r>
      <w:r w:rsidR="00AA6A2C" w:rsidRPr="00125FA8">
        <w:rPr>
          <w:b w:val="0"/>
          <w:bCs/>
          <w:sz w:val="20"/>
          <w:szCs w:val="20"/>
          <w:vertAlign w:val="superscript"/>
        </w:rPr>
        <w:t xml:space="preserve">, </w:t>
      </w:r>
      <w:r w:rsidR="00AA6A2C" w:rsidRPr="00125FA8">
        <w:rPr>
          <w:b w:val="0"/>
          <w:bCs/>
          <w:sz w:val="20"/>
          <w:szCs w:val="20"/>
        </w:rPr>
        <w:t>**</w:t>
      </w:r>
      <w:r w:rsidR="00AA6A2C" w:rsidRPr="00125FA8">
        <w:rPr>
          <w:b w:val="0"/>
          <w:bCs/>
          <w:sz w:val="20"/>
          <w:szCs w:val="20"/>
          <w:vertAlign w:val="superscript"/>
        </w:rPr>
        <w:t xml:space="preserve">, </w:t>
      </w:r>
      <w:r w:rsidR="00AA6A2C" w:rsidRPr="00125FA8">
        <w:rPr>
          <w:b w:val="0"/>
          <w:bCs/>
          <w:sz w:val="20"/>
          <w:szCs w:val="20"/>
        </w:rPr>
        <w:t>***</w:t>
      </w:r>
    </w:p>
    <w:p w14:paraId="2B47E8A5" w14:textId="77777777" w:rsidR="00AA6A2C" w:rsidRPr="00125FA8" w:rsidRDefault="00AA6A2C" w:rsidP="00AA6A2C">
      <w:pPr>
        <w:pStyle w:val="SingleTxt"/>
        <w:spacing w:after="0" w:line="120" w:lineRule="exact"/>
        <w:rPr>
          <w:sz w:val="10"/>
        </w:rPr>
      </w:pPr>
    </w:p>
    <w:p w14:paraId="34D65F89" w14:textId="77777777" w:rsidR="00AA6A2C" w:rsidRPr="00125FA8" w:rsidRDefault="00AA6A2C" w:rsidP="00AA6A2C">
      <w:pPr>
        <w:pStyle w:val="SingleTxt"/>
        <w:spacing w:after="0" w:line="120" w:lineRule="exact"/>
        <w:rPr>
          <w:sz w:val="10"/>
        </w:rPr>
      </w:pPr>
    </w:p>
    <w:p w14:paraId="0CF2C847" w14:textId="462E4C3C" w:rsidR="00AA6A2C" w:rsidRPr="00125FA8" w:rsidRDefault="00AA6A2C" w:rsidP="00AA6A2C">
      <w:pPr>
        <w:pStyle w:val="SingleTxt"/>
        <w:jc w:val="right"/>
      </w:pPr>
      <w:r w:rsidRPr="00125FA8">
        <w:t>[Fecha de recepción: 28 de abril de 2025]</w:t>
      </w:r>
    </w:p>
    <w:p w14:paraId="57773142" w14:textId="12A9A3C5" w:rsidR="00AA6A2C" w:rsidRPr="00125FA8" w:rsidRDefault="00AA6A2C">
      <w:pPr>
        <w:suppressAutoHyphens w:val="0"/>
        <w:spacing w:after="160" w:line="259" w:lineRule="auto"/>
        <w:rPr>
          <w:kern w:val="14"/>
        </w:rPr>
      </w:pPr>
      <w:r w:rsidRPr="00125FA8">
        <w:br w:type="page"/>
      </w:r>
    </w:p>
    <w:p w14:paraId="51E35516" w14:textId="2A76F235" w:rsidR="00490AFA" w:rsidRPr="00125FA8" w:rsidRDefault="00490AFA" w:rsidP="006322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rPr>
      </w:pPr>
      <w:r w:rsidRPr="00125FA8">
        <w:lastRenderedPageBreak/>
        <w:tab/>
      </w:r>
      <w:r w:rsidRPr="00125FA8">
        <w:tab/>
        <w:t>Respuestas</w:t>
      </w:r>
      <w:r w:rsidRPr="00125FA8">
        <w:rPr>
          <w:b w:val="0"/>
          <w:bCs/>
          <w:sz w:val="20"/>
          <w:szCs w:val="20"/>
        </w:rPr>
        <w:t xml:space="preserve"> </w:t>
      </w:r>
      <w:r w:rsidRPr="00125FA8">
        <w:t>a</w:t>
      </w:r>
      <w:r w:rsidRPr="00125FA8">
        <w:rPr>
          <w:b w:val="0"/>
          <w:bCs/>
          <w:sz w:val="20"/>
          <w:szCs w:val="20"/>
        </w:rPr>
        <w:t xml:space="preserve"> </w:t>
      </w:r>
      <w:r w:rsidRPr="00125FA8">
        <w:t>la</w:t>
      </w:r>
      <w:r w:rsidRPr="00125FA8">
        <w:rPr>
          <w:b w:val="0"/>
          <w:bCs/>
          <w:sz w:val="24"/>
          <w:szCs w:val="24"/>
        </w:rPr>
        <w:t xml:space="preserve"> </w:t>
      </w:r>
      <w:r w:rsidRPr="00125FA8">
        <w:t>lista</w:t>
      </w:r>
      <w:r w:rsidRPr="00125FA8">
        <w:rPr>
          <w:b w:val="0"/>
          <w:bCs/>
          <w:sz w:val="24"/>
          <w:szCs w:val="24"/>
        </w:rPr>
        <w:t xml:space="preserve"> </w:t>
      </w:r>
      <w:r w:rsidRPr="00125FA8">
        <w:t>de</w:t>
      </w:r>
      <w:r w:rsidRPr="00125FA8">
        <w:rPr>
          <w:b w:val="0"/>
          <w:bCs/>
          <w:sz w:val="24"/>
          <w:szCs w:val="24"/>
        </w:rPr>
        <w:t xml:space="preserve"> </w:t>
      </w:r>
      <w:r w:rsidRPr="00125FA8">
        <w:t>cuestiones</w:t>
      </w:r>
      <w:r w:rsidRPr="00125FA8">
        <w:rPr>
          <w:b w:val="0"/>
          <w:bCs/>
          <w:sz w:val="24"/>
          <w:szCs w:val="24"/>
        </w:rPr>
        <w:t xml:space="preserve"> </w:t>
      </w:r>
      <w:r w:rsidRPr="00125FA8">
        <w:t>y</w:t>
      </w:r>
      <w:r w:rsidRPr="00125FA8">
        <w:rPr>
          <w:b w:val="0"/>
          <w:bCs/>
          <w:sz w:val="24"/>
          <w:szCs w:val="24"/>
        </w:rPr>
        <w:t xml:space="preserve"> </w:t>
      </w:r>
      <w:r w:rsidRPr="00125FA8">
        <w:t>preguntas</w:t>
      </w:r>
      <w:r w:rsidRPr="00125FA8">
        <w:rPr>
          <w:b w:val="0"/>
          <w:bCs/>
          <w:sz w:val="24"/>
          <w:szCs w:val="24"/>
        </w:rPr>
        <w:t xml:space="preserve"> </w:t>
      </w:r>
      <w:r w:rsidRPr="00125FA8">
        <w:rPr>
          <w:b w:val="0"/>
          <w:bCs/>
        </w:rPr>
        <w:t>(</w:t>
      </w:r>
      <w:hyperlink r:id="rId20" w:history="1">
        <w:r w:rsidRPr="00125FA8">
          <w:rPr>
            <w:rStyle w:val="Hyperlink"/>
          </w:rPr>
          <w:t>CEDAW/C/BWA/Q/5</w:t>
        </w:r>
      </w:hyperlink>
      <w:r w:rsidRPr="00125FA8">
        <w:rPr>
          <w:b w:val="0"/>
          <w:bCs/>
        </w:rPr>
        <w:t>)</w:t>
      </w:r>
    </w:p>
    <w:p w14:paraId="7FCB3558" w14:textId="77777777" w:rsidR="00632286" w:rsidRPr="00125FA8" w:rsidRDefault="00632286" w:rsidP="00632286">
      <w:pPr>
        <w:pStyle w:val="SingleTxt"/>
        <w:spacing w:after="0" w:line="120" w:lineRule="exact"/>
        <w:rPr>
          <w:sz w:val="10"/>
        </w:rPr>
      </w:pPr>
    </w:p>
    <w:p w14:paraId="3B39DB34" w14:textId="77777777" w:rsidR="00632286" w:rsidRPr="00125FA8" w:rsidRDefault="00632286" w:rsidP="00632286">
      <w:pPr>
        <w:pStyle w:val="SingleTxt"/>
        <w:spacing w:after="0" w:line="120" w:lineRule="exact"/>
        <w:rPr>
          <w:sz w:val="10"/>
        </w:rPr>
      </w:pPr>
    </w:p>
    <w:p w14:paraId="19441179" w14:textId="77777777" w:rsidR="00490AFA" w:rsidRPr="00125FA8" w:rsidRDefault="00490AFA" w:rsidP="006322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r>
      <w:r w:rsidRPr="00EB410A">
        <w:rPr>
          <w:spacing w:val="0"/>
        </w:rPr>
        <w:t>Derechos</w:t>
      </w:r>
      <w:r w:rsidRPr="00EB410A">
        <w:rPr>
          <w:b w:val="0"/>
          <w:bCs/>
          <w:spacing w:val="0"/>
        </w:rPr>
        <w:t xml:space="preserve"> </w:t>
      </w:r>
      <w:r w:rsidRPr="00EB410A">
        <w:rPr>
          <w:spacing w:val="0"/>
        </w:rPr>
        <w:t>de</w:t>
      </w:r>
      <w:r w:rsidRPr="00EB410A">
        <w:rPr>
          <w:b w:val="0"/>
          <w:bCs/>
          <w:spacing w:val="0"/>
        </w:rPr>
        <w:t xml:space="preserve"> </w:t>
      </w:r>
      <w:r w:rsidRPr="00EB410A">
        <w:rPr>
          <w:spacing w:val="0"/>
        </w:rPr>
        <w:t>las</w:t>
      </w:r>
      <w:r w:rsidRPr="00EB410A">
        <w:rPr>
          <w:b w:val="0"/>
          <w:bCs/>
          <w:spacing w:val="0"/>
        </w:rPr>
        <w:t xml:space="preserve"> </w:t>
      </w:r>
      <w:r w:rsidRPr="00EB410A">
        <w:rPr>
          <w:spacing w:val="0"/>
        </w:rPr>
        <w:t>mujeres</w:t>
      </w:r>
      <w:r w:rsidRPr="00EB410A">
        <w:rPr>
          <w:b w:val="0"/>
          <w:bCs/>
          <w:spacing w:val="0"/>
        </w:rPr>
        <w:t xml:space="preserve"> </w:t>
      </w:r>
      <w:r w:rsidRPr="00EB410A">
        <w:rPr>
          <w:spacing w:val="0"/>
        </w:rPr>
        <w:t>e</w:t>
      </w:r>
      <w:r w:rsidRPr="00EB410A">
        <w:rPr>
          <w:b w:val="0"/>
          <w:bCs/>
          <w:spacing w:val="0"/>
        </w:rPr>
        <w:t xml:space="preserve"> </w:t>
      </w:r>
      <w:r w:rsidRPr="00EB410A">
        <w:rPr>
          <w:spacing w:val="0"/>
        </w:rPr>
        <w:t>igualdad</w:t>
      </w:r>
      <w:r w:rsidRPr="00EB410A">
        <w:rPr>
          <w:b w:val="0"/>
          <w:bCs/>
          <w:spacing w:val="0"/>
        </w:rPr>
        <w:t xml:space="preserve"> </w:t>
      </w:r>
      <w:r w:rsidRPr="00EB410A">
        <w:rPr>
          <w:spacing w:val="0"/>
        </w:rPr>
        <w:t>de</w:t>
      </w:r>
      <w:r w:rsidRPr="00EB410A">
        <w:rPr>
          <w:b w:val="0"/>
          <w:bCs/>
          <w:spacing w:val="0"/>
        </w:rPr>
        <w:t xml:space="preserve"> </w:t>
      </w:r>
      <w:r w:rsidRPr="00EB410A">
        <w:rPr>
          <w:spacing w:val="0"/>
        </w:rPr>
        <w:t>género</w:t>
      </w:r>
      <w:r w:rsidRPr="00EB410A">
        <w:rPr>
          <w:b w:val="0"/>
          <w:bCs/>
          <w:spacing w:val="0"/>
        </w:rPr>
        <w:t xml:space="preserve"> </w:t>
      </w:r>
      <w:r w:rsidRPr="00EB410A">
        <w:rPr>
          <w:spacing w:val="0"/>
        </w:rPr>
        <w:t>en</w:t>
      </w:r>
      <w:r w:rsidRPr="00EB410A">
        <w:rPr>
          <w:b w:val="0"/>
          <w:bCs/>
          <w:spacing w:val="0"/>
        </w:rPr>
        <w:t xml:space="preserve"> </w:t>
      </w:r>
      <w:r w:rsidRPr="00EB410A">
        <w:rPr>
          <w:spacing w:val="0"/>
        </w:rPr>
        <w:t>relación</w:t>
      </w:r>
      <w:r w:rsidRPr="00EB410A">
        <w:rPr>
          <w:b w:val="0"/>
          <w:bCs/>
          <w:spacing w:val="0"/>
        </w:rPr>
        <w:t xml:space="preserve"> </w:t>
      </w:r>
      <w:r w:rsidRPr="00EB410A">
        <w:rPr>
          <w:spacing w:val="0"/>
        </w:rPr>
        <w:t>con</w:t>
      </w:r>
      <w:r w:rsidRPr="00EB410A">
        <w:rPr>
          <w:b w:val="0"/>
          <w:bCs/>
          <w:spacing w:val="0"/>
        </w:rPr>
        <w:t xml:space="preserve"> </w:t>
      </w:r>
      <w:r w:rsidRPr="00EB410A">
        <w:rPr>
          <w:spacing w:val="0"/>
        </w:rPr>
        <w:t>la</w:t>
      </w:r>
      <w:r w:rsidRPr="00125FA8">
        <w:t xml:space="preserve"> pandemia</w:t>
      </w:r>
      <w:r w:rsidRPr="00125FA8">
        <w:rPr>
          <w:b w:val="0"/>
          <w:bCs/>
        </w:rPr>
        <w:t xml:space="preserve">, </w:t>
      </w:r>
      <w:r w:rsidRPr="00125FA8">
        <w:t>las iniciativas de recuperación y las crisis mundiales</w:t>
      </w:r>
    </w:p>
    <w:p w14:paraId="3C1141C7" w14:textId="77777777" w:rsidR="00632286" w:rsidRPr="00125FA8" w:rsidRDefault="00632286" w:rsidP="00632286">
      <w:pPr>
        <w:pStyle w:val="SingleTxt"/>
        <w:spacing w:after="0" w:line="120" w:lineRule="exact"/>
        <w:rPr>
          <w:sz w:val="10"/>
        </w:rPr>
      </w:pPr>
    </w:p>
    <w:p w14:paraId="345E7221" w14:textId="77777777" w:rsidR="00632286" w:rsidRPr="00125FA8" w:rsidRDefault="00632286" w:rsidP="00632286">
      <w:pPr>
        <w:pStyle w:val="SingleTxt"/>
        <w:spacing w:after="0" w:line="120" w:lineRule="exact"/>
        <w:rPr>
          <w:sz w:val="10"/>
        </w:rPr>
      </w:pPr>
    </w:p>
    <w:p w14:paraId="635F18AF" w14:textId="78A8D92F" w:rsidR="00490AFA" w:rsidRPr="00125FA8" w:rsidRDefault="00490AFA" w:rsidP="006322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w:t>
      </w:r>
    </w:p>
    <w:p w14:paraId="47A3E558" w14:textId="77777777" w:rsidR="00632286" w:rsidRPr="00125FA8" w:rsidRDefault="00632286" w:rsidP="00632286">
      <w:pPr>
        <w:pStyle w:val="SingleTxt"/>
        <w:spacing w:after="0" w:line="120" w:lineRule="exact"/>
        <w:rPr>
          <w:sz w:val="10"/>
        </w:rPr>
      </w:pPr>
    </w:p>
    <w:p w14:paraId="34B7ED56" w14:textId="77777777" w:rsidR="00632286" w:rsidRPr="00125FA8" w:rsidRDefault="00632286" w:rsidP="00632286">
      <w:pPr>
        <w:pStyle w:val="SingleTxt"/>
        <w:spacing w:after="0" w:line="120" w:lineRule="exact"/>
        <w:rPr>
          <w:sz w:val="10"/>
        </w:rPr>
      </w:pPr>
    </w:p>
    <w:p w14:paraId="5242E796" w14:textId="4029BFB5" w:rsidR="00490AFA" w:rsidRPr="00170EBE" w:rsidRDefault="00490AFA" w:rsidP="00636B5F">
      <w:pPr>
        <w:pStyle w:val="SingleTxt"/>
        <w:numPr>
          <w:ilvl w:val="0"/>
          <w:numId w:val="26"/>
        </w:numPr>
        <w:ind w:left="1267"/>
        <w:rPr>
          <w:spacing w:val="6"/>
        </w:rPr>
      </w:pPr>
      <w:r w:rsidRPr="00170EBE">
        <w:rPr>
          <w:spacing w:val="6"/>
        </w:rPr>
        <w:t>Aunque las intervenciones contra la COVID-19 no incorporaron específicamente la perspectiva de género, se creó un Comité multisectorial para orientar sobre cuestiones concretas como las que afectan a los niños, las mujeres y las personas con discapacidad. Se concedieron ayudas económicas mediante subvenciones a microempresas y pequeñas y medianas empresas (mipymes), que también beneficiaron a las mujeres del sector informal. Además, el Gobierno proporcionó canastas de alimentos a familias desfavorecidas.</w:t>
      </w:r>
    </w:p>
    <w:p w14:paraId="6BBB428D" w14:textId="5893919F" w:rsidR="00490AFA" w:rsidRPr="00490AFA" w:rsidRDefault="00490AFA" w:rsidP="00636B5F">
      <w:pPr>
        <w:pStyle w:val="SingleTxt"/>
        <w:numPr>
          <w:ilvl w:val="0"/>
          <w:numId w:val="26"/>
        </w:numPr>
        <w:ind w:left="1267"/>
      </w:pPr>
      <w:r w:rsidRPr="00490AFA">
        <w:t>Las organizaciones comunitarias movilizaron donaciones y contribuciones destinadas a las madres primerizas. A los minoristas se les concedió permiso para abrir la sección infantil solo durante una semana. También se presentó la iniciativa Strengthening and Utilizing Response Groups for Emergencies (SURGE) (iniciativa de refuerzo y utilización de los grupos de respuesta a emergencias) de la Organización Mundial de la Salud (OMS). Se aumentó el personal de seguridad en los puntos de servicio y, a largo plazo, se creó empleo para el personal de seguridad, salud y medio ambiente que sigue trabajando en el Gobierno y el sector privado.</w:t>
      </w:r>
    </w:p>
    <w:p w14:paraId="09F50BFE" w14:textId="304658CE" w:rsidR="00490AFA" w:rsidRPr="00490AFA" w:rsidRDefault="00490AFA" w:rsidP="00636B5F">
      <w:pPr>
        <w:pStyle w:val="SingleTxt"/>
        <w:numPr>
          <w:ilvl w:val="0"/>
          <w:numId w:val="26"/>
        </w:numPr>
        <w:ind w:left="1267"/>
      </w:pPr>
      <w:r w:rsidRPr="00490AFA">
        <w:t>La respuesta a la COVID-19 también introdujo plataformas virtuales para la educación, así como en el lugar de trabajo. También se celebraron reuniones en línea y se implantó el trabajo por turnos en una fase posterior de la pandemia. Asimismo, el sector de la salud instauró programas de telesalud para los trabajadores de la salud y el público en general. Además, se establecieron números gratuitos y líneas de ayuda de proveedores de servicios como el Servicio de Policía de Botswana, el Ministerio de Justicia y organizaciones de la sociedad civil que trabajan en el ámbito de la violencia de género. No obstante, el sector de la salud contrató a enfermeras jubiladas y a personal temporal de respuesta a emergencias para aumentar el personal existente y satisfacer la demanda de servicios durante el confinamiento. El personal adicional prestó servicios de detección y otros servicios esenciales y, además, las mujeres y las niñas recibieron productos básicos más duraderos.</w:t>
      </w:r>
    </w:p>
    <w:p w14:paraId="18D9D0FD" w14:textId="15C99AB9" w:rsidR="00490AFA" w:rsidRPr="00490AFA" w:rsidRDefault="00490AFA" w:rsidP="00636B5F">
      <w:pPr>
        <w:pStyle w:val="SingleTxt"/>
        <w:numPr>
          <w:ilvl w:val="0"/>
          <w:numId w:val="26"/>
        </w:numPr>
        <w:ind w:left="1267"/>
      </w:pPr>
      <w:r w:rsidRPr="00490AFA">
        <w:t>Botswana elaboró en 2024 el Plan Nacional de Operaciones de Respuesta a Emergencias Sanitarias (NHEROP, por sus siglas en inglés) para ayudar en futuras emergencias. También se creó el Comité Interministerial sobre la Violencia de Género para abordar específicamente esta violencia. La serie de sesiones de nivel ministerial cuenta con el apoyo de un equipo técnico multisectorial.</w:t>
      </w:r>
    </w:p>
    <w:p w14:paraId="773338D9" w14:textId="72417469" w:rsidR="00490AFA" w:rsidRPr="00490AFA" w:rsidRDefault="00490AFA" w:rsidP="00636B5F">
      <w:pPr>
        <w:pStyle w:val="SingleTxt"/>
        <w:numPr>
          <w:ilvl w:val="0"/>
          <w:numId w:val="26"/>
        </w:numPr>
        <w:ind w:left="1267"/>
      </w:pPr>
      <w:r w:rsidRPr="00490AFA">
        <w:t>Para hacer frente a la pérdida de puestos de trabajo y las carencias en materia de revitalización empresarial, el Gobierno introdujo programas financieros como Chema Chema y Temo y Thuo Letlotlo para ayudar a las mujeres a crear empresas. Además, se renovaron programas sociales como Ipelegeng para admitir a más beneficiarios, en su mayoría mujeres.</w:t>
      </w:r>
    </w:p>
    <w:p w14:paraId="0318CCDB" w14:textId="541BCBBE" w:rsidR="00490AFA" w:rsidRPr="00490AFA" w:rsidRDefault="00490AFA" w:rsidP="00636B5F">
      <w:pPr>
        <w:pStyle w:val="SingleTxt"/>
        <w:numPr>
          <w:ilvl w:val="0"/>
          <w:numId w:val="26"/>
        </w:numPr>
        <w:ind w:left="1267"/>
      </w:pPr>
      <w:r w:rsidRPr="00490AFA">
        <w:t xml:space="preserve">Además del Plan de Respuesta a la COVID-19, que financió la respuesta inmediata a la pandemia, el Gobierno aprobó un presupuesto de 1.300 millones de pulas para el Mecanismo de Apoyo a la Industria en relación con la COVID-19 (ISF, por sus siglas en inglés) en septiembre de 2020 (Banco Nacional de Desarrollo, </w:t>
      </w:r>
      <w:r w:rsidRPr="00490AFA">
        <w:lastRenderedPageBreak/>
        <w:t>2022b). Se asignaron diversas cantidades a planes de apoyo sectoriales para ayudar a las empresas afectadas.</w:t>
      </w:r>
    </w:p>
    <w:p w14:paraId="69778FF3" w14:textId="456213B4" w:rsidR="00490AFA" w:rsidRPr="00125FA8" w:rsidRDefault="00490AFA" w:rsidP="00636B5F">
      <w:pPr>
        <w:pStyle w:val="SingleTxt"/>
        <w:numPr>
          <w:ilvl w:val="0"/>
          <w:numId w:val="26"/>
        </w:numPr>
        <w:ind w:left="1267"/>
      </w:pPr>
      <w:r w:rsidRPr="00490AFA">
        <w:t>Gracias a las enseñanzas extraídas de la COVID-19, el Gobierno sigue esforzándose por lograr una representación igualitaria de las mujeres en diversas estructuras nacionales y locales.</w:t>
      </w:r>
    </w:p>
    <w:p w14:paraId="73B6EA8C" w14:textId="77777777" w:rsidR="002709CF" w:rsidRPr="00125FA8" w:rsidRDefault="002709CF" w:rsidP="002709CF">
      <w:pPr>
        <w:pStyle w:val="SingleTxt"/>
        <w:spacing w:after="0" w:line="120" w:lineRule="exact"/>
        <w:rPr>
          <w:sz w:val="10"/>
        </w:rPr>
      </w:pPr>
    </w:p>
    <w:p w14:paraId="7B377582" w14:textId="77777777" w:rsidR="002709CF" w:rsidRPr="00125FA8" w:rsidRDefault="002709CF" w:rsidP="002709CF">
      <w:pPr>
        <w:pStyle w:val="SingleTxt"/>
        <w:spacing w:after="0" w:line="120" w:lineRule="exact"/>
        <w:rPr>
          <w:sz w:val="10"/>
        </w:rPr>
      </w:pPr>
    </w:p>
    <w:p w14:paraId="2ADA456E" w14:textId="77777777" w:rsidR="00490AFA" w:rsidRPr="00125FA8" w:rsidRDefault="00490AFA" w:rsidP="002709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Visibilidad y estatuto jurídico de la Convención</w:t>
      </w:r>
    </w:p>
    <w:p w14:paraId="466A9A1D" w14:textId="77777777" w:rsidR="002709CF" w:rsidRPr="00125FA8" w:rsidRDefault="002709CF" w:rsidP="002709CF">
      <w:pPr>
        <w:pStyle w:val="SingleTxt"/>
        <w:spacing w:after="0" w:line="120" w:lineRule="exact"/>
        <w:rPr>
          <w:sz w:val="10"/>
        </w:rPr>
      </w:pPr>
    </w:p>
    <w:p w14:paraId="5EA485A5" w14:textId="77777777" w:rsidR="002709CF" w:rsidRPr="00125FA8" w:rsidRDefault="002709CF" w:rsidP="002709CF">
      <w:pPr>
        <w:pStyle w:val="SingleTxt"/>
        <w:spacing w:after="0" w:line="120" w:lineRule="exact"/>
        <w:rPr>
          <w:sz w:val="10"/>
        </w:rPr>
      </w:pPr>
    </w:p>
    <w:p w14:paraId="12A669E0" w14:textId="187724A8" w:rsidR="00490AFA" w:rsidRPr="00125FA8" w:rsidRDefault="00490AFA" w:rsidP="002709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2 a)</w:t>
      </w:r>
    </w:p>
    <w:p w14:paraId="732274C5" w14:textId="77777777" w:rsidR="002709CF" w:rsidRPr="00125FA8" w:rsidRDefault="002709CF" w:rsidP="002709CF">
      <w:pPr>
        <w:pStyle w:val="SingleTxt"/>
        <w:spacing w:after="0" w:line="120" w:lineRule="exact"/>
        <w:rPr>
          <w:sz w:val="10"/>
        </w:rPr>
      </w:pPr>
    </w:p>
    <w:p w14:paraId="347680A5" w14:textId="77777777" w:rsidR="002709CF" w:rsidRPr="00125FA8" w:rsidRDefault="002709CF" w:rsidP="002709CF">
      <w:pPr>
        <w:pStyle w:val="SingleTxt"/>
        <w:spacing w:after="0" w:line="120" w:lineRule="exact"/>
        <w:rPr>
          <w:sz w:val="10"/>
        </w:rPr>
      </w:pPr>
    </w:p>
    <w:p w14:paraId="214CEDDA" w14:textId="63EEEB90" w:rsidR="002709CF" w:rsidRPr="00170EBE" w:rsidRDefault="00490AFA" w:rsidP="00636B5F">
      <w:pPr>
        <w:pStyle w:val="SingleTxt"/>
        <w:numPr>
          <w:ilvl w:val="0"/>
          <w:numId w:val="26"/>
        </w:numPr>
        <w:ind w:left="1267"/>
        <w:rPr>
          <w:spacing w:val="6"/>
        </w:rPr>
      </w:pPr>
      <w:r w:rsidRPr="00170EBE">
        <w:rPr>
          <w:spacing w:val="6"/>
        </w:rPr>
        <w:t>El Gobierno ha intensificado su labor para reforzar los conocimientos sobre los derechos de las mujeres y las niñas previstos en la Convención y el Protocolo Facultativo mediante diálogos comunitarios continuos en múltiples medios y foros tradicionales, así como en los medios sociales, empleando un lenguaje simplificado para transmitir las disposiciones de la Convención y su Protocolo Facultativo. Esta educación pública, aunque se dirige a la población en general, se centra especialmente en las mujeres y las jóvenes, sobre todo las que residen en zonas rurales y de difícil acceso.</w:t>
      </w:r>
    </w:p>
    <w:p w14:paraId="153872D8" w14:textId="1F4D9951" w:rsidR="00490AFA" w:rsidRPr="00125FA8" w:rsidRDefault="00490AFA" w:rsidP="002709CF">
      <w:pPr>
        <w:pStyle w:val="SingleTxt"/>
        <w:spacing w:after="0" w:line="120" w:lineRule="exact"/>
        <w:rPr>
          <w:sz w:val="10"/>
        </w:rPr>
      </w:pPr>
    </w:p>
    <w:p w14:paraId="261C9FCD" w14:textId="77777777" w:rsidR="002709CF" w:rsidRPr="00125FA8" w:rsidRDefault="002709CF" w:rsidP="002709CF">
      <w:pPr>
        <w:pStyle w:val="SingleTxt"/>
        <w:spacing w:after="0" w:line="120" w:lineRule="exact"/>
        <w:rPr>
          <w:sz w:val="10"/>
        </w:rPr>
      </w:pPr>
    </w:p>
    <w:p w14:paraId="319A9259" w14:textId="2EB846AB" w:rsidR="00490AFA" w:rsidRPr="00125FA8" w:rsidRDefault="00490AFA" w:rsidP="002709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2 b)</w:t>
      </w:r>
      <w:bookmarkStart w:id="1" w:name="_Hlk196754564"/>
      <w:bookmarkEnd w:id="1"/>
    </w:p>
    <w:p w14:paraId="1949E48C" w14:textId="77777777" w:rsidR="002709CF" w:rsidRPr="00125FA8" w:rsidRDefault="002709CF" w:rsidP="002709CF">
      <w:pPr>
        <w:pStyle w:val="SingleTxt"/>
        <w:spacing w:after="0" w:line="120" w:lineRule="exact"/>
        <w:rPr>
          <w:sz w:val="10"/>
        </w:rPr>
      </w:pPr>
    </w:p>
    <w:p w14:paraId="7BF79E19" w14:textId="77777777" w:rsidR="002709CF" w:rsidRPr="00125FA8" w:rsidRDefault="002709CF" w:rsidP="002709CF">
      <w:pPr>
        <w:pStyle w:val="SingleTxt"/>
        <w:spacing w:after="0" w:line="120" w:lineRule="exact"/>
        <w:rPr>
          <w:sz w:val="10"/>
        </w:rPr>
      </w:pPr>
    </w:p>
    <w:p w14:paraId="11ED3DEC" w14:textId="653056C2" w:rsidR="00490AFA" w:rsidRPr="00490AFA" w:rsidRDefault="00490AFA" w:rsidP="00636B5F">
      <w:pPr>
        <w:pStyle w:val="SingleTxt"/>
        <w:numPr>
          <w:ilvl w:val="0"/>
          <w:numId w:val="26"/>
        </w:numPr>
        <w:ind w:left="1267"/>
      </w:pPr>
      <w:r w:rsidRPr="00490AFA">
        <w:t>El Ministerio de Justicia, en colaboración con el UNICEF y la Oficina del Alto Comisionado Británico en Botswana, organizó un taller de capacitación de cinco días en julio de 2024 para funcionarios judiciales, el Defensor del Pueblo, académicos, profesores, la sociedad civil, fiscales, agentes de policía y trabajadores sociales que se ocupan de casos que afectan a los niños. La capacitación formaba parte de la hoja de ruta nacional sobre un sistema de justicia adaptado a la infancia y refleja los compromisos mundiales con el sistema de justicia juvenil.</w:t>
      </w:r>
    </w:p>
    <w:p w14:paraId="556D3530" w14:textId="07E521D0" w:rsidR="00490AFA" w:rsidRPr="00170EBE" w:rsidRDefault="00490AFA" w:rsidP="00636B5F">
      <w:pPr>
        <w:pStyle w:val="SingleTxt"/>
        <w:numPr>
          <w:ilvl w:val="0"/>
          <w:numId w:val="26"/>
        </w:numPr>
        <w:ind w:left="1267"/>
        <w:rPr>
          <w:spacing w:val="6"/>
        </w:rPr>
      </w:pPr>
      <w:r w:rsidRPr="00490AFA">
        <w:t xml:space="preserve">El Gobierno de Botswana, en colaboración con la Organización Internacional para las Migraciones (OIM), capacitó a 37 funcionarios de inmigración en materia de </w:t>
      </w:r>
      <w:r w:rsidRPr="00170EBE">
        <w:rPr>
          <w:spacing w:val="6"/>
        </w:rPr>
        <w:t xml:space="preserve">lucha contra la trata de personas. El Servicio de Policía de Botswana sigue formando a los agentes en servicio en una amplia gama de enfoques de incorporación de la perspectiva de género, con especial atención a los ámbitos que pueden servir </w:t>
      </w:r>
      <w:r w:rsidR="000F4C4F" w:rsidRPr="00170EBE">
        <w:rPr>
          <w:spacing w:val="6"/>
        </w:rPr>
        <w:t>de </w:t>
      </w:r>
      <w:r w:rsidRPr="00170EBE">
        <w:rPr>
          <w:spacing w:val="6"/>
        </w:rPr>
        <w:t xml:space="preserve">referencia para la incorporación de esa perspectiva y su pertinencia para los marcos jurídicos e internacionales. En las actividades de capacitación participaron </w:t>
      </w:r>
      <w:r w:rsidR="000F4C4F" w:rsidRPr="00170EBE">
        <w:rPr>
          <w:spacing w:val="6"/>
        </w:rPr>
        <w:t>50 </w:t>
      </w:r>
      <w:r w:rsidRPr="00170EBE">
        <w:rPr>
          <w:spacing w:val="6"/>
        </w:rPr>
        <w:t>comisarios superiores y comisarios adjuntos.</w:t>
      </w:r>
    </w:p>
    <w:p w14:paraId="71F44D5C" w14:textId="77777777" w:rsidR="002709CF" w:rsidRPr="00125FA8" w:rsidRDefault="002709CF" w:rsidP="002709CF">
      <w:pPr>
        <w:pStyle w:val="SingleTxt"/>
        <w:spacing w:after="0" w:line="120" w:lineRule="exact"/>
        <w:rPr>
          <w:sz w:val="10"/>
        </w:rPr>
      </w:pPr>
    </w:p>
    <w:p w14:paraId="371FDD48" w14:textId="77777777" w:rsidR="002709CF" w:rsidRPr="00125FA8" w:rsidRDefault="002709CF" w:rsidP="002709CF">
      <w:pPr>
        <w:pStyle w:val="SingleTxt"/>
        <w:spacing w:after="0" w:line="120" w:lineRule="exact"/>
        <w:rPr>
          <w:sz w:val="10"/>
        </w:rPr>
      </w:pPr>
    </w:p>
    <w:p w14:paraId="599E63F4" w14:textId="48EDB2E9" w:rsidR="00490AFA" w:rsidRPr="00125FA8" w:rsidRDefault="00490AFA" w:rsidP="002709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2 c)</w:t>
      </w:r>
    </w:p>
    <w:p w14:paraId="37813EA9" w14:textId="77777777" w:rsidR="002709CF" w:rsidRPr="00125FA8" w:rsidRDefault="002709CF" w:rsidP="002709CF">
      <w:pPr>
        <w:pStyle w:val="SingleTxt"/>
        <w:spacing w:after="0" w:line="120" w:lineRule="exact"/>
        <w:rPr>
          <w:sz w:val="10"/>
        </w:rPr>
      </w:pPr>
    </w:p>
    <w:p w14:paraId="6091DC9E" w14:textId="77777777" w:rsidR="002709CF" w:rsidRPr="00125FA8" w:rsidRDefault="002709CF" w:rsidP="002709CF">
      <w:pPr>
        <w:pStyle w:val="SingleTxt"/>
        <w:spacing w:after="0" w:line="120" w:lineRule="exact"/>
        <w:rPr>
          <w:sz w:val="10"/>
        </w:rPr>
      </w:pPr>
    </w:p>
    <w:p w14:paraId="2C6D6899" w14:textId="7C4EE447" w:rsidR="00490AFA" w:rsidRPr="00125FA8" w:rsidRDefault="00490AFA" w:rsidP="00636B5F">
      <w:pPr>
        <w:pStyle w:val="SingleTxt"/>
        <w:numPr>
          <w:ilvl w:val="0"/>
          <w:numId w:val="26"/>
        </w:numPr>
        <w:ind w:left="1267"/>
      </w:pPr>
      <w:r w:rsidRPr="00490AFA">
        <w:t xml:space="preserve">En las causas juzgadas por el tribunal regional, los jueces se han remitido a la Convención para reforzar los argumentos contra la violencia de género y han hecho hincapié en las obligaciones del Estado de proteger a las mujeres y garantizar la justicia en casos de violencia y discriminación. La causa </w:t>
      </w:r>
      <w:r w:rsidRPr="00490AFA">
        <w:rPr>
          <w:i/>
          <w:iCs/>
        </w:rPr>
        <w:t>Lameck c. Lameck</w:t>
      </w:r>
      <w:r w:rsidRPr="00490AFA">
        <w:t xml:space="preserve"> (2017) demostró que el sistema de justicia de Botswana sí se remite a la Convención. </w:t>
      </w:r>
      <w:r w:rsidR="000F4C4F" w:rsidRPr="00490AFA">
        <w:t>Se</w:t>
      </w:r>
      <w:r w:rsidR="000F4C4F">
        <w:t> </w:t>
      </w:r>
      <w:r w:rsidRPr="00490AFA">
        <w:t>trataba de un caso de divorcio en el que se planteaban cuestiones de división de bienes y protección de los derechos de las mujeres en el matrimonio. Al dictar sentencia, el tribunal reconoció los principios de</w:t>
      </w:r>
      <w:r w:rsidRPr="00490AFA">
        <w:rPr>
          <w:b/>
          <w:bCs/>
        </w:rPr>
        <w:t xml:space="preserve"> </w:t>
      </w:r>
      <w:r w:rsidRPr="00490AFA">
        <w:t>la Convención en su decisión y destacó la necesidad de un trato equitativo en cuanto a los derechos relativos a los bienes gananciales y de realizar un análisis de las circunstancias de ambas partes sensible a las cuestiones de género.</w:t>
      </w:r>
      <w:bookmarkStart w:id="2" w:name="m_-8660745758174075591_pgfId-1113046"/>
      <w:bookmarkStart w:id="3" w:name="m_-8660745758174075591_pgfId-1113047"/>
      <w:bookmarkStart w:id="4" w:name="m_-8660745758174075591_pgfId-1113572"/>
      <w:bookmarkStart w:id="5" w:name="m_-8660745758174075591_pgfId-1113576"/>
      <w:bookmarkEnd w:id="2"/>
      <w:bookmarkEnd w:id="3"/>
      <w:bookmarkEnd w:id="4"/>
      <w:bookmarkEnd w:id="5"/>
    </w:p>
    <w:p w14:paraId="6208008D" w14:textId="77777777" w:rsidR="007A4A30" w:rsidRPr="00125FA8" w:rsidRDefault="007A4A30" w:rsidP="007A4A30">
      <w:pPr>
        <w:pStyle w:val="SingleTxt"/>
        <w:spacing w:after="0" w:line="120" w:lineRule="exact"/>
        <w:rPr>
          <w:sz w:val="10"/>
        </w:rPr>
      </w:pPr>
    </w:p>
    <w:p w14:paraId="61F4465A" w14:textId="77777777" w:rsidR="007A4A30" w:rsidRPr="00125FA8" w:rsidRDefault="007A4A30" w:rsidP="007A4A30">
      <w:pPr>
        <w:pStyle w:val="SingleTxt"/>
        <w:spacing w:after="0" w:line="120" w:lineRule="exact"/>
        <w:rPr>
          <w:sz w:val="10"/>
        </w:rPr>
      </w:pPr>
    </w:p>
    <w:p w14:paraId="7C529111" w14:textId="77777777" w:rsidR="00490AFA" w:rsidRPr="00125FA8" w:rsidRDefault="00490AFA" w:rsidP="007A4A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lastRenderedPageBreak/>
        <w:tab/>
      </w:r>
      <w:r w:rsidRPr="00125FA8">
        <w:tab/>
        <w:t>Definición de discriminación</w:t>
      </w:r>
    </w:p>
    <w:p w14:paraId="242AFF2B" w14:textId="77777777" w:rsidR="007A4A30" w:rsidRPr="00125FA8" w:rsidRDefault="007A4A30" w:rsidP="007A4A30">
      <w:pPr>
        <w:pStyle w:val="SingleTxt"/>
        <w:spacing w:after="0" w:line="120" w:lineRule="exact"/>
        <w:rPr>
          <w:sz w:val="10"/>
        </w:rPr>
      </w:pPr>
    </w:p>
    <w:p w14:paraId="32CC5C1A" w14:textId="77777777" w:rsidR="007A4A30" w:rsidRPr="00125FA8" w:rsidRDefault="007A4A30" w:rsidP="007A4A30">
      <w:pPr>
        <w:pStyle w:val="SingleTxt"/>
        <w:spacing w:after="0" w:line="120" w:lineRule="exact"/>
        <w:rPr>
          <w:sz w:val="10"/>
        </w:rPr>
      </w:pPr>
    </w:p>
    <w:p w14:paraId="06943111" w14:textId="568E4018" w:rsidR="00490AFA" w:rsidRPr="00125FA8" w:rsidRDefault="00490AFA" w:rsidP="007A4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3</w:t>
      </w:r>
    </w:p>
    <w:p w14:paraId="4CED2007" w14:textId="77777777" w:rsidR="007A4A30" w:rsidRPr="00125FA8" w:rsidRDefault="007A4A30" w:rsidP="007A4A30">
      <w:pPr>
        <w:pStyle w:val="SingleTxt"/>
        <w:spacing w:after="0" w:line="120" w:lineRule="exact"/>
        <w:rPr>
          <w:sz w:val="10"/>
        </w:rPr>
      </w:pPr>
    </w:p>
    <w:p w14:paraId="558A75BD" w14:textId="77777777" w:rsidR="007A4A30" w:rsidRPr="00125FA8" w:rsidRDefault="007A4A30" w:rsidP="007A4A30">
      <w:pPr>
        <w:pStyle w:val="SingleTxt"/>
        <w:spacing w:after="0" w:line="120" w:lineRule="exact"/>
        <w:rPr>
          <w:sz w:val="10"/>
        </w:rPr>
      </w:pPr>
    </w:p>
    <w:p w14:paraId="7E2AFE43" w14:textId="4D81D832" w:rsidR="00490AFA" w:rsidRPr="00125FA8" w:rsidRDefault="00490AFA" w:rsidP="00636B5F">
      <w:pPr>
        <w:pStyle w:val="SingleTxt"/>
        <w:numPr>
          <w:ilvl w:val="0"/>
          <w:numId w:val="26"/>
        </w:numPr>
        <w:ind w:left="1267"/>
      </w:pPr>
      <w:r w:rsidRPr="00490AFA">
        <w:t>La legislación laboral de Botswana prohíbe la discriminación por numerosos motivos, como la raza, el color, el sexo, la discapacidad y la religión. La Ley de Discapacidad de 2024 prohíbe la discriminación de las personas por motivos de discapacidad y promueve la igualdad de oportunidades para las personas con discapacidad en el trabajo, el alojamiento, la educación y el acceso a bienes, servicios, instalaciones y terrenos.</w:t>
      </w:r>
    </w:p>
    <w:p w14:paraId="0F6CCAD5" w14:textId="77777777" w:rsidR="002F5867" w:rsidRPr="00125FA8" w:rsidRDefault="002F5867" w:rsidP="002F5867">
      <w:pPr>
        <w:pStyle w:val="SingleTxt"/>
        <w:spacing w:after="0" w:line="120" w:lineRule="exact"/>
        <w:rPr>
          <w:sz w:val="10"/>
        </w:rPr>
      </w:pPr>
    </w:p>
    <w:p w14:paraId="3C19121A" w14:textId="77777777" w:rsidR="002F5867" w:rsidRPr="00125FA8" w:rsidRDefault="002F5867" w:rsidP="002F5867">
      <w:pPr>
        <w:pStyle w:val="SingleTxt"/>
        <w:spacing w:after="0" w:line="120" w:lineRule="exact"/>
        <w:rPr>
          <w:sz w:val="10"/>
        </w:rPr>
      </w:pPr>
    </w:p>
    <w:p w14:paraId="52694D2B" w14:textId="77777777" w:rsidR="00490AFA" w:rsidRPr="00125FA8" w:rsidRDefault="00490AFA" w:rsidP="00E06C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Acceso a la justicia</w:t>
      </w:r>
    </w:p>
    <w:p w14:paraId="33ECC161" w14:textId="77777777" w:rsidR="00E06CF4" w:rsidRPr="00125FA8" w:rsidRDefault="00E06CF4" w:rsidP="00E06CF4">
      <w:pPr>
        <w:pStyle w:val="SingleTxt"/>
        <w:spacing w:after="0" w:line="120" w:lineRule="exact"/>
        <w:rPr>
          <w:sz w:val="10"/>
        </w:rPr>
      </w:pPr>
    </w:p>
    <w:p w14:paraId="0FF634E5" w14:textId="77777777" w:rsidR="00E06CF4" w:rsidRPr="00125FA8" w:rsidRDefault="00E06CF4" w:rsidP="00E06CF4">
      <w:pPr>
        <w:pStyle w:val="SingleTxt"/>
        <w:spacing w:after="0" w:line="120" w:lineRule="exact"/>
        <w:rPr>
          <w:sz w:val="10"/>
        </w:rPr>
      </w:pPr>
    </w:p>
    <w:p w14:paraId="2CC25C24" w14:textId="7AADB662" w:rsidR="00490AFA" w:rsidRPr="00125FA8" w:rsidRDefault="00490AFA" w:rsidP="00E06C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4</w:t>
      </w:r>
      <w:bookmarkStart w:id="6" w:name="_Hlk196754716"/>
      <w:bookmarkEnd w:id="6"/>
    </w:p>
    <w:p w14:paraId="0EC18F3F" w14:textId="77777777" w:rsidR="00E06CF4" w:rsidRPr="00125FA8" w:rsidRDefault="00E06CF4" w:rsidP="00E06CF4">
      <w:pPr>
        <w:pStyle w:val="SingleTxt"/>
        <w:spacing w:after="0" w:line="120" w:lineRule="exact"/>
        <w:rPr>
          <w:sz w:val="10"/>
        </w:rPr>
      </w:pPr>
    </w:p>
    <w:p w14:paraId="685224BB" w14:textId="77777777" w:rsidR="00E06CF4" w:rsidRPr="00125FA8" w:rsidRDefault="00E06CF4" w:rsidP="00E06CF4">
      <w:pPr>
        <w:pStyle w:val="SingleTxt"/>
        <w:spacing w:after="0" w:line="120" w:lineRule="exact"/>
        <w:rPr>
          <w:sz w:val="10"/>
        </w:rPr>
      </w:pPr>
    </w:p>
    <w:p w14:paraId="37558BAC" w14:textId="1681D4BC" w:rsidR="00490AFA" w:rsidRPr="00125FA8" w:rsidRDefault="00490AFA" w:rsidP="00636B5F">
      <w:pPr>
        <w:pStyle w:val="SingleTxt"/>
        <w:numPr>
          <w:ilvl w:val="0"/>
          <w:numId w:val="26"/>
        </w:numPr>
        <w:ind w:left="1267"/>
      </w:pPr>
      <w:r w:rsidRPr="00490AFA">
        <w:t xml:space="preserve">La Ley de Tribunales Consuetudinarios se modificó en 2017 para conferir a toda persona el derecho a transferir una causa de un tribunal consuetudinario a un tribunal de primera instancia. En este sentido, Legal Aid Botswana, en colaboración con organizaciones no gubernamentales (ONG), sigue prestando asistencia letrada a las mujeres que desean trasladar sus asuntos de los tribunales consuetudinarios a los tribunales del </w:t>
      </w:r>
      <w:r w:rsidRPr="00490AFA">
        <w:rPr>
          <w:i/>
          <w:iCs/>
        </w:rPr>
        <w:t>common law</w:t>
      </w:r>
      <w:r w:rsidRPr="00490AFA">
        <w:t>.</w:t>
      </w:r>
    </w:p>
    <w:p w14:paraId="49A84811" w14:textId="77777777" w:rsidR="00E06CF4" w:rsidRPr="00125FA8" w:rsidRDefault="00E06CF4" w:rsidP="00E06CF4">
      <w:pPr>
        <w:pStyle w:val="SingleTxt"/>
        <w:spacing w:after="0" w:line="120" w:lineRule="exact"/>
        <w:rPr>
          <w:sz w:val="10"/>
        </w:rPr>
      </w:pPr>
    </w:p>
    <w:p w14:paraId="05006AE3" w14:textId="77777777" w:rsidR="00E06CF4" w:rsidRPr="00125FA8" w:rsidRDefault="00E06CF4" w:rsidP="00E06CF4">
      <w:pPr>
        <w:pStyle w:val="SingleTxt"/>
        <w:spacing w:after="0" w:line="120" w:lineRule="exact"/>
        <w:rPr>
          <w:sz w:val="10"/>
        </w:rPr>
      </w:pPr>
    </w:p>
    <w:p w14:paraId="67DC20F8" w14:textId="692FD8BC" w:rsidR="00490AFA" w:rsidRPr="00125FA8" w:rsidRDefault="00E06CF4" w:rsidP="00E06C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r>
      <w:r w:rsidR="00490AFA" w:rsidRPr="00125FA8">
        <w:t>Las mujeres y la paz y la seguridad</w:t>
      </w:r>
    </w:p>
    <w:p w14:paraId="24BFCA08" w14:textId="77777777" w:rsidR="00E06CF4" w:rsidRPr="00125FA8" w:rsidRDefault="00E06CF4" w:rsidP="00E06CF4">
      <w:pPr>
        <w:pStyle w:val="SingleTxt"/>
        <w:spacing w:after="0" w:line="120" w:lineRule="exact"/>
        <w:rPr>
          <w:sz w:val="10"/>
        </w:rPr>
      </w:pPr>
    </w:p>
    <w:p w14:paraId="28D85FB4" w14:textId="77777777" w:rsidR="00E06CF4" w:rsidRPr="00125FA8" w:rsidRDefault="00E06CF4" w:rsidP="00E06CF4">
      <w:pPr>
        <w:pStyle w:val="SingleTxt"/>
        <w:spacing w:after="0" w:line="120" w:lineRule="exact"/>
        <w:rPr>
          <w:sz w:val="10"/>
        </w:rPr>
      </w:pPr>
    </w:p>
    <w:p w14:paraId="02E9C1FC" w14:textId="679DE151" w:rsidR="00490AFA" w:rsidRPr="00125FA8" w:rsidRDefault="00490AFA" w:rsidP="00E06C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5</w:t>
      </w:r>
    </w:p>
    <w:p w14:paraId="09AB2518" w14:textId="77777777" w:rsidR="00E06CF4" w:rsidRPr="00125FA8" w:rsidRDefault="00E06CF4" w:rsidP="00E06CF4">
      <w:pPr>
        <w:pStyle w:val="SingleTxt"/>
        <w:spacing w:after="0" w:line="120" w:lineRule="exact"/>
        <w:rPr>
          <w:sz w:val="10"/>
        </w:rPr>
      </w:pPr>
    </w:p>
    <w:p w14:paraId="2319E93F" w14:textId="77777777" w:rsidR="00E06CF4" w:rsidRPr="00125FA8" w:rsidRDefault="00E06CF4" w:rsidP="00E06CF4">
      <w:pPr>
        <w:pStyle w:val="SingleTxt"/>
        <w:spacing w:after="0" w:line="120" w:lineRule="exact"/>
        <w:rPr>
          <w:sz w:val="10"/>
        </w:rPr>
      </w:pPr>
    </w:p>
    <w:p w14:paraId="5CC385A3" w14:textId="67EA32B2" w:rsidR="00490AFA" w:rsidRPr="00170EBE" w:rsidRDefault="00490AFA" w:rsidP="00636B5F">
      <w:pPr>
        <w:pStyle w:val="SingleTxt"/>
        <w:numPr>
          <w:ilvl w:val="0"/>
          <w:numId w:val="26"/>
        </w:numPr>
        <w:ind w:left="1267"/>
        <w:rPr>
          <w:spacing w:val="-2"/>
        </w:rPr>
      </w:pPr>
      <w:r w:rsidRPr="00490AFA">
        <w:t xml:space="preserve">Botswana es consciente del papel que desempeñan las mujeres en la consecución </w:t>
      </w:r>
      <w:r w:rsidRPr="00170EBE">
        <w:rPr>
          <w:spacing w:val="2"/>
        </w:rPr>
        <w:t xml:space="preserve">de una paz y una seguridad sostenibles. El país suscribe los ideales de la </w:t>
      </w:r>
      <w:r w:rsidR="000F4C4F" w:rsidRPr="00170EBE">
        <w:rPr>
          <w:spacing w:val="2"/>
        </w:rPr>
        <w:t>resolución </w:t>
      </w:r>
      <w:r w:rsidRPr="00170EBE">
        <w:rPr>
          <w:spacing w:val="2"/>
        </w:rPr>
        <w:t xml:space="preserve">1325 del Consejo de Seguridad de las Naciones Unidas, relativa a las mujeres, la paz y la seguridad, la Estrategia de la Unión Africana para la Igualdad de Género y el Empoderamiento de las Mujeres y la Estrategia Regional de </w:t>
      </w:r>
      <w:r w:rsidRPr="00170EBE">
        <w:rPr>
          <w:spacing w:val="-2"/>
        </w:rPr>
        <w:t>la Comunidad de África Meridional para el Desarrollo</w:t>
      </w:r>
      <w:r w:rsidRPr="00170EBE">
        <w:rPr>
          <w:b/>
          <w:bCs/>
          <w:spacing w:val="-2"/>
        </w:rPr>
        <w:t> </w:t>
      </w:r>
      <w:r w:rsidRPr="00170EBE">
        <w:rPr>
          <w:spacing w:val="-2"/>
        </w:rPr>
        <w:t>(SADC) sobre las Mujeres, la Paz y la Seguridad.</w:t>
      </w:r>
    </w:p>
    <w:p w14:paraId="53EA94AF" w14:textId="38A80943" w:rsidR="00490AFA" w:rsidRPr="00125FA8" w:rsidRDefault="00490AFA" w:rsidP="00636B5F">
      <w:pPr>
        <w:pStyle w:val="SingleTxt"/>
        <w:numPr>
          <w:ilvl w:val="0"/>
          <w:numId w:val="26"/>
        </w:numPr>
        <w:ind w:left="1267"/>
      </w:pPr>
      <w:r w:rsidRPr="00490AFA">
        <w:t>Botswana ha puesto en marcha medidas para elaborar el Plan de Acción Nacional. Hasta la fecha, se ha celebrado una reunión preliminar en julio de 2024 en la que participaron representantes de los Ministerios de Juventud y Asuntos de Género, Relaciones Internacionales y Justicia y Servicios Penitenciarios. También participaron la Fuerza de Defensa y el Servicio de Policía de Botswana. Los próximos pasos serán un ejercicio de evaluación comparativa con la República de Namibia y Zimbabwe, que se ofrecieron a ayudar a Botswana a elaborar el Plan de Acción Nacional. Cabe señalar que Botswana necesita apoyo técnico y financiero para elaborar y aplicar el Plan de Acción Nacional sobre las Mujeres, la Paz y la Seguridad.</w:t>
      </w:r>
    </w:p>
    <w:p w14:paraId="158DBA59" w14:textId="77777777" w:rsidR="00E06CF4" w:rsidRPr="00125FA8" w:rsidRDefault="00E06CF4" w:rsidP="00E06CF4">
      <w:pPr>
        <w:pStyle w:val="SingleTxt"/>
        <w:spacing w:after="0" w:line="120" w:lineRule="exact"/>
        <w:rPr>
          <w:sz w:val="10"/>
        </w:rPr>
      </w:pPr>
    </w:p>
    <w:p w14:paraId="0F6CF03C" w14:textId="77777777" w:rsidR="00E06CF4" w:rsidRPr="00125FA8" w:rsidRDefault="00E06CF4" w:rsidP="00E06CF4">
      <w:pPr>
        <w:pStyle w:val="SingleTxt"/>
        <w:spacing w:after="0" w:line="120" w:lineRule="exact"/>
        <w:rPr>
          <w:sz w:val="10"/>
        </w:rPr>
      </w:pPr>
    </w:p>
    <w:p w14:paraId="6956DF94" w14:textId="77777777" w:rsidR="00490AFA" w:rsidRPr="00125FA8" w:rsidRDefault="00490AFA" w:rsidP="00A249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Mecanismos nacionales para el adelanto de la mujer</w:t>
      </w:r>
    </w:p>
    <w:p w14:paraId="6E5D8D08" w14:textId="77777777" w:rsidR="00A24936" w:rsidRPr="00125FA8" w:rsidRDefault="00A24936" w:rsidP="00A24936">
      <w:pPr>
        <w:pStyle w:val="SingleTxt"/>
        <w:spacing w:after="0" w:line="120" w:lineRule="exact"/>
        <w:rPr>
          <w:sz w:val="10"/>
        </w:rPr>
      </w:pPr>
    </w:p>
    <w:p w14:paraId="730B25F0" w14:textId="77777777" w:rsidR="00A24936" w:rsidRPr="00125FA8" w:rsidRDefault="00A24936" w:rsidP="00A24936">
      <w:pPr>
        <w:pStyle w:val="SingleTxt"/>
        <w:spacing w:after="0" w:line="120" w:lineRule="exact"/>
        <w:rPr>
          <w:sz w:val="10"/>
        </w:rPr>
      </w:pPr>
    </w:p>
    <w:p w14:paraId="44CC2115" w14:textId="38C58AC0" w:rsidR="00490AFA" w:rsidRPr="00125FA8" w:rsidRDefault="00490AFA" w:rsidP="002014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6 a)</w:t>
      </w:r>
      <w:bookmarkStart w:id="7" w:name="_Hlk196755040"/>
      <w:bookmarkEnd w:id="7"/>
    </w:p>
    <w:p w14:paraId="44E166D5" w14:textId="77777777" w:rsidR="00A24936" w:rsidRPr="00125FA8" w:rsidRDefault="00A24936" w:rsidP="00A24936">
      <w:pPr>
        <w:pStyle w:val="SingleTxt"/>
        <w:spacing w:after="0" w:line="120" w:lineRule="exact"/>
        <w:rPr>
          <w:sz w:val="10"/>
        </w:rPr>
      </w:pPr>
    </w:p>
    <w:p w14:paraId="34B0361B" w14:textId="77777777" w:rsidR="00A24936" w:rsidRPr="00125FA8" w:rsidRDefault="00A24936" w:rsidP="00A24936">
      <w:pPr>
        <w:pStyle w:val="SingleTxt"/>
        <w:spacing w:after="0" w:line="120" w:lineRule="exact"/>
        <w:rPr>
          <w:sz w:val="10"/>
        </w:rPr>
      </w:pPr>
    </w:p>
    <w:p w14:paraId="661E072E" w14:textId="3897B9C1" w:rsidR="00490AFA" w:rsidRPr="00125FA8" w:rsidRDefault="00490AFA" w:rsidP="00636B5F">
      <w:pPr>
        <w:pStyle w:val="SingleTxt"/>
        <w:numPr>
          <w:ilvl w:val="0"/>
          <w:numId w:val="26"/>
        </w:numPr>
        <w:ind w:left="1267"/>
      </w:pPr>
      <w:r w:rsidRPr="00490AFA">
        <w:t xml:space="preserve">El Gobierno se ha comprometido a intensificar los esfuerzos para incorporar la perspectiva de género en todos los sectores y a institucionalizar una presupuestación que responda a las cuestiones de género para garantizar que se aborden ámbitos prioritarios como la violencia de género con recursos suficientes. En cuanto a los recursos humanos, técnicos y financieros, el Gobierno ha creado un Ministerio de </w:t>
      </w:r>
      <w:r w:rsidRPr="00490AFA">
        <w:lastRenderedPageBreak/>
        <w:t>Juventud y Asuntos de Género específico, en parte para asegurar que la cartera de Género</w:t>
      </w:r>
      <w:r w:rsidRPr="00490AFA">
        <w:rPr>
          <w:b/>
          <w:bCs/>
        </w:rPr>
        <w:t xml:space="preserve"> </w:t>
      </w:r>
      <w:r w:rsidRPr="00490AFA">
        <w:t>reciba la atención que merece. Actualmente se está desarrollando una nueva estructura funcional.</w:t>
      </w:r>
    </w:p>
    <w:p w14:paraId="064AB5DE" w14:textId="77777777" w:rsidR="00A24936" w:rsidRPr="00125FA8" w:rsidRDefault="00A24936" w:rsidP="00A24936">
      <w:pPr>
        <w:pStyle w:val="SingleTxt"/>
        <w:spacing w:after="0" w:line="120" w:lineRule="exact"/>
        <w:rPr>
          <w:sz w:val="10"/>
        </w:rPr>
      </w:pPr>
    </w:p>
    <w:p w14:paraId="7250A19C" w14:textId="77777777" w:rsidR="00A24936" w:rsidRPr="00125FA8" w:rsidRDefault="00A24936" w:rsidP="00A24936">
      <w:pPr>
        <w:pStyle w:val="SingleTxt"/>
        <w:spacing w:after="0" w:line="120" w:lineRule="exact"/>
        <w:rPr>
          <w:sz w:val="10"/>
        </w:rPr>
      </w:pPr>
    </w:p>
    <w:p w14:paraId="290666C6" w14:textId="1A7D129B" w:rsidR="00490AFA" w:rsidRPr="00125FA8" w:rsidRDefault="00490AFA" w:rsidP="002014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6 b)</w:t>
      </w:r>
    </w:p>
    <w:p w14:paraId="3A15B28A" w14:textId="77777777" w:rsidR="00A24936" w:rsidRPr="00125FA8" w:rsidRDefault="00A24936" w:rsidP="00A24936">
      <w:pPr>
        <w:pStyle w:val="SingleTxt"/>
        <w:spacing w:after="0" w:line="120" w:lineRule="exact"/>
        <w:rPr>
          <w:sz w:val="10"/>
        </w:rPr>
      </w:pPr>
    </w:p>
    <w:p w14:paraId="41828F14" w14:textId="77777777" w:rsidR="00A24936" w:rsidRPr="00125FA8" w:rsidRDefault="00A24936" w:rsidP="00A24936">
      <w:pPr>
        <w:pStyle w:val="SingleTxt"/>
        <w:spacing w:after="0" w:line="120" w:lineRule="exact"/>
        <w:rPr>
          <w:sz w:val="10"/>
        </w:rPr>
      </w:pPr>
    </w:p>
    <w:p w14:paraId="75A18574" w14:textId="77777777" w:rsidR="00490AFA" w:rsidRPr="00125FA8" w:rsidRDefault="00490AFA" w:rsidP="00201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Logros</w:t>
      </w:r>
    </w:p>
    <w:p w14:paraId="002661AA" w14:textId="77777777" w:rsidR="00A24936" w:rsidRPr="00125FA8" w:rsidRDefault="00A24936" w:rsidP="00A24936">
      <w:pPr>
        <w:pStyle w:val="SingleTxt"/>
        <w:spacing w:after="0" w:line="120" w:lineRule="exact"/>
        <w:rPr>
          <w:sz w:val="10"/>
        </w:rPr>
      </w:pPr>
    </w:p>
    <w:p w14:paraId="5089B6F0" w14:textId="1EA7CE2D" w:rsidR="00490AFA" w:rsidRPr="00490AFA" w:rsidRDefault="00490AFA" w:rsidP="00636B5F">
      <w:pPr>
        <w:pStyle w:val="SingleTxt"/>
        <w:numPr>
          <w:ilvl w:val="0"/>
          <w:numId w:val="26"/>
        </w:numPr>
        <w:ind w:left="1267"/>
      </w:pPr>
      <w:r w:rsidRPr="00490AFA">
        <w:t xml:space="preserve">Según el índice global de la brecha de género de 2024, en el que se evaluaron 146 países, Botswana ocupa el puesto 57 con 0,73 puntos. En el subíndice de logros educativos y salud y supervivencia, Botswana ocupa el primer puesto entre los demás países, con 1 y 0,98 puntos respectivamente. En el subíndice de participación y oportunidades económicas, Botswana ocupa el segundo lugar con 0,854 puntos. </w:t>
      </w:r>
      <w:r w:rsidR="00FD4EF6" w:rsidRPr="00490AFA">
        <w:t>Estas</w:t>
      </w:r>
      <w:r w:rsidR="00FD4EF6">
        <w:t> </w:t>
      </w:r>
      <w:r w:rsidRPr="00490AFA">
        <w:t>clasificaciones podrían atribuirse a diversas oportunidades, como las reformas normativas, el establecimiento de estructuras adecuadas para supervisar la aplicación y la disponibilidad de recursos.</w:t>
      </w:r>
    </w:p>
    <w:p w14:paraId="4E3C0282" w14:textId="269D6353" w:rsidR="00490AFA" w:rsidRPr="00490AFA" w:rsidRDefault="00490AFA" w:rsidP="00636B5F">
      <w:pPr>
        <w:pStyle w:val="SingleTxt"/>
        <w:numPr>
          <w:ilvl w:val="0"/>
          <w:numId w:val="26"/>
        </w:numPr>
        <w:ind w:left="1267"/>
      </w:pPr>
      <w:r w:rsidRPr="00490AFA">
        <w:t xml:space="preserve">A fin de mejorar el acceso de las mujeres a la financiación, hasta septiembre </w:t>
      </w:r>
      <w:r w:rsidR="00402945" w:rsidRPr="00490AFA">
        <w:t>de</w:t>
      </w:r>
      <w:r w:rsidR="00402945">
        <w:t> </w:t>
      </w:r>
      <w:r w:rsidRPr="00490AFA">
        <w:t>2023, el Organismo de Desarrollo Empresarial Ciudadano (CEDA, por sus siglas en inglés) financió 11.796 empresas propiedad de mujeres, 7.890 empresas pertenecientes a jóvenes y 115 empresas propiedad de personas con discapacidad con 445.000,</w:t>
      </w:r>
      <w:r w:rsidRPr="00170EBE">
        <w:t xml:space="preserve"> </w:t>
      </w:r>
      <w:r w:rsidRPr="00490AFA">
        <w:t>140.000.000 y 150.000 dólares de los Estados Unidos, respectivamente.</w:t>
      </w:r>
    </w:p>
    <w:p w14:paraId="6F390F96" w14:textId="79CB4B5E" w:rsidR="00490AFA" w:rsidRPr="00125FA8" w:rsidRDefault="00490AFA" w:rsidP="00636B5F">
      <w:pPr>
        <w:pStyle w:val="SingleTxt"/>
        <w:numPr>
          <w:ilvl w:val="0"/>
          <w:numId w:val="26"/>
        </w:numPr>
        <w:ind w:left="1267"/>
      </w:pPr>
      <w:r w:rsidRPr="00490AFA">
        <w:t>Para fomentar la capacidad de las mujeres en materia de aptitudes empresariales, el Gobierno de Botswana, en colaboración con ONU-Mujeres y el grupo De Beers, está ejecutando el programa EntreprenHER. En febrero de 2024, el Programa había beneficiado a 621 mujeres empresarias, y su ejecución continuará hasta 2026.</w:t>
      </w:r>
    </w:p>
    <w:p w14:paraId="6B5EA621" w14:textId="77777777" w:rsidR="004B7E5F" w:rsidRPr="00125FA8" w:rsidRDefault="004B7E5F" w:rsidP="004B7E5F">
      <w:pPr>
        <w:pStyle w:val="SingleTxt"/>
        <w:spacing w:after="0" w:line="120" w:lineRule="exact"/>
        <w:rPr>
          <w:sz w:val="10"/>
        </w:rPr>
      </w:pPr>
    </w:p>
    <w:p w14:paraId="7B17EFF0" w14:textId="42A2B3BB" w:rsidR="00490AFA" w:rsidRPr="00125FA8" w:rsidRDefault="00490AFA" w:rsidP="004B7E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Desafíos</w:t>
      </w:r>
    </w:p>
    <w:p w14:paraId="7A56A0E1" w14:textId="77777777" w:rsidR="004B7E5F" w:rsidRPr="00125FA8" w:rsidRDefault="004B7E5F" w:rsidP="004B7E5F">
      <w:pPr>
        <w:pStyle w:val="SingleTxt"/>
        <w:spacing w:after="0" w:line="120" w:lineRule="exact"/>
        <w:rPr>
          <w:sz w:val="10"/>
        </w:rPr>
      </w:pPr>
    </w:p>
    <w:p w14:paraId="605CD388" w14:textId="66B96C4C" w:rsidR="00490AFA" w:rsidRPr="00490AFA" w:rsidRDefault="00490AFA" w:rsidP="00636B5F">
      <w:pPr>
        <w:pStyle w:val="SingleTxt"/>
        <w:numPr>
          <w:ilvl w:val="0"/>
          <w:numId w:val="26"/>
        </w:numPr>
        <w:ind w:left="1267"/>
      </w:pPr>
      <w:r w:rsidRPr="00490AFA">
        <w:t>El Censo de Población y Vivienda de 2022 estimó que el 66,5 % de la población de Botswana reside actualmente en zonas urbanas, lo que supone un aumento considerable con respecto al 64 % de 2011. En relación con el género, los niveles de pobreza eran más elevados entre los hogares encabezados por una mujer que entre los encabezados por un hombre, con un 55 % y un 45 % respectivamente.</w:t>
      </w:r>
    </w:p>
    <w:p w14:paraId="642BE04C" w14:textId="727C8A61" w:rsidR="00490AFA" w:rsidRPr="00490AFA" w:rsidRDefault="00490AFA" w:rsidP="00636B5F">
      <w:pPr>
        <w:pStyle w:val="SingleTxt"/>
        <w:numPr>
          <w:ilvl w:val="0"/>
          <w:numId w:val="26"/>
        </w:numPr>
        <w:ind w:left="1267"/>
      </w:pPr>
      <w:r w:rsidRPr="00490AFA">
        <w:t>Según la encuesta trimestral multitemática (primer trimestre de 2024), el empleo se situaba en el 49,3 % para los hombres y el 50,7 % para las mujeres. En el sector formal, las mujeres representaban el 54 % del empleo y los hombres el 46 %. En el sector informal había un 44 % de mujeres y un 56 % de hombres. La tasa de desempleo era del 51,6 % para las mujeres y del 48,4 % para los hombres. El sector manufacturero emplea a un 52,8 % de hombres y a un 47,2 % de mujeres. Esta distribución por géneros indica que las empresas de mujeres son generalmente más pequeñas y se concentran en subsectores tradicionales.</w:t>
      </w:r>
    </w:p>
    <w:p w14:paraId="02489FED" w14:textId="7EF82BDC" w:rsidR="00490AFA" w:rsidRPr="00490AFA" w:rsidRDefault="00490AFA" w:rsidP="00636B5F">
      <w:pPr>
        <w:pStyle w:val="SingleTxt"/>
        <w:numPr>
          <w:ilvl w:val="0"/>
          <w:numId w:val="26"/>
        </w:numPr>
        <w:ind w:left="1267"/>
      </w:pPr>
      <w:r w:rsidRPr="00490AFA">
        <w:t>Según el Estudio Nacional de Relaciones de 2018, la prevalencia de la violencia de género se sitúa en el 37 % en el caso de las mujeres y el 21 %</w:t>
      </w:r>
      <w:r w:rsidRPr="00490AFA">
        <w:rPr>
          <w:b/>
          <w:bCs/>
        </w:rPr>
        <w:t xml:space="preserve"> </w:t>
      </w:r>
      <w:r w:rsidRPr="00490AFA">
        <w:t>en el de los hombres. Por otro lado, el Estudio sobre la Violencia contra los Niños de 2019 indica que la violencia física es la forma más común de violencia contra los niños, ya que el 28,</w:t>
      </w:r>
      <w:r w:rsidR="001774F7" w:rsidRPr="00490AFA">
        <w:t>4</w:t>
      </w:r>
      <w:r w:rsidR="001774F7">
        <w:t> </w:t>
      </w:r>
      <w:r w:rsidRPr="00490AFA">
        <w:t>% de las niñas y el 43 % de los niños la sufren antes de cumplir los 18 años. El estudio reveló además que el 9,3 % de las niñas y el 5,5 % de los niños sufrieron violencia sexual antes de cumplir los 18 años.</w:t>
      </w:r>
    </w:p>
    <w:p w14:paraId="372BF22F" w14:textId="11B7866B" w:rsidR="00490AFA" w:rsidRPr="00490AFA" w:rsidRDefault="00490AFA" w:rsidP="00636B5F">
      <w:pPr>
        <w:pStyle w:val="SingleTxt"/>
        <w:numPr>
          <w:ilvl w:val="0"/>
          <w:numId w:val="26"/>
        </w:numPr>
        <w:ind w:left="1267"/>
      </w:pPr>
      <w:r w:rsidRPr="00490AFA">
        <w:t xml:space="preserve">Según el World Population Review (Examen de la Población Mundial) de 2023, la tasa de suicidios entre los hombres es cuatro veces superior a la de las mujeres en Botswana, es decir, 26,3 y 6,4 por cada 100.000 habitantes. Según el informe sobre pacientes ambulatorios psiquiátricos de Botswana de 2023, el 52,4 % de los hombres </w:t>
      </w:r>
      <w:r w:rsidRPr="00490AFA">
        <w:lastRenderedPageBreak/>
        <w:t xml:space="preserve">y el 47,6 % de las mujeres son propensos a padecer enfermedades mentales. </w:t>
      </w:r>
      <w:r w:rsidR="001774F7" w:rsidRPr="00490AFA">
        <w:t>Cabe</w:t>
      </w:r>
      <w:r w:rsidR="001774F7">
        <w:t> </w:t>
      </w:r>
      <w:r w:rsidRPr="00490AFA">
        <w:t>señalar que la salud mental y la violencia de género están estrechamente vinculadas y requieren un conocimiento profundo y una atención especial.</w:t>
      </w:r>
    </w:p>
    <w:p w14:paraId="2BF6B990" w14:textId="48AC7523" w:rsidR="00490AFA" w:rsidRPr="00125FA8" w:rsidRDefault="00490AFA" w:rsidP="00636B5F">
      <w:pPr>
        <w:pStyle w:val="SingleTxt"/>
        <w:numPr>
          <w:ilvl w:val="0"/>
          <w:numId w:val="26"/>
        </w:numPr>
        <w:ind w:left="1267"/>
      </w:pPr>
      <w:r w:rsidRPr="00490AFA">
        <w:t xml:space="preserve">El índice global de la brecha de género de 2024 sitúa a Botswana en el </w:t>
      </w:r>
      <w:r w:rsidR="00093054" w:rsidRPr="00490AFA">
        <w:t>puesto</w:t>
      </w:r>
      <w:r w:rsidR="00093054">
        <w:t> </w:t>
      </w:r>
      <w:r w:rsidRPr="00490AFA">
        <w:t>125 en el subíndice de empoderamiento político, con 0,088 puntos, lo que demuestra la dispar presencia de mujeres en puestos de liderazgo político.</w:t>
      </w:r>
    </w:p>
    <w:p w14:paraId="0400AE44" w14:textId="77777777" w:rsidR="004B7E5F" w:rsidRPr="00125FA8" w:rsidRDefault="004B7E5F" w:rsidP="004B7E5F">
      <w:pPr>
        <w:pStyle w:val="SingleTxt"/>
        <w:spacing w:after="0" w:line="120" w:lineRule="exact"/>
        <w:rPr>
          <w:sz w:val="10"/>
        </w:rPr>
      </w:pPr>
    </w:p>
    <w:p w14:paraId="4DF936DE" w14:textId="77777777" w:rsidR="004B7E5F" w:rsidRPr="00125FA8" w:rsidRDefault="004B7E5F" w:rsidP="004B7E5F">
      <w:pPr>
        <w:pStyle w:val="SingleTxt"/>
        <w:spacing w:after="0" w:line="120" w:lineRule="exact"/>
        <w:rPr>
          <w:sz w:val="10"/>
        </w:rPr>
      </w:pPr>
    </w:p>
    <w:p w14:paraId="3339948B" w14:textId="18B1868B" w:rsidR="00490AFA" w:rsidRPr="00125FA8" w:rsidRDefault="00490AFA" w:rsidP="00431F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6 c)</w:t>
      </w:r>
    </w:p>
    <w:p w14:paraId="56A29D88" w14:textId="77777777" w:rsidR="004B7E5F" w:rsidRPr="00125FA8" w:rsidRDefault="004B7E5F" w:rsidP="004B7E5F">
      <w:pPr>
        <w:pStyle w:val="SingleTxt"/>
        <w:spacing w:after="0" w:line="120" w:lineRule="exact"/>
        <w:rPr>
          <w:b/>
          <w:sz w:val="10"/>
        </w:rPr>
      </w:pPr>
    </w:p>
    <w:p w14:paraId="1E21984C" w14:textId="77777777" w:rsidR="004B7E5F" w:rsidRPr="00125FA8" w:rsidRDefault="004B7E5F" w:rsidP="004B7E5F">
      <w:pPr>
        <w:pStyle w:val="SingleTxt"/>
        <w:spacing w:after="0" w:line="120" w:lineRule="exact"/>
        <w:rPr>
          <w:b/>
          <w:sz w:val="10"/>
        </w:rPr>
      </w:pPr>
    </w:p>
    <w:p w14:paraId="43045A0F" w14:textId="1B169762" w:rsidR="00490AFA" w:rsidRPr="00125FA8" w:rsidRDefault="00490AFA" w:rsidP="00636B5F">
      <w:pPr>
        <w:pStyle w:val="SingleTxt"/>
        <w:numPr>
          <w:ilvl w:val="0"/>
          <w:numId w:val="26"/>
        </w:numPr>
        <w:ind w:left="1267"/>
      </w:pPr>
      <w:r w:rsidRPr="00490AFA">
        <w:t xml:space="preserve">El Gobierno aumentó el presupuesto para la incorporación de la perspectiva de género de 300.000 dólares de los Estados Unidos en 2023/2024 a 530.000 dólares de los Estados Unidos en 2024/2025. Los fondos se destinaron a la incorporación de la perspectiva de género en las instituciones públicas (Policía, Fuerza de Defensa y Servicio </w:t>
      </w:r>
      <w:r w:rsidR="00E65EE2" w:rsidRPr="00490AFA">
        <w:t>Penitenciario</w:t>
      </w:r>
      <w:r w:rsidRPr="00490AFA">
        <w:t>) y en la sociedad civil.</w:t>
      </w:r>
    </w:p>
    <w:p w14:paraId="3B61D760" w14:textId="77777777" w:rsidR="002014F6" w:rsidRPr="00125FA8" w:rsidRDefault="002014F6" w:rsidP="002014F6">
      <w:pPr>
        <w:pStyle w:val="SingleTxt"/>
        <w:spacing w:after="0" w:line="120" w:lineRule="exact"/>
        <w:rPr>
          <w:sz w:val="10"/>
        </w:rPr>
      </w:pPr>
    </w:p>
    <w:p w14:paraId="0987F86C" w14:textId="77777777" w:rsidR="002014F6" w:rsidRPr="00125FA8" w:rsidRDefault="002014F6" w:rsidP="002014F6">
      <w:pPr>
        <w:pStyle w:val="SingleTxt"/>
        <w:spacing w:after="0" w:line="120" w:lineRule="exact"/>
        <w:rPr>
          <w:sz w:val="10"/>
        </w:rPr>
      </w:pPr>
    </w:p>
    <w:p w14:paraId="18FFC8D1" w14:textId="77777777" w:rsidR="00490AFA" w:rsidRPr="00125FA8" w:rsidRDefault="00490AFA" w:rsidP="002014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Institución nacional de derechos humanos</w:t>
      </w:r>
    </w:p>
    <w:p w14:paraId="4311B3D9" w14:textId="77777777" w:rsidR="002014F6" w:rsidRPr="00125FA8" w:rsidRDefault="002014F6" w:rsidP="002014F6">
      <w:pPr>
        <w:pStyle w:val="SingleTxt"/>
        <w:spacing w:after="0" w:line="120" w:lineRule="exact"/>
        <w:rPr>
          <w:sz w:val="10"/>
        </w:rPr>
      </w:pPr>
    </w:p>
    <w:p w14:paraId="27978D76" w14:textId="77777777" w:rsidR="002014F6" w:rsidRPr="00125FA8" w:rsidRDefault="002014F6" w:rsidP="002014F6">
      <w:pPr>
        <w:pStyle w:val="SingleTxt"/>
        <w:spacing w:after="0" w:line="120" w:lineRule="exact"/>
        <w:rPr>
          <w:sz w:val="10"/>
        </w:rPr>
      </w:pPr>
    </w:p>
    <w:p w14:paraId="27C7CBD3" w14:textId="2CAB9F4B" w:rsidR="00490AFA" w:rsidRPr="00125FA8" w:rsidRDefault="00490AFA" w:rsidP="002014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7</w:t>
      </w:r>
    </w:p>
    <w:p w14:paraId="6C308867" w14:textId="77777777" w:rsidR="002014F6" w:rsidRPr="00125FA8" w:rsidRDefault="002014F6" w:rsidP="002014F6">
      <w:pPr>
        <w:pStyle w:val="SingleTxt"/>
        <w:spacing w:after="0" w:line="120" w:lineRule="exact"/>
        <w:rPr>
          <w:sz w:val="10"/>
        </w:rPr>
      </w:pPr>
    </w:p>
    <w:p w14:paraId="6B3C4318" w14:textId="77777777" w:rsidR="002014F6" w:rsidRPr="00125FA8" w:rsidRDefault="002014F6" w:rsidP="002014F6">
      <w:pPr>
        <w:pStyle w:val="SingleTxt"/>
        <w:spacing w:after="0" w:line="120" w:lineRule="exact"/>
        <w:rPr>
          <w:sz w:val="10"/>
        </w:rPr>
      </w:pPr>
    </w:p>
    <w:p w14:paraId="36E32596" w14:textId="13923425" w:rsidR="00490AFA" w:rsidRPr="00EF5CBA" w:rsidRDefault="00490AFA" w:rsidP="00636B5F">
      <w:pPr>
        <w:pStyle w:val="SingleTxt"/>
        <w:numPr>
          <w:ilvl w:val="0"/>
          <w:numId w:val="26"/>
        </w:numPr>
        <w:ind w:left="1267"/>
        <w:rPr>
          <w:spacing w:val="6"/>
        </w:rPr>
      </w:pPr>
      <w:r w:rsidRPr="00EF5CBA">
        <w:rPr>
          <w:spacing w:val="6"/>
        </w:rPr>
        <w:t>Botswana fue admitida como miembro de la Red de Instituciones Nacionales Africanas de Derechos Humanos (RINADH) con efecto a partir del 6 de mayo de</w:t>
      </w:r>
      <w:r w:rsidR="00137267" w:rsidRPr="00EF5CBA">
        <w:rPr>
          <w:spacing w:val="6"/>
        </w:rPr>
        <w:t> </w:t>
      </w:r>
      <w:r w:rsidRPr="00EF5CBA">
        <w:rPr>
          <w:spacing w:val="6"/>
        </w:rPr>
        <w:t xml:space="preserve">2024, en la Asamblea General celebrada en la misma fecha en Ginebra (Suiza). Además, la Oficina del Defensor del Pueblo es miembro de la Alianza Global de Instituciones Nacionales de Derechos Humanos (GANHRI) en virtud de su condición de Defensor de los Derechos Humanos a partir del 3 de julio de 2023, de conformidad con la entrada en vigor de la Ley núm. 22 de 2021 del Defensor del Pueblo, en su versión modificada. La Oficina aún no ha solicitado la acreditación. Por su condición de miembro, la Oficina del Defensor del Pueblo participó en la reunión y conferencia anual de la GANHRI, cuyo tema fue </w:t>
      </w:r>
      <w:r w:rsidR="00670C0D" w:rsidRPr="00EF5CBA">
        <w:rPr>
          <w:spacing w:val="6"/>
        </w:rPr>
        <w:t>“</w:t>
      </w:r>
      <w:r w:rsidRPr="00EF5CBA">
        <w:rPr>
          <w:spacing w:val="6"/>
        </w:rPr>
        <w:t>Los derechos humanos de las mujeres y las niñas: La promoción de la igualdad de género y el papel de las instituciones nacionales de derechos humanos</w:t>
      </w:r>
      <w:r w:rsidR="00670C0D" w:rsidRPr="00EF5CBA">
        <w:rPr>
          <w:spacing w:val="6"/>
        </w:rPr>
        <w:t>”</w:t>
      </w:r>
      <w:r w:rsidRPr="00EF5CBA">
        <w:rPr>
          <w:spacing w:val="6"/>
        </w:rPr>
        <w:t>, que se celebró del 10 al 12 de marzo de 2025 en Ginebra (Suiza).</w:t>
      </w:r>
    </w:p>
    <w:p w14:paraId="4325AD5B" w14:textId="418973A7" w:rsidR="00490AFA" w:rsidRPr="00EF5CBA" w:rsidRDefault="00490AFA" w:rsidP="00636B5F">
      <w:pPr>
        <w:pStyle w:val="SingleTxt"/>
        <w:numPr>
          <w:ilvl w:val="0"/>
          <w:numId w:val="26"/>
        </w:numPr>
        <w:ind w:left="1267"/>
        <w:rPr>
          <w:spacing w:val="6"/>
        </w:rPr>
      </w:pPr>
      <w:r w:rsidRPr="00490AFA">
        <w:t xml:space="preserve">La Oficina del Defensor del Pueblo es un departamento autónomo dependiente </w:t>
      </w:r>
      <w:r w:rsidRPr="00EF5CBA">
        <w:rPr>
          <w:spacing w:val="6"/>
        </w:rPr>
        <w:t>del Ministerio de Justicia y Servicios Penitenciarios. Sus actividades, incluido el presupuesto, son independientes del Ministerio (artículo 23, párrafo 1, de la Ley del Defensor del Pueblo). La Oficina ha pasado a depender del Ministerio con fines administrativos, especialmente para utilizar al Ministro de Justicia y Servicios Penitenciarios, que presenta el presupuesto de la institución ante el Parlamento. Del</w:t>
      </w:r>
      <w:r w:rsidR="00137267" w:rsidRPr="00EF5CBA">
        <w:rPr>
          <w:spacing w:val="6"/>
        </w:rPr>
        <w:t> </w:t>
      </w:r>
      <w:r w:rsidRPr="00EF5CBA">
        <w:rPr>
          <w:spacing w:val="6"/>
        </w:rPr>
        <w:t>mismo modo, las relaciones entre el Defensor del Pueblo y el Ejecutivo son constructivas en la medida en que el Defensor del Pueblo ejecuta su mandato sin influencia de este último. La independencia del Defensor del Pueblo se ve reforzada por los artículos 11 y 19 de la Ley del Defensor del Pueblo. El artículo 11 dispone que el Defensor del Pueblo no estará sujeto al control o las órdenes de ninguna persona o autoridad en el desempeño de sus funciones, mientras que el artículo 19 obliga al Defensor del Pueblo a desempeñar sus funciones sin temor ni favoritismo ni influencia indebida de ninguna persona o autoridad.</w:t>
      </w:r>
    </w:p>
    <w:p w14:paraId="624DC6D5" w14:textId="77777777" w:rsidR="0057576A" w:rsidRPr="00170EBE" w:rsidRDefault="0057576A" w:rsidP="00170EBE">
      <w:pPr>
        <w:pStyle w:val="SingleTxt"/>
        <w:spacing w:after="0" w:line="120" w:lineRule="exact"/>
        <w:rPr>
          <w:sz w:val="10"/>
        </w:rPr>
      </w:pPr>
    </w:p>
    <w:p w14:paraId="10FC7A89" w14:textId="5E1767ED" w:rsidR="00AA6A2C" w:rsidRPr="00170EBE" w:rsidRDefault="0057576A" w:rsidP="00170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lastRenderedPageBreak/>
        <w:tab/>
      </w:r>
      <w:r>
        <w:tab/>
      </w:r>
      <w:r w:rsidR="00490AFA" w:rsidRPr="00125FA8">
        <w:t xml:space="preserve">La provisión financiera garantizada ha sido la siguiente en los últimos cinco años </w:t>
      </w:r>
      <w:r w:rsidR="00490AFA" w:rsidRPr="00170EBE">
        <w:rPr>
          <w:b w:val="0"/>
          <w:bCs/>
        </w:rPr>
        <w:t>(</w:t>
      </w:r>
      <w:r w:rsidR="00490AFA" w:rsidRPr="00125FA8">
        <w:t>en pulas</w:t>
      </w:r>
      <w:r w:rsidR="00490AFA" w:rsidRPr="00170EBE">
        <w:rPr>
          <w:b w:val="0"/>
          <w:bCs/>
        </w:rPr>
        <w:t>)</w:t>
      </w:r>
    </w:p>
    <w:p w14:paraId="03290E49" w14:textId="77777777" w:rsidR="0057576A" w:rsidRPr="00170EBE" w:rsidRDefault="0057576A" w:rsidP="00170EBE">
      <w:pPr>
        <w:pStyle w:val="SingleTxt"/>
        <w:keepNext/>
        <w:keepLines/>
        <w:spacing w:after="0" w:line="120" w:lineRule="exact"/>
        <w:rPr>
          <w:sz w:val="10"/>
        </w:rPr>
      </w:pPr>
    </w:p>
    <w:p w14:paraId="02C2632C" w14:textId="77777777" w:rsidR="00FE4F8B" w:rsidRPr="00125FA8" w:rsidRDefault="00FE4F8B" w:rsidP="00170EBE">
      <w:pPr>
        <w:pStyle w:val="SingleTxt"/>
        <w:keepNext/>
        <w:keepLines/>
        <w:spacing w:after="0" w:line="120" w:lineRule="exact"/>
        <w:rPr>
          <w:sz w:val="10"/>
        </w:rPr>
      </w:pPr>
    </w:p>
    <w:tbl>
      <w:tblPr>
        <w:tblW w:w="7290" w:type="dxa"/>
        <w:tblInd w:w="1260" w:type="dxa"/>
        <w:tblLayout w:type="fixed"/>
        <w:tblCellMar>
          <w:left w:w="0" w:type="dxa"/>
          <w:right w:w="0" w:type="dxa"/>
        </w:tblCellMar>
        <w:tblLook w:val="0000" w:firstRow="0" w:lastRow="0" w:firstColumn="0" w:lastColumn="0" w:noHBand="0" w:noVBand="0"/>
      </w:tblPr>
      <w:tblGrid>
        <w:gridCol w:w="2430"/>
        <w:gridCol w:w="2430"/>
        <w:gridCol w:w="2430"/>
      </w:tblGrid>
      <w:tr w:rsidR="00902888" w:rsidRPr="00125FA8" w14:paraId="2E2A5D1D" w14:textId="77777777" w:rsidTr="00696D06">
        <w:trPr>
          <w:tblHeader/>
        </w:trPr>
        <w:tc>
          <w:tcPr>
            <w:tcW w:w="2430" w:type="dxa"/>
            <w:tcBorders>
              <w:top w:val="single" w:sz="4" w:space="0" w:color="auto"/>
              <w:bottom w:val="single" w:sz="12" w:space="0" w:color="auto"/>
            </w:tcBorders>
            <w:shd w:val="clear" w:color="auto" w:fill="auto"/>
            <w:noWrap/>
            <w:vAlign w:val="bottom"/>
          </w:tcPr>
          <w:p w14:paraId="5AAB0179" w14:textId="7FB090D6" w:rsidR="00902888" w:rsidRPr="00125FA8" w:rsidRDefault="00240DEA" w:rsidP="00170EBE">
            <w:pPr>
              <w:keepNext/>
              <w:keepLines/>
              <w:tabs>
                <w:tab w:val="left" w:pos="288"/>
                <w:tab w:val="left" w:pos="576"/>
                <w:tab w:val="left" w:pos="864"/>
                <w:tab w:val="left" w:pos="1152"/>
              </w:tabs>
              <w:spacing w:before="80" w:after="80" w:line="160" w:lineRule="exact"/>
              <w:ind w:right="40"/>
              <w:rPr>
                <w:i/>
                <w:sz w:val="14"/>
              </w:rPr>
            </w:pPr>
            <w:r w:rsidRPr="00125FA8">
              <w:rPr>
                <w:i/>
                <w:sz w:val="14"/>
              </w:rPr>
              <w:t>Ejercicio económico</w:t>
            </w:r>
          </w:p>
        </w:tc>
        <w:tc>
          <w:tcPr>
            <w:tcW w:w="2430" w:type="dxa"/>
            <w:tcBorders>
              <w:top w:val="single" w:sz="4" w:space="0" w:color="auto"/>
              <w:bottom w:val="single" w:sz="12" w:space="0" w:color="auto"/>
            </w:tcBorders>
            <w:shd w:val="clear" w:color="auto" w:fill="auto"/>
            <w:noWrap/>
            <w:vAlign w:val="bottom"/>
          </w:tcPr>
          <w:p w14:paraId="6D64736E" w14:textId="652537C7" w:rsidR="00902888" w:rsidRPr="00125FA8" w:rsidRDefault="00240DEA" w:rsidP="00170EBE">
            <w:pPr>
              <w:keepNext/>
              <w:keepLines/>
              <w:tabs>
                <w:tab w:val="left" w:pos="288"/>
                <w:tab w:val="left" w:pos="576"/>
                <w:tab w:val="left" w:pos="864"/>
                <w:tab w:val="left" w:pos="1152"/>
              </w:tabs>
              <w:spacing w:before="80" w:after="80" w:line="160" w:lineRule="exact"/>
              <w:ind w:right="40"/>
              <w:jc w:val="right"/>
              <w:rPr>
                <w:i/>
                <w:sz w:val="14"/>
              </w:rPr>
            </w:pPr>
            <w:r w:rsidRPr="00125FA8">
              <w:rPr>
                <w:i/>
                <w:sz w:val="14"/>
              </w:rPr>
              <w:t>Presupuesto ordinario</w:t>
            </w:r>
          </w:p>
        </w:tc>
        <w:tc>
          <w:tcPr>
            <w:tcW w:w="2430" w:type="dxa"/>
            <w:tcBorders>
              <w:top w:val="single" w:sz="4" w:space="0" w:color="auto"/>
              <w:bottom w:val="single" w:sz="12" w:space="0" w:color="auto"/>
            </w:tcBorders>
            <w:shd w:val="clear" w:color="auto" w:fill="auto"/>
            <w:noWrap/>
            <w:vAlign w:val="bottom"/>
          </w:tcPr>
          <w:p w14:paraId="41AD3DD8" w14:textId="1BCBA7AF" w:rsidR="00902888" w:rsidRPr="00125FA8" w:rsidRDefault="00240DEA" w:rsidP="00170EBE">
            <w:pPr>
              <w:keepNext/>
              <w:keepLines/>
              <w:tabs>
                <w:tab w:val="left" w:pos="288"/>
                <w:tab w:val="left" w:pos="576"/>
                <w:tab w:val="left" w:pos="864"/>
                <w:tab w:val="left" w:pos="1152"/>
              </w:tabs>
              <w:spacing w:before="80" w:after="80" w:line="160" w:lineRule="exact"/>
              <w:ind w:right="40"/>
              <w:jc w:val="right"/>
              <w:rPr>
                <w:i/>
                <w:sz w:val="14"/>
              </w:rPr>
            </w:pPr>
            <w:r w:rsidRPr="00125FA8">
              <w:rPr>
                <w:i/>
                <w:sz w:val="14"/>
              </w:rPr>
              <w:t>Presupuesto de desarrollo</w:t>
            </w:r>
          </w:p>
        </w:tc>
      </w:tr>
      <w:tr w:rsidR="00902888" w:rsidRPr="00125FA8" w14:paraId="0D8D5236" w14:textId="77777777" w:rsidTr="00696D06">
        <w:trPr>
          <w:trHeight w:hRule="exact" w:val="115"/>
          <w:tblHeader/>
        </w:trPr>
        <w:tc>
          <w:tcPr>
            <w:tcW w:w="2430" w:type="dxa"/>
            <w:tcBorders>
              <w:top w:val="single" w:sz="12" w:space="0" w:color="auto"/>
            </w:tcBorders>
            <w:shd w:val="clear" w:color="auto" w:fill="auto"/>
            <w:noWrap/>
            <w:vAlign w:val="bottom"/>
          </w:tcPr>
          <w:p w14:paraId="0F7053A0" w14:textId="77777777" w:rsidR="00902888" w:rsidRPr="00125FA8" w:rsidRDefault="00902888" w:rsidP="00170EBE">
            <w:pPr>
              <w:keepNext/>
              <w:keepLines/>
              <w:tabs>
                <w:tab w:val="left" w:pos="288"/>
                <w:tab w:val="left" w:pos="576"/>
                <w:tab w:val="left" w:pos="864"/>
                <w:tab w:val="left" w:pos="1152"/>
              </w:tabs>
              <w:spacing w:before="40" w:after="40" w:line="210" w:lineRule="exact"/>
              <w:ind w:right="40"/>
              <w:rPr>
                <w:sz w:val="17"/>
              </w:rPr>
            </w:pPr>
          </w:p>
        </w:tc>
        <w:tc>
          <w:tcPr>
            <w:tcW w:w="2430" w:type="dxa"/>
            <w:tcBorders>
              <w:top w:val="single" w:sz="12" w:space="0" w:color="auto"/>
            </w:tcBorders>
            <w:shd w:val="clear" w:color="auto" w:fill="auto"/>
            <w:noWrap/>
            <w:vAlign w:val="bottom"/>
          </w:tcPr>
          <w:p w14:paraId="6344CED4" w14:textId="77777777" w:rsidR="00902888" w:rsidRPr="00125FA8" w:rsidRDefault="00902888" w:rsidP="00170EBE">
            <w:pPr>
              <w:keepNext/>
              <w:keepLines/>
              <w:tabs>
                <w:tab w:val="left" w:pos="288"/>
                <w:tab w:val="left" w:pos="576"/>
                <w:tab w:val="left" w:pos="864"/>
                <w:tab w:val="left" w:pos="1152"/>
              </w:tabs>
              <w:spacing w:before="40" w:after="40" w:line="210" w:lineRule="exact"/>
              <w:ind w:right="40"/>
              <w:jc w:val="right"/>
              <w:rPr>
                <w:sz w:val="17"/>
              </w:rPr>
            </w:pPr>
          </w:p>
        </w:tc>
        <w:tc>
          <w:tcPr>
            <w:tcW w:w="2430" w:type="dxa"/>
            <w:tcBorders>
              <w:top w:val="single" w:sz="12" w:space="0" w:color="auto"/>
            </w:tcBorders>
            <w:shd w:val="clear" w:color="auto" w:fill="auto"/>
            <w:noWrap/>
            <w:vAlign w:val="bottom"/>
          </w:tcPr>
          <w:p w14:paraId="61BF9393" w14:textId="77777777" w:rsidR="00902888" w:rsidRPr="00125FA8" w:rsidRDefault="00902888" w:rsidP="00170EBE">
            <w:pPr>
              <w:keepNext/>
              <w:keepLines/>
              <w:tabs>
                <w:tab w:val="left" w:pos="288"/>
                <w:tab w:val="left" w:pos="576"/>
                <w:tab w:val="left" w:pos="864"/>
                <w:tab w:val="left" w:pos="1152"/>
              </w:tabs>
              <w:spacing w:before="40" w:after="40" w:line="210" w:lineRule="exact"/>
              <w:ind w:right="40"/>
              <w:jc w:val="right"/>
              <w:rPr>
                <w:sz w:val="17"/>
              </w:rPr>
            </w:pPr>
          </w:p>
        </w:tc>
      </w:tr>
      <w:tr w:rsidR="00240DEA" w:rsidRPr="00125FA8" w14:paraId="49F15A6E" w14:textId="77777777" w:rsidTr="00696D06">
        <w:tc>
          <w:tcPr>
            <w:tcW w:w="2430" w:type="dxa"/>
            <w:shd w:val="clear" w:color="auto" w:fill="auto"/>
            <w:noWrap/>
            <w:vAlign w:val="bottom"/>
          </w:tcPr>
          <w:p w14:paraId="16616C62" w14:textId="6DD6CEF1" w:rsidR="00240DEA" w:rsidRPr="00125FA8" w:rsidRDefault="00240DEA" w:rsidP="00170EBE">
            <w:pPr>
              <w:keepNext/>
              <w:keepLines/>
              <w:tabs>
                <w:tab w:val="left" w:pos="288"/>
                <w:tab w:val="left" w:pos="576"/>
                <w:tab w:val="left" w:pos="864"/>
                <w:tab w:val="left" w:pos="1152"/>
              </w:tabs>
              <w:spacing w:before="40" w:after="40" w:line="210" w:lineRule="exact"/>
              <w:ind w:right="40"/>
              <w:rPr>
                <w:sz w:val="17"/>
              </w:rPr>
            </w:pPr>
            <w:r w:rsidRPr="00125FA8">
              <w:rPr>
                <w:color w:val="000000"/>
                <w:sz w:val="17"/>
              </w:rPr>
              <w:t>2021/2022</w:t>
            </w:r>
          </w:p>
        </w:tc>
        <w:tc>
          <w:tcPr>
            <w:tcW w:w="2430" w:type="dxa"/>
            <w:shd w:val="clear" w:color="auto" w:fill="auto"/>
            <w:noWrap/>
            <w:vAlign w:val="bottom"/>
          </w:tcPr>
          <w:p w14:paraId="3287B050" w14:textId="40434E15" w:rsidR="00240DEA" w:rsidRPr="00125FA8" w:rsidRDefault="00240DEA" w:rsidP="00170EBE">
            <w:pPr>
              <w:keepNext/>
              <w:keepLines/>
              <w:tabs>
                <w:tab w:val="left" w:pos="288"/>
                <w:tab w:val="left" w:pos="576"/>
                <w:tab w:val="left" w:pos="864"/>
                <w:tab w:val="left" w:pos="1152"/>
              </w:tabs>
              <w:spacing w:before="40" w:after="40" w:line="210" w:lineRule="exact"/>
              <w:ind w:right="40"/>
              <w:jc w:val="right"/>
              <w:rPr>
                <w:sz w:val="17"/>
              </w:rPr>
            </w:pPr>
            <w:r w:rsidRPr="00125FA8">
              <w:rPr>
                <w:color w:val="000000"/>
                <w:sz w:val="17"/>
              </w:rPr>
              <w:t>35 090 040</w:t>
            </w:r>
          </w:p>
        </w:tc>
        <w:tc>
          <w:tcPr>
            <w:tcW w:w="2430" w:type="dxa"/>
            <w:shd w:val="clear" w:color="auto" w:fill="auto"/>
            <w:noWrap/>
            <w:vAlign w:val="bottom"/>
          </w:tcPr>
          <w:p w14:paraId="1A83B632" w14:textId="1549EB7B" w:rsidR="00240DEA" w:rsidRPr="00125FA8" w:rsidRDefault="00240DEA" w:rsidP="00170EBE">
            <w:pPr>
              <w:keepNext/>
              <w:keepLines/>
              <w:tabs>
                <w:tab w:val="left" w:pos="288"/>
                <w:tab w:val="left" w:pos="576"/>
                <w:tab w:val="left" w:pos="864"/>
                <w:tab w:val="left" w:pos="1152"/>
              </w:tabs>
              <w:spacing w:before="40" w:after="40" w:line="210" w:lineRule="exact"/>
              <w:ind w:right="40"/>
              <w:jc w:val="right"/>
              <w:rPr>
                <w:sz w:val="17"/>
              </w:rPr>
            </w:pPr>
            <w:r w:rsidRPr="00125FA8">
              <w:rPr>
                <w:color w:val="000000"/>
                <w:sz w:val="17"/>
              </w:rPr>
              <w:t>6 500 000</w:t>
            </w:r>
          </w:p>
        </w:tc>
      </w:tr>
      <w:tr w:rsidR="00240DEA" w:rsidRPr="00125FA8" w14:paraId="765A74B9" w14:textId="77777777" w:rsidTr="00696D06">
        <w:tc>
          <w:tcPr>
            <w:tcW w:w="2430" w:type="dxa"/>
            <w:shd w:val="clear" w:color="auto" w:fill="auto"/>
            <w:noWrap/>
            <w:vAlign w:val="bottom"/>
          </w:tcPr>
          <w:p w14:paraId="4B2705A0" w14:textId="3A55DE32" w:rsidR="00240DEA" w:rsidRPr="00125FA8" w:rsidRDefault="00240DEA" w:rsidP="00240DEA">
            <w:pPr>
              <w:tabs>
                <w:tab w:val="left" w:pos="288"/>
                <w:tab w:val="left" w:pos="576"/>
                <w:tab w:val="left" w:pos="864"/>
                <w:tab w:val="left" w:pos="1152"/>
              </w:tabs>
              <w:spacing w:before="40" w:after="40" w:line="210" w:lineRule="exact"/>
              <w:ind w:right="40"/>
              <w:rPr>
                <w:sz w:val="17"/>
              </w:rPr>
            </w:pPr>
            <w:r w:rsidRPr="00125FA8">
              <w:rPr>
                <w:color w:val="000000"/>
                <w:sz w:val="17"/>
              </w:rPr>
              <w:t>2022/2023</w:t>
            </w:r>
          </w:p>
        </w:tc>
        <w:tc>
          <w:tcPr>
            <w:tcW w:w="2430" w:type="dxa"/>
            <w:shd w:val="clear" w:color="auto" w:fill="auto"/>
            <w:noWrap/>
            <w:vAlign w:val="bottom"/>
          </w:tcPr>
          <w:p w14:paraId="330FB8E5" w14:textId="3B258084" w:rsidR="00240DEA" w:rsidRPr="00125FA8" w:rsidRDefault="00240DEA" w:rsidP="00240DEA">
            <w:pPr>
              <w:tabs>
                <w:tab w:val="left" w:pos="288"/>
                <w:tab w:val="left" w:pos="576"/>
                <w:tab w:val="left" w:pos="864"/>
                <w:tab w:val="left" w:pos="1152"/>
              </w:tabs>
              <w:spacing w:before="40" w:after="40" w:line="210" w:lineRule="exact"/>
              <w:ind w:right="40"/>
              <w:jc w:val="right"/>
              <w:rPr>
                <w:sz w:val="17"/>
              </w:rPr>
            </w:pPr>
            <w:r w:rsidRPr="00125FA8">
              <w:rPr>
                <w:color w:val="000000"/>
                <w:sz w:val="17"/>
              </w:rPr>
              <w:t>43 642 730</w:t>
            </w:r>
          </w:p>
        </w:tc>
        <w:tc>
          <w:tcPr>
            <w:tcW w:w="2430" w:type="dxa"/>
            <w:shd w:val="clear" w:color="auto" w:fill="auto"/>
            <w:noWrap/>
            <w:vAlign w:val="bottom"/>
          </w:tcPr>
          <w:p w14:paraId="7D350700" w14:textId="36486E14" w:rsidR="00240DEA" w:rsidRPr="00125FA8" w:rsidRDefault="00240DEA" w:rsidP="00240DEA">
            <w:pPr>
              <w:tabs>
                <w:tab w:val="left" w:pos="288"/>
                <w:tab w:val="left" w:pos="576"/>
                <w:tab w:val="left" w:pos="864"/>
                <w:tab w:val="left" w:pos="1152"/>
              </w:tabs>
              <w:spacing w:before="40" w:after="40" w:line="210" w:lineRule="exact"/>
              <w:ind w:right="40"/>
              <w:jc w:val="right"/>
              <w:rPr>
                <w:sz w:val="17"/>
              </w:rPr>
            </w:pPr>
            <w:r w:rsidRPr="00125FA8">
              <w:rPr>
                <w:color w:val="000000"/>
                <w:sz w:val="17"/>
              </w:rPr>
              <w:t>4 000 000</w:t>
            </w:r>
          </w:p>
        </w:tc>
      </w:tr>
      <w:tr w:rsidR="00240DEA" w:rsidRPr="00125FA8" w14:paraId="3BD8378C" w14:textId="77777777" w:rsidTr="00696D06">
        <w:tc>
          <w:tcPr>
            <w:tcW w:w="2430" w:type="dxa"/>
            <w:shd w:val="clear" w:color="auto" w:fill="auto"/>
            <w:noWrap/>
            <w:vAlign w:val="bottom"/>
          </w:tcPr>
          <w:p w14:paraId="073CC270" w14:textId="33B05DE2" w:rsidR="00240DEA" w:rsidRPr="00125FA8" w:rsidRDefault="00240DEA" w:rsidP="00240DEA">
            <w:pPr>
              <w:tabs>
                <w:tab w:val="left" w:pos="288"/>
                <w:tab w:val="left" w:pos="576"/>
                <w:tab w:val="left" w:pos="864"/>
                <w:tab w:val="left" w:pos="1152"/>
              </w:tabs>
              <w:spacing w:before="40" w:after="40" w:line="210" w:lineRule="exact"/>
              <w:ind w:right="40"/>
              <w:rPr>
                <w:sz w:val="17"/>
              </w:rPr>
            </w:pPr>
            <w:r w:rsidRPr="00125FA8">
              <w:rPr>
                <w:color w:val="000000"/>
                <w:sz w:val="17"/>
              </w:rPr>
              <w:t>2023/2024</w:t>
            </w:r>
          </w:p>
        </w:tc>
        <w:tc>
          <w:tcPr>
            <w:tcW w:w="2430" w:type="dxa"/>
            <w:shd w:val="clear" w:color="auto" w:fill="auto"/>
            <w:noWrap/>
            <w:vAlign w:val="bottom"/>
          </w:tcPr>
          <w:p w14:paraId="40FC0573" w14:textId="228586D1" w:rsidR="00240DEA" w:rsidRPr="00125FA8" w:rsidRDefault="00240DEA" w:rsidP="00240DEA">
            <w:pPr>
              <w:tabs>
                <w:tab w:val="left" w:pos="288"/>
                <w:tab w:val="left" w:pos="576"/>
                <w:tab w:val="left" w:pos="864"/>
                <w:tab w:val="left" w:pos="1152"/>
              </w:tabs>
              <w:spacing w:before="40" w:after="40" w:line="210" w:lineRule="exact"/>
              <w:ind w:right="40"/>
              <w:jc w:val="right"/>
              <w:rPr>
                <w:sz w:val="17"/>
              </w:rPr>
            </w:pPr>
            <w:r w:rsidRPr="00125FA8">
              <w:rPr>
                <w:color w:val="000000"/>
                <w:sz w:val="17"/>
              </w:rPr>
              <w:t>50 404 600</w:t>
            </w:r>
          </w:p>
        </w:tc>
        <w:tc>
          <w:tcPr>
            <w:tcW w:w="2430" w:type="dxa"/>
            <w:shd w:val="clear" w:color="auto" w:fill="auto"/>
            <w:noWrap/>
            <w:vAlign w:val="bottom"/>
          </w:tcPr>
          <w:p w14:paraId="1F69E08D" w14:textId="52E8DDB7" w:rsidR="00240DEA" w:rsidRPr="00125FA8" w:rsidRDefault="00240DEA" w:rsidP="00240DEA">
            <w:pPr>
              <w:tabs>
                <w:tab w:val="left" w:pos="288"/>
                <w:tab w:val="left" w:pos="576"/>
                <w:tab w:val="left" w:pos="864"/>
                <w:tab w:val="left" w:pos="1152"/>
              </w:tabs>
              <w:spacing w:before="40" w:after="40" w:line="210" w:lineRule="exact"/>
              <w:ind w:right="40"/>
              <w:jc w:val="right"/>
              <w:rPr>
                <w:sz w:val="17"/>
              </w:rPr>
            </w:pPr>
            <w:r w:rsidRPr="00125FA8">
              <w:rPr>
                <w:color w:val="000000"/>
                <w:sz w:val="17"/>
              </w:rPr>
              <w:t>6 060 000</w:t>
            </w:r>
          </w:p>
        </w:tc>
      </w:tr>
      <w:tr w:rsidR="00240DEA" w:rsidRPr="00125FA8" w14:paraId="2CCE31BB" w14:textId="77777777" w:rsidTr="00696D06">
        <w:tc>
          <w:tcPr>
            <w:tcW w:w="2430" w:type="dxa"/>
            <w:shd w:val="clear" w:color="auto" w:fill="auto"/>
            <w:noWrap/>
            <w:vAlign w:val="bottom"/>
          </w:tcPr>
          <w:p w14:paraId="70D7C3C8" w14:textId="47070C21" w:rsidR="00240DEA" w:rsidRPr="00125FA8" w:rsidRDefault="00240DEA" w:rsidP="00240DEA">
            <w:pPr>
              <w:tabs>
                <w:tab w:val="left" w:pos="288"/>
                <w:tab w:val="left" w:pos="576"/>
                <w:tab w:val="left" w:pos="864"/>
                <w:tab w:val="left" w:pos="1152"/>
              </w:tabs>
              <w:spacing w:before="40" w:after="40" w:line="210" w:lineRule="exact"/>
              <w:ind w:right="40"/>
              <w:rPr>
                <w:sz w:val="17"/>
              </w:rPr>
            </w:pPr>
            <w:r w:rsidRPr="00125FA8">
              <w:rPr>
                <w:color w:val="000000"/>
                <w:sz w:val="17"/>
              </w:rPr>
              <w:t>2024/2025</w:t>
            </w:r>
          </w:p>
        </w:tc>
        <w:tc>
          <w:tcPr>
            <w:tcW w:w="2430" w:type="dxa"/>
            <w:shd w:val="clear" w:color="auto" w:fill="auto"/>
            <w:noWrap/>
            <w:vAlign w:val="bottom"/>
          </w:tcPr>
          <w:p w14:paraId="207ECC44" w14:textId="330AFFFB" w:rsidR="00240DEA" w:rsidRPr="00125FA8" w:rsidRDefault="00240DEA" w:rsidP="00240DEA">
            <w:pPr>
              <w:tabs>
                <w:tab w:val="left" w:pos="288"/>
                <w:tab w:val="left" w:pos="576"/>
                <w:tab w:val="left" w:pos="864"/>
                <w:tab w:val="left" w:pos="1152"/>
              </w:tabs>
              <w:spacing w:before="40" w:after="40" w:line="210" w:lineRule="exact"/>
              <w:ind w:right="40"/>
              <w:jc w:val="right"/>
              <w:rPr>
                <w:sz w:val="17"/>
              </w:rPr>
            </w:pPr>
            <w:r w:rsidRPr="00125FA8">
              <w:rPr>
                <w:color w:val="000000"/>
                <w:sz w:val="17"/>
              </w:rPr>
              <w:t>71 630 690</w:t>
            </w:r>
          </w:p>
        </w:tc>
        <w:tc>
          <w:tcPr>
            <w:tcW w:w="2430" w:type="dxa"/>
            <w:shd w:val="clear" w:color="auto" w:fill="auto"/>
            <w:noWrap/>
            <w:vAlign w:val="bottom"/>
          </w:tcPr>
          <w:p w14:paraId="3B6F02E0" w14:textId="0C895BFD" w:rsidR="00240DEA" w:rsidRPr="00125FA8" w:rsidRDefault="00240DEA" w:rsidP="00240DEA">
            <w:pPr>
              <w:tabs>
                <w:tab w:val="left" w:pos="288"/>
                <w:tab w:val="left" w:pos="576"/>
                <w:tab w:val="left" w:pos="864"/>
                <w:tab w:val="left" w:pos="1152"/>
              </w:tabs>
              <w:spacing w:before="40" w:after="40" w:line="210" w:lineRule="exact"/>
              <w:ind w:right="40"/>
              <w:jc w:val="right"/>
              <w:rPr>
                <w:sz w:val="17"/>
              </w:rPr>
            </w:pPr>
            <w:r w:rsidRPr="00125FA8">
              <w:rPr>
                <w:color w:val="000000"/>
                <w:sz w:val="17"/>
              </w:rPr>
              <w:t>9 444 999</w:t>
            </w:r>
          </w:p>
        </w:tc>
      </w:tr>
      <w:tr w:rsidR="00240DEA" w:rsidRPr="00125FA8" w14:paraId="62E6504C" w14:textId="77777777" w:rsidTr="00696D06">
        <w:tc>
          <w:tcPr>
            <w:tcW w:w="2430" w:type="dxa"/>
            <w:tcBorders>
              <w:bottom w:val="single" w:sz="12" w:space="0" w:color="auto"/>
            </w:tcBorders>
            <w:shd w:val="clear" w:color="auto" w:fill="auto"/>
            <w:noWrap/>
            <w:vAlign w:val="bottom"/>
          </w:tcPr>
          <w:p w14:paraId="7D568B0D" w14:textId="3FAD02AB" w:rsidR="00240DEA" w:rsidRPr="00125FA8" w:rsidRDefault="00240DEA" w:rsidP="00240DEA">
            <w:pPr>
              <w:tabs>
                <w:tab w:val="left" w:pos="288"/>
                <w:tab w:val="left" w:pos="576"/>
                <w:tab w:val="left" w:pos="864"/>
                <w:tab w:val="left" w:pos="1152"/>
              </w:tabs>
              <w:spacing w:before="40" w:after="40" w:line="210" w:lineRule="exact"/>
              <w:ind w:right="40"/>
              <w:rPr>
                <w:sz w:val="17"/>
              </w:rPr>
            </w:pPr>
            <w:r w:rsidRPr="00125FA8">
              <w:rPr>
                <w:color w:val="000000"/>
                <w:sz w:val="17"/>
              </w:rPr>
              <w:t>2025/2026</w:t>
            </w:r>
          </w:p>
        </w:tc>
        <w:tc>
          <w:tcPr>
            <w:tcW w:w="2430" w:type="dxa"/>
            <w:tcBorders>
              <w:bottom w:val="single" w:sz="12" w:space="0" w:color="auto"/>
            </w:tcBorders>
            <w:shd w:val="clear" w:color="auto" w:fill="auto"/>
            <w:noWrap/>
            <w:vAlign w:val="bottom"/>
          </w:tcPr>
          <w:p w14:paraId="7C2173CB" w14:textId="35CB49E3" w:rsidR="00240DEA" w:rsidRPr="00125FA8" w:rsidRDefault="00240DEA" w:rsidP="00240DEA">
            <w:pPr>
              <w:tabs>
                <w:tab w:val="left" w:pos="288"/>
                <w:tab w:val="left" w:pos="576"/>
                <w:tab w:val="left" w:pos="864"/>
                <w:tab w:val="left" w:pos="1152"/>
              </w:tabs>
              <w:spacing w:before="40" w:after="40" w:line="210" w:lineRule="exact"/>
              <w:ind w:right="40"/>
              <w:jc w:val="right"/>
              <w:rPr>
                <w:sz w:val="17"/>
              </w:rPr>
            </w:pPr>
            <w:r w:rsidRPr="00125FA8">
              <w:rPr>
                <w:color w:val="000000"/>
                <w:sz w:val="17"/>
              </w:rPr>
              <w:t>66 584 100</w:t>
            </w:r>
          </w:p>
        </w:tc>
        <w:tc>
          <w:tcPr>
            <w:tcW w:w="2430" w:type="dxa"/>
            <w:tcBorders>
              <w:bottom w:val="single" w:sz="12" w:space="0" w:color="auto"/>
            </w:tcBorders>
            <w:shd w:val="clear" w:color="auto" w:fill="auto"/>
            <w:noWrap/>
            <w:vAlign w:val="bottom"/>
          </w:tcPr>
          <w:p w14:paraId="2A643F8A" w14:textId="03824A3A" w:rsidR="00240DEA" w:rsidRPr="00125FA8" w:rsidRDefault="00240DEA" w:rsidP="00240DEA">
            <w:pPr>
              <w:tabs>
                <w:tab w:val="left" w:pos="288"/>
                <w:tab w:val="left" w:pos="576"/>
                <w:tab w:val="left" w:pos="864"/>
                <w:tab w:val="left" w:pos="1152"/>
              </w:tabs>
              <w:spacing w:before="40" w:after="40" w:line="210" w:lineRule="exact"/>
              <w:ind w:right="40"/>
              <w:jc w:val="right"/>
              <w:rPr>
                <w:sz w:val="17"/>
              </w:rPr>
            </w:pPr>
            <w:r w:rsidRPr="00125FA8">
              <w:rPr>
                <w:color w:val="000000"/>
                <w:sz w:val="17"/>
              </w:rPr>
              <w:t>10 200 000</w:t>
            </w:r>
          </w:p>
        </w:tc>
      </w:tr>
    </w:tbl>
    <w:p w14:paraId="0A83E69C" w14:textId="77777777" w:rsidR="00902888" w:rsidRPr="00125FA8" w:rsidRDefault="00902888" w:rsidP="00240DEA">
      <w:pPr>
        <w:pStyle w:val="SingleTxt"/>
        <w:spacing w:after="0" w:line="120" w:lineRule="exact"/>
        <w:rPr>
          <w:sz w:val="10"/>
        </w:rPr>
      </w:pPr>
    </w:p>
    <w:p w14:paraId="22225F28" w14:textId="77777777" w:rsidR="00240DEA" w:rsidRPr="00125FA8" w:rsidRDefault="00240DEA" w:rsidP="00240DEA">
      <w:pPr>
        <w:pStyle w:val="SingleTxt"/>
        <w:spacing w:after="0" w:line="120" w:lineRule="exact"/>
        <w:rPr>
          <w:sz w:val="10"/>
        </w:rPr>
      </w:pPr>
    </w:p>
    <w:p w14:paraId="29FDD67B" w14:textId="7DDE6757" w:rsidR="00AE70B4" w:rsidRPr="00125FA8" w:rsidRDefault="00AE70B4" w:rsidP="00636B5F">
      <w:pPr>
        <w:pStyle w:val="SingleTxt"/>
        <w:numPr>
          <w:ilvl w:val="0"/>
          <w:numId w:val="26"/>
        </w:numPr>
        <w:ind w:left="1267"/>
      </w:pPr>
      <w:r w:rsidRPr="00AE70B4">
        <w:t>La institución sigue avanzando en la mejora de su visibilidad tanto a nivel local como en el extranjero. En julio de 2024, la Oficina acogió la Segunda Exposición Internacional del Defensor del Pueblo, a la que asistieron más de 500 participantes, incluidas instituciones de derechos humanos de todo el mundo. Además, la Oficina lleva a cabo programas de divulgación pública y concienciación en todo el país, que incluyen clínicas del Defensor del Pueblo, actividades de sensibilización sobre derechos humanos y justicia administrativa, formación sobre mejores prácticas administrativas para jefes de departamento, etc. La Oficina del Defensor del Pueblo cuenta con cuatro oficinas situadas en diferentes regiones, a saber, la de Francistown, que entró en funcionamiento en 2002, la de Maun, que comenzó a funcionar en 2015, y la de Tsabong, que entró en funcionamiento en 2019, mientras que su sede se encuentra en Gaborone. Además, está previsto establecer otra oficina en Palapye durante el ejercicio económico en curso.</w:t>
      </w:r>
    </w:p>
    <w:p w14:paraId="6828DBF3" w14:textId="77777777" w:rsidR="00240DEA" w:rsidRPr="00125FA8" w:rsidRDefault="00240DEA" w:rsidP="00240DE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90"/>
        <w:gridCol w:w="1265"/>
        <w:gridCol w:w="1265"/>
        <w:gridCol w:w="1266"/>
        <w:gridCol w:w="1265"/>
        <w:gridCol w:w="1266"/>
      </w:tblGrid>
      <w:tr w:rsidR="00696D06" w:rsidRPr="00125FA8" w14:paraId="1F77E2CF" w14:textId="77777777" w:rsidTr="00170EBE">
        <w:trPr>
          <w:tblHeader/>
        </w:trPr>
        <w:tc>
          <w:tcPr>
            <w:tcW w:w="990" w:type="dxa"/>
            <w:tcBorders>
              <w:top w:val="single" w:sz="4" w:space="0" w:color="auto"/>
              <w:bottom w:val="single" w:sz="12" w:space="0" w:color="auto"/>
            </w:tcBorders>
            <w:shd w:val="clear" w:color="auto" w:fill="auto"/>
            <w:noWrap/>
            <w:vAlign w:val="bottom"/>
          </w:tcPr>
          <w:p w14:paraId="701CE740" w14:textId="75087F87" w:rsidR="00240DEA" w:rsidRPr="00125FA8" w:rsidRDefault="00696D06" w:rsidP="00696D06">
            <w:pPr>
              <w:tabs>
                <w:tab w:val="left" w:pos="288"/>
                <w:tab w:val="left" w:pos="576"/>
                <w:tab w:val="left" w:pos="864"/>
                <w:tab w:val="left" w:pos="1152"/>
              </w:tabs>
              <w:spacing w:before="80" w:after="80" w:line="160" w:lineRule="exact"/>
              <w:ind w:right="40"/>
              <w:rPr>
                <w:i/>
                <w:sz w:val="14"/>
              </w:rPr>
            </w:pPr>
            <w:r w:rsidRPr="00125FA8">
              <w:rPr>
                <w:i/>
                <w:sz w:val="14"/>
              </w:rPr>
              <w:t>Ejercicio económico</w:t>
            </w:r>
          </w:p>
        </w:tc>
        <w:tc>
          <w:tcPr>
            <w:tcW w:w="1265" w:type="dxa"/>
            <w:tcBorders>
              <w:top w:val="single" w:sz="4" w:space="0" w:color="auto"/>
              <w:bottom w:val="single" w:sz="12" w:space="0" w:color="auto"/>
            </w:tcBorders>
            <w:shd w:val="clear" w:color="auto" w:fill="auto"/>
            <w:noWrap/>
            <w:vAlign w:val="bottom"/>
          </w:tcPr>
          <w:p w14:paraId="1FE074BE" w14:textId="56D19FC2" w:rsidR="00240DEA" w:rsidRPr="00125FA8" w:rsidRDefault="00696D06" w:rsidP="00816E4C">
            <w:pPr>
              <w:tabs>
                <w:tab w:val="left" w:pos="150"/>
                <w:tab w:val="left" w:pos="288"/>
                <w:tab w:val="left" w:pos="576"/>
                <w:tab w:val="left" w:pos="864"/>
                <w:tab w:val="left" w:pos="1152"/>
              </w:tabs>
              <w:spacing w:before="80" w:after="80" w:line="160" w:lineRule="exact"/>
              <w:ind w:right="40"/>
              <w:jc w:val="right"/>
              <w:rPr>
                <w:i/>
                <w:sz w:val="14"/>
              </w:rPr>
            </w:pPr>
            <w:r w:rsidRPr="00125FA8">
              <w:rPr>
                <w:i/>
                <w:sz w:val="14"/>
              </w:rPr>
              <w:t>Gaborone</w:t>
            </w:r>
          </w:p>
        </w:tc>
        <w:tc>
          <w:tcPr>
            <w:tcW w:w="1265" w:type="dxa"/>
            <w:tcBorders>
              <w:top w:val="single" w:sz="4" w:space="0" w:color="auto"/>
              <w:bottom w:val="single" w:sz="12" w:space="0" w:color="auto"/>
            </w:tcBorders>
            <w:shd w:val="clear" w:color="auto" w:fill="auto"/>
            <w:noWrap/>
            <w:vAlign w:val="bottom"/>
          </w:tcPr>
          <w:p w14:paraId="00EB657C" w14:textId="5976656F" w:rsidR="00240DEA" w:rsidRPr="00125FA8" w:rsidRDefault="00696D06" w:rsidP="00696D06">
            <w:pPr>
              <w:tabs>
                <w:tab w:val="left" w:pos="288"/>
                <w:tab w:val="left" w:pos="576"/>
                <w:tab w:val="left" w:pos="864"/>
                <w:tab w:val="left" w:pos="1152"/>
              </w:tabs>
              <w:spacing w:before="80" w:after="80" w:line="160" w:lineRule="exact"/>
              <w:ind w:right="40"/>
              <w:jc w:val="right"/>
              <w:rPr>
                <w:i/>
                <w:sz w:val="14"/>
              </w:rPr>
            </w:pPr>
            <w:r w:rsidRPr="00125FA8">
              <w:rPr>
                <w:i/>
                <w:sz w:val="14"/>
              </w:rPr>
              <w:t>Francistown</w:t>
            </w:r>
          </w:p>
        </w:tc>
        <w:tc>
          <w:tcPr>
            <w:tcW w:w="1266" w:type="dxa"/>
            <w:tcBorders>
              <w:top w:val="single" w:sz="4" w:space="0" w:color="auto"/>
              <w:bottom w:val="single" w:sz="12" w:space="0" w:color="auto"/>
            </w:tcBorders>
            <w:shd w:val="clear" w:color="auto" w:fill="auto"/>
            <w:noWrap/>
            <w:vAlign w:val="bottom"/>
          </w:tcPr>
          <w:p w14:paraId="61A0EBF5" w14:textId="6B34F3E8" w:rsidR="00240DEA" w:rsidRPr="00125FA8" w:rsidRDefault="00696D06" w:rsidP="00696D06">
            <w:pPr>
              <w:tabs>
                <w:tab w:val="left" w:pos="288"/>
                <w:tab w:val="left" w:pos="576"/>
                <w:tab w:val="left" w:pos="864"/>
                <w:tab w:val="left" w:pos="1152"/>
              </w:tabs>
              <w:spacing w:before="80" w:after="80" w:line="160" w:lineRule="exact"/>
              <w:ind w:right="40"/>
              <w:jc w:val="right"/>
              <w:rPr>
                <w:i/>
                <w:sz w:val="14"/>
              </w:rPr>
            </w:pPr>
            <w:r w:rsidRPr="00125FA8">
              <w:rPr>
                <w:i/>
                <w:sz w:val="14"/>
              </w:rPr>
              <w:t>Maun</w:t>
            </w:r>
          </w:p>
        </w:tc>
        <w:tc>
          <w:tcPr>
            <w:tcW w:w="1265" w:type="dxa"/>
            <w:tcBorders>
              <w:top w:val="single" w:sz="4" w:space="0" w:color="auto"/>
              <w:bottom w:val="single" w:sz="12" w:space="0" w:color="auto"/>
            </w:tcBorders>
            <w:shd w:val="clear" w:color="auto" w:fill="auto"/>
            <w:noWrap/>
            <w:vAlign w:val="bottom"/>
          </w:tcPr>
          <w:p w14:paraId="758912C2" w14:textId="75168A76" w:rsidR="00240DEA" w:rsidRPr="00125FA8" w:rsidRDefault="00696D06" w:rsidP="00696D06">
            <w:pPr>
              <w:tabs>
                <w:tab w:val="left" w:pos="288"/>
                <w:tab w:val="left" w:pos="576"/>
                <w:tab w:val="left" w:pos="864"/>
                <w:tab w:val="left" w:pos="1152"/>
              </w:tabs>
              <w:spacing w:before="80" w:after="80" w:line="160" w:lineRule="exact"/>
              <w:ind w:right="40"/>
              <w:jc w:val="right"/>
              <w:rPr>
                <w:i/>
                <w:sz w:val="14"/>
              </w:rPr>
            </w:pPr>
            <w:r w:rsidRPr="00125FA8">
              <w:rPr>
                <w:i/>
                <w:sz w:val="14"/>
              </w:rPr>
              <w:t>Tsabong</w:t>
            </w:r>
          </w:p>
        </w:tc>
        <w:tc>
          <w:tcPr>
            <w:tcW w:w="1266" w:type="dxa"/>
            <w:tcBorders>
              <w:top w:val="single" w:sz="4" w:space="0" w:color="auto"/>
              <w:bottom w:val="single" w:sz="12" w:space="0" w:color="auto"/>
            </w:tcBorders>
            <w:shd w:val="clear" w:color="auto" w:fill="auto"/>
            <w:noWrap/>
            <w:vAlign w:val="bottom"/>
          </w:tcPr>
          <w:p w14:paraId="26A19257" w14:textId="30E035D4" w:rsidR="00240DEA" w:rsidRPr="00125FA8" w:rsidRDefault="00696D06" w:rsidP="00696D06">
            <w:pPr>
              <w:tabs>
                <w:tab w:val="left" w:pos="288"/>
                <w:tab w:val="left" w:pos="576"/>
                <w:tab w:val="left" w:pos="864"/>
                <w:tab w:val="left" w:pos="1152"/>
              </w:tabs>
              <w:spacing w:before="80" w:after="80" w:line="160" w:lineRule="exact"/>
              <w:ind w:right="40"/>
              <w:jc w:val="right"/>
              <w:rPr>
                <w:i/>
                <w:sz w:val="14"/>
              </w:rPr>
            </w:pPr>
            <w:r w:rsidRPr="00125FA8">
              <w:rPr>
                <w:i/>
                <w:sz w:val="14"/>
              </w:rPr>
              <w:t>Total</w:t>
            </w:r>
          </w:p>
        </w:tc>
      </w:tr>
      <w:tr w:rsidR="00240DEA" w:rsidRPr="00125FA8" w14:paraId="7B8ACCC6" w14:textId="77777777" w:rsidTr="00170EBE">
        <w:trPr>
          <w:trHeight w:hRule="exact" w:val="115"/>
          <w:tblHeader/>
        </w:trPr>
        <w:tc>
          <w:tcPr>
            <w:tcW w:w="990" w:type="dxa"/>
            <w:tcBorders>
              <w:top w:val="single" w:sz="12" w:space="0" w:color="auto"/>
            </w:tcBorders>
            <w:shd w:val="clear" w:color="auto" w:fill="auto"/>
            <w:noWrap/>
            <w:vAlign w:val="bottom"/>
          </w:tcPr>
          <w:p w14:paraId="1CAA9B2C" w14:textId="77777777" w:rsidR="00240DEA" w:rsidRPr="00125FA8" w:rsidRDefault="00240DEA" w:rsidP="00696D06">
            <w:pPr>
              <w:tabs>
                <w:tab w:val="left" w:pos="288"/>
                <w:tab w:val="left" w:pos="576"/>
                <w:tab w:val="left" w:pos="864"/>
                <w:tab w:val="left" w:pos="1152"/>
              </w:tabs>
              <w:spacing w:before="40" w:after="40" w:line="210" w:lineRule="exact"/>
              <w:ind w:right="40"/>
              <w:rPr>
                <w:sz w:val="17"/>
              </w:rPr>
            </w:pPr>
          </w:p>
        </w:tc>
        <w:tc>
          <w:tcPr>
            <w:tcW w:w="1265" w:type="dxa"/>
            <w:tcBorders>
              <w:top w:val="single" w:sz="12" w:space="0" w:color="auto"/>
            </w:tcBorders>
            <w:shd w:val="clear" w:color="auto" w:fill="auto"/>
            <w:noWrap/>
            <w:vAlign w:val="bottom"/>
          </w:tcPr>
          <w:p w14:paraId="580FA2A0" w14:textId="77777777" w:rsidR="00240DEA" w:rsidRPr="00125FA8" w:rsidRDefault="00240DEA" w:rsidP="00696D06">
            <w:pPr>
              <w:tabs>
                <w:tab w:val="left" w:pos="288"/>
                <w:tab w:val="left" w:pos="576"/>
                <w:tab w:val="left" w:pos="864"/>
                <w:tab w:val="left" w:pos="1152"/>
              </w:tabs>
              <w:spacing w:before="40" w:after="40" w:line="210" w:lineRule="exact"/>
              <w:ind w:right="40"/>
              <w:jc w:val="right"/>
              <w:rPr>
                <w:sz w:val="17"/>
              </w:rPr>
            </w:pPr>
          </w:p>
        </w:tc>
        <w:tc>
          <w:tcPr>
            <w:tcW w:w="1265" w:type="dxa"/>
            <w:tcBorders>
              <w:top w:val="single" w:sz="12" w:space="0" w:color="auto"/>
            </w:tcBorders>
            <w:shd w:val="clear" w:color="auto" w:fill="auto"/>
            <w:noWrap/>
            <w:vAlign w:val="bottom"/>
          </w:tcPr>
          <w:p w14:paraId="6ADEC471" w14:textId="77777777" w:rsidR="00240DEA" w:rsidRPr="00125FA8" w:rsidRDefault="00240DEA" w:rsidP="00696D06">
            <w:pPr>
              <w:tabs>
                <w:tab w:val="left" w:pos="288"/>
                <w:tab w:val="left" w:pos="576"/>
                <w:tab w:val="left" w:pos="864"/>
                <w:tab w:val="left" w:pos="1152"/>
              </w:tabs>
              <w:spacing w:before="40" w:after="40" w:line="210" w:lineRule="exact"/>
              <w:ind w:right="40"/>
              <w:jc w:val="right"/>
              <w:rPr>
                <w:sz w:val="17"/>
              </w:rPr>
            </w:pPr>
          </w:p>
        </w:tc>
        <w:tc>
          <w:tcPr>
            <w:tcW w:w="1266" w:type="dxa"/>
            <w:tcBorders>
              <w:top w:val="single" w:sz="12" w:space="0" w:color="auto"/>
            </w:tcBorders>
            <w:shd w:val="clear" w:color="auto" w:fill="auto"/>
            <w:noWrap/>
            <w:vAlign w:val="bottom"/>
          </w:tcPr>
          <w:p w14:paraId="7F23079A" w14:textId="77777777" w:rsidR="00240DEA" w:rsidRPr="00125FA8" w:rsidRDefault="00240DEA" w:rsidP="00696D06">
            <w:pPr>
              <w:tabs>
                <w:tab w:val="left" w:pos="288"/>
                <w:tab w:val="left" w:pos="576"/>
                <w:tab w:val="left" w:pos="864"/>
                <w:tab w:val="left" w:pos="1152"/>
              </w:tabs>
              <w:spacing w:before="40" w:after="40" w:line="210" w:lineRule="exact"/>
              <w:ind w:right="40"/>
              <w:jc w:val="right"/>
              <w:rPr>
                <w:sz w:val="17"/>
              </w:rPr>
            </w:pPr>
          </w:p>
        </w:tc>
        <w:tc>
          <w:tcPr>
            <w:tcW w:w="1265" w:type="dxa"/>
            <w:tcBorders>
              <w:top w:val="single" w:sz="12" w:space="0" w:color="auto"/>
            </w:tcBorders>
            <w:shd w:val="clear" w:color="auto" w:fill="auto"/>
            <w:noWrap/>
            <w:vAlign w:val="bottom"/>
          </w:tcPr>
          <w:p w14:paraId="7DE79627" w14:textId="77777777" w:rsidR="00240DEA" w:rsidRPr="00125FA8" w:rsidRDefault="00240DEA" w:rsidP="00696D06">
            <w:pPr>
              <w:tabs>
                <w:tab w:val="left" w:pos="288"/>
                <w:tab w:val="left" w:pos="576"/>
                <w:tab w:val="left" w:pos="864"/>
                <w:tab w:val="left" w:pos="1152"/>
              </w:tabs>
              <w:spacing w:before="40" w:after="40" w:line="210" w:lineRule="exact"/>
              <w:ind w:right="40"/>
              <w:jc w:val="right"/>
              <w:rPr>
                <w:sz w:val="17"/>
              </w:rPr>
            </w:pPr>
          </w:p>
        </w:tc>
        <w:tc>
          <w:tcPr>
            <w:tcW w:w="1266" w:type="dxa"/>
            <w:tcBorders>
              <w:top w:val="single" w:sz="12" w:space="0" w:color="auto"/>
            </w:tcBorders>
            <w:shd w:val="clear" w:color="auto" w:fill="auto"/>
            <w:noWrap/>
            <w:vAlign w:val="bottom"/>
          </w:tcPr>
          <w:p w14:paraId="38785612" w14:textId="77777777" w:rsidR="00240DEA" w:rsidRPr="00125FA8" w:rsidRDefault="00240DEA" w:rsidP="00696D06">
            <w:pPr>
              <w:tabs>
                <w:tab w:val="left" w:pos="288"/>
                <w:tab w:val="left" w:pos="576"/>
                <w:tab w:val="left" w:pos="864"/>
                <w:tab w:val="left" w:pos="1152"/>
              </w:tabs>
              <w:spacing w:before="40" w:after="40" w:line="210" w:lineRule="exact"/>
              <w:ind w:right="40"/>
              <w:jc w:val="right"/>
              <w:rPr>
                <w:sz w:val="17"/>
              </w:rPr>
            </w:pPr>
          </w:p>
        </w:tc>
      </w:tr>
      <w:tr w:rsidR="00696D06" w:rsidRPr="00125FA8" w14:paraId="495AEAAD" w14:textId="77777777" w:rsidTr="00170EBE">
        <w:tc>
          <w:tcPr>
            <w:tcW w:w="990" w:type="dxa"/>
            <w:shd w:val="clear" w:color="auto" w:fill="auto"/>
            <w:noWrap/>
            <w:vAlign w:val="bottom"/>
          </w:tcPr>
          <w:p w14:paraId="5544D273" w14:textId="05B1704E" w:rsidR="00696D06" w:rsidRPr="00125FA8" w:rsidRDefault="00696D06" w:rsidP="00696D06">
            <w:pPr>
              <w:tabs>
                <w:tab w:val="left" w:pos="288"/>
                <w:tab w:val="left" w:pos="576"/>
                <w:tab w:val="left" w:pos="864"/>
                <w:tab w:val="left" w:pos="1152"/>
              </w:tabs>
              <w:spacing w:before="40" w:after="40" w:line="210" w:lineRule="exact"/>
              <w:ind w:right="40"/>
              <w:rPr>
                <w:sz w:val="17"/>
              </w:rPr>
            </w:pPr>
            <w:r w:rsidRPr="00125FA8">
              <w:rPr>
                <w:color w:val="000000"/>
                <w:sz w:val="17"/>
              </w:rPr>
              <w:t>2021/2022</w:t>
            </w:r>
          </w:p>
        </w:tc>
        <w:tc>
          <w:tcPr>
            <w:tcW w:w="1265" w:type="dxa"/>
            <w:shd w:val="clear" w:color="auto" w:fill="auto"/>
            <w:noWrap/>
            <w:vAlign w:val="bottom"/>
          </w:tcPr>
          <w:p w14:paraId="4C4A68E8" w14:textId="032E04C2"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88</w:t>
            </w:r>
          </w:p>
        </w:tc>
        <w:tc>
          <w:tcPr>
            <w:tcW w:w="1265" w:type="dxa"/>
            <w:shd w:val="clear" w:color="auto" w:fill="auto"/>
            <w:noWrap/>
            <w:vAlign w:val="bottom"/>
          </w:tcPr>
          <w:p w14:paraId="5DA77208" w14:textId="1779353A"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26</w:t>
            </w:r>
          </w:p>
        </w:tc>
        <w:tc>
          <w:tcPr>
            <w:tcW w:w="1266" w:type="dxa"/>
            <w:shd w:val="clear" w:color="auto" w:fill="auto"/>
            <w:noWrap/>
            <w:vAlign w:val="bottom"/>
          </w:tcPr>
          <w:p w14:paraId="7BCE905E" w14:textId="1FFBA37B"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22</w:t>
            </w:r>
          </w:p>
        </w:tc>
        <w:tc>
          <w:tcPr>
            <w:tcW w:w="1265" w:type="dxa"/>
            <w:shd w:val="clear" w:color="auto" w:fill="auto"/>
            <w:noWrap/>
            <w:vAlign w:val="bottom"/>
          </w:tcPr>
          <w:p w14:paraId="3E8562D4" w14:textId="13BB6C1A"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9</w:t>
            </w:r>
          </w:p>
        </w:tc>
        <w:tc>
          <w:tcPr>
            <w:tcW w:w="1266" w:type="dxa"/>
            <w:shd w:val="clear" w:color="auto" w:fill="auto"/>
            <w:noWrap/>
            <w:vAlign w:val="bottom"/>
          </w:tcPr>
          <w:p w14:paraId="1E2D4273" w14:textId="182ED2E7"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145</w:t>
            </w:r>
          </w:p>
        </w:tc>
      </w:tr>
      <w:tr w:rsidR="00696D06" w:rsidRPr="00125FA8" w14:paraId="080D143A" w14:textId="77777777" w:rsidTr="00170EBE">
        <w:tc>
          <w:tcPr>
            <w:tcW w:w="990" w:type="dxa"/>
            <w:shd w:val="clear" w:color="auto" w:fill="auto"/>
            <w:noWrap/>
            <w:vAlign w:val="bottom"/>
          </w:tcPr>
          <w:p w14:paraId="3FE9D1D4" w14:textId="575D96E6" w:rsidR="00696D06" w:rsidRPr="00125FA8" w:rsidRDefault="00696D06" w:rsidP="00696D06">
            <w:pPr>
              <w:tabs>
                <w:tab w:val="left" w:pos="288"/>
                <w:tab w:val="left" w:pos="576"/>
                <w:tab w:val="left" w:pos="864"/>
                <w:tab w:val="left" w:pos="1152"/>
              </w:tabs>
              <w:spacing w:before="40" w:after="40" w:line="210" w:lineRule="exact"/>
              <w:ind w:right="40"/>
              <w:rPr>
                <w:sz w:val="17"/>
              </w:rPr>
            </w:pPr>
            <w:r w:rsidRPr="00125FA8">
              <w:rPr>
                <w:color w:val="000000"/>
                <w:sz w:val="17"/>
              </w:rPr>
              <w:t>2022/2023</w:t>
            </w:r>
          </w:p>
        </w:tc>
        <w:tc>
          <w:tcPr>
            <w:tcW w:w="1265" w:type="dxa"/>
            <w:shd w:val="clear" w:color="auto" w:fill="auto"/>
            <w:noWrap/>
            <w:vAlign w:val="bottom"/>
          </w:tcPr>
          <w:p w14:paraId="082389D6" w14:textId="3C72CB20"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111</w:t>
            </w:r>
          </w:p>
        </w:tc>
        <w:tc>
          <w:tcPr>
            <w:tcW w:w="1265" w:type="dxa"/>
            <w:shd w:val="clear" w:color="auto" w:fill="auto"/>
            <w:noWrap/>
            <w:vAlign w:val="bottom"/>
          </w:tcPr>
          <w:p w14:paraId="566B85B9" w14:textId="1AE74EBD"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61</w:t>
            </w:r>
          </w:p>
        </w:tc>
        <w:tc>
          <w:tcPr>
            <w:tcW w:w="1266" w:type="dxa"/>
            <w:shd w:val="clear" w:color="auto" w:fill="auto"/>
            <w:noWrap/>
            <w:vAlign w:val="bottom"/>
          </w:tcPr>
          <w:p w14:paraId="75F5DFC6" w14:textId="36C46068"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52</w:t>
            </w:r>
          </w:p>
        </w:tc>
        <w:tc>
          <w:tcPr>
            <w:tcW w:w="1265" w:type="dxa"/>
            <w:shd w:val="clear" w:color="auto" w:fill="auto"/>
            <w:noWrap/>
            <w:vAlign w:val="bottom"/>
          </w:tcPr>
          <w:p w14:paraId="74969966" w14:textId="26B35504"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5</w:t>
            </w:r>
          </w:p>
        </w:tc>
        <w:tc>
          <w:tcPr>
            <w:tcW w:w="1266" w:type="dxa"/>
            <w:shd w:val="clear" w:color="auto" w:fill="auto"/>
            <w:noWrap/>
            <w:vAlign w:val="bottom"/>
          </w:tcPr>
          <w:p w14:paraId="5087E29A" w14:textId="48D14F1F"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229</w:t>
            </w:r>
          </w:p>
        </w:tc>
      </w:tr>
      <w:tr w:rsidR="00696D06" w:rsidRPr="00125FA8" w14:paraId="50B6B05E" w14:textId="77777777" w:rsidTr="00170EBE">
        <w:tc>
          <w:tcPr>
            <w:tcW w:w="990" w:type="dxa"/>
            <w:tcBorders>
              <w:bottom w:val="single" w:sz="12" w:space="0" w:color="auto"/>
            </w:tcBorders>
            <w:shd w:val="clear" w:color="auto" w:fill="auto"/>
            <w:noWrap/>
            <w:vAlign w:val="bottom"/>
          </w:tcPr>
          <w:p w14:paraId="78CDA638" w14:textId="20D53BD8" w:rsidR="00696D06" w:rsidRPr="00125FA8" w:rsidRDefault="00696D06" w:rsidP="00696D06">
            <w:pPr>
              <w:tabs>
                <w:tab w:val="left" w:pos="288"/>
                <w:tab w:val="left" w:pos="576"/>
                <w:tab w:val="left" w:pos="864"/>
                <w:tab w:val="left" w:pos="1152"/>
              </w:tabs>
              <w:spacing w:before="40" w:after="40" w:line="210" w:lineRule="exact"/>
              <w:ind w:right="40"/>
              <w:rPr>
                <w:sz w:val="17"/>
              </w:rPr>
            </w:pPr>
            <w:r w:rsidRPr="00125FA8">
              <w:rPr>
                <w:color w:val="000000"/>
                <w:sz w:val="17"/>
              </w:rPr>
              <w:t>2024/2025</w:t>
            </w:r>
          </w:p>
        </w:tc>
        <w:tc>
          <w:tcPr>
            <w:tcW w:w="1265" w:type="dxa"/>
            <w:tcBorders>
              <w:bottom w:val="single" w:sz="12" w:space="0" w:color="auto"/>
            </w:tcBorders>
            <w:shd w:val="clear" w:color="auto" w:fill="auto"/>
            <w:noWrap/>
            <w:vAlign w:val="bottom"/>
          </w:tcPr>
          <w:p w14:paraId="046EB88B" w14:textId="2F65904E"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95</w:t>
            </w:r>
          </w:p>
        </w:tc>
        <w:tc>
          <w:tcPr>
            <w:tcW w:w="1265" w:type="dxa"/>
            <w:tcBorders>
              <w:bottom w:val="single" w:sz="12" w:space="0" w:color="auto"/>
            </w:tcBorders>
            <w:shd w:val="clear" w:color="auto" w:fill="auto"/>
            <w:noWrap/>
            <w:vAlign w:val="bottom"/>
          </w:tcPr>
          <w:p w14:paraId="26AA6C43" w14:textId="665DDB12"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42</w:t>
            </w:r>
          </w:p>
        </w:tc>
        <w:tc>
          <w:tcPr>
            <w:tcW w:w="1266" w:type="dxa"/>
            <w:tcBorders>
              <w:bottom w:val="single" w:sz="12" w:space="0" w:color="auto"/>
            </w:tcBorders>
            <w:shd w:val="clear" w:color="auto" w:fill="auto"/>
            <w:noWrap/>
            <w:vAlign w:val="bottom"/>
          </w:tcPr>
          <w:p w14:paraId="73080FEB" w14:textId="39AA4078"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93</w:t>
            </w:r>
          </w:p>
        </w:tc>
        <w:tc>
          <w:tcPr>
            <w:tcW w:w="1265" w:type="dxa"/>
            <w:tcBorders>
              <w:bottom w:val="single" w:sz="12" w:space="0" w:color="auto"/>
            </w:tcBorders>
            <w:shd w:val="clear" w:color="auto" w:fill="auto"/>
            <w:noWrap/>
            <w:vAlign w:val="bottom"/>
          </w:tcPr>
          <w:p w14:paraId="17579273" w14:textId="537809E5"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26</w:t>
            </w:r>
          </w:p>
        </w:tc>
        <w:tc>
          <w:tcPr>
            <w:tcW w:w="1266" w:type="dxa"/>
            <w:tcBorders>
              <w:bottom w:val="single" w:sz="12" w:space="0" w:color="auto"/>
            </w:tcBorders>
            <w:shd w:val="clear" w:color="auto" w:fill="auto"/>
            <w:noWrap/>
            <w:vAlign w:val="bottom"/>
          </w:tcPr>
          <w:p w14:paraId="159A04CC" w14:textId="3F2068EA" w:rsidR="00696D06" w:rsidRPr="00125FA8" w:rsidRDefault="00696D06" w:rsidP="00696D06">
            <w:pPr>
              <w:tabs>
                <w:tab w:val="left" w:pos="288"/>
                <w:tab w:val="left" w:pos="576"/>
                <w:tab w:val="left" w:pos="864"/>
                <w:tab w:val="left" w:pos="1152"/>
              </w:tabs>
              <w:spacing w:before="40" w:after="40" w:line="210" w:lineRule="exact"/>
              <w:ind w:right="40"/>
              <w:jc w:val="right"/>
              <w:rPr>
                <w:sz w:val="17"/>
              </w:rPr>
            </w:pPr>
            <w:r w:rsidRPr="00125FA8">
              <w:rPr>
                <w:color w:val="000000"/>
                <w:sz w:val="17"/>
              </w:rPr>
              <w:t>232</w:t>
            </w:r>
          </w:p>
        </w:tc>
      </w:tr>
    </w:tbl>
    <w:p w14:paraId="660E8FE9" w14:textId="77777777" w:rsidR="00240DEA" w:rsidRPr="00125FA8" w:rsidRDefault="00240DEA" w:rsidP="00240DEA">
      <w:pPr>
        <w:pStyle w:val="SingleTxt"/>
        <w:spacing w:after="0" w:line="120" w:lineRule="exact"/>
        <w:rPr>
          <w:sz w:val="10"/>
        </w:rPr>
      </w:pPr>
    </w:p>
    <w:p w14:paraId="21F54094" w14:textId="77777777" w:rsidR="00240DEA" w:rsidRPr="00125FA8" w:rsidRDefault="00240DEA" w:rsidP="00240DEA">
      <w:pPr>
        <w:pStyle w:val="SingleTxt"/>
        <w:spacing w:after="0" w:line="120" w:lineRule="exact"/>
        <w:rPr>
          <w:sz w:val="10"/>
        </w:rPr>
      </w:pPr>
    </w:p>
    <w:p w14:paraId="0A19FC7C" w14:textId="46EFC5EB" w:rsidR="00AE70B4" w:rsidRPr="00AE70B4" w:rsidRDefault="00AE70B4" w:rsidP="00636B5F">
      <w:pPr>
        <w:pStyle w:val="SingleTxt"/>
        <w:numPr>
          <w:ilvl w:val="0"/>
          <w:numId w:val="26"/>
        </w:numPr>
        <w:ind w:left="1267"/>
      </w:pPr>
      <w:r w:rsidRPr="00AE70B4">
        <w:t>Por último, la información tabulada que figura a continuación muestra el número de casos de mujeres recibidos por la Oficina del Defensor del Pueblo en los últimos años, desglosados por regiones. Las categorías de denuncias presentadas por las mujeres no tienen anotaciones específicas de sexo o género, sino que son generales y se basan principalmente en la prestación deficiente de servicios.</w:t>
      </w:r>
    </w:p>
    <w:p w14:paraId="14655AB7" w14:textId="77777777" w:rsidR="00490AFA" w:rsidRPr="00125FA8" w:rsidRDefault="00490AFA" w:rsidP="00227296">
      <w:pPr>
        <w:pStyle w:val="SingleTxt"/>
        <w:spacing w:after="0" w:line="120" w:lineRule="exact"/>
        <w:rPr>
          <w:sz w:val="10"/>
        </w:rPr>
      </w:pPr>
    </w:p>
    <w:p w14:paraId="5D849656" w14:textId="77777777" w:rsidR="00227296" w:rsidRPr="00125FA8" w:rsidRDefault="00227296" w:rsidP="00227296">
      <w:pPr>
        <w:pStyle w:val="SingleTxt"/>
        <w:spacing w:after="0" w:line="120" w:lineRule="exact"/>
        <w:rPr>
          <w:sz w:val="10"/>
        </w:rPr>
      </w:pPr>
    </w:p>
    <w:p w14:paraId="5AF63098" w14:textId="0DA2C94F" w:rsidR="00AC55FE" w:rsidRPr="00125FA8" w:rsidRDefault="00227296" w:rsidP="002272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r>
      <w:r w:rsidR="00AC55FE" w:rsidRPr="00125FA8">
        <w:t>Medidas especiales de carácter temporal</w:t>
      </w:r>
    </w:p>
    <w:p w14:paraId="7520FB50" w14:textId="77777777" w:rsidR="00227296" w:rsidRPr="00125FA8" w:rsidRDefault="00227296" w:rsidP="00227296">
      <w:pPr>
        <w:pStyle w:val="SingleTxt"/>
        <w:spacing w:after="0" w:line="120" w:lineRule="exact"/>
        <w:rPr>
          <w:sz w:val="10"/>
        </w:rPr>
      </w:pPr>
    </w:p>
    <w:p w14:paraId="3DFB5DBB" w14:textId="77777777" w:rsidR="00227296" w:rsidRPr="00125FA8" w:rsidRDefault="00227296" w:rsidP="00227296">
      <w:pPr>
        <w:pStyle w:val="SingleTxt"/>
        <w:spacing w:after="0" w:line="120" w:lineRule="exact"/>
        <w:rPr>
          <w:sz w:val="10"/>
        </w:rPr>
      </w:pPr>
    </w:p>
    <w:p w14:paraId="31B30BF7" w14:textId="1FA00B06" w:rsidR="00AC55FE" w:rsidRPr="00125FA8" w:rsidRDefault="00AC55FE" w:rsidP="002272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8</w:t>
      </w:r>
    </w:p>
    <w:p w14:paraId="1FD0AAE4" w14:textId="77777777" w:rsidR="00227296" w:rsidRPr="00125FA8" w:rsidRDefault="00227296" w:rsidP="00227296">
      <w:pPr>
        <w:pStyle w:val="SingleTxt"/>
        <w:spacing w:after="0" w:line="120" w:lineRule="exact"/>
        <w:rPr>
          <w:sz w:val="10"/>
        </w:rPr>
      </w:pPr>
    </w:p>
    <w:p w14:paraId="5BE440F7" w14:textId="77777777" w:rsidR="00227296" w:rsidRPr="00125FA8" w:rsidRDefault="00227296" w:rsidP="00227296">
      <w:pPr>
        <w:pStyle w:val="SingleTxt"/>
        <w:spacing w:after="0" w:line="120" w:lineRule="exact"/>
        <w:rPr>
          <w:sz w:val="10"/>
        </w:rPr>
      </w:pPr>
    </w:p>
    <w:p w14:paraId="3CDEC6EA" w14:textId="301F64C4" w:rsidR="00AC55FE" w:rsidRPr="00125FA8" w:rsidRDefault="00AC55FE" w:rsidP="00636B5F">
      <w:pPr>
        <w:pStyle w:val="SingleTxt"/>
        <w:numPr>
          <w:ilvl w:val="0"/>
          <w:numId w:val="26"/>
        </w:numPr>
        <w:ind w:left="1267"/>
      </w:pPr>
      <w:r w:rsidRPr="00AC55FE">
        <w:t>El Gobierno de Botswana seguirá colaborando con la sociedad civil para capacitar a los diferentes partidos políticos y otras estructuras de liderazgo a nivel comunitario sobre la importancia que tiene la igualdad de representación en todos los niveles, así como la adopción de medidas especiales cuando haya una representación insuficiente de mujeres u hombres.</w:t>
      </w:r>
    </w:p>
    <w:p w14:paraId="284BD768" w14:textId="77777777" w:rsidR="00227296" w:rsidRPr="00125FA8" w:rsidRDefault="00227296" w:rsidP="00227296">
      <w:pPr>
        <w:pStyle w:val="SingleTxt"/>
        <w:spacing w:after="0" w:line="120" w:lineRule="exact"/>
        <w:rPr>
          <w:sz w:val="10"/>
        </w:rPr>
      </w:pPr>
    </w:p>
    <w:p w14:paraId="372E47F4" w14:textId="77777777" w:rsidR="00227296" w:rsidRPr="00125FA8" w:rsidRDefault="00227296" w:rsidP="00227296">
      <w:pPr>
        <w:pStyle w:val="SingleTxt"/>
        <w:spacing w:after="0" w:line="120" w:lineRule="exact"/>
        <w:rPr>
          <w:sz w:val="10"/>
        </w:rPr>
      </w:pPr>
    </w:p>
    <w:p w14:paraId="4981E416" w14:textId="77777777" w:rsidR="00AC55FE" w:rsidRPr="00125FA8" w:rsidRDefault="00AC55FE" w:rsidP="00F776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lastRenderedPageBreak/>
        <w:tab/>
      </w:r>
      <w:r w:rsidRPr="00125FA8">
        <w:tab/>
        <w:t>Estereotipos de género</w:t>
      </w:r>
    </w:p>
    <w:p w14:paraId="21D3361C" w14:textId="77777777" w:rsidR="007E02EF" w:rsidRPr="00125FA8" w:rsidRDefault="007E02EF" w:rsidP="00170EBE">
      <w:pPr>
        <w:pStyle w:val="SingleTxt"/>
        <w:keepNext/>
        <w:keepLines/>
        <w:spacing w:after="0" w:line="120" w:lineRule="exact"/>
        <w:rPr>
          <w:sz w:val="10"/>
        </w:rPr>
      </w:pPr>
    </w:p>
    <w:p w14:paraId="4E18BA5F" w14:textId="77777777" w:rsidR="007E02EF" w:rsidRPr="00125FA8" w:rsidRDefault="007E02EF" w:rsidP="00170EBE">
      <w:pPr>
        <w:pStyle w:val="SingleTxt"/>
        <w:keepNext/>
        <w:keepLines/>
        <w:spacing w:after="0" w:line="120" w:lineRule="exact"/>
        <w:rPr>
          <w:sz w:val="10"/>
        </w:rPr>
      </w:pPr>
    </w:p>
    <w:p w14:paraId="1717FB1C" w14:textId="08073FAB" w:rsidR="00AC55FE" w:rsidRPr="00125FA8" w:rsidRDefault="00AC55FE" w:rsidP="00F776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9</w:t>
      </w:r>
    </w:p>
    <w:p w14:paraId="31C3DC68" w14:textId="77777777" w:rsidR="007E02EF" w:rsidRPr="00125FA8" w:rsidRDefault="007E02EF" w:rsidP="00170EBE">
      <w:pPr>
        <w:pStyle w:val="SingleTxt"/>
        <w:keepNext/>
        <w:keepLines/>
        <w:spacing w:after="0" w:line="120" w:lineRule="exact"/>
        <w:rPr>
          <w:sz w:val="10"/>
        </w:rPr>
      </w:pPr>
    </w:p>
    <w:p w14:paraId="78D6E617" w14:textId="77777777" w:rsidR="007E02EF" w:rsidRPr="00125FA8" w:rsidRDefault="007E02EF" w:rsidP="007E02EF">
      <w:pPr>
        <w:pStyle w:val="SingleTxt"/>
        <w:spacing w:after="0" w:line="120" w:lineRule="exact"/>
        <w:rPr>
          <w:sz w:val="10"/>
        </w:rPr>
      </w:pPr>
    </w:p>
    <w:p w14:paraId="0E090FDB" w14:textId="20228C74" w:rsidR="00AC55FE" w:rsidRPr="00AC55FE" w:rsidRDefault="00AC55FE" w:rsidP="00636B5F">
      <w:pPr>
        <w:pStyle w:val="SingleTxt"/>
        <w:numPr>
          <w:ilvl w:val="0"/>
          <w:numId w:val="26"/>
        </w:numPr>
        <w:ind w:left="1267"/>
      </w:pPr>
      <w:r w:rsidRPr="00AC55FE">
        <w:t>El Mecanismo Nacional de Género, el sector de los hombres, el sector de las mujeres, los comités de género de distrito y las entidades de la sociedad civil que trabajan con hombres y niños siguen llevando a cabo actividades de educación pública centradas en hacer frente a los estereotipos de género y promover una masculinidad positiva entre hombres y niños. Se trata de diálogos comunitarios y conversaciones entre distintos grupos de mujeres, hombres, niñas y niños de todo el país.</w:t>
      </w:r>
    </w:p>
    <w:p w14:paraId="0CB1FE42" w14:textId="6872FA28" w:rsidR="00AC55FE" w:rsidRPr="00AC55FE" w:rsidRDefault="00AC55FE" w:rsidP="00636B5F">
      <w:pPr>
        <w:pStyle w:val="SingleTxt"/>
        <w:numPr>
          <w:ilvl w:val="0"/>
          <w:numId w:val="26"/>
        </w:numPr>
        <w:ind w:left="1267"/>
      </w:pPr>
      <w:r w:rsidRPr="00AC55FE">
        <w:t>Tras constatar la existencia de focos de matrimonios infantiles, en 2024, el Ministro responsable de Género se reunió con las comunidades afectadas para concienciar de los peligros de los matrimonios infantiles y recalcó que estos matrimonios constituyen una violación de los derechos de los niños y contravienen la Ley del Matrimonio y la Ley de la Infancia. Además, advirtió que quienes sigan cometiendo estos actos serán procesados.</w:t>
      </w:r>
    </w:p>
    <w:p w14:paraId="2373D836" w14:textId="1DF3BD54" w:rsidR="00AC55FE" w:rsidRPr="00AC55FE" w:rsidRDefault="00AC55FE" w:rsidP="00636B5F">
      <w:pPr>
        <w:pStyle w:val="SingleTxt"/>
        <w:numPr>
          <w:ilvl w:val="0"/>
          <w:numId w:val="26"/>
        </w:numPr>
        <w:ind w:left="1267"/>
      </w:pPr>
      <w:r w:rsidRPr="00AC55FE">
        <w:t xml:space="preserve">Los datos se obtendrán de los Servicios de Protección Social. </w:t>
      </w:r>
    </w:p>
    <w:p w14:paraId="2E3A45DE" w14:textId="2AB30F77" w:rsidR="00AC55FE" w:rsidRPr="00125FA8" w:rsidRDefault="00AC55FE" w:rsidP="00170EBE">
      <w:pPr>
        <w:pStyle w:val="SingleTxt"/>
        <w:numPr>
          <w:ilvl w:val="0"/>
          <w:numId w:val="26"/>
        </w:numPr>
        <w:spacing w:after="60"/>
        <w:ind w:left="1267"/>
      </w:pPr>
      <w:r w:rsidRPr="00AC55FE">
        <w:t>Como se indica en la respuesta al párrafo 9.</w:t>
      </w:r>
    </w:p>
    <w:p w14:paraId="50B21BF6" w14:textId="77777777" w:rsidR="007E02EF" w:rsidRPr="00125FA8" w:rsidRDefault="007E02EF" w:rsidP="007E02EF">
      <w:pPr>
        <w:pStyle w:val="SingleTxt"/>
        <w:spacing w:after="0" w:line="120" w:lineRule="exact"/>
        <w:rPr>
          <w:sz w:val="10"/>
        </w:rPr>
      </w:pPr>
    </w:p>
    <w:p w14:paraId="5B95F69D" w14:textId="77777777" w:rsidR="007E02EF" w:rsidRPr="00125FA8" w:rsidRDefault="007E02EF" w:rsidP="007E02EF">
      <w:pPr>
        <w:pStyle w:val="SingleTxt"/>
        <w:spacing w:after="0" w:line="120" w:lineRule="exact"/>
        <w:rPr>
          <w:sz w:val="10"/>
        </w:rPr>
      </w:pPr>
    </w:p>
    <w:p w14:paraId="0C971C9C" w14:textId="25E623FB" w:rsidR="00AC55FE" w:rsidRPr="00125FA8" w:rsidRDefault="00AC55FE" w:rsidP="007E0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10</w:t>
      </w:r>
    </w:p>
    <w:p w14:paraId="3C7F74D0" w14:textId="77777777" w:rsidR="007E02EF" w:rsidRPr="00125FA8" w:rsidRDefault="007E02EF" w:rsidP="007E02EF">
      <w:pPr>
        <w:pStyle w:val="SingleTxt"/>
        <w:spacing w:after="0" w:line="120" w:lineRule="exact"/>
        <w:rPr>
          <w:sz w:val="10"/>
        </w:rPr>
      </w:pPr>
    </w:p>
    <w:p w14:paraId="5099D592" w14:textId="77777777" w:rsidR="007E02EF" w:rsidRPr="00125FA8" w:rsidRDefault="007E02EF" w:rsidP="007E02EF">
      <w:pPr>
        <w:pStyle w:val="SingleTxt"/>
        <w:spacing w:after="0" w:line="120" w:lineRule="exact"/>
        <w:rPr>
          <w:sz w:val="10"/>
        </w:rPr>
      </w:pPr>
    </w:p>
    <w:p w14:paraId="1C3140AD" w14:textId="3B172CF8" w:rsidR="00AC55FE" w:rsidRPr="00125FA8" w:rsidRDefault="00AC55FE" w:rsidP="00170EBE">
      <w:pPr>
        <w:pStyle w:val="SingleTxt"/>
        <w:numPr>
          <w:ilvl w:val="0"/>
          <w:numId w:val="26"/>
        </w:numPr>
        <w:spacing w:after="80"/>
        <w:ind w:left="1267"/>
      </w:pPr>
      <w:r w:rsidRPr="00AC55FE">
        <w:t>Desde 2016, el Gobierno colabora constantemente con los líderes religiosos en materia de igualdad de género y empoderamiento de las mujeres, incluidas la prevención y la gestión de la violencia de género. El Gobierno, en colaboración con Botswana Christian Health and AIDS Intervention Programme (BOCHAIP), está llevando a cabo actividades de creación de capacidad en ocho distritos que son focos de violencia de género. La formación se rige por el manual sobre formación en prevención y respuesta a la violencia de género para líderes religiosos.</w:t>
      </w:r>
    </w:p>
    <w:p w14:paraId="3BEF6365" w14:textId="77777777" w:rsidR="007E02EF" w:rsidRPr="00125FA8" w:rsidRDefault="007E02EF" w:rsidP="007E02EF">
      <w:pPr>
        <w:pStyle w:val="SingleTxt"/>
        <w:spacing w:after="0" w:line="120" w:lineRule="exact"/>
        <w:rPr>
          <w:sz w:val="10"/>
        </w:rPr>
      </w:pPr>
    </w:p>
    <w:p w14:paraId="6D58B0DC" w14:textId="77777777" w:rsidR="007E02EF" w:rsidRPr="00125FA8" w:rsidRDefault="007E02EF" w:rsidP="007E02EF">
      <w:pPr>
        <w:pStyle w:val="SingleTxt"/>
        <w:spacing w:after="0" w:line="120" w:lineRule="exact"/>
        <w:rPr>
          <w:sz w:val="10"/>
        </w:rPr>
      </w:pPr>
    </w:p>
    <w:p w14:paraId="288AE293" w14:textId="77777777" w:rsidR="00AC55FE" w:rsidRPr="00125FA8" w:rsidRDefault="00AC55FE" w:rsidP="007E02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Violencia de género contra la mujer</w:t>
      </w:r>
    </w:p>
    <w:p w14:paraId="660B735F" w14:textId="77777777" w:rsidR="007E02EF" w:rsidRPr="00125FA8" w:rsidRDefault="007E02EF" w:rsidP="007E02EF">
      <w:pPr>
        <w:pStyle w:val="SingleTxt"/>
        <w:spacing w:after="0" w:line="120" w:lineRule="exact"/>
        <w:rPr>
          <w:sz w:val="10"/>
        </w:rPr>
      </w:pPr>
    </w:p>
    <w:p w14:paraId="5BF97642" w14:textId="77777777" w:rsidR="007E02EF" w:rsidRPr="00125FA8" w:rsidRDefault="007E02EF" w:rsidP="007E02EF">
      <w:pPr>
        <w:pStyle w:val="SingleTxt"/>
        <w:spacing w:after="0" w:line="120" w:lineRule="exact"/>
        <w:rPr>
          <w:sz w:val="10"/>
        </w:rPr>
      </w:pPr>
    </w:p>
    <w:p w14:paraId="7322DDF1" w14:textId="671DDC08" w:rsidR="00AC55FE" w:rsidRPr="00125FA8" w:rsidRDefault="00AC55FE" w:rsidP="00636B5F">
      <w:pPr>
        <w:pStyle w:val="SingleTxt"/>
        <w:numPr>
          <w:ilvl w:val="0"/>
          <w:numId w:val="26"/>
        </w:numPr>
        <w:ind w:left="1267"/>
      </w:pPr>
      <w:r w:rsidRPr="00AC55FE">
        <w:t>Las mujeres constituyen la mayoría de los miembros del Comité Interministerial, especialmente a nivel técnico. Así se garantiza que se tengan en cuenta sus opiniones en las fases iniciales de la planificación de la respuesta nacional. Además, las medidas del</w:t>
      </w:r>
      <w:r w:rsidRPr="00AC55FE">
        <w:rPr>
          <w:b/>
          <w:bCs/>
        </w:rPr>
        <w:t xml:space="preserve"> </w:t>
      </w:r>
      <w:r w:rsidRPr="00AC55FE">
        <w:t>Comité Interministerial se basan en la evaluación de las necesidades y en las observaciones formuladas por los comités de género de los distritos y otras estructuras como la sociedad civil, los Dikgosi</w:t>
      </w:r>
      <w:r w:rsidRPr="00AC55FE">
        <w:rPr>
          <w:b/>
          <w:bCs/>
        </w:rPr>
        <w:t xml:space="preserve"> </w:t>
      </w:r>
      <w:r w:rsidRPr="00AC55FE">
        <w:t>y las organizaciones confesionales, y se dirigen a mujeres y hombres y niñas y niños, según su localidad.</w:t>
      </w:r>
    </w:p>
    <w:p w14:paraId="66F7081A" w14:textId="77777777" w:rsidR="007E02EF" w:rsidRPr="00125FA8" w:rsidRDefault="007E02EF" w:rsidP="007E02EF">
      <w:pPr>
        <w:pStyle w:val="SingleTxt"/>
        <w:spacing w:after="0" w:line="120" w:lineRule="exact"/>
        <w:rPr>
          <w:sz w:val="10"/>
        </w:rPr>
      </w:pPr>
    </w:p>
    <w:p w14:paraId="1FA35354" w14:textId="77777777" w:rsidR="007E02EF" w:rsidRPr="00125FA8" w:rsidRDefault="007E02EF" w:rsidP="007E02EF">
      <w:pPr>
        <w:pStyle w:val="SingleTxt"/>
        <w:spacing w:after="0" w:line="120" w:lineRule="exact"/>
        <w:rPr>
          <w:sz w:val="10"/>
        </w:rPr>
      </w:pPr>
    </w:p>
    <w:p w14:paraId="1BA95DC4" w14:textId="333EB680" w:rsidR="00AC55FE" w:rsidRPr="00125FA8" w:rsidRDefault="00AC55FE" w:rsidP="007E0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11 a)</w:t>
      </w:r>
    </w:p>
    <w:p w14:paraId="1745D6B5" w14:textId="77777777" w:rsidR="007E02EF" w:rsidRPr="00125FA8" w:rsidRDefault="007E02EF" w:rsidP="007E02EF">
      <w:pPr>
        <w:pStyle w:val="SingleTxt"/>
        <w:spacing w:after="0" w:line="120" w:lineRule="exact"/>
        <w:rPr>
          <w:sz w:val="10"/>
        </w:rPr>
      </w:pPr>
    </w:p>
    <w:p w14:paraId="63F9B057" w14:textId="77777777" w:rsidR="007E02EF" w:rsidRPr="00125FA8" w:rsidRDefault="007E02EF" w:rsidP="007E02EF">
      <w:pPr>
        <w:pStyle w:val="SingleTxt"/>
        <w:spacing w:after="0" w:line="120" w:lineRule="exact"/>
        <w:rPr>
          <w:sz w:val="10"/>
        </w:rPr>
      </w:pPr>
    </w:p>
    <w:p w14:paraId="4B7EDB61" w14:textId="007EF84D" w:rsidR="00AC55FE" w:rsidRPr="00125FA8" w:rsidRDefault="00AC55FE" w:rsidP="00636B5F">
      <w:pPr>
        <w:pStyle w:val="SingleTxt"/>
        <w:numPr>
          <w:ilvl w:val="0"/>
          <w:numId w:val="26"/>
        </w:numPr>
        <w:ind w:left="1267"/>
      </w:pPr>
      <w:r w:rsidRPr="00AC55FE">
        <w:t>El Gobierno está considerando actualmente la posibilidad de realizar un examen de la Ley de Violencia Doméstica para reforzarla y armonizarla con otros textos legislativos que abordan la violencia de género.</w:t>
      </w:r>
    </w:p>
    <w:p w14:paraId="07AA7EC0" w14:textId="77777777" w:rsidR="007E02EF" w:rsidRPr="00125FA8" w:rsidRDefault="007E02EF" w:rsidP="007E02EF">
      <w:pPr>
        <w:pStyle w:val="SingleTxt"/>
        <w:spacing w:after="0" w:line="120" w:lineRule="exact"/>
        <w:rPr>
          <w:sz w:val="10"/>
        </w:rPr>
      </w:pPr>
    </w:p>
    <w:p w14:paraId="05F6F1A5" w14:textId="77777777" w:rsidR="007E02EF" w:rsidRPr="00125FA8" w:rsidRDefault="007E02EF" w:rsidP="007E02EF">
      <w:pPr>
        <w:pStyle w:val="SingleTxt"/>
        <w:spacing w:after="0" w:line="120" w:lineRule="exact"/>
        <w:rPr>
          <w:sz w:val="10"/>
        </w:rPr>
      </w:pPr>
    </w:p>
    <w:p w14:paraId="5CB2F466" w14:textId="1BF961B7" w:rsidR="00AC55FE" w:rsidRPr="00125FA8" w:rsidRDefault="00AC55FE" w:rsidP="007E0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11 b)</w:t>
      </w:r>
    </w:p>
    <w:p w14:paraId="4F75ED7A" w14:textId="77777777" w:rsidR="007E02EF" w:rsidRPr="00125FA8" w:rsidRDefault="007E02EF" w:rsidP="007E02EF">
      <w:pPr>
        <w:pStyle w:val="SingleTxt"/>
        <w:spacing w:after="0" w:line="120" w:lineRule="exact"/>
        <w:rPr>
          <w:sz w:val="10"/>
        </w:rPr>
      </w:pPr>
    </w:p>
    <w:p w14:paraId="5E20617C" w14:textId="77777777" w:rsidR="007E02EF" w:rsidRPr="00125FA8" w:rsidRDefault="007E02EF" w:rsidP="007E02EF">
      <w:pPr>
        <w:pStyle w:val="SingleTxt"/>
        <w:spacing w:after="0" w:line="120" w:lineRule="exact"/>
        <w:rPr>
          <w:sz w:val="10"/>
        </w:rPr>
      </w:pPr>
    </w:p>
    <w:p w14:paraId="5856D6ED" w14:textId="68E046AA" w:rsidR="00AC55FE" w:rsidRPr="00125FA8" w:rsidRDefault="00AC55FE" w:rsidP="00170EBE">
      <w:pPr>
        <w:pStyle w:val="SingleTxt"/>
        <w:numPr>
          <w:ilvl w:val="0"/>
          <w:numId w:val="26"/>
        </w:numPr>
        <w:spacing w:after="0"/>
        <w:ind w:left="1267"/>
      </w:pPr>
      <w:r w:rsidRPr="00AC55FE">
        <w:t>Aunque el Código Penal no recoge explícitamente la violación conyugal, en Botswana está tipificada como delito tras la promulgación de la Ley de Supresión de la Potestad Marital.</w:t>
      </w:r>
    </w:p>
    <w:p w14:paraId="3F0E1542" w14:textId="77777777" w:rsidR="007E02EF" w:rsidRPr="00125FA8" w:rsidRDefault="007E02EF" w:rsidP="007E02EF">
      <w:pPr>
        <w:pStyle w:val="SingleTxt"/>
        <w:spacing w:after="0" w:line="120" w:lineRule="exact"/>
        <w:rPr>
          <w:sz w:val="10"/>
        </w:rPr>
      </w:pPr>
    </w:p>
    <w:p w14:paraId="168E9C2B" w14:textId="77777777" w:rsidR="007E02EF" w:rsidRPr="00125FA8" w:rsidRDefault="007E02EF" w:rsidP="007E02EF">
      <w:pPr>
        <w:pStyle w:val="SingleTxt"/>
        <w:spacing w:after="0" w:line="120" w:lineRule="exact"/>
        <w:rPr>
          <w:sz w:val="10"/>
        </w:rPr>
      </w:pPr>
    </w:p>
    <w:p w14:paraId="16803531" w14:textId="5C90D800" w:rsidR="00AC55FE" w:rsidRPr="00125FA8" w:rsidRDefault="00AC55FE" w:rsidP="007E0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lastRenderedPageBreak/>
        <w:tab/>
      </w:r>
      <w:r w:rsidRPr="00125FA8">
        <w:tab/>
        <w:t>Respuesta al párrafo 11 c)</w:t>
      </w:r>
    </w:p>
    <w:p w14:paraId="2EC84DCA" w14:textId="77777777" w:rsidR="007E02EF" w:rsidRPr="00125FA8" w:rsidRDefault="007E02EF" w:rsidP="007E02EF">
      <w:pPr>
        <w:pStyle w:val="SingleTxt"/>
        <w:spacing w:after="0" w:line="120" w:lineRule="exact"/>
        <w:rPr>
          <w:sz w:val="10"/>
        </w:rPr>
      </w:pPr>
    </w:p>
    <w:p w14:paraId="6D4C4D56" w14:textId="77777777" w:rsidR="007E02EF" w:rsidRPr="00125FA8" w:rsidRDefault="007E02EF" w:rsidP="007E02EF">
      <w:pPr>
        <w:pStyle w:val="SingleTxt"/>
        <w:spacing w:after="0" w:line="120" w:lineRule="exact"/>
        <w:rPr>
          <w:sz w:val="10"/>
        </w:rPr>
      </w:pPr>
    </w:p>
    <w:p w14:paraId="4F854C47" w14:textId="04DA2BDE" w:rsidR="00AC55FE" w:rsidRPr="00AC55FE" w:rsidRDefault="00AC55FE" w:rsidP="00636B5F">
      <w:pPr>
        <w:pStyle w:val="SingleTxt"/>
        <w:numPr>
          <w:ilvl w:val="0"/>
          <w:numId w:val="26"/>
        </w:numPr>
        <w:ind w:left="1267"/>
      </w:pPr>
      <w:r w:rsidRPr="00AC55FE">
        <w:t>El Servicio de Policía de Botswana facilita la aplicación efectiva de las órdenes de protección dictadas por los tribunales. El siguiente cuadro muestra el número de órdenes ejecutadas.</w:t>
      </w:r>
    </w:p>
    <w:p w14:paraId="59C7BC24" w14:textId="77777777" w:rsidR="00490AFA" w:rsidRPr="00125FA8" w:rsidRDefault="00490AFA" w:rsidP="00FE4F8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3"/>
        <w:gridCol w:w="3663"/>
      </w:tblGrid>
      <w:tr w:rsidR="00111C02" w:rsidRPr="00125FA8" w14:paraId="66092F4A" w14:textId="77777777" w:rsidTr="00111C02">
        <w:trPr>
          <w:tblHeader/>
        </w:trPr>
        <w:tc>
          <w:tcPr>
            <w:tcW w:w="3663" w:type="dxa"/>
            <w:tcBorders>
              <w:top w:val="single" w:sz="4" w:space="0" w:color="auto"/>
              <w:bottom w:val="single" w:sz="12" w:space="0" w:color="auto"/>
            </w:tcBorders>
            <w:shd w:val="clear" w:color="auto" w:fill="auto"/>
            <w:noWrap/>
            <w:vAlign w:val="bottom"/>
          </w:tcPr>
          <w:p w14:paraId="2987B2F4" w14:textId="28273DE8" w:rsidR="00111C02" w:rsidRPr="00125FA8" w:rsidRDefault="00111C02" w:rsidP="00111C02">
            <w:pPr>
              <w:tabs>
                <w:tab w:val="left" w:pos="288"/>
                <w:tab w:val="left" w:pos="576"/>
                <w:tab w:val="left" w:pos="864"/>
                <w:tab w:val="left" w:pos="1152"/>
              </w:tabs>
              <w:spacing w:before="80" w:after="80" w:line="160" w:lineRule="exact"/>
              <w:ind w:right="40"/>
              <w:rPr>
                <w:i/>
                <w:sz w:val="14"/>
              </w:rPr>
            </w:pPr>
            <w:r w:rsidRPr="00125FA8">
              <w:rPr>
                <w:i/>
                <w:sz w:val="14"/>
              </w:rPr>
              <w:t>Año</w:t>
            </w:r>
          </w:p>
        </w:tc>
        <w:tc>
          <w:tcPr>
            <w:tcW w:w="3663" w:type="dxa"/>
            <w:tcBorders>
              <w:top w:val="single" w:sz="4" w:space="0" w:color="auto"/>
              <w:bottom w:val="single" w:sz="12" w:space="0" w:color="auto"/>
            </w:tcBorders>
            <w:shd w:val="clear" w:color="auto" w:fill="auto"/>
            <w:noWrap/>
            <w:vAlign w:val="bottom"/>
          </w:tcPr>
          <w:p w14:paraId="55E8FB9A" w14:textId="7F0AA5EE" w:rsidR="00111C02" w:rsidRPr="00125FA8" w:rsidRDefault="00111C02" w:rsidP="00111C02">
            <w:pPr>
              <w:tabs>
                <w:tab w:val="left" w:pos="288"/>
                <w:tab w:val="left" w:pos="576"/>
                <w:tab w:val="left" w:pos="864"/>
                <w:tab w:val="left" w:pos="1152"/>
              </w:tabs>
              <w:spacing w:before="80" w:after="80" w:line="160" w:lineRule="exact"/>
              <w:ind w:right="40"/>
              <w:jc w:val="right"/>
              <w:rPr>
                <w:i/>
                <w:sz w:val="14"/>
              </w:rPr>
            </w:pPr>
            <w:r w:rsidRPr="00125FA8">
              <w:rPr>
                <w:i/>
                <w:sz w:val="14"/>
              </w:rPr>
              <w:t>Núm. de órdenes</w:t>
            </w:r>
          </w:p>
        </w:tc>
      </w:tr>
      <w:tr w:rsidR="00111C02" w:rsidRPr="00125FA8" w14:paraId="7CFF6F41" w14:textId="77777777" w:rsidTr="00111C02">
        <w:trPr>
          <w:trHeight w:hRule="exact" w:val="115"/>
          <w:tblHeader/>
        </w:trPr>
        <w:tc>
          <w:tcPr>
            <w:tcW w:w="3663" w:type="dxa"/>
            <w:tcBorders>
              <w:top w:val="single" w:sz="12" w:space="0" w:color="auto"/>
            </w:tcBorders>
            <w:shd w:val="clear" w:color="auto" w:fill="auto"/>
            <w:noWrap/>
            <w:vAlign w:val="bottom"/>
          </w:tcPr>
          <w:p w14:paraId="6A0748D5" w14:textId="77777777" w:rsidR="00111C02" w:rsidRPr="00125FA8" w:rsidRDefault="00111C02" w:rsidP="00111C02">
            <w:pPr>
              <w:tabs>
                <w:tab w:val="left" w:pos="288"/>
                <w:tab w:val="left" w:pos="576"/>
                <w:tab w:val="left" w:pos="864"/>
                <w:tab w:val="left" w:pos="1152"/>
              </w:tabs>
              <w:spacing w:before="40" w:after="40" w:line="210" w:lineRule="exact"/>
              <w:ind w:right="40"/>
              <w:rPr>
                <w:sz w:val="17"/>
              </w:rPr>
            </w:pPr>
          </w:p>
        </w:tc>
        <w:tc>
          <w:tcPr>
            <w:tcW w:w="3663" w:type="dxa"/>
            <w:tcBorders>
              <w:top w:val="single" w:sz="12" w:space="0" w:color="auto"/>
            </w:tcBorders>
            <w:shd w:val="clear" w:color="auto" w:fill="auto"/>
            <w:noWrap/>
            <w:vAlign w:val="bottom"/>
          </w:tcPr>
          <w:p w14:paraId="34821229" w14:textId="77777777" w:rsidR="00111C02" w:rsidRPr="00125FA8" w:rsidRDefault="00111C02" w:rsidP="00111C02">
            <w:pPr>
              <w:tabs>
                <w:tab w:val="left" w:pos="288"/>
                <w:tab w:val="left" w:pos="576"/>
                <w:tab w:val="left" w:pos="864"/>
                <w:tab w:val="left" w:pos="1152"/>
              </w:tabs>
              <w:spacing w:before="40" w:after="40" w:line="210" w:lineRule="exact"/>
              <w:ind w:right="40"/>
              <w:jc w:val="right"/>
              <w:rPr>
                <w:sz w:val="17"/>
              </w:rPr>
            </w:pPr>
          </w:p>
        </w:tc>
      </w:tr>
      <w:tr w:rsidR="00111C02" w:rsidRPr="00125FA8" w14:paraId="4724359C" w14:textId="77777777" w:rsidTr="00111C02">
        <w:tc>
          <w:tcPr>
            <w:tcW w:w="3663" w:type="dxa"/>
            <w:shd w:val="clear" w:color="auto" w:fill="auto"/>
            <w:noWrap/>
            <w:vAlign w:val="bottom"/>
          </w:tcPr>
          <w:p w14:paraId="09681CC0" w14:textId="73DE9335" w:rsidR="00111C02" w:rsidRPr="00125FA8" w:rsidRDefault="00111C02" w:rsidP="00111C02">
            <w:pPr>
              <w:tabs>
                <w:tab w:val="left" w:pos="288"/>
                <w:tab w:val="left" w:pos="576"/>
                <w:tab w:val="left" w:pos="864"/>
                <w:tab w:val="left" w:pos="1152"/>
              </w:tabs>
              <w:spacing w:before="40" w:after="40" w:line="210" w:lineRule="exact"/>
              <w:ind w:right="40"/>
              <w:rPr>
                <w:sz w:val="17"/>
              </w:rPr>
            </w:pPr>
            <w:r w:rsidRPr="00125FA8">
              <w:rPr>
                <w:color w:val="000000"/>
                <w:sz w:val="17"/>
              </w:rPr>
              <w:t>2021</w:t>
            </w:r>
          </w:p>
        </w:tc>
        <w:tc>
          <w:tcPr>
            <w:tcW w:w="3663" w:type="dxa"/>
            <w:shd w:val="clear" w:color="auto" w:fill="auto"/>
            <w:noWrap/>
            <w:vAlign w:val="bottom"/>
          </w:tcPr>
          <w:p w14:paraId="7A23B6AE" w14:textId="3B3FA7D9" w:rsidR="00111C02" w:rsidRPr="00125FA8" w:rsidRDefault="00111C02" w:rsidP="00111C02">
            <w:pPr>
              <w:tabs>
                <w:tab w:val="left" w:pos="288"/>
                <w:tab w:val="left" w:pos="576"/>
                <w:tab w:val="left" w:pos="864"/>
                <w:tab w:val="left" w:pos="1152"/>
              </w:tabs>
              <w:spacing w:before="40" w:after="40" w:line="210" w:lineRule="exact"/>
              <w:ind w:right="40"/>
              <w:jc w:val="right"/>
              <w:rPr>
                <w:sz w:val="17"/>
              </w:rPr>
            </w:pPr>
            <w:r w:rsidRPr="00125FA8">
              <w:rPr>
                <w:color w:val="000000"/>
                <w:sz w:val="17"/>
              </w:rPr>
              <w:t>1 575</w:t>
            </w:r>
          </w:p>
        </w:tc>
      </w:tr>
      <w:tr w:rsidR="00111C02" w:rsidRPr="00125FA8" w14:paraId="59D2F7EA" w14:textId="77777777" w:rsidTr="00111C02">
        <w:tc>
          <w:tcPr>
            <w:tcW w:w="3663" w:type="dxa"/>
            <w:shd w:val="clear" w:color="auto" w:fill="auto"/>
            <w:noWrap/>
            <w:vAlign w:val="bottom"/>
          </w:tcPr>
          <w:p w14:paraId="53297A03" w14:textId="078EA942" w:rsidR="00111C02" w:rsidRPr="00125FA8" w:rsidRDefault="00111C02" w:rsidP="00111C02">
            <w:pPr>
              <w:tabs>
                <w:tab w:val="left" w:pos="288"/>
                <w:tab w:val="left" w:pos="576"/>
                <w:tab w:val="left" w:pos="864"/>
                <w:tab w:val="left" w:pos="1152"/>
              </w:tabs>
              <w:spacing w:before="40" w:after="40" w:line="210" w:lineRule="exact"/>
              <w:ind w:right="40"/>
              <w:rPr>
                <w:sz w:val="17"/>
              </w:rPr>
            </w:pPr>
            <w:r w:rsidRPr="00125FA8">
              <w:rPr>
                <w:color w:val="000000"/>
                <w:sz w:val="17"/>
              </w:rPr>
              <w:t>2022</w:t>
            </w:r>
          </w:p>
        </w:tc>
        <w:tc>
          <w:tcPr>
            <w:tcW w:w="3663" w:type="dxa"/>
            <w:shd w:val="clear" w:color="auto" w:fill="auto"/>
            <w:noWrap/>
            <w:vAlign w:val="bottom"/>
          </w:tcPr>
          <w:p w14:paraId="793AA4D8" w14:textId="54564C16" w:rsidR="00111C02" w:rsidRPr="00125FA8" w:rsidRDefault="00111C02" w:rsidP="00111C02">
            <w:pPr>
              <w:tabs>
                <w:tab w:val="left" w:pos="288"/>
                <w:tab w:val="left" w:pos="576"/>
                <w:tab w:val="left" w:pos="864"/>
                <w:tab w:val="left" w:pos="1152"/>
              </w:tabs>
              <w:spacing w:before="40" w:after="40" w:line="210" w:lineRule="exact"/>
              <w:ind w:right="40"/>
              <w:jc w:val="right"/>
              <w:rPr>
                <w:sz w:val="17"/>
              </w:rPr>
            </w:pPr>
            <w:r w:rsidRPr="00125FA8">
              <w:rPr>
                <w:color w:val="000000"/>
                <w:sz w:val="17"/>
              </w:rPr>
              <w:t>1 744</w:t>
            </w:r>
          </w:p>
        </w:tc>
      </w:tr>
      <w:tr w:rsidR="00111C02" w:rsidRPr="00125FA8" w14:paraId="4DCAB10B" w14:textId="77777777" w:rsidTr="00111C02">
        <w:tc>
          <w:tcPr>
            <w:tcW w:w="3663" w:type="dxa"/>
            <w:tcBorders>
              <w:bottom w:val="single" w:sz="12" w:space="0" w:color="auto"/>
            </w:tcBorders>
            <w:shd w:val="clear" w:color="auto" w:fill="auto"/>
            <w:noWrap/>
            <w:vAlign w:val="bottom"/>
          </w:tcPr>
          <w:p w14:paraId="0D7DB92F" w14:textId="2314FBE1" w:rsidR="00111C02" w:rsidRPr="00125FA8" w:rsidRDefault="00111C02" w:rsidP="00111C02">
            <w:pPr>
              <w:tabs>
                <w:tab w:val="left" w:pos="288"/>
                <w:tab w:val="left" w:pos="576"/>
                <w:tab w:val="left" w:pos="864"/>
                <w:tab w:val="left" w:pos="1152"/>
              </w:tabs>
              <w:spacing w:before="40" w:after="40" w:line="210" w:lineRule="exact"/>
              <w:ind w:right="40"/>
              <w:rPr>
                <w:sz w:val="17"/>
              </w:rPr>
            </w:pPr>
            <w:r w:rsidRPr="00125FA8">
              <w:rPr>
                <w:color w:val="000000"/>
                <w:sz w:val="17"/>
              </w:rPr>
              <w:t>2023</w:t>
            </w:r>
          </w:p>
        </w:tc>
        <w:tc>
          <w:tcPr>
            <w:tcW w:w="3663" w:type="dxa"/>
            <w:tcBorders>
              <w:bottom w:val="single" w:sz="12" w:space="0" w:color="auto"/>
            </w:tcBorders>
            <w:shd w:val="clear" w:color="auto" w:fill="auto"/>
            <w:noWrap/>
            <w:vAlign w:val="bottom"/>
          </w:tcPr>
          <w:p w14:paraId="2B35E624" w14:textId="764C26B9" w:rsidR="00111C02" w:rsidRPr="00125FA8" w:rsidRDefault="00111C02" w:rsidP="00111C02">
            <w:pPr>
              <w:tabs>
                <w:tab w:val="left" w:pos="288"/>
                <w:tab w:val="left" w:pos="576"/>
                <w:tab w:val="left" w:pos="864"/>
                <w:tab w:val="left" w:pos="1152"/>
              </w:tabs>
              <w:spacing w:before="40" w:after="40" w:line="210" w:lineRule="exact"/>
              <w:ind w:right="40"/>
              <w:jc w:val="right"/>
              <w:rPr>
                <w:sz w:val="17"/>
              </w:rPr>
            </w:pPr>
            <w:r w:rsidRPr="00125FA8">
              <w:rPr>
                <w:color w:val="000000"/>
                <w:sz w:val="17"/>
              </w:rPr>
              <w:t>1 756</w:t>
            </w:r>
          </w:p>
        </w:tc>
      </w:tr>
    </w:tbl>
    <w:p w14:paraId="00037791" w14:textId="77777777" w:rsidR="00111C02" w:rsidRPr="00125FA8" w:rsidRDefault="00111C02" w:rsidP="00111C02">
      <w:pPr>
        <w:pStyle w:val="SingleTxt"/>
        <w:spacing w:after="0" w:line="120" w:lineRule="exact"/>
        <w:rPr>
          <w:sz w:val="10"/>
        </w:rPr>
      </w:pPr>
    </w:p>
    <w:p w14:paraId="3BEC9B3F" w14:textId="77777777" w:rsidR="00AC55FE" w:rsidRPr="00125FA8" w:rsidRDefault="00AC55FE" w:rsidP="007E02EF">
      <w:pPr>
        <w:pStyle w:val="SingleTxt"/>
        <w:spacing w:after="0" w:line="120" w:lineRule="exact"/>
        <w:rPr>
          <w:sz w:val="10"/>
        </w:rPr>
      </w:pPr>
    </w:p>
    <w:p w14:paraId="1ECED94B" w14:textId="77777777" w:rsidR="007E02EF" w:rsidRPr="00125FA8" w:rsidRDefault="007E02EF" w:rsidP="007E02EF">
      <w:pPr>
        <w:pStyle w:val="SingleTxt"/>
        <w:spacing w:after="0" w:line="120" w:lineRule="exact"/>
        <w:rPr>
          <w:sz w:val="10"/>
        </w:rPr>
      </w:pPr>
    </w:p>
    <w:p w14:paraId="3DB24B94" w14:textId="5D8CDEF0" w:rsidR="00E371C2" w:rsidRPr="00125FA8" w:rsidRDefault="007E02EF" w:rsidP="007E0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r>
      <w:r w:rsidR="00E371C2" w:rsidRPr="00125FA8">
        <w:t>Respuesta al párrafo 11 d)</w:t>
      </w:r>
    </w:p>
    <w:p w14:paraId="54DC44D6" w14:textId="77777777" w:rsidR="007E02EF" w:rsidRPr="00125FA8" w:rsidRDefault="007E02EF" w:rsidP="007E02EF">
      <w:pPr>
        <w:pStyle w:val="SingleTxt"/>
        <w:spacing w:after="0" w:line="120" w:lineRule="exact"/>
        <w:rPr>
          <w:sz w:val="10"/>
        </w:rPr>
      </w:pPr>
    </w:p>
    <w:p w14:paraId="2341F73F" w14:textId="77777777" w:rsidR="007E02EF" w:rsidRPr="00125FA8" w:rsidRDefault="007E02EF" w:rsidP="007E02EF">
      <w:pPr>
        <w:pStyle w:val="SingleTxt"/>
        <w:spacing w:after="0" w:line="120" w:lineRule="exact"/>
        <w:rPr>
          <w:sz w:val="10"/>
        </w:rPr>
      </w:pPr>
    </w:p>
    <w:p w14:paraId="7C0A39B7" w14:textId="632F8D6B" w:rsidR="00E371C2" w:rsidRPr="00125FA8" w:rsidRDefault="00E371C2" w:rsidP="00170EBE">
      <w:pPr>
        <w:pStyle w:val="SingleTxt"/>
        <w:numPr>
          <w:ilvl w:val="0"/>
          <w:numId w:val="26"/>
        </w:numPr>
        <w:spacing w:after="60"/>
        <w:ind w:left="1267"/>
      </w:pPr>
      <w:r w:rsidRPr="00E371C2">
        <w:t>Aunque el Gobierno no gestiona los refugios, sigue prestando apoyo financiero a los que gestionan las organizaciones de la sociedad civil. Para el ejercicio económico 2024/2025, se asignó a los refugios un total de 580.000 dólares de los Estados Unidos.</w:t>
      </w:r>
    </w:p>
    <w:p w14:paraId="515629AD" w14:textId="77777777" w:rsidR="007E02EF" w:rsidRPr="00125FA8" w:rsidRDefault="007E02EF" w:rsidP="007E02EF">
      <w:pPr>
        <w:pStyle w:val="SingleTxt"/>
        <w:spacing w:after="0" w:line="120" w:lineRule="exact"/>
        <w:rPr>
          <w:sz w:val="10"/>
        </w:rPr>
      </w:pPr>
    </w:p>
    <w:p w14:paraId="48AEFA91" w14:textId="77777777" w:rsidR="007E02EF" w:rsidRPr="00125FA8" w:rsidRDefault="007E02EF" w:rsidP="007E02EF">
      <w:pPr>
        <w:pStyle w:val="SingleTxt"/>
        <w:spacing w:after="0" w:line="120" w:lineRule="exact"/>
        <w:rPr>
          <w:sz w:val="10"/>
        </w:rPr>
      </w:pPr>
    </w:p>
    <w:p w14:paraId="2F55103A" w14:textId="64A40887" w:rsidR="00E371C2" w:rsidRPr="00125FA8" w:rsidRDefault="00E371C2" w:rsidP="007E0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11 f)</w:t>
      </w:r>
    </w:p>
    <w:p w14:paraId="3FE9503F" w14:textId="77777777" w:rsidR="007E02EF" w:rsidRPr="00125FA8" w:rsidRDefault="007E02EF" w:rsidP="007E02EF">
      <w:pPr>
        <w:pStyle w:val="SingleTxt"/>
        <w:spacing w:after="0" w:line="120" w:lineRule="exact"/>
        <w:rPr>
          <w:sz w:val="10"/>
        </w:rPr>
      </w:pPr>
    </w:p>
    <w:p w14:paraId="374E1314" w14:textId="77777777" w:rsidR="007E02EF" w:rsidRPr="00125FA8" w:rsidRDefault="007E02EF" w:rsidP="007E02EF">
      <w:pPr>
        <w:pStyle w:val="SingleTxt"/>
        <w:spacing w:after="0" w:line="120" w:lineRule="exact"/>
        <w:rPr>
          <w:sz w:val="10"/>
        </w:rPr>
      </w:pPr>
    </w:p>
    <w:p w14:paraId="6D5C4687" w14:textId="6F0543D5" w:rsidR="00E371C2" w:rsidRPr="00125FA8" w:rsidRDefault="00E371C2" w:rsidP="00636B5F">
      <w:pPr>
        <w:pStyle w:val="SingleTxt"/>
        <w:numPr>
          <w:ilvl w:val="0"/>
          <w:numId w:val="26"/>
        </w:numPr>
        <w:ind w:left="1267"/>
      </w:pPr>
      <w:r w:rsidRPr="00E371C2">
        <w:t xml:space="preserve">En Botswana, todos los matrimonios registrados, ya sean de derecho consuetudinario o del </w:t>
      </w:r>
      <w:r w:rsidRPr="00E371C2">
        <w:rPr>
          <w:i/>
          <w:iCs/>
        </w:rPr>
        <w:t>common law</w:t>
      </w:r>
      <w:r w:rsidRPr="00E371C2">
        <w:t>, corresponden a personas mayores de 18 años y no existen registros de matrimonios infantiles, ya que se celebran en privado.</w:t>
      </w:r>
    </w:p>
    <w:p w14:paraId="78B19B2E" w14:textId="77777777" w:rsidR="007E02EF" w:rsidRPr="00125FA8" w:rsidRDefault="007E02EF" w:rsidP="007E02EF">
      <w:pPr>
        <w:pStyle w:val="SingleTxt"/>
        <w:spacing w:after="0" w:line="120" w:lineRule="exact"/>
        <w:rPr>
          <w:sz w:val="10"/>
        </w:rPr>
      </w:pPr>
    </w:p>
    <w:p w14:paraId="6CAAAF2F" w14:textId="77777777" w:rsidR="007E02EF" w:rsidRPr="00125FA8" w:rsidRDefault="007E02EF" w:rsidP="007E02EF">
      <w:pPr>
        <w:pStyle w:val="SingleTxt"/>
        <w:spacing w:after="0" w:line="120" w:lineRule="exact"/>
        <w:rPr>
          <w:sz w:val="10"/>
        </w:rPr>
      </w:pPr>
    </w:p>
    <w:p w14:paraId="080A917F" w14:textId="13D84AF1" w:rsidR="00E371C2" w:rsidRPr="00125FA8" w:rsidRDefault="00E371C2" w:rsidP="007E0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11 g)</w:t>
      </w:r>
    </w:p>
    <w:p w14:paraId="3709E546" w14:textId="77777777" w:rsidR="007E02EF" w:rsidRPr="00125FA8" w:rsidRDefault="007E02EF" w:rsidP="007E02EF">
      <w:pPr>
        <w:pStyle w:val="SingleTxt"/>
        <w:spacing w:after="0" w:line="120" w:lineRule="exact"/>
        <w:rPr>
          <w:sz w:val="10"/>
        </w:rPr>
      </w:pPr>
    </w:p>
    <w:p w14:paraId="463274B1" w14:textId="77777777" w:rsidR="007E02EF" w:rsidRPr="00125FA8" w:rsidRDefault="007E02EF" w:rsidP="007E02EF">
      <w:pPr>
        <w:pStyle w:val="SingleTxt"/>
        <w:spacing w:after="0" w:line="120" w:lineRule="exact"/>
        <w:rPr>
          <w:sz w:val="10"/>
        </w:rPr>
      </w:pPr>
    </w:p>
    <w:p w14:paraId="187C70B5" w14:textId="249707F0" w:rsidR="00E371C2" w:rsidRPr="00125FA8" w:rsidRDefault="00E371C2" w:rsidP="00170EBE">
      <w:pPr>
        <w:pStyle w:val="SingleTxt"/>
        <w:numPr>
          <w:ilvl w:val="0"/>
          <w:numId w:val="26"/>
        </w:numPr>
        <w:spacing w:after="60"/>
        <w:ind w:left="1267"/>
      </w:pPr>
      <w:r w:rsidRPr="00E371C2">
        <w:t>El Servicio de Policía de Botswana recopila datos desglosados por sexo sobre la violencia de género. Además, los datos se gestionan a través del Sistema de Registro de Delitos y Delincuentes. Los tribunales también conservan datos por medio del Sistema de Gestión de Casos. Otros proveedores de servicios contra la violencia de género también conservan datos administrativos.</w:t>
      </w:r>
    </w:p>
    <w:p w14:paraId="06B3DD72" w14:textId="77777777" w:rsidR="007E02EF" w:rsidRPr="00125FA8" w:rsidRDefault="007E02EF" w:rsidP="007E02EF">
      <w:pPr>
        <w:pStyle w:val="SingleTxt"/>
        <w:spacing w:after="0" w:line="120" w:lineRule="exact"/>
        <w:rPr>
          <w:sz w:val="10"/>
        </w:rPr>
      </w:pPr>
    </w:p>
    <w:p w14:paraId="53C9CA34" w14:textId="77777777" w:rsidR="007E02EF" w:rsidRPr="00125FA8" w:rsidRDefault="007E02EF" w:rsidP="007E02EF">
      <w:pPr>
        <w:pStyle w:val="SingleTxt"/>
        <w:spacing w:after="0" w:line="120" w:lineRule="exact"/>
        <w:rPr>
          <w:i/>
          <w:sz w:val="10"/>
        </w:rPr>
      </w:pPr>
    </w:p>
    <w:p w14:paraId="78FC92BD" w14:textId="081D7947" w:rsidR="00E371C2" w:rsidRPr="00125FA8" w:rsidRDefault="00E371C2" w:rsidP="007E0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11 h)</w:t>
      </w:r>
    </w:p>
    <w:p w14:paraId="6C352064" w14:textId="77777777" w:rsidR="007E02EF" w:rsidRPr="00125FA8" w:rsidRDefault="007E02EF" w:rsidP="007E02EF">
      <w:pPr>
        <w:pStyle w:val="SingleTxt"/>
        <w:spacing w:after="0" w:line="120" w:lineRule="exact"/>
        <w:rPr>
          <w:sz w:val="10"/>
        </w:rPr>
      </w:pPr>
    </w:p>
    <w:p w14:paraId="7387CB7A" w14:textId="77777777" w:rsidR="007E02EF" w:rsidRPr="00125FA8" w:rsidRDefault="007E02EF" w:rsidP="007E02EF">
      <w:pPr>
        <w:pStyle w:val="SingleTxt"/>
        <w:spacing w:after="0" w:line="120" w:lineRule="exact"/>
        <w:rPr>
          <w:sz w:val="10"/>
        </w:rPr>
      </w:pPr>
    </w:p>
    <w:p w14:paraId="0C964557" w14:textId="014FBAC9" w:rsidR="00E371C2" w:rsidRPr="00125FA8" w:rsidRDefault="00E371C2" w:rsidP="00636B5F">
      <w:pPr>
        <w:pStyle w:val="SingleTxt"/>
        <w:numPr>
          <w:ilvl w:val="0"/>
          <w:numId w:val="26"/>
        </w:numPr>
        <w:ind w:left="1267"/>
      </w:pPr>
      <w:r w:rsidRPr="00E371C2">
        <w:t>La empresa consultora</w:t>
      </w:r>
      <w:r w:rsidRPr="00E371C2">
        <w:rPr>
          <w:b/>
          <w:bCs/>
        </w:rPr>
        <w:t xml:space="preserve"> </w:t>
      </w:r>
      <w:r w:rsidRPr="00E371C2">
        <w:t>contratada para apoyar el examen amplio en curso del sector de la justicia penal presentó en diciembre de 2024 su informe, que se está examinado actualmente.</w:t>
      </w:r>
    </w:p>
    <w:p w14:paraId="210A2C53" w14:textId="77777777" w:rsidR="007E02EF" w:rsidRPr="00125FA8" w:rsidRDefault="007E02EF" w:rsidP="007E02EF">
      <w:pPr>
        <w:pStyle w:val="SingleTxt"/>
        <w:spacing w:after="0" w:line="120" w:lineRule="exact"/>
        <w:rPr>
          <w:sz w:val="10"/>
        </w:rPr>
      </w:pPr>
    </w:p>
    <w:p w14:paraId="7BEEC4A3" w14:textId="77777777" w:rsidR="00E371C2" w:rsidRPr="00125FA8" w:rsidRDefault="00E371C2" w:rsidP="000E3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Trata de mujeres y niñas y explotación de la prostitución</w:t>
      </w:r>
    </w:p>
    <w:p w14:paraId="35778B06" w14:textId="77777777" w:rsidR="007E02EF" w:rsidRPr="00125FA8" w:rsidRDefault="007E02EF" w:rsidP="007E02EF">
      <w:pPr>
        <w:pStyle w:val="SingleTxt"/>
        <w:spacing w:after="0" w:line="120" w:lineRule="exact"/>
        <w:rPr>
          <w:sz w:val="10"/>
        </w:rPr>
      </w:pPr>
    </w:p>
    <w:p w14:paraId="11FA9D99" w14:textId="55C57DC6" w:rsidR="00E371C2" w:rsidRPr="00125FA8" w:rsidRDefault="00E371C2" w:rsidP="00636B5F">
      <w:pPr>
        <w:pStyle w:val="SingleTxt"/>
        <w:numPr>
          <w:ilvl w:val="0"/>
          <w:numId w:val="26"/>
        </w:numPr>
        <w:ind w:left="1267"/>
      </w:pPr>
      <w:r w:rsidRPr="00E371C2">
        <w:t>La Ley de Modificación de la Ley contra la Trata de Personas fue aprobada y entró en vigor en febrero de 2024. En ella se abordan las carencias legislativas y se reconocen los problemas actuales, se prevé la responsabilidad penal de las empresas y se garantiza la rendición de cuentas no solo por parte de las personas, sino también de las empresas. Las penas por trata son severas.</w:t>
      </w:r>
    </w:p>
    <w:p w14:paraId="44FE275D" w14:textId="77777777" w:rsidR="000E38C5" w:rsidRPr="00125FA8" w:rsidRDefault="000E38C5" w:rsidP="000E38C5">
      <w:pPr>
        <w:pStyle w:val="SingleTxt"/>
        <w:spacing w:after="0" w:line="120" w:lineRule="exact"/>
        <w:rPr>
          <w:sz w:val="10"/>
        </w:rPr>
      </w:pPr>
    </w:p>
    <w:p w14:paraId="52A92B58" w14:textId="77777777" w:rsidR="000E38C5" w:rsidRPr="00125FA8" w:rsidRDefault="000E38C5" w:rsidP="000E38C5">
      <w:pPr>
        <w:pStyle w:val="SingleTxt"/>
        <w:spacing w:after="0" w:line="120" w:lineRule="exact"/>
        <w:rPr>
          <w:sz w:val="10"/>
        </w:rPr>
      </w:pPr>
    </w:p>
    <w:p w14:paraId="567CBE23" w14:textId="22517ACF" w:rsidR="00E371C2" w:rsidRPr="00125FA8" w:rsidRDefault="00E371C2" w:rsidP="000E3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12 a)</w:t>
      </w:r>
    </w:p>
    <w:p w14:paraId="159AB9D2" w14:textId="77777777" w:rsidR="000E38C5" w:rsidRPr="00125FA8" w:rsidRDefault="000E38C5" w:rsidP="000E38C5">
      <w:pPr>
        <w:pStyle w:val="SingleTxt"/>
        <w:spacing w:after="0" w:line="120" w:lineRule="exact"/>
        <w:rPr>
          <w:sz w:val="10"/>
        </w:rPr>
      </w:pPr>
    </w:p>
    <w:p w14:paraId="41DE82E8" w14:textId="77777777" w:rsidR="000E38C5" w:rsidRPr="00125FA8" w:rsidRDefault="000E38C5" w:rsidP="000E38C5">
      <w:pPr>
        <w:pStyle w:val="SingleTxt"/>
        <w:spacing w:after="0" w:line="120" w:lineRule="exact"/>
        <w:rPr>
          <w:sz w:val="10"/>
        </w:rPr>
      </w:pPr>
    </w:p>
    <w:p w14:paraId="0A973077" w14:textId="15C20472" w:rsidR="00E371C2" w:rsidRPr="00125FA8" w:rsidRDefault="00E371C2" w:rsidP="00170EBE">
      <w:pPr>
        <w:pStyle w:val="SingleTxt"/>
        <w:numPr>
          <w:ilvl w:val="0"/>
          <w:numId w:val="26"/>
        </w:numPr>
        <w:spacing w:after="0"/>
        <w:ind w:left="1267"/>
      </w:pPr>
      <w:r w:rsidRPr="00E371C2">
        <w:t>El estudio exhaustivo sobre el alcance de la trata de mujeres y niñas y las formas que adopta está pendiente de la disponibilidad de fondos.</w:t>
      </w:r>
    </w:p>
    <w:p w14:paraId="093EF779" w14:textId="77777777" w:rsidR="007E66FF" w:rsidRPr="00125FA8" w:rsidRDefault="007E66FF" w:rsidP="007E66FF">
      <w:pPr>
        <w:pStyle w:val="SingleTxt"/>
        <w:spacing w:after="0" w:line="120" w:lineRule="exact"/>
        <w:rPr>
          <w:sz w:val="10"/>
        </w:rPr>
      </w:pPr>
    </w:p>
    <w:p w14:paraId="7C37CC57" w14:textId="77777777" w:rsidR="00527267" w:rsidRPr="00125FA8" w:rsidRDefault="00527267" w:rsidP="007E66FF">
      <w:pPr>
        <w:pStyle w:val="SingleTxt"/>
        <w:spacing w:after="0" w:line="120" w:lineRule="exact"/>
        <w:rPr>
          <w:sz w:val="10"/>
        </w:rPr>
      </w:pPr>
    </w:p>
    <w:p w14:paraId="652B0059" w14:textId="30ABC1EA" w:rsidR="00E371C2" w:rsidRPr="00125FA8" w:rsidRDefault="00E371C2" w:rsidP="005272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lastRenderedPageBreak/>
        <w:tab/>
      </w:r>
      <w:r w:rsidRPr="00125FA8">
        <w:tab/>
        <w:t>Respuesta al párrafo 12 b)</w:t>
      </w:r>
    </w:p>
    <w:p w14:paraId="3FFD5587" w14:textId="77777777" w:rsidR="00527267" w:rsidRPr="00125FA8" w:rsidRDefault="00527267" w:rsidP="00527267">
      <w:pPr>
        <w:pStyle w:val="SingleTxt"/>
        <w:spacing w:after="0" w:line="120" w:lineRule="exact"/>
        <w:rPr>
          <w:sz w:val="10"/>
        </w:rPr>
      </w:pPr>
    </w:p>
    <w:p w14:paraId="0FC5516C" w14:textId="77777777" w:rsidR="00527267" w:rsidRPr="00125FA8" w:rsidRDefault="00527267" w:rsidP="00527267">
      <w:pPr>
        <w:pStyle w:val="SingleTxt"/>
        <w:spacing w:after="0" w:line="120" w:lineRule="exact"/>
        <w:rPr>
          <w:sz w:val="10"/>
        </w:rPr>
      </w:pPr>
    </w:p>
    <w:p w14:paraId="3DB93C3C" w14:textId="71DEACB7" w:rsidR="00E371C2" w:rsidRPr="00E371C2" w:rsidRDefault="00E371C2" w:rsidP="00636B5F">
      <w:pPr>
        <w:pStyle w:val="SingleTxt"/>
        <w:numPr>
          <w:ilvl w:val="0"/>
          <w:numId w:val="26"/>
        </w:numPr>
        <w:ind w:left="1267"/>
      </w:pPr>
      <w:r w:rsidRPr="00E371C2">
        <w:t>El anterior Plan de Acción Nacional contra la Trata de Personas abarcaba cinco años, de 2018 a 2022. Sus resultados son los siguientes:</w:t>
      </w:r>
    </w:p>
    <w:p w14:paraId="0648A4D7" w14:textId="483AF93C" w:rsidR="00E371C2" w:rsidRPr="00E371C2" w:rsidRDefault="00527267" w:rsidP="00527267">
      <w:pPr>
        <w:pStyle w:val="SingleTxt"/>
        <w:tabs>
          <w:tab w:val="right" w:pos="1685"/>
        </w:tabs>
        <w:ind w:left="1742" w:hanging="475"/>
      </w:pPr>
      <w:r w:rsidRPr="00125FA8">
        <w:tab/>
      </w:r>
      <w:r w:rsidR="00E371C2" w:rsidRPr="00E371C2">
        <w:t>•</w:t>
      </w:r>
      <w:r w:rsidR="00E371C2" w:rsidRPr="00E371C2">
        <w:tab/>
        <w:t>Iniciativas armonizadas entre todas las partes interesadas mediante el refuerzo de los miembros del Comité Técnico y de Prohibición;</w:t>
      </w:r>
    </w:p>
    <w:p w14:paraId="2BE873D2" w14:textId="7E2FD34C" w:rsidR="00E371C2" w:rsidRPr="00E371C2" w:rsidRDefault="00527267" w:rsidP="00527267">
      <w:pPr>
        <w:pStyle w:val="SingleTxt"/>
        <w:tabs>
          <w:tab w:val="right" w:pos="1685"/>
        </w:tabs>
        <w:ind w:left="1742" w:hanging="475"/>
      </w:pPr>
      <w:r w:rsidRPr="00125FA8">
        <w:tab/>
      </w:r>
      <w:r w:rsidR="00E371C2" w:rsidRPr="00E371C2">
        <w:t>•</w:t>
      </w:r>
      <w:r w:rsidR="00E371C2" w:rsidRPr="00E371C2">
        <w:tab/>
        <w:t>Se examinó la ley y se colmaron las lagunas detectadas, lo que dio lugar a la elaboración de un proyecto de ley para subsanar las principales deficiencias;</w:t>
      </w:r>
    </w:p>
    <w:p w14:paraId="0FAFFD1C" w14:textId="393D4293" w:rsidR="00E371C2" w:rsidRPr="00E371C2" w:rsidRDefault="00527267" w:rsidP="00527267">
      <w:pPr>
        <w:pStyle w:val="SingleTxt"/>
        <w:tabs>
          <w:tab w:val="right" w:pos="1685"/>
        </w:tabs>
        <w:ind w:left="1742" w:hanging="475"/>
      </w:pPr>
      <w:r w:rsidRPr="00125FA8">
        <w:tab/>
      </w:r>
      <w:r w:rsidR="00E371C2" w:rsidRPr="00E371C2">
        <w:t>•</w:t>
      </w:r>
      <w:r w:rsidR="00E371C2" w:rsidRPr="00E371C2">
        <w:tab/>
        <w:t>Aumento de la capacidad de los actores para ayudar y proteger a las víctimas de la trata de personas mediante la formación de ONG, miembros del poder judicial, Business Botswana, dirigentes de aldeas y líderes políticos (miembros del Consejo).</w:t>
      </w:r>
    </w:p>
    <w:p w14:paraId="6D8DC907" w14:textId="08C14F76" w:rsidR="00E371C2" w:rsidRPr="00125FA8" w:rsidRDefault="00E371C2" w:rsidP="00636B5F">
      <w:pPr>
        <w:pStyle w:val="SingleTxt"/>
        <w:numPr>
          <w:ilvl w:val="0"/>
          <w:numId w:val="26"/>
        </w:numPr>
        <w:ind w:left="1267"/>
      </w:pPr>
      <w:r w:rsidRPr="00E371C2">
        <w:t>El Plan Nacional contra la Trata de Personas (2023-2028) se presentó el 23</w:t>
      </w:r>
      <w:r w:rsidR="00527267" w:rsidRPr="00125FA8">
        <w:t> </w:t>
      </w:r>
      <w:r w:rsidRPr="00E371C2">
        <w:t>de</w:t>
      </w:r>
      <w:r w:rsidR="00527267" w:rsidRPr="00125FA8">
        <w:t> </w:t>
      </w:r>
      <w:r w:rsidRPr="00E371C2">
        <w:t>octubre de 2023. Se han desarrollado y puesto en marcha los marcos operacionales contra la trata de personas (procedimientos operativos estándar, estrategia de comunicación, guía para formadores y mecanismo de remisión). Además, se han llevado a cabo campañas de sensibilización planificadas y cursos de formación específicos contra la trata de personas.</w:t>
      </w:r>
    </w:p>
    <w:p w14:paraId="5E5E9E24" w14:textId="77777777" w:rsidR="00527267" w:rsidRPr="00125FA8" w:rsidRDefault="00527267" w:rsidP="00527267">
      <w:pPr>
        <w:pStyle w:val="SingleTxt"/>
        <w:spacing w:after="0" w:line="120" w:lineRule="exact"/>
        <w:rPr>
          <w:sz w:val="10"/>
        </w:rPr>
      </w:pPr>
    </w:p>
    <w:p w14:paraId="7EC31133" w14:textId="77777777" w:rsidR="00527267" w:rsidRPr="00125FA8" w:rsidRDefault="00527267" w:rsidP="00527267">
      <w:pPr>
        <w:pStyle w:val="SingleTxt"/>
        <w:spacing w:after="0" w:line="120" w:lineRule="exact"/>
        <w:rPr>
          <w:sz w:val="10"/>
        </w:rPr>
      </w:pPr>
    </w:p>
    <w:p w14:paraId="7365F1AC" w14:textId="0CDBBD1A" w:rsidR="00E371C2" w:rsidRPr="00125FA8" w:rsidRDefault="00E371C2" w:rsidP="005272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12 c)</w:t>
      </w:r>
    </w:p>
    <w:p w14:paraId="1DF450E5" w14:textId="77777777" w:rsidR="00527267" w:rsidRPr="00125FA8" w:rsidRDefault="00527267" w:rsidP="00527267">
      <w:pPr>
        <w:pStyle w:val="SingleTxt"/>
        <w:spacing w:after="0" w:line="120" w:lineRule="exact"/>
        <w:rPr>
          <w:b/>
          <w:sz w:val="10"/>
        </w:rPr>
      </w:pPr>
    </w:p>
    <w:p w14:paraId="09B895AB" w14:textId="77777777" w:rsidR="00527267" w:rsidRPr="00125FA8" w:rsidRDefault="00527267" w:rsidP="00527267">
      <w:pPr>
        <w:pStyle w:val="SingleTxt"/>
        <w:spacing w:after="0" w:line="120" w:lineRule="exact"/>
        <w:rPr>
          <w:b/>
          <w:sz w:val="10"/>
        </w:rPr>
      </w:pPr>
    </w:p>
    <w:p w14:paraId="28F5557D" w14:textId="5CE9F856" w:rsidR="00E371C2" w:rsidRPr="00125FA8" w:rsidRDefault="00E371C2" w:rsidP="00636B5F">
      <w:pPr>
        <w:pStyle w:val="SingleTxt"/>
        <w:numPr>
          <w:ilvl w:val="0"/>
          <w:numId w:val="26"/>
        </w:numPr>
        <w:ind w:left="1267"/>
      </w:pPr>
      <w:r w:rsidRPr="00E371C2">
        <w:t>El Ministerio de Administración Local y Desarrollo Rural tiene un memorando de entendimiento vigente con una organización no gubernamental autorizada para proporcionar refugio a las víctimas de la trata. La creación de un mecanismo nacional de remisión incluye una directriz sobre la prestación de servicios mediante un enfoque centrado en la víctima. Las víctimas siguen</w:t>
      </w:r>
      <w:r w:rsidRPr="00E371C2">
        <w:rPr>
          <w:b/>
          <w:bCs/>
        </w:rPr>
        <w:t xml:space="preserve"> </w:t>
      </w:r>
      <w:r w:rsidRPr="00E371C2">
        <w:t>recibiendo ayuda para sus necesidades básicas, asistencia letrada, asesoramiento psicosocial y formación práctica.</w:t>
      </w:r>
    </w:p>
    <w:p w14:paraId="44A88B89" w14:textId="77777777" w:rsidR="00527267" w:rsidRPr="00125FA8" w:rsidRDefault="00527267" w:rsidP="00527267">
      <w:pPr>
        <w:pStyle w:val="SingleTxt"/>
        <w:spacing w:after="0" w:line="120" w:lineRule="exact"/>
        <w:rPr>
          <w:sz w:val="10"/>
        </w:rPr>
      </w:pPr>
    </w:p>
    <w:p w14:paraId="753D023F" w14:textId="77777777" w:rsidR="00527267" w:rsidRPr="00125FA8" w:rsidRDefault="00527267" w:rsidP="00527267">
      <w:pPr>
        <w:pStyle w:val="SingleTxt"/>
        <w:spacing w:after="0" w:line="120" w:lineRule="exact"/>
        <w:rPr>
          <w:b/>
          <w:i/>
          <w:sz w:val="10"/>
        </w:rPr>
      </w:pPr>
    </w:p>
    <w:p w14:paraId="66DD5594" w14:textId="0B264BA5" w:rsidR="00E371C2" w:rsidRPr="00125FA8" w:rsidRDefault="00E371C2" w:rsidP="005272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12 d)</w:t>
      </w:r>
    </w:p>
    <w:p w14:paraId="588D6137" w14:textId="77777777" w:rsidR="00527267" w:rsidRPr="00125FA8" w:rsidRDefault="00527267" w:rsidP="00527267">
      <w:pPr>
        <w:pStyle w:val="SingleTxt"/>
        <w:spacing w:after="0" w:line="120" w:lineRule="exact"/>
        <w:rPr>
          <w:sz w:val="10"/>
        </w:rPr>
      </w:pPr>
    </w:p>
    <w:p w14:paraId="5A620803" w14:textId="77777777" w:rsidR="00527267" w:rsidRPr="00125FA8" w:rsidRDefault="00527267" w:rsidP="00527267">
      <w:pPr>
        <w:pStyle w:val="SingleTxt"/>
        <w:spacing w:after="0" w:line="120" w:lineRule="exact"/>
        <w:rPr>
          <w:sz w:val="10"/>
        </w:rPr>
      </w:pPr>
    </w:p>
    <w:p w14:paraId="5428FF4F" w14:textId="00B634A8" w:rsidR="00E371C2" w:rsidRPr="00125FA8" w:rsidRDefault="00E371C2" w:rsidP="00636B5F">
      <w:pPr>
        <w:pStyle w:val="SingleTxt"/>
        <w:numPr>
          <w:ilvl w:val="0"/>
          <w:numId w:val="26"/>
        </w:numPr>
        <w:ind w:left="1267"/>
      </w:pPr>
      <w:r w:rsidRPr="00E371C2">
        <w:t>Se ha elaborado un mecanismo nacional de remisión y una guía del manual de formación contra la trata de personas para impartir capacitación a los agentes del orden sobre tratamientos centrados en las víctimas, y un total de 419 agentes del orden (policías, fiscales, funcionarios de inmigración y trabajadores sociales) han recibido formación sobre la identificación de las víctimas, la trata de personas y la Ley contra la Trata de Personas.</w:t>
      </w:r>
    </w:p>
    <w:p w14:paraId="017BE66B" w14:textId="77777777" w:rsidR="00E41835" w:rsidRPr="00125FA8" w:rsidRDefault="00E41835" w:rsidP="00E41835">
      <w:pPr>
        <w:pStyle w:val="SingleTxt"/>
        <w:spacing w:after="0" w:line="120" w:lineRule="exact"/>
        <w:rPr>
          <w:sz w:val="10"/>
        </w:rPr>
      </w:pPr>
    </w:p>
    <w:p w14:paraId="7711D849" w14:textId="77777777" w:rsidR="00E41835" w:rsidRPr="00125FA8" w:rsidRDefault="00E41835" w:rsidP="00E41835">
      <w:pPr>
        <w:pStyle w:val="SingleTxt"/>
        <w:spacing w:after="0" w:line="120" w:lineRule="exact"/>
        <w:rPr>
          <w:sz w:val="10"/>
        </w:rPr>
      </w:pPr>
    </w:p>
    <w:p w14:paraId="43D74CCB" w14:textId="68AF33A2" w:rsidR="00E371C2" w:rsidRPr="00125FA8" w:rsidRDefault="00E371C2" w:rsidP="00E418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13 a)</w:t>
      </w:r>
      <w:bookmarkStart w:id="8" w:name="_Hlk196812210"/>
      <w:bookmarkEnd w:id="8"/>
    </w:p>
    <w:p w14:paraId="1768201D" w14:textId="77777777" w:rsidR="00E41835" w:rsidRPr="00125FA8" w:rsidRDefault="00E41835" w:rsidP="00E41835">
      <w:pPr>
        <w:pStyle w:val="SingleTxt"/>
        <w:spacing w:after="0" w:line="120" w:lineRule="exact"/>
        <w:rPr>
          <w:b/>
          <w:bCs/>
          <w:sz w:val="10"/>
        </w:rPr>
      </w:pPr>
    </w:p>
    <w:p w14:paraId="1AFFC2E4" w14:textId="77777777" w:rsidR="00E41835" w:rsidRPr="00125FA8" w:rsidRDefault="00E41835" w:rsidP="00E41835">
      <w:pPr>
        <w:pStyle w:val="SingleTxt"/>
        <w:spacing w:after="0" w:line="120" w:lineRule="exact"/>
        <w:rPr>
          <w:b/>
          <w:sz w:val="10"/>
        </w:rPr>
      </w:pPr>
    </w:p>
    <w:p w14:paraId="35A9F272" w14:textId="1067014A" w:rsidR="00E371C2" w:rsidRPr="00E371C2" w:rsidRDefault="00E371C2" w:rsidP="00636B5F">
      <w:pPr>
        <w:pStyle w:val="SingleTxt"/>
        <w:numPr>
          <w:ilvl w:val="0"/>
          <w:numId w:val="26"/>
        </w:numPr>
        <w:ind w:left="1267"/>
      </w:pPr>
      <w:r w:rsidRPr="00E371C2">
        <w:t>Según un estudio sobre la viabilidad de la autodetección oral del VIH en trabajadoras sexuales realizado en Gaborone (Botswana) en 2021, se examinó a 200</w:t>
      </w:r>
      <w:r w:rsidR="00E41835" w:rsidRPr="00125FA8">
        <w:t> </w:t>
      </w:r>
      <w:r w:rsidRPr="00E371C2">
        <w:t xml:space="preserve">trabajadoras sexuales. Su edad media era de 34 años (franja de 18 a 59 años), y 115 (58 %) eran VIH-positivas. Ochenta y cinco (42 %) resultaron ser VIH-negativas al inicio del estudio y cumplían los requisitos para participar en el estudio piloto de autodetección del VIH. Las 85 (100 %) aceptaron llevarse a casa kits de pruebas de autodetección del VIH. Sesenta y nueve (81 %) de estas 85 participantes tuvieron una visita de seguimiento, 56 (81 %) de las cuales declararon haberse realizado la prueba de autodetección del VIH una media de tres meses y medio después de la visita inicial. Las 56 participantes que se sometieron a la prueba de autodetección del VIH dieron resultados negativos. Cincuenta (73 %) de las 69 participantes que se llevaron a casa kits de pruebas de autodetección del VIH los compartieron con otras personas. De las </w:t>
      </w:r>
      <w:r w:rsidRPr="00E371C2">
        <w:lastRenderedPageBreak/>
        <w:t xml:space="preserve">50 mujeres que compartieron los kits de pruebas de autodetección del VIH, 25 (50 %) lo hicieron con sus parejas no clientes, 15 con un familiar, 8 con amigos y 3 con un cliente. Una participante no se hizo la prueba ella misma, pero compartió sus dos kits de pruebas. La mayoría de las participantes, 53 de 56 (95 %), consideraron que la prueba oral de autodetección del VIH era muy fácil de usar, mientras que 3 de </w:t>
      </w:r>
      <w:r w:rsidR="001D08A7" w:rsidRPr="00E371C2">
        <w:t>56</w:t>
      </w:r>
      <w:r w:rsidR="001D08A7">
        <w:t> </w:t>
      </w:r>
      <w:r w:rsidRPr="00E371C2">
        <w:t>(5</w:t>
      </w:r>
      <w:r w:rsidR="00E41835" w:rsidRPr="00125FA8">
        <w:t> </w:t>
      </w:r>
      <w:r w:rsidRPr="00E371C2">
        <w:t>%) opinaron que era bastante fácil.</w:t>
      </w:r>
    </w:p>
    <w:p w14:paraId="53C6CC11" w14:textId="400F813A" w:rsidR="00E371C2" w:rsidRPr="00E371C2" w:rsidRDefault="00E371C2" w:rsidP="00636B5F">
      <w:pPr>
        <w:pStyle w:val="SingleTxt"/>
        <w:numPr>
          <w:ilvl w:val="0"/>
          <w:numId w:val="26"/>
        </w:numPr>
        <w:ind w:left="1267"/>
      </w:pPr>
      <w:r w:rsidRPr="00E371C2">
        <w:t>El estudio concluyó que la prueba oral de autodetección del VIH es factible entre las trabajadoras sexuales de Gaborone (Botswana). La mayoría de las trabajadoras sexuales utilizaron ellas mismas los kits de pruebas de autodetección del VIH y también compartieron kits adicionales con otras personas.</w:t>
      </w:r>
    </w:p>
    <w:p w14:paraId="0C8F7B0D" w14:textId="2DDD62D1" w:rsidR="00E371C2" w:rsidRPr="00125FA8" w:rsidRDefault="00E371C2" w:rsidP="00636B5F">
      <w:pPr>
        <w:pStyle w:val="SingleTxt"/>
        <w:numPr>
          <w:ilvl w:val="0"/>
          <w:numId w:val="26"/>
        </w:numPr>
        <w:ind w:left="1267"/>
      </w:pPr>
      <w:r w:rsidRPr="00E371C2">
        <w:t>Para combatir la violencia de género en el contexto de la salud y el VIH/Sida, el proyecto de Plan Nacional Integral para Eliminar las Barreras Relacionadas con los Derechos Humanos y el Género en los Servicios de VIH y Tuberculosis prevé medidas destinadas a reducir las desigualdades de género, las normas de género perjudiciales y la violencia de género. El Gobierno sigue colaborando con los proveedores de servicios contra la violencia de género para reducir la vulnerabilidad al VIH y a la violencia de género.</w:t>
      </w:r>
    </w:p>
    <w:p w14:paraId="599BF4F2" w14:textId="77777777" w:rsidR="00C0619F" w:rsidRPr="00125FA8" w:rsidRDefault="00C0619F" w:rsidP="00C0619F">
      <w:pPr>
        <w:pStyle w:val="SingleTxt"/>
        <w:spacing w:after="0" w:line="120" w:lineRule="exact"/>
        <w:rPr>
          <w:sz w:val="10"/>
        </w:rPr>
      </w:pPr>
    </w:p>
    <w:p w14:paraId="549A701B" w14:textId="77777777" w:rsidR="00C0619F" w:rsidRPr="00125FA8" w:rsidRDefault="00C0619F" w:rsidP="00C0619F">
      <w:pPr>
        <w:pStyle w:val="SingleTxt"/>
        <w:spacing w:after="0" w:line="120" w:lineRule="exact"/>
        <w:rPr>
          <w:sz w:val="10"/>
        </w:rPr>
      </w:pPr>
    </w:p>
    <w:p w14:paraId="77705126" w14:textId="56060F27" w:rsidR="00E371C2" w:rsidRPr="00125FA8" w:rsidRDefault="00E371C2" w:rsidP="00C061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13 b)</w:t>
      </w:r>
    </w:p>
    <w:p w14:paraId="7C15F3C0" w14:textId="77777777" w:rsidR="00C0619F" w:rsidRPr="00125FA8" w:rsidRDefault="00C0619F" w:rsidP="00C0619F">
      <w:pPr>
        <w:pStyle w:val="SingleTxt"/>
        <w:spacing w:after="0" w:line="120" w:lineRule="exact"/>
        <w:rPr>
          <w:b/>
          <w:sz w:val="10"/>
        </w:rPr>
      </w:pPr>
    </w:p>
    <w:p w14:paraId="1958F452" w14:textId="77777777" w:rsidR="00C0619F" w:rsidRPr="00125FA8" w:rsidRDefault="00C0619F" w:rsidP="00C0619F">
      <w:pPr>
        <w:pStyle w:val="SingleTxt"/>
        <w:spacing w:after="0" w:line="120" w:lineRule="exact"/>
        <w:rPr>
          <w:b/>
          <w:sz w:val="10"/>
        </w:rPr>
      </w:pPr>
    </w:p>
    <w:p w14:paraId="2AE61E2F" w14:textId="2ED54F95" w:rsidR="00E371C2" w:rsidRPr="00125FA8" w:rsidRDefault="00E371C2" w:rsidP="00636B5F">
      <w:pPr>
        <w:pStyle w:val="SingleTxt"/>
        <w:numPr>
          <w:ilvl w:val="0"/>
          <w:numId w:val="26"/>
        </w:numPr>
        <w:ind w:left="1267"/>
      </w:pPr>
      <w:r w:rsidRPr="00E371C2">
        <w:t>Nkaikela Youth Group no es la única organización que recibe financiación para empoderar a las mujeres que ejercen el trabajo sexual para que lo abandonen, así como para evitar que las mujeres y las niñas vulnerables, en particular las no escolarizadas, se dediquen al trabajo sexual. Otras organizaciones como Silence Kills Support Group, Sisonke y Nothing Without Us Society también realizan una labor similar. Otras organizaciones también potencian esta labor, especialmente las que aplican la iniciativa DREAMS, financiada por USAID y coordinada por la Agencia Nacional de Sida y Promoción de la Salud. La subvención de la Agencia Nacional de Sida y Promoción de la Salud no financia el abandono del trabajo sexual, sino los programas de prevención, tratamiento y atención del VIH, que abarcan intervenciones de fortalecimiento económico que mitigan la violencia de género para las mujeres.</w:t>
      </w:r>
    </w:p>
    <w:p w14:paraId="5E4D2A99" w14:textId="77777777" w:rsidR="00C0619F" w:rsidRPr="00125FA8" w:rsidRDefault="00C0619F" w:rsidP="00C0619F">
      <w:pPr>
        <w:pStyle w:val="SingleTxt"/>
        <w:spacing w:after="0" w:line="120" w:lineRule="exact"/>
        <w:rPr>
          <w:sz w:val="10"/>
        </w:rPr>
      </w:pPr>
    </w:p>
    <w:p w14:paraId="70F25F7A" w14:textId="77777777" w:rsidR="00C0619F" w:rsidRPr="00125FA8" w:rsidRDefault="00C0619F" w:rsidP="00C0619F">
      <w:pPr>
        <w:pStyle w:val="SingleTxt"/>
        <w:spacing w:after="0" w:line="120" w:lineRule="exact"/>
        <w:rPr>
          <w:sz w:val="10"/>
        </w:rPr>
      </w:pPr>
    </w:p>
    <w:p w14:paraId="5920C2D2" w14:textId="6FAA0A32" w:rsidR="00E371C2" w:rsidRPr="00125FA8" w:rsidRDefault="00E371C2" w:rsidP="00C061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13 c)</w:t>
      </w:r>
    </w:p>
    <w:p w14:paraId="695B0FE1" w14:textId="77777777" w:rsidR="00C0619F" w:rsidRPr="00125FA8" w:rsidRDefault="00C0619F" w:rsidP="00C0619F">
      <w:pPr>
        <w:pStyle w:val="SingleTxt"/>
        <w:spacing w:after="0" w:line="120" w:lineRule="exact"/>
        <w:rPr>
          <w:b/>
          <w:sz w:val="10"/>
        </w:rPr>
      </w:pPr>
    </w:p>
    <w:p w14:paraId="08196ADE" w14:textId="77777777" w:rsidR="00C0619F" w:rsidRPr="00125FA8" w:rsidRDefault="00C0619F" w:rsidP="00C0619F">
      <w:pPr>
        <w:pStyle w:val="SingleTxt"/>
        <w:spacing w:after="0" w:line="120" w:lineRule="exact"/>
        <w:rPr>
          <w:b/>
          <w:sz w:val="10"/>
        </w:rPr>
      </w:pPr>
    </w:p>
    <w:p w14:paraId="58DED2A5" w14:textId="342810D4" w:rsidR="00E371C2" w:rsidRPr="00125FA8" w:rsidRDefault="00E371C2" w:rsidP="00636B5F">
      <w:pPr>
        <w:pStyle w:val="SingleTxt"/>
        <w:numPr>
          <w:ilvl w:val="0"/>
          <w:numId w:val="26"/>
        </w:numPr>
        <w:ind w:left="1267"/>
      </w:pPr>
      <w:r w:rsidRPr="00E371C2">
        <w:t>Examinado anteriormente.</w:t>
      </w:r>
    </w:p>
    <w:p w14:paraId="37EF1843" w14:textId="77777777" w:rsidR="00C0619F" w:rsidRPr="00125FA8" w:rsidRDefault="00C0619F" w:rsidP="00C0619F">
      <w:pPr>
        <w:pStyle w:val="SingleTxt"/>
        <w:spacing w:after="0" w:line="120" w:lineRule="exact"/>
        <w:rPr>
          <w:sz w:val="10"/>
        </w:rPr>
      </w:pPr>
    </w:p>
    <w:p w14:paraId="6065EBBB" w14:textId="77777777" w:rsidR="00C0619F" w:rsidRPr="00125FA8" w:rsidRDefault="00C0619F" w:rsidP="00C0619F">
      <w:pPr>
        <w:pStyle w:val="SingleTxt"/>
        <w:spacing w:after="0" w:line="120" w:lineRule="exact"/>
        <w:rPr>
          <w:sz w:val="10"/>
        </w:rPr>
      </w:pPr>
    </w:p>
    <w:p w14:paraId="7743F468" w14:textId="6EDCA0A5" w:rsidR="00E371C2" w:rsidRPr="00125FA8" w:rsidRDefault="00E371C2" w:rsidP="008B5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Participación en la vida política y pública</w:t>
      </w:r>
    </w:p>
    <w:p w14:paraId="564C63CE" w14:textId="77777777" w:rsidR="008B5430" w:rsidRPr="00125FA8" w:rsidRDefault="008B5430" w:rsidP="008B5430">
      <w:pPr>
        <w:pStyle w:val="SingleTxt"/>
        <w:spacing w:after="0" w:line="120" w:lineRule="exact"/>
        <w:rPr>
          <w:sz w:val="10"/>
        </w:rPr>
      </w:pPr>
    </w:p>
    <w:p w14:paraId="7E886D90" w14:textId="77777777" w:rsidR="008B5430" w:rsidRPr="00125FA8" w:rsidRDefault="008B5430" w:rsidP="008B5430">
      <w:pPr>
        <w:pStyle w:val="SingleTxt"/>
        <w:spacing w:after="0" w:line="120" w:lineRule="exact"/>
        <w:rPr>
          <w:sz w:val="10"/>
        </w:rPr>
      </w:pPr>
    </w:p>
    <w:p w14:paraId="05042C47" w14:textId="32F4B7AA" w:rsidR="00E371C2" w:rsidRPr="00125FA8" w:rsidRDefault="00E371C2" w:rsidP="008B5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14 a)</w:t>
      </w:r>
    </w:p>
    <w:p w14:paraId="28C96D5F" w14:textId="77777777" w:rsidR="008B5430" w:rsidRPr="00125FA8" w:rsidRDefault="008B5430" w:rsidP="008B5430">
      <w:pPr>
        <w:pStyle w:val="SingleTxt"/>
        <w:spacing w:after="0" w:line="120" w:lineRule="exact"/>
        <w:rPr>
          <w:b/>
          <w:sz w:val="10"/>
        </w:rPr>
      </w:pPr>
    </w:p>
    <w:p w14:paraId="06A42F14" w14:textId="77777777" w:rsidR="008B5430" w:rsidRPr="00125FA8" w:rsidRDefault="008B5430" w:rsidP="008B5430">
      <w:pPr>
        <w:pStyle w:val="SingleTxt"/>
        <w:spacing w:after="0" w:line="120" w:lineRule="exact"/>
        <w:rPr>
          <w:b/>
          <w:sz w:val="10"/>
        </w:rPr>
      </w:pPr>
    </w:p>
    <w:p w14:paraId="0C2341E4" w14:textId="3E4A0385" w:rsidR="00E371C2" w:rsidRPr="00125FA8" w:rsidRDefault="00E371C2" w:rsidP="00636B5F">
      <w:pPr>
        <w:pStyle w:val="SingleTxt"/>
        <w:numPr>
          <w:ilvl w:val="0"/>
          <w:numId w:val="26"/>
        </w:numPr>
        <w:ind w:left="1267"/>
        <w:rPr>
          <w:spacing w:val="2"/>
        </w:rPr>
      </w:pPr>
      <w:r w:rsidRPr="00E371C2">
        <w:rPr>
          <w:spacing w:val="2"/>
        </w:rPr>
        <w:t xml:space="preserve">El Presidente nombró a un </w:t>
      </w:r>
      <w:r w:rsidRPr="00170EBE">
        <w:rPr>
          <w:b/>
          <w:bCs/>
          <w:spacing w:val="2"/>
        </w:rPr>
        <w:t>50 % de mujeres</w:t>
      </w:r>
      <w:r w:rsidRPr="00E371C2">
        <w:rPr>
          <w:spacing w:val="2"/>
        </w:rPr>
        <w:t xml:space="preserve"> diputadas especialmente elegidas. Entre ellas figura una joven que también es Ministra de Juventud y Asuntos de Género.</w:t>
      </w:r>
    </w:p>
    <w:p w14:paraId="2E32703F" w14:textId="77777777" w:rsidR="008B5430" w:rsidRPr="00125FA8" w:rsidRDefault="008B5430" w:rsidP="008B5430">
      <w:pPr>
        <w:pStyle w:val="SingleTxt"/>
        <w:spacing w:after="0" w:line="120" w:lineRule="exact"/>
        <w:rPr>
          <w:sz w:val="10"/>
        </w:rPr>
      </w:pPr>
    </w:p>
    <w:p w14:paraId="4ED3196E" w14:textId="77777777" w:rsidR="008B5430" w:rsidRPr="00125FA8" w:rsidRDefault="008B5430" w:rsidP="008B5430">
      <w:pPr>
        <w:pStyle w:val="SingleTxt"/>
        <w:spacing w:after="0" w:line="120" w:lineRule="exact"/>
        <w:rPr>
          <w:sz w:val="10"/>
        </w:rPr>
      </w:pPr>
    </w:p>
    <w:p w14:paraId="3FA36DBE" w14:textId="601623C4" w:rsidR="00E371C2" w:rsidRPr="00125FA8" w:rsidRDefault="00E371C2" w:rsidP="008B5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14 b)</w:t>
      </w:r>
    </w:p>
    <w:p w14:paraId="2621C702" w14:textId="77777777" w:rsidR="008B5430" w:rsidRPr="00125FA8" w:rsidRDefault="008B5430" w:rsidP="008B5430">
      <w:pPr>
        <w:pStyle w:val="SingleTxt"/>
        <w:spacing w:after="0" w:line="120" w:lineRule="exact"/>
        <w:rPr>
          <w:b/>
          <w:bCs/>
          <w:sz w:val="10"/>
        </w:rPr>
      </w:pPr>
    </w:p>
    <w:p w14:paraId="36C7D55B" w14:textId="77777777" w:rsidR="008B5430" w:rsidRPr="00125FA8" w:rsidRDefault="008B5430" w:rsidP="008B5430">
      <w:pPr>
        <w:pStyle w:val="SingleTxt"/>
        <w:spacing w:after="0" w:line="120" w:lineRule="exact"/>
        <w:rPr>
          <w:b/>
          <w:sz w:val="10"/>
        </w:rPr>
      </w:pPr>
    </w:p>
    <w:p w14:paraId="7BB5E86A" w14:textId="789C31F7" w:rsidR="00E371C2" w:rsidRPr="00E371C2" w:rsidRDefault="00E371C2" w:rsidP="00636B5F">
      <w:pPr>
        <w:pStyle w:val="SingleTxt"/>
        <w:numPr>
          <w:ilvl w:val="0"/>
          <w:numId w:val="26"/>
        </w:numPr>
        <w:ind w:left="1267"/>
      </w:pPr>
      <w:r w:rsidRPr="00E371C2">
        <w:t>Prosiguen los esfuerzos para sensibilizar acerca de las mujeres en la diplomacia, promover la igualdad de género en la política exterior y valorar las contribuciones de las mujeres diplomáticas a la diplomacia y la gobernanza global. El Ministerio de Relaciones Internacionales ha emprendido una serie de iniciativas, entre las que cabe destacar la siguiente:</w:t>
      </w:r>
    </w:p>
    <w:p w14:paraId="0CA214E9" w14:textId="4E082535" w:rsidR="00E371C2" w:rsidRPr="00E371C2" w:rsidRDefault="00670C0D" w:rsidP="00670C0D">
      <w:pPr>
        <w:pStyle w:val="SingleTxt"/>
        <w:tabs>
          <w:tab w:val="right" w:pos="1685"/>
        </w:tabs>
        <w:ind w:left="1742" w:hanging="475"/>
      </w:pPr>
      <w:r w:rsidRPr="00125FA8">
        <w:lastRenderedPageBreak/>
        <w:tab/>
      </w:r>
      <w:r w:rsidR="00E371C2" w:rsidRPr="00E371C2">
        <w:t>•</w:t>
      </w:r>
      <w:r w:rsidR="00E371C2" w:rsidRPr="00E371C2">
        <w:tab/>
        <w:t xml:space="preserve">Producción de una edición especial de la revista Moemedi en 2021 con el tema </w:t>
      </w:r>
      <w:r w:rsidRPr="00125FA8">
        <w:t>“</w:t>
      </w:r>
      <w:r w:rsidR="00E371C2" w:rsidRPr="00E371C2">
        <w:t>Mujeres en la diplomacia</w:t>
      </w:r>
      <w:r w:rsidRPr="00125FA8">
        <w:t>”</w:t>
      </w:r>
      <w:r w:rsidR="00E371C2" w:rsidRPr="00E371C2">
        <w:t>.</w:t>
      </w:r>
    </w:p>
    <w:p w14:paraId="4108DF6C" w14:textId="4FEAC5FB" w:rsidR="00E371C2" w:rsidRPr="00125FA8" w:rsidRDefault="00E371C2" w:rsidP="00636B5F">
      <w:pPr>
        <w:pStyle w:val="SingleTxt"/>
        <w:numPr>
          <w:ilvl w:val="0"/>
          <w:numId w:val="26"/>
        </w:numPr>
        <w:ind w:left="1267"/>
      </w:pPr>
      <w:r w:rsidRPr="00E371C2">
        <w:t>En la publicación se elogiaron los logros de las mujeres en el ámbito de la diplomacia y, en particular, se centró en la labor que realizan las mujeres de Botswana en el servicio exterior y en las organizaciones internacionales. También se pusieron de relieve las contribuciones de mujeres distinguidas que ocuparon el cargo de Ministra de Relaciones Exteriores de Botswana. En la publicación se abordaron una serie de cuestiones, como la infrarrepresentación y los obstáculos a la paridad de género en diversos ámbitos, incluidos el liderazgo y la adopción de decisiones. También se destacó la influencia que tienen las mujeres a la hora de abordar cuestiones de interés y preocupación mundial, como las del comercio internacional, la salud, los derechos humanos, la paz y la seguridad, la igualdad de género, el desarrollo sostenible, la gestión electoral y el liderazgo político. Además, en toda la publicación se reiteró la importancia de que la comunidad mundial promueva una representación de género inclusiva y cumpla el objetivo de alcanzar la igualdad de género para 2030.</w:t>
      </w:r>
    </w:p>
    <w:p w14:paraId="78EF0F92" w14:textId="77777777" w:rsidR="00670C0D" w:rsidRPr="00125FA8" w:rsidRDefault="00670C0D" w:rsidP="00670C0D">
      <w:pPr>
        <w:pStyle w:val="SingleTxt"/>
        <w:spacing w:after="0" w:line="120" w:lineRule="exact"/>
        <w:rPr>
          <w:sz w:val="10"/>
        </w:rPr>
      </w:pPr>
    </w:p>
    <w:p w14:paraId="0C701598" w14:textId="3BC05629" w:rsidR="00E371C2" w:rsidRPr="00125FA8" w:rsidRDefault="00E371C2" w:rsidP="00670C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Campañas conjuntas de diplomacia pública en los medios de comunicación en colaboración con emisoras de radio locales</w:t>
      </w:r>
    </w:p>
    <w:p w14:paraId="57EE3D6F" w14:textId="77777777" w:rsidR="00670C0D" w:rsidRPr="00125FA8" w:rsidRDefault="00670C0D" w:rsidP="00670C0D">
      <w:pPr>
        <w:pStyle w:val="SingleTxt"/>
        <w:spacing w:after="0" w:line="120" w:lineRule="exact"/>
        <w:rPr>
          <w:b/>
          <w:sz w:val="10"/>
        </w:rPr>
      </w:pPr>
    </w:p>
    <w:p w14:paraId="42F91626" w14:textId="5FD8B4E8" w:rsidR="00E371C2" w:rsidRPr="00E371C2" w:rsidRDefault="00E371C2" w:rsidP="00636B5F">
      <w:pPr>
        <w:pStyle w:val="SingleTxt"/>
        <w:numPr>
          <w:ilvl w:val="0"/>
          <w:numId w:val="26"/>
        </w:numPr>
        <w:ind w:left="1267"/>
        <w:rPr>
          <w:bCs/>
        </w:rPr>
      </w:pPr>
      <w:r w:rsidRPr="00E371C2">
        <w:t>En 2022, el Ministerio, en colaboración con la emisora de radio Gabz FM, inició un programa de seis meses sobre la promoción de los intereses nacionales de Botswana en el extranjero a través de la diplomacia económica en el que participaron siete Jefas de Misión. La entonces Secretaria Permanente, también mujer, puso en marcha el programa.</w:t>
      </w:r>
    </w:p>
    <w:p w14:paraId="68D396E7" w14:textId="17A116F4" w:rsidR="00E371C2" w:rsidRPr="00E371C2" w:rsidRDefault="00E371C2" w:rsidP="00636B5F">
      <w:pPr>
        <w:pStyle w:val="SingleTxt"/>
        <w:numPr>
          <w:ilvl w:val="0"/>
          <w:numId w:val="26"/>
        </w:numPr>
        <w:ind w:left="1267"/>
      </w:pPr>
      <w:r w:rsidRPr="00E371C2">
        <w:t>El Gobierno, en colaboración con otras partes interesadas, también ha llevado a cabo varios programas de capacitación para aumentar la representación de las mujeres en los medios de comunicación mediante la promoción de políticas y códigos éticos que apoyen la igualdad de género. En 2022, la Asociación Mundial de Periódicos y Editores de Noticias formó a más de 60 mujeres de Botswana en materia de gestión de redacciones en el marco de su programa de liderazgo.</w:t>
      </w:r>
    </w:p>
    <w:p w14:paraId="185119BA" w14:textId="19FA4CFC" w:rsidR="00E371C2" w:rsidRPr="00E371C2" w:rsidRDefault="00E371C2" w:rsidP="00636B5F">
      <w:pPr>
        <w:pStyle w:val="SingleTxt"/>
        <w:numPr>
          <w:ilvl w:val="0"/>
          <w:numId w:val="26"/>
        </w:numPr>
        <w:ind w:left="1267"/>
      </w:pPr>
      <w:r w:rsidRPr="00E371C2">
        <w:t>En el programa también se señalaron el acoso sexual en las redacciones y la violencia en línea contra las mujeres periodistas como impedimentos para el crecimiento profesional y una de las principales razones por las que muchas mujeres periodistas abandonan la profesión.</w:t>
      </w:r>
    </w:p>
    <w:p w14:paraId="7A54A712" w14:textId="326817D2" w:rsidR="00E371C2" w:rsidRPr="00E371C2" w:rsidRDefault="00E371C2" w:rsidP="00636B5F">
      <w:pPr>
        <w:pStyle w:val="SingleTxt"/>
        <w:numPr>
          <w:ilvl w:val="0"/>
          <w:numId w:val="26"/>
        </w:numPr>
        <w:ind w:left="1267"/>
        <w:rPr>
          <w:spacing w:val="2"/>
        </w:rPr>
      </w:pPr>
      <w:r w:rsidRPr="00E371C2">
        <w:t xml:space="preserve">Desde 2020, Gender Links Botswana lleva a cabo programas de capacitación en los medios de comunicación para formar y dotar a los periodistas de las herramientas necesarias para cubrir las cuestiones de género y de la mujer en la política. En 2023, </w:t>
      </w:r>
      <w:r w:rsidRPr="00E371C2">
        <w:rPr>
          <w:spacing w:val="2"/>
        </w:rPr>
        <w:t>la sección de Botswana del Media Institute of Southern Africa (MISA), en colaboración con la Friedrich-Ebert-Stiftung, organizó talleres para los medios de comunicación sobre elecciones y la presentación de información con perspectiva de género.</w:t>
      </w:r>
    </w:p>
    <w:p w14:paraId="1C9A47B7" w14:textId="5E669693" w:rsidR="00E371C2" w:rsidRPr="00170EBE" w:rsidRDefault="00E371C2" w:rsidP="00636B5F">
      <w:pPr>
        <w:pStyle w:val="SingleTxt"/>
        <w:numPr>
          <w:ilvl w:val="0"/>
          <w:numId w:val="26"/>
        </w:numPr>
        <w:ind w:left="1267"/>
        <w:rPr>
          <w:spacing w:val="0"/>
        </w:rPr>
      </w:pPr>
      <w:r w:rsidRPr="00170EBE">
        <w:rPr>
          <w:spacing w:val="0"/>
        </w:rPr>
        <w:t>El Gobierno ha avanzado en la representación de las mujeres en los puestos decisorios del sector público, que se sitúa en el 44 %, frente al 56 % de hombres en puestos directivos. Con el fin de crear conciencia sobre la importancia de elegir a mujeres para puestos decisorios, se ha elaborado y traducido al setswana un manual de capacitación para mujeres en política en Botswana. Para ello se contó con el apoyo del PNUD.</w:t>
      </w:r>
    </w:p>
    <w:p w14:paraId="1C5D75E4" w14:textId="77777777" w:rsidR="00670C0D" w:rsidRPr="00125FA8" w:rsidRDefault="00670C0D" w:rsidP="00670C0D">
      <w:pPr>
        <w:pStyle w:val="SingleTxt"/>
        <w:spacing w:after="0" w:line="120" w:lineRule="exact"/>
        <w:rPr>
          <w:sz w:val="10"/>
        </w:rPr>
      </w:pPr>
    </w:p>
    <w:p w14:paraId="7F032E72" w14:textId="77777777" w:rsidR="00670C0D" w:rsidRPr="00125FA8" w:rsidRDefault="00670C0D" w:rsidP="00670C0D">
      <w:pPr>
        <w:pStyle w:val="SingleTxt"/>
        <w:spacing w:after="0" w:line="120" w:lineRule="exact"/>
        <w:rPr>
          <w:sz w:val="10"/>
        </w:rPr>
      </w:pPr>
    </w:p>
    <w:p w14:paraId="65BDF9CA" w14:textId="2131AE15" w:rsidR="00E371C2" w:rsidRPr="00125FA8" w:rsidRDefault="00E371C2" w:rsidP="00670C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14 c)</w:t>
      </w:r>
    </w:p>
    <w:p w14:paraId="5AE4C071" w14:textId="77777777" w:rsidR="00670C0D" w:rsidRPr="00125FA8" w:rsidRDefault="00670C0D" w:rsidP="00670C0D">
      <w:pPr>
        <w:pStyle w:val="SingleTxt"/>
        <w:spacing w:after="0" w:line="120" w:lineRule="exact"/>
        <w:rPr>
          <w:sz w:val="10"/>
        </w:rPr>
      </w:pPr>
    </w:p>
    <w:p w14:paraId="63E27845" w14:textId="77777777" w:rsidR="00670C0D" w:rsidRPr="00125FA8" w:rsidRDefault="00670C0D" w:rsidP="00670C0D">
      <w:pPr>
        <w:pStyle w:val="SingleTxt"/>
        <w:spacing w:after="0" w:line="120" w:lineRule="exact"/>
        <w:rPr>
          <w:sz w:val="10"/>
        </w:rPr>
      </w:pPr>
    </w:p>
    <w:p w14:paraId="4424B112" w14:textId="0FBA12A5" w:rsidR="00E371C2" w:rsidRPr="00125FA8" w:rsidRDefault="00E371C2" w:rsidP="00636B5F">
      <w:pPr>
        <w:pStyle w:val="SingleTxt"/>
        <w:numPr>
          <w:ilvl w:val="0"/>
          <w:numId w:val="26"/>
        </w:numPr>
        <w:ind w:left="1267"/>
        <w:rPr>
          <w:spacing w:val="-2"/>
        </w:rPr>
      </w:pPr>
      <w:r w:rsidRPr="00E371C2">
        <w:rPr>
          <w:spacing w:val="-2"/>
        </w:rPr>
        <w:t xml:space="preserve">El Gobierno, en colaboración con otras partes interesadas, llevó a cabo actividades de creación de capacidad para 15 mujeres que aspiraban a ocupar cargos políticos como preparación para las elecciones generales de 2024. El PNUD, en colaboración con el </w:t>
      </w:r>
      <w:r w:rsidRPr="00E371C2">
        <w:rPr>
          <w:spacing w:val="-2"/>
        </w:rPr>
        <w:lastRenderedPageBreak/>
        <w:t>Departamento de Asuntos de Género, ha elaborado un manual de capacitación para mujeres en la vida política en Botswana, que se utiliza para la capacitación.</w:t>
      </w:r>
    </w:p>
    <w:p w14:paraId="566DF177" w14:textId="77777777" w:rsidR="00734F3B" w:rsidRPr="00125FA8" w:rsidRDefault="00734F3B" w:rsidP="00734F3B">
      <w:pPr>
        <w:pStyle w:val="SingleTxt"/>
        <w:spacing w:after="0" w:line="120" w:lineRule="exact"/>
        <w:rPr>
          <w:sz w:val="10"/>
        </w:rPr>
      </w:pPr>
    </w:p>
    <w:p w14:paraId="58C1D7F8" w14:textId="77777777" w:rsidR="00734F3B" w:rsidRPr="00125FA8" w:rsidRDefault="00734F3B" w:rsidP="00734F3B">
      <w:pPr>
        <w:pStyle w:val="SingleTxt"/>
        <w:spacing w:after="0" w:line="120" w:lineRule="exact"/>
        <w:rPr>
          <w:sz w:val="10"/>
        </w:rPr>
      </w:pPr>
    </w:p>
    <w:p w14:paraId="4EA9CE96" w14:textId="13D65E59"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14 d)</w:t>
      </w:r>
    </w:p>
    <w:p w14:paraId="464B217F" w14:textId="77777777" w:rsidR="00734F3B" w:rsidRPr="00125FA8" w:rsidRDefault="00734F3B" w:rsidP="00734F3B">
      <w:pPr>
        <w:pStyle w:val="SingleTxt"/>
        <w:spacing w:after="0" w:line="120" w:lineRule="exact"/>
        <w:rPr>
          <w:b/>
          <w:sz w:val="10"/>
        </w:rPr>
      </w:pPr>
    </w:p>
    <w:p w14:paraId="78A96CF0" w14:textId="77777777" w:rsidR="00734F3B" w:rsidRPr="00125FA8" w:rsidRDefault="00734F3B" w:rsidP="00734F3B">
      <w:pPr>
        <w:pStyle w:val="SingleTxt"/>
        <w:spacing w:after="0" w:line="120" w:lineRule="exact"/>
        <w:rPr>
          <w:b/>
          <w:sz w:val="10"/>
        </w:rPr>
      </w:pPr>
    </w:p>
    <w:p w14:paraId="63674288" w14:textId="4A516B6A" w:rsidR="00E371C2" w:rsidRPr="00125FA8" w:rsidRDefault="00E371C2" w:rsidP="00636B5F">
      <w:pPr>
        <w:pStyle w:val="SingleTxt"/>
        <w:numPr>
          <w:ilvl w:val="0"/>
          <w:numId w:val="26"/>
        </w:numPr>
        <w:ind w:left="1267"/>
      </w:pPr>
      <w:r w:rsidRPr="00E371C2">
        <w:t xml:space="preserve">Existen servicios limitados de apoyo a los cuidados en el lugar de trabajo, como la Universidad de Botswana. </w:t>
      </w:r>
    </w:p>
    <w:p w14:paraId="0EBE905D" w14:textId="77777777" w:rsidR="00734F3B" w:rsidRPr="00125FA8" w:rsidRDefault="00734F3B" w:rsidP="00734F3B">
      <w:pPr>
        <w:pStyle w:val="SingleTxt"/>
        <w:spacing w:after="0" w:line="120" w:lineRule="exact"/>
        <w:rPr>
          <w:sz w:val="10"/>
        </w:rPr>
      </w:pPr>
    </w:p>
    <w:p w14:paraId="565796D9" w14:textId="77777777" w:rsidR="00734F3B" w:rsidRPr="00125FA8" w:rsidRDefault="00734F3B" w:rsidP="00734F3B">
      <w:pPr>
        <w:pStyle w:val="SingleTxt"/>
        <w:spacing w:after="0" w:line="120" w:lineRule="exact"/>
        <w:rPr>
          <w:sz w:val="10"/>
        </w:rPr>
      </w:pPr>
    </w:p>
    <w:p w14:paraId="0B7046C8" w14:textId="668C2E75"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14 e)</w:t>
      </w:r>
    </w:p>
    <w:p w14:paraId="10ACD4E1" w14:textId="77777777" w:rsidR="00734F3B" w:rsidRPr="00125FA8" w:rsidRDefault="00734F3B" w:rsidP="00734F3B">
      <w:pPr>
        <w:pStyle w:val="SingleTxt"/>
        <w:spacing w:after="0" w:line="120" w:lineRule="exact"/>
        <w:rPr>
          <w:b/>
          <w:sz w:val="10"/>
        </w:rPr>
      </w:pPr>
    </w:p>
    <w:p w14:paraId="3CE7A430" w14:textId="77777777" w:rsidR="00734F3B" w:rsidRPr="00125FA8" w:rsidRDefault="00734F3B" w:rsidP="00734F3B">
      <w:pPr>
        <w:pStyle w:val="SingleTxt"/>
        <w:spacing w:after="0" w:line="120" w:lineRule="exact"/>
        <w:rPr>
          <w:b/>
          <w:sz w:val="10"/>
        </w:rPr>
      </w:pPr>
    </w:p>
    <w:p w14:paraId="6D58254B" w14:textId="60241B3A" w:rsidR="00E371C2" w:rsidRPr="00125FA8" w:rsidRDefault="00E371C2" w:rsidP="00636B5F">
      <w:pPr>
        <w:pStyle w:val="SingleTxt"/>
        <w:numPr>
          <w:ilvl w:val="0"/>
          <w:numId w:val="26"/>
        </w:numPr>
        <w:ind w:left="1267"/>
      </w:pPr>
      <w:r w:rsidRPr="00E371C2">
        <w:t>Botswana promulgó legislación contra el discurso de odio, que incluye disposiciones aplicables a las expresiones en línea. El Código Penal tipifica como delito las expresiones que incitan al odio por motivos de raza, origen étnico o religión. Concretamente, el artículo 92 del Código Penal establece que toda persona que pronuncie palabras o publique escritos amenazadores, abusivos o insultantes con la intención de fomentar la enemistad o el odio entre la población de Botswana estará cometiendo un delito.</w:t>
      </w:r>
    </w:p>
    <w:p w14:paraId="404B3879" w14:textId="77777777" w:rsidR="00734F3B" w:rsidRPr="00125FA8" w:rsidRDefault="00734F3B" w:rsidP="00734F3B">
      <w:pPr>
        <w:pStyle w:val="SingleTxt"/>
        <w:spacing w:after="0" w:line="120" w:lineRule="exact"/>
        <w:rPr>
          <w:sz w:val="10"/>
        </w:rPr>
      </w:pPr>
    </w:p>
    <w:p w14:paraId="699BA8C0" w14:textId="43AA0C39" w:rsidR="00E371C2" w:rsidRPr="00125FA8" w:rsidRDefault="00E371C2" w:rsidP="00734F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Educación</w:t>
      </w:r>
    </w:p>
    <w:p w14:paraId="0426A062" w14:textId="77777777" w:rsidR="00734F3B" w:rsidRPr="00125FA8" w:rsidRDefault="00734F3B" w:rsidP="00734F3B">
      <w:pPr>
        <w:pStyle w:val="SingleTxt"/>
        <w:spacing w:after="0" w:line="120" w:lineRule="exact"/>
        <w:rPr>
          <w:sz w:val="10"/>
        </w:rPr>
      </w:pPr>
    </w:p>
    <w:p w14:paraId="13A5CD5B" w14:textId="0DCB0290" w:rsidR="00E371C2" w:rsidRPr="00125FA8" w:rsidRDefault="00E371C2" w:rsidP="00636B5F">
      <w:pPr>
        <w:pStyle w:val="SingleTxt"/>
        <w:numPr>
          <w:ilvl w:val="0"/>
          <w:numId w:val="26"/>
        </w:numPr>
        <w:ind w:left="1267"/>
      </w:pPr>
      <w:r w:rsidRPr="00E371C2">
        <w:t>El Ministerio de Bienestar Infantil y Educación Básica, en colaboración con el UNICEF, ha autorizado una consultoría para elaborar una política de lucha contra el acoso que aborde los problemas de la violencia en las escuelas. Existe una política nacional de ciberacoso que aplican los organismos encargados de hacer cumplir la ley. Sin embargo, el Ministerio ha emprendido la elaboración de una política nacional de protección de la infancia en línea que se espera esté lista para marzo de 2026.</w:t>
      </w:r>
    </w:p>
    <w:p w14:paraId="3EE60866" w14:textId="77777777" w:rsidR="00734F3B" w:rsidRPr="00125FA8" w:rsidRDefault="00734F3B" w:rsidP="00734F3B">
      <w:pPr>
        <w:pStyle w:val="SingleTxt"/>
        <w:spacing w:after="0" w:line="120" w:lineRule="exact"/>
        <w:rPr>
          <w:sz w:val="10"/>
        </w:rPr>
      </w:pPr>
    </w:p>
    <w:p w14:paraId="6E864D30" w14:textId="77777777" w:rsidR="00734F3B" w:rsidRPr="00125FA8" w:rsidRDefault="00734F3B" w:rsidP="00734F3B">
      <w:pPr>
        <w:pStyle w:val="SingleTxt"/>
        <w:spacing w:after="0" w:line="120" w:lineRule="exact"/>
        <w:rPr>
          <w:sz w:val="10"/>
        </w:rPr>
      </w:pPr>
    </w:p>
    <w:p w14:paraId="5AC3DC59" w14:textId="338371E4"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15 a)</w:t>
      </w:r>
      <w:bookmarkStart w:id="9" w:name="_Hlk196812744"/>
      <w:bookmarkEnd w:id="9"/>
    </w:p>
    <w:p w14:paraId="3F73F5D0" w14:textId="77777777" w:rsidR="00734F3B" w:rsidRPr="00125FA8" w:rsidRDefault="00734F3B" w:rsidP="00734F3B">
      <w:pPr>
        <w:pStyle w:val="SingleTxt"/>
        <w:spacing w:after="0" w:line="120" w:lineRule="exact"/>
        <w:rPr>
          <w:sz w:val="10"/>
        </w:rPr>
      </w:pPr>
    </w:p>
    <w:p w14:paraId="3C6567D9" w14:textId="77777777" w:rsidR="00734F3B" w:rsidRPr="00125FA8" w:rsidRDefault="00734F3B" w:rsidP="00734F3B">
      <w:pPr>
        <w:pStyle w:val="SingleTxt"/>
        <w:spacing w:after="0" w:line="120" w:lineRule="exact"/>
        <w:rPr>
          <w:sz w:val="10"/>
        </w:rPr>
      </w:pPr>
    </w:p>
    <w:p w14:paraId="26E91654" w14:textId="55D035C7" w:rsidR="00E371C2" w:rsidRPr="00125FA8" w:rsidRDefault="00E371C2" w:rsidP="00636B5F">
      <w:pPr>
        <w:pStyle w:val="SingleTxt"/>
        <w:numPr>
          <w:ilvl w:val="0"/>
          <w:numId w:val="26"/>
        </w:numPr>
        <w:ind w:left="1267"/>
      </w:pPr>
      <w:r w:rsidRPr="00E371C2">
        <w:t>Se está llevando a cabo el examen de la Ley de Educación. El proyecto de ley se presentará al Gabinete en 2025 y prevé la supresión de los castigos corporales en las escuelas.</w:t>
      </w:r>
    </w:p>
    <w:p w14:paraId="33D0104B" w14:textId="77777777" w:rsidR="00734F3B" w:rsidRPr="00125FA8" w:rsidRDefault="00734F3B" w:rsidP="00734F3B">
      <w:pPr>
        <w:pStyle w:val="SingleTxt"/>
        <w:spacing w:after="0" w:line="120" w:lineRule="exact"/>
        <w:rPr>
          <w:sz w:val="10"/>
        </w:rPr>
      </w:pPr>
    </w:p>
    <w:p w14:paraId="75FAB25A" w14:textId="77777777" w:rsidR="00734F3B" w:rsidRPr="00125FA8" w:rsidRDefault="00734F3B" w:rsidP="00734F3B">
      <w:pPr>
        <w:pStyle w:val="SingleTxt"/>
        <w:spacing w:after="0" w:line="120" w:lineRule="exact"/>
        <w:rPr>
          <w:sz w:val="10"/>
        </w:rPr>
      </w:pPr>
    </w:p>
    <w:p w14:paraId="570A5FBE" w14:textId="6BDA37C3"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15 b)</w:t>
      </w:r>
    </w:p>
    <w:p w14:paraId="69929782" w14:textId="77777777" w:rsidR="00734F3B" w:rsidRPr="00125FA8" w:rsidRDefault="00734F3B" w:rsidP="00734F3B">
      <w:pPr>
        <w:pStyle w:val="SingleTxt"/>
        <w:spacing w:after="0" w:line="120" w:lineRule="exact"/>
        <w:rPr>
          <w:sz w:val="10"/>
        </w:rPr>
      </w:pPr>
    </w:p>
    <w:p w14:paraId="3E5EFB6D" w14:textId="77777777" w:rsidR="00734F3B" w:rsidRPr="00125FA8" w:rsidRDefault="00734F3B" w:rsidP="00734F3B">
      <w:pPr>
        <w:pStyle w:val="SingleTxt"/>
        <w:spacing w:after="0" w:line="120" w:lineRule="exact"/>
        <w:rPr>
          <w:sz w:val="10"/>
        </w:rPr>
      </w:pPr>
    </w:p>
    <w:p w14:paraId="4407E3F3" w14:textId="6ED8D94C" w:rsidR="00E371C2" w:rsidRPr="00E371C2" w:rsidRDefault="00E371C2" w:rsidP="00636B5F">
      <w:pPr>
        <w:pStyle w:val="SingleTxt"/>
        <w:numPr>
          <w:ilvl w:val="0"/>
          <w:numId w:val="26"/>
        </w:numPr>
        <w:ind w:left="1267"/>
        <w:rPr>
          <w:spacing w:val="2"/>
        </w:rPr>
      </w:pPr>
      <w:r w:rsidRPr="00E371C2">
        <w:t>El Ministerio responsable de la educación ha garantizado espacios para escolarizar de nuevo a las niñas que han abandonado los estudios por diversos motivos. En los casos de embarazos precoces e imprevistos, se permite a las niñas asistir a la escuela durante el embarazo. Tras el parto, las jóvenes madres pueden asistir a la escuela una vez que los médicos certifican que están en condiciones. El</w:t>
      </w:r>
      <w:r w:rsidR="00734F3B" w:rsidRPr="00125FA8">
        <w:t> </w:t>
      </w:r>
      <w:r w:rsidRPr="00E371C2">
        <w:t xml:space="preserve">Ministerio trabaja en colaboración con asociaciones de padres y profesores, organizaciones no gubernamentales y líderes comunitarios para llegar a los padres a fin de que ayuden a sus hijos a reincorporarse a la escuela. Además, las escuelas </w:t>
      </w:r>
      <w:r w:rsidRPr="00E371C2">
        <w:rPr>
          <w:spacing w:val="2"/>
        </w:rPr>
        <w:t>también llevan a cabo programas de empoderamiento de los alumnos y diálogos de comunicación entre padres e hijos, como Connect With Respect (CWR), clubes de asesoramiento entre compañeros para adolescentes y el programa de círculos de apoyo para mitigar la situación de los padres que no apoyan a sus hijos. Se emprenden acciones legales contra los padres denunciados por negligencia en virtud de la Ley de la Infancia de 2009. El Ministerio está colaborando con asociados para el desarrollo en el examen de la política de admisión y reingreso en las escuelas, a fin de tener en cuenta la necesidad de que las niñas sean readmitidas fácilmente en el sistema educativo.</w:t>
      </w:r>
    </w:p>
    <w:p w14:paraId="7DC0B8A4" w14:textId="55288470" w:rsidR="00E371C2" w:rsidRPr="00125FA8" w:rsidRDefault="00E371C2" w:rsidP="00636B5F">
      <w:pPr>
        <w:pStyle w:val="SingleTxt"/>
        <w:numPr>
          <w:ilvl w:val="0"/>
          <w:numId w:val="26"/>
        </w:numPr>
        <w:ind w:left="1267"/>
        <w:rPr>
          <w:spacing w:val="0"/>
        </w:rPr>
      </w:pPr>
      <w:r w:rsidRPr="00E371C2">
        <w:lastRenderedPageBreak/>
        <w:t xml:space="preserve">El programa Back to School (Regreso a la escuela) de la organización Bana ba Letsatsi tiene como objetivo preparar a los niños que han abandonado los estudios para que vuelvan a las escuelas ordinarias tras completar el programa de un año de educación extraescolar para niños (OSEC, por sus siglas en inglés) en dicha organización. El programa también prepara a niños que nunca han asistido a escuelas ordinarias por la desatención de sus padres o tutores y los introduce en el sistema educativo. Según el entorno familiar, algunos niños son matriculados en internados y </w:t>
      </w:r>
      <w:r w:rsidRPr="00E371C2">
        <w:rPr>
          <w:spacing w:val="0"/>
        </w:rPr>
        <w:t>se les proporciona transporte de ida y vuelta a la escuela, artículos de aseo y ropa de cama.</w:t>
      </w:r>
    </w:p>
    <w:p w14:paraId="4DBD66E7" w14:textId="77777777" w:rsidR="00734F3B" w:rsidRPr="00125FA8" w:rsidRDefault="00734F3B" w:rsidP="00734F3B">
      <w:pPr>
        <w:pStyle w:val="SingleTxt"/>
        <w:spacing w:after="0" w:line="120" w:lineRule="exact"/>
        <w:rPr>
          <w:sz w:val="10"/>
        </w:rPr>
      </w:pPr>
    </w:p>
    <w:p w14:paraId="009943B2" w14:textId="77777777" w:rsidR="00734F3B" w:rsidRPr="00125FA8" w:rsidRDefault="00734F3B" w:rsidP="00734F3B">
      <w:pPr>
        <w:pStyle w:val="SingleTxt"/>
        <w:spacing w:after="0" w:line="120" w:lineRule="exact"/>
        <w:rPr>
          <w:sz w:val="10"/>
        </w:rPr>
      </w:pPr>
    </w:p>
    <w:p w14:paraId="657863D6" w14:textId="516E5E88"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15 c)</w:t>
      </w:r>
    </w:p>
    <w:p w14:paraId="2506C3EB" w14:textId="77777777" w:rsidR="00734F3B" w:rsidRPr="00125FA8" w:rsidRDefault="00734F3B" w:rsidP="00734F3B">
      <w:pPr>
        <w:pStyle w:val="SingleTxt"/>
        <w:spacing w:after="0" w:line="120" w:lineRule="exact"/>
        <w:rPr>
          <w:b/>
          <w:sz w:val="10"/>
        </w:rPr>
      </w:pPr>
    </w:p>
    <w:p w14:paraId="2757DF55" w14:textId="77777777" w:rsidR="00734F3B" w:rsidRPr="00125FA8" w:rsidRDefault="00734F3B" w:rsidP="00734F3B">
      <w:pPr>
        <w:pStyle w:val="SingleTxt"/>
        <w:spacing w:after="0" w:line="120" w:lineRule="exact"/>
        <w:rPr>
          <w:b/>
          <w:sz w:val="10"/>
        </w:rPr>
      </w:pPr>
    </w:p>
    <w:p w14:paraId="569AF71C" w14:textId="72C15C3E" w:rsidR="00E371C2" w:rsidRPr="00E371C2" w:rsidRDefault="00E371C2" w:rsidP="00636B5F">
      <w:pPr>
        <w:pStyle w:val="SingleTxt"/>
        <w:numPr>
          <w:ilvl w:val="0"/>
          <w:numId w:val="26"/>
        </w:numPr>
        <w:ind w:left="1267"/>
      </w:pPr>
      <w:r w:rsidRPr="00E371C2">
        <w:t>La educación sexual integral es parte indisociable de los planes de estudios en todos los niveles. Los alumnos reciben contenidos adecuados a su edad y que tienen en cuenta el género y la cultura, según sus necesidades. El programa adopta un enfoque sistémico integral. Por lo demás, la enseñanza se imparte mediante un enfoque en espiral que comienza desde el nivel inferior hasta el superior. El</w:t>
      </w:r>
      <w:r w:rsidR="00734F3B" w:rsidRPr="00125FA8">
        <w:t> </w:t>
      </w:r>
      <w:r w:rsidRPr="00E371C2">
        <w:t>Ministerio trabaja en colaboración con el sector privado y los asociados para el desarrollo para su aplicación efectiva.</w:t>
      </w:r>
    </w:p>
    <w:p w14:paraId="1206DC5E" w14:textId="7EFCB214" w:rsidR="00E371C2" w:rsidRPr="00E371C2" w:rsidRDefault="00E371C2" w:rsidP="00636B5F">
      <w:pPr>
        <w:pStyle w:val="SingleTxt"/>
        <w:numPr>
          <w:ilvl w:val="0"/>
          <w:numId w:val="26"/>
        </w:numPr>
        <w:ind w:left="1267"/>
      </w:pPr>
      <w:r w:rsidRPr="00E371C2">
        <w:t>En Botswana, la integración de la educación sexual integral (ESI) obligatoria y adecuada a la edad en los planes de estudios ha sido un esfuerzo de colaboración en el que han participado ministerios gubernamentales, organizaciones internacionales y partes interesadas locales. En 2013, Botswana, junto con otros países de África Oriental y Meridional, expresó su compromiso de ampliar la ESI y los servicios de salud sexual y reproductiva adaptados a los jóvenes para adolescentes y jóvenes. Este compromiso pretendía proporcionar a los jóvenes información precisa para que pudieran tomar decisiones informadas sobre su salud sexual y reproductiva.</w:t>
      </w:r>
    </w:p>
    <w:p w14:paraId="2C40CAE8" w14:textId="3F489756" w:rsidR="00E371C2" w:rsidRPr="00125FA8" w:rsidRDefault="00E371C2" w:rsidP="00636B5F">
      <w:pPr>
        <w:pStyle w:val="SingleTxt"/>
        <w:numPr>
          <w:ilvl w:val="0"/>
          <w:numId w:val="26"/>
        </w:numPr>
        <w:ind w:left="1267"/>
      </w:pPr>
      <w:r w:rsidRPr="00E371C2">
        <w:t>Para impartir eficazmente la ESI se necesitan educadores bien formados. A fin de hacer frente a esta situación, se han emprendido iniciativas para empoderar a los docentes especializados en orientación y asesoramiento, especialmente en las zonas remotas. Por ejemplo, se impartió una capacitación en ESI de cuatro días y medio para 23 docentes especializados en orientación y asesoramiento</w:t>
      </w:r>
      <w:r w:rsidRPr="00E371C2">
        <w:rPr>
          <w:b/>
          <w:bCs/>
        </w:rPr>
        <w:t xml:space="preserve"> </w:t>
      </w:r>
      <w:r w:rsidRPr="00E371C2">
        <w:t>en el subdistrito de Okavango. El objetivo de esta capacitación era acelerar la puesta en marcha de sesiones estructuradas de ESI en las escuelas y subsanar las carencias de información sobre salud y derechos sexuales y reproductivos.</w:t>
      </w:r>
    </w:p>
    <w:p w14:paraId="0D96F08C" w14:textId="77777777" w:rsidR="00734F3B" w:rsidRPr="00125FA8" w:rsidRDefault="00734F3B" w:rsidP="00734F3B">
      <w:pPr>
        <w:pStyle w:val="SingleTxt"/>
        <w:spacing w:after="0" w:line="120" w:lineRule="exact"/>
        <w:rPr>
          <w:sz w:val="10"/>
        </w:rPr>
      </w:pPr>
    </w:p>
    <w:p w14:paraId="32BBF4C2" w14:textId="77777777" w:rsidR="00734F3B" w:rsidRPr="00125FA8" w:rsidRDefault="00734F3B" w:rsidP="00734F3B">
      <w:pPr>
        <w:pStyle w:val="SingleTxt"/>
        <w:spacing w:after="0" w:line="120" w:lineRule="exact"/>
        <w:rPr>
          <w:sz w:val="10"/>
        </w:rPr>
      </w:pPr>
    </w:p>
    <w:p w14:paraId="4CB4E811" w14:textId="7E70FA12"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15 d)</w:t>
      </w:r>
    </w:p>
    <w:p w14:paraId="0B5212B7" w14:textId="77777777" w:rsidR="00734F3B" w:rsidRPr="00125FA8" w:rsidRDefault="00734F3B" w:rsidP="00734F3B">
      <w:pPr>
        <w:pStyle w:val="SingleTxt"/>
        <w:spacing w:after="0" w:line="120" w:lineRule="exact"/>
        <w:rPr>
          <w:b/>
          <w:sz w:val="10"/>
        </w:rPr>
      </w:pPr>
    </w:p>
    <w:p w14:paraId="12DD2220" w14:textId="77777777" w:rsidR="00734F3B" w:rsidRPr="00125FA8" w:rsidRDefault="00734F3B" w:rsidP="00734F3B">
      <w:pPr>
        <w:pStyle w:val="SingleTxt"/>
        <w:spacing w:after="0" w:line="120" w:lineRule="exact"/>
        <w:rPr>
          <w:b/>
          <w:sz w:val="10"/>
        </w:rPr>
      </w:pPr>
    </w:p>
    <w:p w14:paraId="5337C072" w14:textId="481F7A3B" w:rsidR="00E371C2" w:rsidRPr="00E371C2" w:rsidRDefault="00E371C2" w:rsidP="00636B5F">
      <w:pPr>
        <w:pStyle w:val="SingleTxt"/>
        <w:numPr>
          <w:ilvl w:val="0"/>
          <w:numId w:val="26"/>
        </w:numPr>
        <w:ind w:left="1267"/>
      </w:pPr>
      <w:r w:rsidRPr="00E371C2">
        <w:t>Desde la enseñanza primaria, los alumnos están expuestos a un plan de estudios amplio que hace hincapié en la adquisición de competencias literarias, aritméticas y básicas para la vida. A partir de esta iniciativa se orienta a los alumnos para que cursen las asignaturas de su interés mediante la orientación que les proporcionan sus padres y el programa de orientación profesional que se ofrece en todos los niveles. Las</w:t>
      </w:r>
      <w:r w:rsidR="00734F3B" w:rsidRPr="00125FA8">
        <w:t> </w:t>
      </w:r>
      <w:r w:rsidRPr="00E371C2">
        <w:t>asignaturas son un conjunto de esferas de aprendizaje relacionadas entre sí. En la enseñanza secundaria, las distintas esferas de aprendizaje agrupadas en primaria se convierten en asignaturas independientes a las que se añaden algunas asignaturas prácticas para facilitar las competencias básicas para la vida.</w:t>
      </w:r>
    </w:p>
    <w:p w14:paraId="1CDEC150" w14:textId="33FACFAA" w:rsidR="00E371C2" w:rsidRPr="00125FA8" w:rsidRDefault="00E371C2" w:rsidP="00636B5F">
      <w:pPr>
        <w:pStyle w:val="SingleTxt"/>
        <w:numPr>
          <w:ilvl w:val="0"/>
          <w:numId w:val="26"/>
        </w:numPr>
        <w:ind w:left="1267"/>
      </w:pPr>
      <w:r w:rsidRPr="00E371C2">
        <w:t xml:space="preserve">Para hacer frente a los problemas relacionados con los estereotipos, el Ministerio, en colaboración con las partes interesadas, se ha esforzado deliberadamente por tratarlos desde la escuela primaria a través de iniciativas de orientación profesional como las ferias de empleo, la observación de trabajo, la iniciativa Take a Girl to Work (Lleva a una niña al trabajo), la elaboración de perfiles de los alumnos y la iniciativa Girls in Science (Las niñas en la ciencia). Actualmente </w:t>
      </w:r>
      <w:r w:rsidRPr="00E371C2">
        <w:lastRenderedPageBreak/>
        <w:t>hay 2.245 (40,9 %) mujeres matriculadas en centros de formación profesional (brigadas y oferta de certificados) en los siguientes ámbitos de estudio: construcción, automoción, agricultura, electricidad y artes.</w:t>
      </w:r>
    </w:p>
    <w:p w14:paraId="2A368E70" w14:textId="77777777" w:rsidR="00734F3B" w:rsidRPr="00125FA8" w:rsidRDefault="00734F3B" w:rsidP="00734F3B">
      <w:pPr>
        <w:pStyle w:val="SingleTxt"/>
        <w:spacing w:after="0" w:line="120" w:lineRule="exact"/>
        <w:rPr>
          <w:sz w:val="10"/>
        </w:rPr>
      </w:pPr>
    </w:p>
    <w:p w14:paraId="33D99B8D" w14:textId="77777777" w:rsidR="00734F3B" w:rsidRPr="00125FA8" w:rsidRDefault="00734F3B" w:rsidP="00734F3B">
      <w:pPr>
        <w:pStyle w:val="SingleTxt"/>
        <w:spacing w:after="0" w:line="120" w:lineRule="exact"/>
        <w:rPr>
          <w:sz w:val="10"/>
        </w:rPr>
      </w:pPr>
    </w:p>
    <w:p w14:paraId="28AAE31F" w14:textId="011B84CF"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15 e)</w:t>
      </w:r>
    </w:p>
    <w:p w14:paraId="3CE84E45" w14:textId="77777777" w:rsidR="00734F3B" w:rsidRPr="00125FA8" w:rsidRDefault="00734F3B" w:rsidP="00734F3B">
      <w:pPr>
        <w:pStyle w:val="SingleTxt"/>
        <w:spacing w:after="0" w:line="120" w:lineRule="exact"/>
        <w:rPr>
          <w:b/>
          <w:sz w:val="10"/>
        </w:rPr>
      </w:pPr>
    </w:p>
    <w:p w14:paraId="65FC93FA" w14:textId="77777777" w:rsidR="00734F3B" w:rsidRPr="00125FA8" w:rsidRDefault="00734F3B" w:rsidP="00734F3B">
      <w:pPr>
        <w:pStyle w:val="SingleTxt"/>
        <w:spacing w:after="0" w:line="120" w:lineRule="exact"/>
        <w:rPr>
          <w:b/>
          <w:sz w:val="10"/>
        </w:rPr>
      </w:pPr>
    </w:p>
    <w:p w14:paraId="3ED7D38F" w14:textId="054A66CF" w:rsidR="00E371C2" w:rsidRPr="00E371C2" w:rsidRDefault="00E371C2" w:rsidP="00636B5F">
      <w:pPr>
        <w:pStyle w:val="SingleTxt"/>
        <w:numPr>
          <w:ilvl w:val="0"/>
          <w:numId w:val="26"/>
        </w:numPr>
        <w:ind w:left="1267"/>
        <w:rPr>
          <w:spacing w:val="2"/>
        </w:rPr>
      </w:pPr>
      <w:r w:rsidRPr="00E371C2">
        <w:t xml:space="preserve">Entre las principales iniciativas para abordar la educación inclusiva de las niñas </w:t>
      </w:r>
      <w:r w:rsidRPr="00E371C2">
        <w:rPr>
          <w:spacing w:val="2"/>
        </w:rPr>
        <w:t>con discapacidad figura el examen de la política de educación especial. En la actualidad, el Ministerio ha examinado dicha política para hacer frente a las desigualdades sistémicas en la prestación de una educación equitativa para los alumnos con discapacidad. Se ha presentado un borrador que está en proceso de aprobación.</w:t>
      </w:r>
    </w:p>
    <w:p w14:paraId="78DBF0BC" w14:textId="1256BA51" w:rsidR="00E371C2" w:rsidRPr="00E371C2" w:rsidRDefault="00E371C2" w:rsidP="00636B5F">
      <w:pPr>
        <w:pStyle w:val="SingleTxt"/>
        <w:numPr>
          <w:ilvl w:val="0"/>
          <w:numId w:val="26"/>
        </w:numPr>
        <w:ind w:left="1267"/>
      </w:pPr>
      <w:r w:rsidRPr="00E371C2">
        <w:t xml:space="preserve">Evaluación diagnóstica: El Ministerio ha dado prioridad a la formación de psicólogos educativos y actualmente cuenta con </w:t>
      </w:r>
      <w:r w:rsidRPr="00170EBE">
        <w:rPr>
          <w:b/>
          <w:bCs/>
        </w:rPr>
        <w:t>17</w:t>
      </w:r>
      <w:r w:rsidRPr="00E371C2">
        <w:t xml:space="preserve"> funcionarios en formación de posgrado. Además, la creación del Centro de Educación Especial de Maun es un hito importante en la descentralización y la creación de capacidad para garantizar la realización oportuna de evaluaciones diagnósticas y la escolarización de niñas con discapacidad. Dos centros de evaluación están previstos en el 12º Plan Nacional de Desarrollo. El Ministerio también externaliza servicios a proveedores privados para reforzar su capacidad.</w:t>
      </w:r>
    </w:p>
    <w:p w14:paraId="28AF49B2" w14:textId="243661DC" w:rsidR="00E371C2" w:rsidRPr="00E371C2" w:rsidRDefault="00E371C2" w:rsidP="00636B5F">
      <w:pPr>
        <w:pStyle w:val="SingleTxt"/>
        <w:numPr>
          <w:ilvl w:val="0"/>
          <w:numId w:val="26"/>
        </w:numPr>
        <w:ind w:left="1267"/>
      </w:pPr>
      <w:r w:rsidRPr="00E371C2">
        <w:t>Capacitación y desarrollo profesional: El Ministerio proporciona capacitación específica previa al empleo y en el empleo a los administradores escolares, educadores y personal de apoyo sobre prácticas de educación inclusiva para garantizar la inclusión efectiva y la adaptación de las niñas con discapacidad. Además, hay docentes que han recibido capacitación en educación especial y ofrecen apoyo a los alumnos tanto en unidades de educación ordinaria como especial.</w:t>
      </w:r>
    </w:p>
    <w:p w14:paraId="67AAECA1" w14:textId="555503BF" w:rsidR="00E371C2" w:rsidRPr="00E371C2" w:rsidRDefault="00E371C2" w:rsidP="00636B5F">
      <w:pPr>
        <w:pStyle w:val="SingleTxt"/>
        <w:numPr>
          <w:ilvl w:val="0"/>
          <w:numId w:val="26"/>
        </w:numPr>
        <w:ind w:left="1267"/>
      </w:pPr>
      <w:r w:rsidRPr="00E371C2">
        <w:t>Servicios de apoyo: Como parte del apoyo a la inclusión de las niñas con discapacidad, se ofrece a las alumnas un apoyo basado en sus necesidades específicas, que puede abarcar desde la provisión de personal de apoyo (auxiliares docentes, escribas, braillistas, intérpretes de lengua de señas) hasta acuerdos de acceso y tecnologías de apoyo para garantizar la autonomía y la plena participación durante la enseñanza y el aprendizaje, así como en las pruebas. Las alumnas con discapacidad también disponen de transporte para asegurar la accesibilidad.</w:t>
      </w:r>
    </w:p>
    <w:p w14:paraId="2344DAD2" w14:textId="77777777" w:rsidR="00E371C2" w:rsidRPr="00E371C2" w:rsidRDefault="00E371C2" w:rsidP="000608D0">
      <w:pPr>
        <w:pStyle w:val="SingleTxt"/>
      </w:pPr>
      <w:r w:rsidRPr="00E371C2">
        <w:t>Asignación presupuestaria: Existe una asignación presupuestaria en los diferentes departamentos que apoyan la implantación de la educación inclusiva. El Ministerio también concede una subvención anual a nueve ONG que ofrecen educación, atención y rehabilitación a niñas con discapacidad.</w:t>
      </w:r>
    </w:p>
    <w:p w14:paraId="238B6735" w14:textId="397D9386" w:rsidR="00E371C2" w:rsidRPr="00E371C2" w:rsidRDefault="00E371C2" w:rsidP="00636B5F">
      <w:pPr>
        <w:pStyle w:val="SingleTxt"/>
        <w:numPr>
          <w:ilvl w:val="0"/>
          <w:numId w:val="26"/>
        </w:numPr>
        <w:ind w:left="1267"/>
      </w:pPr>
      <w:r w:rsidRPr="00E371C2">
        <w:t>Alianzas: El Ministerio valora las alianzas con otros ministerios, el sector privado y la sociedad civil para garantizar la pronta identificación y la prestación de apoyo integral a las niñas con discapacidad.</w:t>
      </w:r>
    </w:p>
    <w:p w14:paraId="36032995" w14:textId="5AA91E97" w:rsidR="00E371C2" w:rsidRPr="00125FA8" w:rsidRDefault="00E371C2" w:rsidP="00636B5F">
      <w:pPr>
        <w:pStyle w:val="SingleTxt"/>
        <w:numPr>
          <w:ilvl w:val="0"/>
          <w:numId w:val="26"/>
        </w:numPr>
        <w:ind w:left="1267"/>
      </w:pPr>
      <w:r w:rsidRPr="00E371C2">
        <w:t xml:space="preserve">El Gobierno también está trabajando con asociados para el desarrollo, grupos de la sociedad civil y otras partes interesadas para empoderar a las personas con discapacidad, especialmente mujeres y niñas. El Fondo de Población de las </w:t>
      </w:r>
      <w:r w:rsidR="00C32894" w:rsidRPr="00E371C2">
        <w:t>Naciones</w:t>
      </w:r>
      <w:r w:rsidR="00C32894">
        <w:t> </w:t>
      </w:r>
      <w:r w:rsidRPr="00E371C2">
        <w:t>Unidas (UNFPA) ayudó a la Asociación de Botswana para Ciegos y Personas con Deficiencia Visual (BABPS, por sus siglas en inglés) a impartir educación sexual integral a más de 130 jóvenes con deficiencia visual. El Programa se lleva a cabo en cuatro centros educativos que atienden a jóvenes con discapacidad. Otros grupos de la sociedad civil, como la Red de Botswana para la Salud Mental, han formado a personas con deficiencia auditiva en temas de salud mental. (Beijing)</w:t>
      </w:r>
      <w:r w:rsidR="00734F3B" w:rsidRPr="00125FA8">
        <w:t>.</w:t>
      </w:r>
    </w:p>
    <w:p w14:paraId="5D05BB2B" w14:textId="77777777" w:rsidR="00734F3B" w:rsidRPr="00125FA8" w:rsidRDefault="00734F3B" w:rsidP="00734F3B">
      <w:pPr>
        <w:pStyle w:val="SingleTxt"/>
        <w:spacing w:after="0" w:line="120" w:lineRule="exact"/>
        <w:rPr>
          <w:sz w:val="10"/>
        </w:rPr>
      </w:pPr>
    </w:p>
    <w:p w14:paraId="1CCDD91F" w14:textId="77777777" w:rsidR="00734F3B" w:rsidRPr="00125FA8" w:rsidRDefault="00734F3B" w:rsidP="00734F3B">
      <w:pPr>
        <w:pStyle w:val="SingleTxt"/>
        <w:spacing w:after="0" w:line="120" w:lineRule="exact"/>
        <w:rPr>
          <w:sz w:val="10"/>
        </w:rPr>
      </w:pPr>
    </w:p>
    <w:p w14:paraId="325EFDFD" w14:textId="7143FDEB" w:rsidR="00E371C2" w:rsidRPr="00125FA8" w:rsidRDefault="00E371C2" w:rsidP="0092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lastRenderedPageBreak/>
        <w:tab/>
      </w:r>
      <w:r w:rsidRPr="00125FA8">
        <w:tab/>
        <w:t>Respuesta al párrafo 15 f)</w:t>
      </w:r>
    </w:p>
    <w:p w14:paraId="33D3C53E" w14:textId="77777777" w:rsidR="00734F3B" w:rsidRPr="00125FA8" w:rsidRDefault="00734F3B" w:rsidP="00170EBE">
      <w:pPr>
        <w:pStyle w:val="SingleTxt"/>
        <w:keepNext/>
        <w:keepLines/>
        <w:spacing w:after="0" w:line="120" w:lineRule="exact"/>
        <w:rPr>
          <w:b/>
          <w:sz w:val="10"/>
        </w:rPr>
      </w:pPr>
    </w:p>
    <w:p w14:paraId="3D7FC1A0" w14:textId="77777777" w:rsidR="00734F3B" w:rsidRPr="00125FA8" w:rsidRDefault="00734F3B" w:rsidP="00734F3B">
      <w:pPr>
        <w:pStyle w:val="SingleTxt"/>
        <w:spacing w:after="0" w:line="120" w:lineRule="exact"/>
        <w:rPr>
          <w:b/>
          <w:sz w:val="10"/>
        </w:rPr>
      </w:pPr>
    </w:p>
    <w:p w14:paraId="0142A9FB" w14:textId="08C4D1C8" w:rsidR="00E371C2" w:rsidRPr="00125FA8" w:rsidRDefault="00E371C2" w:rsidP="00636B5F">
      <w:pPr>
        <w:pStyle w:val="SingleTxt"/>
        <w:numPr>
          <w:ilvl w:val="0"/>
          <w:numId w:val="26"/>
        </w:numPr>
        <w:ind w:left="1267"/>
      </w:pPr>
      <w:r w:rsidRPr="00E371C2">
        <w:t>El Ministerio cuenta con programas destinados a grupos minoritarios que viven en entornos desfavorecidos. Se trata de programas como la educación y formación extraescolar para niños y adultos, las escuelas satélite, las escuelas móviles, la provisión de albergues en algunas escuelas, el uso del idioma local como medio de instrucción en el primer ciclo de primaria, la prestación de otros servicios de redes sociales como la alimentación y los relacionados con el ámbito social y sanitario.</w:t>
      </w:r>
    </w:p>
    <w:p w14:paraId="07BC1090" w14:textId="77777777" w:rsidR="00734F3B" w:rsidRPr="00125FA8" w:rsidRDefault="00734F3B" w:rsidP="00734F3B">
      <w:pPr>
        <w:pStyle w:val="SingleTxt"/>
        <w:spacing w:after="0" w:line="120" w:lineRule="exact"/>
        <w:rPr>
          <w:sz w:val="10"/>
        </w:rPr>
      </w:pPr>
    </w:p>
    <w:p w14:paraId="757FB834" w14:textId="77777777" w:rsidR="00E371C2" w:rsidRPr="00125FA8" w:rsidRDefault="00E371C2" w:rsidP="00734F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Empleo</w:t>
      </w:r>
    </w:p>
    <w:p w14:paraId="175C348F" w14:textId="77777777" w:rsidR="00734F3B" w:rsidRPr="00125FA8" w:rsidRDefault="00734F3B" w:rsidP="00734F3B">
      <w:pPr>
        <w:pStyle w:val="SingleTxt"/>
        <w:spacing w:after="0" w:line="120" w:lineRule="exact"/>
        <w:rPr>
          <w:sz w:val="10"/>
        </w:rPr>
      </w:pPr>
    </w:p>
    <w:p w14:paraId="3FCAA1AC" w14:textId="21FF2A1A" w:rsidR="00E371C2" w:rsidRPr="00125FA8" w:rsidRDefault="00E371C2" w:rsidP="00C31315">
      <w:pPr>
        <w:pStyle w:val="SingleTxt"/>
        <w:numPr>
          <w:ilvl w:val="0"/>
          <w:numId w:val="26"/>
        </w:numPr>
        <w:ind w:left="1267"/>
      </w:pPr>
      <w:r w:rsidRPr="00E371C2">
        <w:t>Tras la racionalización de los ministerios en 2023, el Gobierno de Botswana creó el Departamento de Servicios de Empleo, dependiente del Ministerio del Trabajo y Asuntos de Interior. El Departamento de Servicios de Empleo se encarga de la coordinación de las políticas y programas de empleo, la migración laboral y el registro y colocación de los solicitantes de empleo. El seguimiento y la evaluación de las políticas de empleo también dependen del Comité Directivo de Trabajo Decente, una estructura tripartita responsable de la aplicación del Programa de Trabajo Decente de Botswana y de otras políticas de este programa.</w:t>
      </w:r>
    </w:p>
    <w:p w14:paraId="766C69DD" w14:textId="77777777" w:rsidR="00734F3B" w:rsidRPr="00125FA8" w:rsidRDefault="00734F3B" w:rsidP="00734F3B">
      <w:pPr>
        <w:pStyle w:val="SingleTxt"/>
        <w:spacing w:after="0" w:line="120" w:lineRule="exact"/>
        <w:rPr>
          <w:sz w:val="10"/>
        </w:rPr>
      </w:pPr>
    </w:p>
    <w:p w14:paraId="6EC7D72A" w14:textId="77777777" w:rsidR="00734F3B" w:rsidRPr="00125FA8" w:rsidRDefault="00734F3B" w:rsidP="00734F3B">
      <w:pPr>
        <w:pStyle w:val="SingleTxt"/>
        <w:spacing w:after="0" w:line="120" w:lineRule="exact"/>
        <w:rPr>
          <w:sz w:val="10"/>
        </w:rPr>
      </w:pPr>
    </w:p>
    <w:p w14:paraId="5BA90F63" w14:textId="13FC6665"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16 a)</w:t>
      </w:r>
    </w:p>
    <w:p w14:paraId="1EB35714" w14:textId="77777777" w:rsidR="00734F3B" w:rsidRPr="00125FA8" w:rsidRDefault="00734F3B" w:rsidP="00734F3B">
      <w:pPr>
        <w:pStyle w:val="SingleTxt"/>
        <w:spacing w:after="0" w:line="120" w:lineRule="exact"/>
        <w:rPr>
          <w:b/>
          <w:sz w:val="10"/>
        </w:rPr>
      </w:pPr>
    </w:p>
    <w:p w14:paraId="33BCF0DF" w14:textId="77777777" w:rsidR="00734F3B" w:rsidRPr="00125FA8" w:rsidRDefault="00734F3B" w:rsidP="00734F3B">
      <w:pPr>
        <w:pStyle w:val="SingleTxt"/>
        <w:spacing w:after="0" w:line="120" w:lineRule="exact"/>
        <w:rPr>
          <w:b/>
          <w:sz w:val="10"/>
        </w:rPr>
      </w:pPr>
    </w:p>
    <w:p w14:paraId="7FC022E0" w14:textId="286D8616" w:rsidR="00E371C2" w:rsidRPr="00E371C2" w:rsidRDefault="00E371C2" w:rsidP="00C31315">
      <w:pPr>
        <w:pStyle w:val="SingleTxt"/>
        <w:numPr>
          <w:ilvl w:val="0"/>
          <w:numId w:val="26"/>
        </w:numPr>
        <w:ind w:left="1267"/>
      </w:pPr>
      <w:r w:rsidRPr="00E371C2">
        <w:t>El Ministerio de Transporte e Infraestructura, por conducto de su Departamento de Servicios de Transporte por Carretera, presta diversos servicios de transporte por carretera y es responsable de la aplicación de dos conjuntos principales de legislación, a saber, la Ley de Circulación Vial y la Ley de Permisos de Transporte por Carretera.</w:t>
      </w:r>
    </w:p>
    <w:p w14:paraId="0906EA62" w14:textId="0CBDB291" w:rsidR="00E371C2" w:rsidRPr="00125FA8" w:rsidRDefault="00E371C2" w:rsidP="00C31315">
      <w:pPr>
        <w:pStyle w:val="SingleTxt"/>
        <w:numPr>
          <w:ilvl w:val="0"/>
          <w:numId w:val="26"/>
        </w:numPr>
        <w:ind w:left="1267"/>
      </w:pPr>
      <w:r w:rsidRPr="00E371C2">
        <w:t>El Ministerio reconoce la existencia de la comunidad de personas con necesidades particulares. Aunque aún no ha incorporado plenamente la política nacional para las personas con discapacidad y las cuestiones de género en su marco regulatorio (Ley de Circulación Vial y Ley de Permisos de Transporte por Carretera), se presta la debida atención y cuidado para facilitar a todos los clientes un acceso equitativo a todos los</w:t>
      </w:r>
      <w:r w:rsidRPr="00E371C2">
        <w:rPr>
          <w:b/>
          <w:bCs/>
        </w:rPr>
        <w:t xml:space="preserve"> </w:t>
      </w:r>
      <w:r w:rsidRPr="00E371C2">
        <w:t>servicios.</w:t>
      </w:r>
    </w:p>
    <w:p w14:paraId="4444BF1D" w14:textId="77777777" w:rsidR="00734F3B" w:rsidRPr="00125FA8" w:rsidRDefault="00734F3B" w:rsidP="00734F3B">
      <w:pPr>
        <w:pStyle w:val="SingleTxt"/>
        <w:spacing w:after="0" w:line="120" w:lineRule="exact"/>
        <w:rPr>
          <w:sz w:val="10"/>
        </w:rPr>
      </w:pPr>
    </w:p>
    <w:p w14:paraId="575F1118" w14:textId="77777777" w:rsidR="00734F3B" w:rsidRPr="00125FA8" w:rsidRDefault="00734F3B" w:rsidP="00734F3B">
      <w:pPr>
        <w:pStyle w:val="SingleTxt"/>
        <w:spacing w:after="0" w:line="120" w:lineRule="exact"/>
        <w:rPr>
          <w:sz w:val="10"/>
        </w:rPr>
      </w:pPr>
    </w:p>
    <w:p w14:paraId="695A6094" w14:textId="524904C5"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16 b)</w:t>
      </w:r>
    </w:p>
    <w:p w14:paraId="578A7DDD" w14:textId="77777777" w:rsidR="00734F3B" w:rsidRPr="00125FA8" w:rsidRDefault="00734F3B" w:rsidP="00734F3B">
      <w:pPr>
        <w:pStyle w:val="SingleTxt"/>
        <w:spacing w:after="0" w:line="120" w:lineRule="exact"/>
        <w:rPr>
          <w:b/>
          <w:sz w:val="10"/>
        </w:rPr>
      </w:pPr>
    </w:p>
    <w:p w14:paraId="09916633" w14:textId="77777777" w:rsidR="00734F3B" w:rsidRPr="00125FA8" w:rsidRDefault="00734F3B" w:rsidP="00734F3B">
      <w:pPr>
        <w:pStyle w:val="SingleTxt"/>
        <w:spacing w:after="0" w:line="120" w:lineRule="exact"/>
        <w:rPr>
          <w:b/>
          <w:sz w:val="10"/>
        </w:rPr>
      </w:pPr>
    </w:p>
    <w:p w14:paraId="4B3809B2" w14:textId="1D793409" w:rsidR="00E371C2" w:rsidRPr="00125FA8" w:rsidRDefault="00E371C2" w:rsidP="00C31315">
      <w:pPr>
        <w:pStyle w:val="SingleTxt"/>
        <w:numPr>
          <w:ilvl w:val="0"/>
          <w:numId w:val="26"/>
        </w:numPr>
        <w:ind w:left="1267"/>
      </w:pPr>
      <w:r w:rsidRPr="00E371C2">
        <w:t>El examen de la legislación laboral se encuentra en una fase avanzada. El</w:t>
      </w:r>
      <w:r w:rsidR="00734F3B" w:rsidRPr="00125FA8">
        <w:t> </w:t>
      </w:r>
      <w:r w:rsidRPr="00E371C2">
        <w:t>proyecto de ley de empleo y relaciones laborales se ha presentado al Comité Económico del Gabinete. Aún debe presentarse al Gabinete y, posteriormente, al Parlamento durante la próxima sesión parlamentaria. El proyecto de ley ha tenido en cuenta las disposiciones del Convenio sobre la Protección de la Maternidad, 2000</w:t>
      </w:r>
      <w:r w:rsidR="00734F3B" w:rsidRPr="00125FA8">
        <w:t> </w:t>
      </w:r>
      <w:r w:rsidRPr="00E371C2">
        <w:t>(núm. 183), de la Organización Internacional del Trabajo.</w:t>
      </w:r>
    </w:p>
    <w:p w14:paraId="54F60B74" w14:textId="77777777" w:rsidR="00734F3B" w:rsidRPr="00125FA8" w:rsidRDefault="00734F3B" w:rsidP="00734F3B">
      <w:pPr>
        <w:pStyle w:val="SingleTxt"/>
        <w:spacing w:after="0" w:line="120" w:lineRule="exact"/>
        <w:rPr>
          <w:sz w:val="10"/>
        </w:rPr>
      </w:pPr>
    </w:p>
    <w:p w14:paraId="0445C974" w14:textId="77777777" w:rsidR="00734F3B" w:rsidRPr="00125FA8" w:rsidRDefault="00734F3B" w:rsidP="00734F3B">
      <w:pPr>
        <w:pStyle w:val="SingleTxt"/>
        <w:spacing w:after="0" w:line="120" w:lineRule="exact"/>
        <w:rPr>
          <w:sz w:val="10"/>
        </w:rPr>
      </w:pPr>
    </w:p>
    <w:p w14:paraId="3FD8DC23" w14:textId="2F7DA2A3"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16 c)</w:t>
      </w:r>
    </w:p>
    <w:p w14:paraId="6725B5FB" w14:textId="77777777" w:rsidR="00734F3B" w:rsidRPr="00125FA8" w:rsidRDefault="00734F3B" w:rsidP="00734F3B">
      <w:pPr>
        <w:pStyle w:val="SingleTxt"/>
        <w:spacing w:after="0" w:line="120" w:lineRule="exact"/>
        <w:rPr>
          <w:sz w:val="10"/>
        </w:rPr>
      </w:pPr>
    </w:p>
    <w:p w14:paraId="5CE97192" w14:textId="77777777" w:rsidR="00734F3B" w:rsidRPr="00125FA8" w:rsidRDefault="00734F3B" w:rsidP="00734F3B">
      <w:pPr>
        <w:pStyle w:val="SingleTxt"/>
        <w:spacing w:after="0" w:line="120" w:lineRule="exact"/>
        <w:rPr>
          <w:sz w:val="10"/>
        </w:rPr>
      </w:pPr>
    </w:p>
    <w:p w14:paraId="7D8208D2" w14:textId="30E109A6" w:rsidR="00E371C2" w:rsidRPr="00125FA8" w:rsidRDefault="00E371C2" w:rsidP="00C31315">
      <w:pPr>
        <w:pStyle w:val="SingleTxt"/>
        <w:numPr>
          <w:ilvl w:val="0"/>
          <w:numId w:val="26"/>
        </w:numPr>
        <w:ind w:left="1267"/>
      </w:pPr>
      <w:r w:rsidRPr="00E371C2">
        <w:t>El Convenio sobre las Trabajadoras y los Trabajadores Domésticos, 2011 (núm.</w:t>
      </w:r>
      <w:r w:rsidR="00734F3B" w:rsidRPr="00125FA8">
        <w:t> </w:t>
      </w:r>
      <w:r w:rsidRPr="00E371C2">
        <w:t>189), y el Convenio sobre los Trabajadores con Responsabilidades Familiares, 1981 (núm. 156), de la Organización Internacional del Trabajo son dos de</w:t>
      </w:r>
      <w:r w:rsidRPr="00E371C2">
        <w:rPr>
          <w:b/>
          <w:bCs/>
        </w:rPr>
        <w:t xml:space="preserve"> </w:t>
      </w:r>
      <w:r w:rsidRPr="00E371C2">
        <w:t>los convenios</w:t>
      </w:r>
      <w:r w:rsidRPr="00E371C2">
        <w:rPr>
          <w:b/>
          <w:bCs/>
        </w:rPr>
        <w:t xml:space="preserve"> </w:t>
      </w:r>
      <w:r w:rsidRPr="00E371C2">
        <w:t xml:space="preserve">cuya ratificación es prioritaria para la Comunidad de África Meridional para el Desarrollo (SADC). Como miembro de la SADC, Botswana está alineada y comprometida con la ratificación de los Convenios. Se están celebrando consultas con los interlocutores sociales y las principales partes interesadas con vistas a la ratificación de los Convenios núm. 189 y núm. 156. Es importante destacar que el </w:t>
      </w:r>
      <w:r w:rsidRPr="00E371C2">
        <w:lastRenderedPageBreak/>
        <w:t>examen de la legislación laboral ha tenido en cuenta las disposiciones de los Convenios citados.</w:t>
      </w:r>
    </w:p>
    <w:p w14:paraId="312AA9A5" w14:textId="77777777" w:rsidR="00734F3B" w:rsidRPr="00125FA8" w:rsidRDefault="00734F3B" w:rsidP="00734F3B">
      <w:pPr>
        <w:pStyle w:val="SingleTxt"/>
        <w:spacing w:after="0" w:line="120" w:lineRule="exact"/>
        <w:rPr>
          <w:sz w:val="10"/>
        </w:rPr>
      </w:pPr>
    </w:p>
    <w:p w14:paraId="31B78E83" w14:textId="77777777" w:rsidR="00734F3B" w:rsidRPr="00125FA8" w:rsidRDefault="00734F3B" w:rsidP="00734F3B">
      <w:pPr>
        <w:pStyle w:val="SingleTxt"/>
        <w:spacing w:after="0" w:line="120" w:lineRule="exact"/>
        <w:rPr>
          <w:sz w:val="10"/>
        </w:rPr>
      </w:pPr>
    </w:p>
    <w:p w14:paraId="009965E4" w14:textId="34C25000" w:rsidR="00E371C2" w:rsidRPr="00125FA8" w:rsidRDefault="00E371C2" w:rsidP="00F81C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16 d)</w:t>
      </w:r>
    </w:p>
    <w:p w14:paraId="0AA10330" w14:textId="77777777" w:rsidR="00734F3B" w:rsidRPr="00EF5CBA" w:rsidRDefault="00734F3B" w:rsidP="00F81CC9">
      <w:pPr>
        <w:pStyle w:val="SingleTxt"/>
        <w:keepNext/>
        <w:keepLines/>
        <w:spacing w:after="0" w:line="120" w:lineRule="exact"/>
        <w:rPr>
          <w:bCs/>
          <w:sz w:val="10"/>
        </w:rPr>
      </w:pPr>
    </w:p>
    <w:p w14:paraId="5AE6C60A" w14:textId="77777777" w:rsidR="00734F3B" w:rsidRPr="00EF5CBA" w:rsidRDefault="00734F3B" w:rsidP="00F81CC9">
      <w:pPr>
        <w:pStyle w:val="SingleTxt"/>
        <w:keepNext/>
        <w:keepLines/>
        <w:spacing w:after="0" w:line="120" w:lineRule="exact"/>
        <w:rPr>
          <w:bCs/>
          <w:sz w:val="10"/>
        </w:rPr>
      </w:pPr>
    </w:p>
    <w:p w14:paraId="17E68A36" w14:textId="6B3EE04B" w:rsidR="00E371C2" w:rsidRPr="00E371C2" w:rsidRDefault="00E371C2" w:rsidP="00C31315">
      <w:pPr>
        <w:pStyle w:val="SingleTxt"/>
        <w:numPr>
          <w:ilvl w:val="0"/>
          <w:numId w:val="26"/>
        </w:numPr>
        <w:ind w:left="1267"/>
      </w:pPr>
      <w:r w:rsidRPr="00E371C2">
        <w:t>El Ministerio de Administración Local y Asuntos Tradicionales es una entidad gubernamental de ámbito local que presta todos los servicios sociales a los ciudadanos del país. El Ministerio se ha descentralizado y cuenta con 31 consejos de distrito en todo el país, que ofrecen los siguientes servicios de atención a la infancia:</w:t>
      </w:r>
    </w:p>
    <w:p w14:paraId="0250FDCF" w14:textId="2507753A" w:rsidR="00E371C2" w:rsidRPr="00170EBE" w:rsidRDefault="00734F3B" w:rsidP="00734F3B">
      <w:pPr>
        <w:pStyle w:val="SingleTxt"/>
        <w:tabs>
          <w:tab w:val="right" w:pos="1685"/>
        </w:tabs>
        <w:ind w:left="1742" w:hanging="475"/>
        <w:rPr>
          <w:spacing w:val="6"/>
        </w:rPr>
      </w:pPr>
      <w:r w:rsidRPr="00125FA8">
        <w:tab/>
      </w:r>
      <w:r w:rsidR="00E371C2" w:rsidRPr="00E371C2">
        <w:t>•</w:t>
      </w:r>
      <w:r w:rsidR="00E371C2" w:rsidRPr="00E371C2">
        <w:tab/>
      </w:r>
      <w:r w:rsidR="00E371C2" w:rsidRPr="00170EBE">
        <w:rPr>
          <w:spacing w:val="6"/>
        </w:rPr>
        <w:t xml:space="preserve">Guarderías y centros de atención infantil autorizados por los consejos para facilitar la supervisión. Las guarderías están gestionadas por organizaciones confesionales, ONG, empresas privadas, consejos y administraciones públicas. A fin de aumentar el acceso en zonas remotas hay grupos de juego para niños para la estimulación temprana. Los niños y los miembros de la comunidad </w:t>
      </w:r>
      <w:r w:rsidR="000F4565" w:rsidRPr="00170EBE">
        <w:rPr>
          <w:spacing w:val="6"/>
        </w:rPr>
        <w:t>tienen</w:t>
      </w:r>
      <w:r w:rsidR="000F4565">
        <w:rPr>
          <w:spacing w:val="6"/>
        </w:rPr>
        <w:t xml:space="preserve"> </w:t>
      </w:r>
      <w:r w:rsidR="00E371C2" w:rsidRPr="00170EBE">
        <w:rPr>
          <w:spacing w:val="6"/>
        </w:rPr>
        <w:t>acceso a servicios para personas con discapacidad en todo el país mediante remisiones;</w:t>
      </w:r>
    </w:p>
    <w:p w14:paraId="7825920D" w14:textId="02E53219" w:rsidR="00E371C2" w:rsidRPr="00E371C2" w:rsidRDefault="00734F3B" w:rsidP="00734F3B">
      <w:pPr>
        <w:pStyle w:val="SingleTxt"/>
        <w:tabs>
          <w:tab w:val="right" w:pos="1685"/>
        </w:tabs>
        <w:ind w:left="1742" w:hanging="475"/>
      </w:pPr>
      <w:r w:rsidRPr="00125FA8">
        <w:tab/>
      </w:r>
      <w:r w:rsidR="00E371C2" w:rsidRPr="00E371C2">
        <w:t>•</w:t>
      </w:r>
      <w:r w:rsidR="00E371C2" w:rsidRPr="00E371C2">
        <w:tab/>
        <w:t>Los centros para personas con discapacidad están a cargo de organizaciones no</w:t>
      </w:r>
      <w:r w:rsidR="00F81CC9" w:rsidRPr="00125FA8">
        <w:t> </w:t>
      </w:r>
      <w:r w:rsidR="00E371C2" w:rsidRPr="00E371C2">
        <w:t>gubernamentales y comunitarias. Los consejos conceden subvenciones a dichas organizaciones.</w:t>
      </w:r>
    </w:p>
    <w:p w14:paraId="5460E67C" w14:textId="4FD0D130" w:rsidR="00E371C2" w:rsidRPr="00E371C2" w:rsidRDefault="00E371C2" w:rsidP="00C31315">
      <w:pPr>
        <w:pStyle w:val="SingleTxt"/>
        <w:numPr>
          <w:ilvl w:val="0"/>
          <w:numId w:val="26"/>
        </w:numPr>
        <w:ind w:left="1267"/>
      </w:pPr>
      <w:r w:rsidRPr="00E371C2">
        <w:t>Estas intervenciones también promueven la estimulación temprana de calidad y el apoyo a la preparación para la escuela primaria, junto con el establecimiento de las bases para un desarrollo socioeconómico sostenible a lo largo de toda la vida.</w:t>
      </w:r>
    </w:p>
    <w:p w14:paraId="24770F9F" w14:textId="18F5F07D" w:rsidR="00E371C2" w:rsidRPr="00125FA8" w:rsidRDefault="00E371C2" w:rsidP="00170EBE">
      <w:pPr>
        <w:pStyle w:val="SingleTxt"/>
        <w:numPr>
          <w:ilvl w:val="0"/>
          <w:numId w:val="26"/>
        </w:numPr>
        <w:ind w:left="1267"/>
        <w:jc w:val="lowKashida"/>
      </w:pPr>
      <w:r w:rsidRPr="00E371C2">
        <w:t>El Gobierno de Botswana vela por que las instalaciones infantiles, entre ellas las de atención sanitaria y educación, sean accesibles a los niños, incluidos los que tienen necesidades especiales. Sin embargo, hay algunas instalaciones que atienden específicamente a niños con discapacidad</w:t>
      </w:r>
      <w:r w:rsidRPr="00E371C2">
        <w:rPr>
          <w:vertAlign w:val="superscript"/>
        </w:rPr>
        <w:footnoteReference w:id="1"/>
      </w:r>
      <w:r w:rsidRPr="00E371C2">
        <w:t>.</w:t>
      </w:r>
    </w:p>
    <w:p w14:paraId="52CB582A" w14:textId="77777777" w:rsidR="00734F3B" w:rsidRPr="00125FA8" w:rsidRDefault="00734F3B" w:rsidP="00734F3B">
      <w:pPr>
        <w:pStyle w:val="SingleTxt"/>
        <w:spacing w:after="0" w:line="120" w:lineRule="exact"/>
        <w:rPr>
          <w:sz w:val="10"/>
        </w:rPr>
      </w:pPr>
    </w:p>
    <w:p w14:paraId="14A6FCCA" w14:textId="77777777" w:rsidR="00734F3B" w:rsidRPr="00125FA8" w:rsidRDefault="00734F3B" w:rsidP="00734F3B">
      <w:pPr>
        <w:pStyle w:val="SingleTxt"/>
        <w:spacing w:after="0" w:line="120" w:lineRule="exact"/>
        <w:rPr>
          <w:sz w:val="10"/>
        </w:rPr>
      </w:pPr>
    </w:p>
    <w:p w14:paraId="069F01CF" w14:textId="03C24D08"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16 e)</w:t>
      </w:r>
    </w:p>
    <w:p w14:paraId="724E964E" w14:textId="77777777" w:rsidR="00734F3B" w:rsidRPr="00125FA8" w:rsidRDefault="00734F3B" w:rsidP="00734F3B">
      <w:pPr>
        <w:pStyle w:val="SingleTxt"/>
        <w:spacing w:after="0" w:line="120" w:lineRule="exact"/>
        <w:rPr>
          <w:b/>
          <w:sz w:val="10"/>
        </w:rPr>
      </w:pPr>
    </w:p>
    <w:p w14:paraId="48D9B644" w14:textId="77777777" w:rsidR="00734F3B" w:rsidRPr="00125FA8" w:rsidRDefault="00734F3B" w:rsidP="00734F3B">
      <w:pPr>
        <w:pStyle w:val="SingleTxt"/>
        <w:spacing w:after="0" w:line="120" w:lineRule="exact"/>
        <w:rPr>
          <w:b/>
          <w:sz w:val="10"/>
        </w:rPr>
      </w:pPr>
    </w:p>
    <w:p w14:paraId="1D151AC6" w14:textId="2C316724" w:rsidR="00E371C2" w:rsidRPr="00125FA8" w:rsidRDefault="00E371C2" w:rsidP="00C31315">
      <w:pPr>
        <w:pStyle w:val="SingleTxt"/>
        <w:numPr>
          <w:ilvl w:val="0"/>
          <w:numId w:val="26"/>
        </w:numPr>
        <w:ind w:left="1267"/>
      </w:pPr>
      <w:r w:rsidRPr="00E371C2">
        <w:t>Según la encuesta multitemática trimestral de 2024 de la Oficina de Estadística de Botswana (primer trimestre), 1.246 mujeres están empleadas en el sector de la minería y la explotación de canteras.</w:t>
      </w:r>
    </w:p>
    <w:p w14:paraId="383F071B" w14:textId="77777777" w:rsidR="00734F3B" w:rsidRPr="00125FA8" w:rsidRDefault="00734F3B" w:rsidP="00734F3B">
      <w:pPr>
        <w:pStyle w:val="SingleTxt"/>
        <w:spacing w:after="0" w:line="120" w:lineRule="exact"/>
        <w:rPr>
          <w:sz w:val="10"/>
        </w:rPr>
      </w:pPr>
    </w:p>
    <w:p w14:paraId="5A0E8315" w14:textId="77777777" w:rsidR="00734F3B" w:rsidRPr="00125FA8" w:rsidRDefault="00734F3B" w:rsidP="00734F3B">
      <w:pPr>
        <w:pStyle w:val="SingleTxt"/>
        <w:spacing w:after="0" w:line="120" w:lineRule="exact"/>
        <w:rPr>
          <w:sz w:val="10"/>
        </w:rPr>
      </w:pPr>
    </w:p>
    <w:p w14:paraId="4DB0D6BA" w14:textId="62D8E3D2" w:rsidR="00E371C2" w:rsidRPr="00125FA8" w:rsidRDefault="00E371C2" w:rsidP="00734F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16 f)</w:t>
      </w:r>
    </w:p>
    <w:p w14:paraId="2B719809" w14:textId="77777777" w:rsidR="00734F3B" w:rsidRPr="00125FA8" w:rsidRDefault="00734F3B" w:rsidP="00734F3B">
      <w:pPr>
        <w:pStyle w:val="SingleTxt"/>
        <w:spacing w:after="0" w:line="120" w:lineRule="exact"/>
        <w:rPr>
          <w:sz w:val="10"/>
        </w:rPr>
      </w:pPr>
    </w:p>
    <w:p w14:paraId="69E3BD7C" w14:textId="77777777" w:rsidR="00734F3B" w:rsidRPr="00125FA8" w:rsidRDefault="00734F3B" w:rsidP="00734F3B">
      <w:pPr>
        <w:pStyle w:val="SingleTxt"/>
        <w:spacing w:after="0" w:line="120" w:lineRule="exact"/>
        <w:rPr>
          <w:sz w:val="10"/>
        </w:rPr>
      </w:pPr>
    </w:p>
    <w:p w14:paraId="142A6B46" w14:textId="299F4938" w:rsidR="00E371C2" w:rsidRPr="00E371C2" w:rsidRDefault="00E371C2" w:rsidP="00C31315">
      <w:pPr>
        <w:pStyle w:val="SingleTxt"/>
        <w:numPr>
          <w:ilvl w:val="0"/>
          <w:numId w:val="26"/>
        </w:numPr>
        <w:ind w:left="1267"/>
        <w:rPr>
          <w:bCs/>
        </w:rPr>
      </w:pPr>
      <w:r w:rsidRPr="00E371C2">
        <w:t>El programa nacional de trabajo decente ha tenido una repercusión importante en el ámbito de las relaciones laborales en el país, que no solo se deja sentir en las relaciones laborales formales. El examen de la legislación laboral ha tenido en cuenta las disposiciones de la Organización Internacional del Trabajo y también se ha ajustado a la legislación nacional. La Ley de Empleo y Relaciones Laborales se aplica a todos los trabajadores, incluidos los del sector informal. Las condiciones de servicio de las que se benefician los empleados, como la licencia por responsabilidad familiar y la licencia de maternidad, se aplican a todos los trabajadores del mundo laboral, incluido el sector informal.</w:t>
      </w:r>
    </w:p>
    <w:p w14:paraId="3A621DC5" w14:textId="2C8F4D72" w:rsidR="00E371C2" w:rsidRPr="00E371C2" w:rsidRDefault="00E371C2" w:rsidP="00C31315">
      <w:pPr>
        <w:pStyle w:val="SingleTxt"/>
        <w:numPr>
          <w:ilvl w:val="0"/>
          <w:numId w:val="26"/>
        </w:numPr>
        <w:ind w:left="1267"/>
      </w:pPr>
      <w:r w:rsidRPr="00E371C2">
        <w:t xml:space="preserve">El programa ha promovido la necesidad de incorporar la perspectiva de género en todas las iniciativas, políticas y programas gubernamentales. El Ministerio del Trabajo y Asuntos de Interior organizó talleres de incorporación de la perspectiva de género dirigidos a interlocutores sociales, organizaciones no gubernamentales y </w:t>
      </w:r>
      <w:r w:rsidRPr="00E371C2">
        <w:lastRenderedPageBreak/>
        <w:t>departamentos gubernamentales para encontrar soluciones viables sobre el mejor enfoque para integrar los asuntos de la mujer en sus actividades cotidianas.</w:t>
      </w:r>
    </w:p>
    <w:p w14:paraId="611CD107" w14:textId="109AD227" w:rsidR="00E371C2" w:rsidRPr="00125FA8" w:rsidRDefault="00E371C2" w:rsidP="00C31315">
      <w:pPr>
        <w:pStyle w:val="SingleTxt"/>
        <w:numPr>
          <w:ilvl w:val="0"/>
          <w:numId w:val="26"/>
        </w:numPr>
        <w:ind w:left="1267"/>
      </w:pPr>
      <w:r w:rsidRPr="00E371C2">
        <w:t>Se ha reforzado el cuerpo de inspección. El sistema de inspecciones es un mecanismo mediante el cual se protegen los derechos de grupos vulnerables como niños, migrantes y mujeres. El Ministerio del Trabajo y Asuntos de Interior realiza inspecciones periódicas para comprobar que se cumple la legislación laboral y garantizar que los empresarios no abusen de los grupos vulnerables en todos los sectores de la economía.</w:t>
      </w:r>
    </w:p>
    <w:p w14:paraId="291B0A14" w14:textId="77777777" w:rsidR="003676F6" w:rsidRPr="00125FA8" w:rsidRDefault="003676F6" w:rsidP="003676F6">
      <w:pPr>
        <w:pStyle w:val="SingleTxt"/>
        <w:spacing w:after="0" w:line="120" w:lineRule="exact"/>
        <w:rPr>
          <w:sz w:val="10"/>
        </w:rPr>
      </w:pPr>
    </w:p>
    <w:p w14:paraId="298BD7CE" w14:textId="77777777" w:rsidR="00E371C2" w:rsidRPr="00125FA8" w:rsidRDefault="00E371C2" w:rsidP="00367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Salud</w:t>
      </w:r>
    </w:p>
    <w:p w14:paraId="5EC5B9DB" w14:textId="77777777" w:rsidR="003676F6" w:rsidRPr="00125FA8" w:rsidRDefault="003676F6" w:rsidP="003676F6">
      <w:pPr>
        <w:pStyle w:val="SingleTxt"/>
        <w:spacing w:after="0" w:line="120" w:lineRule="exact"/>
        <w:rPr>
          <w:sz w:val="10"/>
        </w:rPr>
      </w:pPr>
    </w:p>
    <w:p w14:paraId="74E2C0A4" w14:textId="1FCC0AF0" w:rsidR="00E371C2" w:rsidRPr="00125FA8" w:rsidRDefault="00E371C2" w:rsidP="00C31315">
      <w:pPr>
        <w:pStyle w:val="SingleTxt"/>
        <w:numPr>
          <w:ilvl w:val="0"/>
          <w:numId w:val="26"/>
        </w:numPr>
        <w:ind w:left="1267"/>
      </w:pPr>
      <w:r w:rsidRPr="00E371C2">
        <w:t>Se ofrecen incentivos o remuneración a otros profesionales de la salud. Estas prestaciones abarcan a los paramédicos, los especialistas, las llamadas de urgencia y las llamadas a consultas privadas, y oscilan entre el 10 % y el 40 % del salario base.</w:t>
      </w:r>
    </w:p>
    <w:p w14:paraId="4D8BF7F9" w14:textId="77777777" w:rsidR="003676F6" w:rsidRPr="00125FA8" w:rsidRDefault="003676F6" w:rsidP="003676F6">
      <w:pPr>
        <w:pStyle w:val="SingleTxt"/>
        <w:spacing w:after="0" w:line="120" w:lineRule="exact"/>
        <w:rPr>
          <w:sz w:val="10"/>
        </w:rPr>
      </w:pPr>
    </w:p>
    <w:p w14:paraId="06427E4E" w14:textId="77777777" w:rsidR="003676F6" w:rsidRPr="00125FA8" w:rsidRDefault="003676F6" w:rsidP="003676F6">
      <w:pPr>
        <w:pStyle w:val="SingleTxt"/>
        <w:spacing w:after="0" w:line="120" w:lineRule="exact"/>
        <w:rPr>
          <w:sz w:val="10"/>
        </w:rPr>
      </w:pPr>
    </w:p>
    <w:p w14:paraId="3A05465E" w14:textId="0EC3CC41" w:rsidR="00E371C2" w:rsidRPr="00125FA8" w:rsidRDefault="00E371C2" w:rsidP="00367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17 a)</w:t>
      </w:r>
    </w:p>
    <w:p w14:paraId="21F7588C" w14:textId="77777777" w:rsidR="003676F6" w:rsidRPr="00125FA8" w:rsidRDefault="003676F6" w:rsidP="003676F6">
      <w:pPr>
        <w:pStyle w:val="SingleTxt"/>
        <w:spacing w:after="0" w:line="120" w:lineRule="exact"/>
        <w:rPr>
          <w:b/>
          <w:sz w:val="10"/>
        </w:rPr>
      </w:pPr>
    </w:p>
    <w:p w14:paraId="1025378D" w14:textId="77777777" w:rsidR="003676F6" w:rsidRPr="00125FA8" w:rsidRDefault="003676F6" w:rsidP="003676F6">
      <w:pPr>
        <w:pStyle w:val="SingleTxt"/>
        <w:spacing w:after="0" w:line="120" w:lineRule="exact"/>
        <w:rPr>
          <w:b/>
          <w:sz w:val="10"/>
        </w:rPr>
      </w:pPr>
    </w:p>
    <w:p w14:paraId="77696879" w14:textId="453B8E32" w:rsidR="00E371C2" w:rsidRPr="00125FA8" w:rsidRDefault="00E371C2" w:rsidP="00C31315">
      <w:pPr>
        <w:pStyle w:val="SingleTxt"/>
        <w:numPr>
          <w:ilvl w:val="0"/>
          <w:numId w:val="26"/>
        </w:numPr>
        <w:ind w:left="1267"/>
      </w:pPr>
      <w:r w:rsidRPr="00E371C2">
        <w:t>El Gobierno de Botswana adoptó un modelo de atención primaria de salud para garantizar que todas las comunidades, especialmente en las zonas rurales y subatendidas, tengan acceso a los servicios sanitarios. El modelo está concebido para asegurar unos servicios de atención de la salud equitativos, accesibles y de calidad para todos los ciudadanos. Se basa en los principios de la cobertura sanitaria universal y se centra en la prestación de servicios de salud preventivos, curativos y de rehabilitación cerca de donde viven las personas. Se establece un radio de 5 a 15 km para los servicios de atención primaria de salud. Según la Oficina de Estadística de Botswana, aproximadamente el 84 % de la población vive en un radio de 5 km de un establecimiento de salud y alrededor del 96 % en un radio de 15 km. Existe un claro sistema de remisión que conecta los establecimientos de salud inferiores con los superiores, lo que mejora el acceso a servicios de atención de la salud de calidad. Botswana brinda servicios de atención de la salud gratuitos en todo el país, con una tarifa mínima de 0,36 dólares de los Estados Unidos. Los niños menores de cinco años y las personas mayores de 65 están exentos de estas tarifas.</w:t>
      </w:r>
    </w:p>
    <w:p w14:paraId="62044181" w14:textId="77777777" w:rsidR="003676F6" w:rsidRPr="00125FA8" w:rsidRDefault="003676F6" w:rsidP="003676F6">
      <w:pPr>
        <w:pStyle w:val="SingleTxt"/>
        <w:spacing w:after="0" w:line="120" w:lineRule="exact"/>
        <w:rPr>
          <w:sz w:val="10"/>
        </w:rPr>
      </w:pPr>
    </w:p>
    <w:p w14:paraId="1DC3B1A3" w14:textId="77777777" w:rsidR="003676F6" w:rsidRPr="00125FA8" w:rsidRDefault="003676F6" w:rsidP="003676F6">
      <w:pPr>
        <w:pStyle w:val="SingleTxt"/>
        <w:spacing w:after="0" w:line="120" w:lineRule="exact"/>
        <w:rPr>
          <w:sz w:val="10"/>
        </w:rPr>
      </w:pPr>
    </w:p>
    <w:p w14:paraId="21D9F27B" w14:textId="31DDC1D7" w:rsidR="00E371C2" w:rsidRPr="00125FA8" w:rsidRDefault="00E371C2" w:rsidP="00367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17 b)</w:t>
      </w:r>
    </w:p>
    <w:p w14:paraId="67C06D97" w14:textId="77777777" w:rsidR="003676F6" w:rsidRPr="00125FA8" w:rsidRDefault="003676F6" w:rsidP="003676F6">
      <w:pPr>
        <w:pStyle w:val="SingleTxt"/>
        <w:spacing w:after="0" w:line="120" w:lineRule="exact"/>
        <w:rPr>
          <w:b/>
          <w:sz w:val="10"/>
        </w:rPr>
      </w:pPr>
    </w:p>
    <w:p w14:paraId="38B3372B" w14:textId="77777777" w:rsidR="003676F6" w:rsidRPr="00125FA8" w:rsidRDefault="003676F6" w:rsidP="003676F6">
      <w:pPr>
        <w:pStyle w:val="SingleTxt"/>
        <w:spacing w:after="0" w:line="120" w:lineRule="exact"/>
        <w:rPr>
          <w:b/>
          <w:sz w:val="10"/>
        </w:rPr>
      </w:pPr>
    </w:p>
    <w:p w14:paraId="41380A5C" w14:textId="5473F3BE" w:rsidR="00E371C2" w:rsidRPr="00125FA8" w:rsidRDefault="00E371C2" w:rsidP="00C31315">
      <w:pPr>
        <w:pStyle w:val="SingleTxt"/>
        <w:numPr>
          <w:ilvl w:val="0"/>
          <w:numId w:val="26"/>
        </w:numPr>
        <w:ind w:left="1267"/>
      </w:pPr>
      <w:r w:rsidRPr="00E371C2">
        <w:t>La Comisión Presidencial de Investigación sobre el Examen de la Constitución de Botswana fue aprobada por el Gabinete en noviembre de 2023. La recomendación núm. 63 del documento del Gobierno núm. 1 de 2023 estipulaba la posición del Gobierno, por la que se exige al Ministerio de Justicia y Servicios Penitenciarios que considere la posibilidad de iniciar el examen del artículo 160 del Código Penal para aumentar los fundamentos jurídicos que permiten la interrupción del embarazo y que la cuestión se someta a referéndum para mayor certeza.</w:t>
      </w:r>
      <w:bookmarkStart w:id="10" w:name="m_-6691530721562491740_m_-13562847243300"/>
      <w:bookmarkEnd w:id="10"/>
    </w:p>
    <w:p w14:paraId="069643C6" w14:textId="77777777" w:rsidR="003676F6" w:rsidRPr="00125FA8" w:rsidRDefault="003676F6" w:rsidP="003676F6">
      <w:pPr>
        <w:pStyle w:val="SingleTxt"/>
        <w:spacing w:after="0" w:line="120" w:lineRule="exact"/>
        <w:rPr>
          <w:sz w:val="10"/>
        </w:rPr>
      </w:pPr>
    </w:p>
    <w:p w14:paraId="2B4693F1" w14:textId="77777777" w:rsidR="003676F6" w:rsidRPr="00125FA8" w:rsidRDefault="003676F6" w:rsidP="003676F6">
      <w:pPr>
        <w:pStyle w:val="SingleTxt"/>
        <w:spacing w:after="0" w:line="120" w:lineRule="exact"/>
        <w:rPr>
          <w:sz w:val="10"/>
        </w:rPr>
      </w:pPr>
    </w:p>
    <w:p w14:paraId="1DF255AC" w14:textId="52E73784" w:rsidR="00E371C2" w:rsidRPr="00125FA8" w:rsidRDefault="00E371C2" w:rsidP="00367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17 c)</w:t>
      </w:r>
    </w:p>
    <w:p w14:paraId="3C838BC2" w14:textId="77777777" w:rsidR="003676F6" w:rsidRPr="00125FA8" w:rsidRDefault="003676F6" w:rsidP="003676F6">
      <w:pPr>
        <w:pStyle w:val="SingleTxt"/>
        <w:spacing w:after="0" w:line="120" w:lineRule="exact"/>
        <w:rPr>
          <w:b/>
          <w:sz w:val="10"/>
        </w:rPr>
      </w:pPr>
    </w:p>
    <w:p w14:paraId="1F53348F" w14:textId="77777777" w:rsidR="003676F6" w:rsidRPr="00125FA8" w:rsidRDefault="003676F6" w:rsidP="003676F6">
      <w:pPr>
        <w:pStyle w:val="SingleTxt"/>
        <w:spacing w:after="0" w:line="120" w:lineRule="exact"/>
        <w:rPr>
          <w:b/>
          <w:sz w:val="10"/>
        </w:rPr>
      </w:pPr>
    </w:p>
    <w:p w14:paraId="74CD70B0" w14:textId="3C249541" w:rsidR="00E371C2" w:rsidRPr="00125FA8" w:rsidRDefault="00E371C2" w:rsidP="00C31315">
      <w:pPr>
        <w:pStyle w:val="SingleTxt"/>
        <w:numPr>
          <w:ilvl w:val="0"/>
          <w:numId w:val="26"/>
        </w:numPr>
        <w:ind w:left="1267"/>
      </w:pPr>
      <w:r w:rsidRPr="00E371C2">
        <w:t xml:space="preserve">El Ministerio de Salud lleva a cabo actividades de educación pública en todas las plataformas de los medios de comunicación para promover la sensibilización sobre las opciones en materia de anticonceptivos y los servicios de salud sexual y reproductiva, incluida la educación sexual integral en los planes de estudios. Además, en todo el país hay </w:t>
      </w:r>
      <w:r w:rsidRPr="00170EBE">
        <w:rPr>
          <w:b/>
          <w:bCs/>
        </w:rPr>
        <w:t>51</w:t>
      </w:r>
      <w:r w:rsidRPr="00E371C2">
        <w:t xml:space="preserve"> clínicas de servicios adaptados a los jóvenes. También se ha capacitado a los proveedores de atención de salud para que presten servicios de atención específicos para adolescentes y que tengan en cuenta las diferencias culturales. Asimismo, se puede acceder gratuitamente a los productos básicos en los </w:t>
      </w:r>
      <w:r w:rsidRPr="00E371C2">
        <w:lastRenderedPageBreak/>
        <w:t>establecimientos públicos. Los servicios de salud móviles se despliegan también en zonas rurales o de difícil acceso, para garantizar que las comunidades subatendidas puedan acceder a los servicios.</w:t>
      </w:r>
    </w:p>
    <w:p w14:paraId="2158F1B2" w14:textId="77777777" w:rsidR="003676F6" w:rsidRPr="00125FA8" w:rsidRDefault="003676F6" w:rsidP="003676F6">
      <w:pPr>
        <w:pStyle w:val="SingleTxt"/>
        <w:spacing w:after="0" w:line="120" w:lineRule="exact"/>
        <w:rPr>
          <w:sz w:val="10"/>
        </w:rPr>
      </w:pPr>
    </w:p>
    <w:p w14:paraId="7D58D696" w14:textId="77777777" w:rsidR="003676F6" w:rsidRPr="00125FA8" w:rsidRDefault="003676F6" w:rsidP="003676F6">
      <w:pPr>
        <w:pStyle w:val="SingleTxt"/>
        <w:spacing w:after="0" w:line="120" w:lineRule="exact"/>
        <w:rPr>
          <w:sz w:val="10"/>
        </w:rPr>
      </w:pPr>
    </w:p>
    <w:p w14:paraId="0868FB8A" w14:textId="39F1B070" w:rsidR="00E371C2" w:rsidRPr="00125FA8" w:rsidRDefault="00E371C2" w:rsidP="00367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17 d)</w:t>
      </w:r>
    </w:p>
    <w:p w14:paraId="7DCF24BC" w14:textId="77777777" w:rsidR="003676F6" w:rsidRPr="00125FA8" w:rsidRDefault="003676F6" w:rsidP="003676F6">
      <w:pPr>
        <w:pStyle w:val="SingleTxt"/>
        <w:spacing w:after="0" w:line="120" w:lineRule="exact"/>
        <w:rPr>
          <w:b/>
          <w:sz w:val="10"/>
        </w:rPr>
      </w:pPr>
    </w:p>
    <w:p w14:paraId="53CC16DE" w14:textId="77777777" w:rsidR="003676F6" w:rsidRPr="00125FA8" w:rsidRDefault="003676F6" w:rsidP="003676F6">
      <w:pPr>
        <w:pStyle w:val="SingleTxt"/>
        <w:spacing w:after="0" w:line="120" w:lineRule="exact"/>
        <w:rPr>
          <w:b/>
          <w:sz w:val="10"/>
        </w:rPr>
      </w:pPr>
    </w:p>
    <w:p w14:paraId="3E868A51" w14:textId="5740C2C0" w:rsidR="00E371C2" w:rsidRPr="00125FA8" w:rsidRDefault="00E371C2" w:rsidP="00C31315">
      <w:pPr>
        <w:pStyle w:val="SingleTxt"/>
        <w:numPr>
          <w:ilvl w:val="0"/>
          <w:numId w:val="26"/>
        </w:numPr>
        <w:ind w:left="1267"/>
      </w:pPr>
      <w:r w:rsidRPr="00E371C2">
        <w:t>La estrategia del Programa de Envejecimiento Activo y Saludable de Botswana se elaboró en 2021 con el objetivo de conseguir un país en la que las personas de edad puedan llevar una vida digna, saludable y productiva. Los servicios de atención de la salud están a disposición de todos en el país, y se da prioridad a las personas de edad y otros grupos vulnerables que</w:t>
      </w:r>
      <w:r w:rsidRPr="00E371C2">
        <w:rPr>
          <w:b/>
          <w:bCs/>
        </w:rPr>
        <w:t xml:space="preserve"> </w:t>
      </w:r>
      <w:r w:rsidRPr="00E371C2">
        <w:t>no los reclaman.</w:t>
      </w:r>
    </w:p>
    <w:p w14:paraId="1AC282F2" w14:textId="77777777" w:rsidR="003676F6" w:rsidRPr="00125FA8" w:rsidRDefault="003676F6" w:rsidP="003676F6">
      <w:pPr>
        <w:pStyle w:val="SingleTxt"/>
        <w:spacing w:after="0" w:line="120" w:lineRule="exact"/>
        <w:rPr>
          <w:sz w:val="10"/>
        </w:rPr>
      </w:pPr>
    </w:p>
    <w:p w14:paraId="32F8E219" w14:textId="77777777" w:rsidR="003676F6" w:rsidRPr="00125FA8" w:rsidRDefault="003676F6" w:rsidP="003676F6">
      <w:pPr>
        <w:pStyle w:val="SingleTxt"/>
        <w:spacing w:after="0" w:line="120" w:lineRule="exact"/>
        <w:rPr>
          <w:sz w:val="10"/>
        </w:rPr>
      </w:pPr>
    </w:p>
    <w:p w14:paraId="4A750D35" w14:textId="77777777" w:rsidR="00E371C2" w:rsidRPr="00125FA8" w:rsidRDefault="00E371C2" w:rsidP="003676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Empoderamiento económico</w:t>
      </w:r>
    </w:p>
    <w:p w14:paraId="5518E1B0" w14:textId="77777777" w:rsidR="003676F6" w:rsidRPr="00125FA8" w:rsidRDefault="003676F6" w:rsidP="003676F6">
      <w:pPr>
        <w:pStyle w:val="SingleTxt"/>
        <w:spacing w:after="0" w:line="120" w:lineRule="exact"/>
        <w:rPr>
          <w:sz w:val="10"/>
        </w:rPr>
      </w:pPr>
    </w:p>
    <w:p w14:paraId="22A6755A" w14:textId="77777777" w:rsidR="003676F6" w:rsidRPr="00125FA8" w:rsidRDefault="003676F6" w:rsidP="003676F6">
      <w:pPr>
        <w:pStyle w:val="SingleTxt"/>
        <w:spacing w:after="0" w:line="120" w:lineRule="exact"/>
        <w:rPr>
          <w:sz w:val="10"/>
        </w:rPr>
      </w:pPr>
    </w:p>
    <w:p w14:paraId="0788848C" w14:textId="5E07355B" w:rsidR="00E371C2" w:rsidRPr="00125FA8" w:rsidRDefault="00E371C2" w:rsidP="00367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18 a)</w:t>
      </w:r>
      <w:bookmarkStart w:id="11" w:name="_Hlk196813855"/>
      <w:bookmarkEnd w:id="11"/>
    </w:p>
    <w:p w14:paraId="450D7336" w14:textId="77777777" w:rsidR="003676F6" w:rsidRPr="00125FA8" w:rsidRDefault="003676F6" w:rsidP="003676F6">
      <w:pPr>
        <w:pStyle w:val="SingleTxt"/>
        <w:spacing w:after="0" w:line="120" w:lineRule="exact"/>
        <w:rPr>
          <w:sz w:val="10"/>
        </w:rPr>
      </w:pPr>
    </w:p>
    <w:p w14:paraId="004F4E2C" w14:textId="77777777" w:rsidR="003676F6" w:rsidRPr="00125FA8" w:rsidRDefault="003676F6" w:rsidP="003676F6">
      <w:pPr>
        <w:pStyle w:val="SingleTxt"/>
        <w:spacing w:after="0" w:line="120" w:lineRule="exact"/>
        <w:rPr>
          <w:sz w:val="10"/>
        </w:rPr>
      </w:pPr>
    </w:p>
    <w:p w14:paraId="1B519D9E" w14:textId="2AADDA9E" w:rsidR="00E371C2" w:rsidRPr="00125FA8" w:rsidRDefault="00E371C2" w:rsidP="00C31315">
      <w:pPr>
        <w:pStyle w:val="SingleTxt"/>
        <w:numPr>
          <w:ilvl w:val="0"/>
          <w:numId w:val="26"/>
        </w:numPr>
        <w:ind w:left="1267"/>
      </w:pPr>
      <w:r w:rsidRPr="00E371C2">
        <w:t>El Gobierno ha avanzado en la incorporación de la perspectiva de género en las políticas agrícolas, lo que ha dado lugar a logros notables como el aumento de la propiedad de la tierra por parte de las mujeres y los beneficios derivados de las iniciativas de reducción de la pobreza, aunque persisten las desigualdades de género, especialmente en las zonas rurales.</w:t>
      </w:r>
    </w:p>
    <w:p w14:paraId="15F9AFF5" w14:textId="77777777" w:rsidR="003676F6" w:rsidRPr="00125FA8" w:rsidRDefault="003676F6" w:rsidP="003676F6">
      <w:pPr>
        <w:pStyle w:val="SingleTxt"/>
        <w:spacing w:after="0" w:line="120" w:lineRule="exact"/>
        <w:rPr>
          <w:sz w:val="10"/>
        </w:rPr>
      </w:pPr>
    </w:p>
    <w:p w14:paraId="7D0BA6D2" w14:textId="77777777" w:rsidR="003676F6" w:rsidRPr="00125FA8" w:rsidRDefault="003676F6" w:rsidP="003676F6">
      <w:pPr>
        <w:pStyle w:val="SingleTxt"/>
        <w:spacing w:after="0" w:line="120" w:lineRule="exact"/>
        <w:rPr>
          <w:sz w:val="10"/>
        </w:rPr>
      </w:pPr>
    </w:p>
    <w:p w14:paraId="25187710" w14:textId="59987E79" w:rsidR="00E371C2" w:rsidRPr="00125FA8" w:rsidRDefault="00E371C2" w:rsidP="00367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18 b) y c)</w:t>
      </w:r>
    </w:p>
    <w:p w14:paraId="636247F6" w14:textId="77777777" w:rsidR="003676F6" w:rsidRPr="00125FA8" w:rsidRDefault="003676F6" w:rsidP="003676F6">
      <w:pPr>
        <w:pStyle w:val="SingleTxt"/>
        <w:spacing w:after="0" w:line="120" w:lineRule="exact"/>
        <w:rPr>
          <w:b/>
          <w:sz w:val="10"/>
        </w:rPr>
      </w:pPr>
    </w:p>
    <w:p w14:paraId="2B6717D8" w14:textId="77777777" w:rsidR="003676F6" w:rsidRPr="00125FA8" w:rsidRDefault="003676F6" w:rsidP="003676F6">
      <w:pPr>
        <w:pStyle w:val="SingleTxt"/>
        <w:spacing w:after="0" w:line="120" w:lineRule="exact"/>
        <w:rPr>
          <w:b/>
          <w:sz w:val="10"/>
        </w:rPr>
      </w:pPr>
    </w:p>
    <w:p w14:paraId="369C7149" w14:textId="09072AF5" w:rsidR="00E371C2" w:rsidRPr="00125FA8" w:rsidRDefault="00E371C2" w:rsidP="00C31315">
      <w:pPr>
        <w:pStyle w:val="SingleTxt"/>
        <w:numPr>
          <w:ilvl w:val="0"/>
          <w:numId w:val="26"/>
        </w:numPr>
        <w:ind w:left="1267"/>
      </w:pPr>
      <w:r w:rsidRPr="00E371C2">
        <w:t xml:space="preserve">El Ministerio de Administración Local es una entidad gubernamental descentralizada que cuenta con 31 consejos de distrito en todo el país y presta servicios entre los que figuran programas de empoderamiento económico para las comunidades rurales, especialmente las mujeres. El Ministerio sigue aplicando la estrategia de Desarrollo Económico Local, que apoya la puesta en marcha de proyectos y la sostenibilidad de las economías locales. Hay </w:t>
      </w:r>
      <w:r w:rsidRPr="00170EBE">
        <w:rPr>
          <w:b/>
          <w:bCs/>
        </w:rPr>
        <w:t>32</w:t>
      </w:r>
      <w:r w:rsidRPr="00E371C2">
        <w:t xml:space="preserve"> cooperativas en todo el país, en asentamientos de zonas remotas, dirigidas por mujeres jóvenes.</w:t>
      </w:r>
    </w:p>
    <w:p w14:paraId="0AC2403F" w14:textId="77777777" w:rsidR="003676F6" w:rsidRPr="00125FA8" w:rsidRDefault="003676F6" w:rsidP="003676F6">
      <w:pPr>
        <w:pStyle w:val="SingleTxt"/>
        <w:spacing w:after="0" w:line="120" w:lineRule="exact"/>
        <w:rPr>
          <w:sz w:val="10"/>
        </w:rPr>
      </w:pPr>
    </w:p>
    <w:p w14:paraId="57701363" w14:textId="77777777" w:rsidR="003676F6" w:rsidRPr="00125FA8" w:rsidRDefault="003676F6" w:rsidP="003676F6">
      <w:pPr>
        <w:pStyle w:val="SingleTxt"/>
        <w:spacing w:after="0" w:line="120" w:lineRule="exact"/>
        <w:rPr>
          <w:sz w:val="10"/>
        </w:rPr>
      </w:pPr>
    </w:p>
    <w:p w14:paraId="2AB2DA82" w14:textId="11C36C46" w:rsidR="00E371C2" w:rsidRPr="00125FA8" w:rsidRDefault="00E371C2" w:rsidP="00367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18 d)</w:t>
      </w:r>
    </w:p>
    <w:p w14:paraId="319A627E" w14:textId="77777777" w:rsidR="003676F6" w:rsidRPr="00125FA8" w:rsidRDefault="003676F6" w:rsidP="003676F6">
      <w:pPr>
        <w:pStyle w:val="SingleTxt"/>
        <w:spacing w:after="0" w:line="120" w:lineRule="exact"/>
        <w:rPr>
          <w:sz w:val="10"/>
        </w:rPr>
      </w:pPr>
    </w:p>
    <w:p w14:paraId="325803BD" w14:textId="77777777" w:rsidR="003676F6" w:rsidRPr="00125FA8" w:rsidRDefault="003676F6" w:rsidP="003676F6">
      <w:pPr>
        <w:pStyle w:val="SingleTxt"/>
        <w:spacing w:after="0" w:line="120" w:lineRule="exact"/>
        <w:rPr>
          <w:sz w:val="10"/>
        </w:rPr>
      </w:pPr>
    </w:p>
    <w:p w14:paraId="2A7570AA" w14:textId="65BAFCF4" w:rsidR="00E371C2" w:rsidRPr="00E371C2" w:rsidRDefault="00E371C2" w:rsidP="00C31315">
      <w:pPr>
        <w:pStyle w:val="SingleTxt"/>
        <w:numPr>
          <w:ilvl w:val="0"/>
          <w:numId w:val="26"/>
        </w:numPr>
        <w:ind w:left="1267"/>
      </w:pPr>
      <w:r w:rsidRPr="00E371C2">
        <w:t>La Política de Tierras revisada ofrece a todos los ciudadanos las mismas oportunidades de poseer tierras residenciales o agrícolas en las zonas de su elección, en tierras estatales o tribales. Según el censo de 2022, el 44,9 % de las mujeres son propietarias de tierras agrícolas, mientras que el 44,5 % tienen acceso a ellas.</w:t>
      </w:r>
    </w:p>
    <w:p w14:paraId="766FEF83" w14:textId="5186F74E" w:rsidR="00E371C2" w:rsidRPr="00125FA8" w:rsidRDefault="00E371C2" w:rsidP="00C31315">
      <w:pPr>
        <w:pStyle w:val="SingleTxt"/>
        <w:numPr>
          <w:ilvl w:val="0"/>
          <w:numId w:val="26"/>
        </w:numPr>
        <w:ind w:left="1267"/>
      </w:pPr>
      <w:r w:rsidRPr="00E371C2">
        <w:t>La proporción de hombres propietarios de terrenos empresariales con respecto a la población total es del 52,7 %. En cuanto a las mujeres, su proporción es del 47,3</w:t>
      </w:r>
      <w:r w:rsidR="003676F6" w:rsidRPr="00125FA8">
        <w:t> </w:t>
      </w:r>
      <w:r w:rsidRPr="00E371C2">
        <w:t>%. En lo que respecta a la propiedad de terrenos empresariales por género, el 45,8 % posee terrenos de forma individual, mientras que el 50,2 % posee terrenos empresariales de forma conjunta. En los hogares en los que no hay certificación, las mujeres son mayoría, con un 54,3 %.</w:t>
      </w:r>
    </w:p>
    <w:p w14:paraId="1084BFD2" w14:textId="77777777" w:rsidR="003676F6" w:rsidRPr="00125FA8" w:rsidRDefault="003676F6" w:rsidP="003676F6">
      <w:pPr>
        <w:pStyle w:val="SingleTxt"/>
        <w:spacing w:after="0" w:line="120" w:lineRule="exact"/>
        <w:rPr>
          <w:sz w:val="10"/>
        </w:rPr>
      </w:pPr>
    </w:p>
    <w:p w14:paraId="05922753" w14:textId="77777777" w:rsidR="003676F6" w:rsidRPr="00125FA8" w:rsidRDefault="003676F6" w:rsidP="003676F6">
      <w:pPr>
        <w:pStyle w:val="SingleTxt"/>
        <w:spacing w:after="0" w:line="120" w:lineRule="exact"/>
        <w:rPr>
          <w:sz w:val="10"/>
        </w:rPr>
      </w:pPr>
    </w:p>
    <w:p w14:paraId="3F4478EA" w14:textId="42EB2100" w:rsidR="00E371C2" w:rsidRPr="00125FA8" w:rsidRDefault="00E371C2" w:rsidP="00367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18 e)</w:t>
      </w:r>
    </w:p>
    <w:p w14:paraId="3A661776" w14:textId="77777777" w:rsidR="003676F6" w:rsidRPr="00125FA8" w:rsidRDefault="003676F6" w:rsidP="003676F6">
      <w:pPr>
        <w:pStyle w:val="SingleTxt"/>
        <w:spacing w:after="0" w:line="120" w:lineRule="exact"/>
        <w:rPr>
          <w:sz w:val="10"/>
        </w:rPr>
      </w:pPr>
    </w:p>
    <w:p w14:paraId="60EB58E8" w14:textId="77777777" w:rsidR="003676F6" w:rsidRPr="00125FA8" w:rsidRDefault="003676F6" w:rsidP="003676F6">
      <w:pPr>
        <w:pStyle w:val="SingleTxt"/>
        <w:spacing w:after="0" w:line="120" w:lineRule="exact"/>
        <w:rPr>
          <w:sz w:val="10"/>
        </w:rPr>
      </w:pPr>
    </w:p>
    <w:p w14:paraId="40DF7A75" w14:textId="33780E4C" w:rsidR="00E371C2" w:rsidRPr="00170EBE" w:rsidRDefault="00E371C2" w:rsidP="00C31315">
      <w:pPr>
        <w:pStyle w:val="SingleTxt"/>
        <w:numPr>
          <w:ilvl w:val="0"/>
          <w:numId w:val="26"/>
        </w:numPr>
        <w:ind w:left="1267"/>
        <w:rPr>
          <w:spacing w:val="6"/>
        </w:rPr>
      </w:pPr>
      <w:r w:rsidRPr="00170EBE">
        <w:rPr>
          <w:spacing w:val="6"/>
        </w:rPr>
        <w:t xml:space="preserve">En Botswana existen varias leyes que abordan el blanqueo de dinero y la financiación del terrorismo o están relacionadas con esos fenómenos. En primer lugar, existen determinadas leyes y reglamentos básicos que inciden directamente en el blanqueo de dinero y la financiación del terrorismo. Estas leyes y reglamentos </w:t>
      </w:r>
      <w:r w:rsidRPr="00170EBE">
        <w:rPr>
          <w:spacing w:val="6"/>
        </w:rPr>
        <w:lastRenderedPageBreak/>
        <w:t>regulan los bancos, las instituciones financieras no bancarias, las entidades financieras paraestatales, así como las actividades y profesiones no financieras designadas (APNFD).</w:t>
      </w:r>
    </w:p>
    <w:p w14:paraId="58699EFD" w14:textId="1FC95A58" w:rsidR="00E371C2" w:rsidRPr="00E371C2" w:rsidRDefault="00E371C2" w:rsidP="00C31315">
      <w:pPr>
        <w:pStyle w:val="SingleTxt"/>
        <w:numPr>
          <w:ilvl w:val="0"/>
          <w:numId w:val="26"/>
        </w:numPr>
        <w:ind w:left="1267"/>
      </w:pPr>
      <w:r w:rsidRPr="00E371C2">
        <w:t>La</w:t>
      </w:r>
      <w:r w:rsidRPr="00E371C2">
        <w:rPr>
          <w:b/>
          <w:bCs/>
        </w:rPr>
        <w:t xml:space="preserve"> </w:t>
      </w:r>
      <w:r w:rsidRPr="00E371C2">
        <w:t>Ley sobre el Producto de Delitos Graves, junto con el Código Penal, ha sido la legislación básica en materia de blanqueo de dinero, financiación del terrorismo y otros delitos financieros. Esta Ley se promulgó para hacer frente a los problemas del blanqueo de dinero y asuntos conexos, así como para impedir que los autores de delitos graves se beneficien de los frutos de tales delitos.</w:t>
      </w:r>
    </w:p>
    <w:p w14:paraId="67052A7F" w14:textId="0A9BA88E" w:rsidR="00E371C2" w:rsidRPr="00170EBE" w:rsidRDefault="00E371C2" w:rsidP="00C31315">
      <w:pPr>
        <w:pStyle w:val="SingleTxt"/>
        <w:numPr>
          <w:ilvl w:val="0"/>
          <w:numId w:val="26"/>
        </w:numPr>
        <w:ind w:left="1267"/>
        <w:rPr>
          <w:spacing w:val="6"/>
        </w:rPr>
      </w:pPr>
      <w:r w:rsidRPr="00170EBE">
        <w:rPr>
          <w:spacing w:val="6"/>
        </w:rPr>
        <w:t>La Ley contra la Corrupción y los Delitos Económicos se promulgó principalmente para crear la Dirección de Lucha contra la Corrupción y la Delincuencia Económica. La Ley establece las competencias de la Dirección y los delitos punibles en virtud de ella, al tiempo que prevé el enjuiciamiento de dichos delitos. El objetivo central de esta Ley es combatir y prevenir la corrupción dotando a la Dirección de facultades de investigación no solo para realizar indagaciones, sino también para remitir los presuntos casos de delincuencia económica al Director de la Fiscalía Pública.</w:t>
      </w:r>
    </w:p>
    <w:p w14:paraId="4C3C3B21" w14:textId="109E071C" w:rsidR="00E371C2" w:rsidRPr="00E371C2" w:rsidRDefault="00E371C2" w:rsidP="00C31315">
      <w:pPr>
        <w:pStyle w:val="SingleTxt"/>
        <w:numPr>
          <w:ilvl w:val="0"/>
          <w:numId w:val="26"/>
        </w:numPr>
        <w:ind w:left="1267"/>
      </w:pPr>
      <w:r w:rsidRPr="00E371C2">
        <w:t>La Ley Bancaria es la principal ley sobre las competencias de control y regulación de los bancos. La Ley no intenta definir el blanqueo de dinero ni la financiación del terrorismo. Sin embargo, en estrecha relación con la lucha contra el blanqueo de dinero y la financiación del terrorismo, se exige a los bancos que mantengan registros financieros claros y concisos para que el banco central (Banco de Botswana) pueda determinar si las entidades bancarias cumplen las disposiciones de la Ley. Los bancos deben conservar estos registros durante un período mínimo de cinco años a partir de la fecha de la última anotación.</w:t>
      </w:r>
    </w:p>
    <w:p w14:paraId="3DB53788" w14:textId="19838781" w:rsidR="00E371C2" w:rsidRPr="00E371C2" w:rsidRDefault="00E371C2" w:rsidP="00C31315">
      <w:pPr>
        <w:pStyle w:val="SingleTxt"/>
        <w:numPr>
          <w:ilvl w:val="0"/>
          <w:numId w:val="26"/>
        </w:numPr>
        <w:ind w:left="1267"/>
        <w:rPr>
          <w:spacing w:val="2"/>
        </w:rPr>
      </w:pPr>
      <w:r w:rsidRPr="00E371C2">
        <w:t xml:space="preserve">El Reglamento Bancario de Lucha contra el Blanqueo de Dinero, en su versión modificada de 2013, se deriva de la potestad que la Ley Bancaria atribuye al Ministro de </w:t>
      </w:r>
      <w:r w:rsidRPr="00E371C2">
        <w:rPr>
          <w:spacing w:val="2"/>
        </w:rPr>
        <w:t>Finanzas para dictar reglamentos que garanticen la aplicación efectiva de la Ley. El Reglamento también establece que, en caso de que los bancos contravengan cualquiera de sus disposiciones, podrían ser sancionados con una multa no superior a 10.000 pulas.</w:t>
      </w:r>
    </w:p>
    <w:p w14:paraId="6C202E60" w14:textId="65F21A88" w:rsidR="00E371C2" w:rsidRPr="00125FA8" w:rsidRDefault="00E371C2" w:rsidP="00C31315">
      <w:pPr>
        <w:pStyle w:val="SingleTxt"/>
        <w:numPr>
          <w:ilvl w:val="0"/>
          <w:numId w:val="26"/>
        </w:numPr>
        <w:ind w:left="1267"/>
      </w:pPr>
      <w:r w:rsidRPr="00E371C2">
        <w:t>Otras leyes y reglamentos pertinentes para la lucha contra el blanqueo de dinero y la financiación del terrorismo son el Código Penal, la Ley de Procedimiento y Pruebas en materia Penal, la Ley de Seguridad Nacional e Inteligencia, la Ley de Aduanas e Impuestos Especiales y la Ley del Banco de Botswana.</w:t>
      </w:r>
    </w:p>
    <w:p w14:paraId="19B41483" w14:textId="77777777" w:rsidR="003676F6" w:rsidRPr="00125FA8" w:rsidRDefault="003676F6" w:rsidP="003676F6">
      <w:pPr>
        <w:pStyle w:val="SingleTxt"/>
        <w:spacing w:after="0" w:line="120" w:lineRule="exact"/>
        <w:rPr>
          <w:sz w:val="10"/>
        </w:rPr>
      </w:pPr>
    </w:p>
    <w:p w14:paraId="4F7A1403" w14:textId="77777777" w:rsidR="003676F6" w:rsidRPr="00125FA8" w:rsidRDefault="003676F6" w:rsidP="003676F6">
      <w:pPr>
        <w:pStyle w:val="SingleTxt"/>
        <w:spacing w:after="0" w:line="120" w:lineRule="exact"/>
        <w:rPr>
          <w:sz w:val="10"/>
        </w:rPr>
      </w:pPr>
    </w:p>
    <w:p w14:paraId="29A00E24" w14:textId="2C005CB2" w:rsidR="00E371C2" w:rsidRPr="00125FA8" w:rsidRDefault="00E371C2" w:rsidP="00367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18 f)</w:t>
      </w:r>
    </w:p>
    <w:p w14:paraId="3AEDC65D" w14:textId="77777777" w:rsidR="003676F6" w:rsidRPr="00125FA8" w:rsidRDefault="003676F6" w:rsidP="003676F6">
      <w:pPr>
        <w:pStyle w:val="SingleTxt"/>
        <w:spacing w:after="0" w:line="120" w:lineRule="exact"/>
        <w:rPr>
          <w:b/>
          <w:sz w:val="10"/>
        </w:rPr>
      </w:pPr>
    </w:p>
    <w:p w14:paraId="774F49E6" w14:textId="77777777" w:rsidR="003676F6" w:rsidRPr="00125FA8" w:rsidRDefault="003676F6" w:rsidP="003676F6">
      <w:pPr>
        <w:pStyle w:val="SingleTxt"/>
        <w:spacing w:after="0" w:line="120" w:lineRule="exact"/>
        <w:rPr>
          <w:b/>
          <w:sz w:val="10"/>
        </w:rPr>
      </w:pPr>
    </w:p>
    <w:p w14:paraId="7C4B38E4" w14:textId="43682964" w:rsidR="00E371C2" w:rsidRPr="00125FA8" w:rsidRDefault="00E371C2" w:rsidP="00C31315">
      <w:pPr>
        <w:pStyle w:val="SingleTxt"/>
        <w:numPr>
          <w:ilvl w:val="0"/>
          <w:numId w:val="26"/>
        </w:numPr>
        <w:ind w:left="1267"/>
      </w:pPr>
      <w:r w:rsidRPr="00E371C2">
        <w:t>El Ministerio de Deportes y Artes respaldó la estrategia y designó a la Comisión Nacional de Deportes de Botswana como supervisora de la estrategia y a la organización Mujeres y Deporte en Botswana (WASBO, por sus siglas en inglés) como ejecutora de la estrategia. A los efectos de informar sobre la estrategia, la WASBO presenta informes y rinde cuentas a la Comisión Nacional de Deportes de Botswana. Los coordinadores de las cuestiones de género de las asociaciones deportivas nacionales informan a la WASBO en el marco del sistema de gestión de las cuestiones de género de la estrategia.</w:t>
      </w:r>
    </w:p>
    <w:p w14:paraId="0E9EB5ED" w14:textId="77777777" w:rsidR="003676F6" w:rsidRPr="00125FA8" w:rsidRDefault="003676F6" w:rsidP="003676F6">
      <w:pPr>
        <w:pStyle w:val="SingleTxt"/>
        <w:spacing w:after="0" w:line="120" w:lineRule="exact"/>
        <w:rPr>
          <w:sz w:val="10"/>
        </w:rPr>
      </w:pPr>
    </w:p>
    <w:p w14:paraId="5704FA71" w14:textId="77777777" w:rsidR="003676F6" w:rsidRPr="00125FA8" w:rsidRDefault="003676F6" w:rsidP="003676F6">
      <w:pPr>
        <w:pStyle w:val="SingleTxt"/>
        <w:spacing w:after="0" w:line="120" w:lineRule="exact"/>
        <w:rPr>
          <w:sz w:val="10"/>
        </w:rPr>
      </w:pPr>
    </w:p>
    <w:p w14:paraId="6CD27D69" w14:textId="5ABEF100" w:rsidR="00E371C2" w:rsidRPr="00125FA8" w:rsidRDefault="00E371C2" w:rsidP="00367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18 g)</w:t>
      </w:r>
    </w:p>
    <w:p w14:paraId="5DEBD784" w14:textId="77777777" w:rsidR="003676F6" w:rsidRPr="00125FA8" w:rsidRDefault="003676F6" w:rsidP="003676F6">
      <w:pPr>
        <w:pStyle w:val="SingleTxt"/>
        <w:spacing w:after="0" w:line="120" w:lineRule="exact"/>
        <w:rPr>
          <w:b/>
          <w:bCs/>
          <w:sz w:val="10"/>
        </w:rPr>
      </w:pPr>
    </w:p>
    <w:p w14:paraId="1744D635" w14:textId="77777777" w:rsidR="003676F6" w:rsidRPr="00125FA8" w:rsidRDefault="003676F6" w:rsidP="003676F6">
      <w:pPr>
        <w:pStyle w:val="SingleTxt"/>
        <w:spacing w:after="0" w:line="120" w:lineRule="exact"/>
        <w:rPr>
          <w:b/>
          <w:sz w:val="10"/>
        </w:rPr>
      </w:pPr>
    </w:p>
    <w:p w14:paraId="62220547" w14:textId="5E722B5E" w:rsidR="00E371C2" w:rsidRPr="00125FA8" w:rsidRDefault="00E371C2" w:rsidP="005E05B7">
      <w:pPr>
        <w:pStyle w:val="SingleTxt"/>
        <w:numPr>
          <w:ilvl w:val="0"/>
          <w:numId w:val="26"/>
        </w:numPr>
        <w:ind w:left="1267"/>
      </w:pPr>
      <w:r w:rsidRPr="00E371C2">
        <w:t xml:space="preserve">El Gobierno se ha comprometido a destinar el 5 % del presupuesto de 2025/2026 a la capacitación y el empoderamiento de las mujeres para que asuman puestos de liderazgo como oficiales técnicas y administradoras deportivas. Diez mujeres se </w:t>
      </w:r>
      <w:r w:rsidRPr="00E371C2">
        <w:lastRenderedPageBreak/>
        <w:t>graduarán en marzo de 2025 en el Programa de Liderazgo de Mujeres en el Deporte, un curso que duró ocho meses. El siguiente grupo se matriculará en junio de 2025.</w:t>
      </w:r>
    </w:p>
    <w:p w14:paraId="238DE315" w14:textId="77777777" w:rsidR="003676F6" w:rsidRPr="00125FA8" w:rsidRDefault="003676F6" w:rsidP="003676F6">
      <w:pPr>
        <w:pStyle w:val="SingleTxt"/>
        <w:spacing w:after="0" w:line="120" w:lineRule="exact"/>
        <w:rPr>
          <w:sz w:val="10"/>
        </w:rPr>
      </w:pPr>
    </w:p>
    <w:p w14:paraId="79AA9AC8" w14:textId="77777777" w:rsidR="003676F6" w:rsidRPr="00125FA8" w:rsidRDefault="003676F6" w:rsidP="003676F6">
      <w:pPr>
        <w:pStyle w:val="SingleTxt"/>
        <w:spacing w:after="0" w:line="120" w:lineRule="exact"/>
        <w:rPr>
          <w:sz w:val="10"/>
        </w:rPr>
      </w:pPr>
    </w:p>
    <w:p w14:paraId="4E31506E" w14:textId="77777777" w:rsidR="00E371C2" w:rsidRPr="00125FA8" w:rsidRDefault="00E371C2" w:rsidP="00E25E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Mujeres y niñas del medio rural</w:t>
      </w:r>
    </w:p>
    <w:p w14:paraId="75317B4D" w14:textId="77777777" w:rsidR="003676F6" w:rsidRPr="00125FA8" w:rsidRDefault="003676F6" w:rsidP="00E25E4B">
      <w:pPr>
        <w:pStyle w:val="SingleTxt"/>
        <w:keepNext/>
        <w:keepLines/>
        <w:spacing w:after="0" w:line="120" w:lineRule="exact"/>
        <w:rPr>
          <w:sz w:val="10"/>
        </w:rPr>
      </w:pPr>
    </w:p>
    <w:p w14:paraId="7EEA1918" w14:textId="77777777" w:rsidR="003676F6" w:rsidRPr="00125FA8" w:rsidRDefault="003676F6" w:rsidP="00E25E4B">
      <w:pPr>
        <w:pStyle w:val="SingleTxt"/>
        <w:keepNext/>
        <w:keepLines/>
        <w:spacing w:after="0" w:line="120" w:lineRule="exact"/>
        <w:rPr>
          <w:sz w:val="10"/>
        </w:rPr>
      </w:pPr>
    </w:p>
    <w:p w14:paraId="54E76B6B" w14:textId="4B1DB9E7" w:rsidR="00E371C2" w:rsidRPr="00125FA8" w:rsidRDefault="00E371C2" w:rsidP="00367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19 a)</w:t>
      </w:r>
    </w:p>
    <w:p w14:paraId="7ABB179C" w14:textId="77777777" w:rsidR="003676F6" w:rsidRPr="00125FA8" w:rsidRDefault="003676F6" w:rsidP="003676F6">
      <w:pPr>
        <w:pStyle w:val="SingleTxt"/>
        <w:spacing w:after="0" w:line="120" w:lineRule="exact"/>
        <w:rPr>
          <w:sz w:val="10"/>
        </w:rPr>
      </w:pPr>
    </w:p>
    <w:p w14:paraId="20B2C818" w14:textId="77777777" w:rsidR="003676F6" w:rsidRPr="00125FA8" w:rsidRDefault="003676F6" w:rsidP="003676F6">
      <w:pPr>
        <w:pStyle w:val="SingleTxt"/>
        <w:spacing w:after="0" w:line="120" w:lineRule="exact"/>
        <w:rPr>
          <w:sz w:val="10"/>
        </w:rPr>
      </w:pPr>
    </w:p>
    <w:p w14:paraId="4D10D172" w14:textId="77777777" w:rsidR="00E371C2" w:rsidRPr="00125FA8" w:rsidRDefault="00E371C2" w:rsidP="00367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Proyectos comunitarios de adaptación</w:t>
      </w:r>
    </w:p>
    <w:p w14:paraId="6D718A50" w14:textId="77777777" w:rsidR="003676F6" w:rsidRPr="00125FA8" w:rsidRDefault="003676F6" w:rsidP="003676F6">
      <w:pPr>
        <w:pStyle w:val="SingleTxt"/>
        <w:spacing w:after="0" w:line="120" w:lineRule="exact"/>
        <w:rPr>
          <w:sz w:val="10"/>
        </w:rPr>
      </w:pPr>
    </w:p>
    <w:p w14:paraId="193FD9A2" w14:textId="723BFE76" w:rsidR="00E371C2" w:rsidRPr="00170EBE" w:rsidRDefault="00E371C2" w:rsidP="00C31315">
      <w:pPr>
        <w:pStyle w:val="SingleTxt"/>
        <w:numPr>
          <w:ilvl w:val="0"/>
          <w:numId w:val="26"/>
        </w:numPr>
        <w:ind w:left="1267"/>
        <w:rPr>
          <w:spacing w:val="6"/>
        </w:rPr>
      </w:pPr>
      <w:r w:rsidRPr="00170EBE">
        <w:rPr>
          <w:spacing w:val="6"/>
        </w:rPr>
        <w:t>Se han puesto en marcha programas como la gestión comunitaria de los recursos naturales</w:t>
      </w:r>
      <w:r w:rsidRPr="00170EBE">
        <w:rPr>
          <w:b/>
          <w:bCs/>
          <w:spacing w:val="6"/>
        </w:rPr>
        <w:t xml:space="preserve"> </w:t>
      </w:r>
      <w:r w:rsidRPr="00170EBE">
        <w:rPr>
          <w:spacing w:val="6"/>
        </w:rPr>
        <w:t>para aumentar la resiliencia entre las mujeres rurales, especialmente en las comunidades basarwa y nama. Estos proyectos se centran en el uso sostenible de la tierra y la gestión de recursos y proporcionan a las mujeres capacitación en prácticas agrícolas resilientes al clima. Por ejemplo, se está capacitando a las mujeres en cultivos resistentes a la sequía, como el sorgo y el mijo, que requieren menos agua y son más resilientes a las fluctuaciones climáticas.</w:t>
      </w:r>
    </w:p>
    <w:p w14:paraId="704B8E1F" w14:textId="77777777" w:rsidR="003676F6" w:rsidRPr="00125FA8" w:rsidRDefault="003676F6" w:rsidP="003676F6">
      <w:pPr>
        <w:pStyle w:val="SingleTxt"/>
        <w:spacing w:after="0" w:line="120" w:lineRule="exact"/>
        <w:rPr>
          <w:sz w:val="10"/>
        </w:rPr>
      </w:pPr>
    </w:p>
    <w:p w14:paraId="418CDFD0" w14:textId="77777777" w:rsidR="00E371C2" w:rsidRPr="00125FA8" w:rsidRDefault="00E371C2" w:rsidP="00367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Acceso al agua e iniciativas de saneamiento</w:t>
      </w:r>
    </w:p>
    <w:p w14:paraId="2C13ECDC" w14:textId="77777777" w:rsidR="003676F6" w:rsidRPr="00125FA8" w:rsidRDefault="003676F6" w:rsidP="003676F6">
      <w:pPr>
        <w:pStyle w:val="SingleTxt"/>
        <w:spacing w:after="0" w:line="120" w:lineRule="exact"/>
        <w:rPr>
          <w:b/>
          <w:bCs/>
          <w:sz w:val="10"/>
        </w:rPr>
      </w:pPr>
    </w:p>
    <w:p w14:paraId="5472FEBC" w14:textId="28277CEA" w:rsidR="00E371C2" w:rsidRPr="00125FA8" w:rsidRDefault="00E371C2" w:rsidP="00C31315">
      <w:pPr>
        <w:pStyle w:val="SingleTxt"/>
        <w:numPr>
          <w:ilvl w:val="0"/>
          <w:numId w:val="26"/>
        </w:numPr>
        <w:ind w:left="1267"/>
      </w:pPr>
      <w:r w:rsidRPr="00E371C2">
        <w:t>En respuesta a las condiciones de sequía, se han puesto en práctica iniciativas para mejorar el acceso al agua, sobre todo en las zonas remotas donde residen las comunidades basarwa y nama. La Corporación de Servicios de Agua de Botswana ha trabajado para instalar pozos perforados y sistemas de recogida de agua de lluvia, lo que ha permitido a las mujeres gestionar los recursos hídricos de manera eficaz. Estos sistemas no solo proporcionan acceso al agua, sino que también promueven el papel de las mujeres en la salud y la agricultura de la comunidad.</w:t>
      </w:r>
    </w:p>
    <w:p w14:paraId="1202D802" w14:textId="77777777" w:rsidR="003676F6" w:rsidRPr="00125FA8" w:rsidRDefault="003676F6" w:rsidP="003676F6">
      <w:pPr>
        <w:pStyle w:val="SingleTxt"/>
        <w:spacing w:after="0" w:line="120" w:lineRule="exact"/>
        <w:rPr>
          <w:sz w:val="10"/>
        </w:rPr>
      </w:pPr>
    </w:p>
    <w:p w14:paraId="5AA359C6" w14:textId="77777777" w:rsidR="00E371C2" w:rsidRPr="00125FA8" w:rsidRDefault="00E371C2" w:rsidP="00367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Campañas de educación y sensibilización</w:t>
      </w:r>
    </w:p>
    <w:p w14:paraId="26BEC0BF" w14:textId="77777777" w:rsidR="003676F6" w:rsidRPr="00125FA8" w:rsidRDefault="003676F6" w:rsidP="003676F6">
      <w:pPr>
        <w:pStyle w:val="SingleTxt"/>
        <w:spacing w:after="0" w:line="120" w:lineRule="exact"/>
        <w:rPr>
          <w:b/>
          <w:bCs/>
          <w:sz w:val="10"/>
        </w:rPr>
      </w:pPr>
    </w:p>
    <w:p w14:paraId="47B7D4D9" w14:textId="7298EC16" w:rsidR="00E371C2" w:rsidRPr="00E371C2" w:rsidRDefault="00E371C2" w:rsidP="00C31315">
      <w:pPr>
        <w:pStyle w:val="SingleTxt"/>
        <w:numPr>
          <w:ilvl w:val="0"/>
          <w:numId w:val="26"/>
        </w:numPr>
        <w:ind w:left="1267"/>
      </w:pPr>
      <w:r w:rsidRPr="00E371C2">
        <w:t>Varias ONG, entre ellas Women</w:t>
      </w:r>
      <w:r w:rsidR="00E65EE2">
        <w:t>’</w:t>
      </w:r>
      <w:r w:rsidRPr="00E371C2">
        <w:t>s Health Network Botswana, han emprendido campañas para informar a las mujeres y las niñas rurales de los efectos del cambio climático y las estrategias de adaptación. Estas campañas se centran en mejorar los conocimientos sobre prácticas sostenibles y la importancia de involucrar a las mujeres en los debates sobre acción climática, tanto a nivel comunitario como normativo.</w:t>
      </w:r>
    </w:p>
    <w:p w14:paraId="726D7374" w14:textId="295C098B" w:rsidR="00E371C2" w:rsidRPr="00125FA8" w:rsidRDefault="00E371C2" w:rsidP="00C31315">
      <w:pPr>
        <w:pStyle w:val="SingleTxt"/>
        <w:numPr>
          <w:ilvl w:val="0"/>
          <w:numId w:val="26"/>
        </w:numPr>
        <w:ind w:left="1267"/>
      </w:pPr>
      <w:r w:rsidRPr="00E371C2">
        <w:t>Además, la política de cambio climático de 2021 fomenta la integración del género y el cambio climático en los planes de estudios de las escuelas.</w:t>
      </w:r>
    </w:p>
    <w:p w14:paraId="052109BD" w14:textId="77777777" w:rsidR="003676F6" w:rsidRPr="00125FA8" w:rsidRDefault="003676F6" w:rsidP="003676F6">
      <w:pPr>
        <w:pStyle w:val="SingleTxt"/>
        <w:spacing w:after="0" w:line="120" w:lineRule="exact"/>
        <w:rPr>
          <w:sz w:val="10"/>
        </w:rPr>
      </w:pPr>
    </w:p>
    <w:p w14:paraId="6BF3152F" w14:textId="77777777" w:rsidR="00E371C2" w:rsidRPr="00125FA8" w:rsidRDefault="00E371C2" w:rsidP="00367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Marcos normativos</w:t>
      </w:r>
    </w:p>
    <w:p w14:paraId="4176059D" w14:textId="77777777" w:rsidR="003676F6" w:rsidRPr="00125FA8" w:rsidRDefault="003676F6" w:rsidP="003676F6">
      <w:pPr>
        <w:pStyle w:val="SingleTxt"/>
        <w:spacing w:after="0" w:line="120" w:lineRule="exact"/>
        <w:rPr>
          <w:sz w:val="10"/>
        </w:rPr>
      </w:pPr>
    </w:p>
    <w:p w14:paraId="6780A994" w14:textId="194C7BB3" w:rsidR="00E371C2" w:rsidRPr="00E371C2" w:rsidRDefault="00E371C2" w:rsidP="00C31315">
      <w:pPr>
        <w:pStyle w:val="SingleTxt"/>
        <w:numPr>
          <w:ilvl w:val="0"/>
          <w:numId w:val="26"/>
        </w:numPr>
        <w:ind w:left="1267"/>
      </w:pPr>
      <w:r w:rsidRPr="00E371C2">
        <w:t>La mayoría de las políticas han integrado las cuestiones de género:</w:t>
      </w:r>
    </w:p>
    <w:p w14:paraId="4DF67632" w14:textId="253E345E" w:rsidR="00E371C2" w:rsidRPr="00E371C2" w:rsidRDefault="003676F6" w:rsidP="00E371C2">
      <w:pPr>
        <w:pStyle w:val="SingleTxt"/>
      </w:pPr>
      <w:r w:rsidRPr="00125FA8">
        <w:tab/>
      </w:r>
      <w:r w:rsidR="00E371C2" w:rsidRPr="00E371C2">
        <w:t>a)</w:t>
      </w:r>
      <w:r w:rsidR="00E371C2" w:rsidRPr="00E371C2">
        <w:tab/>
        <w:t>La política de cambio climático de 2021 exige la incorporación de la perspectiva de género en todas las medidas relacionadas con la mitigación y la adaptación, ya que reconoce que las mujeres son las más afectadas por los efectos del cambio climático. También promueve el empoderamiento de las comunidades, especialmente de las mujeres con discapacidad, para que participen activamente en la aplicación de medidas de respuesta al cambio climático en las zonas rurales;</w:t>
      </w:r>
    </w:p>
    <w:p w14:paraId="0321376E" w14:textId="5E6BB8C9" w:rsidR="00E371C2" w:rsidRPr="00125FA8" w:rsidRDefault="003676F6" w:rsidP="00E371C2">
      <w:pPr>
        <w:pStyle w:val="SingleTxt"/>
        <w:rPr>
          <w:spacing w:val="2"/>
        </w:rPr>
      </w:pPr>
      <w:r w:rsidRPr="00125FA8">
        <w:tab/>
      </w:r>
      <w:r w:rsidR="00E371C2" w:rsidRPr="00E371C2">
        <w:t>b)</w:t>
      </w:r>
      <w:r w:rsidR="00E371C2" w:rsidRPr="00E371C2">
        <w:tab/>
        <w:t xml:space="preserve">El Programa de Acción Nacional de Lucha contra la Desertificación, la Degradación de las Tierras y la Sequía de 2022 es una política que recomienda la </w:t>
      </w:r>
      <w:r w:rsidR="00E371C2" w:rsidRPr="00E371C2">
        <w:rPr>
          <w:spacing w:val="2"/>
        </w:rPr>
        <w:t>adopción de medidas para proteger a las mujeres y otros grupos vulnerables de los efectos de la degradación de las tierras y la desertificación. Propone medidas para lograr medios de vida sostenibles mediante el uso de productos forestales no madereros.</w:t>
      </w:r>
    </w:p>
    <w:p w14:paraId="50EAA135" w14:textId="77777777" w:rsidR="003676F6" w:rsidRPr="00125FA8" w:rsidRDefault="003676F6" w:rsidP="003676F6">
      <w:pPr>
        <w:pStyle w:val="SingleTxt"/>
        <w:spacing w:after="0" w:line="120" w:lineRule="exact"/>
        <w:rPr>
          <w:spacing w:val="2"/>
          <w:sz w:val="10"/>
        </w:rPr>
      </w:pPr>
    </w:p>
    <w:p w14:paraId="14F3B5EE" w14:textId="77777777" w:rsidR="003676F6" w:rsidRPr="00125FA8" w:rsidRDefault="003676F6" w:rsidP="003676F6">
      <w:pPr>
        <w:pStyle w:val="SingleTxt"/>
        <w:spacing w:after="0" w:line="120" w:lineRule="exact"/>
        <w:rPr>
          <w:spacing w:val="2"/>
          <w:sz w:val="10"/>
        </w:rPr>
      </w:pPr>
    </w:p>
    <w:p w14:paraId="2C583394" w14:textId="2B815E05" w:rsidR="00E371C2" w:rsidRPr="00125FA8" w:rsidRDefault="00E371C2" w:rsidP="005E05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lastRenderedPageBreak/>
        <w:tab/>
      </w:r>
      <w:r w:rsidRPr="00125FA8">
        <w:tab/>
        <w:t>Respuesta al párrafo 19 b)</w:t>
      </w:r>
      <w:bookmarkStart w:id="12" w:name="_Hlk196816848"/>
      <w:bookmarkEnd w:id="12"/>
    </w:p>
    <w:p w14:paraId="298AE594" w14:textId="77777777" w:rsidR="003676F6" w:rsidRPr="00125FA8" w:rsidRDefault="003676F6" w:rsidP="00170EBE">
      <w:pPr>
        <w:pStyle w:val="SingleTxt"/>
        <w:keepNext/>
        <w:keepLines/>
        <w:spacing w:after="0" w:line="120" w:lineRule="exact"/>
        <w:rPr>
          <w:sz w:val="10"/>
        </w:rPr>
      </w:pPr>
    </w:p>
    <w:p w14:paraId="2B997FEB" w14:textId="77777777" w:rsidR="003676F6" w:rsidRPr="00125FA8" w:rsidRDefault="003676F6" w:rsidP="003676F6">
      <w:pPr>
        <w:pStyle w:val="SingleTxt"/>
        <w:spacing w:after="0" w:line="120" w:lineRule="exact"/>
        <w:rPr>
          <w:sz w:val="10"/>
        </w:rPr>
      </w:pPr>
    </w:p>
    <w:p w14:paraId="4EBF8C95" w14:textId="54B6C13B" w:rsidR="00E371C2" w:rsidRPr="00E371C2" w:rsidRDefault="00E371C2" w:rsidP="00C31315">
      <w:pPr>
        <w:pStyle w:val="SingleTxt"/>
        <w:numPr>
          <w:ilvl w:val="0"/>
          <w:numId w:val="26"/>
        </w:numPr>
        <w:ind w:left="1267"/>
      </w:pPr>
      <w:r w:rsidRPr="00E371C2">
        <w:t>Se alienta a los jóvenes de las zonas rurales a que accedan a todos los servicios sociales, como la educación, la cultura y los programas de empoderamiento económico. La iniciativa Miss and Mister Remote Area Development Programme (Miss y Míster Programa de Desarrollo de las Zonas Remotas) ofrece a mujeres y hombres jóvenes la posibilidad de participar en un concurso de belleza, y a los ganadores se los financia para que se incorporen al mundo empresarial.</w:t>
      </w:r>
    </w:p>
    <w:p w14:paraId="25811C7A" w14:textId="021FC73C" w:rsidR="00E371C2" w:rsidRPr="00125FA8" w:rsidRDefault="00E371C2" w:rsidP="00C31315">
      <w:pPr>
        <w:pStyle w:val="SingleTxt"/>
        <w:numPr>
          <w:ilvl w:val="0"/>
          <w:numId w:val="26"/>
        </w:numPr>
        <w:ind w:left="1267"/>
      </w:pPr>
      <w:r w:rsidRPr="00E371C2">
        <w:t>El Gobierno y las ONG han facilitado programas de creación de redes que ponen en contacto a mujeres y niñas rurales de distintas comunidades. Por ejemplo, en el marco de iniciativas como el Consejo de Mujeres de Botswana se han organizado talleres y foros en los que las mujeres comparten sus experiencias sobre prácticas agrícolas, salud y estrategias de resiliencia comunitaria. Este intercambio fomenta el aprendizaje de prácticas exitosas, especialmente en ámbitos como la medicina tradicional y las técnicas agrícolas sostenibles.</w:t>
      </w:r>
    </w:p>
    <w:p w14:paraId="5D8879AB" w14:textId="77777777" w:rsidR="003676F6" w:rsidRPr="00125FA8" w:rsidRDefault="003676F6" w:rsidP="003676F6">
      <w:pPr>
        <w:pStyle w:val="SingleTxt"/>
        <w:spacing w:after="0" w:line="120" w:lineRule="exact"/>
        <w:rPr>
          <w:sz w:val="10"/>
        </w:rPr>
      </w:pPr>
    </w:p>
    <w:p w14:paraId="652E40D2" w14:textId="77777777" w:rsidR="00E371C2" w:rsidRPr="00125FA8" w:rsidRDefault="00E371C2" w:rsidP="00367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Iniciativas de mentoría</w:t>
      </w:r>
    </w:p>
    <w:p w14:paraId="02341CAD" w14:textId="77777777" w:rsidR="003676F6" w:rsidRPr="00125FA8" w:rsidRDefault="003676F6" w:rsidP="003676F6">
      <w:pPr>
        <w:pStyle w:val="SingleTxt"/>
        <w:spacing w:after="0" w:line="120" w:lineRule="exact"/>
        <w:rPr>
          <w:sz w:val="10"/>
        </w:rPr>
      </w:pPr>
    </w:p>
    <w:p w14:paraId="3A79A396" w14:textId="2DE51629" w:rsidR="00E371C2" w:rsidRPr="00125FA8" w:rsidRDefault="00E371C2" w:rsidP="00C31315">
      <w:pPr>
        <w:pStyle w:val="SingleTxt"/>
        <w:numPr>
          <w:ilvl w:val="0"/>
          <w:numId w:val="26"/>
        </w:numPr>
        <w:ind w:left="1267"/>
      </w:pPr>
      <w:r w:rsidRPr="00E371C2">
        <w:t>Se han creado programas de mentoría que vinculan a mujeres de las comunidades basarwa y nama con mujeres de otras zonas rurales. Estas iniciativas, que cuentan con el apoyo de organizaciones como Oxfam, se centran en la transferencia de conocimientos y competencias relacionados con la preparación para casos de desastre y la adaptación al cambio climático. Por ejemplo, las mujeres que han aplicado con éxito técnicas de conservación del agua comparten sus métodos con sus compañeras de otras comunidades.</w:t>
      </w:r>
    </w:p>
    <w:p w14:paraId="59A2E7AF" w14:textId="77777777" w:rsidR="00303D1A" w:rsidRPr="00125FA8" w:rsidRDefault="00303D1A" w:rsidP="00303D1A">
      <w:pPr>
        <w:pStyle w:val="SingleTxt"/>
        <w:spacing w:after="0" w:line="120" w:lineRule="exact"/>
        <w:rPr>
          <w:sz w:val="10"/>
        </w:rPr>
      </w:pPr>
    </w:p>
    <w:p w14:paraId="67858F86" w14:textId="77777777" w:rsidR="00E371C2" w:rsidRPr="00125FA8" w:rsidRDefault="00E371C2" w:rsidP="00303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Proyectos de colaboración</w:t>
      </w:r>
    </w:p>
    <w:p w14:paraId="1C1A9AED" w14:textId="77777777" w:rsidR="00303D1A" w:rsidRPr="00125FA8" w:rsidRDefault="00303D1A" w:rsidP="00303D1A">
      <w:pPr>
        <w:pStyle w:val="SingleTxt"/>
        <w:spacing w:after="0" w:line="120" w:lineRule="exact"/>
        <w:rPr>
          <w:b/>
          <w:bCs/>
          <w:sz w:val="10"/>
        </w:rPr>
      </w:pPr>
    </w:p>
    <w:p w14:paraId="09E00650" w14:textId="5DC84DCC" w:rsidR="00E371C2" w:rsidRPr="00125FA8" w:rsidRDefault="00E371C2" w:rsidP="00C31315">
      <w:pPr>
        <w:pStyle w:val="SingleTxt"/>
        <w:numPr>
          <w:ilvl w:val="0"/>
          <w:numId w:val="26"/>
        </w:numPr>
        <w:ind w:left="1267"/>
      </w:pPr>
      <w:r w:rsidRPr="00E371C2">
        <w:t>Los proyectos de colaboración, como el Proyecto de Desarrollo de la Mujer Rural, pretenden fomentar las alianzas entre distintas comunidades. Por ejemplo, mujeres de distintos orígenes étnicos trabajan juntas en cooperativas agrícolas, compartiendo así recursos, aptitudes y conocimientos, lo que refuerza los lazos comunitarios y mejora la resiliencia al cambio climático.</w:t>
      </w:r>
    </w:p>
    <w:p w14:paraId="2861D8A6" w14:textId="77777777" w:rsidR="00303D1A" w:rsidRPr="00125FA8" w:rsidRDefault="00303D1A" w:rsidP="00303D1A">
      <w:pPr>
        <w:pStyle w:val="SingleTxt"/>
        <w:spacing w:after="0" w:line="120" w:lineRule="exact"/>
        <w:rPr>
          <w:sz w:val="10"/>
        </w:rPr>
      </w:pPr>
    </w:p>
    <w:p w14:paraId="29D310F2" w14:textId="77777777" w:rsidR="00303D1A" w:rsidRPr="00125FA8" w:rsidRDefault="00303D1A" w:rsidP="00303D1A">
      <w:pPr>
        <w:pStyle w:val="SingleTxt"/>
        <w:spacing w:after="0" w:line="120" w:lineRule="exact"/>
        <w:rPr>
          <w:sz w:val="10"/>
        </w:rPr>
      </w:pPr>
    </w:p>
    <w:p w14:paraId="725EDD7D" w14:textId="7EFF9897" w:rsidR="00E371C2" w:rsidRPr="00125FA8" w:rsidRDefault="00E371C2" w:rsidP="00303D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19 c)</w:t>
      </w:r>
    </w:p>
    <w:p w14:paraId="7B1B5F48" w14:textId="77777777" w:rsidR="00303D1A" w:rsidRPr="00170EBE" w:rsidRDefault="00303D1A" w:rsidP="00303D1A">
      <w:pPr>
        <w:pStyle w:val="SingleTxt"/>
        <w:spacing w:after="0" w:line="120" w:lineRule="exact"/>
        <w:rPr>
          <w:bCs/>
          <w:sz w:val="10"/>
        </w:rPr>
      </w:pPr>
    </w:p>
    <w:p w14:paraId="395014B0" w14:textId="77777777" w:rsidR="00303D1A" w:rsidRPr="00170EBE" w:rsidRDefault="00303D1A" w:rsidP="00303D1A">
      <w:pPr>
        <w:pStyle w:val="SingleTxt"/>
        <w:spacing w:after="0" w:line="120" w:lineRule="exact"/>
        <w:rPr>
          <w:bCs/>
          <w:sz w:val="10"/>
        </w:rPr>
      </w:pPr>
    </w:p>
    <w:p w14:paraId="3C63E79E" w14:textId="77777777" w:rsidR="00E371C2" w:rsidRPr="00125FA8" w:rsidRDefault="00E371C2" w:rsidP="00303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Marcos normativos participativos</w:t>
      </w:r>
    </w:p>
    <w:p w14:paraId="59E912EE" w14:textId="77777777" w:rsidR="00303D1A" w:rsidRPr="00125FA8" w:rsidRDefault="00303D1A" w:rsidP="00303D1A">
      <w:pPr>
        <w:pStyle w:val="SingleTxt"/>
        <w:spacing w:after="0" w:line="120" w:lineRule="exact"/>
        <w:rPr>
          <w:b/>
          <w:bCs/>
          <w:sz w:val="10"/>
        </w:rPr>
      </w:pPr>
    </w:p>
    <w:p w14:paraId="5FB95EC1" w14:textId="5E88D22D" w:rsidR="00E371C2" w:rsidRPr="00125FA8" w:rsidRDefault="00E371C2" w:rsidP="00C31315">
      <w:pPr>
        <w:pStyle w:val="SingleTxt"/>
        <w:numPr>
          <w:ilvl w:val="0"/>
          <w:numId w:val="26"/>
        </w:numPr>
        <w:ind w:left="1267"/>
      </w:pPr>
      <w:r w:rsidRPr="00E371C2">
        <w:t>La Política Nacional de Género dispone la inclusión de las mujeres rurales en los procesos de formulación de políticas. Se llevan a cabo consultas comunitarias para recabar la opinión de las mujeres de las zonas rurales, garantizando que sus perspectivas se integren en la legislación pertinente. Por ejemplo, en las consultas relativas a la Política Nacional de Cambio Climático se celebraron foros dirigidos específicamente a las mujeres de las comunidades basarwa y nama.</w:t>
      </w:r>
    </w:p>
    <w:p w14:paraId="5DE6BB3F" w14:textId="77777777" w:rsidR="00303D1A" w:rsidRPr="00125FA8" w:rsidRDefault="00303D1A" w:rsidP="00303D1A">
      <w:pPr>
        <w:pStyle w:val="SingleTxt"/>
        <w:spacing w:after="0" w:line="120" w:lineRule="exact"/>
        <w:rPr>
          <w:sz w:val="10"/>
        </w:rPr>
      </w:pPr>
    </w:p>
    <w:p w14:paraId="65750174" w14:textId="77777777" w:rsidR="00E371C2" w:rsidRPr="00125FA8" w:rsidRDefault="00E371C2" w:rsidP="00303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Creación de capacidad para el liderazgo</w:t>
      </w:r>
    </w:p>
    <w:p w14:paraId="300FC93A" w14:textId="77777777" w:rsidR="00303D1A" w:rsidRPr="00125FA8" w:rsidRDefault="00303D1A" w:rsidP="00303D1A">
      <w:pPr>
        <w:pStyle w:val="SingleTxt"/>
        <w:spacing w:after="0" w:line="120" w:lineRule="exact"/>
        <w:rPr>
          <w:sz w:val="10"/>
        </w:rPr>
      </w:pPr>
    </w:p>
    <w:p w14:paraId="54C5BC32" w14:textId="225963F0" w:rsidR="00E371C2" w:rsidRPr="00125FA8" w:rsidRDefault="00E371C2" w:rsidP="00C31315">
      <w:pPr>
        <w:pStyle w:val="SingleTxt"/>
        <w:numPr>
          <w:ilvl w:val="0"/>
          <w:numId w:val="26"/>
        </w:numPr>
        <w:ind w:left="1267"/>
      </w:pPr>
      <w:r w:rsidRPr="00E371C2">
        <w:t>Los programas destinados a fomentar las habilidades de liderazgo de las mujeres rurales, como el Programa de Liderazgo Femenino de la Comisión de Género de Botswana, empoderan a las mujeres para que asuman un papel activo en la gobernanza comunitaria y la promoción de políticas. Se alienta a las participantes seleccionadas a que representen a sus comunidades en consejos locales y juntas de desarrollo.</w:t>
      </w:r>
    </w:p>
    <w:p w14:paraId="206F827D" w14:textId="77777777" w:rsidR="00303D1A" w:rsidRPr="00125FA8" w:rsidRDefault="00303D1A" w:rsidP="00303D1A">
      <w:pPr>
        <w:pStyle w:val="SingleTxt"/>
        <w:spacing w:after="0" w:line="120" w:lineRule="exact"/>
        <w:rPr>
          <w:sz w:val="10"/>
        </w:rPr>
      </w:pPr>
    </w:p>
    <w:p w14:paraId="40D1AA13" w14:textId="77777777" w:rsidR="00E371C2" w:rsidRPr="00125FA8" w:rsidRDefault="00E371C2" w:rsidP="008E2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lastRenderedPageBreak/>
        <w:tab/>
      </w:r>
      <w:r w:rsidRPr="00125FA8">
        <w:tab/>
        <w:t>Establecimiento de puntos focales de cuestiones de género</w:t>
      </w:r>
    </w:p>
    <w:p w14:paraId="5FE60FFC" w14:textId="77777777" w:rsidR="00303D1A" w:rsidRPr="00125FA8" w:rsidRDefault="00303D1A" w:rsidP="00170EBE">
      <w:pPr>
        <w:pStyle w:val="SingleTxt"/>
        <w:keepNext/>
        <w:keepLines/>
        <w:spacing w:after="0" w:line="120" w:lineRule="exact"/>
        <w:rPr>
          <w:b/>
          <w:bCs/>
          <w:sz w:val="10"/>
        </w:rPr>
      </w:pPr>
    </w:p>
    <w:p w14:paraId="4676618F" w14:textId="77D1A65D" w:rsidR="00E371C2" w:rsidRPr="00125FA8" w:rsidRDefault="00E371C2" w:rsidP="00C31315">
      <w:pPr>
        <w:pStyle w:val="SingleTxt"/>
        <w:numPr>
          <w:ilvl w:val="0"/>
          <w:numId w:val="26"/>
        </w:numPr>
        <w:ind w:left="1267"/>
      </w:pPr>
      <w:r w:rsidRPr="00E371C2">
        <w:t>El Ministerio de Medio Ambiente y Turismo ha designado puntos focales de cuestiones de género para asegurar que se dé prioridad a las cuestiones de género. Por ejemplo, el punto focal se encarga de integrar las consideraciones de género en el Plan Nacional de Desarrollo y en iniciativas específicas sobre el cambio climático.</w:t>
      </w:r>
    </w:p>
    <w:p w14:paraId="03E518B5" w14:textId="77777777" w:rsidR="00303D1A" w:rsidRPr="00125FA8" w:rsidRDefault="00303D1A" w:rsidP="00303D1A">
      <w:pPr>
        <w:pStyle w:val="SingleTxt"/>
        <w:spacing w:after="0" w:line="120" w:lineRule="exact"/>
        <w:rPr>
          <w:sz w:val="10"/>
        </w:rPr>
      </w:pPr>
    </w:p>
    <w:p w14:paraId="46898FCD" w14:textId="77777777" w:rsidR="00E371C2" w:rsidRPr="00125FA8" w:rsidRDefault="00E371C2" w:rsidP="00303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Implicación comunitaria</w:t>
      </w:r>
    </w:p>
    <w:p w14:paraId="740650B4" w14:textId="77777777" w:rsidR="00303D1A" w:rsidRPr="00125FA8" w:rsidRDefault="00303D1A" w:rsidP="00303D1A">
      <w:pPr>
        <w:pStyle w:val="SingleTxt"/>
        <w:spacing w:after="0" w:line="120" w:lineRule="exact"/>
        <w:rPr>
          <w:b/>
          <w:bCs/>
          <w:sz w:val="10"/>
        </w:rPr>
      </w:pPr>
    </w:p>
    <w:p w14:paraId="265E980C" w14:textId="6FA60246" w:rsidR="00E371C2" w:rsidRPr="00125FA8" w:rsidRDefault="00E371C2" w:rsidP="00E25E4B">
      <w:pPr>
        <w:pStyle w:val="SingleTxt"/>
        <w:numPr>
          <w:ilvl w:val="0"/>
          <w:numId w:val="26"/>
        </w:numPr>
        <w:spacing w:after="80"/>
        <w:ind w:left="1267"/>
      </w:pPr>
      <w:r w:rsidRPr="00E371C2">
        <w:t xml:space="preserve">Comités locales de gestión del riesgo de desastres: En las comunidades de Botswana, las mujeres desempeñan un papel fundamental en estos comités. </w:t>
      </w:r>
      <w:r w:rsidR="008E2894" w:rsidRPr="00E371C2">
        <w:t>Por</w:t>
      </w:r>
      <w:r w:rsidR="008E2894">
        <w:t> </w:t>
      </w:r>
      <w:r w:rsidRPr="00E371C2">
        <w:t>ejemplo, en Lobatse, han contribuido decisivamente a la elaboración de planes de acción comunitarios que dan prioridad a cuestiones como el acceso al agua limpia y la seguridad alimentaria. Sus aportaciones son vitales para garantizar que estos planes tengan en cuenta las cuestiones de género y aborden las necesidades específicas de las mujeres y las niñas.</w:t>
      </w:r>
    </w:p>
    <w:p w14:paraId="3A1DB918" w14:textId="77777777" w:rsidR="00303D1A" w:rsidRPr="00125FA8" w:rsidRDefault="00303D1A" w:rsidP="00303D1A">
      <w:pPr>
        <w:pStyle w:val="SingleTxt"/>
        <w:spacing w:after="0" w:line="120" w:lineRule="exact"/>
        <w:rPr>
          <w:sz w:val="10"/>
        </w:rPr>
      </w:pPr>
    </w:p>
    <w:p w14:paraId="15FBBF68" w14:textId="77777777" w:rsidR="00E371C2" w:rsidRPr="00125FA8" w:rsidRDefault="00E371C2" w:rsidP="00303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Marcos de seguimiento y evaluación</w:t>
      </w:r>
    </w:p>
    <w:p w14:paraId="5704FB93" w14:textId="77777777" w:rsidR="00303D1A" w:rsidRPr="00170EBE" w:rsidRDefault="00303D1A" w:rsidP="00303D1A">
      <w:pPr>
        <w:pStyle w:val="SingleTxt"/>
        <w:spacing w:after="0" w:line="120" w:lineRule="exact"/>
        <w:rPr>
          <w:sz w:val="10"/>
        </w:rPr>
      </w:pPr>
    </w:p>
    <w:p w14:paraId="75EAB159" w14:textId="6D999A08" w:rsidR="00E371C2" w:rsidRPr="00125FA8" w:rsidRDefault="00E371C2" w:rsidP="00C31315">
      <w:pPr>
        <w:pStyle w:val="SingleTxt"/>
        <w:numPr>
          <w:ilvl w:val="0"/>
          <w:numId w:val="26"/>
        </w:numPr>
        <w:ind w:left="1267"/>
      </w:pPr>
      <w:r w:rsidRPr="00E371C2">
        <w:t>El establecimiento de marcos comunitarios de seguimiento y evaluación permite a las mujeres rurales evaluar la aplicación de las políticas que afectan a sus vidas. Ello incluye involucrar a las mujeres en el examen de la eficacia de programas como el Programa de Desarrollo de las Zonas Remotas, de modo que se tengan en cuenta sus opiniones en las evaluaciones y ajustes.</w:t>
      </w:r>
    </w:p>
    <w:p w14:paraId="75B3919D" w14:textId="77777777" w:rsidR="00303D1A" w:rsidRPr="00125FA8" w:rsidRDefault="00303D1A" w:rsidP="00303D1A">
      <w:pPr>
        <w:pStyle w:val="SingleTxt"/>
        <w:spacing w:after="0" w:line="120" w:lineRule="exact"/>
        <w:rPr>
          <w:sz w:val="10"/>
        </w:rPr>
      </w:pPr>
    </w:p>
    <w:p w14:paraId="74E3E42F" w14:textId="77777777" w:rsidR="00303D1A" w:rsidRPr="00125FA8" w:rsidRDefault="00303D1A" w:rsidP="00303D1A">
      <w:pPr>
        <w:pStyle w:val="SingleTxt"/>
        <w:spacing w:after="0" w:line="120" w:lineRule="exact"/>
        <w:rPr>
          <w:sz w:val="10"/>
        </w:rPr>
      </w:pPr>
    </w:p>
    <w:p w14:paraId="47A2A8DB" w14:textId="7B2E829A" w:rsidR="00E371C2" w:rsidRPr="00125FA8" w:rsidRDefault="00E371C2" w:rsidP="00303D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19 d)</w:t>
      </w:r>
    </w:p>
    <w:p w14:paraId="55322310" w14:textId="77777777" w:rsidR="00303D1A" w:rsidRPr="00170EBE" w:rsidRDefault="00303D1A" w:rsidP="00303D1A">
      <w:pPr>
        <w:pStyle w:val="SingleTxt"/>
        <w:spacing w:after="0" w:line="120" w:lineRule="exact"/>
        <w:rPr>
          <w:bCs/>
          <w:sz w:val="10"/>
        </w:rPr>
      </w:pPr>
    </w:p>
    <w:p w14:paraId="4729C0B6" w14:textId="77777777" w:rsidR="00303D1A" w:rsidRPr="00170EBE" w:rsidRDefault="00303D1A" w:rsidP="00303D1A">
      <w:pPr>
        <w:pStyle w:val="SingleTxt"/>
        <w:spacing w:after="0" w:line="120" w:lineRule="exact"/>
        <w:rPr>
          <w:bCs/>
          <w:sz w:val="10"/>
        </w:rPr>
      </w:pPr>
    </w:p>
    <w:p w14:paraId="4634A769" w14:textId="533F1B82" w:rsidR="00E371C2" w:rsidRPr="00170EBE" w:rsidRDefault="00E371C2" w:rsidP="00C31315">
      <w:pPr>
        <w:pStyle w:val="SingleTxt"/>
        <w:numPr>
          <w:ilvl w:val="0"/>
          <w:numId w:val="26"/>
        </w:numPr>
        <w:ind w:left="1267"/>
        <w:rPr>
          <w:spacing w:val="6"/>
        </w:rPr>
      </w:pPr>
      <w:r w:rsidRPr="00170EBE">
        <w:rPr>
          <w:spacing w:val="6"/>
        </w:rPr>
        <w:t>El Programa de Desarrollo de las Zonas Remotas pretende mejorar las condiciones de vida de las comunidades remotas, en especial de los basarwa y los nama, abordando problemas como la pobreza, la falta de acceso a los servicios y la marginación, mediante la promoción de la justicia social. Además de este programa, existe el Marco de Acción Afirmativa para las Comunidades de Zonas Remotas, cuyo objetivo es acelerar el desarrollo de los asentamientos reconocidos de zonas remotas. El programa incluye componentes centrados en la educación, la salud y el desarrollo económico, todo ello con la finalidad de promover familias resilientes.</w:t>
      </w:r>
    </w:p>
    <w:p w14:paraId="5B98B116" w14:textId="77777777" w:rsidR="00303D1A" w:rsidRPr="00125FA8" w:rsidRDefault="00303D1A" w:rsidP="00303D1A">
      <w:pPr>
        <w:pStyle w:val="SingleTxt"/>
        <w:spacing w:after="0" w:line="120" w:lineRule="exact"/>
        <w:rPr>
          <w:sz w:val="10"/>
        </w:rPr>
      </w:pPr>
    </w:p>
    <w:p w14:paraId="6D07366B" w14:textId="77777777" w:rsidR="00E371C2" w:rsidRPr="00125FA8" w:rsidRDefault="00E371C2" w:rsidP="00303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Marco de Acción Afirmativa</w:t>
      </w:r>
    </w:p>
    <w:p w14:paraId="64FD20AC" w14:textId="77777777" w:rsidR="00303D1A" w:rsidRPr="00125FA8" w:rsidRDefault="00303D1A" w:rsidP="00303D1A">
      <w:pPr>
        <w:pStyle w:val="SingleTxt"/>
        <w:spacing w:after="0" w:line="120" w:lineRule="exact"/>
        <w:rPr>
          <w:b/>
          <w:bCs/>
          <w:sz w:val="10"/>
        </w:rPr>
      </w:pPr>
    </w:p>
    <w:p w14:paraId="48BF8774" w14:textId="7CDAB507" w:rsidR="00E371C2" w:rsidRPr="00E371C2" w:rsidRDefault="00E371C2" w:rsidP="00C31315">
      <w:pPr>
        <w:pStyle w:val="SingleTxt"/>
        <w:numPr>
          <w:ilvl w:val="0"/>
          <w:numId w:val="26"/>
        </w:numPr>
        <w:ind w:left="1267"/>
      </w:pPr>
      <w:r w:rsidRPr="00E371C2">
        <w:t>En el Marco de Acción Afirmativa del Programa de Desarrollo de las Zonas Remotas se pone de relieve la importancia de incluir los derechos de las mujeres y la igualdad de género en todas las intervenciones. Entre las medidas concretas figuran las siguientes:</w:t>
      </w:r>
    </w:p>
    <w:p w14:paraId="76BC4C39" w14:textId="5313AA4B" w:rsidR="00E371C2" w:rsidRPr="00E371C2" w:rsidRDefault="00303D1A" w:rsidP="00303D1A">
      <w:pPr>
        <w:pStyle w:val="SingleTxt"/>
        <w:tabs>
          <w:tab w:val="right" w:pos="1685"/>
        </w:tabs>
        <w:ind w:left="1742" w:hanging="475"/>
      </w:pPr>
      <w:r w:rsidRPr="00125FA8">
        <w:tab/>
      </w:r>
      <w:r w:rsidR="00E371C2" w:rsidRPr="00E371C2">
        <w:t>•</w:t>
      </w:r>
      <w:r w:rsidR="00E371C2" w:rsidRPr="00E371C2">
        <w:tab/>
        <w:t>Apoyo específico a iniciativas de mujeres: Las iniciativas del Programa de Desarrollo de las Zonas Remotas apoyan específicamente proyectos dirigidos por mujeres, como los que se centran en la agricultura sostenible y la artesanía, y proporcionan acceso a capacitación y financiación;</w:t>
      </w:r>
    </w:p>
    <w:p w14:paraId="30C513CE" w14:textId="3478CEE5" w:rsidR="00E371C2" w:rsidRPr="00125FA8" w:rsidRDefault="00303D1A" w:rsidP="00303D1A">
      <w:pPr>
        <w:pStyle w:val="SingleTxt"/>
        <w:tabs>
          <w:tab w:val="right" w:pos="1685"/>
        </w:tabs>
        <w:ind w:left="1742" w:hanging="475"/>
      </w:pPr>
      <w:r w:rsidRPr="00125FA8">
        <w:tab/>
      </w:r>
      <w:r w:rsidR="00E371C2" w:rsidRPr="00E371C2">
        <w:t>•</w:t>
      </w:r>
      <w:r w:rsidR="00E371C2" w:rsidRPr="00E371C2">
        <w:tab/>
        <w:t>Políticas que responden a las cuestiones de género: El marco dispone que todos los proyectos del Programa de Desarrollo de las Zonas Remotas se sometan a evaluaciones del impacto de género para garantizar que las intervenciones no afecten a las mujeres y las niñas de forma desproporcionada. Por ejemplo, los proyectos que proporcionan acceso a la energía solar se evalúan por su potencial para empoderar a las mujeres de los hogares rurales.</w:t>
      </w:r>
    </w:p>
    <w:p w14:paraId="10FDFC05" w14:textId="77777777" w:rsidR="00303D1A" w:rsidRPr="00125FA8" w:rsidRDefault="00303D1A" w:rsidP="00303D1A">
      <w:pPr>
        <w:pStyle w:val="SingleTxt"/>
        <w:tabs>
          <w:tab w:val="right" w:pos="1685"/>
        </w:tabs>
        <w:spacing w:after="0" w:line="120" w:lineRule="exact"/>
        <w:ind w:left="1742" w:hanging="475"/>
        <w:rPr>
          <w:sz w:val="10"/>
        </w:rPr>
      </w:pPr>
    </w:p>
    <w:p w14:paraId="13958B4C" w14:textId="77777777" w:rsidR="00E371C2" w:rsidRPr="00125FA8" w:rsidRDefault="00E371C2" w:rsidP="008E2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lastRenderedPageBreak/>
        <w:tab/>
      </w:r>
      <w:r w:rsidRPr="00125FA8">
        <w:tab/>
        <w:t>Derechos de las mujeres y marco de igualdad de género</w:t>
      </w:r>
    </w:p>
    <w:p w14:paraId="19CE16F6" w14:textId="77777777" w:rsidR="00303D1A" w:rsidRPr="00125FA8" w:rsidRDefault="00303D1A" w:rsidP="00170EBE">
      <w:pPr>
        <w:pStyle w:val="SingleTxt"/>
        <w:keepNext/>
        <w:keepLines/>
        <w:spacing w:after="0" w:line="120" w:lineRule="exact"/>
        <w:rPr>
          <w:b/>
          <w:bCs/>
          <w:sz w:val="10"/>
        </w:rPr>
      </w:pPr>
    </w:p>
    <w:p w14:paraId="6B0DA4B2" w14:textId="37B42647" w:rsidR="00E371C2" w:rsidRPr="00125FA8" w:rsidRDefault="00E371C2" w:rsidP="00170EBE">
      <w:pPr>
        <w:pStyle w:val="SingleTxt"/>
        <w:numPr>
          <w:ilvl w:val="0"/>
          <w:numId w:val="26"/>
        </w:numPr>
        <w:ind w:left="1267"/>
        <w:rPr>
          <w:spacing w:val="2"/>
        </w:rPr>
      </w:pPr>
      <w:r w:rsidRPr="00E371C2">
        <w:t xml:space="preserve">El Programa de Desarrollo de las Zonas Remotas incorpora un marco de igualdad de género que asegura la participación de las mujeres en funciones de liderazgo dentro del programa. Se alienta a las mujeres de las comunidades basarwa y </w:t>
      </w:r>
      <w:r w:rsidRPr="00E371C2">
        <w:rPr>
          <w:spacing w:val="2"/>
        </w:rPr>
        <w:t>nama a que participen en los órganos decisorios asociados a los proyectos del Programa de Desarrollo de las Zonas Remotas. Esto ha quedado patente en las iniciativas dirigidas por las comunidades, en las que las mujeres han asumido funciones de liderazgo en la gestión de los recursos locales y los proyectos de desarrollo.</w:t>
      </w:r>
    </w:p>
    <w:p w14:paraId="7C2081CD" w14:textId="77777777" w:rsidR="00303D1A" w:rsidRPr="00125FA8" w:rsidRDefault="00303D1A" w:rsidP="00303D1A">
      <w:pPr>
        <w:pStyle w:val="SingleTxt"/>
        <w:spacing w:after="0" w:line="120" w:lineRule="exact"/>
        <w:rPr>
          <w:sz w:val="10"/>
        </w:rPr>
      </w:pPr>
    </w:p>
    <w:p w14:paraId="05742273" w14:textId="77777777" w:rsidR="00E371C2" w:rsidRPr="00125FA8" w:rsidRDefault="00E371C2" w:rsidP="00303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Resultados y futuras tendencias</w:t>
      </w:r>
    </w:p>
    <w:p w14:paraId="4C3CCC01" w14:textId="77777777" w:rsidR="00303D1A" w:rsidRPr="00125FA8" w:rsidRDefault="00303D1A" w:rsidP="00303D1A">
      <w:pPr>
        <w:pStyle w:val="SingleTxt"/>
        <w:spacing w:after="0" w:line="120" w:lineRule="exact"/>
        <w:rPr>
          <w:b/>
          <w:bCs/>
          <w:sz w:val="10"/>
        </w:rPr>
      </w:pPr>
    </w:p>
    <w:p w14:paraId="535A4AE7" w14:textId="50DB1908" w:rsidR="00E371C2" w:rsidRPr="00125FA8" w:rsidRDefault="00E371C2" w:rsidP="00C31315">
      <w:pPr>
        <w:pStyle w:val="SingleTxt"/>
        <w:numPr>
          <w:ilvl w:val="0"/>
          <w:numId w:val="26"/>
        </w:numPr>
        <w:ind w:left="1267"/>
      </w:pPr>
      <w:r w:rsidRPr="00E371C2">
        <w:t>Los informes de seguimiento indican que la participación de las mujeres en iniciativas relacionadas con el Programa de Desarrollo de las Zonas Remotas ha supuesto una mejora de los ingresos familiares y de su empoderamiento. Por ejemplo, las mujeres que participan en empresas agrícolas cooperativas han señalado que sus cosechas e ingresos han aumentado, lo que les permite invertir en la educación y la salud de sus hijos. De cara al futuro, es esencial reforzar los programas de capacitación y los mecanismos de financiación dirigidos específicamente a las mujeres para garantizar un empoderamiento y una resiliencia sostenidos.</w:t>
      </w:r>
    </w:p>
    <w:p w14:paraId="338C1884" w14:textId="77777777" w:rsidR="00303D1A" w:rsidRPr="00125FA8" w:rsidRDefault="00303D1A" w:rsidP="00303D1A">
      <w:pPr>
        <w:pStyle w:val="SingleTxt"/>
        <w:spacing w:after="0" w:line="120" w:lineRule="exact"/>
        <w:rPr>
          <w:sz w:val="10"/>
        </w:rPr>
      </w:pPr>
    </w:p>
    <w:p w14:paraId="50937B8D" w14:textId="77777777" w:rsidR="00303D1A" w:rsidRPr="00125FA8" w:rsidRDefault="00303D1A" w:rsidP="00303D1A">
      <w:pPr>
        <w:pStyle w:val="SingleTxt"/>
        <w:spacing w:after="0" w:line="120" w:lineRule="exact"/>
        <w:rPr>
          <w:sz w:val="10"/>
        </w:rPr>
      </w:pPr>
    </w:p>
    <w:p w14:paraId="49F85171" w14:textId="77777777" w:rsidR="00E371C2" w:rsidRPr="00125FA8" w:rsidRDefault="00E371C2" w:rsidP="00303D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Cambio climático</w:t>
      </w:r>
    </w:p>
    <w:p w14:paraId="639C3E85" w14:textId="77777777" w:rsidR="00303D1A" w:rsidRPr="00125FA8" w:rsidRDefault="00303D1A" w:rsidP="00303D1A">
      <w:pPr>
        <w:pStyle w:val="SingleTxt"/>
        <w:spacing w:after="0" w:line="120" w:lineRule="exact"/>
        <w:rPr>
          <w:sz w:val="10"/>
        </w:rPr>
      </w:pPr>
    </w:p>
    <w:p w14:paraId="698EF73A" w14:textId="77777777" w:rsidR="00303D1A" w:rsidRPr="00125FA8" w:rsidRDefault="00303D1A" w:rsidP="00303D1A">
      <w:pPr>
        <w:pStyle w:val="SingleTxt"/>
        <w:spacing w:after="0" w:line="120" w:lineRule="exact"/>
        <w:rPr>
          <w:sz w:val="10"/>
        </w:rPr>
      </w:pPr>
    </w:p>
    <w:p w14:paraId="56592781" w14:textId="5EA34DD9" w:rsidR="00E371C2" w:rsidRPr="00125FA8" w:rsidRDefault="00E371C2" w:rsidP="00303D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20 a)</w:t>
      </w:r>
    </w:p>
    <w:p w14:paraId="2DEA1D3E" w14:textId="77777777" w:rsidR="00303D1A" w:rsidRPr="00125FA8" w:rsidRDefault="00303D1A" w:rsidP="00303D1A">
      <w:pPr>
        <w:pStyle w:val="SingleTxt"/>
        <w:spacing w:after="0" w:line="120" w:lineRule="exact"/>
        <w:rPr>
          <w:sz w:val="10"/>
        </w:rPr>
      </w:pPr>
    </w:p>
    <w:p w14:paraId="354D5655" w14:textId="754E8561" w:rsidR="00E371C2" w:rsidRPr="00125FA8" w:rsidRDefault="00E371C2" w:rsidP="00C31315">
      <w:pPr>
        <w:pStyle w:val="SingleTxt"/>
        <w:numPr>
          <w:ilvl w:val="0"/>
          <w:numId w:val="26"/>
        </w:numPr>
        <w:ind w:left="1267"/>
      </w:pPr>
      <w:r w:rsidRPr="00E371C2">
        <w:t>Abordado en la respuesta al párrafo 19.</w:t>
      </w:r>
    </w:p>
    <w:p w14:paraId="0C0FE056" w14:textId="77777777" w:rsidR="00303D1A" w:rsidRPr="00125FA8" w:rsidRDefault="00303D1A" w:rsidP="00303D1A">
      <w:pPr>
        <w:pStyle w:val="SingleTxt"/>
        <w:spacing w:after="0" w:line="120" w:lineRule="exact"/>
        <w:rPr>
          <w:sz w:val="10"/>
        </w:rPr>
      </w:pPr>
    </w:p>
    <w:p w14:paraId="449BE972" w14:textId="77777777" w:rsidR="00303D1A" w:rsidRPr="00125FA8" w:rsidRDefault="00303D1A" w:rsidP="00303D1A">
      <w:pPr>
        <w:pStyle w:val="SingleTxt"/>
        <w:spacing w:after="0" w:line="120" w:lineRule="exact"/>
        <w:rPr>
          <w:sz w:val="10"/>
        </w:rPr>
      </w:pPr>
    </w:p>
    <w:p w14:paraId="72F5C5E1" w14:textId="2AE383A8" w:rsidR="00E371C2" w:rsidRPr="00125FA8" w:rsidRDefault="00E371C2" w:rsidP="00303D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20 b)</w:t>
      </w:r>
    </w:p>
    <w:p w14:paraId="7689BA21" w14:textId="77777777" w:rsidR="00303D1A" w:rsidRPr="00125FA8" w:rsidRDefault="00303D1A" w:rsidP="00303D1A">
      <w:pPr>
        <w:pStyle w:val="SingleTxt"/>
        <w:spacing w:after="0" w:line="120" w:lineRule="exact"/>
        <w:rPr>
          <w:b/>
          <w:sz w:val="10"/>
        </w:rPr>
      </w:pPr>
    </w:p>
    <w:p w14:paraId="212AFB47" w14:textId="77777777" w:rsidR="00303D1A" w:rsidRPr="00125FA8" w:rsidRDefault="00303D1A" w:rsidP="00303D1A">
      <w:pPr>
        <w:pStyle w:val="SingleTxt"/>
        <w:spacing w:after="0" w:line="120" w:lineRule="exact"/>
        <w:rPr>
          <w:b/>
          <w:sz w:val="10"/>
        </w:rPr>
      </w:pPr>
    </w:p>
    <w:p w14:paraId="59B5421F" w14:textId="77777777" w:rsidR="00E371C2" w:rsidRPr="00125FA8" w:rsidRDefault="00E371C2" w:rsidP="00303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Inclusión de los derechos de las mujeres y la igualdad de género</w:t>
      </w:r>
    </w:p>
    <w:p w14:paraId="0FB63455" w14:textId="77777777" w:rsidR="00303D1A" w:rsidRPr="00125FA8" w:rsidRDefault="00303D1A" w:rsidP="00303D1A">
      <w:pPr>
        <w:pStyle w:val="SingleTxt"/>
        <w:spacing w:after="0" w:line="120" w:lineRule="exact"/>
        <w:rPr>
          <w:sz w:val="10"/>
        </w:rPr>
      </w:pPr>
    </w:p>
    <w:p w14:paraId="19B682FE" w14:textId="4EB2220D" w:rsidR="00E371C2" w:rsidRPr="00170EBE" w:rsidRDefault="00E371C2" w:rsidP="00C31315">
      <w:pPr>
        <w:pStyle w:val="SingleTxt"/>
        <w:numPr>
          <w:ilvl w:val="0"/>
          <w:numId w:val="26"/>
        </w:numPr>
        <w:ind w:left="1267"/>
        <w:rPr>
          <w:spacing w:val="6"/>
        </w:rPr>
      </w:pPr>
      <w:r w:rsidRPr="00170EBE">
        <w:rPr>
          <w:spacing w:val="6"/>
        </w:rPr>
        <w:t xml:space="preserve">La estrategia incluye objetivos específicos destinados a promover la igualdad de género. Por ejemplo, en la sección de adaptación, se destaca la necesidad de efectuar intervenciones específicas que ayuden a las agricultoras a acceder </w:t>
      </w:r>
      <w:r w:rsidR="00412ABD" w:rsidRPr="00170EBE">
        <w:rPr>
          <w:spacing w:val="6"/>
        </w:rPr>
        <w:t>a</w:t>
      </w:r>
      <w:r w:rsidR="00412ABD">
        <w:rPr>
          <w:spacing w:val="6"/>
        </w:rPr>
        <w:t> </w:t>
      </w:r>
      <w:r w:rsidRPr="00170EBE">
        <w:rPr>
          <w:spacing w:val="6"/>
        </w:rPr>
        <w:t>semillas resilientes al clima y a prácticas agrícolas sostenibles. Esto es fundamental, ya que las mujeres constituyen alrededor del 70 % de la fuerza de trabajo agrícola de Botswana.</w:t>
      </w:r>
    </w:p>
    <w:p w14:paraId="24006E61" w14:textId="77777777" w:rsidR="00303D1A" w:rsidRPr="00125FA8" w:rsidRDefault="00303D1A" w:rsidP="00303D1A">
      <w:pPr>
        <w:pStyle w:val="SingleTxt"/>
        <w:spacing w:after="0" w:line="120" w:lineRule="exact"/>
        <w:rPr>
          <w:sz w:val="10"/>
        </w:rPr>
      </w:pPr>
    </w:p>
    <w:p w14:paraId="09CC1B0D" w14:textId="77777777" w:rsidR="00E371C2" w:rsidRPr="00125FA8" w:rsidRDefault="00E371C2" w:rsidP="00303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Estado de aplicación</w:t>
      </w:r>
    </w:p>
    <w:p w14:paraId="29ED76EA" w14:textId="77777777" w:rsidR="00303D1A" w:rsidRPr="00125FA8" w:rsidRDefault="00303D1A" w:rsidP="00303D1A">
      <w:pPr>
        <w:pStyle w:val="SingleTxt"/>
        <w:spacing w:after="0" w:line="120" w:lineRule="exact"/>
        <w:rPr>
          <w:b/>
          <w:bCs/>
          <w:sz w:val="10"/>
        </w:rPr>
      </w:pPr>
    </w:p>
    <w:p w14:paraId="76366DDA" w14:textId="03E383B0" w:rsidR="00E371C2" w:rsidRPr="00E371C2" w:rsidRDefault="00E371C2" w:rsidP="00C31315">
      <w:pPr>
        <w:pStyle w:val="SingleTxt"/>
        <w:numPr>
          <w:ilvl w:val="0"/>
          <w:numId w:val="26"/>
        </w:numPr>
        <w:ind w:left="1267"/>
      </w:pPr>
      <w:r w:rsidRPr="00E371C2">
        <w:t>Proyectos comunitarios de adaptación: Un ejemplo de aplicación es el programa de gestión comunitaria de los recursos naturales, que implica activamente a las mujeres en la gestión de los recursos locales. Las mujeres han recibido formación para dirigir iniciativas de turismo sostenible que contribuyen directamente a la adaptación al cambio climático, como alojamientos ecológicos que conservan la biodiversidad al tiempo que proporcionan ingresos.</w:t>
      </w:r>
    </w:p>
    <w:p w14:paraId="212143E0" w14:textId="4A3FA325" w:rsidR="00E371C2" w:rsidRPr="00125FA8" w:rsidRDefault="00E371C2" w:rsidP="00C31315">
      <w:pPr>
        <w:pStyle w:val="SingleTxt"/>
        <w:numPr>
          <w:ilvl w:val="0"/>
          <w:numId w:val="26"/>
        </w:numPr>
        <w:ind w:left="1267"/>
      </w:pPr>
      <w:r w:rsidRPr="00E371C2">
        <w:t>Según los últimos informes, la estrategia ha propiciado el establecimiento de prácticas agrícolas climáticamente inteligentes, en las que las agricultoras han adoptado técnicas que aumentan la seguridad alimentaria minimizando al mismo tiempo el impacto ambiental.</w:t>
      </w:r>
    </w:p>
    <w:p w14:paraId="080E615A" w14:textId="77777777" w:rsidR="00303D1A" w:rsidRPr="00125FA8" w:rsidRDefault="00303D1A" w:rsidP="00303D1A">
      <w:pPr>
        <w:pStyle w:val="SingleTxt"/>
        <w:spacing w:after="0" w:line="120" w:lineRule="exact"/>
        <w:rPr>
          <w:sz w:val="10"/>
        </w:rPr>
      </w:pPr>
    </w:p>
    <w:p w14:paraId="1435AFA3" w14:textId="77777777" w:rsidR="00E371C2" w:rsidRPr="00125FA8" w:rsidRDefault="00E371C2" w:rsidP="00303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Alianzas y financiación</w:t>
      </w:r>
    </w:p>
    <w:p w14:paraId="284FE555" w14:textId="77777777" w:rsidR="00303D1A" w:rsidRPr="00125FA8" w:rsidRDefault="00303D1A" w:rsidP="00303D1A">
      <w:pPr>
        <w:pStyle w:val="SingleTxt"/>
        <w:spacing w:after="0" w:line="120" w:lineRule="exact"/>
        <w:rPr>
          <w:b/>
          <w:bCs/>
          <w:sz w:val="10"/>
        </w:rPr>
      </w:pPr>
    </w:p>
    <w:p w14:paraId="6A9FA9B9" w14:textId="330D39AE" w:rsidR="00E371C2" w:rsidRPr="00125FA8" w:rsidRDefault="00E371C2" w:rsidP="00C31315">
      <w:pPr>
        <w:pStyle w:val="SingleTxt"/>
        <w:numPr>
          <w:ilvl w:val="0"/>
          <w:numId w:val="26"/>
        </w:numPr>
        <w:ind w:left="1267"/>
      </w:pPr>
      <w:r w:rsidRPr="00E371C2">
        <w:t xml:space="preserve">Botswana se ha asociado con organizaciones internacionales, como el Fondo para el Medio Ambiente Mundial (FMAM), para garantizar la financiación de </w:t>
      </w:r>
      <w:r w:rsidRPr="00E371C2">
        <w:lastRenderedPageBreak/>
        <w:t>proyectos climáticos con perspectiva de género. Uno de los proyectos más destacados se centra en mejorar la resiliencia a la sequía en las zonas rurales, y se dirige específicamente a las mujeres mediante programas de capacitación que enseñan técnicas de conservación y gestión del agua.</w:t>
      </w:r>
    </w:p>
    <w:p w14:paraId="65D73467" w14:textId="77777777" w:rsidR="007D62D7" w:rsidRPr="00125FA8" w:rsidRDefault="007D62D7" w:rsidP="00C25ED5">
      <w:pPr>
        <w:pStyle w:val="SingleTxt"/>
        <w:spacing w:after="0" w:line="120" w:lineRule="exact"/>
        <w:rPr>
          <w:sz w:val="10"/>
        </w:rPr>
      </w:pPr>
    </w:p>
    <w:p w14:paraId="0A3F102D" w14:textId="77777777" w:rsidR="00E371C2" w:rsidRPr="00125FA8" w:rsidRDefault="00E371C2" w:rsidP="00C25E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Retos y ámbitos de mejora</w:t>
      </w:r>
    </w:p>
    <w:p w14:paraId="697F6AC5" w14:textId="77777777" w:rsidR="00C25ED5" w:rsidRPr="00125FA8" w:rsidRDefault="00C25ED5" w:rsidP="00C25ED5">
      <w:pPr>
        <w:pStyle w:val="SingleTxt"/>
        <w:spacing w:after="0" w:line="120" w:lineRule="exact"/>
        <w:rPr>
          <w:b/>
          <w:bCs/>
          <w:sz w:val="10"/>
        </w:rPr>
      </w:pPr>
    </w:p>
    <w:p w14:paraId="305C4C64" w14:textId="22D138D9" w:rsidR="00E371C2" w:rsidRPr="00125FA8" w:rsidRDefault="00E371C2" w:rsidP="00C31315">
      <w:pPr>
        <w:pStyle w:val="SingleTxt"/>
        <w:numPr>
          <w:ilvl w:val="0"/>
          <w:numId w:val="26"/>
        </w:numPr>
        <w:ind w:left="1267"/>
      </w:pPr>
      <w:r w:rsidRPr="00E371C2">
        <w:t>A pesar de los avances, siguen existiendo dificultades. Por ejemplo, el acceso a la financiación de las iniciativas dirigidas por mujeres suele ser limitado. La Red de Género y Cambio Climático de Botswana, creada para afrontar estos problemas, aboga por mecanismos de financiación más inclusivos que den prioridad a los proyectos dirigidos por mujeres. Además, es necesaria una mayor conciencia y educación sobre las cuestiones de género en las políticas climáticas. La continua labor de promoción de organizaciones de mujeres, como Women</w:t>
      </w:r>
      <w:r w:rsidR="00E65EE2">
        <w:t>’</w:t>
      </w:r>
      <w:r w:rsidRPr="00E371C2">
        <w:t>s Empowerment for Leadership Development (WELD), intenta colmar estas lagunas mediante actividades de divulgación y educación.</w:t>
      </w:r>
    </w:p>
    <w:p w14:paraId="26FECE81" w14:textId="77777777" w:rsidR="00C25ED5" w:rsidRPr="00125FA8" w:rsidRDefault="00C25ED5" w:rsidP="00C25ED5">
      <w:pPr>
        <w:pStyle w:val="SingleTxt"/>
        <w:spacing w:after="0" w:line="120" w:lineRule="exact"/>
        <w:rPr>
          <w:sz w:val="10"/>
        </w:rPr>
      </w:pPr>
    </w:p>
    <w:p w14:paraId="2A95E1C8" w14:textId="77777777" w:rsidR="00C25ED5" w:rsidRPr="00125FA8" w:rsidRDefault="00C25ED5" w:rsidP="00C25ED5">
      <w:pPr>
        <w:pStyle w:val="SingleTxt"/>
        <w:spacing w:after="0" w:line="120" w:lineRule="exact"/>
        <w:rPr>
          <w:sz w:val="10"/>
        </w:rPr>
      </w:pPr>
    </w:p>
    <w:p w14:paraId="5FEB5B16" w14:textId="77777777" w:rsidR="00E371C2" w:rsidRPr="00125FA8" w:rsidRDefault="00E371C2" w:rsidP="00C25E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Grupos desfavorecidos de mujeres</w:t>
      </w:r>
    </w:p>
    <w:p w14:paraId="7D62C22C" w14:textId="77777777" w:rsidR="00C25ED5" w:rsidRPr="00125FA8" w:rsidRDefault="00C25ED5" w:rsidP="00C25ED5">
      <w:pPr>
        <w:pStyle w:val="SingleTxt"/>
        <w:spacing w:after="0" w:line="120" w:lineRule="exact"/>
        <w:rPr>
          <w:sz w:val="10"/>
        </w:rPr>
      </w:pPr>
    </w:p>
    <w:p w14:paraId="1E9CE545" w14:textId="77777777" w:rsidR="00C25ED5" w:rsidRPr="00125FA8" w:rsidRDefault="00C25ED5" w:rsidP="00C25ED5">
      <w:pPr>
        <w:pStyle w:val="SingleTxt"/>
        <w:spacing w:after="0" w:line="120" w:lineRule="exact"/>
        <w:rPr>
          <w:sz w:val="10"/>
        </w:rPr>
      </w:pPr>
    </w:p>
    <w:p w14:paraId="63125520" w14:textId="02A81904" w:rsidR="00E371C2" w:rsidRPr="00125FA8" w:rsidRDefault="00E371C2" w:rsidP="00C25E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5FA8">
        <w:tab/>
      </w:r>
      <w:r w:rsidRPr="00125FA8">
        <w:tab/>
        <w:t>Respuesta al párrafo 21 a) y b)</w:t>
      </w:r>
      <w:bookmarkStart w:id="13" w:name="_Hlk196817634"/>
      <w:bookmarkEnd w:id="13"/>
    </w:p>
    <w:p w14:paraId="07226FA0" w14:textId="77777777" w:rsidR="00C25ED5" w:rsidRPr="00125FA8" w:rsidRDefault="00C25ED5" w:rsidP="00C25ED5">
      <w:pPr>
        <w:pStyle w:val="SingleTxt"/>
        <w:spacing w:after="0" w:line="120" w:lineRule="exact"/>
        <w:rPr>
          <w:b/>
          <w:sz w:val="10"/>
        </w:rPr>
      </w:pPr>
    </w:p>
    <w:p w14:paraId="3DED7EF7" w14:textId="77777777" w:rsidR="00C25ED5" w:rsidRPr="00125FA8" w:rsidRDefault="00C25ED5" w:rsidP="00C25ED5">
      <w:pPr>
        <w:pStyle w:val="SingleTxt"/>
        <w:spacing w:after="0" w:line="120" w:lineRule="exact"/>
        <w:rPr>
          <w:b/>
          <w:sz w:val="10"/>
        </w:rPr>
      </w:pPr>
    </w:p>
    <w:p w14:paraId="51588950" w14:textId="4F7E946E" w:rsidR="00E371C2" w:rsidRPr="00E371C2" w:rsidRDefault="00E371C2" w:rsidP="00C31315">
      <w:pPr>
        <w:pStyle w:val="SingleTxt"/>
        <w:numPr>
          <w:ilvl w:val="0"/>
          <w:numId w:val="26"/>
        </w:numPr>
        <w:ind w:left="1267"/>
      </w:pPr>
      <w:r w:rsidRPr="00E371C2">
        <w:t>No existen leyes integrales contra la discriminación que protejan a las mujeres lesbianas, bisexuales y transgénero y las personas intersexuales. A raíz de las actividades de promoción realizadas por grupos de defensa de los derechos de orientación sexual, identidad y expresión de género como LEGABIBO, se incluyó una recomendación en el proyecto de ley de reforma constitucional de 2023 que solo buscaba la protección constitucional de las personas intersexuales, pero que no fue aprobado por el Parlamento. Se especula que ello se debió a las protestas de grupos contrarios al movimiento de género, como la Alianza Evangélica de Botswana.</w:t>
      </w:r>
    </w:p>
    <w:p w14:paraId="4C988FFD" w14:textId="379D4D20" w:rsidR="00E371C2" w:rsidRPr="00E371C2" w:rsidRDefault="00E371C2" w:rsidP="00C31315">
      <w:pPr>
        <w:pStyle w:val="SingleTxt"/>
        <w:numPr>
          <w:ilvl w:val="0"/>
          <w:numId w:val="26"/>
        </w:numPr>
        <w:ind w:left="1267"/>
      </w:pPr>
      <w:bookmarkStart w:id="14" w:name="_Hlk194674682"/>
      <w:r w:rsidRPr="00E371C2">
        <w:t>En el 43</w:t>
      </w:r>
      <w:r w:rsidRPr="00E371C2">
        <w:rPr>
          <w:vertAlign w:val="superscript"/>
        </w:rPr>
        <w:t>er</w:t>
      </w:r>
      <w:r w:rsidRPr="00E371C2">
        <w:t xml:space="preserve"> examen periódico universal del Consejo de Derechos Humanos de las Naciones Unidas, se instó a Botswana a que reforzara la protección de los Pueblos Indígenas, salvaguardara sus derechos territoriales, impidiera los traslados forzosos y garantizara el acceso a una educación y unos servicios públicos de calidad. Una de las medidas para abordar las cuestiones de derechos humanos de los indígenas en Botswana es la creación de un Comité Interministerial para elaborar un marco de soluciones sostenibles a las cuestiones de derechos humanos a las que se enfrentan los indígenas basarwa, incluidos los de la reserva de caza del Kalahari Central.</w:t>
      </w:r>
      <w:bookmarkEnd w:id="14"/>
    </w:p>
    <w:p w14:paraId="13D8B328" w14:textId="7C10A33C" w:rsidR="00E371C2" w:rsidRPr="00E371C2" w:rsidRDefault="00E371C2" w:rsidP="00C31315">
      <w:pPr>
        <w:pStyle w:val="SingleTxt"/>
        <w:numPr>
          <w:ilvl w:val="0"/>
          <w:numId w:val="26"/>
        </w:numPr>
        <w:ind w:left="1267"/>
      </w:pPr>
      <w:r w:rsidRPr="00E371C2">
        <w:t>Las soluciones sostenibles deben atender las necesidades de las mujeres y las niñas indígenas, entre las que se incluyen cuestiones relacionadas con la discriminación en el acceso a la justicia y a los servicios básicos y los derechos territoriales. El Comité Interministerial está integrado por la Secretaria Permanente del Ministerio de Justicia y Servicios Penitenciarios, la Secretaria Permanente del Ministerio de Administración Local y Asuntos Tradicionales, el Secretario Permanente del Ministerio de Tierras y Agricultura, el Secretario Permanente del Ministerio de Medio Ambiente y Turismo, la Secretaria Permanente del Ministerio de Agua y Asentamientos Humanos, el Secretario Permanente del Ministerio de Transporte e Infraestructura, el Secretario Permanente del Ministerio de Bienestar Infantil y Educación Básica, el Consejero Jurídico, la Fiscal General o sus representantes y dos representantes de la comunidad basarwa.</w:t>
      </w:r>
      <w:bookmarkStart w:id="15" w:name="_Hlk194658006"/>
      <w:bookmarkStart w:id="16" w:name="_Hlk194658310"/>
      <w:bookmarkEnd w:id="15"/>
      <w:bookmarkEnd w:id="16"/>
    </w:p>
    <w:p w14:paraId="7B5DBBA0" w14:textId="46111142" w:rsidR="00E371C2" w:rsidRPr="00E371C2" w:rsidRDefault="00E371C2" w:rsidP="00C31315">
      <w:pPr>
        <w:pStyle w:val="SingleTxt"/>
        <w:numPr>
          <w:ilvl w:val="0"/>
          <w:numId w:val="26"/>
        </w:numPr>
        <w:ind w:left="1267"/>
      </w:pPr>
      <w:r w:rsidRPr="00E371C2">
        <w:t xml:space="preserve">En cuanto a la protección de los derechos de las personas lesbianas, gais, bisexuales, transgénero, intersexuales, queer y asexuales (LGBTIQA+), la Constitución de Botswana garantiza el derecho a la igualdad y a la no discriminación de todas las personas en el país. Tras la decisión histórica de 2021 en la causa del </w:t>
      </w:r>
      <w:r w:rsidRPr="00E371C2">
        <w:rPr>
          <w:i/>
          <w:iCs/>
        </w:rPr>
        <w:lastRenderedPageBreak/>
        <w:t>Fiscal General de Botswana contra Letsweletse Motshidiemang</w:t>
      </w:r>
      <w:r w:rsidRPr="00E371C2">
        <w:t xml:space="preserve"> (recurso civil núm</w:t>
      </w:r>
      <w:r w:rsidR="007905C1" w:rsidRPr="00E371C2">
        <w:t>.</w:t>
      </w:r>
      <w:r w:rsidR="007905C1">
        <w:t> </w:t>
      </w:r>
      <w:r w:rsidRPr="00E371C2">
        <w:t>CACGB 157-19), en la que el Tribunal de Apelación confirmó una sentencia del Tribunal Superior que despenalizaba las relaciones entre personas del mismo sexo, en el proyecto de ley de reforma constitucional de 2024 se introdujeron cláusulas de reforma constitucional para proteger contra la discriminación a las personas intersexuales y a las personas con discapacidad. Aunque los grupos cívicos han expresado su preocupación por el proceso de revisión constitucional en su conjunto, la protección que se propone para las personas intersexuales apunta a un impulso positivo hacia una mejor protección de la comunidad LGBTQI+ en Botswana.</w:t>
      </w:r>
      <w:bookmarkStart w:id="17" w:name="_Hlk194659034"/>
      <w:bookmarkEnd w:id="17"/>
    </w:p>
    <w:p w14:paraId="55F3EEDF" w14:textId="4EDB0D28" w:rsidR="00E371C2" w:rsidRPr="00170EBE" w:rsidRDefault="00E371C2" w:rsidP="00C31315">
      <w:pPr>
        <w:pStyle w:val="SingleTxt"/>
        <w:numPr>
          <w:ilvl w:val="0"/>
          <w:numId w:val="26"/>
        </w:numPr>
        <w:ind w:left="1267"/>
        <w:rPr>
          <w:spacing w:val="6"/>
        </w:rPr>
      </w:pPr>
      <w:r w:rsidRPr="00170EBE">
        <w:rPr>
          <w:spacing w:val="6"/>
        </w:rPr>
        <w:t xml:space="preserve">Además, desde que el Tribunal de Apelación en la célebre causa del </w:t>
      </w:r>
      <w:r w:rsidRPr="00170EBE">
        <w:rPr>
          <w:i/>
          <w:iCs/>
          <w:spacing w:val="6"/>
        </w:rPr>
        <w:t>Fiscal General de Botswana contra Letsweletse Motshidiemang y otro</w:t>
      </w:r>
      <w:r w:rsidRPr="00170EBE">
        <w:rPr>
          <w:spacing w:val="6"/>
        </w:rPr>
        <w:t xml:space="preserve"> declaró inconstitucional el artículo 164 a) y c) del Código Penal, se presentó en el Parlamento el proyecto de ley núm. 29 de 2022 de reforma del Código Penal, con el objetivo de suprimir ese artículo. El proyecto de ley se aplazó para permitir un examen intensivo de la revisión constitucional teniendo en cuenta las cuestiones planteadas al respecto a nivel ministerial. El Gobierno trata de cerciorarse de que se han tenido en cuenta las opiniones y preocupaciones de todas las partes interesadas en la interpretación de la Constitución y de que las disposiciones de la Ley de Revisión de la Legislación se han examinado a fondo y han quedado claras. Un tema central es la separación de poderes. Las cuestiones constitucionales que se han planteado en el Gobierno se refieren al artículo 86 de la Constitución, interpretado en relación con el artículo 87 y la Ley de Interpretación. Por otra parte, Lesbianas, Gais y Bisexuales de Botswana (LEGABIBO) ha solicitado que el Gobierno retire el proyecto de ley basándose en que, cuando un tribunal de justicia ha anulado las disposiciones de una ley, el Parlamento no está facultado constitucionalmente para debatir sobre la supresión o no de dichas disposiciones.</w:t>
      </w:r>
    </w:p>
    <w:p w14:paraId="20A34F8E" w14:textId="44949E2F" w:rsidR="00AC55FE" w:rsidRPr="00125FA8" w:rsidRDefault="00E371C2" w:rsidP="00C31315">
      <w:pPr>
        <w:pStyle w:val="SingleTxt"/>
        <w:numPr>
          <w:ilvl w:val="0"/>
          <w:numId w:val="26"/>
        </w:numPr>
        <w:ind w:left="1267"/>
      </w:pPr>
      <w:r w:rsidRPr="00125FA8">
        <w:t>Existe la oportunidad de resolver las cuestiones constitucionales planteadas en este asunto, ya que hay voluntad política. El Gobierno de Botswana ha declarado por medio de su Presidente, el jurista Gideon Duma Boko, que ha adoptado el enfoque del desarrollo basado en los derechos humanos, que sitúa los derechos humanos en el centro del desarrollo. Se trata uno de los puntos fuertes del sistema de derechos humanos de Botswana.</w:t>
      </w:r>
    </w:p>
    <w:p w14:paraId="03026519" w14:textId="77777777" w:rsidR="00A46AB1" w:rsidRPr="00EE18F4" w:rsidRDefault="00A46AB1" w:rsidP="00490AFA">
      <w:pPr>
        <w:pStyle w:val="SingleTxt"/>
        <w:rPr>
          <w:bCs/>
        </w:rPr>
      </w:pPr>
      <w:r w:rsidRPr="00EE18F4">
        <w:rPr>
          <w:bCs/>
        </w:rPr>
        <w:t>[…]</w:t>
      </w:r>
    </w:p>
    <w:p w14:paraId="2862BD60" w14:textId="26BEDBC9" w:rsidR="00AC55FE" w:rsidRPr="00125FA8" w:rsidRDefault="00E371C2" w:rsidP="00490AFA">
      <w:pPr>
        <w:pStyle w:val="SingleTxt"/>
      </w:pPr>
      <w:r w:rsidRPr="00125FA8">
        <w:rPr>
          <w:noProof/>
          <w:w w:val="100"/>
        </w:rPr>
        <mc:AlternateContent>
          <mc:Choice Requires="wps">
            <w:drawing>
              <wp:anchor distT="0" distB="0" distL="114300" distR="114300" simplePos="0" relativeHeight="251660288" behindDoc="0" locked="0" layoutInCell="1" allowOverlap="1" wp14:anchorId="32E88470" wp14:editId="1ECE1163">
                <wp:simplePos x="0" y="0"/>
                <wp:positionH relativeFrom="column">
                  <wp:posOffset>2669540</wp:posOffset>
                </wp:positionH>
                <wp:positionV relativeFrom="paragraph">
                  <wp:posOffset>304800</wp:posOffset>
                </wp:positionV>
                <wp:extent cx="914400" cy="0"/>
                <wp:effectExtent l="0" t="0" r="0" b="0"/>
                <wp:wrapNone/>
                <wp:docPr id="161437126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5AFF8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C55FE" w:rsidRPr="00125FA8" w:rsidSect="0036019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11T10:06:00Z" w:initials="Start">
    <w:p w14:paraId="4BA400B8" w14:textId="77777777" w:rsidR="00555166" w:rsidRDefault="00555166">
      <w:pPr>
        <w:pStyle w:val="CommentText"/>
      </w:pPr>
      <w:r>
        <w:rPr>
          <w:rStyle w:val="CommentReference"/>
        </w:rPr>
        <w:annotationRef/>
      </w:r>
      <w:r>
        <w:t>&lt;&lt;ODS JOB NO&gt;&gt;N2512546S&lt;&lt;ODS JOB NO&gt;&gt;</w:t>
      </w:r>
    </w:p>
    <w:p w14:paraId="722655C9" w14:textId="77777777" w:rsidR="00555166" w:rsidRDefault="00555166">
      <w:pPr>
        <w:pStyle w:val="CommentText"/>
      </w:pPr>
      <w:r>
        <w:t>&lt;&lt;ODS DOC SYMBOL1&gt;&gt;CEDAW/C/BWA/RQ/5&lt;&lt;ODS DOC SYMBOL1&gt;&gt;</w:t>
      </w:r>
    </w:p>
    <w:p w14:paraId="065133C2" w14:textId="43B5EC97" w:rsidR="00555166" w:rsidRDefault="0055516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65133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6F98A8" w16cex:dateUtc="2025-06-11T14: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5133C2" w16cid:durableId="5A6F98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6E153" w14:textId="77777777" w:rsidR="00FF7FDF" w:rsidRDefault="00FF7FDF" w:rsidP="00331D20">
      <w:r>
        <w:separator/>
      </w:r>
    </w:p>
  </w:endnote>
  <w:endnote w:type="continuationSeparator" w:id="0">
    <w:p w14:paraId="771708A5" w14:textId="77777777" w:rsidR="00FF7FDF" w:rsidRDefault="00FF7FD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55166" w14:paraId="3475EC6F" w14:textId="77777777" w:rsidTr="00555166">
      <w:tc>
        <w:tcPr>
          <w:tcW w:w="4920" w:type="dxa"/>
          <w:shd w:val="clear" w:color="auto" w:fill="auto"/>
          <w:vAlign w:val="bottom"/>
        </w:tcPr>
        <w:p w14:paraId="41D66623" w14:textId="5E2BC15E" w:rsidR="00555166" w:rsidRPr="00555166" w:rsidRDefault="00555166" w:rsidP="0055516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919238E" w14:textId="56FADB7A" w:rsidR="00555166" w:rsidRPr="00555166" w:rsidRDefault="00555166" w:rsidP="0055516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51A6F">
            <w:rPr>
              <w:b w:val="0"/>
              <w:color w:val="000000"/>
              <w:sz w:val="14"/>
            </w:rPr>
            <w:t>25-06699</w:t>
          </w:r>
          <w:r>
            <w:rPr>
              <w:b w:val="0"/>
              <w:color w:val="000000"/>
              <w:sz w:val="14"/>
            </w:rPr>
            <w:fldChar w:fldCharType="end"/>
          </w:r>
        </w:p>
      </w:tc>
    </w:tr>
  </w:tbl>
  <w:p w14:paraId="2144C651" w14:textId="77777777" w:rsidR="00555166" w:rsidRPr="00555166" w:rsidRDefault="00555166" w:rsidP="005551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55166" w14:paraId="661CE7A9" w14:textId="77777777" w:rsidTr="00555166">
      <w:tc>
        <w:tcPr>
          <w:tcW w:w="4920" w:type="dxa"/>
          <w:shd w:val="clear" w:color="auto" w:fill="auto"/>
          <w:vAlign w:val="bottom"/>
        </w:tcPr>
        <w:p w14:paraId="2E068A5F" w14:textId="7B6BF407" w:rsidR="00555166" w:rsidRPr="00555166" w:rsidRDefault="00555166" w:rsidP="0055516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51A6F">
            <w:rPr>
              <w:b w:val="0"/>
              <w:color w:val="000000"/>
              <w:sz w:val="14"/>
            </w:rPr>
            <w:t>25-06699</w:t>
          </w:r>
          <w:r>
            <w:rPr>
              <w:b w:val="0"/>
              <w:color w:val="000000"/>
              <w:sz w:val="14"/>
            </w:rPr>
            <w:fldChar w:fldCharType="end"/>
          </w:r>
        </w:p>
      </w:tc>
      <w:tc>
        <w:tcPr>
          <w:tcW w:w="4920" w:type="dxa"/>
          <w:shd w:val="clear" w:color="auto" w:fill="auto"/>
          <w:vAlign w:val="bottom"/>
        </w:tcPr>
        <w:p w14:paraId="4BF7379A" w14:textId="47A4ACB8" w:rsidR="00555166" w:rsidRPr="00555166" w:rsidRDefault="00555166" w:rsidP="0055516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B32A121" w14:textId="77777777" w:rsidR="00555166" w:rsidRPr="00555166" w:rsidRDefault="00555166" w:rsidP="005551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76334" w14:textId="0B6C68F2" w:rsidR="00555166" w:rsidRPr="00555166" w:rsidRDefault="00555166" w:rsidP="00555166">
    <w:pPr>
      <w:pStyle w:val="Footer"/>
      <w:spacing w:line="120" w:lineRule="exact"/>
      <w:rPr>
        <w:b w:val="0"/>
        <w:sz w:val="10"/>
      </w:rPr>
    </w:pPr>
    <w:r>
      <w:rPr>
        <w:b w:val="0"/>
        <w:sz w:val="10"/>
      </w:rPr>
      <w:drawing>
        <wp:anchor distT="0" distB="0" distL="114300" distR="114300" simplePos="0" relativeHeight="251658240" behindDoc="0" locked="0" layoutInCell="1" allowOverlap="1" wp14:anchorId="7F518D8D" wp14:editId="7B159710">
          <wp:simplePos x="0" y="0"/>
          <wp:positionH relativeFrom="column">
            <wp:posOffset>5568315</wp:posOffset>
          </wp:positionH>
          <wp:positionV relativeFrom="paragraph">
            <wp:posOffset>-283210</wp:posOffset>
          </wp:positionV>
          <wp:extent cx="694690" cy="694690"/>
          <wp:effectExtent l="0" t="0" r="0" b="0"/>
          <wp:wrapNone/>
          <wp:docPr id="6207804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55166" w14:paraId="014F8A32" w14:textId="77777777" w:rsidTr="00555166">
      <w:tc>
        <w:tcPr>
          <w:tcW w:w="3830" w:type="dxa"/>
          <w:shd w:val="clear" w:color="auto" w:fill="auto"/>
        </w:tcPr>
        <w:p w14:paraId="7EE9E8CC" w14:textId="168BD1A6" w:rsidR="00555166" w:rsidRDefault="00555166" w:rsidP="00555166">
          <w:pPr>
            <w:pStyle w:val="ReleaseDate"/>
          </w:pPr>
          <w:r>
            <w:t xml:space="preserve">25-06699 (S)    </w:t>
          </w:r>
          <w:r w:rsidR="00360199">
            <w:t>30</w:t>
          </w:r>
          <w:r>
            <w:t>0</w:t>
          </w:r>
          <w:r w:rsidR="00360199">
            <w:t>5</w:t>
          </w:r>
          <w:r>
            <w:t>25    1</w:t>
          </w:r>
          <w:r w:rsidR="00360199">
            <w:t>2</w:t>
          </w:r>
          <w:r>
            <w:t>0625</w:t>
          </w:r>
        </w:p>
        <w:p w14:paraId="51D3BD1A" w14:textId="6E94D0A5" w:rsidR="00555166" w:rsidRPr="00555166" w:rsidRDefault="00555166" w:rsidP="0055516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*2506699*</w:t>
          </w:r>
        </w:p>
      </w:tc>
      <w:tc>
        <w:tcPr>
          <w:tcW w:w="4920" w:type="dxa"/>
          <w:shd w:val="clear" w:color="auto" w:fill="auto"/>
          <w:vAlign w:val="bottom"/>
        </w:tcPr>
        <w:p w14:paraId="430A6849" w14:textId="6E1B699B" w:rsidR="00555166" w:rsidRDefault="00555166" w:rsidP="00555166">
          <w:pPr>
            <w:pStyle w:val="Footer"/>
            <w:ind w:right="115"/>
            <w:jc w:val="right"/>
            <w:rPr>
              <w:b w:val="0"/>
              <w:sz w:val="20"/>
            </w:rPr>
          </w:pPr>
          <w:r>
            <w:rPr>
              <w:b w:val="0"/>
              <w:sz w:val="20"/>
            </w:rPr>
            <w:drawing>
              <wp:inline distT="0" distB="0" distL="0" distR="0" wp14:anchorId="2CAF48A9" wp14:editId="03D2B71A">
                <wp:extent cx="1082042" cy="231648"/>
                <wp:effectExtent l="0" t="0" r="3810" b="0"/>
                <wp:docPr id="417677625" name="Picture 2"/>
                <wp:cNvGraphicFramePr/>
                <a:graphic xmlns:a="http://schemas.openxmlformats.org/drawingml/2006/main">
                  <a:graphicData uri="http://schemas.openxmlformats.org/drawingml/2006/picture">
                    <pic:pic xmlns:pic="http://schemas.openxmlformats.org/drawingml/2006/picture">
                      <pic:nvPicPr>
                        <pic:cNvPr id="41767762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BDBD9C3" w14:textId="77777777" w:rsidR="00555166" w:rsidRPr="00555166" w:rsidRDefault="00555166" w:rsidP="0055516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FA6AC" w14:textId="19F3749F" w:rsidR="00FF7FDF" w:rsidRPr="00734F3B" w:rsidRDefault="00734F3B" w:rsidP="00734F3B">
      <w:pPr>
        <w:pStyle w:val="Footer"/>
        <w:spacing w:after="80"/>
        <w:ind w:left="792"/>
        <w:rPr>
          <w:sz w:val="16"/>
        </w:rPr>
      </w:pPr>
      <w:r w:rsidRPr="00734F3B">
        <w:rPr>
          <w:sz w:val="16"/>
        </w:rPr>
        <w:t>__________________</w:t>
      </w:r>
    </w:p>
  </w:footnote>
  <w:footnote w:type="continuationSeparator" w:id="0">
    <w:p w14:paraId="06D209BB" w14:textId="0DE1214F" w:rsidR="00FF7FDF" w:rsidRPr="00734F3B" w:rsidRDefault="00734F3B" w:rsidP="00734F3B">
      <w:pPr>
        <w:pStyle w:val="Footer"/>
        <w:spacing w:after="80"/>
        <w:ind w:left="792"/>
        <w:rPr>
          <w:sz w:val="16"/>
        </w:rPr>
      </w:pPr>
      <w:r w:rsidRPr="00734F3B">
        <w:rPr>
          <w:sz w:val="16"/>
        </w:rPr>
        <w:t>__________________</w:t>
      </w:r>
    </w:p>
  </w:footnote>
  <w:footnote w:id="1">
    <w:p w14:paraId="7FA33F9A" w14:textId="3A13D654" w:rsidR="00E371C2" w:rsidRPr="006B366C" w:rsidRDefault="00E371C2" w:rsidP="00E25E4B">
      <w:pPr>
        <w:pStyle w:val="FootnoteText"/>
        <w:tabs>
          <w:tab w:val="clear" w:pos="418"/>
          <w:tab w:val="right" w:pos="1195"/>
          <w:tab w:val="left" w:pos="1267"/>
          <w:tab w:val="left" w:pos="1742"/>
          <w:tab w:val="left" w:pos="2218"/>
          <w:tab w:val="left" w:pos="2693"/>
        </w:tabs>
        <w:ind w:left="1267" w:right="1267" w:hanging="432"/>
      </w:pPr>
      <w:r w:rsidRPr="00607E1A">
        <w:tab/>
      </w:r>
      <w:r>
        <w:rPr>
          <w:rStyle w:val="FootnoteReference"/>
        </w:rPr>
        <w:footnoteRef/>
      </w:r>
      <w:r>
        <w:tab/>
        <w:t xml:space="preserve">Fuente: </w:t>
      </w:r>
      <w:hyperlink r:id="rId1" w:history="1">
        <w:r w:rsidR="00734F3B" w:rsidRPr="00662541">
          <w:rPr>
            <w:rStyle w:val="Hyperlink"/>
          </w:rPr>
          <w:t>https://bcd.org.bw/access-disability-services/</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5166" w14:paraId="5643EF82" w14:textId="77777777" w:rsidTr="00555166">
      <w:trPr>
        <w:trHeight w:hRule="exact" w:val="864"/>
      </w:trPr>
      <w:tc>
        <w:tcPr>
          <w:tcW w:w="4920" w:type="dxa"/>
          <w:shd w:val="clear" w:color="auto" w:fill="auto"/>
          <w:vAlign w:val="bottom"/>
        </w:tcPr>
        <w:p w14:paraId="593071DA" w14:textId="1B6E6F43" w:rsidR="00555166" w:rsidRPr="00555166" w:rsidRDefault="00555166" w:rsidP="00555166">
          <w:pPr>
            <w:pStyle w:val="Header"/>
            <w:spacing w:after="80"/>
            <w:rPr>
              <w:b/>
            </w:rPr>
          </w:pPr>
          <w:r>
            <w:rPr>
              <w:b/>
            </w:rPr>
            <w:fldChar w:fldCharType="begin"/>
          </w:r>
          <w:r>
            <w:rPr>
              <w:b/>
            </w:rPr>
            <w:instrText xml:space="preserve"> DOCVARIABLE "Symbol1" \* MERGEFORMAT </w:instrText>
          </w:r>
          <w:r>
            <w:rPr>
              <w:b/>
            </w:rPr>
            <w:fldChar w:fldCharType="separate"/>
          </w:r>
          <w:r w:rsidR="00E51A6F">
            <w:rPr>
              <w:b/>
            </w:rPr>
            <w:t>CEDAW/C/BWA/RQ/5</w:t>
          </w:r>
          <w:r>
            <w:rPr>
              <w:b/>
            </w:rPr>
            <w:fldChar w:fldCharType="end"/>
          </w:r>
        </w:p>
      </w:tc>
      <w:tc>
        <w:tcPr>
          <w:tcW w:w="4920" w:type="dxa"/>
          <w:shd w:val="clear" w:color="auto" w:fill="auto"/>
          <w:vAlign w:val="bottom"/>
        </w:tcPr>
        <w:p w14:paraId="328C952F" w14:textId="77777777" w:rsidR="00555166" w:rsidRDefault="00555166" w:rsidP="00555166">
          <w:pPr>
            <w:pStyle w:val="Header"/>
          </w:pPr>
        </w:p>
      </w:tc>
    </w:tr>
  </w:tbl>
  <w:p w14:paraId="1E660C56" w14:textId="77777777" w:rsidR="00555166" w:rsidRPr="00555166" w:rsidRDefault="00555166" w:rsidP="005551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5166" w14:paraId="60476242" w14:textId="77777777" w:rsidTr="00555166">
      <w:trPr>
        <w:trHeight w:hRule="exact" w:val="864"/>
      </w:trPr>
      <w:tc>
        <w:tcPr>
          <w:tcW w:w="4920" w:type="dxa"/>
          <w:shd w:val="clear" w:color="auto" w:fill="auto"/>
          <w:vAlign w:val="bottom"/>
        </w:tcPr>
        <w:p w14:paraId="7F3875FC" w14:textId="77777777" w:rsidR="00555166" w:rsidRDefault="00555166" w:rsidP="00555166">
          <w:pPr>
            <w:pStyle w:val="Header"/>
          </w:pPr>
        </w:p>
      </w:tc>
      <w:tc>
        <w:tcPr>
          <w:tcW w:w="4920" w:type="dxa"/>
          <w:shd w:val="clear" w:color="auto" w:fill="auto"/>
          <w:vAlign w:val="bottom"/>
        </w:tcPr>
        <w:p w14:paraId="34133790" w14:textId="355E7103" w:rsidR="00555166" w:rsidRPr="00555166" w:rsidRDefault="00555166" w:rsidP="00555166">
          <w:pPr>
            <w:pStyle w:val="Header"/>
            <w:spacing w:after="80"/>
            <w:jc w:val="right"/>
            <w:rPr>
              <w:b/>
            </w:rPr>
          </w:pPr>
          <w:r>
            <w:rPr>
              <w:b/>
            </w:rPr>
            <w:fldChar w:fldCharType="begin"/>
          </w:r>
          <w:r>
            <w:rPr>
              <w:b/>
            </w:rPr>
            <w:instrText xml:space="preserve"> DOCVARIABLE "Symbol1" \* MERGEFORMAT </w:instrText>
          </w:r>
          <w:r>
            <w:rPr>
              <w:b/>
            </w:rPr>
            <w:fldChar w:fldCharType="separate"/>
          </w:r>
          <w:r w:rsidR="00E51A6F">
            <w:rPr>
              <w:b/>
            </w:rPr>
            <w:t>CEDAW/C/BWA/RQ/5</w:t>
          </w:r>
          <w:r>
            <w:rPr>
              <w:b/>
            </w:rPr>
            <w:fldChar w:fldCharType="end"/>
          </w:r>
        </w:p>
      </w:tc>
    </w:tr>
  </w:tbl>
  <w:p w14:paraId="2C101366" w14:textId="77777777" w:rsidR="00555166" w:rsidRPr="00555166" w:rsidRDefault="00555166" w:rsidP="005551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55166" w14:paraId="01AD12AE" w14:textId="77777777" w:rsidTr="00555166">
      <w:trPr>
        <w:gridAfter w:val="1"/>
        <w:wAfter w:w="15" w:type="dxa"/>
        <w:trHeight w:hRule="exact" w:val="864"/>
      </w:trPr>
      <w:tc>
        <w:tcPr>
          <w:tcW w:w="1267" w:type="dxa"/>
          <w:tcBorders>
            <w:bottom w:val="single" w:sz="4" w:space="0" w:color="auto"/>
          </w:tcBorders>
          <w:shd w:val="clear" w:color="auto" w:fill="auto"/>
          <w:vAlign w:val="bottom"/>
        </w:tcPr>
        <w:p w14:paraId="4136AF4E" w14:textId="77777777" w:rsidR="00555166" w:rsidRDefault="00555166" w:rsidP="00555166">
          <w:pPr>
            <w:pStyle w:val="Header"/>
            <w:spacing w:after="120"/>
          </w:pPr>
        </w:p>
      </w:tc>
      <w:tc>
        <w:tcPr>
          <w:tcW w:w="2059" w:type="dxa"/>
          <w:tcBorders>
            <w:bottom w:val="single" w:sz="4" w:space="0" w:color="auto"/>
          </w:tcBorders>
          <w:shd w:val="clear" w:color="auto" w:fill="auto"/>
          <w:vAlign w:val="bottom"/>
        </w:tcPr>
        <w:p w14:paraId="69F027F6" w14:textId="41857E5B" w:rsidR="00555166" w:rsidRPr="00555166" w:rsidRDefault="00555166" w:rsidP="0055516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D3A0666" w14:textId="77777777" w:rsidR="00555166" w:rsidRDefault="00555166" w:rsidP="00555166">
          <w:pPr>
            <w:pStyle w:val="Header"/>
            <w:spacing w:after="120"/>
          </w:pPr>
        </w:p>
      </w:tc>
      <w:tc>
        <w:tcPr>
          <w:tcW w:w="6480" w:type="dxa"/>
          <w:gridSpan w:val="3"/>
          <w:tcBorders>
            <w:bottom w:val="single" w:sz="4" w:space="0" w:color="auto"/>
          </w:tcBorders>
          <w:shd w:val="clear" w:color="auto" w:fill="auto"/>
          <w:vAlign w:val="bottom"/>
        </w:tcPr>
        <w:p w14:paraId="76143E75" w14:textId="66148BD1" w:rsidR="00555166" w:rsidRPr="00555166" w:rsidRDefault="00555166" w:rsidP="00555166">
          <w:pPr>
            <w:spacing w:after="80" w:line="240" w:lineRule="auto"/>
            <w:jc w:val="right"/>
            <w:rPr>
              <w:position w:val="-4"/>
            </w:rPr>
          </w:pPr>
          <w:r>
            <w:rPr>
              <w:position w:val="-4"/>
              <w:sz w:val="40"/>
            </w:rPr>
            <w:t>CEDAW</w:t>
          </w:r>
          <w:r>
            <w:rPr>
              <w:position w:val="-4"/>
            </w:rPr>
            <w:t>/C/BWA/RQ/5</w:t>
          </w:r>
        </w:p>
      </w:tc>
    </w:tr>
    <w:tr w:rsidR="00555166" w:rsidRPr="00555166" w14:paraId="3102550C" w14:textId="77777777" w:rsidTr="00555166">
      <w:trPr>
        <w:trHeight w:hRule="exact" w:val="2880"/>
      </w:trPr>
      <w:tc>
        <w:tcPr>
          <w:tcW w:w="1267" w:type="dxa"/>
          <w:tcBorders>
            <w:top w:val="single" w:sz="4" w:space="0" w:color="auto"/>
            <w:bottom w:val="single" w:sz="12" w:space="0" w:color="auto"/>
          </w:tcBorders>
          <w:shd w:val="clear" w:color="auto" w:fill="auto"/>
        </w:tcPr>
        <w:p w14:paraId="67B26092" w14:textId="0DCABC43" w:rsidR="00555166" w:rsidRPr="00555166" w:rsidRDefault="00555166" w:rsidP="00555166">
          <w:pPr>
            <w:pStyle w:val="Header"/>
            <w:spacing w:before="120"/>
            <w:jc w:val="center"/>
          </w:pPr>
          <w:r>
            <w:t xml:space="preserve"> </w:t>
          </w:r>
          <w:r>
            <w:drawing>
              <wp:inline distT="0" distB="0" distL="0" distR="0" wp14:anchorId="35A51A00" wp14:editId="7758A3A5">
                <wp:extent cx="713232" cy="597103"/>
                <wp:effectExtent l="0" t="0" r="0" b="0"/>
                <wp:docPr id="235885753" name="Picture 1"/>
                <wp:cNvGraphicFramePr/>
                <a:graphic xmlns:a="http://schemas.openxmlformats.org/drawingml/2006/main">
                  <a:graphicData uri="http://schemas.openxmlformats.org/drawingml/2006/picture">
                    <pic:pic xmlns:pic="http://schemas.openxmlformats.org/drawingml/2006/picture">
                      <pic:nvPicPr>
                        <pic:cNvPr id="23588575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2FA632" w14:textId="1E8AD8DF" w:rsidR="00555166" w:rsidRPr="00555166" w:rsidRDefault="00555166" w:rsidP="0055516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C079EE2" w14:textId="77777777" w:rsidR="00555166" w:rsidRPr="00360199" w:rsidRDefault="00555166" w:rsidP="00555166">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45A4CDA1" w14:textId="77777777" w:rsidR="00555166" w:rsidRDefault="00555166" w:rsidP="00555166">
          <w:pPr>
            <w:pStyle w:val="Distribution"/>
            <w:spacing w:before="240"/>
          </w:pPr>
          <w:r>
            <w:t>Distr. general</w:t>
          </w:r>
        </w:p>
        <w:p w14:paraId="39CA95B7" w14:textId="77777777" w:rsidR="00555166" w:rsidRDefault="00555166" w:rsidP="00555166">
          <w:pPr>
            <w:pStyle w:val="Publication"/>
          </w:pPr>
          <w:r>
            <w:t>13 de mayo de 2025</w:t>
          </w:r>
        </w:p>
        <w:p w14:paraId="697238A6" w14:textId="77777777" w:rsidR="00555166" w:rsidRDefault="00555166" w:rsidP="00555166">
          <w:r>
            <w:t>Español</w:t>
          </w:r>
        </w:p>
        <w:p w14:paraId="058F1451" w14:textId="77777777" w:rsidR="00555166" w:rsidRDefault="00555166" w:rsidP="00555166">
          <w:pPr>
            <w:pStyle w:val="Original"/>
          </w:pPr>
          <w:r>
            <w:t>Original: inglés</w:t>
          </w:r>
        </w:p>
        <w:p w14:paraId="2AE7F2BA" w14:textId="77777777" w:rsidR="00816E4C" w:rsidRPr="00816E4C" w:rsidRDefault="00816E4C" w:rsidP="00816E4C">
          <w:pPr>
            <w:spacing w:line="120" w:lineRule="exact"/>
            <w:rPr>
              <w:sz w:val="10"/>
            </w:rPr>
          </w:pPr>
        </w:p>
        <w:p w14:paraId="2B673253" w14:textId="7ADA7C85" w:rsidR="00555166" w:rsidRPr="00555166" w:rsidRDefault="00360199" w:rsidP="00360199">
          <w:r w:rsidRPr="00360199">
            <w:t>Español, francés e inglés únicamente</w:t>
          </w:r>
        </w:p>
      </w:tc>
    </w:tr>
  </w:tbl>
  <w:p w14:paraId="5BA12105" w14:textId="77777777" w:rsidR="00555166" w:rsidRPr="00360199" w:rsidRDefault="00555166" w:rsidP="00555166">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9865304"/>
    <w:multiLevelType w:val="hybridMultilevel"/>
    <w:tmpl w:val="A8007494"/>
    <w:lvl w:ilvl="0" w:tplc="FC9EE4E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B2019AB"/>
    <w:multiLevelType w:val="singleLevel"/>
    <w:tmpl w:val="C0866FD6"/>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91305796">
    <w:abstractNumId w:val="7"/>
  </w:num>
  <w:num w:numId="27" w16cid:durableId="537471795">
    <w:abstractNumId w:val="5"/>
  </w:num>
  <w:num w:numId="28" w16cid:durableId="797257180">
    <w:abstractNumId w:val="7"/>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506699*"/>
    <w:docVar w:name="CreationDt" w:val="11/06/2025 10:06 AM"/>
    <w:docVar w:name="DocCategory" w:val="Doc"/>
    <w:docVar w:name="DocType" w:val="Final"/>
    <w:docVar w:name="DutyStation" w:val="New York"/>
    <w:docVar w:name="FooterJN" w:val="25-06699"/>
    <w:docVar w:name="jobn" w:val="25-06699 (S)"/>
    <w:docVar w:name="jobnDT" w:val="25-06699 (S)   110625"/>
    <w:docVar w:name="jobnDTDT" w:val="25-06699 (S)   110625   110625"/>
    <w:docVar w:name="JobNo" w:val="2506699S"/>
    <w:docVar w:name="JobNo2" w:val="251254610:06 AM"/>
    <w:docVar w:name="LocalDrive" w:val="-1"/>
    <w:docVar w:name="OandT" w:val="Angela Plefka/Luis Barrionuevo"/>
    <w:docVar w:name="Session1" w:val="91er período de sesiones_x000d_"/>
    <w:docVar w:name="sss1" w:val="CEDAW/C/BWA/RQ/5"/>
    <w:docVar w:name="sss2" w:val="-"/>
    <w:docVar w:name="Symbol1" w:val="CEDAW/C/BWA/RQ/5"/>
    <w:docVar w:name="Symbol2" w:val="-"/>
    <w:docVar w:name="Title1" w:val="_x0009__x0009_Respuestas de Botswana a la lista de cuestiones y preguntas relativa a su quinto informe periódico*, **,***_x000d_"/>
  </w:docVars>
  <w:rsids>
    <w:rsidRoot w:val="00FF7FDF"/>
    <w:rsid w:val="00001169"/>
    <w:rsid w:val="00001967"/>
    <w:rsid w:val="000073BB"/>
    <w:rsid w:val="00021387"/>
    <w:rsid w:val="00022D9F"/>
    <w:rsid w:val="000241EA"/>
    <w:rsid w:val="00044FD7"/>
    <w:rsid w:val="0005308A"/>
    <w:rsid w:val="000608D0"/>
    <w:rsid w:val="00082A9D"/>
    <w:rsid w:val="00084DCC"/>
    <w:rsid w:val="00087F07"/>
    <w:rsid w:val="00093054"/>
    <w:rsid w:val="000951A1"/>
    <w:rsid w:val="000B1600"/>
    <w:rsid w:val="000B7727"/>
    <w:rsid w:val="000E38C5"/>
    <w:rsid w:val="000F4565"/>
    <w:rsid w:val="000F4C4F"/>
    <w:rsid w:val="00105618"/>
    <w:rsid w:val="00111C02"/>
    <w:rsid w:val="00113CAD"/>
    <w:rsid w:val="0011620C"/>
    <w:rsid w:val="00116C5B"/>
    <w:rsid w:val="00122AB0"/>
    <w:rsid w:val="00125FA8"/>
    <w:rsid w:val="001325B0"/>
    <w:rsid w:val="00135723"/>
    <w:rsid w:val="00137267"/>
    <w:rsid w:val="001377A2"/>
    <w:rsid w:val="00143413"/>
    <w:rsid w:val="00151F81"/>
    <w:rsid w:val="0015367C"/>
    <w:rsid w:val="00157185"/>
    <w:rsid w:val="00163757"/>
    <w:rsid w:val="00170EBE"/>
    <w:rsid w:val="00171CBC"/>
    <w:rsid w:val="00171CDD"/>
    <w:rsid w:val="00176D37"/>
    <w:rsid w:val="001774F7"/>
    <w:rsid w:val="0018008C"/>
    <w:rsid w:val="00184146"/>
    <w:rsid w:val="00195ACE"/>
    <w:rsid w:val="001978D5"/>
    <w:rsid w:val="001A5F12"/>
    <w:rsid w:val="001B13B6"/>
    <w:rsid w:val="001B6141"/>
    <w:rsid w:val="001B70F6"/>
    <w:rsid w:val="001D08A7"/>
    <w:rsid w:val="001E6191"/>
    <w:rsid w:val="002014F6"/>
    <w:rsid w:val="0021429D"/>
    <w:rsid w:val="00214DB3"/>
    <w:rsid w:val="00227296"/>
    <w:rsid w:val="00240DEA"/>
    <w:rsid w:val="002459AF"/>
    <w:rsid w:val="00247400"/>
    <w:rsid w:val="00255111"/>
    <w:rsid w:val="00255D0E"/>
    <w:rsid w:val="002646E2"/>
    <w:rsid w:val="0026749A"/>
    <w:rsid w:val="002709CF"/>
    <w:rsid w:val="0027492E"/>
    <w:rsid w:val="002765F4"/>
    <w:rsid w:val="002869EE"/>
    <w:rsid w:val="00290D8A"/>
    <w:rsid w:val="002A2EA6"/>
    <w:rsid w:val="002A5FD3"/>
    <w:rsid w:val="002B649D"/>
    <w:rsid w:val="002C24BE"/>
    <w:rsid w:val="002D52EE"/>
    <w:rsid w:val="002D7B75"/>
    <w:rsid w:val="002F5867"/>
    <w:rsid w:val="00303D1A"/>
    <w:rsid w:val="00331D20"/>
    <w:rsid w:val="0033478A"/>
    <w:rsid w:val="00337C88"/>
    <w:rsid w:val="00360199"/>
    <w:rsid w:val="00365FD7"/>
    <w:rsid w:val="00367395"/>
    <w:rsid w:val="003676F6"/>
    <w:rsid w:val="00374D27"/>
    <w:rsid w:val="003A5360"/>
    <w:rsid w:val="003A582E"/>
    <w:rsid w:val="003B4B46"/>
    <w:rsid w:val="003D30F4"/>
    <w:rsid w:val="003E5E54"/>
    <w:rsid w:val="003F75F8"/>
    <w:rsid w:val="00402945"/>
    <w:rsid w:val="00412ABD"/>
    <w:rsid w:val="00431F25"/>
    <w:rsid w:val="00433FB8"/>
    <w:rsid w:val="00437288"/>
    <w:rsid w:val="00440806"/>
    <w:rsid w:val="00443DDE"/>
    <w:rsid w:val="00466ED8"/>
    <w:rsid w:val="0047638E"/>
    <w:rsid w:val="00483499"/>
    <w:rsid w:val="00486C0A"/>
    <w:rsid w:val="00490AFA"/>
    <w:rsid w:val="00495E7B"/>
    <w:rsid w:val="0049669D"/>
    <w:rsid w:val="004A2BC1"/>
    <w:rsid w:val="004A5E28"/>
    <w:rsid w:val="004B7E5F"/>
    <w:rsid w:val="004E3168"/>
    <w:rsid w:val="004E6A0A"/>
    <w:rsid w:val="004F5722"/>
    <w:rsid w:val="0050268B"/>
    <w:rsid w:val="005060B5"/>
    <w:rsid w:val="00507681"/>
    <w:rsid w:val="00522F42"/>
    <w:rsid w:val="00523CFD"/>
    <w:rsid w:val="00527267"/>
    <w:rsid w:val="005374B8"/>
    <w:rsid w:val="0054211F"/>
    <w:rsid w:val="00554AE0"/>
    <w:rsid w:val="00555166"/>
    <w:rsid w:val="0056085D"/>
    <w:rsid w:val="005610B1"/>
    <w:rsid w:val="0057576A"/>
    <w:rsid w:val="005772D0"/>
    <w:rsid w:val="005D4F00"/>
    <w:rsid w:val="005E05B7"/>
    <w:rsid w:val="005E5406"/>
    <w:rsid w:val="0060386F"/>
    <w:rsid w:val="00615CB0"/>
    <w:rsid w:val="006240A5"/>
    <w:rsid w:val="0062484B"/>
    <w:rsid w:val="00624922"/>
    <w:rsid w:val="00632286"/>
    <w:rsid w:val="00633A5F"/>
    <w:rsid w:val="00636B5F"/>
    <w:rsid w:val="00641DA0"/>
    <w:rsid w:val="00643B88"/>
    <w:rsid w:val="00651234"/>
    <w:rsid w:val="00652E51"/>
    <w:rsid w:val="006625B8"/>
    <w:rsid w:val="006638CA"/>
    <w:rsid w:val="00670C0D"/>
    <w:rsid w:val="006835FC"/>
    <w:rsid w:val="0069077F"/>
    <w:rsid w:val="006922DA"/>
    <w:rsid w:val="00696D06"/>
    <w:rsid w:val="006C7738"/>
    <w:rsid w:val="006E10C1"/>
    <w:rsid w:val="006E308F"/>
    <w:rsid w:val="006E74F3"/>
    <w:rsid w:val="006F654D"/>
    <w:rsid w:val="00716019"/>
    <w:rsid w:val="00721353"/>
    <w:rsid w:val="00727155"/>
    <w:rsid w:val="00734F3B"/>
    <w:rsid w:val="00751B48"/>
    <w:rsid w:val="007633C9"/>
    <w:rsid w:val="00777D58"/>
    <w:rsid w:val="007905C1"/>
    <w:rsid w:val="0079567C"/>
    <w:rsid w:val="007A4A30"/>
    <w:rsid w:val="007B4CD6"/>
    <w:rsid w:val="007C04AF"/>
    <w:rsid w:val="007D62D7"/>
    <w:rsid w:val="007E02EF"/>
    <w:rsid w:val="007E66FF"/>
    <w:rsid w:val="00805752"/>
    <w:rsid w:val="00805D09"/>
    <w:rsid w:val="00810CD2"/>
    <w:rsid w:val="008138CB"/>
    <w:rsid w:val="00813F6A"/>
    <w:rsid w:val="00816E4C"/>
    <w:rsid w:val="00817ED0"/>
    <w:rsid w:val="0082117D"/>
    <w:rsid w:val="00831A7F"/>
    <w:rsid w:val="00863195"/>
    <w:rsid w:val="00871053"/>
    <w:rsid w:val="0087200E"/>
    <w:rsid w:val="00877270"/>
    <w:rsid w:val="0088056D"/>
    <w:rsid w:val="00893956"/>
    <w:rsid w:val="008A2208"/>
    <w:rsid w:val="008A2590"/>
    <w:rsid w:val="008A2D72"/>
    <w:rsid w:val="008A7D27"/>
    <w:rsid w:val="008B5430"/>
    <w:rsid w:val="008C3C4A"/>
    <w:rsid w:val="008D24C2"/>
    <w:rsid w:val="008D347F"/>
    <w:rsid w:val="008E2894"/>
    <w:rsid w:val="008E62EB"/>
    <w:rsid w:val="008F11CA"/>
    <w:rsid w:val="00902888"/>
    <w:rsid w:val="00927377"/>
    <w:rsid w:val="00970E25"/>
    <w:rsid w:val="00974BD8"/>
    <w:rsid w:val="00980993"/>
    <w:rsid w:val="009A0EE2"/>
    <w:rsid w:val="009A2AEE"/>
    <w:rsid w:val="009B00E9"/>
    <w:rsid w:val="009C5C79"/>
    <w:rsid w:val="009C791F"/>
    <w:rsid w:val="009D56BA"/>
    <w:rsid w:val="00A201AA"/>
    <w:rsid w:val="00A24936"/>
    <w:rsid w:val="00A46AB1"/>
    <w:rsid w:val="00A57D21"/>
    <w:rsid w:val="00A72797"/>
    <w:rsid w:val="00A73EA7"/>
    <w:rsid w:val="00AA29EE"/>
    <w:rsid w:val="00AA6A2C"/>
    <w:rsid w:val="00AB260D"/>
    <w:rsid w:val="00AC46D0"/>
    <w:rsid w:val="00AC55FE"/>
    <w:rsid w:val="00AD14DB"/>
    <w:rsid w:val="00AE6261"/>
    <w:rsid w:val="00AE70B4"/>
    <w:rsid w:val="00AF4B52"/>
    <w:rsid w:val="00B07F4A"/>
    <w:rsid w:val="00B125A0"/>
    <w:rsid w:val="00B131F7"/>
    <w:rsid w:val="00B22A93"/>
    <w:rsid w:val="00B26D97"/>
    <w:rsid w:val="00B272FA"/>
    <w:rsid w:val="00B27698"/>
    <w:rsid w:val="00B43769"/>
    <w:rsid w:val="00B46453"/>
    <w:rsid w:val="00B6364A"/>
    <w:rsid w:val="00B7299C"/>
    <w:rsid w:val="00B81BB8"/>
    <w:rsid w:val="00B901FD"/>
    <w:rsid w:val="00BB1542"/>
    <w:rsid w:val="00BC2C8A"/>
    <w:rsid w:val="00BC3213"/>
    <w:rsid w:val="00BD214F"/>
    <w:rsid w:val="00BF4D7C"/>
    <w:rsid w:val="00C0518F"/>
    <w:rsid w:val="00C0619F"/>
    <w:rsid w:val="00C16A02"/>
    <w:rsid w:val="00C16D72"/>
    <w:rsid w:val="00C174A0"/>
    <w:rsid w:val="00C2182E"/>
    <w:rsid w:val="00C25ED5"/>
    <w:rsid w:val="00C31315"/>
    <w:rsid w:val="00C32894"/>
    <w:rsid w:val="00C3544B"/>
    <w:rsid w:val="00C358FE"/>
    <w:rsid w:val="00C415BD"/>
    <w:rsid w:val="00C60123"/>
    <w:rsid w:val="00C6119A"/>
    <w:rsid w:val="00C65ABB"/>
    <w:rsid w:val="00C846E9"/>
    <w:rsid w:val="00C84EB5"/>
    <w:rsid w:val="00C878F3"/>
    <w:rsid w:val="00C948C2"/>
    <w:rsid w:val="00CA194D"/>
    <w:rsid w:val="00CA1E8A"/>
    <w:rsid w:val="00CA5D8E"/>
    <w:rsid w:val="00CC2D86"/>
    <w:rsid w:val="00CD4594"/>
    <w:rsid w:val="00CD45FF"/>
    <w:rsid w:val="00CD674E"/>
    <w:rsid w:val="00CE35F9"/>
    <w:rsid w:val="00CF32B5"/>
    <w:rsid w:val="00D04CE1"/>
    <w:rsid w:val="00D23FFB"/>
    <w:rsid w:val="00D330D9"/>
    <w:rsid w:val="00D36512"/>
    <w:rsid w:val="00D409D0"/>
    <w:rsid w:val="00D57597"/>
    <w:rsid w:val="00D6458E"/>
    <w:rsid w:val="00D7201E"/>
    <w:rsid w:val="00DB0712"/>
    <w:rsid w:val="00DB652C"/>
    <w:rsid w:val="00DC001B"/>
    <w:rsid w:val="00DC6683"/>
    <w:rsid w:val="00DD783A"/>
    <w:rsid w:val="00DE254A"/>
    <w:rsid w:val="00E06CF4"/>
    <w:rsid w:val="00E25E4B"/>
    <w:rsid w:val="00E26F83"/>
    <w:rsid w:val="00E27125"/>
    <w:rsid w:val="00E32F65"/>
    <w:rsid w:val="00E33720"/>
    <w:rsid w:val="00E371C2"/>
    <w:rsid w:val="00E41835"/>
    <w:rsid w:val="00E42956"/>
    <w:rsid w:val="00E43B41"/>
    <w:rsid w:val="00E51A6F"/>
    <w:rsid w:val="00E548DF"/>
    <w:rsid w:val="00E63D6C"/>
    <w:rsid w:val="00E65EE2"/>
    <w:rsid w:val="00E8036E"/>
    <w:rsid w:val="00E876DC"/>
    <w:rsid w:val="00E91D7E"/>
    <w:rsid w:val="00EA1709"/>
    <w:rsid w:val="00EA67AC"/>
    <w:rsid w:val="00EB410A"/>
    <w:rsid w:val="00EB55EC"/>
    <w:rsid w:val="00ED1F97"/>
    <w:rsid w:val="00ED2F2C"/>
    <w:rsid w:val="00EE18F4"/>
    <w:rsid w:val="00EE314B"/>
    <w:rsid w:val="00EF5CBA"/>
    <w:rsid w:val="00F05AC4"/>
    <w:rsid w:val="00F216F8"/>
    <w:rsid w:val="00F217FE"/>
    <w:rsid w:val="00F447AA"/>
    <w:rsid w:val="00F65F4F"/>
    <w:rsid w:val="00F7769E"/>
    <w:rsid w:val="00F81369"/>
    <w:rsid w:val="00F81CC9"/>
    <w:rsid w:val="00F81DB3"/>
    <w:rsid w:val="00F8464F"/>
    <w:rsid w:val="00F854EE"/>
    <w:rsid w:val="00F95E56"/>
    <w:rsid w:val="00F96914"/>
    <w:rsid w:val="00FA3D1A"/>
    <w:rsid w:val="00FB3506"/>
    <w:rsid w:val="00FB66C6"/>
    <w:rsid w:val="00FD1B9D"/>
    <w:rsid w:val="00FD4EF6"/>
    <w:rsid w:val="00FE2A94"/>
    <w:rsid w:val="00FE2E99"/>
    <w:rsid w:val="00FE4F8B"/>
    <w:rsid w:val="00FF2052"/>
    <w:rsid w:val="00FF46B6"/>
    <w:rsid w:val="00FF55EC"/>
    <w:rsid w:val="00FF614E"/>
    <w:rsid w:val="00FF7A03"/>
    <w:rsid w:val="00FF7F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3CCAB"/>
  <w15:chartTrackingRefBased/>
  <w15:docId w15:val="{BB0B9E3B-99D9-489E-A84C-EA9D2EA76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FF7F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FDF"/>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FF7F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FDF"/>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FF7F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7FDF"/>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FF7FDF"/>
    <w:pPr>
      <w:ind w:left="720"/>
      <w:contextualSpacing/>
    </w:pPr>
  </w:style>
  <w:style w:type="character" w:styleId="IntenseEmphasis">
    <w:name w:val="Intense Emphasis"/>
    <w:basedOn w:val="DefaultParagraphFont"/>
    <w:uiPriority w:val="21"/>
    <w:qFormat/>
    <w:rsid w:val="00FF7FDF"/>
    <w:rPr>
      <w:i/>
      <w:iCs/>
      <w:color w:val="2F5496" w:themeColor="accent1" w:themeShade="BF"/>
    </w:rPr>
  </w:style>
  <w:style w:type="paragraph" w:styleId="IntenseQuote">
    <w:name w:val="Intense Quote"/>
    <w:basedOn w:val="Normal"/>
    <w:next w:val="Normal"/>
    <w:link w:val="IntenseQuoteChar"/>
    <w:uiPriority w:val="30"/>
    <w:qFormat/>
    <w:rsid w:val="00FF7F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7FDF"/>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FF7FDF"/>
    <w:rPr>
      <w:b/>
      <w:bCs/>
      <w:smallCaps/>
      <w:color w:val="2F5496" w:themeColor="accent1" w:themeShade="BF"/>
      <w:spacing w:val="5"/>
    </w:rPr>
  </w:style>
  <w:style w:type="paragraph" w:styleId="CommentText">
    <w:name w:val="annotation text"/>
    <w:basedOn w:val="Normal"/>
    <w:link w:val="CommentTextChar"/>
    <w:uiPriority w:val="99"/>
    <w:semiHidden/>
    <w:unhideWhenUsed/>
    <w:rsid w:val="00555166"/>
    <w:pPr>
      <w:spacing w:line="240" w:lineRule="auto"/>
    </w:pPr>
    <w:rPr>
      <w:szCs w:val="20"/>
    </w:rPr>
  </w:style>
  <w:style w:type="character" w:customStyle="1" w:styleId="CommentTextChar">
    <w:name w:val="Comment Text Char"/>
    <w:basedOn w:val="DefaultParagraphFont"/>
    <w:link w:val="CommentText"/>
    <w:uiPriority w:val="99"/>
    <w:semiHidden/>
    <w:rsid w:val="0055516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55166"/>
    <w:rPr>
      <w:b/>
      <w:bCs/>
    </w:rPr>
  </w:style>
  <w:style w:type="character" w:customStyle="1" w:styleId="CommentSubjectChar">
    <w:name w:val="Comment Subject Char"/>
    <w:basedOn w:val="CommentTextChar"/>
    <w:link w:val="CommentSubject"/>
    <w:uiPriority w:val="99"/>
    <w:semiHidden/>
    <w:rsid w:val="00555166"/>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696D0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696D06"/>
    <w:rPr>
      <w:rFonts w:ascii="Times New Roman" w:eastAsiaTheme="minorHAnsi" w:hAnsi="Times New Roman" w:cs="Times New Roman"/>
      <w:sz w:val="20"/>
      <w:szCs w:val="20"/>
      <w:lang w:val="en-GB" w:eastAsia="en-US"/>
    </w:rPr>
  </w:style>
  <w:style w:type="table" w:customStyle="1" w:styleId="TableGrid2">
    <w:name w:val="Table Grid2"/>
    <w:basedOn w:val="TableNormal"/>
    <w:next w:val="TableGrid"/>
    <w:uiPriority w:val="39"/>
    <w:rsid w:val="00696D0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65EE2"/>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BWA/Q/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bcd.org.bw/access-disability-service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www.w3.org/XML/1998/namespace"/>
    <ds:schemaRef ds:uri="985ec44e-1bab-4c0b-9df0-6ba128686fc9"/>
    <ds:schemaRef ds:uri="41c8501f-7554-4cfe-b76f-88ff51cf7baf"/>
    <ds:schemaRef ds:uri="http://schemas.microsoft.com/office/infopath/2007/PartnerControls"/>
    <ds:schemaRef ds:uri="http://purl.org/dc/elements/1.1/"/>
    <ds:schemaRef ds:uri="http://purl.org/dc/terms/"/>
    <ds:schemaRef ds:uri="http://schemas.microsoft.com/office/2006/metadata/properties"/>
    <ds:schemaRef ds:uri="http://schemas.microsoft.com/office/2006/documentManagement/types"/>
    <ds:schemaRef ds:uri="http://schemas.openxmlformats.org/package/2006/metadata/core-properties"/>
    <ds:schemaRef ds:uri="32aca14f-6975-493a-b86a-2ec1bd8de72a"/>
    <ds:schemaRef ds:uri="http://purl.org/dc/dcmityp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26</Pages>
  <Words>11555</Words>
  <Characters>65633</Characters>
  <Application>Microsoft Office Word</Application>
  <DocSecurity>0</DocSecurity>
  <Lines>1773</Lines>
  <Paragraphs>897</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Comité para la Eliminación de la Discriminación contra la Mujer</vt:lpstr>
      <vt:lpstr>    91er período de sesiones</vt:lpstr>
      <vt:lpstr>    Examen de los informes presentados por los Estados partes en virtud del artículo</vt:lpstr>
      <vt:lpstr>Respuestas de Botswana a la lista de cuestiones y preguntas relativa a su quin</vt:lpstr>
      <vt:lpstr>Respuestas a la lista de cuestiones y preguntas (CEDAW/C/BWA/Q/5)</vt:lpstr>
      <vt:lpstr>Derechos de las mujeres e igualdad de género en relación con la pandemia, las </vt:lpstr>
      <vt:lpstr>Respuesta al párrafo 1</vt:lpstr>
      <vt:lpstr>Visibilidad y estatuto jurídico de la Convención</vt:lpstr>
      <vt:lpstr>Respuesta al párrafo 2 a)</vt:lpstr>
      <vt:lpstr>Respuesta al párrafo 2 b)</vt:lpstr>
      <vt:lpstr>Respuesta al párrafo 2 c)</vt:lpstr>
      <vt:lpstr>Definición de discriminación</vt:lpstr>
      <vt:lpstr>Respuesta al párrafo 3</vt:lpstr>
      <vt:lpstr>Acceso a la justicia</vt:lpstr>
      <vt:lpstr>Respuesta al párrafo 4</vt:lpstr>
      <vt:lpstr>Las mujeres y la paz y la seguridad</vt:lpstr>
      <vt:lpstr>Respuesta al párrafo 5</vt:lpstr>
      <vt:lpstr>Mecanismos nacionales para el adelanto de la mujer</vt:lpstr>
      <vt:lpstr>Respuesta al párrafo 6 a)</vt:lpstr>
      <vt:lpstr>Respuesta al párrafo 6 b)</vt:lpstr>
      <vt:lpstr>    Logros</vt:lpstr>
      <vt:lpstr>    Desafíos</vt:lpstr>
      <vt:lpstr>Respuesta al párrafo 6 c)</vt:lpstr>
      <vt:lpstr>Institución nacional de derechos humanos</vt:lpstr>
      <vt:lpstr>Respuesta al párrafo 7</vt:lpstr>
      <vt:lpstr>    La provisión financiera garantizada ha sido la siguiente en los últimos cinco </vt:lpstr>
      <vt:lpstr>Medidas especiales de carácter temporal</vt:lpstr>
      <vt:lpstr>Respuesta al párrafo 8</vt:lpstr>
      <vt:lpstr>Estereotipos de género</vt:lpstr>
      <vt:lpstr>Respuesta al párrafo 9</vt:lpstr>
      <vt:lpstr>Respuesta al párrafo 10</vt:lpstr>
      <vt:lpstr>Violencia de género contra la mujer</vt:lpstr>
      <vt:lpstr>Respuesta al párrafo 11 a)</vt:lpstr>
      <vt:lpstr>Respuesta al párrafo 11 b)</vt:lpstr>
      <vt:lpstr>Respuesta al párrafo 11 c)</vt:lpstr>
      <vt:lpstr>Respuesta al párrafo 11 d)</vt:lpstr>
      <vt:lpstr>Respuesta al párrafo 11 f)</vt:lpstr>
      <vt:lpstr>Respuesta al párrafo 11 g)</vt:lpstr>
      <vt:lpstr>Respuesta al párrafo 11 h)</vt:lpstr>
      <vt:lpstr>    Trata de mujeres y niñas y explotación de la prostitución</vt:lpstr>
      <vt:lpstr>Respuesta al párrafo 12 a)</vt:lpstr>
      <vt:lpstr>Respuesta al párrafo 12 b)</vt:lpstr>
      <vt:lpstr>Respuesta al párrafo 12 c)</vt:lpstr>
      <vt:lpstr>Respuesta al párrafo 12 d)</vt:lpstr>
      <vt:lpstr>Respuesta al párrafo 13 a)</vt:lpstr>
      <vt:lpstr>Respuesta al párrafo 13 b)</vt:lpstr>
      <vt:lpstr>Respuesta al párrafo 13 c)</vt:lpstr>
      <vt:lpstr>Participación en la vida política y pública</vt:lpstr>
      <vt:lpstr>Respuesta al párrafo 14 a)</vt:lpstr>
      <vt:lpstr>Respuesta al párrafo 14 b)</vt:lpstr>
      <vt:lpstr>    Campañas conjuntas de diplomacia pública en los medios de comunicación en cola</vt:lpstr>
      <vt:lpstr>Respuesta al párrafo 14 c)</vt:lpstr>
      <vt:lpstr>Respuesta al párrafo 14 d)</vt:lpstr>
      <vt:lpstr>Respuesta al párrafo 14 e)</vt:lpstr>
      <vt:lpstr>    Educación</vt:lpstr>
      <vt:lpstr>Respuesta al párrafo 15 a)</vt:lpstr>
      <vt:lpstr>Respuesta al párrafo 15 b)</vt:lpstr>
      <vt:lpstr>Respuesta al párrafo 15 c)</vt:lpstr>
      <vt:lpstr>Respuesta al párrafo 15 d)</vt:lpstr>
      <vt:lpstr>Respuesta al párrafo 15 e)</vt:lpstr>
      <vt:lpstr>Respuesta al párrafo 15 f)</vt:lpstr>
      <vt:lpstr>    Empleo</vt:lpstr>
      <vt:lpstr>Respuesta al párrafo 16 a)</vt:lpstr>
      <vt:lpstr>Respuesta al párrafo 16 b)</vt:lpstr>
      <vt:lpstr>Respuesta al párrafo 16 c)</vt:lpstr>
      <vt:lpstr>Respuesta al párrafo 16 d)</vt:lpstr>
      <vt:lpstr>Respuesta al párrafo 16 e)</vt:lpstr>
      <vt:lpstr>Respuesta al párrafo 16 f)</vt:lpstr>
      <vt:lpstr>    Salud</vt:lpstr>
      <vt:lpstr>Respuesta al párrafo 17 a)</vt:lpstr>
      <vt:lpstr>Respuesta al párrafo 17 b)</vt:lpstr>
      <vt:lpstr>Respuesta al párrafo 17 c)</vt:lpstr>
      <vt:lpstr>Respuesta al párrafo 17 d)</vt:lpstr>
      <vt:lpstr>Empoderamiento económico</vt:lpstr>
      <vt:lpstr>Respuesta al párrafo 18 a)</vt:lpstr>
      <vt:lpstr>Respuesta al párrafo 18 b) y c)</vt:lpstr>
      <vt:lpstr>Respuesta al párrafo 18 d)</vt:lpstr>
      <vt:lpstr>Respuesta al párrafo 18 e)</vt:lpstr>
      <vt:lpstr>Respuesta al párrafo 18 f)</vt:lpstr>
      <vt:lpstr>Respuesta al párrafo 18 g)</vt:lpstr>
      <vt:lpstr>Mujeres y niñas del medio rural</vt:lpstr>
      <vt:lpstr>Respuesta al párrafo 19 a)</vt:lpstr>
      <vt:lpstr>    Proyectos comunitarios de adaptación</vt:lpstr>
      <vt:lpstr>    Acceso al agua e iniciativas de saneamiento</vt:lpstr>
      <vt:lpstr>    Campañas de educación y sensibilización</vt:lpstr>
      <vt:lpstr>    Marcos normativos</vt:lpstr>
      <vt:lpstr>Respuesta al párrafo 19 b)</vt:lpstr>
      <vt:lpstr>    Iniciativas de mentoría</vt:lpstr>
      <vt:lpstr>    Proyectos de colaboración</vt:lpstr>
      <vt:lpstr>Respuesta al párrafo 19 c)</vt:lpstr>
      <vt:lpstr>    Marcos normativos participativos</vt:lpstr>
      <vt:lpstr>    Creación de capacidad para el liderazgo</vt:lpstr>
      <vt:lpstr>    Establecimiento de puntos focales de cuestiones de género</vt:lpstr>
      <vt:lpstr>    Implicación comunitaria</vt:lpstr>
      <vt:lpstr>    Marcos de seguimiento y evaluación</vt:lpstr>
      <vt:lpstr>Respuesta al párrafo 19 d)</vt:lpstr>
      <vt:lpstr>    Marco de Acción Afirmativa</vt:lpstr>
      <vt:lpstr>    Derechos de las mujeres y marco de igualdad de género</vt:lpstr>
      <vt:lpstr>    Resultados y futuras tendencias</vt:lpstr>
      <vt:lpstr>Cambio climático</vt:lpstr>
    </vt:vector>
  </TitlesOfParts>
  <Company/>
  <LinksUpToDate>false</LinksUpToDate>
  <CharactersWithSpaces>76291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Patricia Lopez Horta</cp:lastModifiedBy>
  <cp:revision>3</cp:revision>
  <cp:lastPrinted>2025-06-12T15:57:00Z</cp:lastPrinted>
  <dcterms:created xsi:type="dcterms:W3CDTF">2025-06-12T15:57:00Z</dcterms:created>
  <dcterms:modified xsi:type="dcterms:W3CDTF">2025-06-12T15:57:00Z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2506699</vt:lpwstr>
  </property>
  <property fmtid="{D5CDD505-2E9C-101B-9397-08002B2CF9AE}" pid="3" name="ODSRefJobNo">
    <vt:lpwstr>2512546S</vt:lpwstr>
  </property>
  <property fmtid="{D5CDD505-2E9C-101B-9397-08002B2CF9AE}" pid="4" name="Symbol1">
    <vt:lpwstr>CEDAW/C/BWA/RQ/5</vt:lpwstr>
  </property>
  <property fmtid="{D5CDD505-2E9C-101B-9397-08002B2CF9AE}" pid="5" name="Symbol2">
    <vt:lpwstr/>
  </property>
  <property fmtid="{D5CDD505-2E9C-101B-9397-08002B2CF9AE}" pid="6" name="Translator">
    <vt:lpwstr>Luis Barrionuevo</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300525</vt:lpwstr>
  </property>
  <property fmtid="{D5CDD505-2E9C-101B-9397-08002B2CF9AE}" pid="14" name="Session1">
    <vt:lpwstr>91er período de sesiones_x000d_</vt:lpwstr>
  </property>
  <property fmtid="{D5CDD505-2E9C-101B-9397-08002B2CF9AE}" pid="15" name="Agenda1">
    <vt:lpwstr>Tema 4 del programa provisional_x000d_</vt:lpwstr>
  </property>
  <property fmtid="{D5CDD505-2E9C-101B-9397-08002B2CF9AE}" pid="16"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7" name="Title1">
    <vt:lpwstr>		Respuestas de Botswana a la lista de cuestiones y preguntas relativa a su quinto informe periódico*, **,***_x000d_</vt:lpwstr>
  </property>
</Properties>
</file>