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401C" w:rsidRPr="005F657A" w:rsidRDefault="005F657A" w:rsidP="005F657A">
      <w:pPr>
        <w:spacing w:line="240" w:lineRule="auto"/>
        <w:jc w:val="left"/>
        <w:rPr>
          <w:rFonts w:hint="cs"/>
          <w:sz w:val="6"/>
          <w:szCs w:val="6"/>
          <w:rtl/>
        </w:rPr>
        <w:sectPr w:rsidR="0031401C" w:rsidRPr="005F657A" w:rsidSect="0031401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commentRangeStart w:id="0"/>
      <w:r>
        <w:rPr>
          <w:sz w:val="6"/>
          <w:szCs w:val="6"/>
          <w:rtl/>
        </w:rPr>
        <w:t xml:space="preserve">  </w:t>
      </w:r>
      <w:commentRangeEnd w:id="0"/>
      <w:r>
        <w:rPr>
          <w:rStyle w:val="CommentReference"/>
          <w:rtl/>
        </w:rPr>
        <w:commentReference w:id="0"/>
      </w:r>
    </w:p>
    <w:p w:rsidR="00CD3849" w:rsidRDefault="008B132B" w:rsidP="00A30C2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 xml:space="preserve">اللجنة المعنية بالقضاء على التمييز ضد المراة </w:t>
      </w:r>
    </w:p>
    <w:p w:rsidR="00A30C28" w:rsidRPr="00A30C28" w:rsidRDefault="00A30C28" w:rsidP="00A30C28">
      <w:pPr>
        <w:pStyle w:val="SingleTxt"/>
        <w:spacing w:after="0" w:line="120" w:lineRule="exact"/>
        <w:rPr>
          <w:rFonts w:hint="cs"/>
          <w:sz w:val="10"/>
          <w:rtl/>
        </w:rPr>
      </w:pPr>
    </w:p>
    <w:p w:rsidR="008B132B" w:rsidRDefault="00A30C28" w:rsidP="00A30C2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8B132B">
        <w:rPr>
          <w:rFonts w:hint="cs"/>
          <w:rtl/>
        </w:rPr>
        <w:t>النظر في التقارير المقدمة من الدول الأطراف بموجب المادة 18 من اتفاقية القضاء على جميع أشكال التمييز ضد المرأة</w:t>
      </w:r>
    </w:p>
    <w:p w:rsidR="00A30C28" w:rsidRPr="00A30C28" w:rsidRDefault="00A30C28" w:rsidP="00A30C28">
      <w:pPr>
        <w:pStyle w:val="SingleTxt"/>
        <w:spacing w:after="0" w:line="120" w:lineRule="exact"/>
        <w:rPr>
          <w:rFonts w:hint="cs"/>
          <w:sz w:val="10"/>
          <w:rtl/>
        </w:rPr>
      </w:pPr>
    </w:p>
    <w:p w:rsidR="008B132B" w:rsidRDefault="00A30C28" w:rsidP="00A30C2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8B132B">
        <w:rPr>
          <w:rFonts w:hint="cs"/>
          <w:rtl/>
        </w:rPr>
        <w:t xml:space="preserve">التقرير الدوري السادس للدول الأطراف </w:t>
      </w:r>
    </w:p>
    <w:p w:rsidR="008B132B" w:rsidRDefault="008B132B">
      <w:pPr>
        <w:rPr>
          <w:rFonts w:hint="cs"/>
        </w:rPr>
      </w:pPr>
    </w:p>
    <w:p w:rsidR="008B132B" w:rsidRPr="004265A6" w:rsidRDefault="008B132B" w:rsidP="008B132B">
      <w:pPr>
        <w:framePr w:w="9792" w:h="432" w:hSpace="187" w:wrap="around" w:hAnchor="page" w:x="1196" w:yAlign="bottom"/>
        <w:spacing w:line="240" w:lineRule="auto"/>
        <w:jc w:val="lowKashida"/>
        <w:rPr>
          <w:rFonts w:hint="cs"/>
          <w:szCs w:val="10"/>
          <w:rtl/>
        </w:rPr>
      </w:pPr>
    </w:p>
    <w:p w:rsidR="008B132B" w:rsidRPr="004265A6" w:rsidRDefault="008B132B" w:rsidP="008B132B">
      <w:pPr>
        <w:framePr w:w="9792" w:h="432" w:hSpace="187" w:wrap="around" w:hAnchor="page" w:x="1196" w:yAlign="bottom"/>
        <w:spacing w:line="240" w:lineRule="auto"/>
        <w:jc w:val="lowKashida"/>
        <w:rPr>
          <w:szCs w:val="6"/>
          <w:rtl/>
        </w:rPr>
      </w:pPr>
    </w:p>
    <w:p w:rsidR="008B132B" w:rsidRDefault="008B132B" w:rsidP="00EF059E">
      <w:pPr>
        <w:framePr w:w="9792" w:h="432" w:hSpace="187" w:wrap="around" w:hAnchor="page" w:x="1196" w:yAlign="bottom"/>
        <w:tabs>
          <w:tab w:val="right" w:pos="1195"/>
          <w:tab w:val="left" w:pos="1267"/>
        </w:tabs>
        <w:spacing w:after="80" w:line="300" w:lineRule="exact"/>
        <w:ind w:left="1267" w:right="1267" w:hanging="547"/>
        <w:jc w:val="lowKashida"/>
        <w:rPr>
          <w:rFonts w:hint="cs"/>
          <w:sz w:val="17"/>
          <w:szCs w:val="26"/>
          <w:rtl/>
        </w:rPr>
      </w:pPr>
      <w:r>
        <w:rPr>
          <w:noProof/>
          <w:w w:val="100"/>
        </w:rPr>
        <w:pict>
          <v:line id="_x0000_s2050" style="position:absolute;left:0;text-align:left;z-index:1" from="396pt,-1pt" to="468pt,-1pt">
            <w10:wrap anchorx="page"/>
          </v:line>
        </w:pict>
      </w:r>
      <w:r>
        <w:rPr>
          <w:rFonts w:hint="cs"/>
          <w:sz w:val="17"/>
          <w:szCs w:val="26"/>
          <w:rtl/>
        </w:rPr>
        <w:tab/>
        <w:t>*</w:t>
      </w:r>
      <w:r>
        <w:rPr>
          <w:rFonts w:hint="cs"/>
          <w:sz w:val="17"/>
          <w:szCs w:val="26"/>
          <w:rtl/>
        </w:rPr>
        <w:tab/>
      </w:r>
      <w:r w:rsidR="00EF059E">
        <w:rPr>
          <w:rFonts w:hint="cs"/>
          <w:sz w:val="17"/>
          <w:szCs w:val="26"/>
          <w:rtl/>
        </w:rPr>
        <w:t>يتم إصدار هذا التقرير بدون تحرير رسمي</w:t>
      </w:r>
      <w:r>
        <w:rPr>
          <w:rFonts w:hint="cs"/>
          <w:sz w:val="17"/>
          <w:szCs w:val="26"/>
          <w:rtl/>
        </w:rPr>
        <w:t xml:space="preserve">. </w:t>
      </w:r>
    </w:p>
    <w:p w:rsidR="008B132B" w:rsidRDefault="008B132B" w:rsidP="008B132B">
      <w:pPr>
        <w:framePr w:w="9792" w:h="432" w:hSpace="187" w:wrap="around" w:hAnchor="page" w:x="1196" w:yAlign="bottom"/>
        <w:tabs>
          <w:tab w:val="right" w:pos="1195"/>
          <w:tab w:val="left" w:pos="1267"/>
        </w:tabs>
        <w:spacing w:after="80" w:line="300" w:lineRule="exact"/>
        <w:ind w:left="1267" w:right="1267" w:hanging="547"/>
        <w:jc w:val="lowKashida"/>
        <w:rPr>
          <w:rFonts w:hint="cs"/>
          <w:sz w:val="17"/>
          <w:szCs w:val="26"/>
          <w:rtl/>
        </w:rPr>
      </w:pPr>
      <w:r>
        <w:rPr>
          <w:rFonts w:hint="cs"/>
          <w:sz w:val="17"/>
          <w:szCs w:val="26"/>
          <w:rtl/>
        </w:rPr>
        <w:tab/>
      </w:r>
      <w:r>
        <w:rPr>
          <w:rFonts w:hint="cs"/>
          <w:sz w:val="17"/>
          <w:szCs w:val="26"/>
          <w:rtl/>
        </w:rPr>
        <w:tab/>
      </w:r>
      <w:r>
        <w:rPr>
          <w:rFonts w:hint="cs"/>
          <w:sz w:val="17"/>
          <w:szCs w:val="26"/>
          <w:rtl/>
        </w:rPr>
        <w:tab/>
        <w:t xml:space="preserve">للاطلاع على التقرير الأولي الذي قدمته حكومة بولندا، انظر </w:t>
      </w:r>
      <w:r>
        <w:rPr>
          <w:sz w:val="17"/>
          <w:szCs w:val="26"/>
        </w:rPr>
        <w:t>CEDAW/C/5/Add.31</w:t>
      </w:r>
      <w:r>
        <w:rPr>
          <w:rFonts w:hint="cs"/>
          <w:sz w:val="17"/>
          <w:szCs w:val="26"/>
          <w:rtl/>
        </w:rPr>
        <w:t xml:space="preserve">، وقد نظرت فيه اللجنة في دورته السادسة. وللاطلاع على التقرير الدوري الثاني الذي قدمته حكومة بولندا، انظر </w:t>
      </w:r>
      <w:r>
        <w:rPr>
          <w:sz w:val="17"/>
          <w:szCs w:val="26"/>
        </w:rPr>
        <w:t>CEDAW/C/13/Add.16</w:t>
      </w:r>
      <w:r>
        <w:rPr>
          <w:rFonts w:hint="cs"/>
          <w:sz w:val="17"/>
          <w:szCs w:val="26"/>
          <w:rtl/>
        </w:rPr>
        <w:t>، وقد نظرت فيه اللجنة في دورتها العاشرة. وللاطلاع على التقرير الدوري الثالث</w:t>
      </w:r>
      <w:r>
        <w:rPr>
          <w:rFonts w:hint="eastAsia"/>
          <w:sz w:val="17"/>
          <w:szCs w:val="26"/>
          <w:rtl/>
        </w:rPr>
        <w:t> </w:t>
      </w:r>
      <w:r>
        <w:rPr>
          <w:rFonts w:hint="cs"/>
          <w:sz w:val="17"/>
          <w:szCs w:val="26"/>
          <w:rtl/>
        </w:rPr>
        <w:t xml:space="preserve">الذي قدمته حكومة بولندا، انظر </w:t>
      </w:r>
      <w:r>
        <w:rPr>
          <w:sz w:val="17"/>
          <w:szCs w:val="26"/>
        </w:rPr>
        <w:t>CEDAW/C/18/Add.2</w:t>
      </w:r>
      <w:r>
        <w:rPr>
          <w:rFonts w:hint="cs"/>
          <w:sz w:val="17"/>
          <w:szCs w:val="26"/>
          <w:rtl/>
        </w:rPr>
        <w:t>، وقد نظرت فيه اللجنة في دورتها العاشرة.</w:t>
      </w:r>
      <w:r>
        <w:rPr>
          <w:rFonts w:hint="eastAsia"/>
          <w:sz w:val="17"/>
          <w:szCs w:val="26"/>
          <w:rtl/>
        </w:rPr>
        <w:t> </w:t>
      </w:r>
      <w:r>
        <w:rPr>
          <w:rFonts w:hint="cs"/>
          <w:sz w:val="17"/>
          <w:szCs w:val="26"/>
          <w:rtl/>
        </w:rPr>
        <w:t xml:space="preserve">وللاطلاع على التقرير الدوري الرابع والخامس معا الذي قدمته حكومة بولندا، انظر </w:t>
      </w:r>
      <w:r>
        <w:rPr>
          <w:sz w:val="17"/>
          <w:szCs w:val="26"/>
        </w:rPr>
        <w:t>CEDAW/C/POL/4-5</w:t>
      </w:r>
      <w:r>
        <w:rPr>
          <w:rFonts w:hint="cs"/>
          <w:sz w:val="17"/>
          <w:szCs w:val="26"/>
          <w:rtl/>
        </w:rPr>
        <w:t>.</w:t>
      </w:r>
    </w:p>
    <w:p w:rsidR="008B132B" w:rsidRPr="008B132B" w:rsidRDefault="008B132B" w:rsidP="008B132B">
      <w:pPr>
        <w:framePr w:w="9792" w:h="432" w:hSpace="187" w:wrap="around" w:hAnchor="page" w:x="1196" w:yAlign="bottom"/>
        <w:tabs>
          <w:tab w:val="right" w:pos="1195"/>
          <w:tab w:val="left" w:pos="1267"/>
        </w:tabs>
        <w:spacing w:after="80" w:line="300" w:lineRule="exact"/>
        <w:ind w:left="1267" w:right="1267" w:hanging="547"/>
        <w:jc w:val="lowKashida"/>
        <w:rPr>
          <w:rFonts w:hint="cs"/>
          <w:sz w:val="17"/>
          <w:szCs w:val="26"/>
          <w:rtl/>
          <w:lang w:bidi="ar-LB"/>
        </w:rPr>
      </w:pPr>
    </w:p>
    <w:p w:rsidR="008B132B" w:rsidRPr="0031401C" w:rsidRDefault="00A30C28" w:rsidP="00A30C2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8B132B">
        <w:rPr>
          <w:rFonts w:hint="cs"/>
          <w:rtl/>
        </w:rPr>
        <w:t>بولندا*</w:t>
      </w:r>
    </w:p>
    <w:p w:rsidR="00C746C7" w:rsidRPr="0076391A" w:rsidRDefault="008B132B" w:rsidP="008B132B">
      <w:pPr>
        <w:pStyle w:val="SingleTxt"/>
        <w:rPr>
          <w:rFonts w:hint="cs"/>
          <w:b/>
          <w:bCs/>
          <w:rtl/>
        </w:rPr>
      </w:pPr>
      <w:r>
        <w:rPr>
          <w:rtl/>
        </w:rPr>
        <w:br w:type="page"/>
      </w:r>
      <w:r w:rsidR="00C746C7" w:rsidRPr="0076391A">
        <w:rPr>
          <w:rFonts w:hint="cs"/>
          <w:b/>
          <w:bCs/>
          <w:rtl/>
        </w:rPr>
        <w:tab/>
        <w:t>إن حكومة جمهورية بولندا بوصفها طرفا في اتفاقية القضاء على جميع أشكال التمييز ضد المرأة، وعملا بالمادة 18 من الاتفاقية، تقدم التقرير السادس عن تطبيق الاتفاقية في التشريعات والممارسات.</w:t>
      </w:r>
    </w:p>
    <w:p w:rsidR="00C746C7" w:rsidRDefault="00C746C7" w:rsidP="0076391A">
      <w:pPr>
        <w:pStyle w:val="SingleTxt"/>
        <w:rPr>
          <w:rFonts w:hint="cs"/>
          <w:rtl/>
        </w:rPr>
      </w:pPr>
      <w:r w:rsidRPr="0076391A">
        <w:rPr>
          <w:rFonts w:hint="cs"/>
          <w:b/>
          <w:bCs/>
          <w:rtl/>
        </w:rPr>
        <w:tab/>
        <w:t>يتناول التقرير السادس الفترة الممتدة من 1 حزيران/يونيه 1998 إلى 31</w:t>
      </w:r>
      <w:r w:rsidR="0076391A">
        <w:rPr>
          <w:rFonts w:hint="eastAsia"/>
          <w:b/>
          <w:bCs/>
          <w:rtl/>
        </w:rPr>
        <w:t> </w:t>
      </w:r>
      <w:r w:rsidRPr="0076391A">
        <w:rPr>
          <w:rFonts w:hint="cs"/>
          <w:b/>
          <w:bCs/>
          <w:rtl/>
        </w:rPr>
        <w:t>أيار/مايو 2002</w:t>
      </w:r>
      <w:r>
        <w:rPr>
          <w:rFonts w:hint="cs"/>
          <w:rtl/>
        </w:rPr>
        <w:t xml:space="preserve">. </w:t>
      </w:r>
    </w:p>
    <w:p w:rsidR="00C746C7" w:rsidRDefault="00C746C7" w:rsidP="009C102D">
      <w:pPr>
        <w:pStyle w:val="SingleTxt"/>
        <w:rPr>
          <w:rFonts w:hint="cs"/>
          <w:rtl/>
        </w:rPr>
      </w:pPr>
      <w:r>
        <w:rPr>
          <w:rFonts w:hint="cs"/>
          <w:rtl/>
        </w:rPr>
        <w:tab/>
        <w:t xml:space="preserve">يستند هذا التقرير إلى مجموعة من المصادر أوسع بكثير </w:t>
      </w:r>
      <w:r w:rsidR="00EF059E">
        <w:rPr>
          <w:rFonts w:hint="cs"/>
          <w:rtl/>
        </w:rPr>
        <w:t xml:space="preserve">من </w:t>
      </w:r>
      <w:r>
        <w:rPr>
          <w:rFonts w:hint="cs"/>
          <w:rtl/>
        </w:rPr>
        <w:t>ا</w:t>
      </w:r>
      <w:r w:rsidR="00EF059E">
        <w:rPr>
          <w:rFonts w:hint="cs"/>
          <w:rtl/>
        </w:rPr>
        <w:t xml:space="preserve">لمصادر التي </w:t>
      </w:r>
      <w:r>
        <w:rPr>
          <w:rFonts w:hint="cs"/>
          <w:rtl/>
        </w:rPr>
        <w:t>استند إليه</w:t>
      </w:r>
      <w:r w:rsidR="00EF059E">
        <w:rPr>
          <w:rFonts w:hint="cs"/>
          <w:rtl/>
        </w:rPr>
        <w:t>ا</w:t>
      </w:r>
      <w:r>
        <w:rPr>
          <w:rFonts w:hint="cs"/>
          <w:rtl/>
        </w:rPr>
        <w:t xml:space="preserve"> التقريران الرابع والخامس معا. وكان هذا ممكنا بفضل التنفيذ التدريجي </w:t>
      </w:r>
      <w:r>
        <w:rPr>
          <w:rtl/>
        </w:rPr>
        <w:t>–</w:t>
      </w:r>
      <w:r>
        <w:rPr>
          <w:rFonts w:hint="cs"/>
          <w:rtl/>
        </w:rPr>
        <w:t xml:space="preserve"> امتثالا للتوصية العامة رقم 9 للجنة المعنية بالقضاء على التمييز ضد المرأة </w:t>
      </w:r>
      <w:r>
        <w:rPr>
          <w:rtl/>
        </w:rPr>
        <w:t>–</w:t>
      </w:r>
      <w:r>
        <w:rPr>
          <w:rFonts w:hint="cs"/>
          <w:rtl/>
        </w:rPr>
        <w:t xml:space="preserve"> لطلب توزيع البيانات بحسب الجنس في الوزارات الحكومية وغيرها من المؤسسات الأخرى التي تجمع البيانات وتجري الأبحاث. وعلى الرغم من أن جميع المعلومات لم يتم جمعها بهذه الطريقة، إلا أن تعداد السكان الوطني الذي أجراه مكتب الإحصاءات المركزي في عام 2002 تقيد بهذا الطلب.</w:t>
      </w:r>
    </w:p>
    <w:p w:rsidR="00C746C7" w:rsidRDefault="00C746C7" w:rsidP="00C746C7">
      <w:pPr>
        <w:pStyle w:val="SingleTxt"/>
        <w:rPr>
          <w:rFonts w:hint="cs"/>
          <w:rtl/>
        </w:rPr>
      </w:pPr>
      <w:r>
        <w:rPr>
          <w:rFonts w:hint="cs"/>
          <w:rtl/>
        </w:rPr>
        <w:tab/>
      </w:r>
      <w:r>
        <w:rPr>
          <w:rFonts w:hint="cs"/>
          <w:rtl/>
        </w:rPr>
        <w:tab/>
        <w:t xml:space="preserve">ووفقا لتوصيات اللجنة، لا يقدم هذا التقرير إلا معلومات عن المجالات التي حدثت فيها تغييرات قانونية وفعلية مقارنة بالفترة التي تناولها التقرير السابق. وبما أنه لم تطرأ تغييرات على المجالات التي تتناولها المواد 1 و 14 و 15 من الاتفاقية، لم يتم التعرض لهذه المواد في التقرير. </w:t>
      </w:r>
    </w:p>
    <w:p w:rsidR="00C746C7" w:rsidRDefault="00C746C7" w:rsidP="00C746C7">
      <w:pPr>
        <w:pStyle w:val="SingleTxt"/>
        <w:rPr>
          <w:rFonts w:hint="cs"/>
          <w:rtl/>
        </w:rPr>
      </w:pPr>
    </w:p>
    <w:p w:rsidR="00C746C7" w:rsidRPr="000722D7" w:rsidRDefault="00C746C7" w:rsidP="009F4DC1">
      <w:pPr>
        <w:pStyle w:val="HCh"/>
        <w:tabs>
          <w:tab w:val="left" w:pos="4391"/>
        </w:tabs>
        <w:spacing w:after="120"/>
        <w:rPr>
          <w:rtl/>
        </w:rPr>
      </w:pPr>
      <w:r>
        <w:rPr>
          <w:rtl/>
        </w:rPr>
        <w:br w:type="page"/>
      </w:r>
      <w:r>
        <w:rPr>
          <w:rFonts w:hint="eastAsia"/>
          <w:rtl/>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198"/>
        <w:gridCol w:w="7107"/>
        <w:gridCol w:w="309"/>
        <w:gridCol w:w="1220"/>
      </w:tblGrid>
      <w:tr w:rsidR="00C746C7" w:rsidRPr="000722D7">
        <w:tblPrEx>
          <w:tblCellMar>
            <w:top w:w="0" w:type="dxa"/>
            <w:bottom w:w="0" w:type="dxa"/>
          </w:tblCellMar>
        </w:tblPrEx>
        <w:tc>
          <w:tcPr>
            <w:tcW w:w="1198" w:type="dxa"/>
            <w:shd w:val="clear" w:color="auto" w:fill="auto"/>
          </w:tcPr>
          <w:p w:rsidR="00C746C7" w:rsidRPr="000722D7" w:rsidRDefault="00C746C7" w:rsidP="009F4DC1">
            <w:pPr>
              <w:tabs>
                <w:tab w:val="left" w:pos="4391"/>
              </w:tabs>
              <w:spacing w:after="120" w:line="240" w:lineRule="auto"/>
              <w:jc w:val="right"/>
              <w:rPr>
                <w:rFonts w:hint="cs"/>
                <w:iCs/>
                <w:sz w:val="14"/>
                <w:rtl/>
              </w:rPr>
            </w:pPr>
          </w:p>
        </w:tc>
        <w:tc>
          <w:tcPr>
            <w:tcW w:w="7107" w:type="dxa"/>
            <w:shd w:val="clear" w:color="auto" w:fill="auto"/>
          </w:tcPr>
          <w:p w:rsidR="00C746C7" w:rsidRPr="000722D7" w:rsidRDefault="00C746C7" w:rsidP="009F4DC1">
            <w:pPr>
              <w:tabs>
                <w:tab w:val="left" w:pos="4391"/>
              </w:tabs>
              <w:spacing w:after="120" w:line="240" w:lineRule="auto"/>
              <w:rPr>
                <w:rFonts w:hint="cs"/>
                <w:iCs/>
                <w:sz w:val="14"/>
                <w:rtl/>
              </w:rPr>
            </w:pPr>
          </w:p>
        </w:tc>
        <w:tc>
          <w:tcPr>
            <w:tcW w:w="309" w:type="dxa"/>
            <w:shd w:val="clear" w:color="auto" w:fill="auto"/>
          </w:tcPr>
          <w:p w:rsidR="00C746C7" w:rsidRPr="000722D7" w:rsidRDefault="00C746C7" w:rsidP="009F4DC1">
            <w:pPr>
              <w:tabs>
                <w:tab w:val="left" w:pos="4391"/>
              </w:tabs>
              <w:spacing w:after="120" w:line="240" w:lineRule="auto"/>
              <w:jc w:val="right"/>
              <w:rPr>
                <w:rFonts w:hint="cs"/>
                <w:iCs/>
                <w:sz w:val="14"/>
                <w:rtl/>
              </w:rPr>
            </w:pPr>
          </w:p>
        </w:tc>
        <w:tc>
          <w:tcPr>
            <w:tcW w:w="1220" w:type="dxa"/>
            <w:shd w:val="clear" w:color="auto" w:fill="auto"/>
          </w:tcPr>
          <w:p w:rsidR="00C746C7" w:rsidRPr="000722D7" w:rsidRDefault="00C746C7" w:rsidP="009F4DC1">
            <w:pPr>
              <w:tabs>
                <w:tab w:val="left" w:pos="4391"/>
              </w:tabs>
              <w:spacing w:after="120" w:line="240" w:lineRule="auto"/>
              <w:jc w:val="lowKashida"/>
              <w:rPr>
                <w:rFonts w:hint="cs"/>
                <w:iCs/>
                <w:sz w:val="14"/>
                <w:rtl/>
              </w:rPr>
            </w:pPr>
            <w:r>
              <w:rPr>
                <w:rFonts w:hint="eastAsia"/>
                <w:iCs/>
                <w:sz w:val="14"/>
                <w:rtl/>
              </w:rPr>
              <w:t>الصفحة</w:t>
            </w:r>
          </w:p>
        </w:tc>
      </w:tr>
      <w:tr w:rsidR="007626B4" w:rsidRPr="000722D7">
        <w:tblPrEx>
          <w:tblCellMar>
            <w:top w:w="0" w:type="dxa"/>
            <w:bottom w:w="0" w:type="dxa"/>
          </w:tblCellMar>
        </w:tblPrEx>
        <w:tc>
          <w:tcPr>
            <w:tcW w:w="1198" w:type="dxa"/>
            <w:shd w:val="clear" w:color="auto" w:fill="auto"/>
          </w:tcPr>
          <w:p w:rsidR="007626B4" w:rsidRPr="000722D7" w:rsidRDefault="007626B4" w:rsidP="00685404">
            <w:pPr>
              <w:rPr>
                <w:rFonts w:hint="eastAsia"/>
                <w:rtl/>
              </w:rPr>
            </w:pPr>
          </w:p>
        </w:tc>
        <w:tc>
          <w:tcPr>
            <w:tcW w:w="7107" w:type="dxa"/>
            <w:shd w:val="clear" w:color="auto" w:fill="auto"/>
          </w:tcPr>
          <w:p w:rsidR="007626B4" w:rsidRPr="004005BE" w:rsidRDefault="007626B4" w:rsidP="004005BE">
            <w:pPr>
              <w:tabs>
                <w:tab w:val="right" w:leader="dot" w:pos="9029"/>
              </w:tabs>
              <w:rPr>
                <w:rFonts w:hint="cs"/>
                <w:spacing w:val="60"/>
                <w:sz w:val="17"/>
                <w:rtl/>
              </w:rPr>
            </w:pPr>
            <w:r>
              <w:rPr>
                <w:rFonts w:hint="cs"/>
                <w:rtl/>
              </w:rPr>
              <w:t>المقدمة</w:t>
            </w:r>
            <w:r w:rsidR="004005BE">
              <w:rPr>
                <w:spacing w:val="60"/>
                <w:sz w:val="17"/>
                <w:rtl/>
              </w:rPr>
              <w:tab/>
            </w:r>
            <w:r w:rsidR="004005BE">
              <w:rPr>
                <w:spacing w:val="60"/>
                <w:sz w:val="17"/>
                <w:rtl/>
              </w:rPr>
              <w:tab/>
            </w:r>
          </w:p>
        </w:tc>
        <w:tc>
          <w:tcPr>
            <w:tcW w:w="309" w:type="dxa"/>
            <w:shd w:val="clear" w:color="auto" w:fill="auto"/>
          </w:tcPr>
          <w:p w:rsidR="007626B4" w:rsidRPr="000722D7" w:rsidRDefault="007626B4" w:rsidP="00685404">
            <w:pPr>
              <w:rPr>
                <w:rFonts w:hint="eastAsia"/>
                <w:rtl/>
              </w:rPr>
            </w:pPr>
          </w:p>
        </w:tc>
        <w:tc>
          <w:tcPr>
            <w:tcW w:w="1220" w:type="dxa"/>
            <w:shd w:val="clear" w:color="auto" w:fill="auto"/>
          </w:tcPr>
          <w:p w:rsidR="007626B4" w:rsidRDefault="007626B4" w:rsidP="00685404">
            <w:pPr>
              <w:rPr>
                <w:rFonts w:hint="cs"/>
                <w:rtl/>
              </w:rPr>
            </w:pPr>
            <w:r>
              <w:rPr>
                <w:rFonts w:hint="cs"/>
                <w:rtl/>
              </w:rPr>
              <w:t>4</w:t>
            </w:r>
          </w:p>
        </w:tc>
      </w:tr>
      <w:tr w:rsidR="00C746C7" w:rsidRPr="000722D7">
        <w:tblPrEx>
          <w:tblCellMar>
            <w:top w:w="0" w:type="dxa"/>
            <w:bottom w:w="0" w:type="dxa"/>
          </w:tblCellMar>
        </w:tblPrEx>
        <w:tc>
          <w:tcPr>
            <w:tcW w:w="1198" w:type="dxa"/>
            <w:shd w:val="clear" w:color="auto" w:fill="auto"/>
          </w:tcPr>
          <w:p w:rsidR="00C746C7" w:rsidRPr="000722D7" w:rsidRDefault="00C746C7" w:rsidP="00685404">
            <w:pPr>
              <w:rPr>
                <w:rFonts w:hint="eastAsia"/>
                <w:rtl/>
              </w:rPr>
            </w:pPr>
          </w:p>
        </w:tc>
        <w:tc>
          <w:tcPr>
            <w:tcW w:w="7107" w:type="dxa"/>
            <w:shd w:val="clear" w:color="auto" w:fill="auto"/>
          </w:tcPr>
          <w:p w:rsidR="00C746C7" w:rsidRPr="009F4DC1" w:rsidRDefault="00C746C7" w:rsidP="009F4DC1">
            <w:pPr>
              <w:tabs>
                <w:tab w:val="right" w:pos="1080"/>
                <w:tab w:val="left" w:pos="1296"/>
                <w:tab w:val="left" w:pos="1728"/>
                <w:tab w:val="left" w:pos="2160"/>
                <w:tab w:val="left" w:pos="2592"/>
                <w:tab w:val="right" w:leader="dot" w:pos="9029"/>
              </w:tabs>
              <w:rPr>
                <w:rFonts w:hint="cs"/>
                <w:spacing w:val="60"/>
                <w:sz w:val="17"/>
                <w:rtl/>
              </w:rPr>
            </w:pPr>
            <w:r>
              <w:rPr>
                <w:rFonts w:hint="cs"/>
                <w:rtl/>
              </w:rPr>
              <w:t xml:space="preserve">المادة 2 </w:t>
            </w:r>
            <w:r w:rsidR="00F4552E">
              <w:rPr>
                <w:rFonts w:hint="cs"/>
                <w:rtl/>
              </w:rPr>
              <w:t>-</w:t>
            </w:r>
            <w:r>
              <w:rPr>
                <w:rFonts w:hint="cs"/>
                <w:rtl/>
              </w:rPr>
              <w:t xml:space="preserve"> وجوب القضاء على التمييز</w:t>
            </w:r>
            <w:r w:rsidR="009F4DC1">
              <w:rPr>
                <w:spacing w:val="60"/>
                <w:sz w:val="17"/>
                <w:rtl/>
              </w:rPr>
              <w:tab/>
            </w:r>
          </w:p>
        </w:tc>
        <w:tc>
          <w:tcPr>
            <w:tcW w:w="309" w:type="dxa"/>
            <w:shd w:val="clear" w:color="auto" w:fill="auto"/>
          </w:tcPr>
          <w:p w:rsidR="00C746C7" w:rsidRPr="000722D7" w:rsidRDefault="00C746C7" w:rsidP="00685404">
            <w:pPr>
              <w:rPr>
                <w:rFonts w:hint="eastAsia"/>
                <w:rtl/>
              </w:rPr>
            </w:pPr>
          </w:p>
        </w:tc>
        <w:tc>
          <w:tcPr>
            <w:tcW w:w="1220" w:type="dxa"/>
            <w:shd w:val="clear" w:color="auto" w:fill="auto"/>
          </w:tcPr>
          <w:p w:rsidR="00C746C7" w:rsidRPr="000722D7" w:rsidRDefault="007626B4" w:rsidP="00685404">
            <w:pPr>
              <w:rPr>
                <w:rFonts w:hint="cs"/>
                <w:rtl/>
              </w:rPr>
            </w:pPr>
            <w:r>
              <w:rPr>
                <w:rFonts w:hint="cs"/>
                <w:rtl/>
              </w:rPr>
              <w:t>11</w:t>
            </w:r>
          </w:p>
        </w:tc>
      </w:tr>
      <w:tr w:rsidR="00C746C7" w:rsidRPr="000722D7">
        <w:tblPrEx>
          <w:tblCellMar>
            <w:top w:w="0" w:type="dxa"/>
            <w:bottom w:w="0" w:type="dxa"/>
          </w:tblCellMar>
        </w:tblPrEx>
        <w:tc>
          <w:tcPr>
            <w:tcW w:w="1198" w:type="dxa"/>
            <w:shd w:val="clear" w:color="auto" w:fill="auto"/>
          </w:tcPr>
          <w:p w:rsidR="00C746C7" w:rsidRPr="000722D7" w:rsidRDefault="00C746C7" w:rsidP="00685404">
            <w:pPr>
              <w:rPr>
                <w:rFonts w:hint="eastAsia"/>
                <w:rtl/>
              </w:rPr>
            </w:pPr>
          </w:p>
        </w:tc>
        <w:tc>
          <w:tcPr>
            <w:tcW w:w="7107" w:type="dxa"/>
            <w:shd w:val="clear" w:color="auto" w:fill="auto"/>
          </w:tcPr>
          <w:p w:rsidR="00C746C7" w:rsidRPr="009F4DC1" w:rsidRDefault="00C746C7" w:rsidP="004005BE">
            <w:pPr>
              <w:tabs>
                <w:tab w:val="right" w:pos="1080"/>
                <w:tab w:val="left" w:pos="1296"/>
                <w:tab w:val="left" w:pos="1728"/>
                <w:tab w:val="right" w:leader="dot" w:pos="9029"/>
              </w:tabs>
              <w:rPr>
                <w:rFonts w:hint="cs"/>
                <w:spacing w:val="60"/>
                <w:sz w:val="17"/>
                <w:rtl/>
              </w:rPr>
            </w:pPr>
            <w:r>
              <w:rPr>
                <w:rFonts w:hint="cs"/>
                <w:rtl/>
              </w:rPr>
              <w:t xml:space="preserve">المادة 3 </w:t>
            </w:r>
            <w:r w:rsidR="00F4552E">
              <w:rPr>
                <w:rFonts w:hint="cs"/>
                <w:rtl/>
              </w:rPr>
              <w:t>-</w:t>
            </w:r>
            <w:r>
              <w:rPr>
                <w:rFonts w:hint="cs"/>
                <w:rtl/>
              </w:rPr>
              <w:t xml:space="preserve"> </w:t>
            </w:r>
            <w:r w:rsidR="00521CCB">
              <w:rPr>
                <w:rFonts w:hint="cs"/>
                <w:rtl/>
              </w:rPr>
              <w:t>نمو</w:t>
            </w:r>
            <w:r>
              <w:rPr>
                <w:rFonts w:hint="cs"/>
                <w:rtl/>
              </w:rPr>
              <w:t xml:space="preserve"> المرأة وا</w:t>
            </w:r>
            <w:r w:rsidR="009F4DC1">
              <w:rPr>
                <w:rFonts w:hint="cs"/>
                <w:rtl/>
              </w:rPr>
              <w:t>لنهوض بها</w:t>
            </w:r>
            <w:r w:rsidR="009F4DC1">
              <w:rPr>
                <w:spacing w:val="60"/>
                <w:sz w:val="17"/>
                <w:rtl/>
              </w:rPr>
              <w:tab/>
            </w:r>
          </w:p>
        </w:tc>
        <w:tc>
          <w:tcPr>
            <w:tcW w:w="309" w:type="dxa"/>
            <w:shd w:val="clear" w:color="auto" w:fill="auto"/>
          </w:tcPr>
          <w:p w:rsidR="00C746C7" w:rsidRPr="000722D7" w:rsidRDefault="00C746C7" w:rsidP="00685404">
            <w:pPr>
              <w:rPr>
                <w:rFonts w:hint="eastAsia"/>
                <w:rtl/>
              </w:rPr>
            </w:pPr>
          </w:p>
        </w:tc>
        <w:tc>
          <w:tcPr>
            <w:tcW w:w="1220" w:type="dxa"/>
            <w:shd w:val="clear" w:color="auto" w:fill="auto"/>
          </w:tcPr>
          <w:p w:rsidR="00C746C7" w:rsidRPr="000722D7" w:rsidRDefault="007626B4" w:rsidP="00685404">
            <w:pPr>
              <w:rPr>
                <w:rFonts w:hint="cs"/>
                <w:rtl/>
              </w:rPr>
            </w:pPr>
            <w:r>
              <w:rPr>
                <w:rFonts w:hint="cs"/>
                <w:rtl/>
              </w:rPr>
              <w:t>13</w:t>
            </w:r>
          </w:p>
        </w:tc>
      </w:tr>
      <w:tr w:rsidR="00C746C7" w:rsidRPr="000722D7">
        <w:tblPrEx>
          <w:tblCellMar>
            <w:top w:w="0" w:type="dxa"/>
            <w:bottom w:w="0" w:type="dxa"/>
          </w:tblCellMar>
        </w:tblPrEx>
        <w:tc>
          <w:tcPr>
            <w:tcW w:w="1198" w:type="dxa"/>
            <w:shd w:val="clear" w:color="auto" w:fill="auto"/>
          </w:tcPr>
          <w:p w:rsidR="00C746C7" w:rsidRPr="000722D7" w:rsidRDefault="00C746C7" w:rsidP="00685404">
            <w:pPr>
              <w:rPr>
                <w:rFonts w:hint="eastAsia"/>
                <w:rtl/>
              </w:rPr>
            </w:pPr>
          </w:p>
        </w:tc>
        <w:tc>
          <w:tcPr>
            <w:tcW w:w="7107" w:type="dxa"/>
            <w:shd w:val="clear" w:color="auto" w:fill="auto"/>
          </w:tcPr>
          <w:p w:rsidR="00C746C7" w:rsidRPr="004005BE" w:rsidRDefault="00C746C7" w:rsidP="004005BE">
            <w:pPr>
              <w:tabs>
                <w:tab w:val="right" w:leader="dot" w:pos="9029"/>
              </w:tabs>
              <w:rPr>
                <w:rFonts w:hint="cs"/>
                <w:spacing w:val="60"/>
                <w:sz w:val="28"/>
                <w:szCs w:val="28"/>
                <w:rtl/>
              </w:rPr>
            </w:pPr>
            <w:r w:rsidRPr="004005BE">
              <w:rPr>
                <w:rFonts w:hint="cs"/>
                <w:sz w:val="28"/>
                <w:szCs w:val="28"/>
                <w:rtl/>
              </w:rPr>
              <w:t>المادة</w:t>
            </w:r>
            <w:r w:rsidR="007626B4" w:rsidRPr="004005BE">
              <w:rPr>
                <w:rFonts w:hint="cs"/>
                <w:sz w:val="28"/>
                <w:szCs w:val="28"/>
                <w:rtl/>
              </w:rPr>
              <w:t xml:space="preserve"> 5</w:t>
            </w:r>
            <w:r w:rsidRPr="004005BE">
              <w:rPr>
                <w:rFonts w:hint="cs"/>
                <w:sz w:val="28"/>
                <w:szCs w:val="28"/>
                <w:rtl/>
              </w:rPr>
              <w:t xml:space="preserve"> </w:t>
            </w:r>
            <w:r w:rsidR="008A0F25">
              <w:rPr>
                <w:rFonts w:hint="cs"/>
                <w:sz w:val="28"/>
                <w:szCs w:val="28"/>
                <w:rtl/>
              </w:rPr>
              <w:t>-</w:t>
            </w:r>
            <w:r w:rsidRPr="004005BE">
              <w:rPr>
                <w:rFonts w:hint="cs"/>
                <w:sz w:val="28"/>
                <w:szCs w:val="28"/>
                <w:rtl/>
              </w:rPr>
              <w:t xml:space="preserve"> </w:t>
            </w:r>
            <w:r w:rsidR="008A0F25">
              <w:rPr>
                <w:rFonts w:hint="cs"/>
                <w:sz w:val="28"/>
                <w:szCs w:val="28"/>
                <w:rtl/>
              </w:rPr>
              <w:t>الدور التقليدي لكل جنس والقولبة النمطية القائمة على نوع الجنس</w:t>
            </w:r>
            <w:r w:rsidR="004005BE" w:rsidRPr="004005BE">
              <w:rPr>
                <w:spacing w:val="60"/>
                <w:sz w:val="28"/>
                <w:szCs w:val="28"/>
                <w:rtl/>
              </w:rPr>
              <w:tab/>
            </w:r>
            <w:r w:rsidR="004005BE" w:rsidRPr="004005BE">
              <w:rPr>
                <w:spacing w:val="60"/>
                <w:sz w:val="28"/>
                <w:szCs w:val="28"/>
                <w:rtl/>
              </w:rPr>
              <w:tab/>
            </w:r>
          </w:p>
        </w:tc>
        <w:tc>
          <w:tcPr>
            <w:tcW w:w="309" w:type="dxa"/>
            <w:shd w:val="clear" w:color="auto" w:fill="auto"/>
          </w:tcPr>
          <w:p w:rsidR="00C746C7" w:rsidRPr="000722D7" w:rsidRDefault="00C746C7" w:rsidP="00685404">
            <w:pPr>
              <w:rPr>
                <w:rFonts w:hint="cs"/>
                <w:rtl/>
              </w:rPr>
            </w:pPr>
          </w:p>
        </w:tc>
        <w:tc>
          <w:tcPr>
            <w:tcW w:w="1220" w:type="dxa"/>
            <w:shd w:val="clear" w:color="auto" w:fill="auto"/>
          </w:tcPr>
          <w:p w:rsidR="00C746C7" w:rsidRPr="000722D7" w:rsidRDefault="007626B4" w:rsidP="00685404">
            <w:pPr>
              <w:rPr>
                <w:rFonts w:hint="cs"/>
                <w:rtl/>
              </w:rPr>
            </w:pPr>
            <w:r>
              <w:rPr>
                <w:rFonts w:hint="cs"/>
                <w:rtl/>
              </w:rPr>
              <w:t>16</w:t>
            </w:r>
          </w:p>
        </w:tc>
      </w:tr>
      <w:tr w:rsidR="00C746C7" w:rsidRPr="000722D7">
        <w:tblPrEx>
          <w:tblCellMar>
            <w:top w:w="0" w:type="dxa"/>
            <w:bottom w:w="0" w:type="dxa"/>
          </w:tblCellMar>
        </w:tblPrEx>
        <w:tc>
          <w:tcPr>
            <w:tcW w:w="1198" w:type="dxa"/>
            <w:shd w:val="clear" w:color="auto" w:fill="auto"/>
          </w:tcPr>
          <w:p w:rsidR="00C746C7" w:rsidRPr="000722D7" w:rsidRDefault="00C746C7" w:rsidP="00685404">
            <w:pPr>
              <w:rPr>
                <w:rFonts w:hint="eastAsia"/>
                <w:rtl/>
              </w:rPr>
            </w:pPr>
          </w:p>
        </w:tc>
        <w:tc>
          <w:tcPr>
            <w:tcW w:w="7107" w:type="dxa"/>
            <w:shd w:val="clear" w:color="auto" w:fill="auto"/>
          </w:tcPr>
          <w:p w:rsidR="00C746C7" w:rsidRPr="009F4DC1" w:rsidRDefault="00C746C7" w:rsidP="009F4DC1">
            <w:pPr>
              <w:tabs>
                <w:tab w:val="right" w:pos="1080"/>
                <w:tab w:val="left" w:pos="1296"/>
                <w:tab w:val="left" w:pos="1728"/>
                <w:tab w:val="right" w:leader="dot" w:pos="9029"/>
              </w:tabs>
              <w:rPr>
                <w:rFonts w:hint="cs"/>
                <w:spacing w:val="60"/>
                <w:sz w:val="17"/>
                <w:rtl/>
              </w:rPr>
            </w:pPr>
            <w:r>
              <w:rPr>
                <w:rFonts w:hint="cs"/>
                <w:rtl/>
              </w:rPr>
              <w:t xml:space="preserve">المادة 6 </w:t>
            </w:r>
            <w:r w:rsidR="00F4552E">
              <w:rPr>
                <w:rFonts w:hint="cs"/>
                <w:rtl/>
              </w:rPr>
              <w:t>-</w:t>
            </w:r>
            <w:r>
              <w:rPr>
                <w:rFonts w:hint="cs"/>
                <w:rtl/>
              </w:rPr>
              <w:t xml:space="preserve"> استغلال المرأة</w:t>
            </w:r>
            <w:r w:rsidR="009F4DC1">
              <w:rPr>
                <w:spacing w:val="60"/>
                <w:sz w:val="17"/>
                <w:rtl/>
              </w:rPr>
              <w:tab/>
            </w:r>
          </w:p>
        </w:tc>
        <w:tc>
          <w:tcPr>
            <w:tcW w:w="309" w:type="dxa"/>
            <w:shd w:val="clear" w:color="auto" w:fill="auto"/>
          </w:tcPr>
          <w:p w:rsidR="00C746C7" w:rsidRPr="000722D7" w:rsidRDefault="00C746C7" w:rsidP="00685404">
            <w:pPr>
              <w:rPr>
                <w:rFonts w:hint="eastAsia"/>
                <w:rtl/>
              </w:rPr>
            </w:pPr>
          </w:p>
        </w:tc>
        <w:tc>
          <w:tcPr>
            <w:tcW w:w="1220" w:type="dxa"/>
            <w:shd w:val="clear" w:color="auto" w:fill="auto"/>
          </w:tcPr>
          <w:p w:rsidR="00C746C7" w:rsidRPr="000722D7" w:rsidRDefault="007626B4" w:rsidP="00685404">
            <w:pPr>
              <w:rPr>
                <w:rFonts w:hint="cs"/>
                <w:rtl/>
              </w:rPr>
            </w:pPr>
            <w:r>
              <w:rPr>
                <w:rFonts w:hint="cs"/>
                <w:rtl/>
              </w:rPr>
              <w:t>19</w:t>
            </w:r>
          </w:p>
        </w:tc>
      </w:tr>
      <w:tr w:rsidR="00C746C7" w:rsidRPr="000722D7">
        <w:tblPrEx>
          <w:tblCellMar>
            <w:top w:w="0" w:type="dxa"/>
            <w:bottom w:w="0" w:type="dxa"/>
          </w:tblCellMar>
        </w:tblPrEx>
        <w:tc>
          <w:tcPr>
            <w:tcW w:w="1198" w:type="dxa"/>
            <w:shd w:val="clear" w:color="auto" w:fill="auto"/>
          </w:tcPr>
          <w:p w:rsidR="00C746C7" w:rsidRPr="000722D7" w:rsidRDefault="00C746C7" w:rsidP="00685404">
            <w:pPr>
              <w:rPr>
                <w:rFonts w:hint="eastAsia"/>
                <w:rtl/>
              </w:rPr>
            </w:pPr>
          </w:p>
        </w:tc>
        <w:tc>
          <w:tcPr>
            <w:tcW w:w="7107" w:type="dxa"/>
            <w:shd w:val="clear" w:color="auto" w:fill="auto"/>
          </w:tcPr>
          <w:p w:rsidR="00C746C7" w:rsidRPr="009F4DC1" w:rsidRDefault="00C746C7" w:rsidP="009F4DC1">
            <w:pPr>
              <w:tabs>
                <w:tab w:val="right" w:pos="1080"/>
                <w:tab w:val="left" w:pos="1296"/>
                <w:tab w:val="left" w:pos="1728"/>
                <w:tab w:val="left" w:pos="2160"/>
                <w:tab w:val="left" w:pos="2592"/>
                <w:tab w:val="right" w:leader="dot" w:pos="9029"/>
              </w:tabs>
              <w:rPr>
                <w:rFonts w:hint="cs"/>
                <w:spacing w:val="60"/>
                <w:sz w:val="17"/>
                <w:rtl/>
              </w:rPr>
            </w:pPr>
            <w:r>
              <w:rPr>
                <w:rFonts w:hint="cs"/>
                <w:rtl/>
              </w:rPr>
              <w:t xml:space="preserve">المادة 7 </w:t>
            </w:r>
            <w:r w:rsidR="00F4552E">
              <w:rPr>
                <w:rFonts w:hint="cs"/>
                <w:rtl/>
              </w:rPr>
              <w:t>-</w:t>
            </w:r>
            <w:r>
              <w:rPr>
                <w:rFonts w:hint="cs"/>
                <w:rtl/>
              </w:rPr>
              <w:t xml:space="preserve"> الحياة السياسية و</w:t>
            </w:r>
            <w:r w:rsidR="00C52E04">
              <w:rPr>
                <w:rFonts w:hint="cs"/>
                <w:rtl/>
              </w:rPr>
              <w:t xml:space="preserve">الحياة </w:t>
            </w:r>
            <w:r>
              <w:rPr>
                <w:rFonts w:hint="cs"/>
                <w:rtl/>
              </w:rPr>
              <w:t>العامة</w:t>
            </w:r>
            <w:r w:rsidR="009F4DC1">
              <w:rPr>
                <w:spacing w:val="60"/>
                <w:sz w:val="17"/>
                <w:rtl/>
              </w:rPr>
              <w:tab/>
            </w:r>
          </w:p>
        </w:tc>
        <w:tc>
          <w:tcPr>
            <w:tcW w:w="309" w:type="dxa"/>
            <w:shd w:val="clear" w:color="auto" w:fill="auto"/>
          </w:tcPr>
          <w:p w:rsidR="00C746C7" w:rsidRPr="000722D7" w:rsidRDefault="00C746C7" w:rsidP="00685404">
            <w:pPr>
              <w:rPr>
                <w:rFonts w:hint="eastAsia"/>
                <w:rtl/>
              </w:rPr>
            </w:pPr>
          </w:p>
        </w:tc>
        <w:tc>
          <w:tcPr>
            <w:tcW w:w="1220" w:type="dxa"/>
            <w:shd w:val="clear" w:color="auto" w:fill="auto"/>
          </w:tcPr>
          <w:p w:rsidR="00C746C7" w:rsidRPr="000722D7" w:rsidRDefault="007626B4" w:rsidP="00685404">
            <w:pPr>
              <w:rPr>
                <w:rFonts w:hint="cs"/>
                <w:rtl/>
              </w:rPr>
            </w:pPr>
            <w:r>
              <w:rPr>
                <w:rFonts w:hint="cs"/>
                <w:rtl/>
              </w:rPr>
              <w:t>26</w:t>
            </w:r>
          </w:p>
        </w:tc>
      </w:tr>
      <w:tr w:rsidR="00C746C7" w:rsidRPr="000722D7">
        <w:tblPrEx>
          <w:tblCellMar>
            <w:top w:w="0" w:type="dxa"/>
            <w:bottom w:w="0" w:type="dxa"/>
          </w:tblCellMar>
        </w:tblPrEx>
        <w:tc>
          <w:tcPr>
            <w:tcW w:w="1198" w:type="dxa"/>
            <w:shd w:val="clear" w:color="auto" w:fill="auto"/>
          </w:tcPr>
          <w:p w:rsidR="00C746C7" w:rsidRPr="000722D7" w:rsidRDefault="00C746C7" w:rsidP="00685404">
            <w:pPr>
              <w:rPr>
                <w:rFonts w:hint="eastAsia"/>
                <w:rtl/>
              </w:rPr>
            </w:pPr>
          </w:p>
        </w:tc>
        <w:tc>
          <w:tcPr>
            <w:tcW w:w="7107" w:type="dxa"/>
            <w:shd w:val="clear" w:color="auto" w:fill="auto"/>
          </w:tcPr>
          <w:p w:rsidR="00C746C7" w:rsidRPr="009F4DC1" w:rsidRDefault="00C746C7" w:rsidP="009F4DC1">
            <w:pPr>
              <w:tabs>
                <w:tab w:val="right" w:pos="1080"/>
                <w:tab w:val="left" w:pos="1296"/>
                <w:tab w:val="left" w:pos="1728"/>
                <w:tab w:val="left" w:pos="2160"/>
                <w:tab w:val="left" w:pos="2592"/>
                <w:tab w:val="left" w:pos="3024"/>
                <w:tab w:val="right" w:leader="dot" w:pos="9029"/>
              </w:tabs>
              <w:rPr>
                <w:rFonts w:hint="cs"/>
                <w:spacing w:val="60"/>
                <w:sz w:val="17"/>
                <w:rtl/>
              </w:rPr>
            </w:pPr>
            <w:r>
              <w:rPr>
                <w:rFonts w:hint="cs"/>
                <w:rtl/>
              </w:rPr>
              <w:t xml:space="preserve">المادة 8 </w:t>
            </w:r>
            <w:r w:rsidR="00F4552E">
              <w:rPr>
                <w:rFonts w:hint="cs"/>
                <w:rtl/>
              </w:rPr>
              <w:t>-</w:t>
            </w:r>
            <w:r>
              <w:rPr>
                <w:rFonts w:hint="cs"/>
                <w:rtl/>
              </w:rPr>
              <w:t xml:space="preserve"> التمثيل الدولي والمشاركة الدولية</w:t>
            </w:r>
            <w:r w:rsidR="009F4DC1">
              <w:rPr>
                <w:spacing w:val="60"/>
                <w:sz w:val="17"/>
                <w:rtl/>
              </w:rPr>
              <w:tab/>
            </w:r>
          </w:p>
        </w:tc>
        <w:tc>
          <w:tcPr>
            <w:tcW w:w="309" w:type="dxa"/>
            <w:shd w:val="clear" w:color="auto" w:fill="auto"/>
          </w:tcPr>
          <w:p w:rsidR="00C746C7" w:rsidRPr="000722D7" w:rsidRDefault="00C746C7" w:rsidP="00685404">
            <w:pPr>
              <w:rPr>
                <w:rFonts w:hint="eastAsia"/>
                <w:rtl/>
              </w:rPr>
            </w:pPr>
          </w:p>
        </w:tc>
        <w:tc>
          <w:tcPr>
            <w:tcW w:w="1220" w:type="dxa"/>
            <w:shd w:val="clear" w:color="auto" w:fill="auto"/>
          </w:tcPr>
          <w:p w:rsidR="00C746C7" w:rsidRPr="000722D7" w:rsidRDefault="007626B4" w:rsidP="00685404">
            <w:pPr>
              <w:rPr>
                <w:rFonts w:hint="cs"/>
                <w:rtl/>
              </w:rPr>
            </w:pPr>
            <w:r>
              <w:rPr>
                <w:rFonts w:hint="cs"/>
                <w:rtl/>
              </w:rPr>
              <w:t>31</w:t>
            </w:r>
          </w:p>
        </w:tc>
      </w:tr>
      <w:tr w:rsidR="00C746C7" w:rsidRPr="000722D7">
        <w:tblPrEx>
          <w:tblCellMar>
            <w:top w:w="0" w:type="dxa"/>
            <w:bottom w:w="0" w:type="dxa"/>
          </w:tblCellMar>
        </w:tblPrEx>
        <w:tc>
          <w:tcPr>
            <w:tcW w:w="1198" w:type="dxa"/>
            <w:shd w:val="clear" w:color="auto" w:fill="auto"/>
          </w:tcPr>
          <w:p w:rsidR="00C746C7" w:rsidRPr="000722D7" w:rsidRDefault="00C746C7" w:rsidP="00685404">
            <w:pPr>
              <w:rPr>
                <w:rFonts w:hint="eastAsia"/>
                <w:rtl/>
              </w:rPr>
            </w:pPr>
          </w:p>
        </w:tc>
        <w:tc>
          <w:tcPr>
            <w:tcW w:w="7107" w:type="dxa"/>
            <w:shd w:val="clear" w:color="auto" w:fill="auto"/>
          </w:tcPr>
          <w:p w:rsidR="00C746C7" w:rsidRPr="009F4DC1" w:rsidRDefault="00C746C7" w:rsidP="009F4DC1">
            <w:pPr>
              <w:tabs>
                <w:tab w:val="right" w:pos="1080"/>
                <w:tab w:val="left" w:pos="1296"/>
                <w:tab w:val="right" w:leader="dot" w:pos="9029"/>
              </w:tabs>
              <w:rPr>
                <w:rFonts w:hint="cs"/>
                <w:spacing w:val="60"/>
                <w:sz w:val="17"/>
                <w:rtl/>
              </w:rPr>
            </w:pPr>
            <w:r>
              <w:rPr>
                <w:rFonts w:hint="cs"/>
                <w:rtl/>
              </w:rPr>
              <w:t xml:space="preserve">المادة 9 </w:t>
            </w:r>
            <w:r w:rsidR="00F4552E">
              <w:rPr>
                <w:rFonts w:hint="cs"/>
                <w:rtl/>
              </w:rPr>
              <w:t>-</w:t>
            </w:r>
            <w:r>
              <w:rPr>
                <w:rFonts w:hint="cs"/>
                <w:rtl/>
              </w:rPr>
              <w:t xml:space="preserve"> الجنسية</w:t>
            </w:r>
            <w:r w:rsidR="009F4DC1">
              <w:rPr>
                <w:spacing w:val="60"/>
                <w:sz w:val="17"/>
                <w:rtl/>
              </w:rPr>
              <w:tab/>
            </w:r>
          </w:p>
        </w:tc>
        <w:tc>
          <w:tcPr>
            <w:tcW w:w="309" w:type="dxa"/>
            <w:shd w:val="clear" w:color="auto" w:fill="auto"/>
          </w:tcPr>
          <w:p w:rsidR="00C746C7" w:rsidRPr="000722D7" w:rsidRDefault="00C746C7" w:rsidP="00685404">
            <w:pPr>
              <w:rPr>
                <w:rFonts w:hint="eastAsia"/>
                <w:rtl/>
              </w:rPr>
            </w:pPr>
          </w:p>
        </w:tc>
        <w:tc>
          <w:tcPr>
            <w:tcW w:w="1220" w:type="dxa"/>
            <w:shd w:val="clear" w:color="auto" w:fill="auto"/>
          </w:tcPr>
          <w:p w:rsidR="00C746C7" w:rsidRPr="000722D7" w:rsidRDefault="007626B4" w:rsidP="00685404">
            <w:pPr>
              <w:rPr>
                <w:rFonts w:hint="cs"/>
                <w:rtl/>
              </w:rPr>
            </w:pPr>
            <w:r>
              <w:rPr>
                <w:rFonts w:hint="cs"/>
                <w:rtl/>
              </w:rPr>
              <w:t>33</w:t>
            </w:r>
          </w:p>
        </w:tc>
      </w:tr>
      <w:tr w:rsidR="00C746C7" w:rsidRPr="000722D7">
        <w:tblPrEx>
          <w:tblCellMar>
            <w:top w:w="0" w:type="dxa"/>
            <w:bottom w:w="0" w:type="dxa"/>
          </w:tblCellMar>
        </w:tblPrEx>
        <w:tc>
          <w:tcPr>
            <w:tcW w:w="1198" w:type="dxa"/>
            <w:shd w:val="clear" w:color="auto" w:fill="auto"/>
          </w:tcPr>
          <w:p w:rsidR="00C746C7" w:rsidRPr="000722D7" w:rsidRDefault="00C746C7" w:rsidP="00685404">
            <w:pPr>
              <w:rPr>
                <w:rFonts w:hint="eastAsia"/>
                <w:rtl/>
              </w:rPr>
            </w:pPr>
          </w:p>
        </w:tc>
        <w:tc>
          <w:tcPr>
            <w:tcW w:w="7107" w:type="dxa"/>
            <w:shd w:val="clear" w:color="auto" w:fill="auto"/>
          </w:tcPr>
          <w:p w:rsidR="00C746C7" w:rsidRPr="009F4DC1" w:rsidRDefault="00C746C7" w:rsidP="009F4DC1">
            <w:pPr>
              <w:tabs>
                <w:tab w:val="right" w:pos="1080"/>
                <w:tab w:val="left" w:pos="1296"/>
                <w:tab w:val="right" w:leader="dot" w:pos="9029"/>
              </w:tabs>
              <w:rPr>
                <w:rFonts w:hint="cs"/>
                <w:spacing w:val="60"/>
                <w:sz w:val="17"/>
                <w:rtl/>
              </w:rPr>
            </w:pPr>
            <w:r>
              <w:rPr>
                <w:rFonts w:hint="cs"/>
                <w:rtl/>
              </w:rPr>
              <w:t xml:space="preserve">المادة 10 </w:t>
            </w:r>
            <w:r w:rsidR="00F4552E">
              <w:rPr>
                <w:rFonts w:hint="cs"/>
                <w:rtl/>
              </w:rPr>
              <w:t>-</w:t>
            </w:r>
            <w:r>
              <w:rPr>
                <w:rFonts w:hint="cs"/>
                <w:rtl/>
              </w:rPr>
              <w:t xml:space="preserve"> التعليم</w:t>
            </w:r>
            <w:r w:rsidR="009F4DC1">
              <w:rPr>
                <w:spacing w:val="60"/>
                <w:sz w:val="17"/>
                <w:rtl/>
              </w:rPr>
              <w:tab/>
            </w:r>
          </w:p>
        </w:tc>
        <w:tc>
          <w:tcPr>
            <w:tcW w:w="309" w:type="dxa"/>
            <w:shd w:val="clear" w:color="auto" w:fill="auto"/>
          </w:tcPr>
          <w:p w:rsidR="00C746C7" w:rsidRPr="000722D7" w:rsidRDefault="00C746C7" w:rsidP="00685404">
            <w:pPr>
              <w:rPr>
                <w:rFonts w:hint="eastAsia"/>
                <w:rtl/>
              </w:rPr>
            </w:pPr>
          </w:p>
        </w:tc>
        <w:tc>
          <w:tcPr>
            <w:tcW w:w="1220" w:type="dxa"/>
            <w:shd w:val="clear" w:color="auto" w:fill="auto"/>
          </w:tcPr>
          <w:p w:rsidR="00C746C7" w:rsidRPr="000722D7" w:rsidRDefault="007626B4" w:rsidP="00685404">
            <w:pPr>
              <w:rPr>
                <w:rFonts w:hint="cs"/>
                <w:rtl/>
              </w:rPr>
            </w:pPr>
            <w:r>
              <w:rPr>
                <w:rFonts w:hint="cs"/>
                <w:rtl/>
              </w:rPr>
              <w:t>34</w:t>
            </w:r>
          </w:p>
        </w:tc>
      </w:tr>
      <w:tr w:rsidR="00C746C7" w:rsidRPr="000722D7">
        <w:tblPrEx>
          <w:tblCellMar>
            <w:top w:w="0" w:type="dxa"/>
            <w:bottom w:w="0" w:type="dxa"/>
          </w:tblCellMar>
        </w:tblPrEx>
        <w:tc>
          <w:tcPr>
            <w:tcW w:w="1198" w:type="dxa"/>
            <w:shd w:val="clear" w:color="auto" w:fill="auto"/>
          </w:tcPr>
          <w:p w:rsidR="00C746C7" w:rsidRPr="000722D7" w:rsidRDefault="00C746C7" w:rsidP="00685404">
            <w:pPr>
              <w:rPr>
                <w:rFonts w:hint="eastAsia"/>
                <w:rtl/>
              </w:rPr>
            </w:pPr>
          </w:p>
        </w:tc>
        <w:tc>
          <w:tcPr>
            <w:tcW w:w="7107" w:type="dxa"/>
            <w:shd w:val="clear" w:color="auto" w:fill="auto"/>
          </w:tcPr>
          <w:p w:rsidR="00C746C7" w:rsidRPr="009F4DC1" w:rsidRDefault="00C746C7" w:rsidP="009F4DC1">
            <w:pPr>
              <w:tabs>
                <w:tab w:val="right" w:pos="1080"/>
                <w:tab w:val="left" w:pos="1296"/>
                <w:tab w:val="right" w:leader="dot" w:pos="9029"/>
              </w:tabs>
              <w:rPr>
                <w:rFonts w:hint="cs"/>
                <w:spacing w:val="60"/>
                <w:sz w:val="17"/>
                <w:rtl/>
              </w:rPr>
            </w:pPr>
            <w:r>
              <w:rPr>
                <w:rFonts w:hint="cs"/>
                <w:rtl/>
              </w:rPr>
              <w:t xml:space="preserve">المادة 11 </w:t>
            </w:r>
            <w:r w:rsidR="00F4552E">
              <w:rPr>
                <w:rFonts w:hint="cs"/>
                <w:rtl/>
              </w:rPr>
              <w:t>-</w:t>
            </w:r>
            <w:r>
              <w:rPr>
                <w:rFonts w:hint="cs"/>
                <w:rtl/>
              </w:rPr>
              <w:t xml:space="preserve"> العمالة</w:t>
            </w:r>
            <w:r w:rsidR="009F4DC1">
              <w:rPr>
                <w:spacing w:val="60"/>
                <w:sz w:val="17"/>
                <w:rtl/>
              </w:rPr>
              <w:tab/>
            </w:r>
          </w:p>
        </w:tc>
        <w:tc>
          <w:tcPr>
            <w:tcW w:w="309" w:type="dxa"/>
            <w:shd w:val="clear" w:color="auto" w:fill="auto"/>
          </w:tcPr>
          <w:p w:rsidR="00C746C7" w:rsidRPr="000722D7" w:rsidRDefault="00C746C7" w:rsidP="00685404">
            <w:pPr>
              <w:rPr>
                <w:rFonts w:hint="eastAsia"/>
                <w:rtl/>
              </w:rPr>
            </w:pPr>
          </w:p>
        </w:tc>
        <w:tc>
          <w:tcPr>
            <w:tcW w:w="1220" w:type="dxa"/>
            <w:shd w:val="clear" w:color="auto" w:fill="auto"/>
          </w:tcPr>
          <w:p w:rsidR="00C746C7" w:rsidRPr="000722D7" w:rsidRDefault="007626B4" w:rsidP="00685404">
            <w:pPr>
              <w:rPr>
                <w:rFonts w:hint="cs"/>
                <w:rtl/>
              </w:rPr>
            </w:pPr>
            <w:r>
              <w:rPr>
                <w:rFonts w:hint="cs"/>
                <w:rtl/>
              </w:rPr>
              <w:t>37</w:t>
            </w:r>
          </w:p>
        </w:tc>
      </w:tr>
      <w:tr w:rsidR="00C746C7" w:rsidRPr="000722D7">
        <w:tblPrEx>
          <w:tblCellMar>
            <w:top w:w="0" w:type="dxa"/>
            <w:bottom w:w="0" w:type="dxa"/>
          </w:tblCellMar>
        </w:tblPrEx>
        <w:tc>
          <w:tcPr>
            <w:tcW w:w="1198" w:type="dxa"/>
            <w:shd w:val="clear" w:color="auto" w:fill="auto"/>
          </w:tcPr>
          <w:p w:rsidR="00C746C7" w:rsidRPr="000722D7" w:rsidRDefault="00C746C7" w:rsidP="00685404">
            <w:pPr>
              <w:rPr>
                <w:rFonts w:hint="eastAsia"/>
                <w:rtl/>
              </w:rPr>
            </w:pPr>
          </w:p>
        </w:tc>
        <w:tc>
          <w:tcPr>
            <w:tcW w:w="7107" w:type="dxa"/>
            <w:shd w:val="clear" w:color="auto" w:fill="auto"/>
          </w:tcPr>
          <w:p w:rsidR="00C746C7" w:rsidRPr="009F4DC1" w:rsidRDefault="00C746C7" w:rsidP="009F4DC1">
            <w:pPr>
              <w:tabs>
                <w:tab w:val="right" w:pos="1080"/>
                <w:tab w:val="left" w:pos="1296"/>
                <w:tab w:val="left" w:pos="1728"/>
                <w:tab w:val="left" w:pos="2160"/>
                <w:tab w:val="left" w:pos="2592"/>
                <w:tab w:val="left" w:pos="3024"/>
                <w:tab w:val="left" w:pos="3456"/>
                <w:tab w:val="left" w:pos="3888"/>
                <w:tab w:val="right" w:leader="dot" w:pos="9029"/>
              </w:tabs>
              <w:rPr>
                <w:rFonts w:hint="cs"/>
                <w:spacing w:val="60"/>
                <w:sz w:val="17"/>
                <w:rtl/>
              </w:rPr>
            </w:pPr>
            <w:r>
              <w:rPr>
                <w:rFonts w:hint="cs"/>
                <w:rtl/>
              </w:rPr>
              <w:t xml:space="preserve">المادة 12 </w:t>
            </w:r>
            <w:r w:rsidR="00F4552E">
              <w:rPr>
                <w:rFonts w:hint="cs"/>
                <w:rtl/>
              </w:rPr>
              <w:t>-</w:t>
            </w:r>
            <w:r>
              <w:rPr>
                <w:rFonts w:hint="cs"/>
                <w:rtl/>
              </w:rPr>
              <w:t xml:space="preserve"> المساواة في الحصول على الرعاية الصحية</w:t>
            </w:r>
            <w:r w:rsidR="009F4DC1">
              <w:rPr>
                <w:spacing w:val="60"/>
                <w:sz w:val="17"/>
                <w:rtl/>
              </w:rPr>
              <w:tab/>
            </w:r>
          </w:p>
        </w:tc>
        <w:tc>
          <w:tcPr>
            <w:tcW w:w="309" w:type="dxa"/>
            <w:shd w:val="clear" w:color="auto" w:fill="auto"/>
          </w:tcPr>
          <w:p w:rsidR="00C746C7" w:rsidRPr="000722D7" w:rsidRDefault="00C746C7" w:rsidP="00685404">
            <w:pPr>
              <w:rPr>
                <w:rFonts w:hint="eastAsia"/>
                <w:rtl/>
              </w:rPr>
            </w:pPr>
          </w:p>
        </w:tc>
        <w:tc>
          <w:tcPr>
            <w:tcW w:w="1220" w:type="dxa"/>
            <w:shd w:val="clear" w:color="auto" w:fill="auto"/>
          </w:tcPr>
          <w:p w:rsidR="00C746C7" w:rsidRPr="000722D7" w:rsidRDefault="007626B4" w:rsidP="00685404">
            <w:pPr>
              <w:rPr>
                <w:rFonts w:hint="cs"/>
                <w:rtl/>
              </w:rPr>
            </w:pPr>
            <w:r>
              <w:rPr>
                <w:rFonts w:hint="cs"/>
                <w:rtl/>
              </w:rPr>
              <w:t>49</w:t>
            </w:r>
          </w:p>
        </w:tc>
      </w:tr>
      <w:tr w:rsidR="00C746C7" w:rsidRPr="000722D7">
        <w:tblPrEx>
          <w:tblCellMar>
            <w:top w:w="0" w:type="dxa"/>
            <w:bottom w:w="0" w:type="dxa"/>
          </w:tblCellMar>
        </w:tblPrEx>
        <w:tc>
          <w:tcPr>
            <w:tcW w:w="1198" w:type="dxa"/>
            <w:shd w:val="clear" w:color="auto" w:fill="auto"/>
          </w:tcPr>
          <w:p w:rsidR="00C746C7" w:rsidRPr="000722D7" w:rsidRDefault="00C746C7" w:rsidP="00685404">
            <w:pPr>
              <w:rPr>
                <w:rFonts w:hint="eastAsia"/>
                <w:rtl/>
              </w:rPr>
            </w:pPr>
          </w:p>
        </w:tc>
        <w:tc>
          <w:tcPr>
            <w:tcW w:w="7107" w:type="dxa"/>
            <w:shd w:val="clear" w:color="auto" w:fill="auto"/>
          </w:tcPr>
          <w:p w:rsidR="00C746C7" w:rsidRPr="009F4DC1" w:rsidRDefault="00C746C7" w:rsidP="009F4DC1">
            <w:pPr>
              <w:tabs>
                <w:tab w:val="right" w:pos="1080"/>
                <w:tab w:val="left" w:pos="1296"/>
                <w:tab w:val="left" w:pos="1728"/>
                <w:tab w:val="left" w:pos="2160"/>
                <w:tab w:val="left" w:pos="2592"/>
                <w:tab w:val="left" w:pos="3024"/>
                <w:tab w:val="left" w:pos="3456"/>
                <w:tab w:val="left" w:pos="3888"/>
                <w:tab w:val="right" w:leader="dot" w:pos="9029"/>
              </w:tabs>
              <w:rPr>
                <w:rFonts w:hint="cs"/>
                <w:spacing w:val="60"/>
                <w:sz w:val="17"/>
                <w:rtl/>
              </w:rPr>
            </w:pPr>
            <w:r>
              <w:rPr>
                <w:rFonts w:hint="cs"/>
                <w:rtl/>
              </w:rPr>
              <w:t xml:space="preserve">المادة 13 </w:t>
            </w:r>
            <w:r w:rsidR="00F4552E">
              <w:rPr>
                <w:rFonts w:hint="cs"/>
                <w:rtl/>
              </w:rPr>
              <w:t>-</w:t>
            </w:r>
            <w:r>
              <w:rPr>
                <w:rFonts w:hint="cs"/>
                <w:rtl/>
              </w:rPr>
              <w:t xml:space="preserve"> الاستحقاقات الاجتماعية والاقتصادية</w:t>
            </w:r>
            <w:r w:rsidR="009F4DC1">
              <w:rPr>
                <w:spacing w:val="60"/>
                <w:sz w:val="17"/>
                <w:rtl/>
              </w:rPr>
              <w:tab/>
            </w:r>
          </w:p>
        </w:tc>
        <w:tc>
          <w:tcPr>
            <w:tcW w:w="309" w:type="dxa"/>
            <w:shd w:val="clear" w:color="auto" w:fill="auto"/>
          </w:tcPr>
          <w:p w:rsidR="00C746C7" w:rsidRPr="000722D7" w:rsidRDefault="00C746C7" w:rsidP="00685404">
            <w:pPr>
              <w:rPr>
                <w:rFonts w:hint="eastAsia"/>
                <w:rtl/>
              </w:rPr>
            </w:pPr>
          </w:p>
        </w:tc>
        <w:tc>
          <w:tcPr>
            <w:tcW w:w="1220" w:type="dxa"/>
            <w:shd w:val="clear" w:color="auto" w:fill="auto"/>
          </w:tcPr>
          <w:p w:rsidR="00C746C7" w:rsidRPr="000722D7" w:rsidRDefault="007626B4" w:rsidP="00685404">
            <w:pPr>
              <w:rPr>
                <w:rFonts w:hint="cs"/>
                <w:rtl/>
              </w:rPr>
            </w:pPr>
            <w:r>
              <w:rPr>
                <w:rFonts w:hint="cs"/>
                <w:rtl/>
              </w:rPr>
              <w:t>57</w:t>
            </w:r>
          </w:p>
        </w:tc>
      </w:tr>
      <w:tr w:rsidR="00C746C7" w:rsidRPr="000722D7">
        <w:tblPrEx>
          <w:tblCellMar>
            <w:top w:w="0" w:type="dxa"/>
            <w:bottom w:w="0" w:type="dxa"/>
          </w:tblCellMar>
        </w:tblPrEx>
        <w:tc>
          <w:tcPr>
            <w:tcW w:w="1198" w:type="dxa"/>
            <w:shd w:val="clear" w:color="auto" w:fill="auto"/>
          </w:tcPr>
          <w:p w:rsidR="00C746C7" w:rsidRPr="000722D7" w:rsidRDefault="00C746C7" w:rsidP="00685404">
            <w:pPr>
              <w:rPr>
                <w:rFonts w:hint="eastAsia"/>
                <w:rtl/>
              </w:rPr>
            </w:pPr>
          </w:p>
        </w:tc>
        <w:tc>
          <w:tcPr>
            <w:tcW w:w="7107" w:type="dxa"/>
            <w:shd w:val="clear" w:color="auto" w:fill="auto"/>
          </w:tcPr>
          <w:p w:rsidR="00C746C7" w:rsidRPr="009F4DC1" w:rsidRDefault="00C746C7" w:rsidP="009F4DC1">
            <w:pPr>
              <w:tabs>
                <w:tab w:val="right" w:pos="1080"/>
                <w:tab w:val="left" w:pos="1296"/>
                <w:tab w:val="left" w:pos="1728"/>
                <w:tab w:val="right" w:leader="dot" w:pos="9029"/>
              </w:tabs>
              <w:rPr>
                <w:rFonts w:hint="cs"/>
                <w:spacing w:val="60"/>
                <w:sz w:val="17"/>
                <w:rtl/>
              </w:rPr>
            </w:pPr>
            <w:r>
              <w:rPr>
                <w:rFonts w:hint="cs"/>
                <w:rtl/>
              </w:rPr>
              <w:t xml:space="preserve">المادة 14 </w:t>
            </w:r>
            <w:r w:rsidR="00F4552E">
              <w:rPr>
                <w:rFonts w:hint="cs"/>
                <w:rtl/>
              </w:rPr>
              <w:t>-</w:t>
            </w:r>
            <w:r>
              <w:rPr>
                <w:rFonts w:hint="cs"/>
                <w:rtl/>
              </w:rPr>
              <w:t xml:space="preserve"> المرأة الريفية</w:t>
            </w:r>
            <w:r w:rsidR="009F4DC1">
              <w:rPr>
                <w:spacing w:val="60"/>
                <w:sz w:val="17"/>
                <w:rtl/>
              </w:rPr>
              <w:tab/>
            </w:r>
          </w:p>
        </w:tc>
        <w:tc>
          <w:tcPr>
            <w:tcW w:w="309" w:type="dxa"/>
            <w:shd w:val="clear" w:color="auto" w:fill="auto"/>
          </w:tcPr>
          <w:p w:rsidR="00C746C7" w:rsidRPr="000722D7" w:rsidRDefault="00C746C7" w:rsidP="00685404">
            <w:pPr>
              <w:rPr>
                <w:rFonts w:hint="eastAsia"/>
                <w:rtl/>
              </w:rPr>
            </w:pPr>
          </w:p>
        </w:tc>
        <w:tc>
          <w:tcPr>
            <w:tcW w:w="1220" w:type="dxa"/>
            <w:shd w:val="clear" w:color="auto" w:fill="auto"/>
          </w:tcPr>
          <w:p w:rsidR="00C746C7" w:rsidRPr="000722D7" w:rsidRDefault="007626B4" w:rsidP="00685404">
            <w:pPr>
              <w:rPr>
                <w:rFonts w:hint="cs"/>
                <w:rtl/>
              </w:rPr>
            </w:pPr>
            <w:r>
              <w:rPr>
                <w:rFonts w:hint="cs"/>
                <w:rtl/>
              </w:rPr>
              <w:t>63</w:t>
            </w:r>
          </w:p>
        </w:tc>
      </w:tr>
      <w:tr w:rsidR="00C746C7" w:rsidRPr="000722D7">
        <w:tblPrEx>
          <w:tblCellMar>
            <w:top w:w="0" w:type="dxa"/>
            <w:bottom w:w="0" w:type="dxa"/>
          </w:tblCellMar>
        </w:tblPrEx>
        <w:tc>
          <w:tcPr>
            <w:tcW w:w="1198" w:type="dxa"/>
            <w:shd w:val="clear" w:color="auto" w:fill="auto"/>
          </w:tcPr>
          <w:p w:rsidR="00C746C7" w:rsidRPr="000722D7" w:rsidRDefault="00C746C7" w:rsidP="00685404">
            <w:pPr>
              <w:rPr>
                <w:rFonts w:hint="eastAsia"/>
                <w:rtl/>
              </w:rPr>
            </w:pPr>
          </w:p>
        </w:tc>
        <w:tc>
          <w:tcPr>
            <w:tcW w:w="7107" w:type="dxa"/>
            <w:shd w:val="clear" w:color="auto" w:fill="auto"/>
          </w:tcPr>
          <w:p w:rsidR="00C746C7" w:rsidRPr="009F4DC1" w:rsidRDefault="00C746C7" w:rsidP="009F4DC1">
            <w:pPr>
              <w:tabs>
                <w:tab w:val="right" w:pos="1080"/>
                <w:tab w:val="left" w:pos="1296"/>
                <w:tab w:val="left" w:pos="1728"/>
                <w:tab w:val="left" w:pos="2160"/>
                <w:tab w:val="left" w:pos="2592"/>
                <w:tab w:val="left" w:pos="3024"/>
                <w:tab w:val="left" w:pos="3456"/>
                <w:tab w:val="left" w:pos="3888"/>
                <w:tab w:val="right" w:leader="dot" w:pos="9029"/>
              </w:tabs>
              <w:rPr>
                <w:rFonts w:hint="cs"/>
                <w:spacing w:val="60"/>
                <w:sz w:val="17"/>
                <w:rtl/>
              </w:rPr>
            </w:pPr>
            <w:r>
              <w:rPr>
                <w:rFonts w:hint="cs"/>
                <w:rtl/>
              </w:rPr>
              <w:t xml:space="preserve">المادة 16 </w:t>
            </w:r>
            <w:r w:rsidR="00F4552E">
              <w:rPr>
                <w:rFonts w:hint="cs"/>
                <w:rtl/>
              </w:rPr>
              <w:t>-</w:t>
            </w:r>
            <w:r>
              <w:rPr>
                <w:rFonts w:hint="cs"/>
                <w:rtl/>
              </w:rPr>
              <w:t xml:space="preserve"> المساواة </w:t>
            </w:r>
            <w:r w:rsidR="00197924">
              <w:rPr>
                <w:rFonts w:hint="cs"/>
                <w:rtl/>
              </w:rPr>
              <w:t>أمام</w:t>
            </w:r>
            <w:r>
              <w:rPr>
                <w:rFonts w:hint="cs"/>
                <w:rtl/>
              </w:rPr>
              <w:t xml:space="preserve"> قانون الزواج وقانون الأسرة</w:t>
            </w:r>
            <w:r w:rsidR="009F4DC1">
              <w:rPr>
                <w:spacing w:val="60"/>
                <w:sz w:val="17"/>
                <w:rtl/>
              </w:rPr>
              <w:tab/>
            </w:r>
          </w:p>
        </w:tc>
        <w:tc>
          <w:tcPr>
            <w:tcW w:w="309" w:type="dxa"/>
            <w:shd w:val="clear" w:color="auto" w:fill="auto"/>
          </w:tcPr>
          <w:p w:rsidR="00C746C7" w:rsidRPr="000722D7" w:rsidRDefault="00C746C7" w:rsidP="00685404">
            <w:pPr>
              <w:rPr>
                <w:rFonts w:hint="eastAsia"/>
                <w:rtl/>
              </w:rPr>
            </w:pPr>
          </w:p>
        </w:tc>
        <w:tc>
          <w:tcPr>
            <w:tcW w:w="1220" w:type="dxa"/>
            <w:shd w:val="clear" w:color="auto" w:fill="auto"/>
          </w:tcPr>
          <w:p w:rsidR="00C746C7" w:rsidRPr="000722D7" w:rsidRDefault="007626B4" w:rsidP="00685404">
            <w:pPr>
              <w:rPr>
                <w:rFonts w:hint="cs"/>
                <w:rtl/>
              </w:rPr>
            </w:pPr>
            <w:r>
              <w:rPr>
                <w:rFonts w:hint="cs"/>
                <w:rtl/>
              </w:rPr>
              <w:t>70</w:t>
            </w:r>
          </w:p>
        </w:tc>
      </w:tr>
      <w:tr w:rsidR="00C746C7" w:rsidRPr="000722D7">
        <w:tblPrEx>
          <w:tblCellMar>
            <w:top w:w="0" w:type="dxa"/>
            <w:bottom w:w="0" w:type="dxa"/>
          </w:tblCellMar>
        </w:tblPrEx>
        <w:tc>
          <w:tcPr>
            <w:tcW w:w="1198" w:type="dxa"/>
            <w:shd w:val="clear" w:color="auto" w:fill="auto"/>
          </w:tcPr>
          <w:p w:rsidR="00C746C7" w:rsidRPr="000722D7" w:rsidRDefault="00C746C7" w:rsidP="00685404">
            <w:pPr>
              <w:rPr>
                <w:rFonts w:hint="eastAsia"/>
                <w:rtl/>
              </w:rPr>
            </w:pPr>
          </w:p>
        </w:tc>
        <w:tc>
          <w:tcPr>
            <w:tcW w:w="7107" w:type="dxa"/>
            <w:shd w:val="clear" w:color="auto" w:fill="auto"/>
          </w:tcPr>
          <w:p w:rsidR="00C746C7" w:rsidRPr="009F4DC1" w:rsidRDefault="00C746C7" w:rsidP="009F4DC1">
            <w:pPr>
              <w:tabs>
                <w:tab w:val="right" w:leader="dot" w:pos="9029"/>
              </w:tabs>
              <w:rPr>
                <w:rFonts w:hint="cs"/>
                <w:spacing w:val="60"/>
                <w:sz w:val="17"/>
                <w:rtl/>
              </w:rPr>
            </w:pPr>
            <w:r>
              <w:rPr>
                <w:rFonts w:hint="cs"/>
                <w:rtl/>
              </w:rPr>
              <w:t>المرفق</w:t>
            </w:r>
            <w:r w:rsidR="009F4DC1">
              <w:rPr>
                <w:spacing w:val="60"/>
                <w:sz w:val="17"/>
                <w:rtl/>
              </w:rPr>
              <w:tab/>
            </w:r>
            <w:bookmarkStart w:id="1" w:name="TmpSave"/>
            <w:bookmarkEnd w:id="1"/>
          </w:p>
        </w:tc>
        <w:tc>
          <w:tcPr>
            <w:tcW w:w="309" w:type="dxa"/>
            <w:shd w:val="clear" w:color="auto" w:fill="auto"/>
          </w:tcPr>
          <w:p w:rsidR="00C746C7" w:rsidRPr="000722D7" w:rsidRDefault="00C746C7" w:rsidP="00685404">
            <w:pPr>
              <w:rPr>
                <w:rFonts w:hint="eastAsia"/>
                <w:rtl/>
              </w:rPr>
            </w:pPr>
          </w:p>
        </w:tc>
        <w:tc>
          <w:tcPr>
            <w:tcW w:w="1220" w:type="dxa"/>
            <w:shd w:val="clear" w:color="auto" w:fill="auto"/>
          </w:tcPr>
          <w:p w:rsidR="00C746C7" w:rsidRPr="000722D7" w:rsidRDefault="007626B4" w:rsidP="00685404">
            <w:pPr>
              <w:rPr>
                <w:rFonts w:hint="cs"/>
                <w:rtl/>
              </w:rPr>
            </w:pPr>
            <w:r>
              <w:rPr>
                <w:rFonts w:hint="cs"/>
                <w:rtl/>
              </w:rPr>
              <w:t>73</w:t>
            </w:r>
          </w:p>
        </w:tc>
      </w:tr>
    </w:tbl>
    <w:p w:rsidR="00C746C7" w:rsidRDefault="00C746C7" w:rsidP="00C746C7">
      <w:pPr>
        <w:rPr>
          <w:rFonts w:hint="cs"/>
          <w:rtl/>
        </w:rPr>
      </w:pPr>
    </w:p>
    <w:p w:rsidR="00C746C7" w:rsidRDefault="00C746C7" w:rsidP="00C746C7">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tl/>
        </w:rPr>
        <w:br w:type="page"/>
      </w:r>
      <w:r>
        <w:rPr>
          <w:rFonts w:hint="cs"/>
          <w:rtl/>
        </w:rPr>
        <w:tab/>
        <w:t>المقدمة</w:t>
      </w:r>
    </w:p>
    <w:p w:rsidR="00C746C7" w:rsidRDefault="00C746C7" w:rsidP="00C746C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الحالة الاقتصادية</w:t>
      </w:r>
    </w:p>
    <w:p w:rsidR="00C746C7" w:rsidRDefault="00C746C7" w:rsidP="00EF059E">
      <w:pPr>
        <w:pStyle w:val="SingleTxt"/>
        <w:rPr>
          <w:rFonts w:hint="cs"/>
          <w:rtl/>
        </w:rPr>
      </w:pPr>
      <w:r>
        <w:rPr>
          <w:rFonts w:hint="cs"/>
          <w:rtl/>
        </w:rPr>
        <w:t>1 -</w:t>
      </w:r>
      <w:r>
        <w:rPr>
          <w:rFonts w:hint="cs"/>
          <w:rtl/>
        </w:rPr>
        <w:tab/>
        <w:t>إن المرحلة الانتقالية التي كانت بداياتها في التسعينات استمرت في الفترة 1998-2002. وكانت هذه العملية بمثابة إنجاز سياسي جذري، وأدت إلى تغييرات أساسية في المجالين الاقتصادي والاجتماعي. وكانت الإصلاحات الاقتصادية ترمي إلى تحسين قدرة الاقتصاد البولندي على المنافسة، بينما كانت أهداف التغييرات في المجال القانوني جعل قانون بولندا ينسجم مع مكتسبات الاتحاد الأوروبي وفي نهاية المطاف الاندماج في الاتحاد</w:t>
      </w:r>
      <w:r w:rsidR="00EF059E">
        <w:rPr>
          <w:rFonts w:hint="cs"/>
          <w:rtl/>
        </w:rPr>
        <w:t xml:space="preserve">. </w:t>
      </w:r>
      <w:r>
        <w:rPr>
          <w:rFonts w:hint="cs"/>
          <w:rtl/>
        </w:rPr>
        <w:t>وكان ينظر إلى ذلك بوصفه هدفا استراتيجيا للسياسات البولندية. وركزت الإصلاحات أيضا على تحسين الظروف لتحقيق تطور المجتمع المدني. وسهّل الإحصاء الوطني للسكان و</w:t>
      </w:r>
      <w:r w:rsidR="00EF059E">
        <w:rPr>
          <w:rFonts w:hint="cs"/>
          <w:rtl/>
        </w:rPr>
        <w:t>الإسكان</w:t>
      </w:r>
      <w:r>
        <w:rPr>
          <w:rFonts w:hint="cs"/>
          <w:rtl/>
        </w:rPr>
        <w:t xml:space="preserve"> في عام 2002 تقييم الحالة الاقتصادية.</w:t>
      </w:r>
    </w:p>
    <w:p w:rsidR="00C746C7" w:rsidRDefault="00C746C7" w:rsidP="00C746C7">
      <w:pPr>
        <w:pStyle w:val="SingleTxt"/>
        <w:rPr>
          <w:rFonts w:hint="cs"/>
          <w:rtl/>
        </w:rPr>
      </w:pPr>
      <w:r>
        <w:rPr>
          <w:rFonts w:hint="cs"/>
          <w:rtl/>
        </w:rPr>
        <w:t>2 -</w:t>
      </w:r>
      <w:r>
        <w:rPr>
          <w:rFonts w:hint="cs"/>
          <w:rtl/>
        </w:rPr>
        <w:tab/>
        <w:t>شهدت الفترة 1998-2002 هبوطا في معدل النمو في بولندا. وأدت الاتجاهات غير المؤاتية الداخلية والخارجية إلى انخفاض معدل النمو في الناتج المحلي الإجمالي: من 4.8 في المائة إلى 0.9 في المائة (الفصل الثاني من عام 2002)، على الرغم من أن هذا المعدل كان في الفترة 1998-1999 أعلى معدل في أوروبا. وساهمت التطورات التالية في هذه النتيجة:</w:t>
      </w:r>
    </w:p>
    <w:p w:rsidR="00C746C7" w:rsidRDefault="00C746C7" w:rsidP="00C746C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ازدياد الاستهلاك في بداية الفترة التي يغطيها التقرير؛</w:t>
      </w:r>
    </w:p>
    <w:p w:rsidR="00C746C7" w:rsidRDefault="00C746C7" w:rsidP="00C746C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التدابير الرامية إلى تخفيض الاستهلاك؛</w:t>
      </w:r>
    </w:p>
    <w:p w:rsidR="00C746C7" w:rsidRDefault="00C746C7" w:rsidP="00850BA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قلة استعداد السكان على الادخا</w:t>
      </w:r>
      <w:r w:rsidR="00850BAF">
        <w:rPr>
          <w:rFonts w:hint="cs"/>
          <w:rtl/>
        </w:rPr>
        <w:t>ر</w:t>
      </w:r>
      <w:r>
        <w:rPr>
          <w:rFonts w:hint="cs"/>
          <w:rtl/>
        </w:rPr>
        <w:t>؛</w:t>
      </w:r>
    </w:p>
    <w:p w:rsidR="00C746C7" w:rsidRDefault="00C746C7" w:rsidP="00C746C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ارتفاع كلفة الائتمانات؛</w:t>
      </w:r>
    </w:p>
    <w:p w:rsidR="00C746C7" w:rsidRDefault="00C746C7" w:rsidP="00C746C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السياسات النقدية والضريبية التقييدية؛</w:t>
      </w:r>
    </w:p>
    <w:p w:rsidR="00C746C7" w:rsidRDefault="00C746C7" w:rsidP="00C746C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أثر الأزمة في روسيا (انخفضت الصادرات إلى روسيا بمقدار الثلثين في الفترة 1998-1999). </w:t>
      </w:r>
    </w:p>
    <w:p w:rsidR="00C746C7" w:rsidRDefault="00C746C7" w:rsidP="00C746C7">
      <w:pPr>
        <w:pStyle w:val="SingleTxt"/>
        <w:rPr>
          <w:rFonts w:hint="cs"/>
          <w:rtl/>
        </w:rPr>
      </w:pPr>
      <w:r>
        <w:rPr>
          <w:rFonts w:hint="cs"/>
          <w:rtl/>
        </w:rPr>
        <w:t>والواقع أن انخفاضا هائلا حدث في الإنفاق على الاستثمارات: من زيادة قدرها 15.3 في المائة في عام 1998 إلى انخفاض قدره 9.5 في المائة في عام 2001 و 10 في المائة في عام 2002.</w:t>
      </w:r>
    </w:p>
    <w:p w:rsidR="00C746C7" w:rsidRDefault="006F5C59" w:rsidP="00EF059E">
      <w:pPr>
        <w:pStyle w:val="SingleTxt"/>
        <w:rPr>
          <w:rFonts w:hint="cs"/>
          <w:rtl/>
        </w:rPr>
      </w:pPr>
      <w:r>
        <w:rPr>
          <w:rFonts w:hint="cs"/>
          <w:rtl/>
        </w:rPr>
        <w:t>3 -</w:t>
      </w:r>
      <w:r>
        <w:rPr>
          <w:rFonts w:hint="cs"/>
          <w:rtl/>
        </w:rPr>
        <w:tab/>
        <w:t>انعكس التدهور الاقتصادي على سوق العمل. فكان عام 2002 العام الخامس على التوالي للتدهور الاقتصادي</w:t>
      </w:r>
      <w:r w:rsidR="00EF059E">
        <w:rPr>
          <w:rFonts w:hint="cs"/>
          <w:rtl/>
        </w:rPr>
        <w:t>،</w:t>
      </w:r>
      <w:r>
        <w:rPr>
          <w:rFonts w:hint="cs"/>
          <w:rtl/>
        </w:rPr>
        <w:t xml:space="preserve"> بعد الاتجاهات الإيجابية التي شوهدت في أوائل عام 1998. وأدت الاتجاهات الاقتصادية السلبية إلى انخفاض عدد الأشخاص الذين يزاولون عملا و</w:t>
      </w:r>
      <w:r w:rsidR="00EF059E">
        <w:rPr>
          <w:rFonts w:hint="cs"/>
          <w:rtl/>
        </w:rPr>
        <w:t xml:space="preserve">إلى </w:t>
      </w:r>
      <w:r>
        <w:rPr>
          <w:rFonts w:hint="cs"/>
          <w:rtl/>
        </w:rPr>
        <w:t>النمو السريع للبطالة. ومما ساعد على نمو البطالة الزيادة الأسرع في أوروبا لعدد الأشخاص الذين دخلوا سوق العمل (حوالي 000 200 في السنة). وازداد معدل البطالة من 10.4 في المائة في النص</w:t>
      </w:r>
      <w:r w:rsidR="00EF059E">
        <w:rPr>
          <w:rFonts w:hint="cs"/>
          <w:rtl/>
        </w:rPr>
        <w:t>ف</w:t>
      </w:r>
      <w:r>
        <w:rPr>
          <w:rFonts w:hint="cs"/>
          <w:rtl/>
        </w:rPr>
        <w:t xml:space="preserve"> الثاني من عام 1998 إلى 18 في المائة في النصف الثاني من عام 2002 (وردت هذه البيانات من مكاتب ال</w:t>
      </w:r>
      <w:r w:rsidR="00EF059E">
        <w:rPr>
          <w:rFonts w:hint="cs"/>
          <w:rtl/>
        </w:rPr>
        <w:t>توظيف</w:t>
      </w:r>
      <w:r>
        <w:rPr>
          <w:rFonts w:hint="cs"/>
          <w:rtl/>
        </w:rPr>
        <w:t>). وإن الأبحاث المتخصصة لسوق العمل التي أجريت وفقا للمعايير الأوروبية عن العمالة والبطالة أشارت إلى ارتفاع معدلات البطالة في عام 2002، أي إلى 19.7 في المائة.</w:t>
      </w:r>
    </w:p>
    <w:p w:rsidR="006F5C59" w:rsidRDefault="006F5C59" w:rsidP="00DF1A95">
      <w:pPr>
        <w:pStyle w:val="SingleTxt"/>
        <w:rPr>
          <w:rFonts w:hint="cs"/>
          <w:rtl/>
        </w:rPr>
      </w:pPr>
      <w:r>
        <w:rPr>
          <w:rFonts w:hint="cs"/>
          <w:rtl/>
        </w:rPr>
        <w:t>4 -</w:t>
      </w:r>
      <w:r>
        <w:rPr>
          <w:rFonts w:hint="cs"/>
          <w:rtl/>
        </w:rPr>
        <w:tab/>
        <w:t xml:space="preserve">ظلت المرأة أكثر عرضة للبطالة من الرجل. وفي الفصل الرابع من عام 2001، بلغ معدل البطالة بين النساء 20 في المائة، وكان 17.3 في المائة بالنسبة للرجل (متوسط البطالة 18.5 في المائة). تظل المرأة </w:t>
      </w:r>
      <w:r w:rsidR="00EF059E">
        <w:rPr>
          <w:rFonts w:hint="cs"/>
          <w:rtl/>
        </w:rPr>
        <w:t xml:space="preserve">كذلك </w:t>
      </w:r>
      <w:r>
        <w:rPr>
          <w:rFonts w:hint="cs"/>
          <w:rtl/>
        </w:rPr>
        <w:t xml:space="preserve">تبحث عن عمل لمدة أطول من الرجل. وفي عام 2001، ظلت أكثر من نصف النساء (56 في النساء) </w:t>
      </w:r>
      <w:r w:rsidR="00EF059E">
        <w:rPr>
          <w:rFonts w:hint="cs"/>
          <w:rtl/>
        </w:rPr>
        <w:t>ي</w:t>
      </w:r>
      <w:r>
        <w:rPr>
          <w:rFonts w:hint="cs"/>
          <w:rtl/>
        </w:rPr>
        <w:t>بحث</w:t>
      </w:r>
      <w:r w:rsidR="00EF059E">
        <w:rPr>
          <w:rFonts w:hint="cs"/>
          <w:rtl/>
        </w:rPr>
        <w:t>ن</w:t>
      </w:r>
      <w:r>
        <w:rPr>
          <w:rFonts w:hint="cs"/>
          <w:rtl/>
        </w:rPr>
        <w:t xml:space="preserve"> عن عمل لمدة تزيد عن سنة، بينما كانت النسبة المقابلة للرجل 39 في المائة. وأظهر التعداد الوطني للسكان والإسكان الذي أجري في عام 2002 معدلا للبطالة أعلى مما أشارت إليه مكاتب العمل</w:t>
      </w:r>
      <w:r w:rsidR="00EF059E">
        <w:rPr>
          <w:rFonts w:hint="cs"/>
          <w:rtl/>
        </w:rPr>
        <w:t>،</w:t>
      </w:r>
      <w:r>
        <w:rPr>
          <w:rFonts w:hint="cs"/>
          <w:rtl/>
        </w:rPr>
        <w:t xml:space="preserve"> أي 22 في المائة بين النساء و 20.6 في المائة بين الرجال (</w:t>
      </w:r>
      <w:r w:rsidR="00EF059E">
        <w:rPr>
          <w:rFonts w:hint="cs"/>
          <w:rtl/>
        </w:rPr>
        <w:t>المعدل ال</w:t>
      </w:r>
      <w:r>
        <w:rPr>
          <w:rFonts w:hint="cs"/>
          <w:rtl/>
        </w:rPr>
        <w:t xml:space="preserve">متوسط 21.2 في المائة). وأثرت البطالة بصفة رئيسية على الشباب </w:t>
      </w:r>
      <w:r w:rsidR="00EF059E">
        <w:rPr>
          <w:rFonts w:hint="cs"/>
          <w:rtl/>
        </w:rPr>
        <w:t xml:space="preserve">إذ كان </w:t>
      </w:r>
      <w:r>
        <w:rPr>
          <w:rFonts w:hint="cs"/>
          <w:rtl/>
        </w:rPr>
        <w:t xml:space="preserve">أكثر من </w:t>
      </w:r>
      <w:r w:rsidR="00EF059E">
        <w:rPr>
          <w:rFonts w:hint="cs"/>
          <w:rtl/>
        </w:rPr>
        <w:t xml:space="preserve">نصف </w:t>
      </w:r>
      <w:r>
        <w:rPr>
          <w:rFonts w:hint="cs"/>
          <w:rtl/>
        </w:rPr>
        <w:t xml:space="preserve">العاطلين عن العمل دون سن 35 سنة. ومعدل البطالة بين الأشخاص الذين </w:t>
      </w:r>
      <w:r w:rsidR="00EF059E">
        <w:rPr>
          <w:rFonts w:hint="cs"/>
          <w:rtl/>
        </w:rPr>
        <w:t>دخلوا</w:t>
      </w:r>
      <w:r>
        <w:rPr>
          <w:rFonts w:hint="cs"/>
          <w:rtl/>
        </w:rPr>
        <w:t xml:space="preserve"> سوق العمل ويتراوح عمرهم بين 15 و</w:t>
      </w:r>
      <w:r w:rsidR="00DF1A95">
        <w:rPr>
          <w:rFonts w:hint="eastAsia"/>
          <w:rtl/>
        </w:rPr>
        <w:t> </w:t>
      </w:r>
      <w:r>
        <w:rPr>
          <w:rFonts w:hint="cs"/>
          <w:rtl/>
        </w:rPr>
        <w:t xml:space="preserve">24 سنة (خريجو مختلف المدارس) </w:t>
      </w:r>
      <w:r w:rsidR="00382D9C">
        <w:rPr>
          <w:rFonts w:hint="cs"/>
          <w:rtl/>
        </w:rPr>
        <w:t>و</w:t>
      </w:r>
      <w:r>
        <w:rPr>
          <w:rFonts w:hint="cs"/>
          <w:rtl/>
        </w:rPr>
        <w:t>صل إلى ضعف متوسط معدل العاطلين عن العمل، والفرق طفيف بين الجنسين. وتتناسب البطالة عكسيا مع مستوى التعليم. ولوحظت معدلات أعلى للبطالة بين النساء اللاتي حصلن على تدريب مهني أساسي.</w:t>
      </w:r>
    </w:p>
    <w:p w:rsidR="006F5C59" w:rsidRDefault="006F5C59" w:rsidP="00382D9C">
      <w:pPr>
        <w:pStyle w:val="SingleTxt"/>
        <w:rPr>
          <w:rFonts w:hint="cs"/>
          <w:rtl/>
        </w:rPr>
      </w:pPr>
      <w:r>
        <w:rPr>
          <w:rFonts w:hint="cs"/>
          <w:rtl/>
        </w:rPr>
        <w:t>5 -</w:t>
      </w:r>
      <w:r>
        <w:rPr>
          <w:rFonts w:hint="cs"/>
          <w:rtl/>
        </w:rPr>
        <w:tab/>
        <w:t>لم تتغير طبيعة العمل في بولندا في الفترة 1998-2002. فظل</w:t>
      </w:r>
      <w:r w:rsidR="00382D9C">
        <w:rPr>
          <w:rFonts w:hint="cs"/>
          <w:rtl/>
        </w:rPr>
        <w:t xml:space="preserve">ت </w:t>
      </w:r>
      <w:r>
        <w:rPr>
          <w:rFonts w:hint="cs"/>
          <w:rtl/>
        </w:rPr>
        <w:t xml:space="preserve">البطالة </w:t>
      </w:r>
      <w:r w:rsidR="00382D9C">
        <w:rPr>
          <w:rFonts w:hint="cs"/>
          <w:rtl/>
        </w:rPr>
        <w:t>الهيكلية مهيمنة</w:t>
      </w:r>
      <w:r>
        <w:rPr>
          <w:rFonts w:hint="cs"/>
          <w:rtl/>
        </w:rPr>
        <w:t xml:space="preserve"> بسبب عدم تطوير الصناعات والمناطق المعنية، وعدم التناسب بين المؤهلات المطلوبة والمؤهلات التدريبية المتاحة.</w:t>
      </w:r>
    </w:p>
    <w:p w:rsidR="006F5C59" w:rsidRDefault="006F5C59" w:rsidP="00382D9C">
      <w:pPr>
        <w:pStyle w:val="SingleTxt"/>
        <w:rPr>
          <w:rFonts w:hint="cs"/>
          <w:rtl/>
        </w:rPr>
      </w:pPr>
      <w:r>
        <w:rPr>
          <w:rFonts w:hint="cs"/>
          <w:rtl/>
        </w:rPr>
        <w:t>6 -</w:t>
      </w:r>
      <w:r>
        <w:rPr>
          <w:rFonts w:hint="cs"/>
          <w:rtl/>
        </w:rPr>
        <w:tab/>
        <w:t>وظل الهدف الأساسي لعملية الإصلاح بدون تغيير: تحويل هيكل الملكية في الاقتصاد عن طريق الخصخصة لجعله</w:t>
      </w:r>
      <w:r w:rsidR="00382D9C">
        <w:rPr>
          <w:rFonts w:hint="cs"/>
          <w:rtl/>
        </w:rPr>
        <w:t>ا</w:t>
      </w:r>
      <w:r>
        <w:rPr>
          <w:rFonts w:hint="cs"/>
          <w:rtl/>
        </w:rPr>
        <w:t xml:space="preserve"> </w:t>
      </w:r>
      <w:r w:rsidR="00382D9C">
        <w:rPr>
          <w:rFonts w:hint="cs"/>
          <w:rtl/>
        </w:rPr>
        <w:t>ت</w:t>
      </w:r>
      <w:r>
        <w:rPr>
          <w:rFonts w:hint="cs"/>
          <w:rtl/>
        </w:rPr>
        <w:t xml:space="preserve">تمشى مع الاقتصاد السوقي. وتم تحقيق تطوير القطاع الخاص عن طريق تطوير الشركات القائمة، </w:t>
      </w:r>
      <w:r w:rsidR="001B4C88">
        <w:rPr>
          <w:rFonts w:hint="cs"/>
          <w:rtl/>
        </w:rPr>
        <w:t>وإنشاء شركات جديدة وخصخصة شركات الدولة. وبحلول عام 2001، تم خصخصة 350 5 شركة، بما في ذلك،</w:t>
      </w:r>
    </w:p>
    <w:p w:rsidR="001B4C88" w:rsidRDefault="001B4C88" w:rsidP="001B4C8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315 شركة خضعت للخصخصة غير المباشرة؛</w:t>
      </w:r>
    </w:p>
    <w:p w:rsidR="001B4C88" w:rsidRDefault="001B4C88" w:rsidP="001B4C8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931 1 شركة خضعت للخصخصة المباشرة؛</w:t>
      </w:r>
    </w:p>
    <w:p w:rsidR="001B4C88" w:rsidRDefault="001B4C88" w:rsidP="001B4C8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الموافقة على اقتراحات التصفية فيما يتعلق بـ 751 1 حالة، فتم تصفية 870 شركة وتم إعلان إفلاس 656 شركة.</w:t>
      </w:r>
    </w:p>
    <w:p w:rsidR="001B4C88" w:rsidRDefault="001B4C88" w:rsidP="001B4C88">
      <w:pPr>
        <w:pStyle w:val="SingleTxt"/>
        <w:rPr>
          <w:rFonts w:hint="cs"/>
          <w:rtl/>
        </w:rPr>
      </w:pPr>
      <w:r>
        <w:rPr>
          <w:rFonts w:hint="cs"/>
          <w:rtl/>
        </w:rPr>
        <w:t>وهكذا، أصبح القطاع الخاص مهيمنا بصورة متزايدة في الاقتصاد البولندي، فمثّل 71 في المائة من جميع الموظفين في عام 1998، و 74.8 في المائة في عام 2001. وكان عدد النساء اللاتي يعملن في القطاع العام أكثر من عدد الرجال، لا سيما في قطاع الخدمات والتعليم والمؤسسات الثقافية والخدمات الصحية.</w:t>
      </w:r>
    </w:p>
    <w:p w:rsidR="001B4C88" w:rsidRDefault="001B4C88" w:rsidP="001B4C88">
      <w:pPr>
        <w:pStyle w:val="SingleTxt"/>
        <w:rPr>
          <w:rFonts w:hint="cs"/>
          <w:rtl/>
        </w:rPr>
      </w:pPr>
      <w:r>
        <w:rPr>
          <w:rFonts w:hint="cs"/>
          <w:rtl/>
        </w:rPr>
        <w:t>7 -</w:t>
      </w:r>
      <w:r>
        <w:rPr>
          <w:rFonts w:hint="cs"/>
          <w:rtl/>
        </w:rPr>
        <w:tab/>
        <w:t>وبحلول عام 2001، مثّل القطاع العام 76.2 في المائة من الإنتاج الإجمالي للبلد. وتم تقريبا خصخصة صناعة البناء وبيع المواد الاستهلاكية بالتجزئة بصورة كاملة في عام 2001. كما تم تقريبا خصخصة الزراعة بأكملها بحلول نهاية الفترة التي يشملها هذا التقرير. وظلت ملكية الدولة مهيمنة في قطاعات مثل المناجم والتعدين وصناعة الطاقة والغاز والنقل بالسكك الحديدية.</w:t>
      </w:r>
    </w:p>
    <w:p w:rsidR="001B4C88" w:rsidRDefault="001B4C88" w:rsidP="001B4C88">
      <w:pPr>
        <w:pStyle w:val="SingleTxt"/>
        <w:rPr>
          <w:rFonts w:hint="cs"/>
          <w:rtl/>
        </w:rPr>
      </w:pPr>
      <w:r>
        <w:rPr>
          <w:rFonts w:hint="cs"/>
          <w:rtl/>
        </w:rPr>
        <w:t>8 -</w:t>
      </w:r>
      <w:r>
        <w:rPr>
          <w:rFonts w:hint="cs"/>
          <w:rtl/>
        </w:rPr>
        <w:tab/>
        <w:t>وانطوت أيضا عملية بناء اقتصاد سوقي على تطوير سوق النقد وسوق رأس المال. ففي عام 1998، تم ضمان استقلال المصرف البولندي الوطني. وفي نفس السنة، تم البدء في إدارة الأسهم المشتقة. وانتعش السوق بسبب إصلاح نظام المعاشات التقاعدية، وإنشاء صناديق مفتوحة للمعاشات التقاعدية في عام 1999.</w:t>
      </w:r>
    </w:p>
    <w:p w:rsidR="001B4C88" w:rsidRDefault="001B4C88" w:rsidP="00382D9C">
      <w:pPr>
        <w:pStyle w:val="SingleTxt"/>
        <w:rPr>
          <w:rFonts w:hint="cs"/>
          <w:rtl/>
        </w:rPr>
      </w:pPr>
      <w:r>
        <w:rPr>
          <w:rFonts w:hint="cs"/>
          <w:rtl/>
        </w:rPr>
        <w:t>9 -</w:t>
      </w:r>
      <w:r>
        <w:rPr>
          <w:rFonts w:hint="cs"/>
          <w:rtl/>
        </w:rPr>
        <w:tab/>
        <w:t xml:space="preserve">ومع ذلك، </w:t>
      </w:r>
      <w:r w:rsidR="00BA18D8">
        <w:rPr>
          <w:rFonts w:hint="cs"/>
          <w:rtl/>
        </w:rPr>
        <w:t>لم تسمح الظرو</w:t>
      </w:r>
      <w:r w:rsidR="00382D9C">
        <w:rPr>
          <w:rFonts w:hint="cs"/>
          <w:rtl/>
        </w:rPr>
        <w:t>ف إلا لعدد قليل نسبيا من الناس ب</w:t>
      </w:r>
      <w:r w:rsidR="00BA18D8">
        <w:rPr>
          <w:rFonts w:hint="cs"/>
          <w:rtl/>
        </w:rPr>
        <w:t xml:space="preserve">دخول سوق الأوراق المالية، إذ أدى التدهور الاقتصادي إلى </w:t>
      </w:r>
      <w:r w:rsidR="00382D9C">
        <w:rPr>
          <w:rFonts w:hint="cs"/>
          <w:rtl/>
        </w:rPr>
        <w:t>انخفاض</w:t>
      </w:r>
      <w:r w:rsidR="00BA18D8">
        <w:rPr>
          <w:rFonts w:hint="cs"/>
          <w:rtl/>
        </w:rPr>
        <w:t xml:space="preserve"> دخل ال</w:t>
      </w:r>
      <w:r w:rsidR="00382D9C">
        <w:rPr>
          <w:rFonts w:hint="cs"/>
          <w:rtl/>
        </w:rPr>
        <w:t>أ</w:t>
      </w:r>
      <w:r w:rsidR="00BA18D8">
        <w:rPr>
          <w:rFonts w:hint="cs"/>
          <w:rtl/>
        </w:rPr>
        <w:t xml:space="preserve">سر إلى مستوى لا يسمح </w:t>
      </w:r>
      <w:r w:rsidR="00382D9C">
        <w:rPr>
          <w:rFonts w:hint="cs"/>
          <w:rtl/>
        </w:rPr>
        <w:t xml:space="preserve">لها </w:t>
      </w:r>
      <w:r w:rsidR="00BA18D8">
        <w:rPr>
          <w:rFonts w:hint="cs"/>
          <w:rtl/>
        </w:rPr>
        <w:t>إلا بالإنفاق على احتياجاتها اليومية.</w:t>
      </w:r>
    </w:p>
    <w:p w:rsidR="00BA18D8" w:rsidRDefault="00382D9C" w:rsidP="001B4C88">
      <w:pPr>
        <w:pStyle w:val="SingleTxt"/>
        <w:rPr>
          <w:rFonts w:hint="cs"/>
          <w:rtl/>
        </w:rPr>
      </w:pPr>
      <w:r>
        <w:rPr>
          <w:rFonts w:hint="cs"/>
          <w:rtl/>
        </w:rPr>
        <w:t>10 -</w:t>
      </w:r>
      <w:r>
        <w:rPr>
          <w:rFonts w:hint="cs"/>
          <w:rtl/>
        </w:rPr>
        <w:tab/>
        <w:t xml:space="preserve">وظل </w:t>
      </w:r>
      <w:r w:rsidR="00BA18D8">
        <w:rPr>
          <w:rFonts w:hint="cs"/>
          <w:rtl/>
        </w:rPr>
        <w:t>تخفيض التضخم، الذي قوض في الماضي الاقتصاد،</w:t>
      </w:r>
      <w:r>
        <w:rPr>
          <w:rFonts w:hint="cs"/>
          <w:rtl/>
        </w:rPr>
        <w:t xml:space="preserve"> له </w:t>
      </w:r>
      <w:r w:rsidR="00BA18D8">
        <w:rPr>
          <w:rFonts w:hint="cs"/>
          <w:rtl/>
        </w:rPr>
        <w:t>الأولوية. فانخفاض الاستهلاك، وازدياد إمدادات الغذاء والمنتجات، وانهيار أسعار البضائع المستوردة (بما في ذلك الوقود) أدى إلى انخفاض معدل التضخم من 11.8 في المائة في عام 1998 إلى نسبة منخفضة قياسية قدرها 1.9 في المائة في عام 2002.</w:t>
      </w:r>
    </w:p>
    <w:p w:rsidR="00BA18D8" w:rsidRDefault="00BA18D8" w:rsidP="00F1242A">
      <w:pPr>
        <w:pStyle w:val="SingleTxt"/>
        <w:rPr>
          <w:rFonts w:hint="cs"/>
          <w:rtl/>
        </w:rPr>
      </w:pPr>
      <w:r>
        <w:rPr>
          <w:rFonts w:hint="cs"/>
          <w:rtl/>
        </w:rPr>
        <w:t>11 -</w:t>
      </w:r>
      <w:r>
        <w:rPr>
          <w:rFonts w:hint="cs"/>
          <w:rtl/>
        </w:rPr>
        <w:tab/>
      </w:r>
      <w:r w:rsidR="00685404">
        <w:rPr>
          <w:rFonts w:hint="cs"/>
          <w:rtl/>
        </w:rPr>
        <w:t>شهدت الفترة 1998-2002 أول علامات الأزمة في المالية العامة. وتوقفت الاتجاهات المؤاتية المبكرة في بداية عام 1999 بسبب انخفاض معدل النمو الاقتصادي، وإدخال الإصلاحات على المعاشات التقاعدية في عام 1999 (وتم أيضا البدء في إصلاحات رئيسية أخرى في ذلك الوقت في مجال الرعاية الصحية، والتعليم، والخدمة المدنية، وإن لم</w:t>
      </w:r>
      <w:r w:rsidR="00F1242A">
        <w:rPr>
          <w:rFonts w:hint="eastAsia"/>
          <w:rtl/>
        </w:rPr>
        <w:t> </w:t>
      </w:r>
      <w:r w:rsidR="00685404">
        <w:rPr>
          <w:rFonts w:hint="cs"/>
          <w:rtl/>
        </w:rPr>
        <w:t xml:space="preserve">يكن لها تأثير كبير على المالية العامة). وازدادت الديون العامة إلى 47.5 في المائة من الناتج المحلي الإجمالي </w:t>
      </w:r>
      <w:r w:rsidR="00F1242A">
        <w:rPr>
          <w:rFonts w:hint="cs"/>
          <w:rtl/>
        </w:rPr>
        <w:t>في عام 2001، نتيجة مديونية الدولة لصناديق المعاشات التقاعدية المفتوحة، وازدياد تكاليف خدمة الدين العام، وتعويض العاملين في القطاع العام لعدم تسوية أجورهم خلال الفترة 1991-1992، ودفع تعويضات للمتقاعدين الذين لم تدفع لهم الزيادات المستحقة لهم (اعتبارا من آذار/مارس 2000، عملا بالحكم الصادر عن المحكمة الدستورية).</w:t>
      </w:r>
    </w:p>
    <w:p w:rsidR="00F1242A" w:rsidRDefault="00F1242A" w:rsidP="00F1242A">
      <w:pPr>
        <w:pStyle w:val="SingleTxt"/>
        <w:rPr>
          <w:rFonts w:hint="cs"/>
          <w:rtl/>
        </w:rPr>
      </w:pPr>
      <w:r>
        <w:rPr>
          <w:rFonts w:hint="cs"/>
          <w:rtl/>
        </w:rPr>
        <w:t>12 -</w:t>
      </w:r>
      <w:r>
        <w:rPr>
          <w:rFonts w:hint="cs"/>
          <w:rtl/>
        </w:rPr>
        <w:tab/>
        <w:t>ولم يطرأ إلا تغيير طفيف على الدخل في القطاع الخاص في الفترة 1998-2002. فارتفع متوسط المرتبات الإجمالية في الاقتصاد الوطني بنسبة 3.3 في المائة في عام 1998، و</w:t>
      </w:r>
      <w:r>
        <w:rPr>
          <w:rFonts w:hint="eastAsia"/>
          <w:rtl/>
        </w:rPr>
        <w:t> </w:t>
      </w:r>
      <w:r>
        <w:rPr>
          <w:rFonts w:hint="cs"/>
          <w:rtl/>
        </w:rPr>
        <w:t>4.7 في المائة في عام 1999، و 1 في المائة في عام 2000، و 2.5 في المائة في عام 2001، و 0.7 في المائة في عام 2002. وسبب التدهور الاقتصادي، الذي أدى إلى انخفاض الدخل والاستهلاك، توترات اجتماعية. ففي عام 2002، كان متوسط الأجر الشهري 097.83 2 زلوتي (حوالي 514 دولارا من دولارات الولايات المتحدة). وعلى الرغم من أن مرتبات القطاع العام استمرت في الارتفاع أكثر من ارتفاعها في القطاع الخاص، تقلص الفرق بين الاثنين فبعد أن كان 21.5 في المائة في عام 1998 أصبح 16.7 في المائة في عام 2001. وكانت مرتبات النساء أقل من مرتبات الرجال، على الرغم من أن الفرق بين مرتبات الجنسين انخفض من 24 في المائة في عام 1998 إلى 22 في المائة في عام 2001.</w:t>
      </w:r>
    </w:p>
    <w:p w:rsidR="00F1242A" w:rsidRDefault="00F1242A" w:rsidP="00382D9C">
      <w:pPr>
        <w:pStyle w:val="SingleTxt"/>
        <w:rPr>
          <w:rFonts w:hint="cs"/>
          <w:rtl/>
        </w:rPr>
      </w:pPr>
      <w:r>
        <w:rPr>
          <w:rFonts w:hint="cs"/>
          <w:rtl/>
        </w:rPr>
        <w:t>13 -</w:t>
      </w:r>
      <w:r>
        <w:rPr>
          <w:rFonts w:hint="cs"/>
          <w:rtl/>
        </w:rPr>
        <w:tab/>
      </w:r>
      <w:r w:rsidR="00382D9C">
        <w:rPr>
          <w:rFonts w:hint="cs"/>
          <w:rtl/>
        </w:rPr>
        <w:t>ي</w:t>
      </w:r>
      <w:r>
        <w:rPr>
          <w:rFonts w:hint="cs"/>
          <w:rtl/>
        </w:rPr>
        <w:t xml:space="preserve">تألف دخل العاملين في القطاع الخاص من المرتب والاستحقاقات المتعلقة بالتأمينات الاجتماعية. ففي عام 1998، كان متوسط عدد المتقاعدين 9.4 مليون شخص، أي 24.4 في المائة من مجموع السكان. وفي السنوات التالية، انخفض هذا العدد تدريجيا فوصل إلى 9.2 مليون شخص في عام 2002. وخلال هذه الفترة، ارتفعت المعاشات التقاعدية بعض الشيء بصورة أسرع من الأجور. ويعود ذلك إلى </w:t>
      </w:r>
      <w:r w:rsidR="00382D9C">
        <w:rPr>
          <w:rFonts w:hint="cs"/>
          <w:rtl/>
        </w:rPr>
        <w:t>زيادة قيمة ا</w:t>
      </w:r>
      <w:r w:rsidR="0079613D">
        <w:rPr>
          <w:rFonts w:hint="cs"/>
          <w:rtl/>
        </w:rPr>
        <w:t>لمعاشات التقاعدية، و</w:t>
      </w:r>
      <w:r w:rsidR="00382D9C">
        <w:rPr>
          <w:rFonts w:hint="cs"/>
          <w:rtl/>
        </w:rPr>
        <w:t xml:space="preserve">إلى انخفاض </w:t>
      </w:r>
      <w:r w:rsidR="0079613D">
        <w:rPr>
          <w:rFonts w:hint="cs"/>
          <w:rtl/>
        </w:rPr>
        <w:t xml:space="preserve">معدل </w:t>
      </w:r>
      <w:r w:rsidR="00382D9C">
        <w:rPr>
          <w:rFonts w:hint="cs"/>
          <w:rtl/>
        </w:rPr>
        <w:t>ال</w:t>
      </w:r>
      <w:r w:rsidR="0079613D">
        <w:rPr>
          <w:rFonts w:hint="cs"/>
          <w:rtl/>
        </w:rPr>
        <w:t xml:space="preserve">تضخم </w:t>
      </w:r>
      <w:r w:rsidR="00382D9C">
        <w:rPr>
          <w:rFonts w:hint="cs"/>
          <w:rtl/>
        </w:rPr>
        <w:t xml:space="preserve">إلى </w:t>
      </w:r>
      <w:r w:rsidR="0079613D">
        <w:rPr>
          <w:rFonts w:hint="cs"/>
          <w:rtl/>
        </w:rPr>
        <w:t xml:space="preserve">أقل </w:t>
      </w:r>
      <w:r w:rsidR="00382D9C">
        <w:rPr>
          <w:rFonts w:hint="cs"/>
          <w:rtl/>
        </w:rPr>
        <w:t xml:space="preserve">مستوى </w:t>
      </w:r>
      <w:r w:rsidR="0079613D">
        <w:rPr>
          <w:rFonts w:hint="cs"/>
          <w:rtl/>
        </w:rPr>
        <w:t>مما كان متوقعا في ميزانية الدولة. ولأسباب ديمغرافية، كان عدد النساء أكبر بين المتقاعدين المسنين، وعدد الرجال أكبر بين المتقاعدين المعوقين.</w:t>
      </w:r>
    </w:p>
    <w:p w:rsidR="0079613D" w:rsidRDefault="0079613D" w:rsidP="00F1242A">
      <w:pPr>
        <w:pStyle w:val="SingleTxt"/>
        <w:rPr>
          <w:rFonts w:hint="cs"/>
          <w:b/>
          <w:bCs/>
          <w:rtl/>
        </w:rPr>
      </w:pPr>
      <w:r>
        <w:rPr>
          <w:rFonts w:hint="cs"/>
          <w:b/>
          <w:bCs/>
          <w:rtl/>
        </w:rPr>
        <w:t>الحالة السياسية</w:t>
      </w:r>
    </w:p>
    <w:p w:rsidR="0079613D" w:rsidRDefault="0079613D" w:rsidP="000422C3">
      <w:pPr>
        <w:pStyle w:val="SingleTxt"/>
        <w:rPr>
          <w:rFonts w:hint="cs"/>
          <w:rtl/>
        </w:rPr>
      </w:pPr>
      <w:r>
        <w:rPr>
          <w:rFonts w:hint="cs"/>
          <w:rtl/>
        </w:rPr>
        <w:t>14 -</w:t>
      </w:r>
      <w:r>
        <w:rPr>
          <w:rFonts w:hint="cs"/>
          <w:rtl/>
        </w:rPr>
        <w:tab/>
        <w:t xml:space="preserve">كان عام 2001 بمثابة نهاية فترة حكومة الأقلية بقيادة حزب اليمين </w:t>
      </w:r>
      <w:r>
        <w:rPr>
          <w:rFonts w:hint="eastAsia"/>
          <w:rtl/>
        </w:rPr>
        <w:t>”العمل الانتخابي التضامني</w:t>
      </w:r>
      <w:r>
        <w:rPr>
          <w:rFonts w:hint="cs"/>
          <w:rtl/>
        </w:rPr>
        <w:t>“. وكان هذا الحزب يؤكد على القيم المسيحية في الحياة الاجتماعية. وتولى الحكم بعد الانتخابات التي عقدت في خريف عام 2001 حزب تحالف اليسار الديمقراطي، ومعه في الائتلاف حزب نقابات العمال. و</w:t>
      </w:r>
      <w:r w:rsidR="000422C3">
        <w:rPr>
          <w:rFonts w:hint="cs"/>
          <w:rtl/>
        </w:rPr>
        <w:t>ي</w:t>
      </w:r>
      <w:r>
        <w:rPr>
          <w:rFonts w:hint="cs"/>
          <w:rtl/>
        </w:rPr>
        <w:t xml:space="preserve">صف حزب تحالف اليسار الديمقراطي </w:t>
      </w:r>
      <w:r w:rsidR="000422C3">
        <w:rPr>
          <w:rFonts w:hint="cs"/>
          <w:rtl/>
        </w:rPr>
        <w:t xml:space="preserve">نفسه </w:t>
      </w:r>
      <w:r>
        <w:rPr>
          <w:rFonts w:hint="cs"/>
          <w:rtl/>
        </w:rPr>
        <w:t>بأنه حزب يساري، قائم على الحركة الاشتراكية البولندية والدولية. وشكل حزب اليسار الديمقراطي وحزب نقابات العمال وحزب الفلاحين البولندي الذي انضم إلى الائتلاف حكومة نفذت برنامجها حتى نهاية الفترة التي يغطيها التقرير.</w:t>
      </w:r>
    </w:p>
    <w:p w:rsidR="0079613D" w:rsidRDefault="0079613D" w:rsidP="009C102D">
      <w:pPr>
        <w:pStyle w:val="SingleTxt"/>
        <w:rPr>
          <w:rFonts w:hint="cs"/>
          <w:rtl/>
        </w:rPr>
      </w:pPr>
      <w:r>
        <w:rPr>
          <w:rFonts w:hint="cs"/>
          <w:rtl/>
        </w:rPr>
        <w:tab/>
        <w:t xml:space="preserve">وعزز الدستور المؤرخ 17 تشرين الأول/أكتوبر 1997 موقف الحكم الذاتي الإقليمي عن طريق اللامركزية ونقل بعض المهام العامة إلى الحكومات الذاتية. وأنشأ الإصلاح الإداري الذي بدأ العمل به في 1 كانون الثاني/يناير 1999 نظاما إداريا مؤلفا من ثلاثة فروع </w:t>
      </w:r>
      <w:r w:rsidR="000422C3">
        <w:rPr>
          <w:rFonts w:hint="cs"/>
          <w:rtl/>
        </w:rPr>
        <w:t>و</w:t>
      </w:r>
      <w:r>
        <w:rPr>
          <w:rFonts w:hint="cs"/>
          <w:rtl/>
        </w:rPr>
        <w:t xml:space="preserve">يهدف </w:t>
      </w:r>
      <w:r w:rsidR="000422C3">
        <w:rPr>
          <w:rFonts w:hint="cs"/>
          <w:rtl/>
        </w:rPr>
        <w:t xml:space="preserve">هذا النظام </w:t>
      </w:r>
      <w:r>
        <w:rPr>
          <w:rFonts w:hint="cs"/>
          <w:rtl/>
        </w:rPr>
        <w:t>إلى تحسين الخدمات المقدمة إلى المواطنين. فهناك ا</w:t>
      </w:r>
      <w:r w:rsidR="000422C3">
        <w:rPr>
          <w:rFonts w:hint="cs"/>
          <w:rtl/>
        </w:rPr>
        <w:t>لمستوى المحلي</w:t>
      </w:r>
      <w:r>
        <w:rPr>
          <w:rFonts w:hint="cs"/>
          <w:rtl/>
        </w:rPr>
        <w:t xml:space="preserve"> </w:t>
      </w:r>
      <w:r w:rsidR="000422C3">
        <w:rPr>
          <w:rFonts w:hint="cs"/>
          <w:rtl/>
        </w:rPr>
        <w:t xml:space="preserve">(الكوميون) </w:t>
      </w:r>
      <w:r w:rsidR="00750D5C">
        <w:rPr>
          <w:rFonts w:hint="cs"/>
          <w:rtl/>
        </w:rPr>
        <w:t>ال</w:t>
      </w:r>
      <w:r w:rsidR="000422C3">
        <w:rPr>
          <w:rFonts w:hint="cs"/>
          <w:rtl/>
        </w:rPr>
        <w:t>معمول به منذ عام 1990</w:t>
      </w:r>
      <w:r w:rsidR="00215646">
        <w:rPr>
          <w:rFonts w:hint="cs"/>
          <w:rtl/>
        </w:rPr>
        <w:t>، وأضيفت إليه</w:t>
      </w:r>
      <w:r>
        <w:rPr>
          <w:rFonts w:hint="cs"/>
          <w:rtl/>
        </w:rPr>
        <w:t xml:space="preserve"> </w:t>
      </w:r>
      <w:r w:rsidR="000422C3">
        <w:rPr>
          <w:rFonts w:hint="cs"/>
          <w:rtl/>
        </w:rPr>
        <w:t xml:space="preserve">المقاطعات (وهي </w:t>
      </w:r>
      <w:r>
        <w:rPr>
          <w:rFonts w:hint="cs"/>
          <w:rtl/>
        </w:rPr>
        <w:t xml:space="preserve">تجمعات </w:t>
      </w:r>
      <w:r w:rsidR="000422C3">
        <w:rPr>
          <w:rFonts w:hint="cs"/>
          <w:rtl/>
        </w:rPr>
        <w:t xml:space="preserve">كل واحدة منها </w:t>
      </w:r>
      <w:r>
        <w:rPr>
          <w:rFonts w:hint="cs"/>
          <w:rtl/>
        </w:rPr>
        <w:t xml:space="preserve">مؤلفة من </w:t>
      </w:r>
      <w:r w:rsidR="000422C3">
        <w:rPr>
          <w:rFonts w:hint="cs"/>
          <w:rtl/>
        </w:rPr>
        <w:t xml:space="preserve">عدة كوميونات، </w:t>
      </w:r>
      <w:r w:rsidR="00750D5C">
        <w:rPr>
          <w:rFonts w:hint="cs"/>
          <w:rtl/>
        </w:rPr>
        <w:t>و</w:t>
      </w:r>
      <w:r>
        <w:rPr>
          <w:rFonts w:hint="cs"/>
          <w:rtl/>
        </w:rPr>
        <w:t xml:space="preserve">كان هناك في البداية 308 </w:t>
      </w:r>
      <w:r w:rsidR="00215646">
        <w:rPr>
          <w:rFonts w:hint="cs"/>
          <w:rtl/>
        </w:rPr>
        <w:t>مقاطعات</w:t>
      </w:r>
      <w:r>
        <w:rPr>
          <w:rFonts w:hint="cs"/>
          <w:rtl/>
        </w:rPr>
        <w:t xml:space="preserve"> وازداد هذا العدد فوصل إلى 315 </w:t>
      </w:r>
      <w:r w:rsidR="00215646">
        <w:rPr>
          <w:rFonts w:hint="cs"/>
          <w:rtl/>
        </w:rPr>
        <w:t>مقاطعة</w:t>
      </w:r>
      <w:r>
        <w:rPr>
          <w:rFonts w:hint="cs"/>
          <w:rtl/>
        </w:rPr>
        <w:t xml:space="preserve"> في عام 2002)، وأخيرا هناك </w:t>
      </w:r>
      <w:r w:rsidR="00215646">
        <w:rPr>
          <w:rFonts w:hint="cs"/>
          <w:rtl/>
        </w:rPr>
        <w:t xml:space="preserve">المناطق </w:t>
      </w:r>
      <w:r w:rsidR="00750D5C">
        <w:rPr>
          <w:rFonts w:hint="cs"/>
          <w:rtl/>
        </w:rPr>
        <w:t>(16 وحدة تساوي</w:t>
      </w:r>
      <w:r>
        <w:rPr>
          <w:rFonts w:hint="cs"/>
          <w:rtl/>
        </w:rPr>
        <w:t xml:space="preserve"> عدد الم</w:t>
      </w:r>
      <w:r w:rsidR="00750D5C">
        <w:rPr>
          <w:rFonts w:hint="cs"/>
          <w:rtl/>
        </w:rPr>
        <w:t>ناطق</w:t>
      </w:r>
      <w:r>
        <w:rPr>
          <w:rFonts w:hint="cs"/>
          <w:rtl/>
        </w:rPr>
        <w:t xml:space="preserve">). وتلعب </w:t>
      </w:r>
      <w:r w:rsidR="00750D5C">
        <w:rPr>
          <w:rFonts w:hint="cs"/>
          <w:rtl/>
        </w:rPr>
        <w:t>المقاطعات</w:t>
      </w:r>
      <w:r>
        <w:rPr>
          <w:rFonts w:hint="cs"/>
          <w:rtl/>
        </w:rPr>
        <w:t xml:space="preserve"> دورا مساعدا في تنفيذ المهام العامة، لا سيما من خلال توفير الخدمات الجماعية التي تتجاوز قدرة </w:t>
      </w:r>
      <w:r w:rsidR="00750D5C">
        <w:rPr>
          <w:rFonts w:hint="cs"/>
          <w:rtl/>
        </w:rPr>
        <w:t>الكوميونات</w:t>
      </w:r>
      <w:r>
        <w:rPr>
          <w:rFonts w:hint="cs"/>
          <w:rtl/>
        </w:rPr>
        <w:t>. وت</w:t>
      </w:r>
      <w:r w:rsidR="00750D5C">
        <w:rPr>
          <w:rFonts w:hint="cs"/>
          <w:rtl/>
        </w:rPr>
        <w:t>قوم الحكومات الذاتية في المناطق</w:t>
      </w:r>
      <w:r>
        <w:rPr>
          <w:rFonts w:hint="cs"/>
          <w:rtl/>
        </w:rPr>
        <w:t xml:space="preserve"> بالمهام الإنمائية وتقدم الخدمات العامة ذات الأهمية الإقليمية. ويتم انتخاب سلطات </w:t>
      </w:r>
      <w:r w:rsidR="00750D5C">
        <w:rPr>
          <w:rFonts w:hint="cs"/>
          <w:rtl/>
        </w:rPr>
        <w:t xml:space="preserve">المقاطعات والمناطق </w:t>
      </w:r>
      <w:r>
        <w:rPr>
          <w:rFonts w:hint="cs"/>
          <w:rtl/>
        </w:rPr>
        <w:t>في انتخابات مباشرة لمدة أربع سنوات.</w:t>
      </w:r>
    </w:p>
    <w:p w:rsidR="0079613D" w:rsidRDefault="0079613D" w:rsidP="00F1242A">
      <w:pPr>
        <w:pStyle w:val="SingleTxt"/>
        <w:rPr>
          <w:rFonts w:hint="cs"/>
          <w:rtl/>
        </w:rPr>
      </w:pPr>
      <w:r>
        <w:rPr>
          <w:rFonts w:hint="cs"/>
          <w:rtl/>
        </w:rPr>
        <w:t>15 -</w:t>
      </w:r>
      <w:r>
        <w:rPr>
          <w:rFonts w:hint="cs"/>
          <w:rtl/>
        </w:rPr>
        <w:tab/>
        <w:t>استمرت الكنيسة الكاثوليكية تلعب دورا رئيسيا في تشكل الساحة السياسية. فقد ساعدت بصفة خاصة سلطات الدولة على تعزيز الدعم العام لاندماج بولندا في الاتحاد الأوروبي. ويرتكز دور الكنيسة على حقيقة مفادها أن 90 في المائة من البالغين البولنديين يعتبرون أنفسهم كاثوليكيين (في عام 2001 كانت نسبة الزيجات التي تمت في احتفال كاثوليكي ديني 72.9 في المائة).</w:t>
      </w:r>
    </w:p>
    <w:p w:rsidR="0079613D" w:rsidRDefault="0079613D" w:rsidP="00F1242A">
      <w:pPr>
        <w:pStyle w:val="SingleTxt"/>
        <w:rPr>
          <w:rFonts w:hint="cs"/>
          <w:b/>
          <w:bCs/>
          <w:rtl/>
        </w:rPr>
      </w:pPr>
      <w:r>
        <w:rPr>
          <w:rFonts w:hint="cs"/>
          <w:b/>
          <w:bCs/>
          <w:rtl/>
        </w:rPr>
        <w:t>الانضمام إلى أوروبا</w:t>
      </w:r>
    </w:p>
    <w:p w:rsidR="0079613D" w:rsidRDefault="0079613D" w:rsidP="00394F2E">
      <w:pPr>
        <w:pStyle w:val="SingleTxt"/>
        <w:rPr>
          <w:rFonts w:hint="cs"/>
          <w:rtl/>
        </w:rPr>
      </w:pPr>
      <w:r>
        <w:rPr>
          <w:rFonts w:hint="cs"/>
          <w:rtl/>
        </w:rPr>
        <w:t>16 -</w:t>
      </w:r>
      <w:r>
        <w:rPr>
          <w:rFonts w:hint="cs"/>
          <w:rtl/>
        </w:rPr>
        <w:tab/>
        <w:t xml:space="preserve">شهدت الفترة التي يتناولها التقرير إحراز تقدم كبير نحو تنفيذ الهدف الاستراتيجي لبولندا المتمثل في الانضمام إلى الاتحاد الأوروبي. وتم التأكيد على الوفاء بالمهام الواردة في </w:t>
      </w:r>
      <w:r w:rsidR="00394F2E">
        <w:rPr>
          <w:rFonts w:hint="cs"/>
          <w:rtl/>
        </w:rPr>
        <w:t>البرنامج الوطني</w:t>
      </w:r>
      <w:r>
        <w:rPr>
          <w:rFonts w:hint="cs"/>
          <w:rtl/>
        </w:rPr>
        <w:t xml:space="preserve"> </w:t>
      </w:r>
      <w:r w:rsidR="00394F2E">
        <w:rPr>
          <w:rFonts w:hint="cs"/>
          <w:rtl/>
        </w:rPr>
        <w:t>للتحضير</w:t>
      </w:r>
      <w:r>
        <w:rPr>
          <w:rFonts w:hint="cs"/>
          <w:rtl/>
        </w:rPr>
        <w:t xml:space="preserve"> للعضوية الذي اعتمده مجلس الوزراء في حزيران/يونيه 1998. وقد تم إدراج التوجيهات الصادرة عن الاتحاد الأوروبي</w:t>
      </w:r>
      <w:r w:rsidR="00394F2E">
        <w:rPr>
          <w:rFonts w:hint="cs"/>
          <w:rtl/>
        </w:rPr>
        <w:t>،</w:t>
      </w:r>
      <w:r>
        <w:rPr>
          <w:rFonts w:hint="cs"/>
          <w:rtl/>
        </w:rPr>
        <w:t xml:space="preserve"> بما في ذلك المساواة بين الجنسين في مكان العمل والتنمية الاجتماعية، في القانون البولندي.</w:t>
      </w:r>
    </w:p>
    <w:p w:rsidR="0079613D" w:rsidRDefault="0079613D" w:rsidP="00F1242A">
      <w:pPr>
        <w:pStyle w:val="SingleTxt"/>
        <w:rPr>
          <w:rFonts w:hint="cs"/>
          <w:rtl/>
        </w:rPr>
      </w:pPr>
      <w:r>
        <w:rPr>
          <w:rFonts w:hint="cs"/>
          <w:rtl/>
        </w:rPr>
        <w:t>17 -</w:t>
      </w:r>
      <w:r>
        <w:rPr>
          <w:rFonts w:hint="cs"/>
          <w:rtl/>
        </w:rPr>
        <w:tab/>
      </w:r>
      <w:r w:rsidR="00B13FDC">
        <w:rPr>
          <w:rFonts w:hint="cs"/>
          <w:rtl/>
        </w:rPr>
        <w:t>ومن أجل تشجيع دعم الجماهير للاستفتاء الذي سيتم إجراؤه قبل انضمام بولندا إلى الاتحاد الأوروبي، اعتمدت الحكومة في أيار/مايو 1999 برنامجا إعلاميا مدته أربع سنوات.</w:t>
      </w:r>
    </w:p>
    <w:p w:rsidR="00B13FDC" w:rsidRDefault="00B13FDC" w:rsidP="00F1242A">
      <w:pPr>
        <w:pStyle w:val="SingleTxt"/>
        <w:rPr>
          <w:rFonts w:hint="cs"/>
          <w:rtl/>
        </w:rPr>
      </w:pPr>
      <w:r>
        <w:rPr>
          <w:rFonts w:hint="cs"/>
          <w:rtl/>
        </w:rPr>
        <w:t>18 -</w:t>
      </w:r>
      <w:r>
        <w:rPr>
          <w:rFonts w:hint="cs"/>
          <w:rtl/>
        </w:rPr>
        <w:tab/>
        <w:t xml:space="preserve">وفي تشرين الثاني/نوفمبر 2001، أعطى تقرير اللجنة الأوروبية عن التقدم الذي تحرزه الدول المرشحة على طريق الانضمام للاتحاد الأوروبي علامات إيجابية لبولندا. وقد استوفت بولندا المعايير السياسية للعضوية، ولديها اقتصاد سوقي، ويتوقع أن تتكيف مع </w:t>
      </w:r>
      <w:r w:rsidR="00394F2E">
        <w:rPr>
          <w:rFonts w:hint="cs"/>
          <w:rtl/>
        </w:rPr>
        <w:t>ال</w:t>
      </w:r>
      <w:r>
        <w:rPr>
          <w:rFonts w:hint="cs"/>
          <w:rtl/>
        </w:rPr>
        <w:t xml:space="preserve">تنافس </w:t>
      </w:r>
      <w:r w:rsidR="00AD275B">
        <w:rPr>
          <w:rFonts w:hint="cs"/>
          <w:rtl/>
        </w:rPr>
        <w:t xml:space="preserve">الذي يفرضه </w:t>
      </w:r>
      <w:r>
        <w:rPr>
          <w:rFonts w:hint="cs"/>
          <w:rtl/>
        </w:rPr>
        <w:t xml:space="preserve">السوق. ومن ناحية أخرى، أشارت اللجنة إلى العيوب الملاحظة في الإدارة والقضاء، وإلى بعض الاتجاهات الاقتصادية السلبية (انخفاض معدل النمو، </w:t>
      </w:r>
      <w:r w:rsidR="00AD275B">
        <w:rPr>
          <w:rFonts w:hint="cs"/>
          <w:rtl/>
        </w:rPr>
        <w:t>و</w:t>
      </w:r>
      <w:r>
        <w:rPr>
          <w:rFonts w:hint="cs"/>
          <w:rtl/>
        </w:rPr>
        <w:t>ازدياد البطالة، وأزمة المالية العامة).</w:t>
      </w:r>
    </w:p>
    <w:p w:rsidR="00B13FDC" w:rsidRDefault="00B13FDC" w:rsidP="00F1242A">
      <w:pPr>
        <w:pStyle w:val="SingleTxt"/>
        <w:rPr>
          <w:rFonts w:hint="cs"/>
          <w:b/>
          <w:bCs/>
          <w:rtl/>
        </w:rPr>
      </w:pPr>
      <w:r>
        <w:rPr>
          <w:rFonts w:hint="cs"/>
          <w:b/>
          <w:bCs/>
          <w:rtl/>
        </w:rPr>
        <w:t>الحالة الديمغرافية</w:t>
      </w:r>
    </w:p>
    <w:p w:rsidR="00B13FDC" w:rsidRDefault="00B13FDC" w:rsidP="009C102D">
      <w:pPr>
        <w:pStyle w:val="SingleTxt"/>
        <w:rPr>
          <w:rFonts w:hint="cs"/>
          <w:rtl/>
        </w:rPr>
      </w:pPr>
      <w:r>
        <w:rPr>
          <w:rFonts w:hint="cs"/>
          <w:rtl/>
        </w:rPr>
        <w:t>19 -</w:t>
      </w:r>
      <w:r>
        <w:rPr>
          <w:rFonts w:hint="cs"/>
          <w:rtl/>
        </w:rPr>
        <w:tab/>
        <w:t>تم تقدير عدد سكان بولندا</w:t>
      </w:r>
      <w:r w:rsidR="00AD275B">
        <w:rPr>
          <w:rFonts w:hint="cs"/>
          <w:rtl/>
        </w:rPr>
        <w:t xml:space="preserve"> في 1 تموز/يوليه 1998 بـ 38.667 ألف</w:t>
      </w:r>
      <w:r>
        <w:rPr>
          <w:rFonts w:hint="cs"/>
          <w:rtl/>
        </w:rPr>
        <w:t xml:space="preserve"> نسمة، بمن فيهم 19.869 </w:t>
      </w:r>
      <w:r w:rsidR="00AD275B">
        <w:rPr>
          <w:rFonts w:hint="cs"/>
          <w:rtl/>
        </w:rPr>
        <w:t>ألف</w:t>
      </w:r>
      <w:r>
        <w:rPr>
          <w:rFonts w:hint="cs"/>
          <w:rtl/>
        </w:rPr>
        <w:t xml:space="preserve"> امرأة (51.4 في المائة). وشكّل المقيمون في المدن نسبة 62.9 في المائة من السكان. وكان عدد النساء أكثر من عدد الرجال في المدن فقط (52.2 في المائة)، بينما كان عدد الجنسين متساويا في المناطق الريفية.</w:t>
      </w:r>
    </w:p>
    <w:p w:rsidR="00B13FDC" w:rsidRDefault="00B13FDC" w:rsidP="00AD275B">
      <w:pPr>
        <w:pStyle w:val="SingleTxt"/>
        <w:rPr>
          <w:rFonts w:hint="cs"/>
          <w:rtl/>
        </w:rPr>
      </w:pPr>
      <w:r>
        <w:rPr>
          <w:rFonts w:hint="cs"/>
          <w:rtl/>
        </w:rPr>
        <w:t>20 -</w:t>
      </w:r>
      <w:r>
        <w:rPr>
          <w:rFonts w:hint="cs"/>
          <w:rtl/>
        </w:rPr>
        <w:tab/>
        <w:t xml:space="preserve">وامتثلا لتوصيات الأمم المتحدة، تم إدراج تعداد وطني للسكان والإسكان في الفترة بين 21 أيار/مايو و 8 حزيران/يونيه 2002 (وتاريخ البيانات هو 20 أيار/مايو 2002). وأظهر التعداد أن عدد سكان بولندا هو 38.23 </w:t>
      </w:r>
      <w:r w:rsidR="00AD275B">
        <w:rPr>
          <w:rFonts w:hint="cs"/>
          <w:rtl/>
        </w:rPr>
        <w:t>ألف</w:t>
      </w:r>
      <w:r>
        <w:rPr>
          <w:rFonts w:hint="cs"/>
          <w:rtl/>
        </w:rPr>
        <w:t xml:space="preserve"> نسمة، أي أقل بمقدار 000 737 نسمة بموجب تقدير تاريخه 1 تموز/يوليه 1998 (ويرجع الفرق إلى الهجرة وعدم تسجيل الإقامة). وأشار التعداد </w:t>
      </w:r>
      <w:r w:rsidR="00AD275B">
        <w:rPr>
          <w:rFonts w:hint="cs"/>
          <w:rtl/>
        </w:rPr>
        <w:t xml:space="preserve">إلى </w:t>
      </w:r>
      <w:r>
        <w:rPr>
          <w:rFonts w:hint="cs"/>
          <w:rtl/>
        </w:rPr>
        <w:t xml:space="preserve">أن سكان بولندا يتألفون من 19.714 </w:t>
      </w:r>
      <w:r w:rsidR="00AD275B">
        <w:rPr>
          <w:rFonts w:hint="cs"/>
          <w:rtl/>
        </w:rPr>
        <w:t>ألف</w:t>
      </w:r>
      <w:r>
        <w:rPr>
          <w:rFonts w:hint="cs"/>
          <w:rtl/>
        </w:rPr>
        <w:t xml:space="preserve"> امرأة (أي 51.6 في المائة من المجموع، أي أن هناك 106.5 امرأة لكل 100 رجل). </w:t>
      </w:r>
    </w:p>
    <w:p w:rsidR="00B13FDC" w:rsidRDefault="00B13FDC" w:rsidP="00AD275B">
      <w:pPr>
        <w:pStyle w:val="SingleTxt"/>
        <w:rPr>
          <w:rFonts w:hint="cs"/>
          <w:rtl/>
        </w:rPr>
      </w:pPr>
      <w:r>
        <w:rPr>
          <w:rFonts w:hint="cs"/>
          <w:rtl/>
        </w:rPr>
        <w:t>21 -</w:t>
      </w:r>
      <w:r>
        <w:rPr>
          <w:rFonts w:hint="cs"/>
          <w:rtl/>
        </w:rPr>
        <w:tab/>
      </w:r>
      <w:r w:rsidR="000514B1">
        <w:rPr>
          <w:rFonts w:hint="cs"/>
          <w:rtl/>
        </w:rPr>
        <w:t>و</w:t>
      </w:r>
      <w:r w:rsidR="00AD275B">
        <w:rPr>
          <w:rFonts w:hint="cs"/>
          <w:rtl/>
        </w:rPr>
        <w:t>ازدادت حدة</w:t>
      </w:r>
      <w:r w:rsidR="000514B1">
        <w:rPr>
          <w:rFonts w:hint="cs"/>
          <w:rtl/>
        </w:rPr>
        <w:t xml:space="preserve"> الاتجاهات الديمغرافية غير المؤاتية المذكورة في التقرير السابق خلال الفترة التي يغطيها هذا التقرير. ففي عام 2002، انخفض عدد السكان للمرة الأولى (بمقدار 5.7 ألف). وفي نفس الوقت، ازداد العمر المتوقع. وفيما يلي جدول يوضح متوسط العمر المتوقع في الفترة 1990-2001: </w:t>
      </w:r>
    </w:p>
    <w:p w:rsidR="00A77A39" w:rsidRPr="00A77A39" w:rsidRDefault="00A77A39" w:rsidP="00A77A39">
      <w:pPr>
        <w:pStyle w:val="SingleTxt"/>
        <w:spacing w:after="0" w:line="120" w:lineRule="exact"/>
        <w:rPr>
          <w:rFonts w:hint="cs"/>
          <w:sz w:val="10"/>
          <w:rtl/>
        </w:rPr>
      </w:pPr>
    </w:p>
    <w:tbl>
      <w:tblPr>
        <w:bidiVisual/>
        <w:tblW w:w="5457" w:type="dxa"/>
        <w:jc w:val="center"/>
        <w:tblInd w:w="1919" w:type="dxa"/>
        <w:tblLayout w:type="fixed"/>
        <w:tblCellMar>
          <w:left w:w="0" w:type="dxa"/>
          <w:right w:w="0" w:type="dxa"/>
        </w:tblCellMar>
        <w:tblLook w:val="0000" w:firstRow="0" w:lastRow="0" w:firstColumn="0" w:lastColumn="0" w:noHBand="0" w:noVBand="0"/>
      </w:tblPr>
      <w:tblGrid>
        <w:gridCol w:w="1783"/>
        <w:gridCol w:w="1222"/>
        <w:gridCol w:w="1147"/>
        <w:gridCol w:w="1305"/>
      </w:tblGrid>
      <w:tr w:rsidR="00A77A39" w:rsidRPr="00A77A39">
        <w:tblPrEx>
          <w:tblCellMar>
            <w:top w:w="0" w:type="dxa"/>
            <w:bottom w:w="0" w:type="dxa"/>
          </w:tblCellMar>
        </w:tblPrEx>
        <w:trPr>
          <w:cantSplit/>
          <w:tblHeader/>
          <w:jc w:val="center"/>
        </w:trPr>
        <w:tc>
          <w:tcPr>
            <w:tcW w:w="1783" w:type="dxa"/>
            <w:tcBorders>
              <w:top w:val="single" w:sz="4" w:space="0" w:color="auto"/>
              <w:bottom w:val="single" w:sz="12" w:space="0" w:color="auto"/>
            </w:tcBorders>
            <w:shd w:val="clear" w:color="auto" w:fill="auto"/>
            <w:tcMar>
              <w:left w:w="0" w:type="dxa"/>
              <w:right w:w="0" w:type="dxa"/>
            </w:tcMar>
            <w:vAlign w:val="bottom"/>
          </w:tcPr>
          <w:p w:rsidR="00A77A39" w:rsidRPr="00A77A39" w:rsidRDefault="00A77A39" w:rsidP="00A77A39">
            <w:pPr>
              <w:spacing w:before="80" w:after="80" w:line="240" w:lineRule="exact"/>
              <w:rPr>
                <w:rFonts w:hint="cs"/>
                <w:i/>
                <w:iCs/>
                <w:sz w:val="16"/>
                <w:szCs w:val="24"/>
                <w:rtl/>
              </w:rPr>
            </w:pPr>
          </w:p>
        </w:tc>
        <w:tc>
          <w:tcPr>
            <w:tcW w:w="1222" w:type="dxa"/>
            <w:tcBorders>
              <w:top w:val="single" w:sz="4" w:space="0" w:color="auto"/>
              <w:bottom w:val="single" w:sz="12" w:space="0" w:color="auto"/>
            </w:tcBorders>
            <w:shd w:val="clear" w:color="auto" w:fill="auto"/>
            <w:vAlign w:val="bottom"/>
          </w:tcPr>
          <w:p w:rsidR="00A77A39" w:rsidRPr="00A77A39" w:rsidRDefault="00A77A39" w:rsidP="00A77A39">
            <w:pPr>
              <w:spacing w:before="80" w:after="80" w:line="240" w:lineRule="exact"/>
              <w:ind w:right="144"/>
              <w:jc w:val="lowKashida"/>
              <w:rPr>
                <w:rFonts w:hint="cs"/>
                <w:i/>
                <w:iCs/>
                <w:sz w:val="16"/>
                <w:szCs w:val="24"/>
                <w:rtl/>
              </w:rPr>
            </w:pPr>
            <w:r w:rsidRPr="00A77A39">
              <w:rPr>
                <w:rFonts w:hint="cs"/>
                <w:i/>
                <w:iCs/>
                <w:sz w:val="16"/>
                <w:szCs w:val="24"/>
                <w:rtl/>
              </w:rPr>
              <w:t>1999</w:t>
            </w:r>
          </w:p>
        </w:tc>
        <w:tc>
          <w:tcPr>
            <w:tcW w:w="1147" w:type="dxa"/>
            <w:tcBorders>
              <w:top w:val="single" w:sz="4" w:space="0" w:color="auto"/>
              <w:bottom w:val="single" w:sz="12" w:space="0" w:color="auto"/>
            </w:tcBorders>
            <w:shd w:val="clear" w:color="auto" w:fill="auto"/>
            <w:vAlign w:val="bottom"/>
          </w:tcPr>
          <w:p w:rsidR="00A77A39" w:rsidRPr="00A77A39" w:rsidRDefault="00A77A39" w:rsidP="00A77A39">
            <w:pPr>
              <w:spacing w:before="80" w:after="80" w:line="240" w:lineRule="exact"/>
              <w:ind w:right="144"/>
              <w:jc w:val="lowKashida"/>
              <w:rPr>
                <w:rFonts w:hint="cs"/>
                <w:i/>
                <w:iCs/>
                <w:sz w:val="16"/>
                <w:szCs w:val="24"/>
                <w:rtl/>
              </w:rPr>
            </w:pPr>
            <w:r w:rsidRPr="00A77A39">
              <w:rPr>
                <w:rFonts w:hint="cs"/>
                <w:i/>
                <w:iCs/>
                <w:sz w:val="16"/>
                <w:szCs w:val="24"/>
                <w:rtl/>
              </w:rPr>
              <w:t>2000</w:t>
            </w:r>
          </w:p>
        </w:tc>
        <w:tc>
          <w:tcPr>
            <w:tcW w:w="1305" w:type="dxa"/>
            <w:tcBorders>
              <w:top w:val="single" w:sz="4" w:space="0" w:color="auto"/>
              <w:bottom w:val="single" w:sz="12" w:space="0" w:color="auto"/>
            </w:tcBorders>
            <w:shd w:val="clear" w:color="auto" w:fill="auto"/>
            <w:vAlign w:val="bottom"/>
          </w:tcPr>
          <w:p w:rsidR="00A77A39" w:rsidRPr="00A77A39" w:rsidRDefault="00A77A39" w:rsidP="00A77A39">
            <w:pPr>
              <w:spacing w:before="80" w:after="80" w:line="240" w:lineRule="exact"/>
              <w:ind w:right="144"/>
              <w:jc w:val="lowKashida"/>
              <w:rPr>
                <w:rFonts w:hint="cs"/>
                <w:i/>
                <w:iCs/>
                <w:sz w:val="16"/>
                <w:szCs w:val="24"/>
                <w:rtl/>
              </w:rPr>
            </w:pPr>
            <w:r w:rsidRPr="00A77A39">
              <w:rPr>
                <w:rFonts w:hint="cs"/>
                <w:i/>
                <w:iCs/>
                <w:sz w:val="16"/>
                <w:szCs w:val="24"/>
                <w:rtl/>
              </w:rPr>
              <w:t>2001</w:t>
            </w:r>
          </w:p>
        </w:tc>
      </w:tr>
      <w:tr w:rsidR="00A77A39" w:rsidRPr="00A77A39">
        <w:tblPrEx>
          <w:tblCellMar>
            <w:top w:w="0" w:type="dxa"/>
            <w:bottom w:w="0" w:type="dxa"/>
          </w:tblCellMar>
        </w:tblPrEx>
        <w:trPr>
          <w:cantSplit/>
          <w:trHeight w:hRule="exact" w:val="115"/>
          <w:tblHeader/>
          <w:jc w:val="center"/>
        </w:trPr>
        <w:tc>
          <w:tcPr>
            <w:tcW w:w="1783" w:type="dxa"/>
            <w:tcBorders>
              <w:top w:val="single" w:sz="12" w:space="0" w:color="auto"/>
            </w:tcBorders>
            <w:shd w:val="clear" w:color="auto" w:fill="auto"/>
            <w:vAlign w:val="bottom"/>
          </w:tcPr>
          <w:p w:rsidR="00A77A39" w:rsidRPr="00A77A39" w:rsidRDefault="00A77A39" w:rsidP="00A77A39">
            <w:pPr>
              <w:spacing w:before="40" w:after="80" w:line="240" w:lineRule="exact"/>
              <w:rPr>
                <w:rFonts w:hint="cs"/>
                <w:sz w:val="16"/>
                <w:szCs w:val="24"/>
                <w:rtl/>
              </w:rPr>
            </w:pPr>
          </w:p>
        </w:tc>
        <w:tc>
          <w:tcPr>
            <w:tcW w:w="1222" w:type="dxa"/>
            <w:tcBorders>
              <w:top w:val="single" w:sz="12" w:space="0" w:color="auto"/>
            </w:tcBorders>
            <w:shd w:val="clear" w:color="auto" w:fill="auto"/>
            <w:vAlign w:val="bottom"/>
          </w:tcPr>
          <w:p w:rsidR="00A77A39" w:rsidRPr="00A77A39" w:rsidRDefault="00A77A39" w:rsidP="00A77A39">
            <w:pPr>
              <w:spacing w:before="40" w:after="80" w:line="240" w:lineRule="exact"/>
              <w:ind w:right="144"/>
              <w:jc w:val="lowKashida"/>
              <w:rPr>
                <w:rFonts w:hint="cs"/>
                <w:sz w:val="16"/>
                <w:szCs w:val="24"/>
                <w:rtl/>
              </w:rPr>
            </w:pPr>
          </w:p>
        </w:tc>
        <w:tc>
          <w:tcPr>
            <w:tcW w:w="1147" w:type="dxa"/>
            <w:tcBorders>
              <w:top w:val="single" w:sz="12" w:space="0" w:color="auto"/>
            </w:tcBorders>
            <w:shd w:val="clear" w:color="auto" w:fill="auto"/>
            <w:vAlign w:val="bottom"/>
          </w:tcPr>
          <w:p w:rsidR="00A77A39" w:rsidRPr="00A77A39" w:rsidRDefault="00A77A39" w:rsidP="00A77A39">
            <w:pPr>
              <w:spacing w:before="40" w:after="80" w:line="240" w:lineRule="exact"/>
              <w:ind w:right="144"/>
              <w:jc w:val="lowKashida"/>
              <w:rPr>
                <w:rFonts w:hint="cs"/>
                <w:sz w:val="16"/>
                <w:szCs w:val="24"/>
                <w:rtl/>
              </w:rPr>
            </w:pPr>
          </w:p>
        </w:tc>
        <w:tc>
          <w:tcPr>
            <w:tcW w:w="1305" w:type="dxa"/>
            <w:tcBorders>
              <w:top w:val="single" w:sz="12" w:space="0" w:color="auto"/>
            </w:tcBorders>
            <w:shd w:val="clear" w:color="auto" w:fill="auto"/>
            <w:vAlign w:val="bottom"/>
          </w:tcPr>
          <w:p w:rsidR="00A77A39" w:rsidRPr="00A77A39" w:rsidRDefault="00A77A39" w:rsidP="00A77A39">
            <w:pPr>
              <w:spacing w:before="40" w:after="80" w:line="240" w:lineRule="exact"/>
              <w:ind w:right="144"/>
              <w:jc w:val="lowKashida"/>
              <w:rPr>
                <w:rFonts w:hint="cs"/>
                <w:sz w:val="16"/>
                <w:szCs w:val="24"/>
                <w:rtl/>
              </w:rPr>
            </w:pPr>
          </w:p>
        </w:tc>
      </w:tr>
      <w:tr w:rsidR="00A77A39" w:rsidRPr="00A77A39">
        <w:tblPrEx>
          <w:tblCellMar>
            <w:top w:w="0" w:type="dxa"/>
            <w:bottom w:w="0" w:type="dxa"/>
          </w:tblCellMar>
        </w:tblPrEx>
        <w:trPr>
          <w:cantSplit/>
          <w:jc w:val="center"/>
        </w:trPr>
        <w:tc>
          <w:tcPr>
            <w:tcW w:w="1783" w:type="dxa"/>
            <w:shd w:val="clear" w:color="auto" w:fill="auto"/>
            <w:vAlign w:val="bottom"/>
          </w:tcPr>
          <w:p w:rsidR="00A77A39" w:rsidRPr="00A77A39" w:rsidRDefault="00A77A39" w:rsidP="00A77A39">
            <w:pPr>
              <w:spacing w:before="40" w:after="80" w:line="240" w:lineRule="exact"/>
              <w:rPr>
                <w:rFonts w:hint="cs"/>
                <w:sz w:val="16"/>
                <w:szCs w:val="24"/>
                <w:rtl/>
              </w:rPr>
            </w:pPr>
            <w:r w:rsidRPr="00A77A39">
              <w:rPr>
                <w:rFonts w:hint="cs"/>
                <w:sz w:val="16"/>
                <w:szCs w:val="24"/>
                <w:rtl/>
              </w:rPr>
              <w:t>الرجال</w:t>
            </w:r>
          </w:p>
        </w:tc>
        <w:tc>
          <w:tcPr>
            <w:tcW w:w="1222" w:type="dxa"/>
            <w:shd w:val="clear" w:color="auto" w:fill="auto"/>
            <w:vAlign w:val="bottom"/>
          </w:tcPr>
          <w:p w:rsidR="00A77A39" w:rsidRPr="00A77A39" w:rsidRDefault="00A77A39" w:rsidP="00A77A39">
            <w:pPr>
              <w:spacing w:before="40" w:after="80" w:line="240" w:lineRule="exact"/>
              <w:ind w:right="144"/>
              <w:jc w:val="lowKashida"/>
              <w:rPr>
                <w:rFonts w:hint="cs"/>
                <w:sz w:val="16"/>
                <w:szCs w:val="24"/>
                <w:rtl/>
              </w:rPr>
            </w:pPr>
            <w:r w:rsidRPr="00A77A39">
              <w:rPr>
                <w:rFonts w:hint="cs"/>
                <w:sz w:val="16"/>
                <w:szCs w:val="24"/>
                <w:rtl/>
              </w:rPr>
              <w:t>68.8</w:t>
            </w:r>
          </w:p>
        </w:tc>
        <w:tc>
          <w:tcPr>
            <w:tcW w:w="1147" w:type="dxa"/>
            <w:shd w:val="clear" w:color="auto" w:fill="auto"/>
            <w:vAlign w:val="bottom"/>
          </w:tcPr>
          <w:p w:rsidR="00A77A39" w:rsidRPr="00A77A39" w:rsidRDefault="00A77A39" w:rsidP="00A77A39">
            <w:pPr>
              <w:spacing w:before="40" w:after="80" w:line="240" w:lineRule="exact"/>
              <w:ind w:right="144"/>
              <w:jc w:val="lowKashida"/>
              <w:rPr>
                <w:rFonts w:hint="cs"/>
                <w:sz w:val="16"/>
                <w:szCs w:val="24"/>
                <w:rtl/>
              </w:rPr>
            </w:pPr>
            <w:r w:rsidRPr="00A77A39">
              <w:rPr>
                <w:rFonts w:hint="cs"/>
                <w:sz w:val="16"/>
                <w:szCs w:val="24"/>
                <w:rtl/>
              </w:rPr>
              <w:t>69.7</w:t>
            </w:r>
          </w:p>
        </w:tc>
        <w:tc>
          <w:tcPr>
            <w:tcW w:w="1305" w:type="dxa"/>
            <w:shd w:val="clear" w:color="auto" w:fill="auto"/>
            <w:vAlign w:val="bottom"/>
          </w:tcPr>
          <w:p w:rsidR="00A77A39" w:rsidRPr="00A77A39" w:rsidRDefault="00A77A39" w:rsidP="00A77A39">
            <w:pPr>
              <w:spacing w:before="40" w:after="80" w:line="240" w:lineRule="exact"/>
              <w:ind w:right="144"/>
              <w:jc w:val="lowKashida"/>
              <w:rPr>
                <w:rFonts w:hint="cs"/>
                <w:sz w:val="16"/>
                <w:szCs w:val="24"/>
                <w:rtl/>
              </w:rPr>
            </w:pPr>
            <w:r w:rsidRPr="00A77A39">
              <w:rPr>
                <w:rFonts w:hint="cs"/>
                <w:sz w:val="16"/>
                <w:szCs w:val="24"/>
                <w:rtl/>
              </w:rPr>
              <w:t>70.02</w:t>
            </w:r>
          </w:p>
        </w:tc>
      </w:tr>
      <w:tr w:rsidR="00A77A39" w:rsidRPr="00A77A39">
        <w:tblPrEx>
          <w:tblCellMar>
            <w:top w:w="0" w:type="dxa"/>
            <w:bottom w:w="0" w:type="dxa"/>
          </w:tblCellMar>
        </w:tblPrEx>
        <w:trPr>
          <w:cantSplit/>
          <w:jc w:val="center"/>
        </w:trPr>
        <w:tc>
          <w:tcPr>
            <w:tcW w:w="1783" w:type="dxa"/>
            <w:tcBorders>
              <w:bottom w:val="single" w:sz="12" w:space="0" w:color="auto"/>
            </w:tcBorders>
            <w:shd w:val="clear" w:color="auto" w:fill="auto"/>
            <w:vAlign w:val="bottom"/>
          </w:tcPr>
          <w:p w:rsidR="00A77A39" w:rsidRPr="00A77A39" w:rsidRDefault="00A77A39" w:rsidP="00A77A39">
            <w:pPr>
              <w:spacing w:before="40" w:after="80" w:line="240" w:lineRule="exact"/>
              <w:rPr>
                <w:rFonts w:hint="cs"/>
                <w:sz w:val="16"/>
                <w:szCs w:val="24"/>
                <w:rtl/>
              </w:rPr>
            </w:pPr>
            <w:r w:rsidRPr="00A77A39">
              <w:rPr>
                <w:rFonts w:hint="cs"/>
                <w:sz w:val="16"/>
                <w:szCs w:val="24"/>
                <w:rtl/>
              </w:rPr>
              <w:t>النساء</w:t>
            </w:r>
          </w:p>
        </w:tc>
        <w:tc>
          <w:tcPr>
            <w:tcW w:w="1222" w:type="dxa"/>
            <w:tcBorders>
              <w:bottom w:val="single" w:sz="12" w:space="0" w:color="auto"/>
            </w:tcBorders>
            <w:shd w:val="clear" w:color="auto" w:fill="auto"/>
            <w:vAlign w:val="bottom"/>
          </w:tcPr>
          <w:p w:rsidR="00A77A39" w:rsidRPr="00A77A39" w:rsidRDefault="00A77A39" w:rsidP="00A77A39">
            <w:pPr>
              <w:spacing w:before="40" w:after="80" w:line="240" w:lineRule="exact"/>
              <w:ind w:right="144"/>
              <w:jc w:val="lowKashida"/>
              <w:rPr>
                <w:rFonts w:hint="cs"/>
                <w:sz w:val="16"/>
                <w:szCs w:val="24"/>
                <w:rtl/>
              </w:rPr>
            </w:pPr>
            <w:r w:rsidRPr="00A77A39">
              <w:rPr>
                <w:rFonts w:hint="cs"/>
                <w:sz w:val="16"/>
                <w:szCs w:val="24"/>
                <w:rtl/>
              </w:rPr>
              <w:t>77.5</w:t>
            </w:r>
          </w:p>
        </w:tc>
        <w:tc>
          <w:tcPr>
            <w:tcW w:w="1147" w:type="dxa"/>
            <w:tcBorders>
              <w:bottom w:val="single" w:sz="12" w:space="0" w:color="auto"/>
            </w:tcBorders>
            <w:shd w:val="clear" w:color="auto" w:fill="auto"/>
            <w:vAlign w:val="bottom"/>
          </w:tcPr>
          <w:p w:rsidR="00A77A39" w:rsidRPr="00A77A39" w:rsidRDefault="00A77A39" w:rsidP="00A77A39">
            <w:pPr>
              <w:spacing w:before="40" w:after="80" w:line="240" w:lineRule="exact"/>
              <w:ind w:right="144"/>
              <w:jc w:val="lowKashida"/>
              <w:rPr>
                <w:rFonts w:hint="cs"/>
                <w:sz w:val="16"/>
                <w:szCs w:val="24"/>
                <w:rtl/>
              </w:rPr>
            </w:pPr>
            <w:r w:rsidRPr="00A77A39">
              <w:rPr>
                <w:rFonts w:hint="cs"/>
                <w:sz w:val="16"/>
                <w:szCs w:val="24"/>
                <w:rtl/>
              </w:rPr>
              <w:t>78.0</w:t>
            </w:r>
          </w:p>
        </w:tc>
        <w:tc>
          <w:tcPr>
            <w:tcW w:w="1305" w:type="dxa"/>
            <w:tcBorders>
              <w:bottom w:val="single" w:sz="12" w:space="0" w:color="auto"/>
            </w:tcBorders>
            <w:shd w:val="clear" w:color="auto" w:fill="auto"/>
            <w:vAlign w:val="bottom"/>
          </w:tcPr>
          <w:p w:rsidR="00A77A39" w:rsidRPr="00A77A39" w:rsidRDefault="00A77A39" w:rsidP="00A77A39">
            <w:pPr>
              <w:spacing w:before="40" w:after="80" w:line="240" w:lineRule="exact"/>
              <w:ind w:right="144"/>
              <w:jc w:val="lowKashida"/>
              <w:rPr>
                <w:rFonts w:hint="cs"/>
                <w:sz w:val="16"/>
                <w:szCs w:val="24"/>
                <w:rtl/>
              </w:rPr>
            </w:pPr>
            <w:r w:rsidRPr="00A77A39">
              <w:rPr>
                <w:rFonts w:hint="cs"/>
                <w:sz w:val="16"/>
                <w:szCs w:val="24"/>
                <w:rtl/>
              </w:rPr>
              <w:t>78.4</w:t>
            </w:r>
          </w:p>
        </w:tc>
      </w:tr>
    </w:tbl>
    <w:p w:rsidR="00A77A39" w:rsidRPr="00A77A39" w:rsidRDefault="00A77A39" w:rsidP="00A77A39">
      <w:pPr>
        <w:pStyle w:val="SingleTxt"/>
        <w:spacing w:after="0" w:line="120" w:lineRule="exact"/>
        <w:rPr>
          <w:rFonts w:hint="cs"/>
          <w:sz w:val="10"/>
          <w:rtl/>
        </w:rPr>
      </w:pPr>
    </w:p>
    <w:p w:rsidR="000514B1" w:rsidRDefault="00A77A39" w:rsidP="00A77A39">
      <w:pPr>
        <w:pStyle w:val="SingleTxt"/>
        <w:rPr>
          <w:rFonts w:hint="cs"/>
          <w:rtl/>
        </w:rPr>
      </w:pPr>
      <w:r>
        <w:rPr>
          <w:rFonts w:hint="cs"/>
          <w:rtl/>
        </w:rPr>
        <w:t>22 -</w:t>
      </w:r>
      <w:r>
        <w:rPr>
          <w:rFonts w:hint="cs"/>
          <w:rtl/>
        </w:rPr>
        <w:tab/>
        <w:t>هناك فرق طفيف بين العمر المتوقع في المدن والريف، وإن كان الرجال يعيشون مدة أطول في المدن، بينما تعيش النساء مدة أطول في الريف. كما أن الأطفال الذين يولدون في الريف أكثر من الأطفال الذين يولدون في المناطق الحضرية.</w:t>
      </w:r>
    </w:p>
    <w:p w:rsidR="00A77A39" w:rsidRDefault="00A77A39" w:rsidP="009532D8">
      <w:pPr>
        <w:pStyle w:val="SingleTxt"/>
        <w:rPr>
          <w:rFonts w:hint="cs"/>
          <w:rtl/>
        </w:rPr>
      </w:pPr>
      <w:r>
        <w:rPr>
          <w:rFonts w:hint="cs"/>
          <w:rtl/>
        </w:rPr>
        <w:t>23 -</w:t>
      </w:r>
      <w:r>
        <w:rPr>
          <w:rFonts w:hint="cs"/>
          <w:rtl/>
        </w:rPr>
        <w:tab/>
        <w:t>انخفض عدد الولادات الحية خلال الفترة التي يغطيها التقرير (وبدأ هذا الانخفاض في عام 1984). وفي عام 2002، انخفض معدل الولادات إلى أدنى مستوى له منذ الحرب العالمية الثانية أي بنسبة 9.3 في المائة. وكما حدث في الفترة التي يغطيها التقرير السابق، يعود ذلك إلى انخفض معدل الخصوبة إلى 35 في المائة (وكان هذا الاتجاه واضحا بصفة خاصة في الفئات العمرية 20 إلى 29 سنة، وهي الفئة التي لديها أكبر تأثير على عدد الولادات)، بالإضافة إلى الا</w:t>
      </w:r>
      <w:r w:rsidR="00AD275B">
        <w:rPr>
          <w:rFonts w:hint="cs"/>
          <w:rtl/>
        </w:rPr>
        <w:t>تجاه السائد بين النساء في أن يلد</w:t>
      </w:r>
      <w:r>
        <w:rPr>
          <w:rFonts w:hint="cs"/>
          <w:rtl/>
        </w:rPr>
        <w:t>ن أول مولود لهن - وأحيانا المولود الوحيد - في سن متأخر. وقد حدثت هذه التغييرات نتيجة التحولات الاجتماعية والاقتصادية.</w:t>
      </w:r>
    </w:p>
    <w:p w:rsidR="00A77A39" w:rsidRDefault="00A77A39" w:rsidP="00AD275B">
      <w:pPr>
        <w:pStyle w:val="SingleTxt"/>
        <w:rPr>
          <w:rFonts w:hint="cs"/>
          <w:rtl/>
        </w:rPr>
      </w:pPr>
      <w:r>
        <w:rPr>
          <w:rFonts w:hint="cs"/>
          <w:rtl/>
        </w:rPr>
        <w:t>24 -</w:t>
      </w:r>
      <w:r>
        <w:rPr>
          <w:rFonts w:hint="cs"/>
          <w:rtl/>
        </w:rPr>
        <w:tab/>
        <w:t>إن ا</w:t>
      </w:r>
      <w:r w:rsidR="00AD275B">
        <w:rPr>
          <w:rFonts w:hint="cs"/>
          <w:rtl/>
        </w:rPr>
        <w:t>لاتجاهات الديمغرافية الموصوفة ت</w:t>
      </w:r>
      <w:r>
        <w:rPr>
          <w:rFonts w:hint="cs"/>
          <w:rtl/>
        </w:rPr>
        <w:t xml:space="preserve">عكس الاتجاهات الملاحظة عند السكان من حيث معدلات الولادة والوفيات، ومن حيث الهجرة أيضا. ونتيجة لذلك، انخفض مؤشر استبدال الأجيال منذ عام 1989 (ومنذ عام 1962 في المدن): في عام 1998 بلغ المعدل 0.68، وفي عام 2002 بلغ المعدل 0.60 (0.70 في المناطق الريفية و 0.52 في المدن). </w:t>
      </w:r>
    </w:p>
    <w:p w:rsidR="00A77A39" w:rsidRDefault="00A77A39" w:rsidP="006C61B5">
      <w:pPr>
        <w:pStyle w:val="SingleTxt"/>
        <w:rPr>
          <w:rFonts w:hint="cs"/>
          <w:rtl/>
        </w:rPr>
      </w:pPr>
      <w:r>
        <w:rPr>
          <w:rFonts w:hint="cs"/>
          <w:rtl/>
        </w:rPr>
        <w:t>25 -</w:t>
      </w:r>
      <w:r>
        <w:rPr>
          <w:rFonts w:hint="cs"/>
          <w:rtl/>
        </w:rPr>
        <w:tab/>
        <w:t>وحدث خلال الفترة التي يغطيها التقرير تحسن م</w:t>
      </w:r>
      <w:r w:rsidR="00AD275B">
        <w:rPr>
          <w:rFonts w:hint="cs"/>
          <w:rtl/>
        </w:rPr>
        <w:t>لموس كذلك في حالة السكان الصحية،</w:t>
      </w:r>
      <w:r>
        <w:rPr>
          <w:rFonts w:hint="cs"/>
          <w:rtl/>
        </w:rPr>
        <w:t xml:space="preserve"> إذ انخفض معدل الوفيات، لا سيما بين الرضّع (يرد مزيد من التفاصيل في التقرير عن المادة 12 من الاتفاقية). </w:t>
      </w:r>
    </w:p>
    <w:p w:rsidR="000D46AF" w:rsidRDefault="00A77A39" w:rsidP="0075046B">
      <w:pPr>
        <w:pStyle w:val="SingleTxt"/>
        <w:rPr>
          <w:rFonts w:hint="cs"/>
          <w:rtl/>
        </w:rPr>
      </w:pPr>
      <w:r>
        <w:rPr>
          <w:rFonts w:hint="cs"/>
          <w:rtl/>
        </w:rPr>
        <w:t>26 -</w:t>
      </w:r>
      <w:r>
        <w:rPr>
          <w:rFonts w:hint="cs"/>
          <w:rtl/>
        </w:rPr>
        <w:tab/>
      </w:r>
      <w:r w:rsidR="000D46AF">
        <w:rPr>
          <w:rFonts w:hint="cs"/>
          <w:rtl/>
        </w:rPr>
        <w:t>وازداد عدد الولادات خارج الزواج. ففي عام 1998، تم الإبلاغ عن 000</w:t>
      </w:r>
      <w:r w:rsidR="000D46AF">
        <w:rPr>
          <w:rFonts w:hint="eastAsia"/>
          <w:rtl/>
        </w:rPr>
        <w:t> </w:t>
      </w:r>
      <w:r w:rsidR="000D46AF">
        <w:rPr>
          <w:rFonts w:hint="cs"/>
          <w:rtl/>
        </w:rPr>
        <w:t>26 ولادة من هذا النوع. وفي عام 2002، مثلت الولادات خارج الزواج 14</w:t>
      </w:r>
      <w:r w:rsidR="000D46AF">
        <w:rPr>
          <w:rFonts w:hint="eastAsia"/>
          <w:rtl/>
        </w:rPr>
        <w:t> </w:t>
      </w:r>
      <w:r w:rsidR="000D46AF">
        <w:rPr>
          <w:rFonts w:hint="cs"/>
          <w:rtl/>
        </w:rPr>
        <w:t>في المائة من جميع الولادات الحية. ويعكس ذلك تراخيا في التقاليد الاجتماعية التقييدية.</w:t>
      </w:r>
    </w:p>
    <w:p w:rsidR="000D46AF" w:rsidRDefault="000D46AF" w:rsidP="009C102D">
      <w:pPr>
        <w:pStyle w:val="SingleTxt"/>
        <w:rPr>
          <w:rFonts w:hint="cs"/>
          <w:rtl/>
        </w:rPr>
      </w:pPr>
      <w:r>
        <w:rPr>
          <w:rFonts w:hint="cs"/>
          <w:rtl/>
        </w:rPr>
        <w:t>27 -</w:t>
      </w:r>
      <w:r>
        <w:rPr>
          <w:rFonts w:hint="cs"/>
          <w:rtl/>
        </w:rPr>
        <w:tab/>
        <w:t>كان التعداد الوطني للسكان والإسكان أول تعداد يركز على حالة الزواج القانونية والفعلية، وكشف عن عدد حالات الانفصال القانونية بين الزوجين، و</w:t>
      </w:r>
      <w:r w:rsidR="0075046B">
        <w:rPr>
          <w:rFonts w:hint="cs"/>
          <w:rtl/>
        </w:rPr>
        <w:t xml:space="preserve">كشف، </w:t>
      </w:r>
      <w:r>
        <w:rPr>
          <w:rFonts w:hint="cs"/>
          <w:rtl/>
        </w:rPr>
        <w:t>وفقا لتوصيات الأمم المتحدة</w:t>
      </w:r>
      <w:r w:rsidR="0075046B">
        <w:rPr>
          <w:rFonts w:hint="cs"/>
          <w:rtl/>
        </w:rPr>
        <w:t>،</w:t>
      </w:r>
      <w:r>
        <w:rPr>
          <w:rFonts w:hint="cs"/>
          <w:rtl/>
        </w:rPr>
        <w:t xml:space="preserve"> عدد الزيجات بين الشركاء في المعاشرة. ويشكل المتزوجون أغلبية السكان، ويمثل الرجال المتزوجون 60 في المائة تقريبا من فئة الأشخاص الذين يبلغ عمرهم 15 سنة فما</w:t>
      </w:r>
      <w:r>
        <w:rPr>
          <w:rFonts w:hint="eastAsia"/>
          <w:rtl/>
        </w:rPr>
        <w:t> </w:t>
      </w:r>
      <w:r>
        <w:rPr>
          <w:rFonts w:hint="cs"/>
          <w:rtl/>
        </w:rPr>
        <w:t xml:space="preserve">فوق، وتشكل النساء المتزوجات 55.5 في المائة </w:t>
      </w:r>
      <w:r w:rsidR="00241441">
        <w:rPr>
          <w:rFonts w:hint="cs"/>
          <w:rtl/>
        </w:rPr>
        <w:t xml:space="preserve">من نفس الفئة العمرية. وكان عدد الأشخاص الذين يعيشون في حالة انفصال منخفضا نسبيا (10.7 ألف رجل و 14.5 ألف امرأة)، مما يعكس أن المحاكم لم تبت في الانفصال إلا بعد عام 2000. وبلغ عدد الزيجات بين الشريكين في المعاشرة من الرجال والنساء 000 198 </w:t>
      </w:r>
      <w:r w:rsidR="00A03AB4">
        <w:rPr>
          <w:rFonts w:hint="cs"/>
          <w:rtl/>
        </w:rPr>
        <w:t>و</w:t>
      </w:r>
      <w:r w:rsidR="00241441">
        <w:rPr>
          <w:rFonts w:hint="cs"/>
          <w:rtl/>
        </w:rPr>
        <w:t>يمثل</w:t>
      </w:r>
      <w:r w:rsidR="00A03AB4">
        <w:rPr>
          <w:rFonts w:hint="cs"/>
          <w:rtl/>
        </w:rPr>
        <w:t xml:space="preserve"> ذلك </w:t>
      </w:r>
      <w:r w:rsidR="00241441">
        <w:rPr>
          <w:rFonts w:hint="cs"/>
          <w:rtl/>
        </w:rPr>
        <w:t xml:space="preserve">2.2 في المائة من جميع الأشخاص المتزوجين. </w:t>
      </w:r>
    </w:p>
    <w:p w:rsidR="00241441" w:rsidRDefault="00241441" w:rsidP="000D46AF">
      <w:pPr>
        <w:pStyle w:val="SingleTxt"/>
        <w:rPr>
          <w:rFonts w:hint="cs"/>
          <w:rtl/>
        </w:rPr>
      </w:pPr>
      <w:r>
        <w:rPr>
          <w:rFonts w:hint="cs"/>
          <w:rtl/>
        </w:rPr>
        <w:t>28 -</w:t>
      </w:r>
      <w:r>
        <w:rPr>
          <w:rFonts w:hint="cs"/>
          <w:rtl/>
        </w:rPr>
        <w:tab/>
        <w:t>وأوضح أيضا التعداد مستويات التعليم عند السكان. فالنساء اللاتي بلغن من العمر 15 سنة فما فوق أفضل تعليما من الرجال: 10.4 في المائة أكملن تعليمهن العالي (نسبة الرجال 9.3 في المائة)، و 35.1 في المائة أكملن تعليمهن الثانوي (نسبة الرجال 27.6 في المائة). أما بالنسبة للتدريب المهني فكانت نسبة الرجال (30.1 في المائة) ضعف نسبة النساء تقريبا (16.9 في المائة).</w:t>
      </w:r>
    </w:p>
    <w:p w:rsidR="00241441" w:rsidRDefault="00241441" w:rsidP="00EF059E">
      <w:pPr>
        <w:pStyle w:val="SingleTxt"/>
        <w:rPr>
          <w:rFonts w:hint="cs"/>
          <w:rtl/>
        </w:rPr>
      </w:pPr>
      <w:r>
        <w:rPr>
          <w:rFonts w:hint="cs"/>
          <w:rtl/>
        </w:rPr>
        <w:t>29 -</w:t>
      </w:r>
      <w:r>
        <w:rPr>
          <w:rFonts w:hint="cs"/>
          <w:rtl/>
        </w:rPr>
        <w:tab/>
        <w:t xml:space="preserve">وكشف التعداد أن عدد المعوقين في بولندا يتزايد. فمجموع عدد المعوقين يعادل </w:t>
      </w:r>
      <w:r w:rsidR="00EF059E">
        <w:rPr>
          <w:rFonts w:hint="cs"/>
          <w:rtl/>
        </w:rPr>
        <w:t>457 5</w:t>
      </w:r>
      <w:r>
        <w:rPr>
          <w:rFonts w:hint="cs"/>
          <w:rtl/>
        </w:rPr>
        <w:t xml:space="preserve"> </w:t>
      </w:r>
      <w:r w:rsidR="00EF059E">
        <w:rPr>
          <w:rFonts w:hint="cs"/>
          <w:rtl/>
        </w:rPr>
        <w:t>ألف</w:t>
      </w:r>
      <w:r>
        <w:rPr>
          <w:rFonts w:hint="cs"/>
          <w:rtl/>
        </w:rPr>
        <w:t xml:space="preserve"> (نسبة النساء 53 في المائة)، وهذا يعني أن هناك </w:t>
      </w:r>
      <w:r w:rsidR="00EF059E">
        <w:rPr>
          <w:rFonts w:hint="cs"/>
          <w:rtl/>
        </w:rPr>
        <w:t xml:space="preserve">في عام 2002 </w:t>
      </w:r>
      <w:r>
        <w:rPr>
          <w:rFonts w:hint="cs"/>
          <w:rtl/>
        </w:rPr>
        <w:t xml:space="preserve">بولنديا معوقا </w:t>
      </w:r>
      <w:r w:rsidR="00EF059E">
        <w:rPr>
          <w:rFonts w:hint="cs"/>
          <w:rtl/>
        </w:rPr>
        <w:t>من أصل</w:t>
      </w:r>
      <w:r>
        <w:rPr>
          <w:rFonts w:hint="cs"/>
          <w:rtl/>
        </w:rPr>
        <w:t xml:space="preserve"> سبعة بولنديين. والزيادة في عدد المعوقين تعكس شيخوخة المجتمع. </w:t>
      </w:r>
    </w:p>
    <w:p w:rsidR="00241441" w:rsidRDefault="00241441" w:rsidP="00EF059E">
      <w:pPr>
        <w:pStyle w:val="SingleTxt"/>
        <w:rPr>
          <w:rFonts w:hint="cs"/>
          <w:rtl/>
        </w:rPr>
      </w:pPr>
      <w:r>
        <w:rPr>
          <w:rFonts w:hint="cs"/>
          <w:rtl/>
        </w:rPr>
        <w:t>30 -</w:t>
      </w:r>
      <w:r>
        <w:rPr>
          <w:rFonts w:hint="cs"/>
          <w:rtl/>
        </w:rPr>
        <w:tab/>
        <w:t>وأشار التعداد إلى أن 36.9 مليون شخص (أي 96.74 في المائة من السكان) يتمتعون بالجنسية البولندية. ويحمل 471.5 ألف شخص (أي 1.23 في المائة من مجموع السكان) جنسيات أخرى، و</w:t>
      </w:r>
      <w:r w:rsidR="00EF059E">
        <w:rPr>
          <w:rFonts w:hint="cs"/>
          <w:rtl/>
        </w:rPr>
        <w:t xml:space="preserve">هذه الجنسيات </w:t>
      </w:r>
      <w:r>
        <w:rPr>
          <w:rFonts w:hint="cs"/>
          <w:rtl/>
        </w:rPr>
        <w:t>هي بصفة رئيسية ألمانية وبيلاروسية وأوكرانية. ولم ي</w:t>
      </w:r>
      <w:r w:rsidR="00EF059E">
        <w:rPr>
          <w:rFonts w:hint="cs"/>
          <w:rtl/>
        </w:rPr>
        <w:t xml:space="preserve">حدد </w:t>
      </w:r>
      <w:r>
        <w:rPr>
          <w:rFonts w:hint="cs"/>
          <w:rtl/>
        </w:rPr>
        <w:t>775 ألف شخص (أي 2.03 في المائة) جنسيتهم.</w:t>
      </w:r>
    </w:p>
    <w:p w:rsidR="00241441" w:rsidRDefault="00241441" w:rsidP="000D46AF">
      <w:pPr>
        <w:pStyle w:val="SingleTxt"/>
        <w:rPr>
          <w:rFonts w:hint="cs"/>
          <w:b/>
          <w:bCs/>
          <w:rtl/>
        </w:rPr>
      </w:pPr>
      <w:r>
        <w:rPr>
          <w:rFonts w:hint="cs"/>
          <w:b/>
          <w:bCs/>
          <w:rtl/>
        </w:rPr>
        <w:t>مسائل تتعلق بالمساواة</w:t>
      </w:r>
    </w:p>
    <w:p w:rsidR="00241441" w:rsidRDefault="00241441" w:rsidP="000D46AF">
      <w:pPr>
        <w:pStyle w:val="SingleTxt"/>
        <w:rPr>
          <w:rFonts w:hint="cs"/>
          <w:rtl/>
        </w:rPr>
      </w:pPr>
      <w:r>
        <w:rPr>
          <w:rFonts w:hint="cs"/>
          <w:rtl/>
        </w:rPr>
        <w:t>31 -</w:t>
      </w:r>
      <w:r>
        <w:rPr>
          <w:rFonts w:hint="cs"/>
          <w:rtl/>
        </w:rPr>
        <w:tab/>
      </w:r>
      <w:r w:rsidR="00A30C28">
        <w:rPr>
          <w:rFonts w:hint="cs"/>
          <w:rtl/>
        </w:rPr>
        <w:t>خلال الفترة 1998-2002، كان النهج المتبع بشأن المسائل المتعلقة بالمساواة بين الجنسين يعتمد على موقف الحكومة التي في السلطة. وانعكس ذلك في اللوائح القانونية المتعلقة بالمساواة بين الجنسين.</w:t>
      </w:r>
    </w:p>
    <w:p w:rsidR="00A30C28" w:rsidRDefault="00A30C28" w:rsidP="008B6DE2">
      <w:pPr>
        <w:pStyle w:val="SingleTxt"/>
        <w:rPr>
          <w:rFonts w:hint="cs"/>
          <w:rtl/>
        </w:rPr>
      </w:pPr>
      <w:r>
        <w:rPr>
          <w:rFonts w:hint="cs"/>
          <w:rtl/>
        </w:rPr>
        <w:t>32 -</w:t>
      </w:r>
      <w:r>
        <w:rPr>
          <w:rFonts w:hint="cs"/>
          <w:rtl/>
        </w:rPr>
        <w:tab/>
        <w:t xml:space="preserve">وبعد عام 1997، تم الاستعاضة عن الآلية الوطنية لتعزيز النهوض بالمرأة </w:t>
      </w:r>
      <w:r w:rsidR="008B6DE2">
        <w:rPr>
          <w:rFonts w:hint="cs"/>
          <w:rtl/>
        </w:rPr>
        <w:t>ب</w:t>
      </w:r>
      <w:r>
        <w:rPr>
          <w:rFonts w:hint="cs"/>
          <w:rtl/>
        </w:rPr>
        <w:t xml:space="preserve">آلية لدعم الأسرة. وحتى الانتخابات البرلمانية القادمة في خريف عام 2001، كانت الجهود المبذولة لتنفيذ أحكام الاتفاقية تهتم بصفة رئيسية بنشاط الفريق البرلماني المعني بالمرأة وبالمنظمات غير الحكومية. فهذان الطرفان هما اللذان طالبا إيجاد حلول قانونية ومؤسسية متنوعة تضمن المساواة بين الجنسين. وعزز هذا النشاط وعي النساء بحقوقهن، وبأشكال التمييز، وبإمكانية اللجوء إلى المؤسسات القانونية الدولية. </w:t>
      </w:r>
    </w:p>
    <w:p w:rsidR="00A30C28" w:rsidRDefault="00A30C28" w:rsidP="008B6DE2">
      <w:pPr>
        <w:pStyle w:val="SingleTxt"/>
        <w:rPr>
          <w:rFonts w:hint="cs"/>
          <w:rtl/>
        </w:rPr>
      </w:pPr>
      <w:r>
        <w:rPr>
          <w:rFonts w:hint="cs"/>
          <w:rtl/>
        </w:rPr>
        <w:t>33 -</w:t>
      </w:r>
      <w:r>
        <w:rPr>
          <w:rFonts w:hint="cs"/>
          <w:rtl/>
        </w:rPr>
        <w:tab/>
        <w:t xml:space="preserve">وبعد الانتخابات البرلمانية التي أجريت في أيلول/سبتمبر 2001، أصبحت المساواة بين الجنسين تتسم بالأولوية بالنسبة للحكومة الائتلافية المؤلفة من </w:t>
      </w:r>
      <w:r w:rsidR="008B6DE2">
        <w:rPr>
          <w:rFonts w:hint="cs"/>
          <w:rtl/>
        </w:rPr>
        <w:t xml:space="preserve">حزب </w:t>
      </w:r>
      <w:r>
        <w:rPr>
          <w:rFonts w:hint="cs"/>
          <w:rtl/>
        </w:rPr>
        <w:t xml:space="preserve">تحالف اليسار الديمقراطي وحزب نقابات العمال. وتم إنشاء شبكة مؤسسية فعالة لتعزيز موقف المرأة من خلال لوائح تنسجم مع الاتفاقية. ويتعرض التقرير عن تنفيذ المادة 3 من الاتفاقية لهذه المسألة، مع الإشارة بصفة خاصة إلى </w:t>
      </w:r>
      <w:r>
        <w:rPr>
          <w:rFonts w:hint="eastAsia"/>
          <w:rtl/>
        </w:rPr>
        <w:t xml:space="preserve">”خطة العمل الدولية للمرأة </w:t>
      </w:r>
      <w:r w:rsidR="00622B72">
        <w:rPr>
          <w:rFonts w:hint="cs"/>
          <w:rtl/>
        </w:rPr>
        <w:t>-</w:t>
      </w:r>
      <w:r>
        <w:rPr>
          <w:rFonts w:hint="eastAsia"/>
          <w:rtl/>
        </w:rPr>
        <w:t xml:space="preserve"> مرحلة </w:t>
      </w:r>
      <w:r>
        <w:rPr>
          <w:rFonts w:hint="cs"/>
          <w:rtl/>
        </w:rPr>
        <w:t>التنفيذ الثانية للفترة 2003-2005</w:t>
      </w:r>
      <w:r>
        <w:rPr>
          <w:rFonts w:hint="eastAsia"/>
          <w:rtl/>
        </w:rPr>
        <w:t xml:space="preserve">“، </w:t>
      </w:r>
      <w:r w:rsidR="00622B72">
        <w:rPr>
          <w:rFonts w:hint="cs"/>
          <w:rtl/>
        </w:rPr>
        <w:t>ونشاط المفوض</w:t>
      </w:r>
      <w:r w:rsidR="008B6DE2">
        <w:rPr>
          <w:rFonts w:hint="cs"/>
          <w:rtl/>
        </w:rPr>
        <w:t>ة</w:t>
      </w:r>
      <w:r w:rsidR="00622B72">
        <w:rPr>
          <w:rFonts w:hint="cs"/>
          <w:rtl/>
        </w:rPr>
        <w:t xml:space="preserve"> الحكومي</w:t>
      </w:r>
      <w:r w:rsidR="008B6DE2">
        <w:rPr>
          <w:rFonts w:hint="cs"/>
          <w:rtl/>
        </w:rPr>
        <w:t>ة</w:t>
      </w:r>
      <w:r w:rsidR="00622B72">
        <w:rPr>
          <w:rFonts w:hint="cs"/>
          <w:rtl/>
        </w:rPr>
        <w:t xml:space="preserve"> الجديد</w:t>
      </w:r>
      <w:r w:rsidR="008B6DE2">
        <w:rPr>
          <w:rFonts w:hint="cs"/>
          <w:rtl/>
        </w:rPr>
        <w:t>ة</w:t>
      </w:r>
      <w:r w:rsidR="00622B72">
        <w:rPr>
          <w:rFonts w:hint="cs"/>
          <w:rtl/>
        </w:rPr>
        <w:t xml:space="preserve"> المعني</w:t>
      </w:r>
      <w:r w:rsidR="008B6DE2">
        <w:rPr>
          <w:rFonts w:hint="cs"/>
          <w:rtl/>
        </w:rPr>
        <w:t>ة</w:t>
      </w:r>
      <w:r w:rsidR="00622B72">
        <w:rPr>
          <w:rFonts w:hint="cs"/>
          <w:rtl/>
        </w:rPr>
        <w:t xml:space="preserve"> ب</w:t>
      </w:r>
      <w:r w:rsidR="008B6DE2">
        <w:rPr>
          <w:rFonts w:hint="cs"/>
          <w:rtl/>
        </w:rPr>
        <w:t>الم</w:t>
      </w:r>
      <w:r w:rsidR="00622B72">
        <w:rPr>
          <w:rFonts w:hint="cs"/>
          <w:rtl/>
        </w:rPr>
        <w:t>ساو</w:t>
      </w:r>
      <w:r w:rsidR="008B6DE2">
        <w:rPr>
          <w:rFonts w:hint="cs"/>
          <w:rtl/>
        </w:rPr>
        <w:t>اة بين</w:t>
      </w:r>
      <w:r w:rsidR="00622B72">
        <w:rPr>
          <w:rFonts w:hint="cs"/>
          <w:rtl/>
        </w:rPr>
        <w:t xml:space="preserve"> مركز الرجل والمرأة.</w:t>
      </w:r>
    </w:p>
    <w:p w:rsidR="00622B72" w:rsidRDefault="00622B72" w:rsidP="00622B72">
      <w:pPr>
        <w:pStyle w:val="SingleTxt"/>
        <w:rPr>
          <w:rFonts w:hint="cs"/>
          <w:b/>
          <w:bCs/>
          <w:rtl/>
        </w:rPr>
      </w:pPr>
      <w:r>
        <w:rPr>
          <w:rFonts w:hint="cs"/>
          <w:b/>
          <w:bCs/>
          <w:rtl/>
        </w:rPr>
        <w:t xml:space="preserve">المادة 2 </w:t>
      </w:r>
      <w:r>
        <w:rPr>
          <w:b/>
          <w:bCs/>
          <w:rtl/>
        </w:rPr>
        <w:t>–</w:t>
      </w:r>
      <w:r>
        <w:rPr>
          <w:rFonts w:hint="cs"/>
          <w:b/>
          <w:bCs/>
          <w:rtl/>
        </w:rPr>
        <w:t xml:space="preserve"> وجوب القضاء على التمييز</w:t>
      </w:r>
    </w:p>
    <w:p w:rsidR="00622B72" w:rsidRDefault="00622B72" w:rsidP="00622B72">
      <w:pPr>
        <w:pStyle w:val="SingleTxt"/>
        <w:rPr>
          <w:rFonts w:hint="cs"/>
          <w:b/>
          <w:bCs/>
          <w:rtl/>
        </w:rPr>
      </w:pPr>
      <w:r>
        <w:rPr>
          <w:rFonts w:hint="cs"/>
          <w:b/>
          <w:bCs/>
          <w:rtl/>
        </w:rPr>
        <w:t>الدستور</w:t>
      </w:r>
    </w:p>
    <w:p w:rsidR="00622B72" w:rsidRDefault="00622B72" w:rsidP="008B6DE2">
      <w:pPr>
        <w:pStyle w:val="SingleTxt"/>
        <w:rPr>
          <w:rFonts w:hint="cs"/>
          <w:rtl/>
        </w:rPr>
      </w:pPr>
      <w:r>
        <w:rPr>
          <w:rFonts w:hint="cs"/>
          <w:rtl/>
        </w:rPr>
        <w:t>34 -</w:t>
      </w:r>
      <w:r>
        <w:rPr>
          <w:rFonts w:hint="cs"/>
          <w:rtl/>
        </w:rPr>
        <w:tab/>
        <w:t>لم يط</w:t>
      </w:r>
      <w:r w:rsidR="008B6DE2">
        <w:rPr>
          <w:rFonts w:hint="cs"/>
          <w:rtl/>
        </w:rPr>
        <w:t xml:space="preserve">رأ أي تغيير على الوضع القانوني </w:t>
      </w:r>
      <w:r>
        <w:rPr>
          <w:rFonts w:hint="cs"/>
          <w:rtl/>
        </w:rPr>
        <w:t>لموضوع المادتين 32 و 33 من الدستور فيما يتعلق بالمساواة بين الجنسين وحظر التمييز بين الجنسين مقارنة بما ورد في التقرير الذي يغطي الفترة السابقة. والالتزام القانوني باحترام المساواة بين الجنسين نابع أ</w:t>
      </w:r>
      <w:r w:rsidR="008B6DE2">
        <w:rPr>
          <w:rFonts w:hint="cs"/>
          <w:rtl/>
        </w:rPr>
        <w:t>يضا من تقاليد القانون الدولي الت</w:t>
      </w:r>
      <w:r>
        <w:rPr>
          <w:rFonts w:hint="cs"/>
          <w:rtl/>
        </w:rPr>
        <w:t>ي صدقت عليه</w:t>
      </w:r>
      <w:r w:rsidR="008B6DE2">
        <w:rPr>
          <w:rFonts w:hint="cs"/>
          <w:rtl/>
        </w:rPr>
        <w:t>ا</w:t>
      </w:r>
      <w:r>
        <w:rPr>
          <w:rFonts w:hint="cs"/>
          <w:rtl/>
        </w:rPr>
        <w:t xml:space="preserve"> بولندا، بما في ذلك الاتفاقية. وإن تعريف التمييز، على النحو الوارد في المادة 1 من الاتفاقية، يمكن أن يطبق بصفة مباشرة في بولندا بموجب المادة 91 من الدستور.</w:t>
      </w:r>
    </w:p>
    <w:p w:rsidR="00622B72" w:rsidRDefault="00622B72" w:rsidP="008B6DE2">
      <w:pPr>
        <w:pStyle w:val="SingleTxt"/>
        <w:rPr>
          <w:rFonts w:hint="cs"/>
          <w:rtl/>
        </w:rPr>
      </w:pPr>
      <w:r>
        <w:rPr>
          <w:rFonts w:hint="cs"/>
          <w:rtl/>
        </w:rPr>
        <w:t>35 -</w:t>
      </w:r>
      <w:r>
        <w:rPr>
          <w:rFonts w:hint="cs"/>
          <w:rtl/>
        </w:rPr>
        <w:tab/>
        <w:t xml:space="preserve">تم استخدام حظر التمييز بين الجنسين كأساس للطعن في دستورية بعض اللوائح المحدودة التأثير أمام المحكمة الدستورية. وأشارت المحكمة الدستورية بصورة مباشرة للاتفاقية في الحكم الذي أصدرته في 13 حزيران/يونيه 2000 (الرقم </w:t>
      </w:r>
      <w:r>
        <w:t>K.15/99</w:t>
      </w:r>
      <w:r>
        <w:rPr>
          <w:rFonts w:hint="cs"/>
          <w:rtl/>
        </w:rPr>
        <w:t xml:space="preserve">)، </w:t>
      </w:r>
      <w:r w:rsidR="008B6DE2">
        <w:rPr>
          <w:rFonts w:hint="cs"/>
          <w:rtl/>
        </w:rPr>
        <w:t>و</w:t>
      </w:r>
      <w:r>
        <w:rPr>
          <w:rFonts w:hint="cs"/>
          <w:rtl/>
        </w:rPr>
        <w:t xml:space="preserve">الذي أكد أن أحد أحكام قانون </w:t>
      </w:r>
      <w:r>
        <w:rPr>
          <w:rFonts w:hint="eastAsia"/>
          <w:rtl/>
        </w:rPr>
        <w:t>”المستحضرات الصيدلانية والمواد الطبية والصيدليات والبيع بالجملة والفحص الصيدلاني</w:t>
      </w:r>
      <w:r>
        <w:rPr>
          <w:rFonts w:hint="cs"/>
          <w:rtl/>
        </w:rPr>
        <w:t>“ لا يتمشى مع كل من الدستور والاتفاقية (يجري مناقشة هذا الحكم في التقرير عن المادة 11 من الاتفاقية). ولجأت المحكمة العليا</w:t>
      </w:r>
      <w:r w:rsidR="008B6DE2">
        <w:rPr>
          <w:rFonts w:hint="cs"/>
          <w:rtl/>
        </w:rPr>
        <w:t>،</w:t>
      </w:r>
      <w:r>
        <w:rPr>
          <w:rFonts w:hint="cs"/>
          <w:rtl/>
        </w:rPr>
        <w:t xml:space="preserve"> في عدة مناسبات فيما يتعلق بالأحكام التي أصدرتها</w:t>
      </w:r>
      <w:r w:rsidR="008B6DE2">
        <w:rPr>
          <w:rFonts w:hint="cs"/>
          <w:rtl/>
        </w:rPr>
        <w:t>،</w:t>
      </w:r>
      <w:r>
        <w:rPr>
          <w:rFonts w:hint="cs"/>
          <w:rtl/>
        </w:rPr>
        <w:t xml:space="preserve"> </w:t>
      </w:r>
      <w:r w:rsidR="008B6DE2">
        <w:rPr>
          <w:rFonts w:hint="cs"/>
          <w:rtl/>
        </w:rPr>
        <w:t xml:space="preserve">إلى </w:t>
      </w:r>
      <w:r>
        <w:rPr>
          <w:rFonts w:hint="cs"/>
          <w:rtl/>
        </w:rPr>
        <w:t>الصكوك القانونية الدولية بما في ذلك الاتفاقية.</w:t>
      </w:r>
    </w:p>
    <w:p w:rsidR="00622B72" w:rsidRDefault="00622B72" w:rsidP="008B6DE2">
      <w:pPr>
        <w:pStyle w:val="SingleTxt"/>
        <w:rPr>
          <w:rFonts w:hint="cs"/>
          <w:rtl/>
        </w:rPr>
      </w:pPr>
      <w:r>
        <w:rPr>
          <w:rFonts w:hint="cs"/>
          <w:rtl/>
        </w:rPr>
        <w:t>36 -</w:t>
      </w:r>
      <w:r>
        <w:rPr>
          <w:rFonts w:hint="cs"/>
          <w:rtl/>
        </w:rPr>
        <w:tab/>
        <w:t>وتدخل أيضا المفوض المعني بحماية الحقوق المدنية (أمين المظالم) في حالات تتعلق بالتمييز بين الجنسين</w:t>
      </w:r>
      <w:r w:rsidR="008B6DE2">
        <w:rPr>
          <w:rFonts w:hint="cs"/>
          <w:rtl/>
        </w:rPr>
        <w:t xml:space="preserve">، </w:t>
      </w:r>
      <w:r>
        <w:rPr>
          <w:rFonts w:hint="cs"/>
          <w:rtl/>
        </w:rPr>
        <w:t>أي ضد الأكاديميات العسكرية التي تفرض قيودا على حق المرأة في التعليم.</w:t>
      </w:r>
    </w:p>
    <w:p w:rsidR="00622B72" w:rsidRDefault="00622B72" w:rsidP="00622B72">
      <w:pPr>
        <w:pStyle w:val="SingleTxt"/>
        <w:rPr>
          <w:rFonts w:hint="cs"/>
          <w:b/>
          <w:bCs/>
          <w:rtl/>
        </w:rPr>
      </w:pPr>
      <w:r>
        <w:rPr>
          <w:rFonts w:hint="cs"/>
          <w:b/>
          <w:bCs/>
          <w:rtl/>
        </w:rPr>
        <w:t>حظر التمييز في قانون العمل</w:t>
      </w:r>
    </w:p>
    <w:p w:rsidR="00622B72" w:rsidRDefault="00622B72" w:rsidP="009D16A8">
      <w:pPr>
        <w:pStyle w:val="SingleTxt"/>
        <w:rPr>
          <w:rFonts w:hint="cs"/>
          <w:rtl/>
        </w:rPr>
      </w:pPr>
      <w:r>
        <w:rPr>
          <w:rFonts w:hint="cs"/>
          <w:rtl/>
        </w:rPr>
        <w:t>37 -</w:t>
      </w:r>
      <w:r>
        <w:rPr>
          <w:rFonts w:hint="cs"/>
          <w:rtl/>
        </w:rPr>
        <w:tab/>
        <w:t>بموجب تعديل قانون العمل وبعض القوانين الأخرى التي بدأ نفاذها في 1 كانون الثاني/يناير 2002، تم إدخال تغييرات هامة فيما يتعلق بالمساواة بين الجنسين على القانون المؤرخ 24 آب/أغسطس 2001. ويعرّف الفصل الجديد 2</w:t>
      </w:r>
      <w:r w:rsidR="009D16A8">
        <w:rPr>
          <w:rFonts w:hint="cs"/>
          <w:rtl/>
        </w:rPr>
        <w:t>(</w:t>
      </w:r>
      <w:r>
        <w:rPr>
          <w:rFonts w:hint="cs"/>
          <w:rtl/>
        </w:rPr>
        <w:t xml:space="preserve"> أ</w:t>
      </w:r>
      <w:r w:rsidR="009D16A8">
        <w:rPr>
          <w:rFonts w:hint="cs"/>
          <w:rtl/>
        </w:rPr>
        <w:t>)</w:t>
      </w:r>
      <w:r>
        <w:rPr>
          <w:rFonts w:hint="cs"/>
          <w:rtl/>
        </w:rPr>
        <w:t xml:space="preserve"> من قانون العمل المعنون </w:t>
      </w:r>
      <w:r>
        <w:rPr>
          <w:rFonts w:hint="eastAsia"/>
          <w:rtl/>
        </w:rPr>
        <w:t>”المساواة في المعاملة بين المرأة والرجل</w:t>
      </w:r>
      <w:r>
        <w:rPr>
          <w:rFonts w:hint="cs"/>
          <w:rtl/>
        </w:rPr>
        <w:t xml:space="preserve">“ (المادة 18 (3 أ) </w:t>
      </w:r>
      <w:r w:rsidR="009D16A8">
        <w:rPr>
          <w:rFonts w:hint="cs"/>
          <w:rtl/>
        </w:rPr>
        <w:t>إلى</w:t>
      </w:r>
      <w:r>
        <w:rPr>
          <w:rFonts w:hint="cs"/>
          <w:rtl/>
        </w:rPr>
        <w:t xml:space="preserve"> 18 (3 هـ)) التمييز غير المباشر، وإجراءات الطعن في القرارات التمييزية أمام محكمة العمل، والمبدأ القائم على أن عبء الإثبات يتوقف على رب العمل، ومبدأ الأجر المتساوي مقابل العمل المتساوي القيمة. ووفقا للفقرة 3 من المادة 18 (3 أ) </w:t>
      </w:r>
      <w:r>
        <w:rPr>
          <w:rFonts w:hint="eastAsia"/>
          <w:rtl/>
        </w:rPr>
        <w:t>”هناك تمييز غير مباشر عندما يكون عدم التناسب في ظروف العمل</w:t>
      </w:r>
      <w:r>
        <w:rPr>
          <w:rFonts w:hint="cs"/>
          <w:rtl/>
        </w:rPr>
        <w:t xml:space="preserve"> على حساب جميع الموظفين من أحد الجنسين، أو عندما لا يمكن تبرير هذه الظروف إلا على أساس انتماء الموظفين لأحد الجنسين</w:t>
      </w:r>
      <w:r>
        <w:rPr>
          <w:rFonts w:hint="eastAsia"/>
          <w:rtl/>
        </w:rPr>
        <w:t xml:space="preserve">“. </w:t>
      </w:r>
      <w:r>
        <w:rPr>
          <w:rFonts w:hint="cs"/>
          <w:rtl/>
        </w:rPr>
        <w:t>ويتم مناقشة الأحكام المناهضة للتمييز في قانون العمل (على أن توضع في الاعتبار التعديلات التي أدخلت بعد الفترة قيد الاستعراض) بالتفصيل في ذلك الجزء من التقرير المخصص لتنفيذ المادة 11 من الاتفاقية.</w:t>
      </w:r>
    </w:p>
    <w:p w:rsidR="00622B72" w:rsidRDefault="00622B72" w:rsidP="00622B72">
      <w:pPr>
        <w:pStyle w:val="SingleTxt"/>
        <w:rPr>
          <w:rFonts w:hint="cs"/>
          <w:b/>
          <w:bCs/>
          <w:rtl/>
        </w:rPr>
      </w:pPr>
      <w:r>
        <w:rPr>
          <w:rFonts w:hint="cs"/>
          <w:b/>
          <w:bCs/>
          <w:rtl/>
        </w:rPr>
        <w:t>مشروع قانون المساواة بين الجنسين</w:t>
      </w:r>
    </w:p>
    <w:p w:rsidR="00622B72" w:rsidRDefault="00622B72" w:rsidP="00622B72">
      <w:pPr>
        <w:pStyle w:val="SingleTxt"/>
        <w:rPr>
          <w:rFonts w:hint="cs"/>
          <w:rtl/>
        </w:rPr>
      </w:pPr>
      <w:r>
        <w:rPr>
          <w:rFonts w:hint="cs"/>
          <w:rtl/>
        </w:rPr>
        <w:t>38 -</w:t>
      </w:r>
      <w:r>
        <w:rPr>
          <w:rFonts w:hint="cs"/>
          <w:rtl/>
        </w:rPr>
        <w:tab/>
        <w:t>أعيد إلى اللجنة مشروع قانون المساواة بين الجنسين الذي قدمه للمرة الثانية في عام 1998 الفريق البرلماني المعني بالمرأة. ولم تر الحكومة الائتلافية المؤلفة من التحالف الانتخابي التضامني - اتحاد الحرية (التي أيدت سياسات مناصرة للأسرة على حساب المسائل المتعلقة بالمساواة) أي مبرر لقانون مثل هذا واعتبرت أحكامه تتنافى مع مكتسبات الاتحاد الأوروبي.</w:t>
      </w:r>
    </w:p>
    <w:p w:rsidR="00622B72" w:rsidRDefault="00622B72" w:rsidP="009D16A8">
      <w:pPr>
        <w:pStyle w:val="SingleTxt"/>
        <w:rPr>
          <w:rFonts w:hint="cs"/>
          <w:rtl/>
        </w:rPr>
      </w:pPr>
      <w:r>
        <w:rPr>
          <w:rFonts w:hint="cs"/>
          <w:rtl/>
        </w:rPr>
        <w:t>39 -</w:t>
      </w:r>
      <w:r>
        <w:rPr>
          <w:rFonts w:hint="cs"/>
          <w:rtl/>
        </w:rPr>
        <w:tab/>
        <w:t xml:space="preserve">ولم يبدأ العمل </w:t>
      </w:r>
      <w:r w:rsidR="009D16A8">
        <w:rPr>
          <w:rFonts w:hint="cs"/>
          <w:rtl/>
        </w:rPr>
        <w:t>في</w:t>
      </w:r>
      <w:r>
        <w:rPr>
          <w:rFonts w:hint="cs"/>
          <w:rtl/>
        </w:rPr>
        <w:t xml:space="preserve"> مشروع آخر إلا بعد الانتخابات البرلمانية في خريف عام 2001، وعرض مرة أخرى الفريق البرلماني المعني بالمرأة مشروع القانون. وعرّف المشروع التمييز على أنه معاملة تسيء إلى شخص أو مجموعة من الأشخاص لانتمائه</w:t>
      </w:r>
      <w:r w:rsidR="009D16A8">
        <w:rPr>
          <w:rFonts w:hint="cs"/>
          <w:rtl/>
        </w:rPr>
        <w:t xml:space="preserve"> أو انتمائهم</w:t>
      </w:r>
      <w:r>
        <w:rPr>
          <w:rFonts w:hint="cs"/>
          <w:rtl/>
        </w:rPr>
        <w:t xml:space="preserve"> إلى أحد الجنسين، واستحدث المشروع أنظمة قانونية، وإجراءات ومعايير تنطبق على الجنسين تنطوي على تهديدات أكبر ذات عواقب سلبية لأحد الجنسين. ويتضمن المشروع أيضا تعريفا للتحرش الجنسي بوصفه سلوكا غير مقبول جنسيا، يتعدى على كرامة الشخص الذي يتم التحرش به، أو يخلق جوا من الرعب أو الإذلال أو العداء، عندما يكون قبول مثل هذا السلوك أو عدم وجوده يستخدم كأساس لاتخاذ قرارات تؤثر في الشخص الذي يتم التحرش</w:t>
      </w:r>
      <w:r>
        <w:rPr>
          <w:rFonts w:hint="eastAsia"/>
          <w:rtl/>
        </w:rPr>
        <w:t> </w:t>
      </w:r>
      <w:r>
        <w:rPr>
          <w:rFonts w:hint="cs"/>
          <w:rtl/>
        </w:rPr>
        <w:t>به.</w:t>
      </w:r>
    </w:p>
    <w:p w:rsidR="00622B72" w:rsidRDefault="00622B72" w:rsidP="009D16A8">
      <w:pPr>
        <w:pStyle w:val="SingleTxt"/>
        <w:rPr>
          <w:rFonts w:hint="cs"/>
          <w:rtl/>
        </w:rPr>
      </w:pPr>
      <w:r>
        <w:rPr>
          <w:rFonts w:hint="cs"/>
          <w:rtl/>
        </w:rPr>
        <w:t>40 -</w:t>
      </w:r>
      <w:r>
        <w:rPr>
          <w:rFonts w:hint="cs"/>
          <w:rtl/>
        </w:rPr>
        <w:tab/>
        <w:t xml:space="preserve">تعالج أحكام المشروع تكافؤ الفرص </w:t>
      </w:r>
      <w:r w:rsidR="009D16A8">
        <w:rPr>
          <w:rFonts w:hint="cs"/>
          <w:rtl/>
        </w:rPr>
        <w:t>بين</w:t>
      </w:r>
      <w:r>
        <w:rPr>
          <w:rFonts w:hint="cs"/>
          <w:rtl/>
        </w:rPr>
        <w:t xml:space="preserve"> الرجال والنساء في جميع ميادين الحياة. وفيما يتعلق بالحياة العامة، ينظر المشروع في إمكانية وجود حصص محددة للنساء في الهيئات الجماعية التي تنتخبها أو تعينها أجهزة السلطات العامة. وينص المشروع أيضا على إنشاء مكتب معني بالمساواة بين مركز المرأة والرجل بوصفه الهيئة المركزية لإدارة الدولة، المسؤولة عن التصدي للممارسات التمييزية. وتم تقديم المشروع إلى البرلمان في عام 2002، و</w:t>
      </w:r>
      <w:r w:rsidR="009D16A8">
        <w:rPr>
          <w:rFonts w:hint="cs"/>
          <w:rtl/>
        </w:rPr>
        <w:t xml:space="preserve">ما زال </w:t>
      </w:r>
      <w:r>
        <w:rPr>
          <w:rFonts w:hint="cs"/>
          <w:rtl/>
        </w:rPr>
        <w:t xml:space="preserve">العمل على التشريعات ذات الصلة </w:t>
      </w:r>
      <w:r w:rsidR="009D16A8">
        <w:rPr>
          <w:rFonts w:hint="cs"/>
          <w:rtl/>
        </w:rPr>
        <w:t>جاريا</w:t>
      </w:r>
      <w:r>
        <w:rPr>
          <w:rFonts w:hint="cs"/>
          <w:rtl/>
        </w:rPr>
        <w:t>.</w:t>
      </w:r>
    </w:p>
    <w:p w:rsidR="00622B72" w:rsidRDefault="00622B72" w:rsidP="00F317A6">
      <w:pPr>
        <w:pStyle w:val="SingleTxt"/>
        <w:rPr>
          <w:rFonts w:hint="cs"/>
          <w:rtl/>
        </w:rPr>
      </w:pPr>
      <w:r>
        <w:rPr>
          <w:rFonts w:hint="cs"/>
          <w:rtl/>
        </w:rPr>
        <w:t>41 -</w:t>
      </w:r>
      <w:r>
        <w:rPr>
          <w:rFonts w:hint="cs"/>
          <w:rtl/>
        </w:rPr>
        <w:tab/>
        <w:t xml:space="preserve">ولم يتم إنشاء أي مؤسسات منفصلة مسؤولة عن النظر في شكاوى التمييز القائمة على الجنس أثناء الفترة التي يغطيها هذا التقرير. وهذه الحالات </w:t>
      </w:r>
      <w:r w:rsidR="00F317A6">
        <w:rPr>
          <w:rFonts w:hint="cs"/>
          <w:rtl/>
        </w:rPr>
        <w:t>من اختصاص ا</w:t>
      </w:r>
      <w:r>
        <w:rPr>
          <w:rFonts w:hint="cs"/>
          <w:rtl/>
        </w:rPr>
        <w:t xml:space="preserve">لقضاء. </w:t>
      </w:r>
    </w:p>
    <w:p w:rsidR="00622B72" w:rsidRDefault="00622B72" w:rsidP="00622B72">
      <w:pPr>
        <w:pStyle w:val="SingleTxt"/>
        <w:rPr>
          <w:rFonts w:hint="cs"/>
          <w:b/>
          <w:bCs/>
          <w:rtl/>
        </w:rPr>
      </w:pPr>
      <w:r>
        <w:rPr>
          <w:rFonts w:hint="cs"/>
          <w:b/>
          <w:bCs/>
          <w:rtl/>
        </w:rPr>
        <w:t>المادة 3 - نمو المرأة والنهوض بها</w:t>
      </w:r>
    </w:p>
    <w:p w:rsidR="00622B72" w:rsidRDefault="00622B72" w:rsidP="00521CCB">
      <w:pPr>
        <w:pStyle w:val="SingleTxt"/>
        <w:rPr>
          <w:rFonts w:hint="cs"/>
          <w:rtl/>
        </w:rPr>
      </w:pPr>
      <w:r>
        <w:rPr>
          <w:rFonts w:hint="cs"/>
          <w:rtl/>
        </w:rPr>
        <w:t>42 -</w:t>
      </w:r>
      <w:r>
        <w:rPr>
          <w:rFonts w:hint="cs"/>
          <w:rtl/>
        </w:rPr>
        <w:tab/>
        <w:t xml:space="preserve">كما جاء في التقرير الذي تناول الفترة السابقة، تم الاستعاضة عام 1997 عن الآلية المؤسسية الوطنية للنهوض بالمرأة بآلية مؤسسية تدعم الأسرة. وفي شباط/فبراير 1997، أنشأ الائتلاف الحاكم المؤلف من العمل الانتخابي التضامني </w:t>
      </w:r>
      <w:r w:rsidR="00521CCB">
        <w:rPr>
          <w:rFonts w:hint="cs"/>
          <w:rtl/>
        </w:rPr>
        <w:t>و</w:t>
      </w:r>
      <w:r>
        <w:rPr>
          <w:rFonts w:hint="cs"/>
          <w:rtl/>
        </w:rPr>
        <w:t>اتحاد الحرية منصب المفوض</w:t>
      </w:r>
      <w:r w:rsidR="00521CCB">
        <w:rPr>
          <w:rFonts w:hint="cs"/>
          <w:rtl/>
        </w:rPr>
        <w:t>ة</w:t>
      </w:r>
      <w:r>
        <w:rPr>
          <w:rFonts w:hint="cs"/>
          <w:rtl/>
        </w:rPr>
        <w:t xml:space="preserve"> الحكومي</w:t>
      </w:r>
      <w:r w:rsidR="00521CCB">
        <w:rPr>
          <w:rFonts w:hint="cs"/>
          <w:rtl/>
        </w:rPr>
        <w:t>ة</w:t>
      </w:r>
      <w:r>
        <w:rPr>
          <w:rFonts w:hint="cs"/>
          <w:rtl/>
        </w:rPr>
        <w:t xml:space="preserve"> المعني</w:t>
      </w:r>
      <w:r w:rsidR="00521CCB">
        <w:rPr>
          <w:rFonts w:hint="cs"/>
          <w:rtl/>
        </w:rPr>
        <w:t>ة</w:t>
      </w:r>
      <w:r>
        <w:rPr>
          <w:rFonts w:hint="cs"/>
          <w:rtl/>
        </w:rPr>
        <w:t xml:space="preserve"> بشؤون الأسرة، والمنصب </w:t>
      </w:r>
      <w:r w:rsidR="00521CCB">
        <w:rPr>
          <w:rFonts w:hint="cs"/>
          <w:rtl/>
        </w:rPr>
        <w:t xml:space="preserve">له رتبة </w:t>
      </w:r>
      <w:r>
        <w:rPr>
          <w:rFonts w:hint="cs"/>
          <w:rtl/>
        </w:rPr>
        <w:t>سكرتير للدولة في مكتب رئيس الوزراء. ومهمة المفوض</w:t>
      </w:r>
      <w:r w:rsidR="00521CCB">
        <w:rPr>
          <w:rFonts w:hint="cs"/>
          <w:rtl/>
        </w:rPr>
        <w:t>ة</w:t>
      </w:r>
      <w:r>
        <w:rPr>
          <w:rFonts w:hint="cs"/>
          <w:rtl/>
        </w:rPr>
        <w:t xml:space="preserve"> الأساسية تتمثل في تنسيق نشاط الدولة الرامي إلى مساعدة العائلات التي تتقيد بالمنظور التقليدي لدور الرجل والمرأة. ولا يتم الاهتمام بمسائل المساواة بين الجنسين إلا</w:t>
      </w:r>
      <w:r>
        <w:rPr>
          <w:rFonts w:hint="eastAsia"/>
          <w:rtl/>
        </w:rPr>
        <w:t> </w:t>
      </w:r>
      <w:r>
        <w:rPr>
          <w:rFonts w:hint="cs"/>
          <w:rtl/>
        </w:rPr>
        <w:t xml:space="preserve">في حدود ضيقة وعلى أساس عوامل خارجية مثل التكيف </w:t>
      </w:r>
      <w:r w:rsidR="00521CCB">
        <w:rPr>
          <w:rFonts w:hint="cs"/>
          <w:rtl/>
        </w:rPr>
        <w:t xml:space="preserve">مع </w:t>
      </w:r>
      <w:r>
        <w:rPr>
          <w:rFonts w:hint="cs"/>
          <w:rtl/>
        </w:rPr>
        <w:t>قوانين الاتحاد الأوروبي.</w:t>
      </w:r>
    </w:p>
    <w:p w:rsidR="00622B72" w:rsidRDefault="00622B72" w:rsidP="00335D1C">
      <w:pPr>
        <w:pStyle w:val="SingleTxt"/>
        <w:rPr>
          <w:rFonts w:hint="cs"/>
          <w:rtl/>
        </w:rPr>
      </w:pPr>
      <w:r>
        <w:rPr>
          <w:rFonts w:hint="cs"/>
          <w:rtl/>
        </w:rPr>
        <w:t>43 -</w:t>
      </w:r>
      <w:r>
        <w:rPr>
          <w:rFonts w:hint="cs"/>
          <w:rtl/>
        </w:rPr>
        <w:tab/>
        <w:t xml:space="preserve">وأثناء الأعمال التحضيرية للدورة الاستثنائية الثالثة والعشرين للجمعية العامة للأمم المتحدة </w:t>
      </w:r>
      <w:r>
        <w:rPr>
          <w:rFonts w:hint="eastAsia"/>
          <w:rtl/>
        </w:rPr>
        <w:t>”بيجين + 5</w:t>
      </w:r>
      <w:r>
        <w:rPr>
          <w:rFonts w:hint="cs"/>
          <w:rtl/>
        </w:rPr>
        <w:t>“ (نيويورك، 2000)، أعد</w:t>
      </w:r>
      <w:r w:rsidR="00521CCB">
        <w:rPr>
          <w:rFonts w:hint="cs"/>
          <w:rtl/>
        </w:rPr>
        <w:t>ت</w:t>
      </w:r>
      <w:r>
        <w:rPr>
          <w:rFonts w:hint="cs"/>
          <w:rtl/>
        </w:rPr>
        <w:t xml:space="preserve"> المفوض</w:t>
      </w:r>
      <w:r w:rsidR="00521CCB">
        <w:rPr>
          <w:rFonts w:hint="cs"/>
          <w:rtl/>
        </w:rPr>
        <w:t>ة</w:t>
      </w:r>
      <w:r>
        <w:rPr>
          <w:rFonts w:hint="cs"/>
          <w:rtl/>
        </w:rPr>
        <w:t xml:space="preserve"> الحكومي</w:t>
      </w:r>
      <w:r w:rsidR="00521CCB">
        <w:rPr>
          <w:rFonts w:hint="cs"/>
          <w:rtl/>
        </w:rPr>
        <w:t>ة</w:t>
      </w:r>
      <w:r>
        <w:rPr>
          <w:rFonts w:hint="cs"/>
          <w:rtl/>
        </w:rPr>
        <w:t xml:space="preserve"> المعني</w:t>
      </w:r>
      <w:r w:rsidR="00521CCB">
        <w:rPr>
          <w:rFonts w:hint="cs"/>
          <w:rtl/>
        </w:rPr>
        <w:t>ة</w:t>
      </w:r>
      <w:r>
        <w:rPr>
          <w:rFonts w:hint="cs"/>
          <w:rtl/>
        </w:rPr>
        <w:t xml:space="preserve"> بشؤون الأسرة وثيقتين: </w:t>
      </w:r>
      <w:r w:rsidR="00335D1C">
        <w:rPr>
          <w:rFonts w:hint="cs"/>
          <w:rtl/>
        </w:rPr>
        <w:t>ال</w:t>
      </w:r>
      <w:r>
        <w:rPr>
          <w:rFonts w:hint="cs"/>
          <w:rtl/>
        </w:rPr>
        <w:t xml:space="preserve">رد على استبيان الأمم المتحدة </w:t>
      </w:r>
      <w:r w:rsidR="00335D1C">
        <w:rPr>
          <w:rFonts w:hint="cs"/>
          <w:rtl/>
        </w:rPr>
        <w:t xml:space="preserve">الذي </w:t>
      </w:r>
      <w:r>
        <w:rPr>
          <w:rFonts w:hint="cs"/>
          <w:rtl/>
        </w:rPr>
        <w:t>يتعلق بتنفيذ منهاج عمل بيجين و</w:t>
      </w:r>
      <w:r w:rsidR="00335D1C">
        <w:rPr>
          <w:rFonts w:hint="cs"/>
          <w:rtl/>
        </w:rPr>
        <w:t xml:space="preserve">الوثيقة الثانية هي </w:t>
      </w:r>
      <w:r>
        <w:rPr>
          <w:rFonts w:hint="cs"/>
          <w:rtl/>
        </w:rPr>
        <w:t>تقرير عن الموضوع. وأشار</w:t>
      </w:r>
      <w:r w:rsidR="00335D1C">
        <w:rPr>
          <w:rFonts w:hint="cs"/>
          <w:rtl/>
        </w:rPr>
        <w:t>ت</w:t>
      </w:r>
      <w:r>
        <w:rPr>
          <w:rFonts w:hint="cs"/>
          <w:rtl/>
        </w:rPr>
        <w:t xml:space="preserve"> إلى التدابير الحكومية المتخذة لدعم الأسرة، والرامية إلى تعزيز استقلال العائلات، ومساعدة الأمهات المعيلات عن طريق تطوير شبكة من مراكز المساعدة العائلية. وحددت الإجابات عن الاستبيان المجالات التي لا يتساوى فيها ال</w:t>
      </w:r>
      <w:r w:rsidR="00335D1C">
        <w:rPr>
          <w:rFonts w:hint="cs"/>
          <w:rtl/>
        </w:rPr>
        <w:t>جنسان</w:t>
      </w:r>
      <w:r>
        <w:rPr>
          <w:rFonts w:hint="cs"/>
          <w:rtl/>
        </w:rPr>
        <w:t xml:space="preserve"> مثل مرتبات المرأة التي تكون عادة أقل من مرتبات الرجل، والإمكانيات المحدودة للوصول إلى ال</w:t>
      </w:r>
      <w:r w:rsidR="00335D1C">
        <w:rPr>
          <w:rFonts w:hint="cs"/>
          <w:rtl/>
        </w:rPr>
        <w:t>مناصب الإدارية، وهيمنة المرأة على</w:t>
      </w:r>
      <w:r>
        <w:rPr>
          <w:rFonts w:hint="cs"/>
          <w:rtl/>
        </w:rPr>
        <w:t xml:space="preserve"> المهن ذات الأجر المنخفض. وفي الوقت نفسه، أعربت الحكومة عن موقف سلبي تجاه مشروع القانون المتعلق بالمساواة بين الجنسين برعاية الفريق ا</w:t>
      </w:r>
      <w:r w:rsidR="00335D1C">
        <w:rPr>
          <w:rFonts w:hint="cs"/>
          <w:rtl/>
        </w:rPr>
        <w:t>لبرلماني المعني بالمرأة، بما أن</w:t>
      </w:r>
      <w:r w:rsidR="00A43E74">
        <w:rPr>
          <w:rFonts w:hint="cs"/>
          <w:rtl/>
        </w:rPr>
        <w:t xml:space="preserve"> </w:t>
      </w:r>
      <w:r w:rsidR="00335D1C">
        <w:rPr>
          <w:rFonts w:hint="cs"/>
          <w:rtl/>
        </w:rPr>
        <w:t xml:space="preserve">الفريق </w:t>
      </w:r>
      <w:r>
        <w:rPr>
          <w:rFonts w:hint="cs"/>
          <w:rtl/>
        </w:rPr>
        <w:t>نظر في إمكانية توفير امتيازات للمرأة على حساب الرجل (نظام الحصص). و</w:t>
      </w:r>
      <w:r w:rsidR="00335D1C">
        <w:rPr>
          <w:rFonts w:hint="cs"/>
          <w:rtl/>
        </w:rPr>
        <w:t>في التقرير المذكور أعلاه، تم وصف</w:t>
      </w:r>
      <w:r>
        <w:rPr>
          <w:rFonts w:hint="cs"/>
          <w:rtl/>
        </w:rPr>
        <w:t xml:space="preserve"> </w:t>
      </w:r>
      <w:r w:rsidR="00335D1C">
        <w:rPr>
          <w:rFonts w:hint="cs"/>
          <w:rtl/>
        </w:rPr>
        <w:t>ال</w:t>
      </w:r>
      <w:r>
        <w:rPr>
          <w:rFonts w:hint="cs"/>
          <w:rtl/>
        </w:rPr>
        <w:t xml:space="preserve">سياسات </w:t>
      </w:r>
      <w:r w:rsidR="00335D1C">
        <w:rPr>
          <w:rFonts w:hint="cs"/>
          <w:rtl/>
        </w:rPr>
        <w:t>ال</w:t>
      </w:r>
      <w:r>
        <w:rPr>
          <w:rFonts w:hint="cs"/>
          <w:rtl/>
        </w:rPr>
        <w:t>مناصرة الأسرة التي تتبعها الحكومة (تأييدا للنموذج التقليدي للأسرة) على أنها تدعم المساواة بين الجنسين ومن ثم تتفق مع المبادئ التوجيهية لمنهاج عمل بيجين.</w:t>
      </w:r>
    </w:p>
    <w:p w:rsidR="00622B72" w:rsidRDefault="00622B72" w:rsidP="00622B72">
      <w:pPr>
        <w:pStyle w:val="SingleTxt"/>
        <w:rPr>
          <w:rFonts w:hint="cs"/>
          <w:rtl/>
        </w:rPr>
      </w:pPr>
      <w:r>
        <w:rPr>
          <w:rFonts w:hint="cs"/>
          <w:rtl/>
        </w:rPr>
        <w:t>44 -</w:t>
      </w:r>
      <w:r>
        <w:rPr>
          <w:rFonts w:hint="cs"/>
          <w:rtl/>
        </w:rPr>
        <w:tab/>
        <w:t xml:space="preserve">وفي شباط/فبراير 2001، </w:t>
      </w:r>
      <w:r w:rsidR="00B6118D">
        <w:rPr>
          <w:rFonts w:hint="cs"/>
          <w:rtl/>
        </w:rPr>
        <w:t>أرغمت الحكومة المفوض</w:t>
      </w:r>
      <w:r w:rsidR="00C20B46">
        <w:rPr>
          <w:rFonts w:hint="cs"/>
          <w:rtl/>
        </w:rPr>
        <w:t>ة</w:t>
      </w:r>
      <w:r w:rsidR="00B6118D">
        <w:rPr>
          <w:rFonts w:hint="cs"/>
          <w:rtl/>
        </w:rPr>
        <w:t xml:space="preserve"> الحكومي</w:t>
      </w:r>
      <w:r w:rsidR="00C20B46">
        <w:rPr>
          <w:rFonts w:hint="cs"/>
          <w:rtl/>
        </w:rPr>
        <w:t>ة</w:t>
      </w:r>
      <w:r w:rsidR="00B6118D">
        <w:rPr>
          <w:rFonts w:hint="cs"/>
          <w:rtl/>
        </w:rPr>
        <w:t xml:space="preserve"> المعني</w:t>
      </w:r>
      <w:r w:rsidR="00C20B46">
        <w:rPr>
          <w:rFonts w:hint="cs"/>
          <w:rtl/>
        </w:rPr>
        <w:t>ة</w:t>
      </w:r>
      <w:r w:rsidR="00B6118D">
        <w:rPr>
          <w:rFonts w:hint="cs"/>
          <w:rtl/>
        </w:rPr>
        <w:t xml:space="preserve"> بشؤون الأسرة على القيام بال</w:t>
      </w:r>
      <w:r w:rsidR="00C20B46">
        <w:rPr>
          <w:rFonts w:hint="cs"/>
          <w:rtl/>
        </w:rPr>
        <w:t>أ</w:t>
      </w:r>
      <w:r w:rsidR="00B6118D">
        <w:rPr>
          <w:rFonts w:hint="cs"/>
          <w:rtl/>
        </w:rPr>
        <w:t>عم</w:t>
      </w:r>
      <w:r w:rsidR="00C20B46">
        <w:rPr>
          <w:rFonts w:hint="cs"/>
          <w:rtl/>
        </w:rPr>
        <w:t>ا</w:t>
      </w:r>
      <w:r w:rsidR="00B6118D">
        <w:rPr>
          <w:rFonts w:hint="cs"/>
          <w:rtl/>
        </w:rPr>
        <w:t>ل التحضيري</w:t>
      </w:r>
      <w:r w:rsidR="00C20B46">
        <w:rPr>
          <w:rFonts w:hint="cs"/>
          <w:rtl/>
        </w:rPr>
        <w:t>ة</w:t>
      </w:r>
      <w:r w:rsidR="00B6118D">
        <w:rPr>
          <w:rFonts w:hint="cs"/>
          <w:rtl/>
        </w:rPr>
        <w:t xml:space="preserve"> لإنشاء فرع إداري حكومي يعالج شؤون الأسرة</w:t>
      </w:r>
      <w:r w:rsidR="00562F3B" w:rsidRPr="00562F3B">
        <w:rPr>
          <w:vertAlign w:val="superscript"/>
          <w:rtl/>
        </w:rPr>
        <w:t>(</w:t>
      </w:r>
      <w:r w:rsidR="00562F3B">
        <w:rPr>
          <w:rStyle w:val="FootnoteReference"/>
          <w:rtl/>
        </w:rPr>
        <w:footnoteReference w:id="1"/>
      </w:r>
      <w:r w:rsidR="00562F3B" w:rsidRPr="00562F3B">
        <w:rPr>
          <w:vertAlign w:val="superscript"/>
          <w:rtl/>
        </w:rPr>
        <w:t>)</w:t>
      </w:r>
      <w:r w:rsidR="00562F3B">
        <w:rPr>
          <w:rFonts w:hint="cs"/>
          <w:vertAlign w:val="superscript"/>
          <w:rtl/>
        </w:rPr>
        <w:t xml:space="preserve"> </w:t>
      </w:r>
      <w:r w:rsidR="00562F3B">
        <w:rPr>
          <w:rFonts w:hint="cs"/>
          <w:rtl/>
        </w:rPr>
        <w:t xml:space="preserve">وفي الوقت نفسه، تم تعليق تنفيذ البرنامج المعنون </w:t>
      </w:r>
      <w:r w:rsidR="00C20B46">
        <w:rPr>
          <w:rFonts w:hint="eastAsia"/>
          <w:rtl/>
        </w:rPr>
        <w:t>”ضد العنف ومن أجل تكاف</w:t>
      </w:r>
      <w:r w:rsidR="00C20B46">
        <w:rPr>
          <w:rFonts w:hint="cs"/>
          <w:rtl/>
        </w:rPr>
        <w:t>ؤ</w:t>
      </w:r>
      <w:r w:rsidR="00562F3B">
        <w:rPr>
          <w:rFonts w:hint="eastAsia"/>
          <w:rtl/>
        </w:rPr>
        <w:t xml:space="preserve"> الفرص</w:t>
      </w:r>
      <w:r w:rsidR="00562F3B">
        <w:rPr>
          <w:rFonts w:hint="cs"/>
          <w:rtl/>
        </w:rPr>
        <w:t xml:space="preserve">“ الذي اعتمدته الحكومة السابقة. </w:t>
      </w:r>
    </w:p>
    <w:p w:rsidR="00562F3B" w:rsidRDefault="00562F3B" w:rsidP="00C20B46">
      <w:pPr>
        <w:pStyle w:val="SingleTxt"/>
        <w:rPr>
          <w:rFonts w:hint="cs"/>
          <w:rtl/>
        </w:rPr>
      </w:pPr>
      <w:r>
        <w:rPr>
          <w:rFonts w:hint="cs"/>
          <w:rtl/>
        </w:rPr>
        <w:t>45 -</w:t>
      </w:r>
      <w:r>
        <w:rPr>
          <w:rFonts w:hint="cs"/>
          <w:rtl/>
        </w:rPr>
        <w:tab/>
        <w:t xml:space="preserve">وحدث تغيير كبير بعد الانتخابات البرلمانية التي عقدت في أيلول/سبتمبر 2001، </w:t>
      </w:r>
      <w:r w:rsidR="00C20B46">
        <w:rPr>
          <w:rFonts w:hint="cs"/>
          <w:rtl/>
        </w:rPr>
        <w:t>و</w:t>
      </w:r>
      <w:r>
        <w:rPr>
          <w:rFonts w:hint="cs"/>
          <w:rtl/>
        </w:rPr>
        <w:t>فاز فيها الائتلاف المكون من تحالف اليسار الديمقراطي وحزب اتحاد العمال بأغلبية ساحقة. وأنشأت الحكومة الجديدة، وفاء منها بالوعود التي قطعتها في الانتخابات واستسلامها لضغوط المنظمات النسائية، مكتب للمفوض</w:t>
      </w:r>
      <w:r w:rsidR="00C20B46">
        <w:rPr>
          <w:rFonts w:hint="cs"/>
          <w:rtl/>
        </w:rPr>
        <w:t>ة</w:t>
      </w:r>
      <w:r>
        <w:rPr>
          <w:rFonts w:hint="cs"/>
          <w:rtl/>
        </w:rPr>
        <w:t xml:space="preserve"> الحكومي</w:t>
      </w:r>
      <w:r w:rsidR="00C20B46">
        <w:rPr>
          <w:rFonts w:hint="cs"/>
          <w:rtl/>
        </w:rPr>
        <w:t>ة</w:t>
      </w:r>
      <w:r>
        <w:rPr>
          <w:rFonts w:hint="cs"/>
          <w:rtl/>
        </w:rPr>
        <w:t xml:space="preserve"> المعني</w:t>
      </w:r>
      <w:r w:rsidR="00C20B46">
        <w:rPr>
          <w:rFonts w:hint="cs"/>
          <w:rtl/>
        </w:rPr>
        <w:t>ة</w:t>
      </w:r>
      <w:r>
        <w:rPr>
          <w:rFonts w:hint="cs"/>
          <w:rtl/>
        </w:rPr>
        <w:t xml:space="preserve"> بالمساواة بين مركز المرأة والرجل (الأمر الصادر عن مجلس الوزراء في 20 تشرين الأول/أكتوبر 2001). وكانت الحكومة في الأصل تعتزم أن </w:t>
      </w:r>
      <w:r w:rsidR="00C20B46">
        <w:rPr>
          <w:rFonts w:hint="cs"/>
          <w:rtl/>
        </w:rPr>
        <w:t>ت</w:t>
      </w:r>
      <w:r>
        <w:rPr>
          <w:rFonts w:hint="cs"/>
          <w:rtl/>
        </w:rPr>
        <w:t>كون المفوض</w:t>
      </w:r>
      <w:r w:rsidR="00C20B46">
        <w:rPr>
          <w:rFonts w:hint="cs"/>
          <w:rtl/>
        </w:rPr>
        <w:t>ة</w:t>
      </w:r>
      <w:r>
        <w:rPr>
          <w:rFonts w:hint="cs"/>
          <w:rtl/>
        </w:rPr>
        <w:t xml:space="preserve"> </w:t>
      </w:r>
      <w:r w:rsidR="00C20B46">
        <w:rPr>
          <w:rFonts w:hint="cs"/>
          <w:rtl/>
        </w:rPr>
        <w:t>تابعة</w:t>
      </w:r>
      <w:r>
        <w:rPr>
          <w:rFonts w:hint="cs"/>
          <w:rtl/>
        </w:rPr>
        <w:t xml:space="preserve"> </w:t>
      </w:r>
      <w:r w:rsidR="00C20B46">
        <w:rPr>
          <w:rFonts w:hint="cs"/>
          <w:rtl/>
        </w:rPr>
        <w:t>ل</w:t>
      </w:r>
      <w:r>
        <w:rPr>
          <w:rFonts w:hint="cs"/>
          <w:rtl/>
        </w:rPr>
        <w:t>وزارة العمل والسياسات الاجتماعية برتبة سكرتير للدولة. غير أن المنظمات النسائية خ</w:t>
      </w:r>
      <w:r w:rsidR="00C20B46">
        <w:rPr>
          <w:rFonts w:hint="cs"/>
          <w:rtl/>
        </w:rPr>
        <w:t xml:space="preserve">شيت أن ذلك من شأنه أن يحد من </w:t>
      </w:r>
      <w:r>
        <w:rPr>
          <w:rFonts w:hint="cs"/>
          <w:rtl/>
        </w:rPr>
        <w:t>اختصاصات المفوض</w:t>
      </w:r>
      <w:r w:rsidR="00C20B46">
        <w:rPr>
          <w:rFonts w:hint="cs"/>
          <w:rtl/>
        </w:rPr>
        <w:t>ة</w:t>
      </w:r>
      <w:r>
        <w:rPr>
          <w:rFonts w:hint="cs"/>
          <w:rtl/>
        </w:rPr>
        <w:t>. وتحت ضغط من المنظمات غير الحكومية النسائية، عيّن مجلس الوزراء في نهاية المطاف مفوض</w:t>
      </w:r>
      <w:r w:rsidR="00C20B46">
        <w:rPr>
          <w:rFonts w:hint="cs"/>
          <w:rtl/>
        </w:rPr>
        <w:t>ة</w:t>
      </w:r>
      <w:r>
        <w:rPr>
          <w:rFonts w:hint="cs"/>
          <w:rtl/>
        </w:rPr>
        <w:t xml:space="preserve"> حكومي</w:t>
      </w:r>
      <w:r w:rsidR="00C20B46">
        <w:rPr>
          <w:rFonts w:hint="cs"/>
          <w:rtl/>
        </w:rPr>
        <w:t>ة</w:t>
      </w:r>
      <w:r>
        <w:rPr>
          <w:rFonts w:hint="cs"/>
          <w:rtl/>
        </w:rPr>
        <w:t xml:space="preserve"> معني</w:t>
      </w:r>
      <w:r w:rsidR="00C20B46">
        <w:rPr>
          <w:rFonts w:hint="cs"/>
          <w:rtl/>
        </w:rPr>
        <w:t>ة</w:t>
      </w:r>
      <w:r>
        <w:rPr>
          <w:rFonts w:hint="cs"/>
          <w:rtl/>
        </w:rPr>
        <w:t xml:space="preserve"> بالمساواة بين مركز المرأة والرجل في مكتب رئيس الوزراء. ويعني ذلك في حد ذاته اتباع نهج مختلف تجاه المسائل المتعلقة بالجنسين. والوظيفة الرئيسية للمفوض</w:t>
      </w:r>
      <w:r w:rsidR="00C20B46">
        <w:rPr>
          <w:rFonts w:hint="cs"/>
          <w:rtl/>
        </w:rPr>
        <w:t>ة</w:t>
      </w:r>
      <w:r>
        <w:rPr>
          <w:rFonts w:hint="cs"/>
          <w:rtl/>
        </w:rPr>
        <w:t xml:space="preserve"> تتمثل في تنفيذ المبدأ الدستوري القائم على المساواة بين الجنسين، بما في ذلك مكافحة التمييز ضد المرأة في مكان العمل، والقضاء على العنف المنزلي، ومساعدة ضحاياه، ومواصلة خطة العمل الوطنية للمرأة، وإنعاش الحوار العام والتعاون مع المنظمات غير الحكومية. </w:t>
      </w:r>
    </w:p>
    <w:p w:rsidR="00562F3B" w:rsidRDefault="00562F3B" w:rsidP="00C20B46">
      <w:pPr>
        <w:pStyle w:val="SingleTxt"/>
        <w:rPr>
          <w:rFonts w:hint="cs"/>
          <w:rtl/>
        </w:rPr>
      </w:pPr>
      <w:r>
        <w:rPr>
          <w:rFonts w:hint="cs"/>
          <w:rtl/>
        </w:rPr>
        <w:t>46 -</w:t>
      </w:r>
      <w:r>
        <w:rPr>
          <w:rFonts w:hint="cs"/>
          <w:rtl/>
        </w:rPr>
        <w:tab/>
        <w:t>وفي 25 حزيران/يونيه 2002، وسّعت الحكومة نطاق اختصاصات المفوض</w:t>
      </w:r>
      <w:r w:rsidR="00C20B46">
        <w:rPr>
          <w:rFonts w:hint="cs"/>
          <w:rtl/>
        </w:rPr>
        <w:t>ة</w:t>
      </w:r>
      <w:r>
        <w:rPr>
          <w:rFonts w:hint="cs"/>
          <w:rtl/>
        </w:rPr>
        <w:t xml:space="preserve"> من أجل التصدي للتمييز القائم على أساس العرق، أو الأصل الإثني، أو الدين، أو السن، أو التوجه الجنسي، وصدرت أيضا تعليمات للمفوض</w:t>
      </w:r>
      <w:r w:rsidR="00C20B46">
        <w:rPr>
          <w:rFonts w:hint="cs"/>
          <w:rtl/>
        </w:rPr>
        <w:t>ة</w:t>
      </w:r>
      <w:r>
        <w:rPr>
          <w:rFonts w:hint="cs"/>
          <w:rtl/>
        </w:rPr>
        <w:t xml:space="preserve"> كي </w:t>
      </w:r>
      <w:r w:rsidR="00C20B46">
        <w:rPr>
          <w:rFonts w:hint="cs"/>
          <w:rtl/>
        </w:rPr>
        <w:t>ت</w:t>
      </w:r>
      <w:r>
        <w:rPr>
          <w:rFonts w:hint="cs"/>
          <w:rtl/>
        </w:rPr>
        <w:t>بدأ التحضيرات لإنشاء مكتب مركزي (وزارة) داخل الإدارة الحكومية لمعالجة تلك المسائل، وإعداد تشريع ذي صلة. كما تم تدريجيا تعيين مفوضين معنيين بالمساواة بين الرجل والمرأة في الأقاليم.</w:t>
      </w:r>
    </w:p>
    <w:p w:rsidR="00562F3B" w:rsidRDefault="00562F3B" w:rsidP="00562F3B">
      <w:pPr>
        <w:pStyle w:val="SingleTxt"/>
        <w:rPr>
          <w:rFonts w:hint="cs"/>
          <w:rtl/>
        </w:rPr>
      </w:pPr>
      <w:r>
        <w:rPr>
          <w:rFonts w:hint="cs"/>
          <w:rtl/>
        </w:rPr>
        <w:t>47 -</w:t>
      </w:r>
      <w:r>
        <w:rPr>
          <w:rFonts w:hint="cs"/>
          <w:rtl/>
        </w:rPr>
        <w:tab/>
        <w:t>وأنشأ</w:t>
      </w:r>
      <w:r w:rsidR="00C20B46">
        <w:rPr>
          <w:rFonts w:hint="cs"/>
          <w:rtl/>
        </w:rPr>
        <w:t>ت</w:t>
      </w:r>
      <w:r>
        <w:rPr>
          <w:rFonts w:hint="cs"/>
          <w:rtl/>
        </w:rPr>
        <w:t xml:space="preserve"> المفوض</w:t>
      </w:r>
      <w:r w:rsidR="00C20B46">
        <w:rPr>
          <w:rFonts w:hint="cs"/>
          <w:rtl/>
        </w:rPr>
        <w:t>ة</w:t>
      </w:r>
      <w:r>
        <w:rPr>
          <w:rFonts w:hint="cs"/>
          <w:rtl/>
        </w:rPr>
        <w:t xml:space="preserve"> مجلس</w:t>
      </w:r>
      <w:r w:rsidR="00C20B46">
        <w:rPr>
          <w:rFonts w:hint="cs"/>
          <w:rtl/>
        </w:rPr>
        <w:t>ا</w:t>
      </w:r>
      <w:r>
        <w:rPr>
          <w:rFonts w:hint="cs"/>
          <w:rtl/>
        </w:rPr>
        <w:t xml:space="preserve"> برنامجي</w:t>
      </w:r>
      <w:r w:rsidR="00C20B46">
        <w:rPr>
          <w:rFonts w:hint="cs"/>
          <w:rtl/>
        </w:rPr>
        <w:t>ا</w:t>
      </w:r>
      <w:r>
        <w:rPr>
          <w:rFonts w:hint="cs"/>
          <w:rtl/>
        </w:rPr>
        <w:t xml:space="preserve"> - استشاري</w:t>
      </w:r>
      <w:r w:rsidR="00C20B46">
        <w:rPr>
          <w:rFonts w:hint="cs"/>
          <w:rtl/>
        </w:rPr>
        <w:t>ا</w:t>
      </w:r>
      <w:r>
        <w:rPr>
          <w:rFonts w:hint="cs"/>
          <w:rtl/>
        </w:rPr>
        <w:t xml:space="preserve"> مؤلف</w:t>
      </w:r>
      <w:r w:rsidR="00C20B46">
        <w:rPr>
          <w:rFonts w:hint="cs"/>
          <w:rtl/>
        </w:rPr>
        <w:t>ا</w:t>
      </w:r>
      <w:r>
        <w:rPr>
          <w:rFonts w:hint="cs"/>
          <w:rtl/>
        </w:rPr>
        <w:t xml:space="preserve"> من خبراء أكاديميين وممثلين عن المنظمات غير الحكومية لإسداء المشورة بشأن مختلف الأنشطة والمهام الرئيسية.</w:t>
      </w:r>
    </w:p>
    <w:p w:rsidR="00562F3B" w:rsidRDefault="00562F3B" w:rsidP="00A43E74">
      <w:pPr>
        <w:pStyle w:val="SingleTxt"/>
        <w:rPr>
          <w:rFonts w:hint="cs"/>
          <w:rtl/>
        </w:rPr>
      </w:pPr>
      <w:r>
        <w:rPr>
          <w:rFonts w:hint="cs"/>
          <w:rtl/>
        </w:rPr>
        <w:t>48 -</w:t>
      </w:r>
      <w:r>
        <w:rPr>
          <w:rFonts w:hint="cs"/>
          <w:rtl/>
        </w:rPr>
        <w:tab/>
        <w:t>ومنذ أن بدأ المكتب عمله، حرص</w:t>
      </w:r>
      <w:r w:rsidR="00C20B46">
        <w:rPr>
          <w:rFonts w:hint="cs"/>
          <w:rtl/>
        </w:rPr>
        <w:t>ت</w:t>
      </w:r>
      <w:r>
        <w:rPr>
          <w:rFonts w:hint="cs"/>
          <w:rtl/>
        </w:rPr>
        <w:t xml:space="preserve"> المفوض</w:t>
      </w:r>
      <w:r w:rsidR="00C20B46">
        <w:rPr>
          <w:rFonts w:hint="cs"/>
          <w:rtl/>
        </w:rPr>
        <w:t>ة</w:t>
      </w:r>
      <w:r>
        <w:rPr>
          <w:rFonts w:hint="cs"/>
          <w:rtl/>
        </w:rPr>
        <w:t xml:space="preserve"> العام</w:t>
      </w:r>
      <w:r w:rsidR="00C20B46">
        <w:rPr>
          <w:rFonts w:hint="cs"/>
          <w:rtl/>
        </w:rPr>
        <w:t>ة على ضمان وفاء بولندا ب</w:t>
      </w:r>
      <w:r>
        <w:rPr>
          <w:rFonts w:hint="cs"/>
          <w:rtl/>
        </w:rPr>
        <w:t>التزاماتها بموجب المعاهدات والاتفاقيات. وأولى المهام التي قام</w:t>
      </w:r>
      <w:r w:rsidR="00C20B46">
        <w:rPr>
          <w:rFonts w:hint="cs"/>
          <w:rtl/>
        </w:rPr>
        <w:t>ت</w:t>
      </w:r>
      <w:r>
        <w:rPr>
          <w:rFonts w:hint="cs"/>
          <w:rtl/>
        </w:rPr>
        <w:t xml:space="preserve"> بها المفوض</w:t>
      </w:r>
      <w:r w:rsidR="00C20B46">
        <w:rPr>
          <w:rFonts w:hint="cs"/>
          <w:rtl/>
        </w:rPr>
        <w:t>ة</w:t>
      </w:r>
      <w:r>
        <w:rPr>
          <w:rFonts w:hint="cs"/>
          <w:rtl/>
        </w:rPr>
        <w:t xml:space="preserve"> إعداد المرحلة الثانية لخطة العمل الوطنية للمرأة المقرر تنفيذها في الفترة 2003-2005. وتعتزم الخطة اتباع نهج شامل لحل مشاكل المرأة. وت</w:t>
      </w:r>
      <w:r w:rsidR="00C20B46">
        <w:rPr>
          <w:rFonts w:hint="cs"/>
          <w:rtl/>
        </w:rPr>
        <w:t>هتم</w:t>
      </w:r>
      <w:r>
        <w:rPr>
          <w:rFonts w:hint="cs"/>
          <w:rtl/>
        </w:rPr>
        <w:t xml:space="preserve"> </w:t>
      </w:r>
      <w:r w:rsidR="00C20B46">
        <w:rPr>
          <w:rFonts w:hint="cs"/>
          <w:rtl/>
        </w:rPr>
        <w:t>ب</w:t>
      </w:r>
      <w:r>
        <w:rPr>
          <w:rFonts w:hint="cs"/>
          <w:rtl/>
        </w:rPr>
        <w:t xml:space="preserve">مختلف ميادين أنشطة المرأة، وتتعامل بصفة رئيسية مع الإدارة الحكومية المركزية والمحلية. وتقدم الخطة صيغة للحوار العام، بالإضافة إلى تنفيذ أهدافها بالتعاون مع المؤسسات العلمية، والمنظمات غير الحكومية، والحكومات الذاتية المحلية، ونقابات العمال، ووسائط الإعلام. وتحاول تعميم مراعاة المنظور الجنساني، أي إدخال هدف المساواة بين الجنسين في جميع السياسات الحكومية على جميع المستويات. ومن شأن ذلك أن يسهّل إنشاء الوحدات التنظيمية في المؤسسات الحكومية المركزية والإقليمية المسؤولة عن </w:t>
      </w:r>
      <w:r w:rsidR="00540B70">
        <w:rPr>
          <w:rFonts w:hint="cs"/>
          <w:rtl/>
        </w:rPr>
        <w:t>رصد</w:t>
      </w:r>
      <w:r>
        <w:rPr>
          <w:rFonts w:hint="cs"/>
          <w:rtl/>
        </w:rPr>
        <w:t xml:space="preserve"> تنفيذ مبدأ المساواة بين الجنسين. وتم اعتماد الخطة في 19 آب/أغسطس 2003 بوصفها وثيقة حكومية.</w:t>
      </w:r>
    </w:p>
    <w:p w:rsidR="00562F3B" w:rsidRDefault="00562F3B" w:rsidP="00562F3B">
      <w:pPr>
        <w:pStyle w:val="SingleTxt"/>
        <w:rPr>
          <w:rFonts w:hint="cs"/>
          <w:rtl/>
        </w:rPr>
      </w:pPr>
      <w:r>
        <w:rPr>
          <w:rFonts w:hint="cs"/>
          <w:rtl/>
        </w:rPr>
        <w:t>49 -</w:t>
      </w:r>
      <w:r>
        <w:rPr>
          <w:rFonts w:hint="cs"/>
          <w:rtl/>
        </w:rPr>
        <w:tab/>
        <w:t xml:space="preserve">وهيكل الخطة الوطنية صورة لهيكل منهاج عمل بيجين، فكل فصل فيها مخصص لمجال مختلف من مجالات الحياة (مثلا الصحة، والتعليم، والنشاط التجاري). ويعرّف كل فصل الأهداف الاستراتيجية التي إذا تم تحقيقها </w:t>
      </w:r>
      <w:r w:rsidR="00540B70">
        <w:rPr>
          <w:rFonts w:hint="cs"/>
          <w:rtl/>
        </w:rPr>
        <w:t>ف</w:t>
      </w:r>
      <w:r>
        <w:rPr>
          <w:rFonts w:hint="cs"/>
          <w:rtl/>
        </w:rPr>
        <w:t>من شأنها أن تدعم سياسات المساواة بين الجنسين. وتضع الخطة مبدأ الوفاء بحقوق المرأة في سياق حقوق الإنسان عن طريق تنفيذ الصكوك الدولية لحماية حقوق الإنسان، بما في ذلك الأنظمة التي تتعلق بالمرأة وبتحقيق تكافؤ الفرص بين الرجال وال</w:t>
      </w:r>
      <w:r w:rsidR="00540B70">
        <w:rPr>
          <w:rFonts w:hint="cs"/>
          <w:rtl/>
        </w:rPr>
        <w:t>نساء. وسوف يتم تقديم أهداف الخطة</w:t>
      </w:r>
      <w:r>
        <w:rPr>
          <w:rFonts w:hint="cs"/>
          <w:rtl/>
        </w:rPr>
        <w:t xml:space="preserve"> الوطنية بالتفصيل في التقارير وفي المواد الأخرى للاتفاقية. </w:t>
      </w:r>
    </w:p>
    <w:p w:rsidR="00562F3B" w:rsidRDefault="00FA55E7" w:rsidP="00FA55E7">
      <w:pPr>
        <w:pStyle w:val="SingleTxt"/>
        <w:rPr>
          <w:rFonts w:hint="cs"/>
          <w:rtl/>
        </w:rPr>
      </w:pPr>
      <w:r>
        <w:rPr>
          <w:rFonts w:hint="cs"/>
          <w:rtl/>
        </w:rPr>
        <w:t>50 -</w:t>
      </w:r>
      <w:r>
        <w:rPr>
          <w:rFonts w:hint="cs"/>
          <w:rtl/>
        </w:rPr>
        <w:tab/>
        <w:t>أجرت</w:t>
      </w:r>
      <w:r w:rsidR="00562F3B">
        <w:rPr>
          <w:rFonts w:hint="cs"/>
          <w:rtl/>
        </w:rPr>
        <w:t xml:space="preserve"> المفوض</w:t>
      </w:r>
      <w:r>
        <w:rPr>
          <w:rFonts w:hint="cs"/>
          <w:rtl/>
        </w:rPr>
        <w:t>ة</w:t>
      </w:r>
      <w:r w:rsidR="00562F3B">
        <w:rPr>
          <w:rFonts w:hint="cs"/>
          <w:rtl/>
        </w:rPr>
        <w:t xml:space="preserve"> تحليلا للتشريعات بهدف تحقيق المساواة بين الجنسين وقدم</w:t>
      </w:r>
      <w:r>
        <w:rPr>
          <w:rFonts w:hint="cs"/>
          <w:rtl/>
        </w:rPr>
        <w:t>ت</w:t>
      </w:r>
      <w:r w:rsidR="00562F3B">
        <w:rPr>
          <w:rFonts w:hint="cs"/>
          <w:rtl/>
        </w:rPr>
        <w:t xml:space="preserve"> اقتراحات تتعلق بتعديل الأحكام المتعلقة بالتمييز</w:t>
      </w:r>
      <w:r>
        <w:rPr>
          <w:rFonts w:hint="cs"/>
          <w:rtl/>
        </w:rPr>
        <w:t>.</w:t>
      </w:r>
      <w:r w:rsidR="00562F3B">
        <w:rPr>
          <w:rFonts w:hint="cs"/>
          <w:rtl/>
        </w:rPr>
        <w:t xml:space="preserve"> وأثناء </w:t>
      </w:r>
      <w:r>
        <w:rPr>
          <w:rFonts w:hint="cs"/>
          <w:rtl/>
        </w:rPr>
        <w:t>تحضير</w:t>
      </w:r>
      <w:r w:rsidR="00562F3B">
        <w:rPr>
          <w:rFonts w:hint="cs"/>
          <w:rtl/>
        </w:rPr>
        <w:t xml:space="preserve"> تقرير الحكومة لعام 2001 عن تنفيذ قانون تنظيم الأسرة وحماية الجنين البشري والظروف التي تسمح </w:t>
      </w:r>
      <w:r>
        <w:rPr>
          <w:rFonts w:hint="cs"/>
          <w:rtl/>
        </w:rPr>
        <w:t xml:space="preserve">بعمليات </w:t>
      </w:r>
      <w:r w:rsidR="00562F3B">
        <w:rPr>
          <w:rFonts w:hint="cs"/>
          <w:rtl/>
        </w:rPr>
        <w:t>الإجهاض، أشار</w:t>
      </w:r>
      <w:r>
        <w:rPr>
          <w:rFonts w:hint="cs"/>
          <w:rtl/>
        </w:rPr>
        <w:t>ت</w:t>
      </w:r>
      <w:r w:rsidR="00562F3B">
        <w:rPr>
          <w:rFonts w:hint="cs"/>
          <w:rtl/>
        </w:rPr>
        <w:t xml:space="preserve"> المفوض</w:t>
      </w:r>
      <w:r>
        <w:rPr>
          <w:rFonts w:hint="cs"/>
          <w:rtl/>
        </w:rPr>
        <w:t>ة</w:t>
      </w:r>
      <w:r w:rsidR="00562F3B">
        <w:rPr>
          <w:rFonts w:hint="cs"/>
          <w:rtl/>
        </w:rPr>
        <w:t xml:space="preserve"> إلى عيوب التنفيذ، وفشل الخدمات الصحية في أداء عمليات الإجهاض التي تسمح بها الظروف، والقيود المفروضة على الفحوصات الطبية في فترة ما قبل الولادة ووسائل منع الحمل، وعدم وجود دروس في المدارس العامة لتوفير التثقيف الجنسي للتلاميذ.</w:t>
      </w:r>
    </w:p>
    <w:p w:rsidR="00562F3B" w:rsidRDefault="00562F3B" w:rsidP="00CF540A">
      <w:pPr>
        <w:pStyle w:val="SingleTxt"/>
        <w:rPr>
          <w:rFonts w:hint="cs"/>
          <w:rtl/>
        </w:rPr>
      </w:pPr>
      <w:r>
        <w:rPr>
          <w:rFonts w:hint="cs"/>
          <w:rtl/>
        </w:rPr>
        <w:t>51 -</w:t>
      </w:r>
      <w:r>
        <w:rPr>
          <w:rFonts w:hint="cs"/>
          <w:rtl/>
        </w:rPr>
        <w:tab/>
      </w:r>
      <w:r w:rsidR="00B00085">
        <w:rPr>
          <w:rFonts w:hint="cs"/>
          <w:rtl/>
        </w:rPr>
        <w:t>وشارك</w:t>
      </w:r>
      <w:r w:rsidR="00FA55E7">
        <w:rPr>
          <w:rFonts w:hint="cs"/>
          <w:rtl/>
        </w:rPr>
        <w:t>ت</w:t>
      </w:r>
      <w:r>
        <w:rPr>
          <w:rFonts w:hint="cs"/>
          <w:rtl/>
        </w:rPr>
        <w:t xml:space="preserve"> المفوض</w:t>
      </w:r>
      <w:r w:rsidR="00FA55E7">
        <w:rPr>
          <w:rFonts w:hint="cs"/>
          <w:rtl/>
        </w:rPr>
        <w:t>ة</w:t>
      </w:r>
      <w:r w:rsidR="00B00085">
        <w:rPr>
          <w:rFonts w:hint="cs"/>
          <w:rtl/>
        </w:rPr>
        <w:t xml:space="preserve"> في عمل الأفرقة المشتركة بين الوزارات وفي العمل التشريعي الحكومي، وفي التدابير المتخذة لتعزيز المساواة بين الجنسين في مكان العمل، والقضاء على الاتجار بالأشخاص وما شابه ذلك. ونظّم</w:t>
      </w:r>
      <w:r w:rsidR="00FA55E7">
        <w:rPr>
          <w:rFonts w:hint="cs"/>
          <w:rtl/>
        </w:rPr>
        <w:t>ت</w:t>
      </w:r>
      <w:r w:rsidR="00B00085">
        <w:rPr>
          <w:rFonts w:hint="cs"/>
          <w:rtl/>
        </w:rPr>
        <w:t xml:space="preserve"> المفوض</w:t>
      </w:r>
      <w:r w:rsidR="00FA55E7">
        <w:rPr>
          <w:rFonts w:hint="cs"/>
          <w:rtl/>
        </w:rPr>
        <w:t>ة</w:t>
      </w:r>
      <w:r w:rsidR="00B00085">
        <w:rPr>
          <w:rFonts w:hint="cs"/>
          <w:rtl/>
        </w:rPr>
        <w:t xml:space="preserve"> حلقات دراسية ومؤتمرات تناولت موضوع المساواة بين الجنسين في سوق العمل، والتعليم، وصحة المرأة، ومشاركة المرأة في اتخاذ القرارات. ودعم</w:t>
      </w:r>
      <w:r w:rsidR="00FA55E7">
        <w:rPr>
          <w:rFonts w:hint="cs"/>
          <w:rtl/>
        </w:rPr>
        <w:t>ت</w:t>
      </w:r>
      <w:r w:rsidR="00B00085">
        <w:rPr>
          <w:rFonts w:hint="cs"/>
          <w:rtl/>
        </w:rPr>
        <w:t xml:space="preserve"> المفوض</w:t>
      </w:r>
      <w:r w:rsidR="00FA55E7">
        <w:rPr>
          <w:rFonts w:hint="cs"/>
          <w:rtl/>
        </w:rPr>
        <w:t>ة</w:t>
      </w:r>
      <w:r w:rsidR="00B00085">
        <w:rPr>
          <w:rFonts w:hint="cs"/>
          <w:rtl/>
        </w:rPr>
        <w:t xml:space="preserve"> أيضا ماليا الأبحاث التي تجرى عن حالة المرأة في بولندا. ويتم نشر نتائج الأبحاث، لتعزيز </w:t>
      </w:r>
      <w:r w:rsidR="00CF540A">
        <w:rPr>
          <w:rFonts w:hint="cs"/>
          <w:rtl/>
        </w:rPr>
        <w:t>إ</w:t>
      </w:r>
      <w:r w:rsidR="00B00085">
        <w:rPr>
          <w:rFonts w:hint="cs"/>
          <w:rtl/>
        </w:rPr>
        <w:t>طلاع الحكومة والجمهور على حقوق المرأة. ومول</w:t>
      </w:r>
      <w:r w:rsidR="00FA55E7">
        <w:rPr>
          <w:rFonts w:hint="cs"/>
          <w:rtl/>
        </w:rPr>
        <w:t>ت</w:t>
      </w:r>
      <w:r w:rsidR="00B00085">
        <w:rPr>
          <w:rFonts w:hint="cs"/>
          <w:rtl/>
        </w:rPr>
        <w:t xml:space="preserve"> المفوض</w:t>
      </w:r>
      <w:r w:rsidR="00FA55E7">
        <w:rPr>
          <w:rFonts w:hint="cs"/>
          <w:rtl/>
        </w:rPr>
        <w:t>ة</w:t>
      </w:r>
      <w:r w:rsidR="00B00085">
        <w:rPr>
          <w:rFonts w:hint="cs"/>
          <w:rtl/>
        </w:rPr>
        <w:t xml:space="preserve"> أيضا النشرات التي تعزز حقوق المرأة والمساواة بين الجنسين في مجالات مثل قانون العمل، والتكافؤ، والمساواة، والتسامح في الكتب المدرسية، والمعايير الصحية الدولية، وحقوق الأقليات الجنسية، والإخصاب الأنبوبي. </w:t>
      </w:r>
    </w:p>
    <w:p w:rsidR="00B00085" w:rsidRDefault="00B00085" w:rsidP="003B32B4">
      <w:pPr>
        <w:pStyle w:val="SingleTxt"/>
        <w:rPr>
          <w:rFonts w:hint="cs"/>
          <w:rtl/>
        </w:rPr>
      </w:pPr>
      <w:r>
        <w:rPr>
          <w:rFonts w:hint="cs"/>
          <w:rtl/>
        </w:rPr>
        <w:t>52 -</w:t>
      </w:r>
      <w:r>
        <w:rPr>
          <w:rFonts w:hint="cs"/>
          <w:rtl/>
        </w:rPr>
        <w:tab/>
      </w:r>
      <w:r w:rsidR="000B32F0">
        <w:rPr>
          <w:rFonts w:hint="cs"/>
          <w:rtl/>
        </w:rPr>
        <w:t>ومنذ شهر آب/أغسطس 2003، نفّذ</w:t>
      </w:r>
      <w:r w:rsidR="00FA55E7">
        <w:rPr>
          <w:rFonts w:hint="cs"/>
          <w:rtl/>
        </w:rPr>
        <w:t>ت</w:t>
      </w:r>
      <w:r w:rsidR="000B32F0">
        <w:rPr>
          <w:rFonts w:hint="cs"/>
          <w:rtl/>
        </w:rPr>
        <w:t xml:space="preserve"> المفوض</w:t>
      </w:r>
      <w:r w:rsidR="00FA55E7">
        <w:rPr>
          <w:rFonts w:hint="cs"/>
          <w:rtl/>
        </w:rPr>
        <w:t>ة</w:t>
      </w:r>
      <w:r w:rsidR="000B32F0">
        <w:rPr>
          <w:rFonts w:hint="cs"/>
          <w:rtl/>
        </w:rPr>
        <w:t>، مع الدول الأعضاء في الاتحاد الأوروبي المشاركة معه</w:t>
      </w:r>
      <w:r w:rsidR="00FA55E7">
        <w:rPr>
          <w:rFonts w:hint="cs"/>
          <w:rtl/>
        </w:rPr>
        <w:t>ا</w:t>
      </w:r>
      <w:r w:rsidR="000B32F0">
        <w:rPr>
          <w:rFonts w:hint="cs"/>
          <w:rtl/>
        </w:rPr>
        <w:t xml:space="preserve">، المشروع المعنون </w:t>
      </w:r>
      <w:r w:rsidR="000B32F0">
        <w:rPr>
          <w:rFonts w:hint="eastAsia"/>
          <w:rtl/>
        </w:rPr>
        <w:t xml:space="preserve">”تعزيز السياسات المتعلقة بالمساواة في </w:t>
      </w:r>
      <w:r w:rsidR="00FA55E7">
        <w:rPr>
          <w:rFonts w:hint="cs"/>
          <w:rtl/>
        </w:rPr>
        <w:t>ال</w:t>
      </w:r>
      <w:r w:rsidR="000B32F0">
        <w:rPr>
          <w:rFonts w:hint="eastAsia"/>
          <w:rtl/>
        </w:rPr>
        <w:t xml:space="preserve">معاملة </w:t>
      </w:r>
      <w:r w:rsidR="003B32B4">
        <w:rPr>
          <w:rFonts w:hint="cs"/>
          <w:rtl/>
        </w:rPr>
        <w:t>النساء والرجال</w:t>
      </w:r>
      <w:r w:rsidR="000B32F0">
        <w:rPr>
          <w:rFonts w:hint="cs"/>
          <w:rtl/>
        </w:rPr>
        <w:t>“ (2002) ويشمل ذلك تحليل الاحتياجات الوطنية في مجال الإعلام والإحصاءات والأبحاث التي تتناول موضوع المساواة بين الجنسين، وتحديد الثغرات في الإحصاءات الوطنية المتعلقة بالحياة الاقتصادية والاجتماعية والسياسية. ويعتزم المشروع تدريب الموظفين في الإدارات المركزية والحكومية، ومفتشي العمال، والشرطة، والقضاء، ومكاتب العمالة، ونقابات العمال، والمنظمات غير الحكومية. وسوف يؤد</w:t>
      </w:r>
      <w:r w:rsidR="00FA55E7">
        <w:rPr>
          <w:rFonts w:hint="cs"/>
          <w:rtl/>
        </w:rPr>
        <w:t>ي العمل إلى إنشاء نظام وطني يرصد</w:t>
      </w:r>
      <w:r w:rsidR="000B32F0">
        <w:rPr>
          <w:rFonts w:hint="cs"/>
          <w:rtl/>
        </w:rPr>
        <w:t xml:space="preserve"> تنفيذ سياسة المساواة بين الجنسين. </w:t>
      </w:r>
    </w:p>
    <w:p w:rsidR="000B32F0" w:rsidRDefault="000B32F0" w:rsidP="00B00085">
      <w:pPr>
        <w:pStyle w:val="SingleTxt"/>
        <w:rPr>
          <w:rFonts w:hint="cs"/>
          <w:rtl/>
        </w:rPr>
      </w:pPr>
      <w:r>
        <w:rPr>
          <w:rFonts w:hint="cs"/>
          <w:rtl/>
        </w:rPr>
        <w:t>53 -</w:t>
      </w:r>
      <w:r>
        <w:rPr>
          <w:rFonts w:hint="cs"/>
          <w:rtl/>
        </w:rPr>
        <w:tab/>
        <w:t>وسوف يتم مناقشة نشاط المفوض</w:t>
      </w:r>
      <w:r w:rsidR="00276103">
        <w:rPr>
          <w:rFonts w:hint="cs"/>
          <w:rtl/>
        </w:rPr>
        <w:t>ة</w:t>
      </w:r>
      <w:r>
        <w:rPr>
          <w:rFonts w:hint="cs"/>
          <w:rtl/>
        </w:rPr>
        <w:t xml:space="preserve"> بالتفصيل في التقارير </w:t>
      </w:r>
      <w:r w:rsidR="00276103">
        <w:rPr>
          <w:rFonts w:hint="cs"/>
          <w:rtl/>
        </w:rPr>
        <w:t xml:space="preserve">المقدمة </w:t>
      </w:r>
      <w:r>
        <w:rPr>
          <w:rFonts w:hint="cs"/>
          <w:rtl/>
        </w:rPr>
        <w:t xml:space="preserve">عن المواد الأخرى للاتفاقية. </w:t>
      </w:r>
    </w:p>
    <w:p w:rsidR="000B32F0" w:rsidRDefault="000B32F0" w:rsidP="00B00085">
      <w:pPr>
        <w:pStyle w:val="SingleTxt"/>
        <w:rPr>
          <w:rFonts w:hint="cs"/>
          <w:b/>
          <w:bCs/>
          <w:rtl/>
        </w:rPr>
      </w:pPr>
      <w:r>
        <w:rPr>
          <w:rFonts w:hint="cs"/>
          <w:b/>
          <w:bCs/>
          <w:rtl/>
        </w:rPr>
        <w:t xml:space="preserve">المادة 5 </w:t>
      </w:r>
      <w:r>
        <w:rPr>
          <w:b/>
          <w:bCs/>
          <w:rtl/>
        </w:rPr>
        <w:t>–</w:t>
      </w:r>
      <w:r>
        <w:rPr>
          <w:rFonts w:hint="cs"/>
          <w:b/>
          <w:bCs/>
          <w:rtl/>
        </w:rPr>
        <w:t xml:space="preserve"> الدور التقليدي لكل جنس والقولبة النمطية القائمة على نوع الجنس</w:t>
      </w:r>
    </w:p>
    <w:p w:rsidR="000B32F0" w:rsidRDefault="000B32F0" w:rsidP="003B32B4">
      <w:pPr>
        <w:pStyle w:val="SingleTxt"/>
        <w:rPr>
          <w:rFonts w:hint="cs"/>
          <w:rtl/>
        </w:rPr>
      </w:pPr>
      <w:r>
        <w:rPr>
          <w:rFonts w:hint="cs"/>
          <w:rtl/>
        </w:rPr>
        <w:t>54 -</w:t>
      </w:r>
      <w:r>
        <w:rPr>
          <w:rFonts w:hint="cs"/>
          <w:rtl/>
        </w:rPr>
        <w:tab/>
        <w:t xml:space="preserve">شهدت الفترة التي يغطيها التقرير تغييرات سياسية كان لها تأثير كبير </w:t>
      </w:r>
      <w:r w:rsidR="003B32B4">
        <w:rPr>
          <w:rFonts w:hint="cs"/>
          <w:rtl/>
        </w:rPr>
        <w:t xml:space="preserve">على </w:t>
      </w:r>
      <w:r>
        <w:rPr>
          <w:rFonts w:hint="cs"/>
          <w:rtl/>
        </w:rPr>
        <w:t>سياسات الدولة في مجال النظر</w:t>
      </w:r>
      <w:r w:rsidR="003B32B4">
        <w:rPr>
          <w:rFonts w:hint="cs"/>
          <w:rtl/>
        </w:rPr>
        <w:t>ة</w:t>
      </w:r>
      <w:r>
        <w:rPr>
          <w:rFonts w:hint="cs"/>
          <w:rtl/>
        </w:rPr>
        <w:t xml:space="preserve"> المقولب</w:t>
      </w:r>
      <w:r w:rsidR="003B32B4">
        <w:rPr>
          <w:rFonts w:hint="cs"/>
          <w:rtl/>
        </w:rPr>
        <w:t>ة</w:t>
      </w:r>
      <w:r>
        <w:rPr>
          <w:rFonts w:hint="cs"/>
          <w:rtl/>
        </w:rPr>
        <w:t xml:space="preserve"> لأدوار النساء والرجال، وعلى منع الممارسات التمييزية وتنفيذ السياسات العائلية الحديثة. ومما ساهم في هذه التغييرات </w:t>
      </w:r>
      <w:r w:rsidR="003B32B4">
        <w:rPr>
          <w:rFonts w:hint="cs"/>
          <w:rtl/>
        </w:rPr>
        <w:t>ا</w:t>
      </w:r>
      <w:r>
        <w:rPr>
          <w:rFonts w:hint="cs"/>
          <w:rtl/>
        </w:rPr>
        <w:t xml:space="preserve">لتغييرات التشريعية </w:t>
      </w:r>
      <w:r w:rsidR="003B32B4">
        <w:rPr>
          <w:rFonts w:hint="cs"/>
          <w:rtl/>
        </w:rPr>
        <w:t>المكثفة الناجم</w:t>
      </w:r>
      <w:r>
        <w:rPr>
          <w:rFonts w:hint="cs"/>
          <w:rtl/>
        </w:rPr>
        <w:t xml:space="preserve">ة </w:t>
      </w:r>
      <w:r w:rsidR="003B32B4">
        <w:rPr>
          <w:rFonts w:hint="cs"/>
          <w:rtl/>
        </w:rPr>
        <w:t>ع</w:t>
      </w:r>
      <w:r>
        <w:rPr>
          <w:rFonts w:hint="cs"/>
          <w:rtl/>
        </w:rPr>
        <w:t xml:space="preserve">ن الاندماج في الاتحاد الأوروبي. </w:t>
      </w:r>
    </w:p>
    <w:p w:rsidR="000B32F0" w:rsidRDefault="000B32F0" w:rsidP="003B32B4">
      <w:pPr>
        <w:pStyle w:val="SingleTxt"/>
        <w:rPr>
          <w:rFonts w:hint="cs"/>
          <w:rtl/>
        </w:rPr>
      </w:pPr>
      <w:r>
        <w:rPr>
          <w:rFonts w:hint="cs"/>
          <w:rtl/>
        </w:rPr>
        <w:t>55 -</w:t>
      </w:r>
      <w:r>
        <w:rPr>
          <w:rFonts w:hint="cs"/>
          <w:rtl/>
        </w:rPr>
        <w:tab/>
        <w:t xml:space="preserve">وأدخلت الحكومة والبرلمان خلال الفترة 1997-2001 بعض التغييرات التشريعية. وأهمها استكمال قانون العمل بإضافة الفصل </w:t>
      </w:r>
      <w:r w:rsidR="003B32B4">
        <w:rPr>
          <w:rFonts w:hint="cs"/>
          <w:rtl/>
        </w:rPr>
        <w:t>2</w:t>
      </w:r>
      <w:r>
        <w:rPr>
          <w:rFonts w:hint="cs"/>
          <w:rtl/>
        </w:rPr>
        <w:t xml:space="preserve">(أ) </w:t>
      </w:r>
      <w:r>
        <w:rPr>
          <w:rFonts w:hint="eastAsia"/>
          <w:rtl/>
        </w:rPr>
        <w:t>”المساواة في معاملة النساء والرجال</w:t>
      </w:r>
      <w:r>
        <w:rPr>
          <w:rFonts w:hint="cs"/>
          <w:rtl/>
        </w:rPr>
        <w:t>“ (انظر المادة 11). وكان لاعتماد هذا القانون أهمية حاسمة لتغيير النظرة المقولبة للوضع المهني للجنسين، والأهم من ذلك القضاء على الممارسات التمييزية في سوق العمل. وأضافت الحكومة التالية تصنيفات أخرى للتمييز في قانون العمل، وتعريف</w:t>
      </w:r>
      <w:r w:rsidR="003B32B4">
        <w:rPr>
          <w:rFonts w:hint="cs"/>
          <w:rtl/>
        </w:rPr>
        <w:t>ا</w:t>
      </w:r>
      <w:r>
        <w:rPr>
          <w:rFonts w:hint="cs"/>
          <w:rtl/>
        </w:rPr>
        <w:t xml:space="preserve"> مفصل</w:t>
      </w:r>
      <w:r w:rsidR="003B32B4">
        <w:rPr>
          <w:rFonts w:hint="cs"/>
          <w:rtl/>
        </w:rPr>
        <w:t>ا</w:t>
      </w:r>
      <w:r>
        <w:rPr>
          <w:rFonts w:hint="cs"/>
          <w:rtl/>
        </w:rPr>
        <w:t xml:space="preserve"> للتحرش الجنسي في مكان العمل، وفقا لتوجيهات الاتحاد الأوروبي.</w:t>
      </w:r>
    </w:p>
    <w:p w:rsidR="000B32F0" w:rsidRDefault="000B32F0" w:rsidP="003B32B4">
      <w:pPr>
        <w:pStyle w:val="SingleTxt"/>
        <w:rPr>
          <w:rFonts w:hint="cs"/>
          <w:rtl/>
        </w:rPr>
      </w:pPr>
      <w:r>
        <w:rPr>
          <w:rFonts w:hint="cs"/>
          <w:rtl/>
        </w:rPr>
        <w:t>56 -</w:t>
      </w:r>
      <w:r>
        <w:rPr>
          <w:rFonts w:hint="cs"/>
          <w:rtl/>
        </w:rPr>
        <w:tab/>
        <w:t>وقد اتخذ</w:t>
      </w:r>
      <w:r w:rsidR="003B32B4">
        <w:rPr>
          <w:rFonts w:hint="cs"/>
          <w:rtl/>
        </w:rPr>
        <w:t>ت</w:t>
      </w:r>
      <w:r>
        <w:rPr>
          <w:rFonts w:hint="cs"/>
          <w:rtl/>
        </w:rPr>
        <w:t xml:space="preserve"> المفوض</w:t>
      </w:r>
      <w:r w:rsidR="003B32B4">
        <w:rPr>
          <w:rFonts w:hint="cs"/>
          <w:rtl/>
        </w:rPr>
        <w:t>ة</w:t>
      </w:r>
      <w:r>
        <w:rPr>
          <w:rFonts w:hint="cs"/>
          <w:rtl/>
        </w:rPr>
        <w:t xml:space="preserve"> الحكومي</w:t>
      </w:r>
      <w:r w:rsidR="003B32B4">
        <w:rPr>
          <w:rFonts w:hint="cs"/>
          <w:rtl/>
        </w:rPr>
        <w:t>ة</w:t>
      </w:r>
      <w:r>
        <w:rPr>
          <w:rFonts w:hint="cs"/>
          <w:rtl/>
        </w:rPr>
        <w:t xml:space="preserve"> المعني</w:t>
      </w:r>
      <w:r w:rsidR="003B32B4">
        <w:rPr>
          <w:rFonts w:hint="cs"/>
          <w:rtl/>
        </w:rPr>
        <w:t>ة بالمساواة بين مركز المرأة والرج</w:t>
      </w:r>
      <w:r>
        <w:rPr>
          <w:rFonts w:hint="cs"/>
          <w:rtl/>
        </w:rPr>
        <w:t>ل منذ أن بدأ</w:t>
      </w:r>
      <w:r w:rsidR="003B32B4">
        <w:rPr>
          <w:rFonts w:hint="cs"/>
          <w:rtl/>
        </w:rPr>
        <w:t xml:space="preserve">ت عملها </w:t>
      </w:r>
      <w:r>
        <w:rPr>
          <w:rFonts w:hint="cs"/>
          <w:rtl/>
        </w:rPr>
        <w:t xml:space="preserve">في تشرين الثاني/نوفمبر 2001 </w:t>
      </w:r>
      <w:r w:rsidR="004C5EFE">
        <w:rPr>
          <w:rFonts w:hint="cs"/>
          <w:rtl/>
        </w:rPr>
        <w:t xml:space="preserve">ما يلزم من تدابير </w:t>
      </w:r>
      <w:r>
        <w:rPr>
          <w:rFonts w:hint="cs"/>
          <w:rtl/>
        </w:rPr>
        <w:t xml:space="preserve">من أجل تحقيق الأهداف التالية: </w:t>
      </w:r>
    </w:p>
    <w:p w:rsidR="000B32F0" w:rsidRDefault="000B32F0" w:rsidP="000B32F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القضاء على القوالب </w:t>
      </w:r>
      <w:r w:rsidR="004C5EFE">
        <w:rPr>
          <w:rFonts w:hint="cs"/>
          <w:rtl/>
        </w:rPr>
        <w:t xml:space="preserve">النمطية </w:t>
      </w:r>
      <w:r>
        <w:rPr>
          <w:rFonts w:hint="cs"/>
          <w:rtl/>
        </w:rPr>
        <w:t xml:space="preserve">الضارة في مجال توزيع الأدوار الاجتماعية والعائلية بين الرجال والنساء؛ </w:t>
      </w:r>
    </w:p>
    <w:p w:rsidR="000B32F0" w:rsidRDefault="000B32F0" w:rsidP="000B32F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إضافة دروس في المدارس عن العلاقات الجنسية والوسائل الفعالة لمنع الحمل؛</w:t>
      </w:r>
    </w:p>
    <w:p w:rsidR="000B32F0" w:rsidRDefault="000B32F0" w:rsidP="004C5EF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المواقف المسؤولة تجاه تنظيم الأسرة و</w:t>
      </w:r>
      <w:r w:rsidR="004C5EFE">
        <w:rPr>
          <w:rFonts w:hint="cs"/>
          <w:rtl/>
        </w:rPr>
        <w:t xml:space="preserve">تجاه الأسر النموذجية المبنية </w:t>
      </w:r>
      <w:r>
        <w:rPr>
          <w:rFonts w:hint="cs"/>
          <w:rtl/>
        </w:rPr>
        <w:t>على ا</w:t>
      </w:r>
      <w:r w:rsidR="004C5EFE">
        <w:rPr>
          <w:rFonts w:hint="cs"/>
          <w:rtl/>
        </w:rPr>
        <w:t>لش</w:t>
      </w:r>
      <w:r>
        <w:rPr>
          <w:rFonts w:hint="cs"/>
          <w:rtl/>
        </w:rPr>
        <w:t>ر</w:t>
      </w:r>
      <w:r w:rsidR="004C5EFE">
        <w:rPr>
          <w:rFonts w:hint="cs"/>
          <w:rtl/>
        </w:rPr>
        <w:t>ا</w:t>
      </w:r>
      <w:r>
        <w:rPr>
          <w:rFonts w:hint="cs"/>
          <w:rtl/>
        </w:rPr>
        <w:t>كة.</w:t>
      </w:r>
    </w:p>
    <w:p w:rsidR="000B32F0" w:rsidRDefault="000B32F0" w:rsidP="000B32F0">
      <w:pPr>
        <w:pStyle w:val="SingleTxt"/>
        <w:rPr>
          <w:rFonts w:hint="eastAsia"/>
          <w:rtl/>
        </w:rPr>
      </w:pPr>
      <w:r>
        <w:rPr>
          <w:rFonts w:hint="cs"/>
          <w:rtl/>
        </w:rPr>
        <w:t>ونظم</w:t>
      </w:r>
      <w:r w:rsidR="004C5EFE">
        <w:rPr>
          <w:rFonts w:hint="cs"/>
          <w:rtl/>
        </w:rPr>
        <w:t>ت</w:t>
      </w:r>
      <w:r>
        <w:rPr>
          <w:rFonts w:hint="cs"/>
          <w:rtl/>
        </w:rPr>
        <w:t xml:space="preserve"> المفوض</w:t>
      </w:r>
      <w:r w:rsidR="004C5EFE">
        <w:rPr>
          <w:rFonts w:hint="cs"/>
          <w:rtl/>
        </w:rPr>
        <w:t>ة</w:t>
      </w:r>
      <w:r>
        <w:rPr>
          <w:rFonts w:hint="cs"/>
          <w:rtl/>
        </w:rPr>
        <w:t xml:space="preserve"> الحكومي</w:t>
      </w:r>
      <w:r w:rsidR="004C5EFE">
        <w:rPr>
          <w:rFonts w:hint="cs"/>
          <w:rtl/>
        </w:rPr>
        <w:t>ة</w:t>
      </w:r>
      <w:r>
        <w:rPr>
          <w:rFonts w:hint="cs"/>
          <w:rtl/>
        </w:rPr>
        <w:t xml:space="preserve"> مؤتمرات وحلقات دراسية على الصعيدين الوطني والدولي، وأعد</w:t>
      </w:r>
      <w:r w:rsidR="004C5EFE">
        <w:rPr>
          <w:rFonts w:hint="cs"/>
          <w:rtl/>
        </w:rPr>
        <w:t>ت</w:t>
      </w:r>
      <w:r>
        <w:rPr>
          <w:rFonts w:hint="cs"/>
          <w:rtl/>
        </w:rPr>
        <w:t xml:space="preserve"> المطبوعات (النشرات والمنشورات) وتعاون</w:t>
      </w:r>
      <w:r w:rsidR="004C5EFE">
        <w:rPr>
          <w:rFonts w:hint="cs"/>
          <w:rtl/>
        </w:rPr>
        <w:t>ت</w:t>
      </w:r>
      <w:r>
        <w:rPr>
          <w:rFonts w:hint="cs"/>
          <w:rtl/>
        </w:rPr>
        <w:t xml:space="preserve"> مع الوزارات المختصة في جميع هذه الم</w:t>
      </w:r>
      <w:r w:rsidR="004C5EFE">
        <w:rPr>
          <w:rFonts w:hint="cs"/>
          <w:rtl/>
        </w:rPr>
        <w:t>سائل. وأجرت</w:t>
      </w:r>
      <w:r>
        <w:rPr>
          <w:rFonts w:hint="cs"/>
          <w:rtl/>
        </w:rPr>
        <w:t xml:space="preserve"> أيضا حملات إعلامية مثل تقديم جوائز </w:t>
      </w:r>
      <w:r>
        <w:rPr>
          <w:rFonts w:hint="eastAsia"/>
          <w:rtl/>
        </w:rPr>
        <w:t>”أكواب المساواة</w:t>
      </w:r>
      <w:r>
        <w:rPr>
          <w:rFonts w:hint="cs"/>
          <w:rtl/>
        </w:rPr>
        <w:t>“ للأشخاص والمؤسسات الملتزمة بالمساواة بين الجنسين، وجوائز مضادة (”الإحالة إلى طبيب العيون</w:t>
      </w:r>
      <w:r>
        <w:rPr>
          <w:rFonts w:hint="eastAsia"/>
          <w:rtl/>
        </w:rPr>
        <w:t>“) بالنسبة لهؤلاء الذين لم يلاحظوا المشكلة.</w:t>
      </w:r>
    </w:p>
    <w:p w:rsidR="000B32F0" w:rsidRDefault="000B32F0" w:rsidP="001255EB">
      <w:pPr>
        <w:pStyle w:val="SingleTxt"/>
        <w:rPr>
          <w:rFonts w:hint="cs"/>
          <w:rtl/>
        </w:rPr>
      </w:pPr>
      <w:r>
        <w:rPr>
          <w:rFonts w:hint="cs"/>
          <w:rtl/>
        </w:rPr>
        <w:t>57 -</w:t>
      </w:r>
      <w:r>
        <w:rPr>
          <w:rFonts w:hint="cs"/>
          <w:rtl/>
        </w:rPr>
        <w:tab/>
      </w:r>
      <w:r w:rsidR="004C5EFE">
        <w:rPr>
          <w:rFonts w:hint="cs"/>
          <w:rtl/>
        </w:rPr>
        <w:t>إن المهام التي تم إعدادها في خطة</w:t>
      </w:r>
      <w:r>
        <w:rPr>
          <w:rFonts w:hint="cs"/>
          <w:rtl/>
        </w:rPr>
        <w:t xml:space="preserve"> العمل الوطنية للمرأة </w:t>
      </w:r>
      <w:r>
        <w:rPr>
          <w:rtl/>
        </w:rPr>
        <w:t>–</w:t>
      </w:r>
      <w:r w:rsidR="004C5EFE">
        <w:rPr>
          <w:rFonts w:hint="cs"/>
          <w:rtl/>
        </w:rPr>
        <w:t xml:space="preserve"> مرحل</w:t>
      </w:r>
      <w:r>
        <w:rPr>
          <w:rFonts w:hint="cs"/>
          <w:rtl/>
        </w:rPr>
        <w:t>ة التنفيذ الثانية للفترة 2003-2005 فيما يتعلق بتعزيز المساواة بين الجنسين و</w:t>
      </w:r>
      <w:r w:rsidR="004C5EFE">
        <w:rPr>
          <w:rFonts w:hint="cs"/>
          <w:rtl/>
        </w:rPr>
        <w:t>تقديم ا</w:t>
      </w:r>
      <w:r>
        <w:rPr>
          <w:rFonts w:hint="cs"/>
          <w:rtl/>
        </w:rPr>
        <w:t>لنساء في وسائط الإعلام</w:t>
      </w:r>
      <w:r w:rsidR="004C5EFE">
        <w:rPr>
          <w:rFonts w:hint="cs"/>
          <w:rtl/>
        </w:rPr>
        <w:t xml:space="preserve"> بعيدا عن القولبة النمطية</w:t>
      </w:r>
      <w:r>
        <w:rPr>
          <w:rFonts w:hint="cs"/>
          <w:rtl/>
        </w:rPr>
        <w:t xml:space="preserve"> يجري تنفيذها في جملة أمور في إطار مشروع المنار</w:t>
      </w:r>
      <w:r w:rsidR="004C5EFE">
        <w:rPr>
          <w:rFonts w:hint="cs"/>
          <w:rtl/>
        </w:rPr>
        <w:t>ة</w:t>
      </w:r>
      <w:r>
        <w:rPr>
          <w:rFonts w:hint="cs"/>
          <w:rtl/>
        </w:rPr>
        <w:t xml:space="preserve"> 2002 </w:t>
      </w:r>
      <w:r>
        <w:rPr>
          <w:rFonts w:hint="eastAsia"/>
          <w:rtl/>
        </w:rPr>
        <w:t>”تعزيز السياسات المتعلقة بالمساواة في معاملة النساء والرجال</w:t>
      </w:r>
      <w:r w:rsidR="001255EB">
        <w:rPr>
          <w:rFonts w:hint="cs"/>
          <w:rtl/>
        </w:rPr>
        <w:t>“. وتم تنظيم</w:t>
      </w:r>
      <w:r>
        <w:rPr>
          <w:rFonts w:hint="cs"/>
          <w:rtl/>
        </w:rPr>
        <w:t xml:space="preserve"> المؤتمرات و</w:t>
      </w:r>
      <w:r w:rsidR="001255EB">
        <w:rPr>
          <w:rFonts w:hint="cs"/>
          <w:rtl/>
        </w:rPr>
        <w:t xml:space="preserve">حلقات </w:t>
      </w:r>
      <w:r>
        <w:rPr>
          <w:rFonts w:hint="cs"/>
          <w:rtl/>
        </w:rPr>
        <w:t>التدريب لممثلي وسائط الإعلام في</w:t>
      </w:r>
      <w:r w:rsidR="001255EB">
        <w:rPr>
          <w:rFonts w:hint="cs"/>
          <w:rtl/>
        </w:rPr>
        <w:t xml:space="preserve"> مجال </w:t>
      </w:r>
      <w:r>
        <w:rPr>
          <w:rFonts w:hint="cs"/>
          <w:rtl/>
        </w:rPr>
        <w:t>المساواة بين الجنسين في اتخاذ القرارات</w:t>
      </w:r>
      <w:r w:rsidR="001255EB">
        <w:rPr>
          <w:rFonts w:hint="cs"/>
          <w:rtl/>
        </w:rPr>
        <w:t>،</w:t>
      </w:r>
      <w:r>
        <w:rPr>
          <w:rFonts w:hint="cs"/>
          <w:rtl/>
        </w:rPr>
        <w:t xml:space="preserve"> واحترام حقوق المرأة</w:t>
      </w:r>
      <w:r w:rsidR="001255EB">
        <w:rPr>
          <w:rFonts w:hint="cs"/>
          <w:rtl/>
        </w:rPr>
        <w:t>، وذلك</w:t>
      </w:r>
      <w:r>
        <w:rPr>
          <w:rFonts w:hint="cs"/>
          <w:rtl/>
        </w:rPr>
        <w:t xml:space="preserve"> تحت رعاية المفوض</w:t>
      </w:r>
      <w:r w:rsidR="001255EB">
        <w:rPr>
          <w:rFonts w:hint="cs"/>
          <w:rtl/>
        </w:rPr>
        <w:t>ة</w:t>
      </w:r>
      <w:r>
        <w:rPr>
          <w:rFonts w:hint="cs"/>
          <w:rtl/>
        </w:rPr>
        <w:t xml:space="preserve"> العام</w:t>
      </w:r>
      <w:r w:rsidR="001255EB">
        <w:rPr>
          <w:rFonts w:hint="cs"/>
          <w:rtl/>
        </w:rPr>
        <w:t>ة</w:t>
      </w:r>
      <w:r>
        <w:rPr>
          <w:rFonts w:hint="cs"/>
          <w:rtl/>
        </w:rPr>
        <w:t xml:space="preserve">، بالتعاون مع المجلس الوطني للإذاعة والتلفزيون ومركز المساواة بين الجنسين في جامعة روسكيلد بالدانمرك. </w:t>
      </w:r>
    </w:p>
    <w:p w:rsidR="000B32F0" w:rsidRDefault="000B32F0" w:rsidP="000B32F0">
      <w:pPr>
        <w:pStyle w:val="SingleTxt"/>
        <w:rPr>
          <w:rFonts w:hint="cs"/>
          <w:rtl/>
        </w:rPr>
      </w:pPr>
      <w:r>
        <w:rPr>
          <w:rFonts w:hint="cs"/>
          <w:rtl/>
        </w:rPr>
        <w:t>58 -</w:t>
      </w:r>
      <w:r>
        <w:rPr>
          <w:rFonts w:hint="cs"/>
          <w:rtl/>
        </w:rPr>
        <w:tab/>
        <w:t xml:space="preserve">شهد عام 2002 بدء نفاذ الأمر الصادر عن وزارة التعليم والرياضة فيما يتعلق بإدخال منهج جديد في المدارس </w:t>
      </w:r>
      <w:r>
        <w:rPr>
          <w:rFonts w:hint="eastAsia"/>
          <w:rtl/>
        </w:rPr>
        <w:t>”التحضير للحياة داخل الأسرة</w:t>
      </w:r>
      <w:r>
        <w:rPr>
          <w:rFonts w:hint="cs"/>
          <w:rtl/>
        </w:rPr>
        <w:t>“ (العلاقات الجنسية ووسائل منع الحمل والتسامح و</w:t>
      </w:r>
      <w:r w:rsidR="001255EB">
        <w:rPr>
          <w:rFonts w:hint="cs"/>
          <w:rtl/>
        </w:rPr>
        <w:t>التحلي ب</w:t>
      </w:r>
      <w:r>
        <w:rPr>
          <w:rFonts w:hint="cs"/>
          <w:rtl/>
        </w:rPr>
        <w:t xml:space="preserve">المسؤولية في المواقف الجنسية). وتجري مناقشة المسألة في التقرير عن المادة 10 من الاتفاقية. </w:t>
      </w:r>
    </w:p>
    <w:p w:rsidR="00831187" w:rsidRPr="00831187" w:rsidRDefault="00831187" w:rsidP="000B32F0">
      <w:pPr>
        <w:pStyle w:val="SingleTxt"/>
        <w:rPr>
          <w:rFonts w:hint="cs"/>
          <w:b/>
          <w:bCs/>
          <w:rtl/>
        </w:rPr>
      </w:pPr>
      <w:r w:rsidRPr="00831187">
        <w:rPr>
          <w:rFonts w:hint="cs"/>
          <w:b/>
          <w:bCs/>
          <w:rtl/>
        </w:rPr>
        <w:t>العنف الموجه ضد المرأة</w:t>
      </w:r>
    </w:p>
    <w:p w:rsidR="000B32F0" w:rsidRDefault="00831187" w:rsidP="00194168">
      <w:pPr>
        <w:pStyle w:val="SingleTxt"/>
        <w:rPr>
          <w:rFonts w:hint="cs"/>
          <w:rtl/>
        </w:rPr>
      </w:pPr>
      <w:r>
        <w:rPr>
          <w:rFonts w:hint="cs"/>
          <w:rtl/>
        </w:rPr>
        <w:t>59 -</w:t>
      </w:r>
      <w:r>
        <w:rPr>
          <w:rFonts w:hint="cs"/>
          <w:rtl/>
        </w:rPr>
        <w:tab/>
        <w:t>لم تطرأ تغييرات كبيرة أثناء الفترة التي يغطيها التقرير على القوانين المتعلقة بالعنف داخل الأسرة. وقد تم الاستعاضة عن المادة 184 السابقة في قانون العقوبات والمتعلقة بسوء معاملة أفراد الأسرة بالمادة 207 بإضافة فقرة عن المعاملة</w:t>
      </w:r>
      <w:r w:rsidR="00194168">
        <w:rPr>
          <w:rFonts w:hint="cs"/>
          <w:rtl/>
        </w:rPr>
        <w:t xml:space="preserve"> السيئة باللجوء إلى القسوة الشديدة</w:t>
      </w:r>
      <w:r>
        <w:rPr>
          <w:rFonts w:hint="cs"/>
          <w:rtl/>
        </w:rPr>
        <w:t xml:space="preserve">، ويعاقب عليها بالسجن لمدة تصل إلى عشر سنوات. ومن ناحية أخرى، تم تخفيف عقوبة الاغتصاب. وتعاقب هذه الجريمة </w:t>
      </w:r>
      <w:r w:rsidR="00194168">
        <w:rPr>
          <w:rFonts w:hint="cs"/>
          <w:rtl/>
        </w:rPr>
        <w:t xml:space="preserve">الآن </w:t>
      </w:r>
      <w:r>
        <w:rPr>
          <w:rFonts w:hint="cs"/>
          <w:rtl/>
        </w:rPr>
        <w:t>بالسجن لمدة عشر سنوات، بينما يعاقب على الاغتصاب المشروط ب</w:t>
      </w:r>
      <w:r w:rsidR="00194168">
        <w:rPr>
          <w:rFonts w:hint="cs"/>
          <w:rtl/>
        </w:rPr>
        <w:t>ال</w:t>
      </w:r>
      <w:r>
        <w:rPr>
          <w:rFonts w:hint="cs"/>
          <w:rtl/>
        </w:rPr>
        <w:t xml:space="preserve">سجن لمدة تتراوح بين سنتين و 12 سنة. </w:t>
      </w:r>
    </w:p>
    <w:p w:rsidR="00831187" w:rsidRDefault="00831187" w:rsidP="000B32F0">
      <w:pPr>
        <w:pStyle w:val="SingleTxt"/>
        <w:rPr>
          <w:rFonts w:hint="cs"/>
          <w:rtl/>
        </w:rPr>
      </w:pPr>
      <w:r>
        <w:rPr>
          <w:rFonts w:hint="cs"/>
          <w:rtl/>
        </w:rPr>
        <w:t>60 -</w:t>
      </w:r>
      <w:r>
        <w:rPr>
          <w:rFonts w:hint="cs"/>
          <w:rtl/>
        </w:rPr>
        <w:tab/>
        <w:t xml:space="preserve">وكما جاء في التقرير الموحد 4-5، تم تعليق تنفيذ خطة العمل الوطنية للمرأة وبرنامج </w:t>
      </w:r>
      <w:r w:rsidR="00194168">
        <w:rPr>
          <w:rFonts w:hint="eastAsia"/>
          <w:rtl/>
        </w:rPr>
        <w:t>”ضد العنف ومن أجل تكاف</w:t>
      </w:r>
      <w:r w:rsidR="00194168">
        <w:rPr>
          <w:rFonts w:hint="cs"/>
          <w:rtl/>
        </w:rPr>
        <w:t>ؤ</w:t>
      </w:r>
      <w:r>
        <w:rPr>
          <w:rFonts w:hint="eastAsia"/>
          <w:rtl/>
        </w:rPr>
        <w:t xml:space="preserve"> الفرص</w:t>
      </w:r>
      <w:r>
        <w:rPr>
          <w:rFonts w:hint="cs"/>
          <w:rtl/>
        </w:rPr>
        <w:t>“ اللذين يعالجان ضحايا العنف من النساء، وذلك خلال الفترة 1997-</w:t>
      </w:r>
      <w:r w:rsidR="00194168">
        <w:rPr>
          <w:rFonts w:hint="cs"/>
          <w:rtl/>
        </w:rPr>
        <w:t>2001. وفي الوقت نفسه، روجت المف</w:t>
      </w:r>
      <w:r>
        <w:rPr>
          <w:rFonts w:hint="cs"/>
          <w:rtl/>
        </w:rPr>
        <w:t>وضة الحكومية المعنية بشؤون الأسرة نموذج الأسرة التقليدية، التي تضع المحافظة على وحدة الأسرة فوق مصالح وحقوق أفراد الأسرة، وينطبق الشيء نفسه على حالات الأسر التي تعاني من العنف.</w:t>
      </w:r>
    </w:p>
    <w:p w:rsidR="00831187" w:rsidRDefault="00831187" w:rsidP="000B32F0">
      <w:pPr>
        <w:pStyle w:val="SingleTxt"/>
        <w:rPr>
          <w:rFonts w:hint="cs"/>
          <w:rtl/>
        </w:rPr>
      </w:pPr>
      <w:r>
        <w:rPr>
          <w:rFonts w:hint="cs"/>
          <w:rtl/>
        </w:rPr>
        <w:t>61 -</w:t>
      </w:r>
      <w:r w:rsidR="00194168">
        <w:rPr>
          <w:rFonts w:hint="cs"/>
          <w:rtl/>
        </w:rPr>
        <w:tab/>
        <w:t>تشير البيانات التي قدمها المقر</w:t>
      </w:r>
      <w:r>
        <w:rPr>
          <w:rFonts w:hint="cs"/>
          <w:rtl/>
        </w:rPr>
        <w:t xml:space="preserve"> الوطني للشرطة إلى أن العنف المنزلي شمل 991 66 امرأة، و 589 5 رجلا، و 305 20 أطفال يصل عمرهم إلى 13 سنة، و 906 14 من القاصرين الذين يتراوح عمرهم بين 13 و 18 سنة. وقامت المنظمات غير الحكومية بصفة رئيسية بالعمل من أجل حماية الضحايا والتصدي للعنف. وقد نظمت </w:t>
      </w:r>
      <w:r w:rsidR="00194168">
        <w:rPr>
          <w:rFonts w:hint="cs"/>
          <w:rtl/>
        </w:rPr>
        <w:t xml:space="preserve">هذه المنظمات </w:t>
      </w:r>
      <w:r>
        <w:rPr>
          <w:rFonts w:hint="cs"/>
          <w:rtl/>
        </w:rPr>
        <w:t>حملات تثقيفية في وسائط الإعلام لزيادة الوعي بخصوص العنف داخل الأسرة، كما أنشأت شبكة من المراكز التي تهدف إلى مساعدة الضحايا.</w:t>
      </w:r>
    </w:p>
    <w:p w:rsidR="00831187" w:rsidRDefault="00831187" w:rsidP="001D1102">
      <w:pPr>
        <w:pStyle w:val="SingleTxt"/>
        <w:rPr>
          <w:rFonts w:hint="cs"/>
          <w:rtl/>
        </w:rPr>
      </w:pPr>
      <w:r>
        <w:rPr>
          <w:rFonts w:hint="cs"/>
          <w:rtl/>
        </w:rPr>
        <w:t>62 -</w:t>
      </w:r>
      <w:r>
        <w:rPr>
          <w:rFonts w:hint="cs"/>
          <w:rtl/>
        </w:rPr>
        <w:tab/>
        <w:t>واستمر العمل خلال الفترة التي يغطيها التقرير ب</w:t>
      </w:r>
      <w:r w:rsidR="00194168">
        <w:rPr>
          <w:rFonts w:hint="cs"/>
          <w:rtl/>
        </w:rPr>
        <w:t>ـ</w:t>
      </w:r>
      <w:r>
        <w:rPr>
          <w:rFonts w:hint="cs"/>
          <w:rtl/>
        </w:rPr>
        <w:t xml:space="preserve"> </w:t>
      </w:r>
      <w:r>
        <w:rPr>
          <w:rFonts w:hint="eastAsia"/>
          <w:rtl/>
        </w:rPr>
        <w:t>”البطاقات الزرقاء</w:t>
      </w:r>
      <w:r>
        <w:rPr>
          <w:rFonts w:hint="cs"/>
          <w:rtl/>
        </w:rPr>
        <w:t>“</w:t>
      </w:r>
      <w:r>
        <w:rPr>
          <w:rFonts w:hint="eastAsia"/>
          <w:rtl/>
        </w:rPr>
        <w:t xml:space="preserve"> (الموصوفة بالتفصيل في التقرير 4-5). </w:t>
      </w:r>
      <w:r>
        <w:rPr>
          <w:rFonts w:hint="cs"/>
          <w:rtl/>
        </w:rPr>
        <w:t>كما تم تدريب أفراد الشرطة في جميع مقار الشرطة الإقليمية على مضمون العنف المنزلي. غير أنه بسبب الموقف الإيديولوجي المذكور أعلاه تجاه التمييز ضد المرأة (نفت المفوضة الحكومية المعنية بشؤون الأسرة وجوده) ت</w:t>
      </w:r>
      <w:r w:rsidR="00194168">
        <w:rPr>
          <w:rFonts w:hint="cs"/>
          <w:rtl/>
        </w:rPr>
        <w:t xml:space="preserve">م التركيز على </w:t>
      </w:r>
      <w:r>
        <w:rPr>
          <w:rFonts w:hint="cs"/>
          <w:rtl/>
        </w:rPr>
        <w:t>القضاء على الإدمان على شرب الكحول، وال</w:t>
      </w:r>
      <w:r w:rsidR="00194168">
        <w:rPr>
          <w:rFonts w:hint="cs"/>
          <w:rtl/>
        </w:rPr>
        <w:t>إدمان على المخدرات، وقد تم اعتبار</w:t>
      </w:r>
      <w:r>
        <w:rPr>
          <w:rFonts w:hint="cs"/>
          <w:rtl/>
        </w:rPr>
        <w:t xml:space="preserve"> كل هذه الحالات أسباب</w:t>
      </w:r>
      <w:r w:rsidR="00194168">
        <w:rPr>
          <w:rFonts w:hint="cs"/>
          <w:rtl/>
        </w:rPr>
        <w:t>ا</w:t>
      </w:r>
      <w:r>
        <w:rPr>
          <w:rFonts w:hint="cs"/>
          <w:rtl/>
        </w:rPr>
        <w:t xml:space="preserve"> للعنف. وي</w:t>
      </w:r>
      <w:r w:rsidR="00194168">
        <w:rPr>
          <w:rFonts w:hint="cs"/>
          <w:rtl/>
        </w:rPr>
        <w:t>ُ</w:t>
      </w:r>
      <w:r>
        <w:rPr>
          <w:rFonts w:hint="cs"/>
          <w:rtl/>
        </w:rPr>
        <w:t>فترض أن القضاء عليها من شأنه أن يضع حدا للع</w:t>
      </w:r>
      <w:r w:rsidR="0001641D">
        <w:rPr>
          <w:rFonts w:hint="cs"/>
          <w:rtl/>
        </w:rPr>
        <w:t xml:space="preserve">نف المنزلي. وبناء عليه، تم تخصيص </w:t>
      </w:r>
      <w:r>
        <w:rPr>
          <w:rFonts w:hint="cs"/>
          <w:rtl/>
        </w:rPr>
        <w:t>مو</w:t>
      </w:r>
      <w:r w:rsidR="0001641D">
        <w:rPr>
          <w:rFonts w:hint="cs"/>
          <w:rtl/>
        </w:rPr>
        <w:t>ارد من الدول</w:t>
      </w:r>
      <w:r>
        <w:rPr>
          <w:rFonts w:hint="cs"/>
          <w:rtl/>
        </w:rPr>
        <w:t>ة من أجل القضاء على الإدمان. غير أن المنظمات غير الحكومية التي أوضحت أن التمييز ضد المرأة هو السبب الرئيسي للعنف الموجه ضدها لم</w:t>
      </w:r>
      <w:r w:rsidR="001D1102">
        <w:rPr>
          <w:rFonts w:hint="eastAsia"/>
          <w:rtl/>
        </w:rPr>
        <w:t> </w:t>
      </w:r>
      <w:r>
        <w:rPr>
          <w:rFonts w:hint="cs"/>
          <w:rtl/>
        </w:rPr>
        <w:t>ت</w:t>
      </w:r>
      <w:r w:rsidR="0001641D">
        <w:rPr>
          <w:rFonts w:hint="cs"/>
          <w:rtl/>
        </w:rPr>
        <w:t>ُ</w:t>
      </w:r>
      <w:r w:rsidR="00DF1A95">
        <w:rPr>
          <w:rFonts w:hint="cs"/>
          <w:rtl/>
        </w:rPr>
        <w:t>ـــ</w:t>
      </w:r>
      <w:r>
        <w:rPr>
          <w:rFonts w:hint="cs"/>
          <w:rtl/>
        </w:rPr>
        <w:t>زود بأموال عام</w:t>
      </w:r>
      <w:r w:rsidR="00DF1A95">
        <w:rPr>
          <w:rFonts w:hint="cs"/>
          <w:rtl/>
        </w:rPr>
        <w:t>ــ</w:t>
      </w:r>
      <w:r>
        <w:rPr>
          <w:rFonts w:hint="cs"/>
          <w:rtl/>
        </w:rPr>
        <w:t>ة كافية. وترد البيانات المفصلة عن العنف المنزلي في الجدولين ألف</w:t>
      </w:r>
      <w:r>
        <w:rPr>
          <w:rFonts w:hint="eastAsia"/>
          <w:rtl/>
        </w:rPr>
        <w:t> </w:t>
      </w:r>
      <w:r>
        <w:rPr>
          <w:rFonts w:hint="cs"/>
          <w:rtl/>
        </w:rPr>
        <w:t>-5-1 وألف -5-2 (المرفق).</w:t>
      </w:r>
    </w:p>
    <w:p w:rsidR="00831187" w:rsidRDefault="00831187" w:rsidP="00831187">
      <w:pPr>
        <w:pStyle w:val="SingleTxt"/>
        <w:rPr>
          <w:rFonts w:hint="cs"/>
          <w:rtl/>
        </w:rPr>
      </w:pPr>
      <w:r>
        <w:rPr>
          <w:rFonts w:hint="cs"/>
          <w:rtl/>
        </w:rPr>
        <w:t>63 -</w:t>
      </w:r>
      <w:r>
        <w:rPr>
          <w:rFonts w:hint="cs"/>
          <w:rtl/>
        </w:rPr>
        <w:tab/>
        <w:t xml:space="preserve">وضعت وزارة الداخلية ووزارة العدل معا مشروع وثيقة عنوانها </w:t>
      </w:r>
      <w:r>
        <w:rPr>
          <w:rFonts w:hint="eastAsia"/>
          <w:rtl/>
        </w:rPr>
        <w:t>”الميثاق البولندي لحقوق الضحايا</w:t>
      </w:r>
      <w:r>
        <w:rPr>
          <w:rFonts w:hint="cs"/>
          <w:rtl/>
        </w:rPr>
        <w:t xml:space="preserve">“ وهي وثيقة ذات أهمية كبيرة من وجهة نظر ضحايا العنف. واستعرضت الوثيقة حقوق الضحايا وأشارت إلى اللوائح القانونية البولندية والدولية الرئيسية. ويتضمن الميثاق أيضا قائمة بالمنظمات التي تقدم المساعدة إلى ضحايا العنف. </w:t>
      </w:r>
    </w:p>
    <w:p w:rsidR="00831187" w:rsidRDefault="00831187" w:rsidP="00831187">
      <w:pPr>
        <w:pStyle w:val="SingleTxt"/>
        <w:rPr>
          <w:rFonts w:hint="cs"/>
          <w:rtl/>
        </w:rPr>
      </w:pPr>
      <w:r>
        <w:rPr>
          <w:rFonts w:hint="cs"/>
          <w:rtl/>
        </w:rPr>
        <w:tab/>
        <w:t xml:space="preserve">وفي أواخر عام 2001، اتخذت الحكومة الجديدة إجراءات ضد العنف المنزلي. وبدأ العمل في </w:t>
      </w:r>
      <w:r>
        <w:rPr>
          <w:rFonts w:hint="eastAsia"/>
          <w:rtl/>
        </w:rPr>
        <w:t>”برنامج لمنع وقمع الجريمة</w:t>
      </w:r>
      <w:r>
        <w:rPr>
          <w:rFonts w:hint="cs"/>
          <w:rtl/>
        </w:rPr>
        <w:t xml:space="preserve">“ ومن بين أولوياته العنف المنزلي. </w:t>
      </w:r>
    </w:p>
    <w:p w:rsidR="00831187" w:rsidRDefault="00831187" w:rsidP="0001641D">
      <w:pPr>
        <w:pStyle w:val="SingleTxt"/>
        <w:rPr>
          <w:rFonts w:hint="cs"/>
          <w:rtl/>
        </w:rPr>
      </w:pPr>
      <w:r>
        <w:rPr>
          <w:rFonts w:hint="cs"/>
          <w:rtl/>
        </w:rPr>
        <w:t>64 -</w:t>
      </w:r>
      <w:r>
        <w:rPr>
          <w:rFonts w:hint="cs"/>
          <w:rtl/>
        </w:rPr>
        <w:tab/>
        <w:t>ومنذ عام 2002، نظمت المفوضة الحكومية ا</w:t>
      </w:r>
      <w:r w:rsidR="0001641D">
        <w:rPr>
          <w:rFonts w:hint="cs"/>
          <w:rtl/>
        </w:rPr>
        <w:t>لمعنية بالمساواة بين مركز النساء</w:t>
      </w:r>
      <w:r>
        <w:rPr>
          <w:rFonts w:hint="cs"/>
          <w:rtl/>
        </w:rPr>
        <w:t xml:space="preserve"> والرج</w:t>
      </w:r>
      <w:r w:rsidR="0001641D">
        <w:rPr>
          <w:rFonts w:hint="cs"/>
          <w:rtl/>
        </w:rPr>
        <w:t>ا</w:t>
      </w:r>
      <w:r>
        <w:rPr>
          <w:rFonts w:hint="cs"/>
          <w:rtl/>
        </w:rPr>
        <w:t xml:space="preserve">ل حملة معنونة </w:t>
      </w:r>
      <w:r w:rsidR="0001641D">
        <w:rPr>
          <w:rFonts w:hint="eastAsia"/>
          <w:rtl/>
        </w:rPr>
        <w:t>”عدم التسا</w:t>
      </w:r>
      <w:r w:rsidR="0001641D">
        <w:rPr>
          <w:rFonts w:hint="cs"/>
          <w:rtl/>
        </w:rPr>
        <w:t>هل</w:t>
      </w:r>
      <w:r>
        <w:rPr>
          <w:rFonts w:hint="eastAsia"/>
          <w:rtl/>
        </w:rPr>
        <w:t xml:space="preserve"> مع العنف</w:t>
      </w:r>
      <w:r>
        <w:rPr>
          <w:rFonts w:hint="cs"/>
          <w:rtl/>
        </w:rPr>
        <w:t xml:space="preserve">“. ويتم تنظيم الأنشطة أثناء </w:t>
      </w:r>
      <w:r>
        <w:rPr>
          <w:rFonts w:hint="eastAsia"/>
          <w:rtl/>
        </w:rPr>
        <w:t>”اليوم الخاص بمناهضة العنف ضد المرأة</w:t>
      </w:r>
      <w:r>
        <w:rPr>
          <w:rFonts w:hint="cs"/>
          <w:rtl/>
        </w:rPr>
        <w:t xml:space="preserve">“. وفي عام 2003، تم تنظيم الحملة برعاية رئيس الوزراء. وظهر أيضا رئيس الوزراء في إعلان تلفزيوني يتعلق بالعنف الموجه ضد المرأة، وأذيع عدة مرات على القناة العامة. وتم تنظيم عدة مؤتمرات وحلقات دراسية ومسيرات للاحتجاج </w:t>
      </w:r>
      <w:r w:rsidR="0001641D">
        <w:rPr>
          <w:rFonts w:hint="cs"/>
          <w:rtl/>
        </w:rPr>
        <w:t>على</w:t>
      </w:r>
      <w:r>
        <w:rPr>
          <w:rFonts w:hint="cs"/>
          <w:rtl/>
        </w:rPr>
        <w:t xml:space="preserve"> العنف الموجه ضد المرأة.</w:t>
      </w:r>
    </w:p>
    <w:p w:rsidR="00831187" w:rsidRDefault="00831187" w:rsidP="0001641D">
      <w:pPr>
        <w:pStyle w:val="SingleTxt"/>
        <w:rPr>
          <w:rFonts w:hint="cs"/>
          <w:rtl/>
        </w:rPr>
      </w:pPr>
      <w:r>
        <w:rPr>
          <w:rFonts w:hint="cs"/>
          <w:rtl/>
        </w:rPr>
        <w:t>65 -</w:t>
      </w:r>
      <w:r>
        <w:rPr>
          <w:rFonts w:hint="cs"/>
          <w:rtl/>
        </w:rPr>
        <w:tab/>
        <w:t xml:space="preserve">ومكافحة العنف جزء أيضا من الخطة الوطنية للمرأة - مرحلة التنفيذ الثانية خلال الفترة 2003-2005. وفي عام 2003، تم استئناف العمل بشأن </w:t>
      </w:r>
      <w:r w:rsidR="0001641D">
        <w:rPr>
          <w:rFonts w:hint="cs"/>
          <w:rtl/>
        </w:rPr>
        <w:t xml:space="preserve">وضع </w:t>
      </w:r>
      <w:r>
        <w:rPr>
          <w:rFonts w:hint="cs"/>
          <w:rtl/>
        </w:rPr>
        <w:t>قانون لحماية ضحايا العنف المنزلي. وتعتزم الخطط الحكومية لعام 2004</w:t>
      </w:r>
      <w:r w:rsidR="00601C1C">
        <w:rPr>
          <w:rFonts w:hint="cs"/>
          <w:rtl/>
        </w:rPr>
        <w:t xml:space="preserve"> إدراج لوائح </w:t>
      </w:r>
      <w:r w:rsidR="0001641D">
        <w:rPr>
          <w:rFonts w:hint="cs"/>
          <w:rtl/>
        </w:rPr>
        <w:t xml:space="preserve">في القانون البولندي </w:t>
      </w:r>
      <w:r w:rsidR="00601C1C">
        <w:rPr>
          <w:rFonts w:hint="cs"/>
          <w:rtl/>
        </w:rPr>
        <w:t xml:space="preserve">تتعلق بطرد مرتكبي العنف </w:t>
      </w:r>
      <w:r w:rsidR="0001641D">
        <w:rPr>
          <w:rFonts w:hint="cs"/>
          <w:rtl/>
        </w:rPr>
        <w:t>و</w:t>
      </w:r>
      <w:r w:rsidR="00601C1C">
        <w:rPr>
          <w:rFonts w:hint="cs"/>
          <w:rtl/>
        </w:rPr>
        <w:t>منعهم من الاقتراب من الضحايا أو الشهود.</w:t>
      </w:r>
    </w:p>
    <w:p w:rsidR="00601C1C" w:rsidRDefault="00601C1C" w:rsidP="00601C1C">
      <w:pPr>
        <w:pStyle w:val="SingleTxt"/>
        <w:rPr>
          <w:rFonts w:hint="cs"/>
          <w:b/>
          <w:bCs/>
          <w:rtl/>
        </w:rPr>
      </w:pPr>
      <w:r>
        <w:rPr>
          <w:rFonts w:hint="cs"/>
          <w:b/>
          <w:bCs/>
          <w:rtl/>
        </w:rPr>
        <w:t>المادة 6 - استغلال المرأة</w:t>
      </w:r>
    </w:p>
    <w:p w:rsidR="00601C1C" w:rsidRDefault="00601C1C" w:rsidP="007C767B">
      <w:pPr>
        <w:pStyle w:val="SingleTxt"/>
        <w:rPr>
          <w:rFonts w:hint="cs"/>
          <w:rtl/>
        </w:rPr>
      </w:pPr>
      <w:r>
        <w:rPr>
          <w:rFonts w:hint="cs"/>
          <w:rtl/>
        </w:rPr>
        <w:t>66 -</w:t>
      </w:r>
      <w:r>
        <w:rPr>
          <w:rFonts w:hint="cs"/>
          <w:rtl/>
        </w:rPr>
        <w:tab/>
        <w:t>انخفض العدد المقدر للنساء العاملات في الدعارة في بولندا، مقارنة بالفترة التي يغطيها التقرير السابق، من 500 13 في عام 1997 إلى 000 7 في عام 2001، وظل هذا العدد بدون تغيير. وجاء الانخفاض نتيجة عمليات الشرطة، وقلة الطلب بسبب التدهور الاقتصادي. وحوالي 50 في المائة من المشتغلات بالدعارة أجنبيات.</w:t>
      </w:r>
    </w:p>
    <w:p w:rsidR="00601C1C" w:rsidRDefault="00601C1C" w:rsidP="007C767B">
      <w:pPr>
        <w:pStyle w:val="SingleTxt"/>
        <w:rPr>
          <w:rFonts w:hint="cs"/>
          <w:rtl/>
        </w:rPr>
      </w:pPr>
      <w:r>
        <w:rPr>
          <w:rFonts w:hint="cs"/>
          <w:rtl/>
        </w:rPr>
        <w:t>67 -</w:t>
      </w:r>
      <w:r>
        <w:rPr>
          <w:rFonts w:hint="cs"/>
          <w:rtl/>
        </w:rPr>
        <w:tab/>
        <w:t>وفي الوقت نفسه، أصبحت الجريمة المنظمة الدولية تنطوي على نقل النساء للعمل كداعرات خارج بولندا. ومن بين البلدان المستهدفة ألمانيا، وهولندا، وبلجيكا، والنمسا، وسويسرا، وإسبان</w:t>
      </w:r>
      <w:r w:rsidR="007C767B">
        <w:rPr>
          <w:rFonts w:hint="cs"/>
          <w:rtl/>
        </w:rPr>
        <w:t>يا وحتى إسرائيل واليابان. وبعد أن كانت</w:t>
      </w:r>
      <w:r>
        <w:rPr>
          <w:rFonts w:hint="cs"/>
          <w:rtl/>
        </w:rPr>
        <w:t xml:space="preserve"> بولندا، في البداية </w:t>
      </w:r>
      <w:r w:rsidR="007C767B">
        <w:rPr>
          <w:rFonts w:hint="cs"/>
          <w:rtl/>
        </w:rPr>
        <w:t>بلد المنشأ لل</w:t>
      </w:r>
      <w:r>
        <w:rPr>
          <w:rFonts w:hint="cs"/>
          <w:rtl/>
        </w:rPr>
        <w:t xml:space="preserve">ضحايا، </w:t>
      </w:r>
      <w:r w:rsidR="007C767B">
        <w:rPr>
          <w:rFonts w:hint="cs"/>
          <w:rtl/>
        </w:rPr>
        <w:t xml:space="preserve">أصبحت </w:t>
      </w:r>
      <w:r>
        <w:rPr>
          <w:rFonts w:hint="cs"/>
          <w:rtl/>
        </w:rPr>
        <w:t xml:space="preserve">بلد </w:t>
      </w:r>
      <w:r w:rsidR="007C767B">
        <w:rPr>
          <w:rFonts w:hint="cs"/>
          <w:rtl/>
        </w:rPr>
        <w:t>ال</w:t>
      </w:r>
      <w:r>
        <w:rPr>
          <w:rFonts w:hint="cs"/>
          <w:rtl/>
        </w:rPr>
        <w:t>عبور</w:t>
      </w:r>
      <w:r w:rsidR="007C767B">
        <w:rPr>
          <w:rFonts w:hint="cs"/>
          <w:rtl/>
        </w:rPr>
        <w:t xml:space="preserve"> للاتجار بالأشخاص. ووفقا للتقرير</w:t>
      </w:r>
      <w:r>
        <w:rPr>
          <w:rFonts w:hint="cs"/>
          <w:rtl/>
        </w:rPr>
        <w:t xml:space="preserve"> الصادر عن مكتب الأمم المتحدة للمخدرات والجريمة في أيار/مايو 2003، تعتبر بولندا بالإضافة إلى هنغاريا وصربيا - الجبل الأسود إحدى الدول الرئيسية لعبور الداعرات. ويتم عادة اجتذاب الضحايا من النساء عن طريق الإعلان عن الوظائف أو عروض الزواج، ثم يتم نقلهن وبيعهن في النوادي الليلية وبيوت الدعارة (القانونية وغير القانونية) في أوروبا الغربية. </w:t>
      </w:r>
    </w:p>
    <w:p w:rsidR="00601C1C" w:rsidRDefault="00601C1C" w:rsidP="007C767B">
      <w:pPr>
        <w:pStyle w:val="SingleTxt"/>
        <w:rPr>
          <w:rFonts w:hint="cs"/>
          <w:rtl/>
        </w:rPr>
      </w:pPr>
      <w:r>
        <w:rPr>
          <w:rFonts w:hint="cs"/>
          <w:rtl/>
        </w:rPr>
        <w:t>68 -</w:t>
      </w:r>
      <w:r>
        <w:rPr>
          <w:rFonts w:hint="cs"/>
          <w:rtl/>
        </w:rPr>
        <w:tab/>
        <w:t xml:space="preserve">ويتزايد أيضا عدد النساء اللاتي يتم إحضارهن للعمل في بولندا في بيوت الدعارة القانونية أو </w:t>
      </w:r>
      <w:r w:rsidR="007C767B">
        <w:rPr>
          <w:rFonts w:hint="cs"/>
          <w:rtl/>
        </w:rPr>
        <w:t xml:space="preserve">بحجة العمل في الوكالات المتخصصة في توفير </w:t>
      </w:r>
      <w:r w:rsidR="00663E44">
        <w:rPr>
          <w:rFonts w:hint="cs"/>
          <w:rtl/>
        </w:rPr>
        <w:t xml:space="preserve">النساء </w:t>
      </w:r>
      <w:r w:rsidR="007C767B">
        <w:rPr>
          <w:rFonts w:hint="cs"/>
          <w:rtl/>
        </w:rPr>
        <w:t>المرافقات.</w:t>
      </w:r>
    </w:p>
    <w:p w:rsidR="00601C1C" w:rsidRDefault="00601C1C" w:rsidP="00831187">
      <w:pPr>
        <w:pStyle w:val="SingleTxt"/>
        <w:rPr>
          <w:rFonts w:hint="cs"/>
          <w:rtl/>
        </w:rPr>
      </w:pPr>
      <w:r>
        <w:rPr>
          <w:rFonts w:hint="cs"/>
          <w:rtl/>
        </w:rPr>
        <w:tab/>
        <w:t xml:space="preserve">وهؤلاء النساء هن من رعايا رومانيا وأوكرانيا واتحاد الجمهوريات الاشتراكية السوفياتية </w:t>
      </w:r>
      <w:r w:rsidR="007C767B">
        <w:rPr>
          <w:rFonts w:hint="cs"/>
          <w:rtl/>
        </w:rPr>
        <w:t>و</w:t>
      </w:r>
      <w:r>
        <w:rPr>
          <w:rFonts w:hint="cs"/>
          <w:rtl/>
        </w:rPr>
        <w:t>لا سيما أوكرانيا. ويعرض بعضهن خدماتهن على الطرق العامة، وعادة تكون هذه الطرق في من</w:t>
      </w:r>
      <w:r w:rsidR="007C767B">
        <w:rPr>
          <w:rFonts w:hint="cs"/>
          <w:rtl/>
        </w:rPr>
        <w:t>اطق</w:t>
      </w:r>
      <w:r>
        <w:rPr>
          <w:rFonts w:hint="cs"/>
          <w:rtl/>
        </w:rPr>
        <w:t xml:space="preserve"> الحدود.</w:t>
      </w:r>
    </w:p>
    <w:p w:rsidR="00601C1C" w:rsidRDefault="00601C1C" w:rsidP="007C767B">
      <w:pPr>
        <w:pStyle w:val="SingleTxt"/>
        <w:rPr>
          <w:rFonts w:hint="cs"/>
          <w:rtl/>
        </w:rPr>
      </w:pPr>
      <w:r>
        <w:rPr>
          <w:rFonts w:hint="cs"/>
          <w:rtl/>
        </w:rPr>
        <w:t>69 -</w:t>
      </w:r>
      <w:r>
        <w:rPr>
          <w:rFonts w:hint="cs"/>
          <w:rtl/>
        </w:rPr>
        <w:tab/>
        <w:t>وفي أيلول/سبتمبر 2003، نشر</w:t>
      </w:r>
      <w:r w:rsidR="007C767B">
        <w:rPr>
          <w:rFonts w:hint="cs"/>
          <w:rtl/>
        </w:rPr>
        <w:t xml:space="preserve"> مركز أبحاث الرأي العام نتائج </w:t>
      </w:r>
      <w:r>
        <w:rPr>
          <w:rFonts w:hint="cs"/>
          <w:rtl/>
        </w:rPr>
        <w:t xml:space="preserve">استطلاع للرأي </w:t>
      </w:r>
      <w:r w:rsidR="007C767B">
        <w:rPr>
          <w:rFonts w:hint="cs"/>
          <w:rtl/>
        </w:rPr>
        <w:t>عنوانه</w:t>
      </w:r>
      <w:r>
        <w:rPr>
          <w:rFonts w:hint="cs"/>
          <w:rtl/>
        </w:rPr>
        <w:t xml:space="preserve"> </w:t>
      </w:r>
      <w:r>
        <w:rPr>
          <w:rFonts w:hint="eastAsia"/>
          <w:rtl/>
        </w:rPr>
        <w:t xml:space="preserve">”لماذا الدعارة </w:t>
      </w:r>
      <w:r>
        <w:rPr>
          <w:rFonts w:hint="cs"/>
          <w:rtl/>
        </w:rPr>
        <w:t>-</w:t>
      </w:r>
      <w:r>
        <w:rPr>
          <w:rFonts w:hint="eastAsia"/>
          <w:rtl/>
        </w:rPr>
        <w:t xml:space="preserve"> اختيار </w:t>
      </w:r>
      <w:r>
        <w:rPr>
          <w:rFonts w:hint="cs"/>
          <w:rtl/>
        </w:rPr>
        <w:t>حر أو ضرورة؟</w:t>
      </w:r>
      <w:r>
        <w:rPr>
          <w:rFonts w:hint="eastAsia"/>
          <w:rtl/>
        </w:rPr>
        <w:t xml:space="preserve">“ وأظهر الاستطلاع أن نسبة النساء اللاتي يلجأن إلى الدعارة بسبب الفقر 61.3 في المائة. </w:t>
      </w:r>
      <w:r>
        <w:rPr>
          <w:rFonts w:hint="cs"/>
          <w:rtl/>
        </w:rPr>
        <w:t xml:space="preserve">وتريد حوالي 30 في المائة منهن رفع مستوى معيشتهن، بينما </w:t>
      </w:r>
      <w:r w:rsidR="007C767B">
        <w:rPr>
          <w:rFonts w:hint="cs"/>
          <w:rtl/>
        </w:rPr>
        <w:t xml:space="preserve">يتم إرغام </w:t>
      </w:r>
      <w:r>
        <w:rPr>
          <w:rFonts w:hint="cs"/>
          <w:rtl/>
        </w:rPr>
        <w:t>2.8 منهن على ممارسة الدعارة. وشمل الاستطلاع البولنديات والأجنبيات. واعتبرت ثلثا النساء اللاتي اشتركن في الاستطلاع الدعارة مهنة مؤقتة، والهدف منها هو جمع المال، وحل المشاكل الجارية (31 في المائة) أو الادخار لأسباب أخرى (34 في المائة). وواحدة من أربع نساء تشتغل في الدعارة لأنها سبيل الرزق الوحيد المتاح لها. ولا تزيد نسبة النساء اللاتي يعتبرن الدعارة مهنة دائمة يرغبن في ممارستها أطول مدة ممكنة عن 4 في المائة.</w:t>
      </w:r>
    </w:p>
    <w:p w:rsidR="00601C1C" w:rsidRDefault="00601C1C" w:rsidP="00DF1A95">
      <w:pPr>
        <w:pStyle w:val="SingleTxt"/>
        <w:rPr>
          <w:rFonts w:hint="cs"/>
          <w:rtl/>
        </w:rPr>
      </w:pPr>
      <w:r>
        <w:rPr>
          <w:rFonts w:hint="cs"/>
          <w:rtl/>
        </w:rPr>
        <w:t>70 -</w:t>
      </w:r>
      <w:r>
        <w:rPr>
          <w:rFonts w:hint="cs"/>
          <w:rtl/>
        </w:rPr>
        <w:tab/>
        <w:t xml:space="preserve">وبما أن الدعارة </w:t>
      </w:r>
      <w:r w:rsidR="0041384D">
        <w:rPr>
          <w:rFonts w:hint="cs"/>
          <w:rtl/>
        </w:rPr>
        <w:t xml:space="preserve">لا تعاقب في بولندا، فعمل الشرطة يتركز بصفة رئيسية على معرفة الأشخاص الذين يستفيدون من عمل الآخرين في الدعارة أو ينظمون نقل النساء إلى الخارج، ومعرفة الأماكن التي تتجمع فيها الداعرات. وبالنسبة للأجنبيات، تتأكد الشرطة من أن إقامتهن في بولندا قانونية. ويتم تغريم أو ترحيل الأجنبيات اللاتي </w:t>
      </w:r>
      <w:r w:rsidR="002E6169">
        <w:rPr>
          <w:rFonts w:hint="cs"/>
          <w:rtl/>
        </w:rPr>
        <w:t>ي</w:t>
      </w:r>
      <w:r w:rsidR="0041384D">
        <w:rPr>
          <w:rFonts w:hint="cs"/>
          <w:rtl/>
        </w:rPr>
        <w:t xml:space="preserve">نتهكن القانون. والوضع القانوني الغامض للدعارة عامل يسهّل الاتجار بالنساء. وبينما </w:t>
      </w:r>
      <w:r w:rsidR="002E6169">
        <w:rPr>
          <w:rFonts w:hint="cs"/>
          <w:rtl/>
        </w:rPr>
        <w:t xml:space="preserve">الدعارة </w:t>
      </w:r>
      <w:r w:rsidR="0041384D">
        <w:rPr>
          <w:rFonts w:hint="cs"/>
          <w:rtl/>
        </w:rPr>
        <w:t xml:space="preserve">لا </w:t>
      </w:r>
      <w:r w:rsidR="002E6169">
        <w:rPr>
          <w:rFonts w:hint="cs"/>
          <w:rtl/>
        </w:rPr>
        <w:t>تخضع لل</w:t>
      </w:r>
      <w:r w:rsidR="0041384D">
        <w:rPr>
          <w:rFonts w:hint="cs"/>
          <w:rtl/>
        </w:rPr>
        <w:t>ع</w:t>
      </w:r>
      <w:r w:rsidR="002E6169">
        <w:rPr>
          <w:rFonts w:hint="cs"/>
          <w:rtl/>
        </w:rPr>
        <w:t>ق</w:t>
      </w:r>
      <w:r w:rsidR="0041384D">
        <w:rPr>
          <w:rFonts w:hint="cs"/>
          <w:rtl/>
        </w:rPr>
        <w:t>اب إلا</w:t>
      </w:r>
      <w:r w:rsidR="00DF1A95">
        <w:rPr>
          <w:rFonts w:hint="eastAsia"/>
          <w:rtl/>
        </w:rPr>
        <w:t> </w:t>
      </w:r>
      <w:r w:rsidR="0041384D">
        <w:rPr>
          <w:rFonts w:hint="cs"/>
          <w:rtl/>
        </w:rPr>
        <w:t>أنها غير قانونية.</w:t>
      </w:r>
    </w:p>
    <w:p w:rsidR="0041384D" w:rsidRDefault="0041384D" w:rsidP="002E6169">
      <w:pPr>
        <w:pStyle w:val="SingleTxt"/>
        <w:rPr>
          <w:rFonts w:hint="cs"/>
          <w:rtl/>
        </w:rPr>
      </w:pPr>
      <w:r>
        <w:rPr>
          <w:rFonts w:hint="cs"/>
          <w:rtl/>
        </w:rPr>
        <w:t>71 -</w:t>
      </w:r>
      <w:r>
        <w:rPr>
          <w:rFonts w:hint="cs"/>
          <w:rtl/>
        </w:rPr>
        <w:tab/>
        <w:t xml:space="preserve">ومقارنة بتقرير الفترة السابقة، تم إدخال تعديلات على قانون العقوبات، وتنطوي التعديلات على استخدام مصطلحات أكثر دقة وإجراء تغييرات في العقوبات التي تفرض على مختلف أنواع الجرائم المتصلة باستغلال الدعارة والاتجار بالأشخاص. وإن الجريمة المذكورة في الفقرة 1 من المادة 9 من قانون العقوبات لعام 1969، والتي تنطوي على تسليم النساء، </w:t>
      </w:r>
      <w:r w:rsidR="002E6169">
        <w:rPr>
          <w:rFonts w:hint="cs"/>
          <w:rtl/>
        </w:rPr>
        <w:t xml:space="preserve">أو إغوائهن، </w:t>
      </w:r>
      <w:r>
        <w:rPr>
          <w:rFonts w:hint="cs"/>
          <w:rtl/>
        </w:rPr>
        <w:t>أو تحريضهن أو خطفهن لغرض الدعارة، حتى بموافقتهن</w:t>
      </w:r>
      <w:r w:rsidR="002E6169">
        <w:rPr>
          <w:rFonts w:hint="cs"/>
          <w:rtl/>
        </w:rPr>
        <w:t>،</w:t>
      </w:r>
      <w:r>
        <w:rPr>
          <w:rFonts w:hint="cs"/>
          <w:rtl/>
        </w:rPr>
        <w:t xml:space="preserve"> قد أدرجت في الفقرة 4 من المادة 204 من قانون العقوبات الجديد. ومع ذلك، فإن الصياغتين غير متطابقتين. فقد تم حذف عبارة </w:t>
      </w:r>
      <w:r>
        <w:rPr>
          <w:rFonts w:hint="eastAsia"/>
          <w:rtl/>
        </w:rPr>
        <w:t>”حتى بموافقتهن</w:t>
      </w:r>
      <w:r>
        <w:rPr>
          <w:rFonts w:hint="cs"/>
          <w:rtl/>
        </w:rPr>
        <w:t>“ من القانون الحالي، لتجنب الافتراض بأنه يمكن اختطاف شخص بموافقته. وفي حالة استغلال الدعارة بموافقة الضحية، فإن مرتكب الجريمة معرض للسجن لمدة تصل إلى ثلاث سنوات، بينما تصل فترة العقوبة القصوى بسبب الإغواء أو الاختطاف إلى 10 سنوات.</w:t>
      </w:r>
    </w:p>
    <w:p w:rsidR="0041384D" w:rsidRDefault="0041384D" w:rsidP="002E6169">
      <w:pPr>
        <w:pStyle w:val="SingleTxt"/>
        <w:rPr>
          <w:rFonts w:hint="cs"/>
          <w:rtl/>
        </w:rPr>
      </w:pPr>
      <w:r>
        <w:rPr>
          <w:rFonts w:hint="cs"/>
          <w:rtl/>
        </w:rPr>
        <w:t>72 -</w:t>
      </w:r>
      <w:r>
        <w:rPr>
          <w:rFonts w:hint="cs"/>
          <w:rtl/>
        </w:rPr>
        <w:tab/>
        <w:t xml:space="preserve">وبالإضافة إلى اللوائح المذكورة أعلاه، </w:t>
      </w:r>
      <w:r w:rsidR="00AC151F">
        <w:rPr>
          <w:rFonts w:hint="cs"/>
          <w:rtl/>
        </w:rPr>
        <w:t>للمادة 253 من قانون العقوبات دور رئيسي</w:t>
      </w:r>
      <w:r w:rsidR="002E6169">
        <w:rPr>
          <w:rFonts w:hint="cs"/>
          <w:rtl/>
        </w:rPr>
        <w:t>.</w:t>
      </w:r>
      <w:r w:rsidR="00AC151F">
        <w:rPr>
          <w:rFonts w:hint="cs"/>
          <w:rtl/>
        </w:rPr>
        <w:t xml:space="preserve"> وتنص المادة على أن الاتجار بالأشخاص ينطوي على عقوبة بالسجن لفترة ثلاث سنوات كحد أدنى، بغض النظر عن هدف الجريمة أو احتمال موافقة الضحية. غير أنه في معظم الحالات، </w:t>
      </w:r>
      <w:r w:rsidR="002E6169">
        <w:rPr>
          <w:rFonts w:hint="cs"/>
          <w:rtl/>
        </w:rPr>
        <w:t>ت</w:t>
      </w:r>
      <w:r w:rsidR="00AC151F">
        <w:rPr>
          <w:rFonts w:hint="cs"/>
          <w:rtl/>
        </w:rPr>
        <w:t xml:space="preserve">تراكم للاتهامات، مما يؤدي إلى تطبيق الفقرة 4 من المادة 204 والمادة 253 معا. ونتيجة لذلك، يتم ارتكاب </w:t>
      </w:r>
      <w:r w:rsidR="002E6169">
        <w:rPr>
          <w:rFonts w:hint="cs"/>
          <w:rtl/>
        </w:rPr>
        <w:t xml:space="preserve">جريمة </w:t>
      </w:r>
      <w:r w:rsidR="00AC151F">
        <w:rPr>
          <w:rFonts w:hint="cs"/>
          <w:rtl/>
        </w:rPr>
        <w:t>الاتجار بالأشخاص لغرض الدعارة، وعندما يتم إصدار الحكم في حق مرتكب الجريمة، يجوز للمحكمة أن تأمر بعقوبة إضافية تتمثل في فقدان الحقوق العامة.</w:t>
      </w:r>
    </w:p>
    <w:p w:rsidR="00AC151F" w:rsidRDefault="00AC151F" w:rsidP="00831187">
      <w:pPr>
        <w:pStyle w:val="SingleTxt"/>
        <w:rPr>
          <w:rFonts w:hint="cs"/>
          <w:rtl/>
        </w:rPr>
      </w:pPr>
      <w:r>
        <w:rPr>
          <w:rFonts w:hint="cs"/>
          <w:rtl/>
        </w:rPr>
        <w:t>73 -</w:t>
      </w:r>
      <w:r>
        <w:rPr>
          <w:rFonts w:hint="cs"/>
          <w:rtl/>
        </w:rPr>
        <w:tab/>
      </w:r>
      <w:r w:rsidR="0092663F">
        <w:rPr>
          <w:rFonts w:hint="cs"/>
          <w:rtl/>
        </w:rPr>
        <w:t xml:space="preserve">لا يمثل الاتجار بالنساء واستغلالهن في الدعارة نسبة كبيرة من الجرائم المرتكبة في بولندا. وفي عام 1998، أفادت الشرطة بارتكاب 52 جريمة متصلة بالاختطاف أو بالدعارة القسرية، و 18 حالة من حالات الاتجار بالنساء، وحالتين تتعلقان بالاتجار بالأطفال. واحتجزت الشرطة 52 مشبوها بمن فيهم 12 امرأة. وفيما يلي الإحصاءات المتعلقة بالجرائم منذ عام 1999: </w:t>
      </w:r>
    </w:p>
    <w:p w:rsidR="004B505E" w:rsidRPr="004B505E" w:rsidRDefault="004B505E" w:rsidP="004B505E">
      <w:pPr>
        <w:pStyle w:val="SingleTxt"/>
        <w:spacing w:after="0" w:line="120" w:lineRule="exact"/>
        <w:rPr>
          <w:rFonts w:hint="cs"/>
          <w:sz w:val="10"/>
          <w:rtl/>
        </w:rPr>
      </w:pPr>
    </w:p>
    <w:tbl>
      <w:tblPr>
        <w:bidiVisual/>
        <w:tblW w:w="7422" w:type="dxa"/>
        <w:jc w:val="center"/>
        <w:tblInd w:w="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559"/>
        <w:gridCol w:w="1476"/>
        <w:gridCol w:w="1614"/>
        <w:gridCol w:w="1773"/>
      </w:tblGrid>
      <w:tr w:rsidR="004B505E">
        <w:tblPrEx>
          <w:tblCellMar>
            <w:top w:w="0" w:type="dxa"/>
            <w:bottom w:w="0" w:type="dxa"/>
          </w:tblCellMar>
        </w:tblPrEx>
        <w:trPr>
          <w:cantSplit/>
          <w:jc w:val="center"/>
        </w:trPr>
        <w:tc>
          <w:tcPr>
            <w:tcW w:w="2559" w:type="dxa"/>
            <w:shd w:val="clear" w:color="auto" w:fill="auto"/>
            <w:tcMar>
              <w:left w:w="0" w:type="dxa"/>
              <w:right w:w="0" w:type="dxa"/>
            </w:tcMar>
          </w:tcPr>
          <w:p w:rsidR="004B505E" w:rsidRPr="00D249F4" w:rsidRDefault="004B505E" w:rsidP="00D249F4">
            <w:pPr>
              <w:ind w:left="43" w:right="43"/>
              <w:rPr>
                <w:rFonts w:hint="cs"/>
                <w:sz w:val="28"/>
                <w:szCs w:val="28"/>
                <w:rtl/>
              </w:rPr>
            </w:pPr>
            <w:r w:rsidRPr="00D249F4">
              <w:rPr>
                <w:rFonts w:hint="cs"/>
                <w:sz w:val="28"/>
                <w:szCs w:val="28"/>
                <w:rtl/>
              </w:rPr>
              <w:t>التعريف القانوني</w:t>
            </w:r>
          </w:p>
        </w:tc>
        <w:tc>
          <w:tcPr>
            <w:tcW w:w="1476" w:type="dxa"/>
            <w:shd w:val="clear" w:color="auto" w:fill="auto"/>
          </w:tcPr>
          <w:p w:rsidR="004B505E" w:rsidRPr="00D249F4" w:rsidRDefault="004B505E" w:rsidP="001D1102">
            <w:pPr>
              <w:ind w:left="43" w:right="43"/>
              <w:jc w:val="lowKashida"/>
              <w:rPr>
                <w:rFonts w:hint="cs"/>
                <w:sz w:val="28"/>
                <w:szCs w:val="28"/>
                <w:rtl/>
              </w:rPr>
            </w:pPr>
            <w:r w:rsidRPr="00D249F4">
              <w:rPr>
                <w:rFonts w:hint="cs"/>
                <w:sz w:val="28"/>
                <w:szCs w:val="28"/>
                <w:rtl/>
              </w:rPr>
              <w:t>الإجراءات الأولية 1999-2002</w:t>
            </w:r>
          </w:p>
        </w:tc>
        <w:tc>
          <w:tcPr>
            <w:tcW w:w="1614" w:type="dxa"/>
            <w:shd w:val="clear" w:color="auto" w:fill="auto"/>
          </w:tcPr>
          <w:p w:rsidR="004B505E" w:rsidRPr="00D249F4" w:rsidRDefault="004B505E" w:rsidP="001D1102">
            <w:pPr>
              <w:ind w:left="43" w:right="43"/>
              <w:jc w:val="lowKashida"/>
              <w:rPr>
                <w:rFonts w:hint="cs"/>
                <w:sz w:val="28"/>
                <w:szCs w:val="28"/>
                <w:rtl/>
              </w:rPr>
            </w:pPr>
            <w:r w:rsidRPr="00D249F4">
              <w:rPr>
                <w:rFonts w:hint="cs"/>
                <w:sz w:val="28"/>
                <w:szCs w:val="28"/>
                <w:rtl/>
              </w:rPr>
              <w:t>الإجراءات الختامية 1999-2002</w:t>
            </w:r>
          </w:p>
        </w:tc>
        <w:tc>
          <w:tcPr>
            <w:tcW w:w="1773" w:type="dxa"/>
            <w:shd w:val="clear" w:color="auto" w:fill="auto"/>
          </w:tcPr>
          <w:p w:rsidR="004B505E" w:rsidRPr="00D249F4" w:rsidRDefault="00D249F4" w:rsidP="001D1102">
            <w:pPr>
              <w:ind w:left="43" w:right="43"/>
              <w:jc w:val="lowKashida"/>
              <w:rPr>
                <w:rFonts w:hint="cs"/>
                <w:sz w:val="28"/>
                <w:szCs w:val="28"/>
                <w:rtl/>
              </w:rPr>
            </w:pPr>
            <w:r w:rsidRPr="00D249F4">
              <w:rPr>
                <w:rFonts w:hint="cs"/>
                <w:sz w:val="28"/>
                <w:szCs w:val="28"/>
                <w:rtl/>
              </w:rPr>
              <w:t>الإدانات الملزمة قانونيا 1999-2000</w:t>
            </w:r>
          </w:p>
        </w:tc>
      </w:tr>
      <w:tr w:rsidR="004B505E">
        <w:tblPrEx>
          <w:tblCellMar>
            <w:top w:w="0" w:type="dxa"/>
            <w:bottom w:w="0" w:type="dxa"/>
          </w:tblCellMar>
        </w:tblPrEx>
        <w:trPr>
          <w:cantSplit/>
          <w:jc w:val="center"/>
        </w:trPr>
        <w:tc>
          <w:tcPr>
            <w:tcW w:w="2559" w:type="dxa"/>
            <w:shd w:val="clear" w:color="auto" w:fill="auto"/>
          </w:tcPr>
          <w:p w:rsidR="004B505E" w:rsidRPr="00D249F4" w:rsidRDefault="00D249F4" w:rsidP="00D249F4">
            <w:pPr>
              <w:ind w:left="43" w:right="43"/>
              <w:jc w:val="lowKashida"/>
              <w:rPr>
                <w:rFonts w:hint="cs"/>
                <w:sz w:val="28"/>
                <w:szCs w:val="28"/>
                <w:rtl/>
              </w:rPr>
            </w:pPr>
            <w:r w:rsidRPr="00D249F4">
              <w:rPr>
                <w:rFonts w:hint="cs"/>
                <w:sz w:val="28"/>
                <w:szCs w:val="28"/>
                <w:rtl/>
              </w:rPr>
              <w:t>الاختطاف لغرض الدعارة (المادة 204 من القانون الجنائي)</w:t>
            </w:r>
          </w:p>
        </w:tc>
        <w:tc>
          <w:tcPr>
            <w:tcW w:w="1476" w:type="dxa"/>
            <w:shd w:val="clear" w:color="auto" w:fill="auto"/>
          </w:tcPr>
          <w:p w:rsidR="004B505E" w:rsidRPr="00D249F4" w:rsidRDefault="00D249F4" w:rsidP="00D249F4">
            <w:pPr>
              <w:ind w:left="43" w:right="43"/>
              <w:rPr>
                <w:rFonts w:hint="cs"/>
                <w:sz w:val="28"/>
                <w:szCs w:val="28"/>
                <w:rtl/>
              </w:rPr>
            </w:pPr>
            <w:r>
              <w:rPr>
                <w:rFonts w:hint="cs"/>
                <w:sz w:val="28"/>
                <w:szCs w:val="28"/>
                <w:rtl/>
              </w:rPr>
              <w:t>23</w:t>
            </w:r>
          </w:p>
        </w:tc>
        <w:tc>
          <w:tcPr>
            <w:tcW w:w="1614" w:type="dxa"/>
            <w:shd w:val="clear" w:color="auto" w:fill="auto"/>
          </w:tcPr>
          <w:p w:rsidR="004B505E" w:rsidRPr="00D249F4" w:rsidRDefault="00D249F4" w:rsidP="00D249F4">
            <w:pPr>
              <w:ind w:left="43" w:right="43"/>
              <w:rPr>
                <w:rFonts w:hint="cs"/>
                <w:sz w:val="28"/>
                <w:szCs w:val="28"/>
                <w:rtl/>
              </w:rPr>
            </w:pPr>
            <w:r>
              <w:rPr>
                <w:rFonts w:hint="cs"/>
                <w:sz w:val="28"/>
                <w:szCs w:val="28"/>
                <w:rtl/>
              </w:rPr>
              <w:t>34</w:t>
            </w:r>
          </w:p>
        </w:tc>
        <w:tc>
          <w:tcPr>
            <w:tcW w:w="1773" w:type="dxa"/>
            <w:shd w:val="clear" w:color="auto" w:fill="auto"/>
          </w:tcPr>
          <w:p w:rsidR="004B505E" w:rsidRPr="00D249F4" w:rsidRDefault="00D249F4" w:rsidP="00D249F4">
            <w:pPr>
              <w:ind w:left="43" w:right="43"/>
              <w:rPr>
                <w:rFonts w:hint="cs"/>
                <w:sz w:val="28"/>
                <w:szCs w:val="28"/>
                <w:rtl/>
              </w:rPr>
            </w:pPr>
            <w:r>
              <w:rPr>
                <w:rFonts w:hint="cs"/>
                <w:sz w:val="28"/>
                <w:szCs w:val="28"/>
                <w:rtl/>
              </w:rPr>
              <w:t>144</w:t>
            </w:r>
          </w:p>
        </w:tc>
      </w:tr>
      <w:tr w:rsidR="00D249F4">
        <w:tblPrEx>
          <w:tblCellMar>
            <w:top w:w="0" w:type="dxa"/>
            <w:bottom w:w="0" w:type="dxa"/>
          </w:tblCellMar>
        </w:tblPrEx>
        <w:trPr>
          <w:cantSplit/>
          <w:jc w:val="center"/>
        </w:trPr>
        <w:tc>
          <w:tcPr>
            <w:tcW w:w="2559" w:type="dxa"/>
            <w:shd w:val="clear" w:color="auto" w:fill="auto"/>
          </w:tcPr>
          <w:p w:rsidR="00D249F4" w:rsidRPr="00D249F4" w:rsidRDefault="00D249F4" w:rsidP="00D249F4">
            <w:pPr>
              <w:ind w:left="43" w:right="43"/>
              <w:jc w:val="lowKashida"/>
              <w:rPr>
                <w:rFonts w:hint="cs"/>
                <w:sz w:val="28"/>
                <w:szCs w:val="28"/>
                <w:rtl/>
              </w:rPr>
            </w:pPr>
            <w:r w:rsidRPr="00D249F4">
              <w:rPr>
                <w:rFonts w:hint="cs"/>
                <w:sz w:val="28"/>
                <w:szCs w:val="28"/>
                <w:rtl/>
              </w:rPr>
              <w:t>الاتجار بالأشخاص (الفقرة 1 من المادة 253 من القانون الجنائي)</w:t>
            </w:r>
          </w:p>
        </w:tc>
        <w:tc>
          <w:tcPr>
            <w:tcW w:w="1476" w:type="dxa"/>
            <w:shd w:val="clear" w:color="auto" w:fill="auto"/>
          </w:tcPr>
          <w:p w:rsidR="00D249F4" w:rsidRPr="00D249F4" w:rsidRDefault="00D249F4" w:rsidP="00D249F4">
            <w:pPr>
              <w:ind w:left="43" w:right="43"/>
              <w:rPr>
                <w:rFonts w:hint="cs"/>
                <w:sz w:val="28"/>
                <w:szCs w:val="28"/>
                <w:rtl/>
              </w:rPr>
            </w:pPr>
            <w:r>
              <w:rPr>
                <w:rFonts w:hint="cs"/>
                <w:sz w:val="28"/>
                <w:szCs w:val="28"/>
                <w:rtl/>
              </w:rPr>
              <w:t>34</w:t>
            </w:r>
          </w:p>
        </w:tc>
        <w:tc>
          <w:tcPr>
            <w:tcW w:w="1614" w:type="dxa"/>
            <w:shd w:val="clear" w:color="auto" w:fill="auto"/>
          </w:tcPr>
          <w:p w:rsidR="00D249F4" w:rsidRPr="00D249F4" w:rsidRDefault="00D249F4" w:rsidP="00D249F4">
            <w:pPr>
              <w:ind w:left="43" w:right="43"/>
              <w:rPr>
                <w:rFonts w:hint="cs"/>
                <w:sz w:val="28"/>
                <w:szCs w:val="28"/>
                <w:rtl/>
              </w:rPr>
            </w:pPr>
            <w:r>
              <w:rPr>
                <w:rFonts w:hint="cs"/>
                <w:sz w:val="28"/>
                <w:szCs w:val="28"/>
                <w:rtl/>
              </w:rPr>
              <w:t>38</w:t>
            </w:r>
          </w:p>
        </w:tc>
        <w:tc>
          <w:tcPr>
            <w:tcW w:w="1773" w:type="dxa"/>
            <w:shd w:val="clear" w:color="auto" w:fill="auto"/>
          </w:tcPr>
          <w:p w:rsidR="00D249F4" w:rsidRPr="00D249F4" w:rsidRDefault="00D249F4" w:rsidP="00D249F4">
            <w:pPr>
              <w:ind w:left="43" w:right="43"/>
              <w:rPr>
                <w:rFonts w:hint="cs"/>
                <w:sz w:val="28"/>
                <w:szCs w:val="28"/>
                <w:rtl/>
              </w:rPr>
            </w:pPr>
            <w:r>
              <w:rPr>
                <w:rFonts w:hint="cs"/>
                <w:sz w:val="28"/>
                <w:szCs w:val="28"/>
                <w:rtl/>
              </w:rPr>
              <w:t>5</w:t>
            </w:r>
          </w:p>
        </w:tc>
      </w:tr>
    </w:tbl>
    <w:p w:rsidR="00D249F4" w:rsidRPr="00D249F4" w:rsidRDefault="00D249F4" w:rsidP="00D249F4">
      <w:pPr>
        <w:pStyle w:val="SingleTxt"/>
        <w:spacing w:after="0" w:line="120" w:lineRule="exact"/>
        <w:rPr>
          <w:rFonts w:hint="cs"/>
          <w:sz w:val="10"/>
          <w:rtl/>
        </w:rPr>
      </w:pPr>
    </w:p>
    <w:p w:rsidR="0092663F" w:rsidRDefault="00D249F4" w:rsidP="002E6169">
      <w:pPr>
        <w:pStyle w:val="SingleTxt"/>
        <w:rPr>
          <w:rFonts w:hint="cs"/>
          <w:rtl/>
        </w:rPr>
      </w:pPr>
      <w:r>
        <w:rPr>
          <w:rFonts w:hint="cs"/>
          <w:rtl/>
        </w:rPr>
        <w:tab/>
        <w:t>ومع ذلك، تشير المعلومات الواردة من مصادر مختلفة</w:t>
      </w:r>
      <w:r w:rsidR="002E6169">
        <w:rPr>
          <w:rFonts w:hint="cs"/>
          <w:rtl/>
        </w:rPr>
        <w:t>،</w:t>
      </w:r>
      <w:r>
        <w:rPr>
          <w:rFonts w:hint="cs"/>
          <w:rtl/>
        </w:rPr>
        <w:t xml:space="preserve"> بما في ذلك المنظمات غير الحكومية</w:t>
      </w:r>
      <w:r w:rsidR="002E6169">
        <w:rPr>
          <w:rFonts w:hint="cs"/>
          <w:rtl/>
        </w:rPr>
        <w:t>،</w:t>
      </w:r>
      <w:r>
        <w:rPr>
          <w:rFonts w:hint="cs"/>
          <w:rtl/>
        </w:rPr>
        <w:t xml:space="preserve"> إلى أن هذه الإحصاءات لا تبين إلا جزءا بسيطا من المشكلة. وعلى هذا الأساس، فإن الحكومة البولندية تؤكد بشدة على الت</w:t>
      </w:r>
      <w:r w:rsidR="00850BAF">
        <w:rPr>
          <w:rFonts w:hint="cs"/>
          <w:rtl/>
        </w:rPr>
        <w:t>دابير</w:t>
      </w:r>
      <w:r>
        <w:rPr>
          <w:rFonts w:hint="cs"/>
          <w:rtl/>
        </w:rPr>
        <w:t xml:space="preserve"> النظامية للقضاء على هذه الممارسات وعلى أي شكل من أشكال الرق المعاصر. والعمل جار على </w:t>
      </w:r>
      <w:r w:rsidR="002E6169">
        <w:rPr>
          <w:rFonts w:hint="cs"/>
          <w:rtl/>
        </w:rPr>
        <w:t xml:space="preserve">لوضع </w:t>
      </w:r>
      <w:r>
        <w:rPr>
          <w:rFonts w:hint="cs"/>
          <w:rtl/>
        </w:rPr>
        <w:t>استراتيجيات للعمل المحلي والتعاون الدولي.</w:t>
      </w:r>
    </w:p>
    <w:p w:rsidR="00D249F4" w:rsidRDefault="00D249F4" w:rsidP="00831187">
      <w:pPr>
        <w:pStyle w:val="SingleTxt"/>
        <w:rPr>
          <w:rFonts w:hint="cs"/>
          <w:rtl/>
        </w:rPr>
      </w:pPr>
      <w:r>
        <w:rPr>
          <w:rFonts w:hint="cs"/>
          <w:rtl/>
        </w:rPr>
        <w:t>74 -</w:t>
      </w:r>
      <w:r>
        <w:rPr>
          <w:rFonts w:hint="cs"/>
          <w:rtl/>
        </w:rPr>
        <w:tab/>
        <w:t>وفي عام 2001، صدقت جمهورية بولندا على اتفاقية الأمم المتحدة المناهضة للجريمة المنظمة عبر الوطنية. وفي 18 كانون الأول/ديسمبر 2002، أذن مجلس النواب للرئيس بالتصديق على بروتوكولين إضافيين للاتفاقية (بروتوكول باليرمو لمنع وقمع ومعاقبة الاتجار بالأشخاص، وبخاصة النساء والأطفال، وبروتوكول مكافحة تهريب المهاجرين عن طريق البر والبحر والجو).</w:t>
      </w:r>
    </w:p>
    <w:p w:rsidR="00D249F4" w:rsidRDefault="00D249F4" w:rsidP="00831187">
      <w:pPr>
        <w:pStyle w:val="SingleTxt"/>
        <w:rPr>
          <w:rFonts w:hint="cs"/>
          <w:rtl/>
        </w:rPr>
      </w:pPr>
      <w:r>
        <w:rPr>
          <w:rFonts w:hint="cs"/>
          <w:rtl/>
        </w:rPr>
        <w:t>75 -</w:t>
      </w:r>
      <w:r>
        <w:rPr>
          <w:rFonts w:hint="cs"/>
          <w:rtl/>
        </w:rPr>
        <w:tab/>
        <w:t>وعملا بأحكام الدستور البولندي، يمكن تطبيق تعريف بروتوكول باليرمو المتعلق بالاتجار بالأشخاص في القانون البولندي مباشرة. ويعني التصديق على البروتوكول أن كل جريمة مرتكبة في إطار الفقرة 4 من المادة 204 من القانون الجنائي تقع أيضا ضمن نطاق المادة 253 من القانون الجنائي.</w:t>
      </w:r>
    </w:p>
    <w:p w:rsidR="00D249F4" w:rsidRDefault="00D249F4" w:rsidP="00831187">
      <w:pPr>
        <w:pStyle w:val="SingleTxt"/>
        <w:rPr>
          <w:rFonts w:hint="cs"/>
          <w:rtl/>
        </w:rPr>
      </w:pPr>
      <w:r>
        <w:rPr>
          <w:rFonts w:hint="cs"/>
          <w:rtl/>
        </w:rPr>
        <w:t>76 -</w:t>
      </w:r>
      <w:r>
        <w:rPr>
          <w:rFonts w:hint="cs"/>
          <w:rtl/>
        </w:rPr>
        <w:tab/>
        <w:t xml:space="preserve">دعمت بولندا مبادرة مجلس أوروبا فيما يتعلق بوضع اتفاقية أوروبية ضد الاتجار بالأشخاص. ومنذ أيلول/سبتمبر 2003، شارك الخبراء البولنديون في أعمال اللجنة المخصصة التابعة لمجلس أوروبا في إعداد مشروع الاتفاقية. </w:t>
      </w:r>
    </w:p>
    <w:p w:rsidR="00D249F4" w:rsidRDefault="00D249F4" w:rsidP="00831187">
      <w:pPr>
        <w:pStyle w:val="SingleTxt"/>
        <w:rPr>
          <w:rFonts w:hint="cs"/>
          <w:rtl/>
        </w:rPr>
      </w:pPr>
      <w:r>
        <w:rPr>
          <w:rFonts w:hint="cs"/>
          <w:rtl/>
        </w:rPr>
        <w:t>77 -</w:t>
      </w:r>
      <w:r>
        <w:rPr>
          <w:rFonts w:hint="cs"/>
          <w:rtl/>
        </w:rPr>
        <w:tab/>
        <w:t>في بولندا</w:t>
      </w:r>
      <w:r w:rsidR="00196574">
        <w:rPr>
          <w:rFonts w:hint="cs"/>
          <w:rtl/>
        </w:rPr>
        <w:t>،</w:t>
      </w:r>
      <w:r>
        <w:rPr>
          <w:rFonts w:hint="cs"/>
          <w:rtl/>
        </w:rPr>
        <w:t xml:space="preserve"> يتم محاكمة مرتكبي جريمة الاتجار بالأشخاص وغيرهم من الجرائم ذات الصلة. وعملا بالمادة 53 من قانون الإجراءات الجنائية، يجوز محاكمة ضحايا الجرائم بوصفهم مدعين عامين مساعدين إلى جانب المدعين العامين، ويتمتعون بجميع الحقوق المنصوص عليها في قانون الإجراءات الجنائية. وإذا كانت الجرائم تتعلق بالاتجار بالنساء، يجوز لممثل اجتماعي أن يساعد الضحية. وعملا بالفقرة 1 من المادة 90 من قانون الإجراءات الجنائية، مشاركة الممثل الاجتماعي ممكنة إذا دعت الحاجة إلى حماية المصلحة العامة أو كانت هناك مصلحة خاصة هامة، مثل حماية الحريات وحقوق الإنسان. ويجوز لممثل عن المنظمة الاجتماعية أن يشارك في إجراءات المحكمة، ويتحدث أمام المحكمة ويقدم بيانات خطية.</w:t>
      </w:r>
    </w:p>
    <w:p w:rsidR="00D249F4" w:rsidRDefault="00D249F4" w:rsidP="00196574">
      <w:pPr>
        <w:pStyle w:val="SingleTxt"/>
        <w:rPr>
          <w:rFonts w:hint="cs"/>
          <w:rtl/>
        </w:rPr>
      </w:pPr>
      <w:r>
        <w:rPr>
          <w:rFonts w:hint="cs"/>
          <w:rtl/>
        </w:rPr>
        <w:t>78 -</w:t>
      </w:r>
      <w:r>
        <w:rPr>
          <w:rFonts w:hint="cs"/>
          <w:rtl/>
        </w:rPr>
        <w:tab/>
        <w:t>وفي الحالات المتعلقة بالاتجار بالنساء، تعود الضحية بعد تقديم شهادتها أثناء التحقيق إلى بلدها الأصلي، وليس هناك ما يضمن عودتها لتقديم شهادتها مرة أخرى أمام المحكمة. وهنا تكمن أهمية الفقرة 3 من المادة 316 من قانون الإجراءات الجنائية، التي تنص على إمكانية تقديم الضحية شهادتها أمام المحكمة في مرحلة الإجراءات التحضيرية. و</w:t>
      </w:r>
      <w:r w:rsidR="00196574">
        <w:rPr>
          <w:rFonts w:hint="cs"/>
          <w:rtl/>
        </w:rPr>
        <w:t>بحلول أيلول/سبتمبر 2002، كان قد تم تطبيق هذه المادة 12 مرة،</w:t>
      </w:r>
      <w:r>
        <w:rPr>
          <w:rFonts w:hint="cs"/>
          <w:rtl/>
        </w:rPr>
        <w:t xml:space="preserve"> بما في ذلك 8 مرات في عام 2001</w:t>
      </w:r>
      <w:r w:rsidRPr="00D249F4">
        <w:rPr>
          <w:vertAlign w:val="superscript"/>
          <w:rtl/>
        </w:rPr>
        <w:t>(</w:t>
      </w:r>
      <w:r>
        <w:rPr>
          <w:rStyle w:val="FootnoteReference"/>
          <w:rtl/>
        </w:rPr>
        <w:footnoteReference w:id="2"/>
      </w:r>
      <w:r w:rsidRPr="00D249F4">
        <w:rPr>
          <w:vertAlign w:val="superscript"/>
          <w:rtl/>
        </w:rPr>
        <w:t>)</w:t>
      </w:r>
      <w:r>
        <w:rPr>
          <w:rFonts w:hint="cs"/>
          <w:rtl/>
        </w:rPr>
        <w:t>.</w:t>
      </w:r>
    </w:p>
    <w:p w:rsidR="00D249F4" w:rsidRDefault="00D249F4" w:rsidP="00831187">
      <w:pPr>
        <w:pStyle w:val="SingleTxt"/>
        <w:rPr>
          <w:rFonts w:hint="cs"/>
          <w:rtl/>
        </w:rPr>
      </w:pPr>
      <w:r>
        <w:rPr>
          <w:rFonts w:hint="cs"/>
          <w:rtl/>
        </w:rPr>
        <w:t>79 -</w:t>
      </w:r>
      <w:r>
        <w:rPr>
          <w:rFonts w:hint="cs"/>
          <w:rtl/>
        </w:rPr>
        <w:tab/>
        <w:t>تتمثل القاعدة المتبعة في أن للمدعى عليه الحق في تقديم جميع الأدلة. ومع ذلك، تسمح إجراءات المحكمة للضحية بأن تقدم شهادتها في غياب المتهم. وإذا كان وجود المتهم يخيف الضحية، يجوز للقا</w:t>
      </w:r>
      <w:r w:rsidR="00196574">
        <w:rPr>
          <w:rFonts w:hint="cs"/>
          <w:rtl/>
        </w:rPr>
        <w:t>ضي أن يأمر بإخلاء المتهم من قاع</w:t>
      </w:r>
      <w:r>
        <w:rPr>
          <w:rFonts w:hint="cs"/>
          <w:rtl/>
        </w:rPr>
        <w:t>ة المحكمة أثناء شهادة الضحية. وبعد عودة المتهم يطلعه القاضي على ما دار أثناء غيابه ويسمح له بالتعليق على الشهادة التي تمت أثناء غيابه.</w:t>
      </w:r>
    </w:p>
    <w:p w:rsidR="00D249F4" w:rsidRDefault="00D249F4" w:rsidP="00196574">
      <w:pPr>
        <w:pStyle w:val="SingleTxt"/>
        <w:rPr>
          <w:rFonts w:hint="cs"/>
          <w:rtl/>
        </w:rPr>
      </w:pPr>
      <w:r>
        <w:rPr>
          <w:rFonts w:hint="cs"/>
          <w:rtl/>
        </w:rPr>
        <w:t>80 -</w:t>
      </w:r>
      <w:r>
        <w:rPr>
          <w:rFonts w:hint="cs"/>
          <w:rtl/>
        </w:rPr>
        <w:tab/>
        <w:t>وبالإضافة إلى الحلول القانونية المنصوص عليها لتعزيز موقف الضحية، يتضمن أيضا قانون الإجراءات الجنائية فكرة الشاهد المجهول (المادة 184 من قانون الإجراءات الجنائية) بمعنى أن تظل هوية الشاهد مجهولة. وتأمر المحكمة عن طريق المدعي العام أن تظل هوية الشاهد مجهولة أثناء الإجراءات الجنائية. ويتم تطبيق فكرة بقاء هوية الشاهد مجهولة عندما تكون هناك أسباب تدعو إلى الاعتقاد بأن حياة الشاهد وأقربا</w:t>
      </w:r>
      <w:r w:rsidR="00196574">
        <w:rPr>
          <w:rFonts w:hint="cs"/>
          <w:rtl/>
        </w:rPr>
        <w:t>ئ</w:t>
      </w:r>
      <w:r>
        <w:rPr>
          <w:rFonts w:hint="cs"/>
          <w:rtl/>
        </w:rPr>
        <w:t xml:space="preserve">ه وصحتهم وحريتهم وأملاكهم مهددة. ونادرا ما تستخدم فكرة الاحتفاظ بهوية الشاهد مجهولة لحماية ضحايا الجرائم، بما أن مرتكب الجريمة يعرف </w:t>
      </w:r>
      <w:r w:rsidR="00196574">
        <w:rPr>
          <w:rFonts w:hint="cs"/>
          <w:rtl/>
        </w:rPr>
        <w:t xml:space="preserve">هوية </w:t>
      </w:r>
      <w:r>
        <w:rPr>
          <w:rFonts w:hint="cs"/>
          <w:rtl/>
        </w:rPr>
        <w:t xml:space="preserve">الشخص الذي ارتكبها في حقه. وخلال الفترة 1995-2001، لم يتم تطبيق فكرة إبقاء هوية الشاهد مجهولة إلا في تسع حالات (بما في ذلك أربع مرات لحماية الضحية). </w:t>
      </w:r>
    </w:p>
    <w:p w:rsidR="00D249F4" w:rsidRDefault="00D249F4" w:rsidP="00D249F4">
      <w:pPr>
        <w:pStyle w:val="SingleTxt"/>
        <w:rPr>
          <w:rFonts w:hint="cs"/>
          <w:rtl/>
        </w:rPr>
      </w:pPr>
      <w:r>
        <w:rPr>
          <w:rFonts w:hint="cs"/>
          <w:rtl/>
        </w:rPr>
        <w:t>81 -</w:t>
      </w:r>
      <w:r>
        <w:rPr>
          <w:rFonts w:hint="cs"/>
          <w:rtl/>
        </w:rPr>
        <w:tab/>
      </w:r>
      <w:r w:rsidR="003224B1">
        <w:rPr>
          <w:rFonts w:hint="cs"/>
          <w:rtl/>
        </w:rPr>
        <w:t>وعندما تكون الضحية أجنبية، يمكن جعل إقامتها في بولندا قانونية (عن طريق إصدار تأشيرة محدودة المدة) من أجل السماح لها بأن تشهد ضد القوا</w:t>
      </w:r>
      <w:r w:rsidR="00196574">
        <w:rPr>
          <w:rFonts w:hint="cs"/>
          <w:rtl/>
        </w:rPr>
        <w:t>دين والقوادات والمحرضين على الرذ</w:t>
      </w:r>
      <w:r w:rsidR="003224B1">
        <w:rPr>
          <w:rFonts w:hint="cs"/>
          <w:rtl/>
        </w:rPr>
        <w:t xml:space="preserve">يلة والمتاجرين بالأشخاص (المادة 14 من القانون المؤرخ 25 حزيران/ يونيه 1997 المتعلق بالأجانب). </w:t>
      </w:r>
    </w:p>
    <w:p w:rsidR="003224B1" w:rsidRDefault="003224B1" w:rsidP="001F1DDA">
      <w:pPr>
        <w:pStyle w:val="SingleTxt"/>
        <w:rPr>
          <w:rFonts w:hint="cs"/>
          <w:rtl/>
        </w:rPr>
      </w:pPr>
      <w:r>
        <w:rPr>
          <w:rFonts w:hint="cs"/>
          <w:rtl/>
        </w:rPr>
        <w:t>82 -</w:t>
      </w:r>
      <w:r>
        <w:rPr>
          <w:rFonts w:hint="cs"/>
          <w:rtl/>
        </w:rPr>
        <w:tab/>
        <w:t>وفي عام 2001، وق</w:t>
      </w:r>
      <w:r w:rsidR="001F1DDA">
        <w:rPr>
          <w:rFonts w:hint="cs"/>
          <w:rtl/>
        </w:rPr>
        <w:t>ّ</w:t>
      </w:r>
      <w:r>
        <w:rPr>
          <w:rFonts w:hint="cs"/>
          <w:rtl/>
        </w:rPr>
        <w:t xml:space="preserve">عت حكومتا جمهورية بولندا والجمهورية التشيكية على برنامج تعاون مع مكتب الأمم المتحدة المعني بالمخدرات والجريمة (مركز الأمم المتحدة لمنع الجريمة الدولية) بشأن </w:t>
      </w:r>
      <w:r>
        <w:rPr>
          <w:rFonts w:hint="eastAsia"/>
          <w:rtl/>
        </w:rPr>
        <w:t>”</w:t>
      </w:r>
      <w:r w:rsidR="001F1DDA">
        <w:rPr>
          <w:rFonts w:hint="cs"/>
          <w:rtl/>
        </w:rPr>
        <w:t>تصدي</w:t>
      </w:r>
      <w:r>
        <w:rPr>
          <w:rFonts w:hint="eastAsia"/>
          <w:rtl/>
        </w:rPr>
        <w:t xml:space="preserve"> العدالة الجنائية </w:t>
      </w:r>
      <w:r w:rsidR="001F1DDA">
        <w:rPr>
          <w:rFonts w:hint="cs"/>
          <w:rtl/>
        </w:rPr>
        <w:t>ل</w:t>
      </w:r>
      <w:r>
        <w:rPr>
          <w:rFonts w:hint="eastAsia"/>
          <w:rtl/>
        </w:rPr>
        <w:t>لاتجار بالأشخاص في الجمهورية التشيكية وبولندا</w:t>
      </w:r>
      <w:r w:rsidR="001F1DDA">
        <w:rPr>
          <w:rFonts w:hint="cs"/>
          <w:rtl/>
        </w:rPr>
        <w:t>“. ومن أجل تنفيذ البرنامج</w:t>
      </w:r>
      <w:r>
        <w:rPr>
          <w:rFonts w:hint="cs"/>
          <w:rtl/>
        </w:rPr>
        <w:t xml:space="preserve"> المقرر أن يستمر لمدة 18 شهرا، تم إنشاء فرقة عمل مشتركة بين الوزارات، تضم ممثلين من وزارة الداخلية والإدارة والشرطة (فرع الوقاية والفرع الجنائي) وحراس الحدود، ومكتب ترحيل الأجانب، ووزارة العدل (فرع المحكمة وفرع الادعاء) ووزارة الخارجية، والمفوضة العامة المعنية بالمساواة بين مركز ال</w:t>
      </w:r>
      <w:r w:rsidR="001F1DDA">
        <w:rPr>
          <w:rFonts w:hint="cs"/>
          <w:rtl/>
        </w:rPr>
        <w:t>نساء</w:t>
      </w:r>
      <w:r>
        <w:rPr>
          <w:rFonts w:hint="cs"/>
          <w:rtl/>
        </w:rPr>
        <w:t xml:space="preserve"> والرج</w:t>
      </w:r>
      <w:r w:rsidR="001F1DDA">
        <w:rPr>
          <w:rFonts w:hint="cs"/>
          <w:rtl/>
        </w:rPr>
        <w:t>ا</w:t>
      </w:r>
      <w:r>
        <w:rPr>
          <w:rFonts w:hint="cs"/>
          <w:rtl/>
        </w:rPr>
        <w:t>ل، والمنظم</w:t>
      </w:r>
      <w:r w:rsidR="001F1DDA">
        <w:rPr>
          <w:rFonts w:hint="cs"/>
          <w:rtl/>
        </w:rPr>
        <w:t>ة</w:t>
      </w:r>
      <w:r>
        <w:rPr>
          <w:rFonts w:hint="cs"/>
          <w:rtl/>
        </w:rPr>
        <w:t xml:space="preserve"> غير الحكومية</w:t>
      </w:r>
      <w:r w:rsidR="001F1DDA">
        <w:rPr>
          <w:rFonts w:hint="cs"/>
          <w:rtl/>
        </w:rPr>
        <w:t xml:space="preserve"> (</w:t>
      </w:r>
      <w:r w:rsidR="001F1DDA">
        <w:rPr>
          <w:rFonts w:hint="eastAsia"/>
          <w:rtl/>
        </w:rPr>
        <w:t>”</w:t>
      </w:r>
      <w:r w:rsidR="001F1DDA">
        <w:t>La Strada</w:t>
      </w:r>
      <w:r w:rsidR="001F1DDA">
        <w:rPr>
          <w:rFonts w:hint="eastAsia"/>
          <w:rtl/>
        </w:rPr>
        <w:t>“</w:t>
      </w:r>
      <w:r w:rsidR="001F1DDA">
        <w:rPr>
          <w:rFonts w:hint="cs"/>
          <w:rtl/>
          <w:lang w:bidi="ar-LB"/>
        </w:rPr>
        <w:t>)</w:t>
      </w:r>
      <w:r>
        <w:rPr>
          <w:rFonts w:hint="cs"/>
          <w:rtl/>
        </w:rPr>
        <w:t xml:space="preserve">، والجماعات الأكاديمية المشتركة في الأبحاث حول الاتجار بالأشخاص والدعارة. وفيما يلي أهداف البرنامج: </w:t>
      </w:r>
    </w:p>
    <w:p w:rsidR="003224B1" w:rsidRDefault="003224B1" w:rsidP="003224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استعراض وتقييم التشريع الحالي في ضوء بروتوكول باليرمو؛</w:t>
      </w:r>
    </w:p>
    <w:p w:rsidR="003224B1" w:rsidRDefault="003224B1" w:rsidP="003224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جمع البيانات الأساسية وتحديد الاتجاهات الرئيسية في الاتجار بالأشخاص، وتقديم الطرق والوسائل التي يتم تطبيقها؛</w:t>
      </w:r>
    </w:p>
    <w:p w:rsidR="003224B1" w:rsidRDefault="003224B1" w:rsidP="003224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إنشاء قاعدة بيانات متكاملة عن الاتجار بالأشخاص في بولندا؛</w:t>
      </w:r>
    </w:p>
    <w:p w:rsidR="003224B1" w:rsidRDefault="003224B1" w:rsidP="003224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الإمكانيات المؤسسية للقضاء من أجل تعزيز فعالية الادعاء والتشجيع على حماية الضحايا والشهود؛</w:t>
      </w:r>
    </w:p>
    <w:p w:rsidR="003224B1" w:rsidRDefault="003224B1" w:rsidP="003224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تحسين التعاون الدولي.</w:t>
      </w:r>
    </w:p>
    <w:p w:rsidR="003224B1" w:rsidRDefault="003224B1" w:rsidP="00DF1A95">
      <w:pPr>
        <w:pStyle w:val="SingleTxt"/>
        <w:rPr>
          <w:rFonts w:hint="cs"/>
          <w:rtl/>
        </w:rPr>
      </w:pPr>
      <w:r>
        <w:rPr>
          <w:rFonts w:hint="cs"/>
          <w:rtl/>
        </w:rPr>
        <w:t>83 -</w:t>
      </w:r>
      <w:r>
        <w:rPr>
          <w:rFonts w:hint="cs"/>
          <w:rtl/>
        </w:rPr>
        <w:tab/>
        <w:t xml:space="preserve">وأثناء تنفيذ البرنامج، </w:t>
      </w:r>
      <w:r w:rsidR="001F1DDA">
        <w:rPr>
          <w:rFonts w:hint="cs"/>
          <w:rtl/>
        </w:rPr>
        <w:t>بدأ ال</w:t>
      </w:r>
      <w:r>
        <w:rPr>
          <w:rFonts w:hint="cs"/>
          <w:rtl/>
        </w:rPr>
        <w:t xml:space="preserve">عمل </w:t>
      </w:r>
      <w:r w:rsidR="001F1DDA">
        <w:rPr>
          <w:rFonts w:hint="cs"/>
          <w:rtl/>
        </w:rPr>
        <w:t>في إعداد</w:t>
      </w:r>
      <w:r>
        <w:rPr>
          <w:rFonts w:hint="cs"/>
          <w:rtl/>
        </w:rPr>
        <w:t xml:space="preserve"> نموذج لحماية الضحايا </w:t>
      </w:r>
      <w:r w:rsidR="00DF1A95">
        <w:rPr>
          <w:rFonts w:hint="cs"/>
          <w:rtl/>
        </w:rPr>
        <w:t>-</w:t>
      </w:r>
      <w:r>
        <w:rPr>
          <w:rFonts w:hint="cs"/>
          <w:rtl/>
        </w:rPr>
        <w:t xml:space="preserve"> الشهود. ويعتزم النموذج تعزيز حماية الضحايا </w:t>
      </w:r>
      <w:r>
        <w:rPr>
          <w:rtl/>
        </w:rPr>
        <w:t>–</w:t>
      </w:r>
      <w:r>
        <w:rPr>
          <w:rFonts w:hint="cs"/>
          <w:rtl/>
        </w:rPr>
        <w:t xml:space="preserve"> الشهود أثناء التحقيق عن طريق تطبيق الإجراءات الملائمة والوسائل التقنية (تخفيض عدد الاستجوابات، واستخدام التدابير الوقائية). وهناك خطط لإعداد قائمة بالمؤسسات والمنظمات غير الحكومية المأذون لها بمساعدة ضحايا (شهود) الاتجار بالأشخاص، وكذلك </w:t>
      </w:r>
      <w:r w:rsidR="001F1DDA">
        <w:rPr>
          <w:rFonts w:hint="cs"/>
          <w:rtl/>
        </w:rPr>
        <w:t xml:space="preserve">المساعدة في </w:t>
      </w:r>
      <w:r>
        <w:rPr>
          <w:rFonts w:hint="cs"/>
          <w:rtl/>
        </w:rPr>
        <w:t>تنفيذ البرامج التي من شأنها أن تسهل عودة الضحايا إلى الحياة الطبيعية.</w:t>
      </w:r>
    </w:p>
    <w:p w:rsidR="003224B1" w:rsidRDefault="003224B1" w:rsidP="00E56688">
      <w:pPr>
        <w:pStyle w:val="SingleTxt"/>
        <w:rPr>
          <w:rFonts w:hint="cs"/>
          <w:rtl/>
          <w:lang w:bidi="ar-LB"/>
        </w:rPr>
      </w:pPr>
      <w:r>
        <w:rPr>
          <w:rFonts w:hint="cs"/>
          <w:rtl/>
        </w:rPr>
        <w:t>84 -</w:t>
      </w:r>
      <w:r>
        <w:rPr>
          <w:rFonts w:hint="cs"/>
          <w:rtl/>
        </w:rPr>
        <w:tab/>
      </w:r>
      <w:r w:rsidR="009D6000">
        <w:rPr>
          <w:rFonts w:hint="cs"/>
          <w:rtl/>
        </w:rPr>
        <w:t xml:space="preserve">وأعد الفريق العامل المشروع المعنون </w:t>
      </w:r>
      <w:r w:rsidR="009D6000">
        <w:rPr>
          <w:rFonts w:hint="eastAsia"/>
          <w:rtl/>
        </w:rPr>
        <w:t>”خطة العمل الوطنية لمنع وقمع الاتجار بالأشخاص</w:t>
      </w:r>
      <w:r w:rsidR="009D6000">
        <w:rPr>
          <w:rFonts w:hint="cs"/>
          <w:rtl/>
        </w:rPr>
        <w:t>“ الذي اعتمدته الحكومة في 16 أيلول/سبتمبر 2003. ومن المقرر تنفيذه لمدة</w:t>
      </w:r>
      <w:r w:rsidR="00E56688">
        <w:rPr>
          <w:rFonts w:hint="eastAsia"/>
          <w:rtl/>
        </w:rPr>
        <w:t> </w:t>
      </w:r>
      <w:r w:rsidR="009D6000">
        <w:rPr>
          <w:rFonts w:hint="cs"/>
          <w:rtl/>
        </w:rPr>
        <w:t xml:space="preserve">سنة ونصف السنة. ومهمته الرئيسية </w:t>
      </w:r>
      <w:r w:rsidR="00E56688">
        <w:rPr>
          <w:rFonts w:hint="cs"/>
          <w:rtl/>
        </w:rPr>
        <w:t>إنشاء نظام تعاوني بين المؤسسات المشتركة في قمع</w:t>
      </w:r>
      <w:r w:rsidR="00E56688">
        <w:rPr>
          <w:rFonts w:hint="eastAsia"/>
          <w:rtl/>
        </w:rPr>
        <w:t> </w:t>
      </w:r>
      <w:r w:rsidR="00E56688">
        <w:rPr>
          <w:rFonts w:hint="cs"/>
          <w:rtl/>
        </w:rPr>
        <w:t>الاتجار بالأشخاص، وإجراء تغييرات تشريعية، وتحسين الفعالية، وتعزيز حماية الشهود</w:t>
      </w:r>
      <w:r w:rsidR="00E56688">
        <w:rPr>
          <w:rFonts w:hint="eastAsia"/>
          <w:rtl/>
        </w:rPr>
        <w:t> </w:t>
      </w:r>
      <w:r w:rsidR="00E56688">
        <w:rPr>
          <w:rFonts w:hint="cs"/>
          <w:rtl/>
        </w:rPr>
        <w:t>والضحايا. وتم إعداد البرنامج بالتعاون الوثيق مع المنظمات غير الحكومية (</w:t>
      </w:r>
      <w:r w:rsidR="001F1DDA">
        <w:rPr>
          <w:rFonts w:hint="cs"/>
          <w:rtl/>
        </w:rPr>
        <w:t>و</w:t>
      </w:r>
      <w:r w:rsidR="00E56688">
        <w:rPr>
          <w:rFonts w:hint="cs"/>
          <w:rtl/>
        </w:rPr>
        <w:t xml:space="preserve">أهمها منظمة </w:t>
      </w:r>
      <w:r w:rsidR="00E56688">
        <w:rPr>
          <w:rFonts w:hint="eastAsia"/>
          <w:rtl/>
        </w:rPr>
        <w:t>”</w:t>
      </w:r>
      <w:r w:rsidR="00E56688">
        <w:t>La Strada</w:t>
      </w:r>
      <w:r w:rsidR="00E56688">
        <w:rPr>
          <w:rFonts w:hint="eastAsia"/>
          <w:rtl/>
        </w:rPr>
        <w:t>“</w:t>
      </w:r>
      <w:r w:rsidR="00E56688">
        <w:rPr>
          <w:rFonts w:hint="cs"/>
          <w:rtl/>
        </w:rPr>
        <w:t>)</w:t>
      </w:r>
      <w:r w:rsidR="00E56688">
        <w:rPr>
          <w:rFonts w:hint="eastAsia"/>
          <w:rtl/>
        </w:rPr>
        <w:t>،</w:t>
      </w:r>
      <w:r w:rsidR="00E56688">
        <w:rPr>
          <w:rFonts w:hint="cs"/>
          <w:rtl/>
        </w:rPr>
        <w:t xml:space="preserve"> وسوف يتم تنفيذه بنفس الطريقة.</w:t>
      </w:r>
    </w:p>
    <w:p w:rsidR="00E56688" w:rsidRDefault="00E56688" w:rsidP="001F1DDA">
      <w:pPr>
        <w:pStyle w:val="SingleTxt"/>
        <w:rPr>
          <w:rFonts w:hint="cs"/>
          <w:rtl/>
        </w:rPr>
      </w:pPr>
      <w:r>
        <w:rPr>
          <w:rFonts w:hint="cs"/>
          <w:rtl/>
        </w:rPr>
        <w:t>85 -</w:t>
      </w:r>
      <w:r>
        <w:rPr>
          <w:rFonts w:hint="cs"/>
          <w:rtl/>
        </w:rPr>
        <w:tab/>
        <w:t xml:space="preserve">إن </w:t>
      </w:r>
      <w:r>
        <w:rPr>
          <w:rFonts w:hint="eastAsia"/>
          <w:rtl/>
        </w:rPr>
        <w:t>”خطة العمل الوطنية لمنع وقمع الاتجار بالأشخاص</w:t>
      </w:r>
      <w:r>
        <w:rPr>
          <w:rFonts w:hint="cs"/>
          <w:rtl/>
        </w:rPr>
        <w:t xml:space="preserve">“ عنصر في </w:t>
      </w:r>
      <w:r>
        <w:rPr>
          <w:rFonts w:hint="eastAsia"/>
          <w:rtl/>
        </w:rPr>
        <w:t>”برنامج تعزيز أمن المواطنين</w:t>
      </w:r>
      <w:r w:rsidR="001F1DDA">
        <w:rPr>
          <w:rFonts w:hint="cs"/>
          <w:rtl/>
        </w:rPr>
        <w:t>:</w:t>
      </w:r>
      <w:r>
        <w:rPr>
          <w:rFonts w:hint="eastAsia"/>
          <w:rtl/>
        </w:rPr>
        <w:t xml:space="preserve"> بولندا </w:t>
      </w:r>
      <w:r>
        <w:rPr>
          <w:rFonts w:hint="cs"/>
          <w:rtl/>
        </w:rPr>
        <w:t>آمنة</w:t>
      </w:r>
      <w:r>
        <w:rPr>
          <w:rFonts w:hint="eastAsia"/>
          <w:rtl/>
        </w:rPr>
        <w:t xml:space="preserve">“ الذي اعتمدته الحكومة في آب/أغسطس 2002. </w:t>
      </w:r>
      <w:r>
        <w:rPr>
          <w:rFonts w:hint="cs"/>
          <w:rtl/>
        </w:rPr>
        <w:t>ويتضمن استراتيجية لمكافحة الجرائم المرتكبة ضد النساء، بما في ذلك الاتجار بهن. وهو يتلاءم مع استراتيجيات الادعاء ومعاقبة الجرائم المرتكبة ضد المرأة، فضلا عن الجانب التثقيفي، والأمن</w:t>
      </w:r>
      <w:r>
        <w:rPr>
          <w:rFonts w:hint="eastAsia"/>
          <w:rtl/>
        </w:rPr>
        <w:t> </w:t>
      </w:r>
      <w:r>
        <w:rPr>
          <w:rFonts w:hint="cs"/>
          <w:rtl/>
        </w:rPr>
        <w:t xml:space="preserve">الاجتماعي، وبرامج المعونة الطبية والقانونية للنساء الواردة في </w:t>
      </w:r>
      <w:r>
        <w:rPr>
          <w:rFonts w:hint="eastAsia"/>
          <w:rtl/>
        </w:rPr>
        <w:t xml:space="preserve">”خطة العمل الوطنية للمرأة </w:t>
      </w:r>
      <w:r>
        <w:rPr>
          <w:rFonts w:hint="cs"/>
          <w:rtl/>
        </w:rPr>
        <w:t>-</w:t>
      </w:r>
      <w:r>
        <w:rPr>
          <w:rFonts w:hint="eastAsia"/>
          <w:rtl/>
        </w:rPr>
        <w:t xml:space="preserve"> مرحلة </w:t>
      </w:r>
      <w:r>
        <w:rPr>
          <w:rFonts w:hint="cs"/>
          <w:rtl/>
        </w:rPr>
        <w:t>التنفيذ الثانية في الفترة 2003-2005</w:t>
      </w:r>
      <w:r>
        <w:rPr>
          <w:rFonts w:hint="eastAsia"/>
          <w:rtl/>
        </w:rPr>
        <w:t xml:space="preserve">“. </w:t>
      </w:r>
    </w:p>
    <w:p w:rsidR="00E56688" w:rsidRDefault="00E56688" w:rsidP="00CD557A">
      <w:pPr>
        <w:pStyle w:val="SingleTxt"/>
        <w:rPr>
          <w:rFonts w:hint="cs"/>
          <w:rtl/>
        </w:rPr>
      </w:pPr>
      <w:r>
        <w:rPr>
          <w:rFonts w:hint="cs"/>
          <w:rtl/>
        </w:rPr>
        <w:t>86 -</w:t>
      </w:r>
      <w:r>
        <w:rPr>
          <w:rFonts w:hint="cs"/>
          <w:rtl/>
        </w:rPr>
        <w:tab/>
        <w:t xml:space="preserve">في أعقاب انضمام بولندا إلى الاتحاد الأوروبي، </w:t>
      </w:r>
      <w:r w:rsidR="00CD557A">
        <w:rPr>
          <w:rFonts w:hint="cs"/>
          <w:rtl/>
        </w:rPr>
        <w:t>تضع</w:t>
      </w:r>
      <w:r>
        <w:rPr>
          <w:rFonts w:hint="cs"/>
          <w:rtl/>
        </w:rPr>
        <w:t xml:space="preserve"> </w:t>
      </w:r>
      <w:r w:rsidR="00CD557A">
        <w:rPr>
          <w:rFonts w:hint="cs"/>
          <w:rtl/>
        </w:rPr>
        <w:t>ال</w:t>
      </w:r>
      <w:r>
        <w:rPr>
          <w:rFonts w:hint="cs"/>
          <w:rtl/>
        </w:rPr>
        <w:t>إجراءات الحكوم</w:t>
      </w:r>
      <w:r w:rsidR="00CD557A">
        <w:rPr>
          <w:rFonts w:hint="cs"/>
          <w:rtl/>
        </w:rPr>
        <w:t>ي</w:t>
      </w:r>
      <w:r>
        <w:rPr>
          <w:rFonts w:hint="cs"/>
          <w:rtl/>
        </w:rPr>
        <w:t xml:space="preserve">ة في الاعتبار </w:t>
      </w:r>
      <w:r w:rsidR="00CD557A">
        <w:rPr>
          <w:rFonts w:hint="cs"/>
          <w:rtl/>
        </w:rPr>
        <w:t>ال</w:t>
      </w:r>
      <w:r>
        <w:rPr>
          <w:rFonts w:hint="cs"/>
          <w:rtl/>
        </w:rPr>
        <w:t xml:space="preserve">مكتسبات </w:t>
      </w:r>
      <w:r w:rsidR="00CD557A">
        <w:rPr>
          <w:rFonts w:hint="cs"/>
          <w:rtl/>
        </w:rPr>
        <w:t xml:space="preserve">التي حققها </w:t>
      </w:r>
      <w:r>
        <w:rPr>
          <w:rFonts w:hint="cs"/>
          <w:rtl/>
        </w:rPr>
        <w:t>ال</w:t>
      </w:r>
      <w:r w:rsidR="00CD557A">
        <w:rPr>
          <w:rFonts w:hint="cs"/>
          <w:rtl/>
        </w:rPr>
        <w:t>مت</w:t>
      </w:r>
      <w:r>
        <w:rPr>
          <w:rFonts w:hint="cs"/>
          <w:rtl/>
        </w:rPr>
        <w:t xml:space="preserve">جمع، بما في ذلك </w:t>
      </w:r>
      <w:r w:rsidR="00CD557A">
        <w:rPr>
          <w:rFonts w:hint="cs"/>
          <w:rtl/>
        </w:rPr>
        <w:t>ال</w:t>
      </w:r>
      <w:r>
        <w:rPr>
          <w:rFonts w:hint="cs"/>
          <w:rtl/>
        </w:rPr>
        <w:t xml:space="preserve">توجيه رقم </w:t>
      </w:r>
      <w:r>
        <w:t>2002/90/CE</w:t>
      </w:r>
      <w:r>
        <w:rPr>
          <w:rFonts w:hint="cs"/>
          <w:rtl/>
        </w:rPr>
        <w:t xml:space="preserve"> الذي </w:t>
      </w:r>
      <w:r w:rsidR="00CD557A">
        <w:rPr>
          <w:rFonts w:hint="cs"/>
          <w:rtl/>
        </w:rPr>
        <w:t xml:space="preserve">أصدره المجلس والذي </w:t>
      </w:r>
      <w:r>
        <w:rPr>
          <w:rFonts w:hint="cs"/>
          <w:rtl/>
        </w:rPr>
        <w:t xml:space="preserve">يعرّف تسهيل الدخول غير المأذون به، والعبور، والإقامة، والقرار الإطاري </w:t>
      </w:r>
      <w:r>
        <w:t>2002/946/GHA</w:t>
      </w:r>
      <w:r>
        <w:rPr>
          <w:rFonts w:hint="cs"/>
          <w:rtl/>
        </w:rPr>
        <w:t xml:space="preserve"> المتعلق بتعزيز الشبكة الجنائية لمنع تسهيل الدخول غير المأذون به، والعبور، والإقامة، وقرار المجلس الإطاري (الذي يجري إعداده) ضد استغلال الأطفال في المواد الإباحية، و </w:t>
      </w:r>
      <w:r>
        <w:rPr>
          <w:rFonts w:hint="eastAsia"/>
          <w:rtl/>
        </w:rPr>
        <w:t>”الخطة الشاملة لمكافحة الهجرة غير القانونية والاتجار بالأشخاص في الاتحاد الأوروبي</w:t>
      </w:r>
      <w:r>
        <w:rPr>
          <w:rFonts w:hint="cs"/>
          <w:rtl/>
        </w:rPr>
        <w:t xml:space="preserve">“. </w:t>
      </w:r>
    </w:p>
    <w:p w:rsidR="00E56688" w:rsidRDefault="00E56688" w:rsidP="00E56688">
      <w:pPr>
        <w:pStyle w:val="SingleTxt"/>
        <w:rPr>
          <w:rFonts w:hint="cs"/>
          <w:b/>
          <w:bCs/>
          <w:rtl/>
        </w:rPr>
      </w:pPr>
      <w:r>
        <w:rPr>
          <w:rFonts w:hint="cs"/>
          <w:b/>
          <w:bCs/>
          <w:rtl/>
        </w:rPr>
        <w:t>الشرطة وحراس الحدود</w:t>
      </w:r>
    </w:p>
    <w:p w:rsidR="00E56688" w:rsidRDefault="00E56688" w:rsidP="00E56688">
      <w:pPr>
        <w:pStyle w:val="SingleTxt"/>
        <w:rPr>
          <w:rFonts w:hint="cs"/>
          <w:rtl/>
        </w:rPr>
      </w:pPr>
      <w:r>
        <w:rPr>
          <w:rFonts w:hint="cs"/>
          <w:rtl/>
        </w:rPr>
        <w:t>87 -</w:t>
      </w:r>
      <w:r>
        <w:rPr>
          <w:rFonts w:hint="cs"/>
          <w:rtl/>
        </w:rPr>
        <w:tab/>
        <w:t>تولى منذ عام 1998 مهمة تنسيق التدابير المتصلة بمنع وقمع الاتجار بالأشخاص والجرائم المتصلة بها الفريق المسؤول عن علاج الأمراض الاجتماعية في القسم الجنائي من مكتب الخدمات الجنائية في مقر الشرطة الوطنية. وفي مراكز الشرطة المحلية، يقع على عاتق الضباط المعينين مسؤولية القيام بالواجبات المماثلة.</w:t>
      </w:r>
    </w:p>
    <w:p w:rsidR="00E56688" w:rsidRDefault="00E56688" w:rsidP="00E56688">
      <w:pPr>
        <w:pStyle w:val="SingleTxt"/>
        <w:rPr>
          <w:rFonts w:hint="cs"/>
          <w:rtl/>
        </w:rPr>
      </w:pPr>
      <w:r>
        <w:rPr>
          <w:rFonts w:hint="cs"/>
          <w:rtl/>
        </w:rPr>
        <w:t>88 -</w:t>
      </w:r>
      <w:r>
        <w:rPr>
          <w:rFonts w:hint="cs"/>
          <w:rtl/>
        </w:rPr>
        <w:tab/>
        <w:t xml:space="preserve">وقد اتخذت الشرطة مختلف التدابير للحد من استغلال الدعارة، والاتجار بالأشخاص لا سيما بين النساء: </w:t>
      </w:r>
    </w:p>
    <w:p w:rsidR="00E56688" w:rsidRDefault="00E56688" w:rsidP="00663E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يتم القيام بالعمليات الوطنية </w:t>
      </w:r>
      <w:r w:rsidR="0021371A">
        <w:rPr>
          <w:rFonts w:hint="cs"/>
          <w:rtl/>
        </w:rPr>
        <w:t xml:space="preserve">أو الإقليمية على نحو مشترك مع حراس الحدود لمنع هذه الجرائم أو اكتشافها. ويتأكد الضباط من أن إقامة الأجانب في بولندا قانونية، وذلك عن طريق مراقبة الطرق البرية، ومناطق الحدود، والأقاليم الوسطى. ويراقب ضباط حراس الحدود أيضا </w:t>
      </w:r>
      <w:r w:rsidR="00663E44">
        <w:rPr>
          <w:rFonts w:hint="cs"/>
          <w:rtl/>
        </w:rPr>
        <w:t>ال</w:t>
      </w:r>
      <w:r w:rsidR="0021371A">
        <w:rPr>
          <w:rFonts w:hint="cs"/>
          <w:rtl/>
        </w:rPr>
        <w:t xml:space="preserve">وكالات </w:t>
      </w:r>
      <w:r w:rsidR="00663E44">
        <w:rPr>
          <w:rFonts w:hint="cs"/>
          <w:rtl/>
        </w:rPr>
        <w:t>المتمركزة في مناطق الحدود بغرض توفير النساء المرافقات،</w:t>
      </w:r>
      <w:r w:rsidR="0021371A">
        <w:rPr>
          <w:rFonts w:hint="cs"/>
          <w:rtl/>
        </w:rPr>
        <w:t xml:space="preserve"> لمعرفة ما إذا كان الأجانب الذين يعملون في هذه الوكالات يتمتعون بمركز قانوني؛ </w:t>
      </w:r>
    </w:p>
    <w:p w:rsidR="0021371A" w:rsidRDefault="0021371A" w:rsidP="00E5668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في عام 2001، أعد مقر الشرطة الوطنية </w:t>
      </w:r>
      <w:r>
        <w:rPr>
          <w:rFonts w:hint="eastAsia"/>
          <w:rtl/>
        </w:rPr>
        <w:t>”برنامج الشرطة لدعم ضحايا الجرائم</w:t>
      </w:r>
      <w:r>
        <w:rPr>
          <w:rFonts w:hint="cs"/>
          <w:rtl/>
        </w:rPr>
        <w:t>“ وفي إطار هذا البرنامج يتم تدريب الضباط لكي يراعوا احتياجات النساء والأطفال، ويتم توفير إعادة التأهيل للضحايا ومرتكبي الجرائم، والتعاون مستمر مع المنظمات غير الحكومية ومؤسسات الدولة؛</w:t>
      </w:r>
    </w:p>
    <w:p w:rsidR="0021371A" w:rsidRDefault="0021371A" w:rsidP="00E5668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في عام 2002، وضع القسم الجنائي التابع لمكتب الخدمات الجنائية في مقر الشرطة الوطنية مجموعة من التعليمات للضباط المشاركين في مكافحة الجرائم المتصلة بالدعارة و</w:t>
      </w:r>
      <w:r w:rsidR="00663E44">
        <w:rPr>
          <w:rFonts w:hint="cs"/>
          <w:rtl/>
        </w:rPr>
        <w:t xml:space="preserve">مكافحة </w:t>
      </w:r>
      <w:r>
        <w:rPr>
          <w:rFonts w:hint="cs"/>
          <w:rtl/>
        </w:rPr>
        <w:t xml:space="preserve">استخدام شبكة الإنترنت لنشر استغلال الأطفال في المواد الإباحية. </w:t>
      </w:r>
    </w:p>
    <w:p w:rsidR="0021371A" w:rsidRDefault="0021371A" w:rsidP="00725EC6">
      <w:pPr>
        <w:pStyle w:val="SingleTxt"/>
        <w:rPr>
          <w:rFonts w:hint="cs"/>
          <w:rtl/>
        </w:rPr>
      </w:pPr>
      <w:r>
        <w:rPr>
          <w:rFonts w:hint="cs"/>
          <w:rtl/>
        </w:rPr>
        <w:t>89 -</w:t>
      </w:r>
      <w:r>
        <w:rPr>
          <w:rFonts w:hint="cs"/>
          <w:rtl/>
        </w:rPr>
        <w:tab/>
        <w:t xml:space="preserve">منذ عام 2000، جمع حراس الحدود بيانات إحصائية </w:t>
      </w:r>
      <w:r w:rsidR="00725EC6">
        <w:rPr>
          <w:rFonts w:hint="cs"/>
          <w:rtl/>
        </w:rPr>
        <w:t xml:space="preserve">عن </w:t>
      </w:r>
      <w:r>
        <w:rPr>
          <w:rFonts w:hint="cs"/>
          <w:rtl/>
        </w:rPr>
        <w:t>الجرائم بموجب الفقرة</w:t>
      </w:r>
      <w:r>
        <w:rPr>
          <w:rFonts w:hint="eastAsia"/>
          <w:rtl/>
        </w:rPr>
        <w:t> </w:t>
      </w:r>
      <w:r>
        <w:rPr>
          <w:rFonts w:hint="cs"/>
          <w:rtl/>
        </w:rPr>
        <w:t xml:space="preserve">1 من المادة 253 من القانون الجنائي (الاتجار بالأشخاص). وتوضح البيانات عدد المحتجزين، وعدد التحقيقات، وعدد المشتبه بهم، ونتائج التحقيقات. </w:t>
      </w:r>
    </w:p>
    <w:p w:rsidR="0021371A" w:rsidRDefault="0021371A" w:rsidP="00725EC6">
      <w:pPr>
        <w:pStyle w:val="SingleTxt"/>
        <w:rPr>
          <w:rFonts w:hint="cs"/>
          <w:rtl/>
        </w:rPr>
      </w:pPr>
      <w:r>
        <w:rPr>
          <w:rFonts w:hint="cs"/>
          <w:rtl/>
        </w:rPr>
        <w:t>90 -</w:t>
      </w:r>
      <w:r>
        <w:rPr>
          <w:rFonts w:hint="cs"/>
          <w:rtl/>
        </w:rPr>
        <w:tab/>
        <w:t xml:space="preserve">ويستحق التعاون بين الشرطة وحراس الحدود مع مؤسسة </w:t>
      </w:r>
      <w:r>
        <w:rPr>
          <w:rFonts w:hint="eastAsia"/>
          <w:rtl/>
        </w:rPr>
        <w:t>”</w:t>
      </w:r>
      <w:r>
        <w:t>La Strada</w:t>
      </w:r>
      <w:r>
        <w:rPr>
          <w:rFonts w:hint="eastAsia"/>
          <w:rtl/>
        </w:rPr>
        <w:t xml:space="preserve">“ ثناء خاصا. </w:t>
      </w:r>
      <w:r>
        <w:rPr>
          <w:rFonts w:hint="cs"/>
          <w:rtl/>
        </w:rPr>
        <w:t xml:space="preserve">فقد اشترك الضباط بصورة متكررة في المؤتمرات والحلقات الدراسية التي نظمتها المؤسسة، وكانوا في كثير من الأحيان من المتحدثين فيها. وهناك تبادل مستمر للمعلومات عن النساء اللاتي أرغمن على الدعارة. وأصبحت الشرطة أيضا تشارك في الحملات الإعلامية التي نظمتها </w:t>
      </w:r>
      <w:r>
        <w:rPr>
          <w:rFonts w:hint="eastAsia"/>
          <w:rtl/>
        </w:rPr>
        <w:t>”</w:t>
      </w:r>
      <w:r>
        <w:t>La Strada</w:t>
      </w:r>
      <w:r>
        <w:rPr>
          <w:rFonts w:hint="eastAsia"/>
          <w:rtl/>
        </w:rPr>
        <w:t xml:space="preserve">“، ومثل على ذلك، البرنامج الموضوع لمنع الاتجار بالأشخاص في أوروبا الوسطى والشرقية. </w:t>
      </w:r>
      <w:r>
        <w:rPr>
          <w:rFonts w:hint="cs"/>
          <w:rtl/>
        </w:rPr>
        <w:t xml:space="preserve">وعمل ضباط الشرطة كمحاضرين في الدورات التدريبية الدولية التي استهدفت ضباطا من هذه المناطق في أوروبا. وشارك أيضا </w:t>
      </w:r>
      <w:r w:rsidR="00725EC6">
        <w:rPr>
          <w:rFonts w:hint="eastAsia"/>
          <w:rtl/>
        </w:rPr>
        <w:t xml:space="preserve">ضباط الحدود </w:t>
      </w:r>
      <w:r>
        <w:rPr>
          <w:rFonts w:hint="cs"/>
          <w:rtl/>
        </w:rPr>
        <w:t xml:space="preserve">في الحملة الإعلامية التي نظمتها </w:t>
      </w:r>
      <w:r>
        <w:rPr>
          <w:rFonts w:hint="eastAsia"/>
          <w:rtl/>
        </w:rPr>
        <w:t>”</w:t>
      </w:r>
      <w:r>
        <w:t>La Strada</w:t>
      </w:r>
      <w:r>
        <w:rPr>
          <w:rFonts w:hint="eastAsia"/>
          <w:rtl/>
        </w:rPr>
        <w:t xml:space="preserve">“ووزعوا المنشورات والملصقات. </w:t>
      </w:r>
    </w:p>
    <w:p w:rsidR="0021371A" w:rsidRDefault="0021371A" w:rsidP="00725EC6">
      <w:pPr>
        <w:pStyle w:val="SingleTxt"/>
        <w:rPr>
          <w:rFonts w:hint="cs"/>
          <w:rtl/>
        </w:rPr>
      </w:pPr>
      <w:r>
        <w:rPr>
          <w:rFonts w:hint="cs"/>
          <w:rtl/>
        </w:rPr>
        <w:t>91 -</w:t>
      </w:r>
      <w:r>
        <w:rPr>
          <w:rFonts w:hint="cs"/>
          <w:rtl/>
        </w:rPr>
        <w:tab/>
        <w:t xml:space="preserve">إن الطابع الدولي لاستغلال الدعارة والاتجار بالأشخاص يحتم المحافظة على التعاون الدولي الجاري. ويقوم مكتب التعاون الدولي </w:t>
      </w:r>
      <w:r w:rsidR="00725EC6">
        <w:rPr>
          <w:rFonts w:hint="cs"/>
          <w:rtl/>
        </w:rPr>
        <w:t xml:space="preserve">في </w:t>
      </w:r>
      <w:r>
        <w:rPr>
          <w:rFonts w:hint="cs"/>
          <w:rtl/>
        </w:rPr>
        <w:t xml:space="preserve">مقر الشرطة الوطنية بتبادل المعلومات التي جمعتها الشرطة. ويشارك ممثلون عن الشرطة في عمل الفرق الدولية، التي أسستها في عام 2000 الجمعية العامة للإنتربول (القرار </w:t>
      </w:r>
      <w:r>
        <w:t>AGN/69/RES/3</w:t>
      </w:r>
      <w:r>
        <w:rPr>
          <w:rFonts w:hint="cs"/>
          <w:rtl/>
        </w:rPr>
        <w:t>) لمكافحة الاتجار بالنساء و</w:t>
      </w:r>
      <w:r w:rsidR="00725EC6">
        <w:rPr>
          <w:rFonts w:hint="cs"/>
          <w:rtl/>
        </w:rPr>
        <w:t xml:space="preserve">يشارك كذلك </w:t>
      </w:r>
      <w:r>
        <w:rPr>
          <w:rFonts w:hint="cs"/>
          <w:rtl/>
        </w:rPr>
        <w:t xml:space="preserve">في عمل فريق الخبراء المناهض للاتجار بالنساء، الذي تم إنشاؤه في إطار اللجنة الفنية التابعة لفرقة العمل المعنية بالجريمة المنظمة في منطقة بحر البلطيق. ويهدف أيضا التعاون مع الإنتربول إلى القضاء على الاتجار بالأشخاص. </w:t>
      </w:r>
    </w:p>
    <w:p w:rsidR="0021371A" w:rsidRDefault="0021371A" w:rsidP="0021371A">
      <w:pPr>
        <w:pStyle w:val="SingleTxt"/>
        <w:rPr>
          <w:rFonts w:hint="cs"/>
          <w:rtl/>
        </w:rPr>
      </w:pPr>
      <w:r>
        <w:rPr>
          <w:rFonts w:hint="cs"/>
          <w:rtl/>
        </w:rPr>
        <w:t>92 -</w:t>
      </w:r>
      <w:r>
        <w:rPr>
          <w:rFonts w:hint="cs"/>
          <w:rtl/>
        </w:rPr>
        <w:tab/>
        <w:t xml:space="preserve">وتم في آذار/مارس 2002 في براغ إنشاء فريق عامل ثلاثي بولندي </w:t>
      </w:r>
      <w:r>
        <w:rPr>
          <w:rtl/>
        </w:rPr>
        <w:t>–</w:t>
      </w:r>
      <w:r>
        <w:rPr>
          <w:rFonts w:hint="cs"/>
          <w:rtl/>
        </w:rPr>
        <w:t xml:space="preserve"> تشيكي </w:t>
      </w:r>
      <w:r>
        <w:rPr>
          <w:rtl/>
        </w:rPr>
        <w:t>–</w:t>
      </w:r>
      <w:r>
        <w:rPr>
          <w:rFonts w:hint="cs"/>
          <w:rtl/>
        </w:rPr>
        <w:t xml:space="preserve"> ألماني لمكافحة الجريمة عبر الحدود. وبولندا طرف أيضا في مختلف الاتفاقات الثنائية الرامية إلى القضاء على الجريمة المنظمة.</w:t>
      </w:r>
    </w:p>
    <w:p w:rsidR="0021371A" w:rsidRDefault="0021371A" w:rsidP="0021371A">
      <w:pPr>
        <w:pStyle w:val="SingleTxt"/>
        <w:rPr>
          <w:rFonts w:hint="cs"/>
          <w:b/>
          <w:bCs/>
          <w:rtl/>
        </w:rPr>
      </w:pPr>
      <w:r>
        <w:rPr>
          <w:rFonts w:hint="cs"/>
          <w:b/>
          <w:bCs/>
          <w:rtl/>
        </w:rPr>
        <w:t xml:space="preserve">المادة 7 </w:t>
      </w:r>
      <w:r>
        <w:rPr>
          <w:b/>
          <w:bCs/>
          <w:rtl/>
        </w:rPr>
        <w:t>–</w:t>
      </w:r>
      <w:r>
        <w:rPr>
          <w:rFonts w:hint="cs"/>
          <w:b/>
          <w:bCs/>
          <w:rtl/>
        </w:rPr>
        <w:t xml:space="preserve"> الحياة السياسية والحياة العامة</w:t>
      </w:r>
    </w:p>
    <w:p w:rsidR="0021371A" w:rsidRDefault="0021371A" w:rsidP="0021371A">
      <w:pPr>
        <w:pStyle w:val="SingleTxt"/>
        <w:rPr>
          <w:rFonts w:hint="cs"/>
          <w:b/>
          <w:bCs/>
          <w:rtl/>
        </w:rPr>
      </w:pPr>
      <w:r>
        <w:rPr>
          <w:rFonts w:hint="cs"/>
          <w:b/>
          <w:bCs/>
          <w:rtl/>
        </w:rPr>
        <w:t>المشاركة في الانتخابات</w:t>
      </w:r>
    </w:p>
    <w:p w:rsidR="0021371A" w:rsidRDefault="0021371A" w:rsidP="009C102D">
      <w:pPr>
        <w:pStyle w:val="SingleTxt"/>
        <w:rPr>
          <w:rFonts w:hint="cs"/>
          <w:rtl/>
        </w:rPr>
      </w:pPr>
      <w:r>
        <w:rPr>
          <w:rFonts w:hint="cs"/>
          <w:rtl/>
        </w:rPr>
        <w:t>93 -</w:t>
      </w:r>
      <w:r>
        <w:rPr>
          <w:rFonts w:hint="cs"/>
          <w:rtl/>
        </w:rPr>
        <w:tab/>
        <w:t xml:space="preserve">في الانتخابات البرلمانية التي أجريت في عام 2002، </w:t>
      </w:r>
      <w:r w:rsidR="004A5CDE">
        <w:rPr>
          <w:rFonts w:hint="cs"/>
          <w:rtl/>
        </w:rPr>
        <w:t>استحدث</w:t>
      </w:r>
      <w:r>
        <w:rPr>
          <w:rFonts w:hint="cs"/>
          <w:rtl/>
        </w:rPr>
        <w:t>ت ثلاثة أحزاب</w:t>
      </w:r>
      <w:r w:rsidR="004A5CDE">
        <w:rPr>
          <w:rFonts w:hint="cs"/>
          <w:rtl/>
        </w:rPr>
        <w:t>،</w:t>
      </w:r>
      <w:r>
        <w:rPr>
          <w:rFonts w:hint="cs"/>
          <w:rtl/>
        </w:rPr>
        <w:t xml:space="preserve"> حزب التحالف اليسار الديمقراطي، وحزب اتحاد العمال، وحزب اتحاد الحرية نظام </w:t>
      </w:r>
      <w:r w:rsidR="004A5CDE">
        <w:rPr>
          <w:rFonts w:hint="cs"/>
          <w:rtl/>
        </w:rPr>
        <w:t>ال</w:t>
      </w:r>
      <w:r>
        <w:rPr>
          <w:rFonts w:hint="cs"/>
          <w:rtl/>
        </w:rPr>
        <w:t>حصص</w:t>
      </w:r>
      <w:r w:rsidR="004A5CDE">
        <w:rPr>
          <w:rFonts w:hint="cs"/>
          <w:rtl/>
        </w:rPr>
        <w:t xml:space="preserve"> الذي </w:t>
      </w:r>
      <w:r>
        <w:rPr>
          <w:rFonts w:hint="cs"/>
          <w:rtl/>
        </w:rPr>
        <w:t xml:space="preserve">يسمح بتخصيص 30 في المائة من الأسماء الموضوعة على قائمة هذه الأحزاب للمرشحات. </w:t>
      </w:r>
      <w:r w:rsidR="004A5CDE">
        <w:rPr>
          <w:rFonts w:hint="cs"/>
          <w:rtl/>
        </w:rPr>
        <w:t xml:space="preserve">وكان من شأن ذلك أن </w:t>
      </w:r>
      <w:r>
        <w:rPr>
          <w:rFonts w:hint="cs"/>
          <w:rtl/>
        </w:rPr>
        <w:t xml:space="preserve">أبرز موضوع مشاركة المرأة في الديمقراطية </w:t>
      </w:r>
      <w:r w:rsidR="004A5CDE">
        <w:rPr>
          <w:rFonts w:hint="cs"/>
          <w:rtl/>
        </w:rPr>
        <w:t>و</w:t>
      </w:r>
      <w:r>
        <w:rPr>
          <w:rFonts w:hint="cs"/>
          <w:rtl/>
        </w:rPr>
        <w:t>في الحملات التي ت</w:t>
      </w:r>
      <w:r w:rsidR="004A5CDE">
        <w:rPr>
          <w:rFonts w:hint="cs"/>
          <w:rtl/>
        </w:rPr>
        <w:t>قوم ب</w:t>
      </w:r>
      <w:r>
        <w:rPr>
          <w:rFonts w:hint="cs"/>
          <w:rtl/>
        </w:rPr>
        <w:t>ها هذه الأحزاب. ودعمت المنظمات النسائية انتخاب المرشحات. وفي أوائل عام 2001، تم إنشاء التحالف النسائي لفترة ما قبل الانتخابات. وهو تحالف غير سياسي يضم حوالي 50 منظمة نسائية، لها نفس الهدف وهو العمل على فتح باب البرلمان أمام أكبر عدد من النساء، وتوعية الجمهور بمسائل المساواة بين الجنسين. وتم تأسيس أفرقة مشتركة بين الأحزاب معنية بشؤون المرأة (تحالف اليسار الديمقراطي، ونقابات العمال، وحزب الفلاحين البولندي) سعيا لتكون المرأة ممثلة في قوائم الأحزاب.</w:t>
      </w:r>
    </w:p>
    <w:p w:rsidR="0021371A" w:rsidRDefault="0021371A" w:rsidP="0021335B">
      <w:pPr>
        <w:pStyle w:val="SingleTxt"/>
        <w:rPr>
          <w:rFonts w:hint="cs"/>
          <w:rtl/>
        </w:rPr>
      </w:pPr>
      <w:r>
        <w:rPr>
          <w:rFonts w:hint="cs"/>
          <w:rtl/>
        </w:rPr>
        <w:t>94 -</w:t>
      </w:r>
      <w:r>
        <w:rPr>
          <w:rFonts w:hint="cs"/>
          <w:rtl/>
        </w:rPr>
        <w:tab/>
        <w:t xml:space="preserve">وأثبتت نتائج انتخابات عام 2001 </w:t>
      </w:r>
      <w:r w:rsidR="0021335B">
        <w:rPr>
          <w:rFonts w:hint="cs"/>
          <w:rtl/>
        </w:rPr>
        <w:t xml:space="preserve">أن </w:t>
      </w:r>
      <w:r>
        <w:rPr>
          <w:rFonts w:hint="cs"/>
          <w:rtl/>
        </w:rPr>
        <w:t xml:space="preserve">الجمهور </w:t>
      </w:r>
      <w:r w:rsidR="0021335B">
        <w:rPr>
          <w:rFonts w:hint="cs"/>
          <w:rtl/>
        </w:rPr>
        <w:t xml:space="preserve">يؤيد قيام </w:t>
      </w:r>
      <w:r>
        <w:rPr>
          <w:rFonts w:hint="cs"/>
          <w:rtl/>
        </w:rPr>
        <w:t xml:space="preserve">المرأة </w:t>
      </w:r>
      <w:r w:rsidR="0021335B">
        <w:rPr>
          <w:rFonts w:hint="cs"/>
          <w:rtl/>
        </w:rPr>
        <w:t>ب</w:t>
      </w:r>
      <w:r>
        <w:rPr>
          <w:rFonts w:hint="cs"/>
          <w:rtl/>
        </w:rPr>
        <w:t>دور أكبر في الحياة السياسية. وفازت 93 امرأة بمقاعد في مجلس النواب ويمثل هذا الرقم 20 في المائة</w:t>
      </w:r>
      <w:r w:rsidR="00296E8F">
        <w:rPr>
          <w:rFonts w:hint="cs"/>
          <w:rtl/>
        </w:rPr>
        <w:t xml:space="preserve"> من جميع النواب (وكانت النساء يمثلن 13 في المائة من مجلس النواب السابق). </w:t>
      </w:r>
      <w:r w:rsidR="0021335B">
        <w:rPr>
          <w:rFonts w:hint="cs"/>
          <w:rtl/>
        </w:rPr>
        <w:t>أما نسبتهن</w:t>
      </w:r>
      <w:r w:rsidR="00296E8F">
        <w:rPr>
          <w:rFonts w:hint="cs"/>
          <w:rtl/>
        </w:rPr>
        <w:t xml:space="preserve"> في مجلس الشيوخ</w:t>
      </w:r>
      <w:r w:rsidR="0021335B">
        <w:rPr>
          <w:rFonts w:hint="cs"/>
          <w:rtl/>
        </w:rPr>
        <w:t xml:space="preserve"> فكانت</w:t>
      </w:r>
      <w:r w:rsidR="00296E8F">
        <w:rPr>
          <w:rFonts w:hint="cs"/>
          <w:rtl/>
        </w:rPr>
        <w:t xml:space="preserve"> 23 في المائة (13 في المائة في مجلس الشيوخ الساب</w:t>
      </w:r>
      <w:r w:rsidR="0021335B">
        <w:rPr>
          <w:rFonts w:hint="cs"/>
          <w:rtl/>
        </w:rPr>
        <w:t>ق). وكان عدد النساء اللاتي رشح</w:t>
      </w:r>
      <w:r w:rsidR="00296E8F">
        <w:rPr>
          <w:rFonts w:hint="cs"/>
          <w:rtl/>
        </w:rPr>
        <w:t xml:space="preserve">ن </w:t>
      </w:r>
      <w:r w:rsidR="0021335B">
        <w:rPr>
          <w:rFonts w:hint="cs"/>
          <w:rtl/>
        </w:rPr>
        <w:t xml:space="preserve">أنفسهن </w:t>
      </w:r>
      <w:r w:rsidR="00296E8F">
        <w:rPr>
          <w:rFonts w:hint="cs"/>
          <w:rtl/>
        </w:rPr>
        <w:t>في الانتخابات 882 1 (أي 23 في المائة) مما مجموعه 272 8 مرشحا. وكانت النساء ممثلات في الأحزاب على النحو التالي:</w:t>
      </w:r>
    </w:p>
    <w:p w:rsidR="00296E8F" w:rsidRDefault="00296E8F" w:rsidP="00296E8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نقابات العمال: 31 في المائة من 16 مقعدا؛</w:t>
      </w:r>
    </w:p>
    <w:p w:rsidR="00296E8F" w:rsidRDefault="00296E8F" w:rsidP="00296E8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اتحاد الأسر البولندية: 26 في المائة من 38 مقعدا؛</w:t>
      </w:r>
    </w:p>
    <w:p w:rsidR="00296E8F" w:rsidRDefault="00296E8F" w:rsidP="00296E8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تحالف اليسار الديمقراطي: 23 في المائة من 200 مقعد؛</w:t>
      </w:r>
    </w:p>
    <w:p w:rsidR="00296E8F" w:rsidRDefault="00296E8F" w:rsidP="00296E8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البرنامج الوطني: 20 في المائة من 65 مقعدا؛</w:t>
      </w:r>
    </w:p>
    <w:p w:rsidR="00296E8F" w:rsidRDefault="00296E8F" w:rsidP="00296E8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الدفاع عن النفس: 17 في المائة من 53 مقعدا؛</w:t>
      </w:r>
    </w:p>
    <w:p w:rsidR="00296E8F" w:rsidRDefault="00296E8F" w:rsidP="00296E8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والعدل: 14 في المائة من 44 مقعدا؛</w:t>
      </w:r>
    </w:p>
    <w:p w:rsidR="00296E8F" w:rsidRDefault="00296E8F" w:rsidP="00296E8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حزب الفلاحين البولندي والأقلية الألمانية: لا شيء من 44 مقعدا.</w:t>
      </w:r>
    </w:p>
    <w:p w:rsidR="00296E8F" w:rsidRDefault="00296E8F" w:rsidP="008B039E">
      <w:pPr>
        <w:pStyle w:val="SingleTxt"/>
        <w:rPr>
          <w:rFonts w:hint="cs"/>
          <w:rtl/>
        </w:rPr>
      </w:pPr>
      <w:r>
        <w:rPr>
          <w:rFonts w:hint="cs"/>
          <w:rtl/>
        </w:rPr>
        <w:t>95 -</w:t>
      </w:r>
      <w:r>
        <w:rPr>
          <w:rFonts w:hint="cs"/>
          <w:rtl/>
        </w:rPr>
        <w:tab/>
        <w:t xml:space="preserve">إن الزيادة الكبيرة في عدد النساء النائبات لم تؤد إلى توليها مناصب برلمانية كبرى. فليست هناك نساء في الهيئات العليا في مجلس النواب، وهناك امرأة واحدة في منصب نائب رئيس البرلمان </w:t>
      </w:r>
      <w:r w:rsidR="0021335B">
        <w:rPr>
          <w:rFonts w:hint="cs"/>
          <w:rtl/>
        </w:rPr>
        <w:t xml:space="preserve">مما مجموعه أربعة أشخاص </w:t>
      </w:r>
      <w:r>
        <w:rPr>
          <w:rFonts w:hint="cs"/>
          <w:rtl/>
        </w:rPr>
        <w:t xml:space="preserve">في رئاسة مجلس الشيوخ. وليس هناك إلا 3 نساء يترأسن 3 لجان من لجان مجلس النواب وعددها 25 لجنة، بالإضافة إلى 14 امرأة في منصب نائب رئيس لجنة. وقد أنشأ مجلس الشيوخ 13 لجنة، </w:t>
      </w:r>
      <w:r w:rsidR="008B039E">
        <w:rPr>
          <w:rFonts w:hint="cs"/>
          <w:rtl/>
        </w:rPr>
        <w:t>كانت المرأة رئيسة لجنتين من هذه اللجان و</w:t>
      </w:r>
      <w:r>
        <w:rPr>
          <w:rFonts w:hint="cs"/>
          <w:rtl/>
        </w:rPr>
        <w:t>نائبة رئيس</w:t>
      </w:r>
      <w:r w:rsidR="008B039E">
        <w:rPr>
          <w:rFonts w:hint="cs"/>
          <w:rtl/>
        </w:rPr>
        <w:t xml:space="preserve"> لجنة واحدة</w:t>
      </w:r>
      <w:r>
        <w:rPr>
          <w:rFonts w:hint="cs"/>
          <w:rtl/>
        </w:rPr>
        <w:t>.</w:t>
      </w:r>
    </w:p>
    <w:p w:rsidR="00296E8F" w:rsidRDefault="00296E8F" w:rsidP="00296E8F">
      <w:pPr>
        <w:pStyle w:val="SingleTxt"/>
        <w:rPr>
          <w:rFonts w:hint="cs"/>
          <w:b/>
          <w:bCs/>
          <w:rtl/>
        </w:rPr>
      </w:pPr>
      <w:r>
        <w:rPr>
          <w:rFonts w:hint="cs"/>
          <w:b/>
          <w:bCs/>
          <w:rtl/>
        </w:rPr>
        <w:t>النساء في الأحزاب السياسية</w:t>
      </w:r>
    </w:p>
    <w:p w:rsidR="00296E8F" w:rsidRDefault="00296E8F" w:rsidP="00296E8F">
      <w:pPr>
        <w:pStyle w:val="SingleTxt"/>
        <w:rPr>
          <w:rFonts w:hint="cs"/>
          <w:rtl/>
        </w:rPr>
      </w:pPr>
      <w:r>
        <w:rPr>
          <w:rFonts w:hint="cs"/>
          <w:rtl/>
        </w:rPr>
        <w:t>96 -</w:t>
      </w:r>
      <w:r>
        <w:rPr>
          <w:rFonts w:hint="cs"/>
          <w:rtl/>
        </w:rPr>
        <w:tab/>
        <w:t xml:space="preserve">خلال الفترة التي يغطيها التقرير، لم تجمع الأحزاب السياسية بيانات عن عدد النساء الأعضاء. غير أن المعلومات المتعلقة بعدد كل من الجنسين في الهيئات القيادية أظهرت أن المرأة تشكل أقلية بسيطة. فليست هناك امرأة رئيسة حزب (ثلاثة نساء يشغلن منصب نائبة رئيس حزب). وترد التفاصيل في الجدول ألف -7-1 (المرفق). </w:t>
      </w:r>
    </w:p>
    <w:p w:rsidR="001D1102" w:rsidRDefault="001D1102" w:rsidP="00296E8F">
      <w:pPr>
        <w:pStyle w:val="SingleTxt"/>
        <w:rPr>
          <w:rFonts w:hint="cs"/>
          <w:rtl/>
        </w:rPr>
      </w:pPr>
    </w:p>
    <w:p w:rsidR="00296E8F" w:rsidRDefault="00296E8F" w:rsidP="00296E8F">
      <w:pPr>
        <w:pStyle w:val="SingleTxt"/>
        <w:rPr>
          <w:rFonts w:hint="cs"/>
          <w:b/>
          <w:bCs/>
          <w:rtl/>
        </w:rPr>
      </w:pPr>
      <w:r>
        <w:rPr>
          <w:rFonts w:hint="cs"/>
          <w:b/>
          <w:bCs/>
          <w:rtl/>
        </w:rPr>
        <w:t>المرأة في أجهزة اتخاذ القرارات</w:t>
      </w:r>
    </w:p>
    <w:p w:rsidR="00296E8F" w:rsidRDefault="00296E8F" w:rsidP="008B039E">
      <w:pPr>
        <w:pStyle w:val="SingleTxt"/>
        <w:rPr>
          <w:rFonts w:hint="cs"/>
          <w:rtl/>
        </w:rPr>
      </w:pPr>
      <w:r w:rsidRPr="00296E8F">
        <w:rPr>
          <w:rFonts w:hint="cs"/>
          <w:rtl/>
        </w:rPr>
        <w:t>97 -</w:t>
      </w:r>
      <w:r w:rsidRPr="00296E8F">
        <w:rPr>
          <w:rFonts w:hint="cs"/>
          <w:rtl/>
        </w:rPr>
        <w:tab/>
      </w:r>
      <w:r w:rsidR="008B039E">
        <w:rPr>
          <w:rFonts w:hint="cs"/>
          <w:rtl/>
        </w:rPr>
        <w:t>إثر</w:t>
      </w:r>
      <w:r>
        <w:rPr>
          <w:rFonts w:hint="cs"/>
          <w:rtl/>
        </w:rPr>
        <w:t xml:space="preserve"> انتخابات </w:t>
      </w:r>
      <w:r w:rsidR="008B039E">
        <w:rPr>
          <w:rFonts w:hint="cs"/>
          <w:rtl/>
        </w:rPr>
        <w:t>الحكومات</w:t>
      </w:r>
      <w:r>
        <w:rPr>
          <w:rFonts w:hint="cs"/>
          <w:rtl/>
        </w:rPr>
        <w:t xml:space="preserve"> الذاتية في عام 1998، نجحت النساء في الحصول على عدد من المقاعد (13.86 في المائة في المتوسط) يساوي عدد المقاعد التي حصلن عليها في انتخابات عام 1994 (13.2 في المائة في المتوسط). وازداد عدد النساء الممثلات على المستوى المحلي نتيجة استطلاعات الرأي التي أجريت في عام 2002، وإن كان تمثيلهن أقل في البرلمان. </w:t>
      </w:r>
    </w:p>
    <w:p w:rsidR="005D3D7A" w:rsidRPr="005D3D7A" w:rsidRDefault="005D3D7A" w:rsidP="005D3D7A">
      <w:pPr>
        <w:pStyle w:val="SingleTxt"/>
        <w:spacing w:after="0" w:line="120" w:lineRule="exact"/>
        <w:rPr>
          <w:rFonts w:hint="cs"/>
          <w:sz w:val="10"/>
          <w:rtl/>
        </w:rPr>
      </w:pPr>
    </w:p>
    <w:tbl>
      <w:tblPr>
        <w:bidiVisual/>
        <w:tblW w:w="5400" w:type="dxa"/>
        <w:jc w:val="center"/>
        <w:tblInd w:w="2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310"/>
        <w:gridCol w:w="1607"/>
        <w:gridCol w:w="1483"/>
      </w:tblGrid>
      <w:tr w:rsidR="005D3D7A">
        <w:tblPrEx>
          <w:tblCellMar>
            <w:top w:w="0" w:type="dxa"/>
            <w:bottom w:w="0" w:type="dxa"/>
          </w:tblCellMar>
        </w:tblPrEx>
        <w:trPr>
          <w:jc w:val="center"/>
        </w:trPr>
        <w:tc>
          <w:tcPr>
            <w:tcW w:w="2310" w:type="dxa"/>
            <w:shd w:val="clear" w:color="auto" w:fill="auto"/>
            <w:tcMar>
              <w:left w:w="0" w:type="dxa"/>
              <w:right w:w="0" w:type="dxa"/>
            </w:tcMar>
          </w:tcPr>
          <w:p w:rsidR="005D3D7A" w:rsidRPr="00823C73" w:rsidRDefault="005D3D7A" w:rsidP="00743A97">
            <w:pPr>
              <w:ind w:left="43" w:right="43"/>
              <w:rPr>
                <w:rFonts w:hint="cs"/>
                <w:b/>
                <w:bCs/>
                <w:rtl/>
              </w:rPr>
            </w:pPr>
            <w:r w:rsidRPr="00823C73">
              <w:rPr>
                <w:rFonts w:hint="cs"/>
                <w:b/>
                <w:bCs/>
                <w:rtl/>
              </w:rPr>
              <w:t>على مستوى الحكم الذاتي</w:t>
            </w:r>
          </w:p>
        </w:tc>
        <w:tc>
          <w:tcPr>
            <w:tcW w:w="1607" w:type="dxa"/>
            <w:shd w:val="clear" w:color="auto" w:fill="auto"/>
          </w:tcPr>
          <w:p w:rsidR="005D3D7A" w:rsidRPr="00823C73" w:rsidRDefault="00823C73" w:rsidP="00743A97">
            <w:pPr>
              <w:ind w:left="43" w:right="43"/>
              <w:rPr>
                <w:rFonts w:hint="cs"/>
                <w:b/>
                <w:bCs/>
                <w:rtl/>
              </w:rPr>
            </w:pPr>
            <w:r w:rsidRPr="00823C73">
              <w:rPr>
                <w:rFonts w:hint="cs"/>
                <w:b/>
                <w:bCs/>
                <w:rtl/>
              </w:rPr>
              <w:t>1998</w:t>
            </w:r>
          </w:p>
        </w:tc>
        <w:tc>
          <w:tcPr>
            <w:tcW w:w="1483" w:type="dxa"/>
            <w:shd w:val="clear" w:color="auto" w:fill="auto"/>
          </w:tcPr>
          <w:p w:rsidR="005D3D7A" w:rsidRPr="00823C73" w:rsidRDefault="00823C73" w:rsidP="00743A97">
            <w:pPr>
              <w:ind w:left="43" w:right="43"/>
              <w:rPr>
                <w:rFonts w:hint="cs"/>
                <w:b/>
                <w:bCs/>
                <w:rtl/>
              </w:rPr>
            </w:pPr>
            <w:r w:rsidRPr="00823C73">
              <w:rPr>
                <w:rFonts w:hint="cs"/>
                <w:b/>
                <w:bCs/>
                <w:rtl/>
              </w:rPr>
              <w:t>2002</w:t>
            </w:r>
          </w:p>
        </w:tc>
      </w:tr>
      <w:tr w:rsidR="005D3D7A">
        <w:tblPrEx>
          <w:tblCellMar>
            <w:top w:w="0" w:type="dxa"/>
            <w:bottom w:w="0" w:type="dxa"/>
          </w:tblCellMar>
        </w:tblPrEx>
        <w:trPr>
          <w:jc w:val="center"/>
        </w:trPr>
        <w:tc>
          <w:tcPr>
            <w:tcW w:w="2310" w:type="dxa"/>
            <w:shd w:val="clear" w:color="auto" w:fill="auto"/>
          </w:tcPr>
          <w:p w:rsidR="005D3D7A" w:rsidRDefault="005D3D7A" w:rsidP="00743A97">
            <w:pPr>
              <w:ind w:left="43" w:right="43"/>
              <w:rPr>
                <w:rFonts w:hint="cs"/>
                <w:rtl/>
              </w:rPr>
            </w:pPr>
            <w:r>
              <w:rPr>
                <w:rFonts w:hint="cs"/>
                <w:rtl/>
              </w:rPr>
              <w:t>جمعية المنطقة</w:t>
            </w:r>
          </w:p>
        </w:tc>
        <w:tc>
          <w:tcPr>
            <w:tcW w:w="1607" w:type="dxa"/>
            <w:shd w:val="clear" w:color="auto" w:fill="auto"/>
          </w:tcPr>
          <w:p w:rsidR="005D3D7A" w:rsidRPr="008B039E" w:rsidRDefault="00743A97" w:rsidP="00743A97">
            <w:pPr>
              <w:ind w:left="43" w:right="43"/>
              <w:rPr>
                <w:rFonts w:hint="cs"/>
                <w:rtl/>
              </w:rPr>
            </w:pPr>
            <w:r w:rsidRPr="008B039E">
              <w:rPr>
                <w:rFonts w:hint="cs"/>
                <w:rtl/>
              </w:rPr>
              <w:t xml:space="preserve">11 </w:t>
            </w:r>
            <w:r w:rsidR="008B039E">
              <w:rPr>
                <w:rFonts w:hint="cs"/>
                <w:rtl/>
              </w:rPr>
              <w:t>في المائة</w:t>
            </w:r>
          </w:p>
        </w:tc>
        <w:tc>
          <w:tcPr>
            <w:tcW w:w="1483" w:type="dxa"/>
            <w:shd w:val="clear" w:color="auto" w:fill="auto"/>
          </w:tcPr>
          <w:p w:rsidR="005D3D7A" w:rsidRPr="008B039E" w:rsidRDefault="00743A97" w:rsidP="00743A97">
            <w:pPr>
              <w:ind w:left="43" w:right="43"/>
              <w:rPr>
                <w:rFonts w:hint="cs"/>
                <w:rtl/>
              </w:rPr>
            </w:pPr>
            <w:r w:rsidRPr="008B039E">
              <w:rPr>
                <w:rFonts w:hint="cs"/>
                <w:rtl/>
              </w:rPr>
              <w:t xml:space="preserve">14 </w:t>
            </w:r>
            <w:r w:rsidR="008B039E">
              <w:rPr>
                <w:rFonts w:hint="cs"/>
                <w:rtl/>
              </w:rPr>
              <w:t>في المائة</w:t>
            </w:r>
          </w:p>
        </w:tc>
      </w:tr>
      <w:tr w:rsidR="005D3D7A">
        <w:tblPrEx>
          <w:tblCellMar>
            <w:top w:w="0" w:type="dxa"/>
            <w:bottom w:w="0" w:type="dxa"/>
          </w:tblCellMar>
        </w:tblPrEx>
        <w:trPr>
          <w:jc w:val="center"/>
        </w:trPr>
        <w:tc>
          <w:tcPr>
            <w:tcW w:w="2310" w:type="dxa"/>
            <w:shd w:val="clear" w:color="auto" w:fill="auto"/>
          </w:tcPr>
          <w:p w:rsidR="005D3D7A" w:rsidRDefault="005D3D7A" w:rsidP="00743A97">
            <w:pPr>
              <w:ind w:left="43" w:right="43"/>
              <w:rPr>
                <w:rFonts w:hint="cs"/>
                <w:rtl/>
              </w:rPr>
            </w:pPr>
            <w:r>
              <w:rPr>
                <w:rFonts w:hint="cs"/>
                <w:rtl/>
              </w:rPr>
              <w:t>جمعية المقاطعة</w:t>
            </w:r>
          </w:p>
        </w:tc>
        <w:tc>
          <w:tcPr>
            <w:tcW w:w="1607" w:type="dxa"/>
            <w:shd w:val="clear" w:color="auto" w:fill="auto"/>
          </w:tcPr>
          <w:p w:rsidR="005D3D7A" w:rsidRPr="008B039E" w:rsidRDefault="00743A97" w:rsidP="00743A97">
            <w:pPr>
              <w:ind w:left="43" w:right="43"/>
              <w:rPr>
                <w:rFonts w:hint="cs"/>
                <w:rtl/>
              </w:rPr>
            </w:pPr>
            <w:r w:rsidRPr="008B039E">
              <w:rPr>
                <w:rFonts w:hint="cs"/>
                <w:rtl/>
              </w:rPr>
              <w:t xml:space="preserve">15 </w:t>
            </w:r>
            <w:r w:rsidR="008B039E">
              <w:rPr>
                <w:rFonts w:hint="cs"/>
                <w:rtl/>
              </w:rPr>
              <w:t>في المائة</w:t>
            </w:r>
          </w:p>
        </w:tc>
        <w:tc>
          <w:tcPr>
            <w:tcW w:w="1483" w:type="dxa"/>
            <w:shd w:val="clear" w:color="auto" w:fill="auto"/>
          </w:tcPr>
          <w:p w:rsidR="005D3D7A" w:rsidRPr="008B039E" w:rsidRDefault="00743A97" w:rsidP="00743A97">
            <w:pPr>
              <w:ind w:left="43" w:right="43"/>
              <w:rPr>
                <w:rFonts w:hint="cs"/>
                <w:rtl/>
              </w:rPr>
            </w:pPr>
            <w:r w:rsidRPr="008B039E">
              <w:rPr>
                <w:rFonts w:hint="cs"/>
                <w:rtl/>
              </w:rPr>
              <w:t xml:space="preserve">16 </w:t>
            </w:r>
            <w:r w:rsidR="008B039E">
              <w:rPr>
                <w:rFonts w:hint="cs"/>
                <w:rtl/>
              </w:rPr>
              <w:t>في المائة</w:t>
            </w:r>
          </w:p>
        </w:tc>
      </w:tr>
      <w:tr w:rsidR="005D3D7A">
        <w:tblPrEx>
          <w:tblCellMar>
            <w:top w:w="0" w:type="dxa"/>
            <w:bottom w:w="0" w:type="dxa"/>
          </w:tblCellMar>
        </w:tblPrEx>
        <w:trPr>
          <w:jc w:val="center"/>
        </w:trPr>
        <w:tc>
          <w:tcPr>
            <w:tcW w:w="2310" w:type="dxa"/>
            <w:shd w:val="clear" w:color="auto" w:fill="auto"/>
          </w:tcPr>
          <w:p w:rsidR="005D3D7A" w:rsidRDefault="005D3D7A" w:rsidP="00743A97">
            <w:pPr>
              <w:ind w:left="43" w:right="43"/>
              <w:rPr>
                <w:rFonts w:hint="cs"/>
                <w:rtl/>
              </w:rPr>
            </w:pPr>
            <w:r>
              <w:rPr>
                <w:rFonts w:hint="cs"/>
                <w:rtl/>
              </w:rPr>
              <w:t>جمعية الكوميون</w:t>
            </w:r>
          </w:p>
        </w:tc>
        <w:tc>
          <w:tcPr>
            <w:tcW w:w="1607" w:type="dxa"/>
            <w:shd w:val="clear" w:color="auto" w:fill="auto"/>
          </w:tcPr>
          <w:p w:rsidR="005D3D7A" w:rsidRPr="008B039E" w:rsidRDefault="00743A97" w:rsidP="00743A97">
            <w:pPr>
              <w:ind w:left="43" w:right="43"/>
              <w:rPr>
                <w:rFonts w:hint="cs"/>
                <w:rtl/>
              </w:rPr>
            </w:pPr>
            <w:r w:rsidRPr="008B039E">
              <w:rPr>
                <w:rFonts w:hint="cs"/>
                <w:rtl/>
              </w:rPr>
              <w:t xml:space="preserve">16 </w:t>
            </w:r>
            <w:r w:rsidR="008B039E">
              <w:rPr>
                <w:rFonts w:hint="cs"/>
                <w:rtl/>
              </w:rPr>
              <w:t>في المائة</w:t>
            </w:r>
          </w:p>
        </w:tc>
        <w:tc>
          <w:tcPr>
            <w:tcW w:w="1483" w:type="dxa"/>
            <w:shd w:val="clear" w:color="auto" w:fill="auto"/>
          </w:tcPr>
          <w:p w:rsidR="005D3D7A" w:rsidRPr="008B039E" w:rsidRDefault="00743A97" w:rsidP="00743A97">
            <w:pPr>
              <w:ind w:left="43" w:right="43"/>
              <w:rPr>
                <w:rFonts w:hint="cs"/>
                <w:rtl/>
              </w:rPr>
            </w:pPr>
            <w:r w:rsidRPr="008B039E">
              <w:rPr>
                <w:rFonts w:hint="cs"/>
                <w:rtl/>
              </w:rPr>
              <w:t xml:space="preserve">18 </w:t>
            </w:r>
            <w:r w:rsidR="008B039E">
              <w:rPr>
                <w:rFonts w:hint="cs"/>
                <w:rtl/>
              </w:rPr>
              <w:t>في المائة</w:t>
            </w:r>
          </w:p>
        </w:tc>
      </w:tr>
      <w:tr w:rsidR="005D3D7A">
        <w:tblPrEx>
          <w:tblCellMar>
            <w:top w:w="0" w:type="dxa"/>
            <w:bottom w:w="0" w:type="dxa"/>
          </w:tblCellMar>
        </w:tblPrEx>
        <w:trPr>
          <w:jc w:val="center"/>
        </w:trPr>
        <w:tc>
          <w:tcPr>
            <w:tcW w:w="2310" w:type="dxa"/>
            <w:shd w:val="clear" w:color="auto" w:fill="auto"/>
          </w:tcPr>
          <w:p w:rsidR="005D3D7A" w:rsidRDefault="005D3D7A" w:rsidP="00743A97">
            <w:pPr>
              <w:ind w:left="43" w:right="43"/>
              <w:jc w:val="lowKashida"/>
              <w:rPr>
                <w:rFonts w:hint="cs"/>
                <w:rtl/>
              </w:rPr>
            </w:pPr>
            <w:r>
              <w:rPr>
                <w:rFonts w:hint="cs"/>
                <w:rtl/>
              </w:rPr>
              <w:t xml:space="preserve">رئيس الكوميون </w:t>
            </w:r>
            <w:r w:rsidR="00743A97">
              <w:rPr>
                <w:rFonts w:hint="cs"/>
                <w:rtl/>
              </w:rPr>
              <w:t>ورئيس البلدية ورئيس المدينة</w:t>
            </w:r>
          </w:p>
        </w:tc>
        <w:tc>
          <w:tcPr>
            <w:tcW w:w="1607" w:type="dxa"/>
            <w:shd w:val="clear" w:color="auto" w:fill="auto"/>
          </w:tcPr>
          <w:p w:rsidR="005D3D7A" w:rsidRPr="008B039E" w:rsidRDefault="00743A97" w:rsidP="00743A97">
            <w:pPr>
              <w:ind w:left="43" w:right="43"/>
              <w:rPr>
                <w:rFonts w:hint="cs"/>
                <w:rtl/>
              </w:rPr>
            </w:pPr>
            <w:r w:rsidRPr="008B039E">
              <w:rPr>
                <w:rFonts w:hint="cs"/>
                <w:rtl/>
              </w:rPr>
              <w:t>انتخاب غير مباشر</w:t>
            </w:r>
          </w:p>
        </w:tc>
        <w:tc>
          <w:tcPr>
            <w:tcW w:w="1483" w:type="dxa"/>
            <w:shd w:val="clear" w:color="auto" w:fill="auto"/>
          </w:tcPr>
          <w:p w:rsidR="005D3D7A" w:rsidRPr="008B039E" w:rsidRDefault="00743A97" w:rsidP="00743A97">
            <w:pPr>
              <w:ind w:left="43" w:right="43"/>
              <w:rPr>
                <w:rFonts w:hint="cs"/>
                <w:rtl/>
              </w:rPr>
            </w:pPr>
            <w:r w:rsidRPr="008B039E">
              <w:rPr>
                <w:rFonts w:hint="cs"/>
                <w:rtl/>
              </w:rPr>
              <w:t xml:space="preserve">7 </w:t>
            </w:r>
            <w:r w:rsidR="008B039E">
              <w:rPr>
                <w:rFonts w:hint="cs"/>
                <w:rtl/>
              </w:rPr>
              <w:t>في المائة</w:t>
            </w:r>
          </w:p>
        </w:tc>
      </w:tr>
    </w:tbl>
    <w:p w:rsidR="00743A97" w:rsidRPr="00743A97" w:rsidRDefault="00743A97" w:rsidP="00743A97">
      <w:pPr>
        <w:pStyle w:val="SingleTxt"/>
        <w:spacing w:after="0" w:line="120" w:lineRule="exact"/>
        <w:rPr>
          <w:rFonts w:hint="cs"/>
          <w:sz w:val="10"/>
          <w:rtl/>
        </w:rPr>
      </w:pPr>
    </w:p>
    <w:p w:rsidR="00296E8F" w:rsidRDefault="00743A97" w:rsidP="008B039E">
      <w:pPr>
        <w:pStyle w:val="SingleTxt"/>
        <w:rPr>
          <w:rFonts w:hint="cs"/>
          <w:rtl/>
        </w:rPr>
      </w:pPr>
      <w:r>
        <w:rPr>
          <w:rFonts w:hint="cs"/>
          <w:rtl/>
        </w:rPr>
        <w:t>98 -</w:t>
      </w:r>
      <w:r>
        <w:rPr>
          <w:rFonts w:hint="cs"/>
          <w:rtl/>
        </w:rPr>
        <w:tab/>
        <w:t>أثناء الفترة التي يغطيها التقر</w:t>
      </w:r>
      <w:r w:rsidR="008B039E">
        <w:rPr>
          <w:rFonts w:hint="cs"/>
          <w:rtl/>
        </w:rPr>
        <w:t>ير، شغلت ست نساء مناصب في الحكوم</w:t>
      </w:r>
      <w:r>
        <w:rPr>
          <w:rFonts w:hint="cs"/>
          <w:rtl/>
        </w:rPr>
        <w:t xml:space="preserve">ة: </w:t>
      </w:r>
    </w:p>
    <w:p w:rsidR="00743A97" w:rsidRDefault="00743A97" w:rsidP="00743A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في حكومة رئيس الوزراء جيرزي بوزيك: وزيرة المالية (2001)، ووزيرة الصحة (فيما بعد وزيرة الصحة والرعاية الاجتماعية 1999-2000)، وزيرة الدولة للخزانة (2001)؛</w:t>
      </w:r>
    </w:p>
    <w:p w:rsidR="00743A97" w:rsidRDefault="00743A97" w:rsidP="00A41A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في حكومة رئيس الوزراء ليزيك ميلير: وزيرة التعليم الوطني والرياضة (اعتبارا من عام 2001)، ووزيرة العدل (2001-2002)، والمفوضة العامة </w:t>
      </w:r>
      <w:r w:rsidR="00A41A11">
        <w:rPr>
          <w:rFonts w:hint="cs"/>
          <w:rtl/>
        </w:rPr>
        <w:t>المعنية بال</w:t>
      </w:r>
      <w:r>
        <w:rPr>
          <w:rFonts w:hint="cs"/>
          <w:rtl/>
        </w:rPr>
        <w:t xml:space="preserve">مساواة </w:t>
      </w:r>
      <w:r w:rsidR="00A41A11">
        <w:rPr>
          <w:rFonts w:hint="cs"/>
          <w:rtl/>
        </w:rPr>
        <w:t>بين</w:t>
      </w:r>
      <w:r>
        <w:rPr>
          <w:rFonts w:hint="cs"/>
          <w:rtl/>
        </w:rPr>
        <w:t xml:space="preserve"> مركز النساء والرجال (اعتبارا من عام 2001).</w:t>
      </w:r>
    </w:p>
    <w:p w:rsidR="00743A97" w:rsidRDefault="00743A97" w:rsidP="00743A97">
      <w:pPr>
        <w:pStyle w:val="SingleTxt"/>
        <w:rPr>
          <w:rFonts w:hint="cs"/>
          <w:rtl/>
        </w:rPr>
      </w:pPr>
      <w:r>
        <w:rPr>
          <w:rFonts w:hint="cs"/>
          <w:rtl/>
        </w:rPr>
        <w:t>وشغلت النساء أيضا مناصب عليا في الدولة:</w:t>
      </w:r>
    </w:p>
    <w:p w:rsidR="00743A97" w:rsidRDefault="00743A97" w:rsidP="00743A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رئيسة المصرف البولندي الوطني (1992-2000، بتعيين من البرلمان)؛</w:t>
      </w:r>
    </w:p>
    <w:p w:rsidR="00743A97" w:rsidRDefault="00743A97" w:rsidP="00743A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المفتش العام لحماية البيانات الشخصية (اعتبارا من عام 1998، بتعيين من مجلس النواب بموافقة مجلس الشيوخ، وأعيد تعيينها في 26 نيسان/أبريل 2002 لفترة أربع سنوات أخرى).</w:t>
      </w:r>
    </w:p>
    <w:p w:rsidR="00743A97" w:rsidRDefault="00743A97" w:rsidP="009C102D">
      <w:pPr>
        <w:pStyle w:val="SingleTxt"/>
        <w:rPr>
          <w:rFonts w:hint="cs"/>
          <w:rtl/>
        </w:rPr>
      </w:pPr>
      <w:r>
        <w:rPr>
          <w:rFonts w:hint="cs"/>
          <w:rtl/>
        </w:rPr>
        <w:t>99 -</w:t>
      </w:r>
      <w:r>
        <w:rPr>
          <w:rFonts w:hint="cs"/>
          <w:rtl/>
        </w:rPr>
        <w:tab/>
        <w:t xml:space="preserve">ومن بين الأشخاص الـ 90 الذين يشغلون مناصب عليا في الدولة (في مكتب رئيس الوزراء والوزارات)، تشكل النساء 22 في المائة. ومن بين </w:t>
      </w:r>
      <w:r w:rsidR="00A41A11">
        <w:rPr>
          <w:rFonts w:hint="cs"/>
          <w:rtl/>
        </w:rPr>
        <w:t xml:space="preserve">رؤساء </w:t>
      </w:r>
      <w:r>
        <w:rPr>
          <w:rFonts w:hint="cs"/>
          <w:rtl/>
        </w:rPr>
        <w:t>المناطق الـ 16</w:t>
      </w:r>
      <w:r w:rsidR="00A41A11">
        <w:rPr>
          <w:rFonts w:hint="cs"/>
          <w:rtl/>
        </w:rPr>
        <w:t>،</w:t>
      </w:r>
      <w:r>
        <w:rPr>
          <w:rFonts w:hint="cs"/>
          <w:rtl/>
        </w:rPr>
        <w:t xml:space="preserve"> هناك امرأة واحدة؛ ومن بين المناطق الفرعية الـ 22، ترأست النساء 6 مناطق فرعية. ومن بين المكاتب المركزية التحليلية الـ 57، ترأست المرأة 10 مراكز منها (17 في المائة)، وشغلت 15 امرأة أخرى (26.3 في المائة) مناصب قيادية فيها. </w:t>
      </w:r>
    </w:p>
    <w:p w:rsidR="00743A97" w:rsidRDefault="00743A97" w:rsidP="00A41A11">
      <w:pPr>
        <w:pStyle w:val="SingleTxt"/>
        <w:rPr>
          <w:rFonts w:hint="cs"/>
          <w:rtl/>
        </w:rPr>
      </w:pPr>
      <w:r>
        <w:rPr>
          <w:rFonts w:hint="cs"/>
          <w:rtl/>
        </w:rPr>
        <w:t>100 -</w:t>
      </w:r>
      <w:r>
        <w:rPr>
          <w:rFonts w:hint="cs"/>
          <w:rtl/>
        </w:rPr>
        <w:tab/>
        <w:t xml:space="preserve"> وخلال الفترة التي يغطيها التقرير، ارتفعت نسبة النساء اللاتي يشغلن مناصب إدارية. فمثلا، في وزارة التعليم الوطني والرياضة ازدادت النسبة من 38 في المائة في عام 1997 إلى 52 في المائة في عام 2001. وفي وزارة الاقتصاد، ارتفع نصيب المرأة في جميع المناصب الإدارية خلال الفترة 1998-2001: من 30 في المائة إلى 39 في المائة في المناصب الإدارية العليا، ومن 60 في المائة إلى 67 في المائة في المناصب الإدارية الوسطى، ومن 47 في المائة إلى 50 في المائة في المناصب الإدارية الابتدائية. وفي مكتب الإحصاءات المركزي و</w:t>
      </w:r>
      <w:r w:rsidR="00A41A11">
        <w:rPr>
          <w:rFonts w:hint="cs"/>
          <w:rtl/>
        </w:rPr>
        <w:t>الوحدات التابعة له، شغلت المرأة</w:t>
      </w:r>
      <w:r>
        <w:rPr>
          <w:rFonts w:hint="cs"/>
          <w:rtl/>
        </w:rPr>
        <w:t>70 في المائة من المناصب الإدارية</w:t>
      </w:r>
      <w:r w:rsidR="00A41A11">
        <w:rPr>
          <w:rFonts w:hint="cs"/>
          <w:rtl/>
        </w:rPr>
        <w:t xml:space="preserve"> في عام 2003</w:t>
      </w:r>
      <w:r>
        <w:rPr>
          <w:rFonts w:hint="cs"/>
          <w:rtl/>
        </w:rPr>
        <w:t xml:space="preserve">. </w:t>
      </w:r>
    </w:p>
    <w:p w:rsidR="00743A97" w:rsidRDefault="00743A97" w:rsidP="00743A97">
      <w:pPr>
        <w:pStyle w:val="SingleTxt"/>
        <w:rPr>
          <w:rFonts w:hint="cs"/>
          <w:rtl/>
        </w:rPr>
      </w:pPr>
      <w:r>
        <w:rPr>
          <w:rFonts w:hint="cs"/>
          <w:rtl/>
        </w:rPr>
        <w:t>101 -</w:t>
      </w:r>
      <w:r>
        <w:rPr>
          <w:rFonts w:hint="cs"/>
          <w:rtl/>
        </w:rPr>
        <w:tab/>
        <w:t xml:space="preserve"> وازدادت نسبة النساء الإداريات في المكتب الإحصائي الوطني من 48 في عام 1997 إلى 55 في عام 2001، وشغلت النساء في مكاتب وزارة الخزانة 24 في المائة من المناصب الإدارية في عام 1997، و 35 في المائة في عام 2001، بينما انخفضت النسبة المقابلة في مكتب المراقبة في وزارة الخزانة من 45 في عام 1997 إلى 41 في عام 2002. </w:t>
      </w:r>
    </w:p>
    <w:p w:rsidR="00743A97" w:rsidRDefault="00743A97" w:rsidP="00A41A11">
      <w:pPr>
        <w:pStyle w:val="SingleTxt"/>
        <w:rPr>
          <w:rFonts w:hint="cs"/>
          <w:rtl/>
        </w:rPr>
      </w:pPr>
      <w:r>
        <w:rPr>
          <w:rFonts w:hint="cs"/>
          <w:rtl/>
        </w:rPr>
        <w:t>102 -</w:t>
      </w:r>
      <w:r>
        <w:rPr>
          <w:rFonts w:hint="cs"/>
          <w:rtl/>
        </w:rPr>
        <w:tab/>
        <w:t xml:space="preserve"> وفي القضاء، كما يتضح من البيانات التالية، كان عدد النساء بين القضاة ورؤساء المحاكم ونواب رؤساء المحاكم مهيمنا، لا سيما في المحاكم الابتدائية. غير أن </w:t>
      </w:r>
      <w:r w:rsidR="00A41A11">
        <w:rPr>
          <w:rFonts w:hint="cs"/>
          <w:rtl/>
        </w:rPr>
        <w:t xml:space="preserve">القاعدة </w:t>
      </w:r>
      <w:r>
        <w:rPr>
          <w:rFonts w:hint="cs"/>
          <w:rtl/>
        </w:rPr>
        <w:t>التقليد</w:t>
      </w:r>
      <w:r w:rsidR="00A41A11">
        <w:rPr>
          <w:rFonts w:hint="cs"/>
          <w:rtl/>
        </w:rPr>
        <w:t>ية</w:t>
      </w:r>
      <w:r>
        <w:rPr>
          <w:rFonts w:hint="cs"/>
          <w:rtl/>
        </w:rPr>
        <w:t xml:space="preserve"> ظل</w:t>
      </w:r>
      <w:r w:rsidR="00A41A11">
        <w:rPr>
          <w:rFonts w:hint="cs"/>
          <w:rtl/>
        </w:rPr>
        <w:t>ت سارية</w:t>
      </w:r>
      <w:r>
        <w:rPr>
          <w:rFonts w:hint="cs"/>
          <w:rtl/>
        </w:rPr>
        <w:t xml:space="preserve"> </w:t>
      </w:r>
      <w:r w:rsidR="00A41A11">
        <w:rPr>
          <w:rFonts w:hint="cs"/>
          <w:rtl/>
        </w:rPr>
        <w:t>ف</w:t>
      </w:r>
      <w:r>
        <w:rPr>
          <w:rFonts w:hint="cs"/>
          <w:rtl/>
        </w:rPr>
        <w:t>كلما كان المنصب عاليا قل</w:t>
      </w:r>
      <w:r w:rsidR="00A41A11">
        <w:rPr>
          <w:rFonts w:hint="cs"/>
          <w:rtl/>
        </w:rPr>
        <w:t>ّ</w:t>
      </w:r>
      <w:r>
        <w:rPr>
          <w:rFonts w:hint="cs"/>
          <w:rtl/>
        </w:rPr>
        <w:t xml:space="preserve"> عدد النساء اللاتي يشغلنه، فشكلت النساء أقلية صغيرة بين قضاة المحكمة الدستورية والمحكمة العليا. </w:t>
      </w:r>
    </w:p>
    <w:p w:rsidR="00765A7A" w:rsidRPr="00765A7A" w:rsidRDefault="00765A7A" w:rsidP="00765A7A">
      <w:pPr>
        <w:pStyle w:val="SingleTxt"/>
        <w:spacing w:after="0" w:line="120" w:lineRule="exact"/>
        <w:rPr>
          <w:rFonts w:hint="cs"/>
          <w:sz w:val="10"/>
          <w:rtl/>
        </w:rPr>
      </w:pPr>
    </w:p>
    <w:tbl>
      <w:tblPr>
        <w:bidiVisual/>
        <w:tblW w:w="7708" w:type="dxa"/>
        <w:jc w:val="center"/>
        <w:tblInd w:w="1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75"/>
        <w:gridCol w:w="1236"/>
        <w:gridCol w:w="1442"/>
        <w:gridCol w:w="1607"/>
        <w:gridCol w:w="1648"/>
      </w:tblGrid>
      <w:tr w:rsidR="00743A97">
        <w:tblPrEx>
          <w:tblCellMar>
            <w:top w:w="0" w:type="dxa"/>
            <w:bottom w:w="0" w:type="dxa"/>
          </w:tblCellMar>
        </w:tblPrEx>
        <w:trPr>
          <w:jc w:val="center"/>
        </w:trPr>
        <w:tc>
          <w:tcPr>
            <w:tcW w:w="1775" w:type="dxa"/>
            <w:shd w:val="clear" w:color="auto" w:fill="auto"/>
            <w:tcMar>
              <w:left w:w="0" w:type="dxa"/>
              <w:right w:w="0" w:type="dxa"/>
            </w:tcMar>
          </w:tcPr>
          <w:p w:rsidR="00743A97" w:rsidRPr="00765A7A" w:rsidRDefault="00765A7A" w:rsidP="00765A7A">
            <w:pPr>
              <w:ind w:left="58" w:right="58"/>
              <w:rPr>
                <w:rFonts w:hint="cs"/>
                <w:b/>
                <w:bCs/>
                <w:rtl/>
              </w:rPr>
            </w:pPr>
            <w:r w:rsidRPr="00765A7A">
              <w:rPr>
                <w:rFonts w:hint="cs"/>
                <w:b/>
                <w:bCs/>
                <w:rtl/>
              </w:rPr>
              <w:t>المحكمة</w:t>
            </w:r>
          </w:p>
        </w:tc>
        <w:tc>
          <w:tcPr>
            <w:tcW w:w="1236" w:type="dxa"/>
            <w:shd w:val="clear" w:color="auto" w:fill="auto"/>
          </w:tcPr>
          <w:p w:rsidR="00743A97" w:rsidRPr="00765A7A" w:rsidRDefault="00765A7A" w:rsidP="005E1ACE">
            <w:pPr>
              <w:ind w:left="58" w:right="58"/>
              <w:jc w:val="lowKashida"/>
              <w:rPr>
                <w:rFonts w:hint="cs"/>
                <w:b/>
                <w:bCs/>
                <w:rtl/>
              </w:rPr>
            </w:pPr>
            <w:r w:rsidRPr="00765A7A">
              <w:rPr>
                <w:rFonts w:hint="cs"/>
                <w:b/>
                <w:bCs/>
                <w:rtl/>
              </w:rPr>
              <w:t>عدد القضاة</w:t>
            </w:r>
          </w:p>
        </w:tc>
        <w:tc>
          <w:tcPr>
            <w:tcW w:w="1442" w:type="dxa"/>
            <w:shd w:val="clear" w:color="auto" w:fill="auto"/>
          </w:tcPr>
          <w:p w:rsidR="00743A97" w:rsidRPr="00765A7A" w:rsidRDefault="00765A7A" w:rsidP="00A41A11">
            <w:pPr>
              <w:ind w:left="58" w:right="58"/>
              <w:jc w:val="left"/>
              <w:rPr>
                <w:rFonts w:hint="cs"/>
                <w:b/>
                <w:bCs/>
                <w:rtl/>
              </w:rPr>
            </w:pPr>
            <w:r w:rsidRPr="00765A7A">
              <w:rPr>
                <w:rFonts w:hint="cs"/>
                <w:b/>
                <w:bCs/>
                <w:rtl/>
              </w:rPr>
              <w:t>عدد القضاة من النساء</w:t>
            </w:r>
          </w:p>
        </w:tc>
        <w:tc>
          <w:tcPr>
            <w:tcW w:w="1607" w:type="dxa"/>
            <w:shd w:val="clear" w:color="auto" w:fill="auto"/>
          </w:tcPr>
          <w:p w:rsidR="00743A97" w:rsidRPr="00765A7A" w:rsidRDefault="00765A7A" w:rsidP="00A41A11">
            <w:pPr>
              <w:ind w:left="58" w:right="58"/>
              <w:jc w:val="left"/>
              <w:rPr>
                <w:rFonts w:hint="cs"/>
                <w:b/>
                <w:bCs/>
                <w:rtl/>
              </w:rPr>
            </w:pPr>
            <w:r w:rsidRPr="00765A7A">
              <w:rPr>
                <w:rFonts w:hint="cs"/>
                <w:b/>
                <w:bCs/>
                <w:rtl/>
              </w:rPr>
              <w:t>عدد الرؤساء من النساء</w:t>
            </w:r>
          </w:p>
        </w:tc>
        <w:tc>
          <w:tcPr>
            <w:tcW w:w="1648" w:type="dxa"/>
            <w:shd w:val="clear" w:color="auto" w:fill="auto"/>
          </w:tcPr>
          <w:p w:rsidR="00743A97" w:rsidRPr="00765A7A" w:rsidRDefault="00765A7A" w:rsidP="00A41A11">
            <w:pPr>
              <w:ind w:left="58" w:right="58"/>
              <w:jc w:val="left"/>
              <w:rPr>
                <w:rFonts w:hint="cs"/>
                <w:b/>
                <w:bCs/>
                <w:rtl/>
              </w:rPr>
            </w:pPr>
            <w:r w:rsidRPr="00765A7A">
              <w:rPr>
                <w:rFonts w:hint="cs"/>
                <w:b/>
                <w:bCs/>
                <w:rtl/>
              </w:rPr>
              <w:t>عدد نواب الرئيس من النساء</w:t>
            </w:r>
          </w:p>
        </w:tc>
      </w:tr>
      <w:tr w:rsidR="00743A97">
        <w:tblPrEx>
          <w:tblCellMar>
            <w:top w:w="0" w:type="dxa"/>
            <w:bottom w:w="0" w:type="dxa"/>
          </w:tblCellMar>
        </w:tblPrEx>
        <w:trPr>
          <w:jc w:val="center"/>
        </w:trPr>
        <w:tc>
          <w:tcPr>
            <w:tcW w:w="1775" w:type="dxa"/>
            <w:shd w:val="clear" w:color="auto" w:fill="auto"/>
          </w:tcPr>
          <w:p w:rsidR="00743A97" w:rsidRDefault="00765A7A" w:rsidP="00765A7A">
            <w:pPr>
              <w:ind w:left="58" w:right="58"/>
              <w:rPr>
                <w:rFonts w:hint="cs"/>
                <w:rtl/>
              </w:rPr>
            </w:pPr>
            <w:r>
              <w:rPr>
                <w:rFonts w:hint="cs"/>
                <w:rtl/>
              </w:rPr>
              <w:t>المحكمة الدستورية</w:t>
            </w:r>
          </w:p>
        </w:tc>
        <w:tc>
          <w:tcPr>
            <w:tcW w:w="1236" w:type="dxa"/>
            <w:shd w:val="clear" w:color="auto" w:fill="auto"/>
          </w:tcPr>
          <w:p w:rsidR="00743A97" w:rsidRDefault="005E1ACE" w:rsidP="00765A7A">
            <w:pPr>
              <w:ind w:left="58" w:right="58"/>
              <w:rPr>
                <w:rFonts w:hint="cs"/>
                <w:rtl/>
              </w:rPr>
            </w:pPr>
            <w:r>
              <w:rPr>
                <w:rFonts w:hint="cs"/>
                <w:rtl/>
              </w:rPr>
              <w:t>13</w:t>
            </w:r>
          </w:p>
        </w:tc>
        <w:tc>
          <w:tcPr>
            <w:tcW w:w="1442" w:type="dxa"/>
            <w:shd w:val="clear" w:color="auto" w:fill="auto"/>
          </w:tcPr>
          <w:p w:rsidR="00743A97" w:rsidRPr="00A41A11" w:rsidRDefault="005E1ACE" w:rsidP="00A41A11">
            <w:pPr>
              <w:ind w:left="58" w:right="58"/>
              <w:jc w:val="left"/>
              <w:rPr>
                <w:rFonts w:hint="cs"/>
                <w:rtl/>
              </w:rPr>
            </w:pPr>
            <w:r w:rsidRPr="00A41A11">
              <w:rPr>
                <w:rFonts w:hint="cs"/>
                <w:rtl/>
              </w:rPr>
              <w:t xml:space="preserve">15.4 </w:t>
            </w:r>
            <w:r w:rsidR="00A41A11">
              <w:rPr>
                <w:rFonts w:hint="cs"/>
                <w:rtl/>
              </w:rPr>
              <w:t>في المائة</w:t>
            </w:r>
          </w:p>
        </w:tc>
        <w:tc>
          <w:tcPr>
            <w:tcW w:w="1607" w:type="dxa"/>
            <w:shd w:val="clear" w:color="auto" w:fill="auto"/>
          </w:tcPr>
          <w:p w:rsidR="00743A97" w:rsidRPr="00A41A11" w:rsidRDefault="005E1ACE" w:rsidP="00A41A11">
            <w:pPr>
              <w:ind w:left="58" w:right="58"/>
              <w:jc w:val="left"/>
              <w:rPr>
                <w:rFonts w:hint="cs"/>
                <w:rtl/>
              </w:rPr>
            </w:pPr>
            <w:r w:rsidRPr="00A41A11">
              <w:rPr>
                <w:rFonts w:hint="cs"/>
                <w:rtl/>
              </w:rPr>
              <w:t>-</w:t>
            </w:r>
          </w:p>
        </w:tc>
        <w:tc>
          <w:tcPr>
            <w:tcW w:w="1648" w:type="dxa"/>
            <w:shd w:val="clear" w:color="auto" w:fill="auto"/>
          </w:tcPr>
          <w:p w:rsidR="00743A97" w:rsidRPr="00A41A11" w:rsidRDefault="005E1ACE" w:rsidP="00A41A11">
            <w:pPr>
              <w:ind w:left="58" w:right="58"/>
              <w:jc w:val="left"/>
              <w:rPr>
                <w:rFonts w:hint="cs"/>
                <w:rtl/>
              </w:rPr>
            </w:pPr>
            <w:r w:rsidRPr="00A41A11">
              <w:rPr>
                <w:rFonts w:hint="cs"/>
                <w:rtl/>
              </w:rPr>
              <w:t>-</w:t>
            </w:r>
          </w:p>
        </w:tc>
      </w:tr>
      <w:tr w:rsidR="00765A7A">
        <w:tblPrEx>
          <w:tblCellMar>
            <w:top w:w="0" w:type="dxa"/>
            <w:bottom w:w="0" w:type="dxa"/>
          </w:tblCellMar>
        </w:tblPrEx>
        <w:trPr>
          <w:jc w:val="center"/>
        </w:trPr>
        <w:tc>
          <w:tcPr>
            <w:tcW w:w="1775" w:type="dxa"/>
            <w:shd w:val="clear" w:color="auto" w:fill="auto"/>
          </w:tcPr>
          <w:p w:rsidR="00765A7A" w:rsidRDefault="00765A7A" w:rsidP="00765A7A">
            <w:pPr>
              <w:ind w:left="58" w:right="58"/>
              <w:rPr>
                <w:rFonts w:hint="cs"/>
                <w:rtl/>
              </w:rPr>
            </w:pPr>
            <w:r>
              <w:rPr>
                <w:rFonts w:hint="cs"/>
                <w:rtl/>
              </w:rPr>
              <w:t>المحكمة العليا</w:t>
            </w:r>
          </w:p>
        </w:tc>
        <w:tc>
          <w:tcPr>
            <w:tcW w:w="1236" w:type="dxa"/>
            <w:shd w:val="clear" w:color="auto" w:fill="auto"/>
          </w:tcPr>
          <w:p w:rsidR="00765A7A" w:rsidRDefault="005E1ACE" w:rsidP="00765A7A">
            <w:pPr>
              <w:ind w:left="58" w:right="58"/>
              <w:rPr>
                <w:rFonts w:hint="cs"/>
                <w:rtl/>
              </w:rPr>
            </w:pPr>
            <w:r>
              <w:rPr>
                <w:rFonts w:hint="cs"/>
                <w:rtl/>
              </w:rPr>
              <w:t>88</w:t>
            </w:r>
          </w:p>
        </w:tc>
        <w:tc>
          <w:tcPr>
            <w:tcW w:w="1442" w:type="dxa"/>
            <w:shd w:val="clear" w:color="auto" w:fill="auto"/>
          </w:tcPr>
          <w:p w:rsidR="00765A7A" w:rsidRPr="00A41A11" w:rsidRDefault="005E1ACE" w:rsidP="00A41A11">
            <w:pPr>
              <w:ind w:left="58" w:right="58"/>
              <w:jc w:val="left"/>
              <w:rPr>
                <w:rFonts w:hint="cs"/>
                <w:rtl/>
              </w:rPr>
            </w:pPr>
            <w:r w:rsidRPr="00A41A11">
              <w:rPr>
                <w:rFonts w:hint="cs"/>
                <w:rtl/>
              </w:rPr>
              <w:t xml:space="preserve">8.3 </w:t>
            </w:r>
            <w:r w:rsidR="00A41A11">
              <w:rPr>
                <w:rFonts w:hint="cs"/>
                <w:rtl/>
              </w:rPr>
              <w:t>في المائة</w:t>
            </w:r>
          </w:p>
        </w:tc>
        <w:tc>
          <w:tcPr>
            <w:tcW w:w="1607" w:type="dxa"/>
            <w:shd w:val="clear" w:color="auto" w:fill="auto"/>
          </w:tcPr>
          <w:p w:rsidR="00765A7A" w:rsidRPr="00A41A11" w:rsidRDefault="005E1ACE" w:rsidP="00A41A11">
            <w:pPr>
              <w:ind w:left="58" w:right="58"/>
              <w:jc w:val="left"/>
              <w:rPr>
                <w:rFonts w:hint="cs"/>
                <w:rtl/>
              </w:rPr>
            </w:pPr>
            <w:r w:rsidRPr="00A41A11">
              <w:rPr>
                <w:rFonts w:hint="cs"/>
                <w:rtl/>
              </w:rPr>
              <w:t>-</w:t>
            </w:r>
          </w:p>
        </w:tc>
        <w:tc>
          <w:tcPr>
            <w:tcW w:w="1648" w:type="dxa"/>
            <w:shd w:val="clear" w:color="auto" w:fill="auto"/>
          </w:tcPr>
          <w:p w:rsidR="00765A7A" w:rsidRPr="00A41A11" w:rsidRDefault="005E1ACE" w:rsidP="00A41A11">
            <w:pPr>
              <w:ind w:left="58" w:right="58"/>
              <w:jc w:val="left"/>
              <w:rPr>
                <w:rFonts w:hint="cs"/>
                <w:rtl/>
              </w:rPr>
            </w:pPr>
            <w:r w:rsidRPr="00A41A11">
              <w:rPr>
                <w:rFonts w:hint="cs"/>
                <w:rtl/>
              </w:rPr>
              <w:t>-</w:t>
            </w:r>
          </w:p>
        </w:tc>
      </w:tr>
      <w:tr w:rsidR="00765A7A">
        <w:tblPrEx>
          <w:tblCellMar>
            <w:top w:w="0" w:type="dxa"/>
            <w:bottom w:w="0" w:type="dxa"/>
          </w:tblCellMar>
        </w:tblPrEx>
        <w:trPr>
          <w:jc w:val="center"/>
        </w:trPr>
        <w:tc>
          <w:tcPr>
            <w:tcW w:w="1775" w:type="dxa"/>
            <w:shd w:val="clear" w:color="auto" w:fill="auto"/>
          </w:tcPr>
          <w:p w:rsidR="00765A7A" w:rsidRDefault="00765A7A" w:rsidP="00765A7A">
            <w:pPr>
              <w:ind w:left="58" w:right="58"/>
              <w:rPr>
                <w:rFonts w:hint="cs"/>
                <w:rtl/>
              </w:rPr>
            </w:pPr>
            <w:r>
              <w:rPr>
                <w:rFonts w:hint="cs"/>
                <w:rtl/>
              </w:rPr>
              <w:t>محاكم الاستئناف</w:t>
            </w:r>
          </w:p>
        </w:tc>
        <w:tc>
          <w:tcPr>
            <w:tcW w:w="1236" w:type="dxa"/>
            <w:shd w:val="clear" w:color="auto" w:fill="auto"/>
          </w:tcPr>
          <w:p w:rsidR="00765A7A" w:rsidRDefault="005E1ACE" w:rsidP="00765A7A">
            <w:pPr>
              <w:ind w:left="58" w:right="58"/>
              <w:rPr>
                <w:rFonts w:hint="cs"/>
                <w:rtl/>
              </w:rPr>
            </w:pPr>
            <w:r>
              <w:rPr>
                <w:rFonts w:hint="cs"/>
                <w:rtl/>
              </w:rPr>
              <w:t>380</w:t>
            </w:r>
          </w:p>
        </w:tc>
        <w:tc>
          <w:tcPr>
            <w:tcW w:w="1442" w:type="dxa"/>
            <w:shd w:val="clear" w:color="auto" w:fill="auto"/>
          </w:tcPr>
          <w:p w:rsidR="00765A7A" w:rsidRPr="00A41A11" w:rsidRDefault="005E1ACE" w:rsidP="00A41A11">
            <w:pPr>
              <w:ind w:left="58" w:right="58"/>
              <w:jc w:val="left"/>
              <w:rPr>
                <w:rFonts w:hint="cs"/>
                <w:rtl/>
              </w:rPr>
            </w:pPr>
            <w:r w:rsidRPr="00A41A11">
              <w:rPr>
                <w:rFonts w:hint="cs"/>
                <w:rtl/>
              </w:rPr>
              <w:t xml:space="preserve">56 </w:t>
            </w:r>
            <w:r w:rsidR="00A41A11">
              <w:rPr>
                <w:rFonts w:hint="cs"/>
                <w:rtl/>
              </w:rPr>
              <w:t>في المائة</w:t>
            </w:r>
          </w:p>
        </w:tc>
        <w:tc>
          <w:tcPr>
            <w:tcW w:w="1607" w:type="dxa"/>
            <w:shd w:val="clear" w:color="auto" w:fill="auto"/>
          </w:tcPr>
          <w:p w:rsidR="00765A7A" w:rsidRPr="00A41A11" w:rsidRDefault="005E1ACE" w:rsidP="00A41A11">
            <w:pPr>
              <w:ind w:left="58" w:right="58"/>
              <w:jc w:val="left"/>
              <w:rPr>
                <w:rFonts w:hint="cs"/>
                <w:rtl/>
              </w:rPr>
            </w:pPr>
            <w:r w:rsidRPr="00A41A11">
              <w:rPr>
                <w:rFonts w:hint="cs"/>
                <w:rtl/>
              </w:rPr>
              <w:t xml:space="preserve">30 </w:t>
            </w:r>
            <w:r w:rsidR="00A41A11">
              <w:rPr>
                <w:rFonts w:hint="cs"/>
                <w:rtl/>
              </w:rPr>
              <w:t>في المائة</w:t>
            </w:r>
          </w:p>
        </w:tc>
        <w:tc>
          <w:tcPr>
            <w:tcW w:w="1648" w:type="dxa"/>
            <w:shd w:val="clear" w:color="auto" w:fill="auto"/>
          </w:tcPr>
          <w:p w:rsidR="00765A7A" w:rsidRPr="00A41A11" w:rsidRDefault="005E1ACE" w:rsidP="00A41A11">
            <w:pPr>
              <w:ind w:left="58" w:right="58"/>
              <w:jc w:val="left"/>
              <w:rPr>
                <w:rFonts w:hint="cs"/>
                <w:rtl/>
              </w:rPr>
            </w:pPr>
            <w:r w:rsidRPr="00A41A11">
              <w:rPr>
                <w:rFonts w:hint="cs"/>
                <w:rtl/>
              </w:rPr>
              <w:t xml:space="preserve">30 </w:t>
            </w:r>
            <w:r w:rsidR="00A41A11">
              <w:rPr>
                <w:rFonts w:hint="cs"/>
                <w:rtl/>
              </w:rPr>
              <w:t>في المائة</w:t>
            </w:r>
          </w:p>
        </w:tc>
      </w:tr>
      <w:tr w:rsidR="00765A7A">
        <w:tblPrEx>
          <w:tblCellMar>
            <w:top w:w="0" w:type="dxa"/>
            <w:bottom w:w="0" w:type="dxa"/>
          </w:tblCellMar>
        </w:tblPrEx>
        <w:trPr>
          <w:jc w:val="center"/>
        </w:trPr>
        <w:tc>
          <w:tcPr>
            <w:tcW w:w="1775" w:type="dxa"/>
            <w:shd w:val="clear" w:color="auto" w:fill="auto"/>
          </w:tcPr>
          <w:p w:rsidR="00765A7A" w:rsidRDefault="00765A7A" w:rsidP="00765A7A">
            <w:pPr>
              <w:ind w:left="58" w:right="58"/>
              <w:rPr>
                <w:rFonts w:hint="cs"/>
                <w:rtl/>
              </w:rPr>
            </w:pPr>
            <w:r>
              <w:rPr>
                <w:rFonts w:hint="cs"/>
                <w:rtl/>
              </w:rPr>
              <w:t>محاكم المقاطعات</w:t>
            </w:r>
          </w:p>
        </w:tc>
        <w:tc>
          <w:tcPr>
            <w:tcW w:w="1236" w:type="dxa"/>
            <w:shd w:val="clear" w:color="auto" w:fill="auto"/>
          </w:tcPr>
          <w:p w:rsidR="00765A7A" w:rsidRDefault="005E1ACE" w:rsidP="00765A7A">
            <w:pPr>
              <w:ind w:left="58" w:right="58"/>
              <w:rPr>
                <w:rFonts w:hint="cs"/>
                <w:rtl/>
              </w:rPr>
            </w:pPr>
            <w:r>
              <w:rPr>
                <w:rFonts w:hint="cs"/>
                <w:rtl/>
              </w:rPr>
              <w:t>300 2</w:t>
            </w:r>
          </w:p>
        </w:tc>
        <w:tc>
          <w:tcPr>
            <w:tcW w:w="1442" w:type="dxa"/>
            <w:shd w:val="clear" w:color="auto" w:fill="auto"/>
          </w:tcPr>
          <w:p w:rsidR="00765A7A" w:rsidRPr="00A41A11" w:rsidRDefault="005E1ACE" w:rsidP="00A41A11">
            <w:pPr>
              <w:ind w:left="58" w:right="58"/>
              <w:jc w:val="left"/>
              <w:rPr>
                <w:rFonts w:hint="cs"/>
                <w:rtl/>
              </w:rPr>
            </w:pPr>
            <w:r w:rsidRPr="00A41A11">
              <w:rPr>
                <w:rFonts w:hint="cs"/>
                <w:rtl/>
              </w:rPr>
              <w:t xml:space="preserve">60.9 </w:t>
            </w:r>
            <w:r w:rsidR="00A41A11">
              <w:rPr>
                <w:rFonts w:hint="cs"/>
                <w:rtl/>
              </w:rPr>
              <w:t>في المائة</w:t>
            </w:r>
          </w:p>
        </w:tc>
        <w:tc>
          <w:tcPr>
            <w:tcW w:w="1607" w:type="dxa"/>
            <w:shd w:val="clear" w:color="auto" w:fill="auto"/>
          </w:tcPr>
          <w:p w:rsidR="00765A7A" w:rsidRPr="00A41A11" w:rsidRDefault="005E1ACE" w:rsidP="00A41A11">
            <w:pPr>
              <w:ind w:left="58" w:right="58"/>
              <w:jc w:val="left"/>
              <w:rPr>
                <w:rFonts w:hint="cs"/>
                <w:rtl/>
              </w:rPr>
            </w:pPr>
            <w:r w:rsidRPr="00A41A11">
              <w:rPr>
                <w:rFonts w:hint="cs"/>
                <w:rtl/>
              </w:rPr>
              <w:t xml:space="preserve">26.9 </w:t>
            </w:r>
            <w:r w:rsidR="00A41A11">
              <w:rPr>
                <w:rFonts w:hint="cs"/>
                <w:rtl/>
              </w:rPr>
              <w:t>في المائة</w:t>
            </w:r>
          </w:p>
        </w:tc>
        <w:tc>
          <w:tcPr>
            <w:tcW w:w="1648" w:type="dxa"/>
            <w:shd w:val="clear" w:color="auto" w:fill="auto"/>
          </w:tcPr>
          <w:p w:rsidR="00765A7A" w:rsidRPr="00A41A11" w:rsidRDefault="005E1ACE" w:rsidP="00A41A11">
            <w:pPr>
              <w:ind w:left="58" w:right="58"/>
              <w:jc w:val="left"/>
              <w:rPr>
                <w:rFonts w:hint="cs"/>
                <w:rtl/>
              </w:rPr>
            </w:pPr>
            <w:r w:rsidRPr="00A41A11">
              <w:rPr>
                <w:rFonts w:hint="cs"/>
                <w:rtl/>
              </w:rPr>
              <w:t xml:space="preserve">41.5 </w:t>
            </w:r>
            <w:r w:rsidR="00A41A11">
              <w:rPr>
                <w:rFonts w:hint="cs"/>
                <w:rtl/>
              </w:rPr>
              <w:t>في المائة</w:t>
            </w:r>
          </w:p>
        </w:tc>
      </w:tr>
      <w:tr w:rsidR="00765A7A">
        <w:tblPrEx>
          <w:tblCellMar>
            <w:top w:w="0" w:type="dxa"/>
            <w:bottom w:w="0" w:type="dxa"/>
          </w:tblCellMar>
        </w:tblPrEx>
        <w:trPr>
          <w:jc w:val="center"/>
        </w:trPr>
        <w:tc>
          <w:tcPr>
            <w:tcW w:w="1775" w:type="dxa"/>
            <w:shd w:val="clear" w:color="auto" w:fill="auto"/>
          </w:tcPr>
          <w:p w:rsidR="00765A7A" w:rsidRDefault="00765A7A" w:rsidP="00765A7A">
            <w:pPr>
              <w:ind w:left="58" w:right="58"/>
              <w:rPr>
                <w:rFonts w:hint="cs"/>
                <w:rtl/>
              </w:rPr>
            </w:pPr>
            <w:r>
              <w:rPr>
                <w:rFonts w:hint="cs"/>
                <w:rtl/>
              </w:rPr>
              <w:t>المحاكم الإقليمية</w:t>
            </w:r>
          </w:p>
        </w:tc>
        <w:tc>
          <w:tcPr>
            <w:tcW w:w="1236" w:type="dxa"/>
            <w:shd w:val="clear" w:color="auto" w:fill="auto"/>
          </w:tcPr>
          <w:p w:rsidR="00765A7A" w:rsidRDefault="005E1ACE" w:rsidP="00765A7A">
            <w:pPr>
              <w:ind w:left="58" w:right="58"/>
              <w:rPr>
                <w:rFonts w:hint="cs"/>
                <w:rtl/>
              </w:rPr>
            </w:pPr>
            <w:r>
              <w:rPr>
                <w:rFonts w:hint="cs"/>
                <w:rtl/>
              </w:rPr>
              <w:t>171 5</w:t>
            </w:r>
          </w:p>
        </w:tc>
        <w:tc>
          <w:tcPr>
            <w:tcW w:w="1442" w:type="dxa"/>
            <w:shd w:val="clear" w:color="auto" w:fill="auto"/>
          </w:tcPr>
          <w:p w:rsidR="00765A7A" w:rsidRPr="00A41A11" w:rsidRDefault="005E1ACE" w:rsidP="00A41A11">
            <w:pPr>
              <w:ind w:left="58" w:right="58"/>
              <w:jc w:val="left"/>
              <w:rPr>
                <w:rFonts w:hint="cs"/>
                <w:rtl/>
              </w:rPr>
            </w:pPr>
            <w:r w:rsidRPr="00A41A11">
              <w:rPr>
                <w:rFonts w:hint="cs"/>
                <w:rtl/>
              </w:rPr>
              <w:t xml:space="preserve">66.3 </w:t>
            </w:r>
            <w:r w:rsidR="00A41A11">
              <w:rPr>
                <w:rFonts w:hint="cs"/>
                <w:rtl/>
              </w:rPr>
              <w:t>في المائة</w:t>
            </w:r>
          </w:p>
        </w:tc>
        <w:tc>
          <w:tcPr>
            <w:tcW w:w="1607" w:type="dxa"/>
            <w:shd w:val="clear" w:color="auto" w:fill="auto"/>
          </w:tcPr>
          <w:p w:rsidR="00765A7A" w:rsidRPr="00A41A11" w:rsidRDefault="005E1ACE" w:rsidP="00A41A11">
            <w:pPr>
              <w:ind w:left="58" w:right="58"/>
              <w:jc w:val="left"/>
              <w:rPr>
                <w:rFonts w:hint="cs"/>
                <w:rtl/>
              </w:rPr>
            </w:pPr>
            <w:r w:rsidRPr="00A41A11">
              <w:rPr>
                <w:rFonts w:hint="cs"/>
                <w:rtl/>
              </w:rPr>
              <w:t xml:space="preserve">50.5 </w:t>
            </w:r>
            <w:r w:rsidR="00A41A11">
              <w:rPr>
                <w:rFonts w:hint="cs"/>
                <w:rtl/>
              </w:rPr>
              <w:t>في المائة</w:t>
            </w:r>
          </w:p>
        </w:tc>
        <w:tc>
          <w:tcPr>
            <w:tcW w:w="1648" w:type="dxa"/>
            <w:shd w:val="clear" w:color="auto" w:fill="auto"/>
          </w:tcPr>
          <w:p w:rsidR="00765A7A" w:rsidRPr="00A41A11" w:rsidRDefault="005E1ACE" w:rsidP="00A41A11">
            <w:pPr>
              <w:ind w:left="58" w:right="58"/>
              <w:jc w:val="left"/>
              <w:rPr>
                <w:rFonts w:hint="cs"/>
                <w:rtl/>
              </w:rPr>
            </w:pPr>
            <w:r w:rsidRPr="00A41A11">
              <w:rPr>
                <w:rFonts w:hint="cs"/>
                <w:rtl/>
              </w:rPr>
              <w:t xml:space="preserve">55.4 </w:t>
            </w:r>
            <w:r w:rsidR="00A41A11">
              <w:rPr>
                <w:rFonts w:hint="cs"/>
                <w:rtl/>
              </w:rPr>
              <w:t>في المائة</w:t>
            </w:r>
          </w:p>
        </w:tc>
      </w:tr>
      <w:tr w:rsidR="00765A7A">
        <w:tblPrEx>
          <w:tblCellMar>
            <w:top w:w="0" w:type="dxa"/>
            <w:bottom w:w="0" w:type="dxa"/>
          </w:tblCellMar>
        </w:tblPrEx>
        <w:trPr>
          <w:jc w:val="center"/>
        </w:trPr>
        <w:tc>
          <w:tcPr>
            <w:tcW w:w="1775" w:type="dxa"/>
            <w:shd w:val="clear" w:color="auto" w:fill="auto"/>
          </w:tcPr>
          <w:p w:rsidR="00765A7A" w:rsidRDefault="00765A7A" w:rsidP="00765A7A">
            <w:pPr>
              <w:ind w:left="58" w:right="58"/>
              <w:rPr>
                <w:rFonts w:hint="cs"/>
                <w:rtl/>
              </w:rPr>
            </w:pPr>
            <w:r>
              <w:rPr>
                <w:rFonts w:hint="cs"/>
                <w:rtl/>
              </w:rPr>
              <w:t>المجموع</w:t>
            </w:r>
          </w:p>
        </w:tc>
        <w:tc>
          <w:tcPr>
            <w:tcW w:w="1236" w:type="dxa"/>
            <w:shd w:val="clear" w:color="auto" w:fill="auto"/>
          </w:tcPr>
          <w:p w:rsidR="00765A7A" w:rsidRDefault="00765A7A" w:rsidP="00765A7A">
            <w:pPr>
              <w:ind w:left="58" w:right="58"/>
              <w:rPr>
                <w:rFonts w:hint="cs"/>
                <w:rtl/>
              </w:rPr>
            </w:pPr>
          </w:p>
        </w:tc>
        <w:tc>
          <w:tcPr>
            <w:tcW w:w="1442" w:type="dxa"/>
            <w:shd w:val="clear" w:color="auto" w:fill="auto"/>
          </w:tcPr>
          <w:p w:rsidR="00765A7A" w:rsidRPr="00A41A11" w:rsidRDefault="005E1ACE" w:rsidP="00A41A11">
            <w:pPr>
              <w:ind w:left="58" w:right="58"/>
              <w:jc w:val="left"/>
              <w:rPr>
                <w:rFonts w:hint="cs"/>
                <w:rtl/>
              </w:rPr>
            </w:pPr>
            <w:r w:rsidRPr="00A41A11">
              <w:rPr>
                <w:rFonts w:hint="cs"/>
                <w:rtl/>
              </w:rPr>
              <w:t xml:space="preserve">64.2 </w:t>
            </w:r>
            <w:r w:rsidR="00A41A11">
              <w:rPr>
                <w:rFonts w:hint="cs"/>
                <w:rtl/>
              </w:rPr>
              <w:t>في المائة</w:t>
            </w:r>
          </w:p>
        </w:tc>
        <w:tc>
          <w:tcPr>
            <w:tcW w:w="1607" w:type="dxa"/>
            <w:shd w:val="clear" w:color="auto" w:fill="auto"/>
          </w:tcPr>
          <w:p w:rsidR="00765A7A" w:rsidRPr="00A41A11" w:rsidRDefault="005E1ACE" w:rsidP="00A41A11">
            <w:pPr>
              <w:ind w:left="58" w:right="58"/>
              <w:jc w:val="left"/>
              <w:rPr>
                <w:rFonts w:hint="cs"/>
                <w:rtl/>
              </w:rPr>
            </w:pPr>
            <w:r w:rsidRPr="00A41A11">
              <w:rPr>
                <w:rFonts w:hint="cs"/>
                <w:rtl/>
              </w:rPr>
              <w:t xml:space="preserve">47.1 </w:t>
            </w:r>
            <w:r w:rsidR="00A41A11">
              <w:rPr>
                <w:rFonts w:hint="cs"/>
                <w:rtl/>
              </w:rPr>
              <w:t>في المائة</w:t>
            </w:r>
          </w:p>
        </w:tc>
        <w:tc>
          <w:tcPr>
            <w:tcW w:w="1648" w:type="dxa"/>
            <w:shd w:val="clear" w:color="auto" w:fill="auto"/>
          </w:tcPr>
          <w:p w:rsidR="00765A7A" w:rsidRPr="00A41A11" w:rsidRDefault="005E1ACE" w:rsidP="00A41A11">
            <w:pPr>
              <w:ind w:left="58" w:right="58"/>
              <w:jc w:val="left"/>
              <w:rPr>
                <w:rFonts w:hint="cs"/>
                <w:rtl/>
              </w:rPr>
            </w:pPr>
            <w:r w:rsidRPr="00A41A11">
              <w:rPr>
                <w:rFonts w:hint="cs"/>
                <w:rtl/>
              </w:rPr>
              <w:t xml:space="preserve">52.2 </w:t>
            </w:r>
            <w:r w:rsidR="00A41A11">
              <w:rPr>
                <w:rFonts w:hint="cs"/>
                <w:rtl/>
              </w:rPr>
              <w:t>في المائة</w:t>
            </w:r>
          </w:p>
        </w:tc>
      </w:tr>
    </w:tbl>
    <w:p w:rsidR="00743A97" w:rsidRDefault="00765A7A" w:rsidP="00743A97">
      <w:pPr>
        <w:pStyle w:val="SingleTxt"/>
        <w:rPr>
          <w:rFonts w:hint="cs"/>
          <w:rtl/>
        </w:rPr>
      </w:pPr>
      <w:r>
        <w:rPr>
          <w:rFonts w:hint="cs"/>
          <w:rtl/>
        </w:rPr>
        <w:t>103 -</w:t>
      </w:r>
      <w:r>
        <w:rPr>
          <w:rFonts w:hint="cs"/>
          <w:rtl/>
        </w:rPr>
        <w:tab/>
        <w:t xml:space="preserve"> خلال الفترة 1998-2002، حدث انخفاض مستمر في عدد الموظفات المدنيات في الجيش: من 51.6 في المائة إلى 45.4 في المائة. ولم تتجاوز نسبة النساء بين ضباط الصف، ونواب الضباط، والضباط 1 في المائة في عام 2002. وكان عدد النساء قليلا في قيادات المؤسسات المستقلة عن الحكومة:</w:t>
      </w:r>
    </w:p>
    <w:p w:rsidR="00765A7A" w:rsidRDefault="00765A7A" w:rsidP="00765A7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مجلس السياسات النقدية: امرأة واحدة (من أصل 9 أعضاء)؛</w:t>
      </w:r>
    </w:p>
    <w:p w:rsidR="00765A7A" w:rsidRDefault="00765A7A" w:rsidP="00765A7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مجلس البث الوطني: امرأة واحدة (من أصل 9 أعضاء)؛</w:t>
      </w:r>
    </w:p>
    <w:p w:rsidR="00765A7A" w:rsidRDefault="00765A7A" w:rsidP="00765A7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دائرة الرقابة العليا: لم تكن النساء ممثلات في القيادة.</w:t>
      </w:r>
    </w:p>
    <w:p w:rsidR="00765A7A" w:rsidRDefault="00765A7A" w:rsidP="00765A7A">
      <w:pPr>
        <w:pStyle w:val="SingleTxt"/>
        <w:rPr>
          <w:rFonts w:hint="cs"/>
          <w:rtl/>
        </w:rPr>
      </w:pPr>
      <w:r>
        <w:rPr>
          <w:rFonts w:hint="cs"/>
          <w:rtl/>
        </w:rPr>
        <w:t xml:space="preserve">وكشفت دراسة استقصائية عن مشاركة المرأة في الحياة الاجتماعية والعامة قام بها مكتب مجلس النواب أن النساء ممثلات تمثيلا ناقصا أو غير موجودات في كثير من الهيئات المسؤولة عن اتخاذ القرارات. </w:t>
      </w:r>
    </w:p>
    <w:p w:rsidR="00765A7A" w:rsidRDefault="00765A7A" w:rsidP="00765A7A">
      <w:pPr>
        <w:pStyle w:val="SingleTxt"/>
        <w:rPr>
          <w:rFonts w:hint="cs"/>
          <w:b/>
          <w:bCs/>
          <w:rtl/>
        </w:rPr>
      </w:pPr>
      <w:r>
        <w:rPr>
          <w:rFonts w:hint="cs"/>
          <w:b/>
          <w:bCs/>
          <w:rtl/>
        </w:rPr>
        <w:t xml:space="preserve">خطة العمل الوطنية للمرأة </w:t>
      </w:r>
      <w:r>
        <w:rPr>
          <w:b/>
          <w:bCs/>
          <w:rtl/>
        </w:rPr>
        <w:t>–</w:t>
      </w:r>
      <w:r>
        <w:rPr>
          <w:rFonts w:hint="cs"/>
          <w:b/>
          <w:bCs/>
          <w:rtl/>
        </w:rPr>
        <w:t xml:space="preserve"> مرحلة التنفيذ الثانية</w:t>
      </w:r>
    </w:p>
    <w:p w:rsidR="00765A7A" w:rsidRDefault="00A3197B" w:rsidP="00A3197B">
      <w:pPr>
        <w:pStyle w:val="SingleTxt"/>
        <w:rPr>
          <w:rFonts w:hint="cs"/>
          <w:rtl/>
        </w:rPr>
      </w:pPr>
      <w:r>
        <w:rPr>
          <w:rFonts w:hint="cs"/>
          <w:rtl/>
        </w:rPr>
        <w:t>105 -</w:t>
      </w:r>
      <w:r>
        <w:rPr>
          <w:rFonts w:hint="cs"/>
          <w:rtl/>
        </w:rPr>
        <w:tab/>
        <w:t xml:space="preserve"> إن خطة</w:t>
      </w:r>
      <w:r w:rsidR="00765A7A">
        <w:rPr>
          <w:rFonts w:hint="cs"/>
          <w:rtl/>
        </w:rPr>
        <w:t xml:space="preserve"> العمل الوطنية </w:t>
      </w:r>
      <w:r w:rsidR="004A3380">
        <w:rPr>
          <w:rFonts w:hint="cs"/>
          <w:rtl/>
        </w:rPr>
        <w:t xml:space="preserve">للمرأة </w:t>
      </w:r>
      <w:r w:rsidR="004A3380">
        <w:rPr>
          <w:rtl/>
        </w:rPr>
        <w:t>–</w:t>
      </w:r>
      <w:r w:rsidR="004A3380">
        <w:rPr>
          <w:rFonts w:hint="cs"/>
          <w:rtl/>
        </w:rPr>
        <w:t xml:space="preserve"> مرحلة التنفيذ الثانية للفترة 2003-2005 في الفصل المعنون </w:t>
      </w:r>
      <w:r w:rsidR="004A3380">
        <w:rPr>
          <w:rFonts w:hint="eastAsia"/>
          <w:rtl/>
        </w:rPr>
        <w:t>”مشاركة المرأة في السلطات العامة واتخاذ القرارات</w:t>
      </w:r>
      <w:r w:rsidR="004A3380">
        <w:rPr>
          <w:rFonts w:hint="cs"/>
          <w:rtl/>
        </w:rPr>
        <w:t xml:space="preserve">“ </w:t>
      </w:r>
      <w:r>
        <w:rPr>
          <w:rFonts w:hint="cs"/>
          <w:rtl/>
        </w:rPr>
        <w:t>تشير إلى عدد من</w:t>
      </w:r>
      <w:r w:rsidR="004A3380">
        <w:rPr>
          <w:rFonts w:hint="cs"/>
          <w:rtl/>
        </w:rPr>
        <w:t xml:space="preserve"> التدابير الرامية إلى ضمان المشاركة المتساوية للمرأة في الهيئات المسؤولة عن اتخاذ القرارات. ومن بينها:</w:t>
      </w:r>
    </w:p>
    <w:p w:rsidR="004A3380" w:rsidRDefault="004A3380" w:rsidP="004A338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إعداد تقرير مفصل عن التعيينات الإدارية (يبين إلى أي من الجنسين ينتمي كل موظف) في الحكومة، ووحدات الإدارة العامة، وهيئات الحكم الذاتي، والبرلمان، والأحزاب السياسية؛</w:t>
      </w:r>
    </w:p>
    <w:p w:rsidR="004A3380" w:rsidRDefault="004A3380" w:rsidP="004A338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إعداد معايير للتعيين في المناصب الإدارية في الخدمة المدنية والقطاع العام، مما يضمن المساواة بين الجنسين؛</w:t>
      </w:r>
    </w:p>
    <w:p w:rsidR="004A3380" w:rsidRDefault="004A3380" w:rsidP="004A338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تعيين أشخاص مسؤولين في الوحدات الإدارية الحكومية لرصد المساواة بين الجنسين من حيث الحصول على المناصب الإدارية؛</w:t>
      </w:r>
    </w:p>
    <w:p w:rsidR="004A3380" w:rsidRDefault="004A3380" w:rsidP="004A338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المشاركة المتوازنة بين الرجال والنساء في الهيئات الحكومية وهيئات الحكم الذاتي؛</w:t>
      </w:r>
    </w:p>
    <w:p w:rsidR="004A3380" w:rsidRDefault="004A3380" w:rsidP="004A338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إعداد النساء لشغل مناصب إدارية في الهياكل الاقتصادية المسؤولة عن اتخاذ القرارات عن طريق تدريبهن، مع التأكيد على جانب القيادة، وتحديد الأهداف، والمهارات الإدارية والتحسين الذاتي.</w:t>
      </w:r>
    </w:p>
    <w:p w:rsidR="004A3380" w:rsidRDefault="004A3380" w:rsidP="004A3380">
      <w:pPr>
        <w:pStyle w:val="SingleTxt"/>
        <w:rPr>
          <w:rFonts w:hint="cs"/>
          <w:b/>
          <w:bCs/>
          <w:rtl/>
        </w:rPr>
      </w:pPr>
      <w:r>
        <w:rPr>
          <w:rFonts w:hint="cs"/>
          <w:b/>
          <w:bCs/>
          <w:rtl/>
        </w:rPr>
        <w:t>الحركة النسائية</w:t>
      </w:r>
    </w:p>
    <w:p w:rsidR="004A3380" w:rsidRDefault="004A3380" w:rsidP="00A3197B">
      <w:pPr>
        <w:pStyle w:val="SingleTxt"/>
        <w:rPr>
          <w:rFonts w:hint="cs"/>
          <w:rtl/>
        </w:rPr>
      </w:pPr>
      <w:r>
        <w:rPr>
          <w:rFonts w:hint="cs"/>
          <w:rtl/>
        </w:rPr>
        <w:t>106 -</w:t>
      </w:r>
      <w:r>
        <w:rPr>
          <w:rFonts w:hint="cs"/>
          <w:rtl/>
        </w:rPr>
        <w:tab/>
        <w:t xml:space="preserve"> في عام 2000، كانت هناك 70 منظمة ورابطة لديها 200 فرع محلي، وأربع وحدات ميزانية تمول الحكومات ال</w:t>
      </w:r>
      <w:r w:rsidR="00A3197B">
        <w:rPr>
          <w:rFonts w:hint="cs"/>
          <w:rtl/>
        </w:rPr>
        <w:t>ذاتي</w:t>
      </w:r>
      <w:r>
        <w:rPr>
          <w:rFonts w:hint="cs"/>
          <w:rtl/>
        </w:rPr>
        <w:t>ة</w:t>
      </w:r>
      <w:r w:rsidR="00A3197B">
        <w:rPr>
          <w:rFonts w:hint="cs"/>
          <w:rtl/>
        </w:rPr>
        <w:t xml:space="preserve"> معظمها</w:t>
      </w:r>
      <w:r>
        <w:rPr>
          <w:rFonts w:hint="cs"/>
          <w:rtl/>
        </w:rPr>
        <w:t xml:space="preserve">، و 12 مؤسسة، و 6 رابطات ووحدات دينية، و 6 نقابات عمال وجماعات حزبية لديها 63 فرعا محليا، و 7 مراكز بحث تقوم بدراسات نسائية، و 4 مؤسسات لديها برامج نسائية. وفي ربيع عام 2002، أعد مكتب المفوضة الحكومية </w:t>
      </w:r>
      <w:r w:rsidR="00A3197B">
        <w:rPr>
          <w:rFonts w:hint="cs"/>
          <w:rtl/>
        </w:rPr>
        <w:t>المعنية با</w:t>
      </w:r>
      <w:r>
        <w:rPr>
          <w:rFonts w:hint="cs"/>
          <w:rtl/>
        </w:rPr>
        <w:t xml:space="preserve">لمساواة بين مركز </w:t>
      </w:r>
      <w:r w:rsidR="00A3197B">
        <w:rPr>
          <w:rFonts w:hint="cs"/>
          <w:rtl/>
        </w:rPr>
        <w:t>النساء</w:t>
      </w:r>
      <w:r>
        <w:rPr>
          <w:rFonts w:hint="cs"/>
          <w:rtl/>
        </w:rPr>
        <w:t xml:space="preserve"> والرج</w:t>
      </w:r>
      <w:r w:rsidR="00A3197B">
        <w:rPr>
          <w:rFonts w:hint="cs"/>
          <w:rtl/>
        </w:rPr>
        <w:t xml:space="preserve">ال القواعد التي تنص على مشاركة </w:t>
      </w:r>
      <w:r>
        <w:rPr>
          <w:rFonts w:hint="cs"/>
          <w:rtl/>
        </w:rPr>
        <w:t xml:space="preserve">المفوضة الحكومية </w:t>
      </w:r>
      <w:r w:rsidR="00A3197B">
        <w:rPr>
          <w:rFonts w:hint="cs"/>
          <w:rtl/>
        </w:rPr>
        <w:t>في تمويل</w:t>
      </w:r>
      <w:r>
        <w:rPr>
          <w:rFonts w:hint="cs"/>
          <w:rtl/>
        </w:rPr>
        <w:t xml:space="preserve"> المشاريع التي تقدمها المنظمات النسائية. وبذلك تم تلبية الطلبات التي تقدمت بها هذه المنظمات منذ مدة طويلة للحصول على دعم مالي منتظم وثابت من الحكومة.</w:t>
      </w:r>
    </w:p>
    <w:p w:rsidR="004A3380" w:rsidRDefault="004A3380" w:rsidP="00A3197B">
      <w:pPr>
        <w:pStyle w:val="SingleTxt"/>
        <w:rPr>
          <w:rFonts w:hint="cs"/>
          <w:rtl/>
        </w:rPr>
      </w:pPr>
      <w:r>
        <w:rPr>
          <w:rFonts w:hint="cs"/>
          <w:rtl/>
        </w:rPr>
        <w:t>107 -</w:t>
      </w:r>
      <w:r>
        <w:rPr>
          <w:rFonts w:hint="cs"/>
          <w:rtl/>
        </w:rPr>
        <w:tab/>
        <w:t xml:space="preserve"> خلال الفترة التي يغطيها التقرير، أصبحت المنظمات النسائية شريكا قي</w:t>
      </w:r>
      <w:r w:rsidR="00A3197B">
        <w:rPr>
          <w:rFonts w:hint="cs"/>
          <w:rtl/>
        </w:rPr>
        <w:t>ّ</w:t>
      </w:r>
      <w:r>
        <w:rPr>
          <w:rFonts w:hint="cs"/>
          <w:rtl/>
        </w:rPr>
        <w:t xml:space="preserve">ما </w:t>
      </w:r>
      <w:r w:rsidR="00A3197B">
        <w:rPr>
          <w:rFonts w:hint="cs"/>
          <w:rtl/>
        </w:rPr>
        <w:t>مع ا</w:t>
      </w:r>
      <w:r>
        <w:rPr>
          <w:rFonts w:hint="cs"/>
          <w:rtl/>
        </w:rPr>
        <w:t xml:space="preserve">لحكومة، بفضل قواعد البيانات التي أعدتها والخبرة المتخصصة في المسائل المتعلقة بالمرأة. وكانت هذه المنظمات نشطة على الصعيد الدولي، فأعدت عددا من </w:t>
      </w:r>
      <w:r>
        <w:rPr>
          <w:rFonts w:hint="eastAsia"/>
          <w:rtl/>
        </w:rPr>
        <w:t>”التقارير التحضيرية</w:t>
      </w:r>
      <w:r>
        <w:rPr>
          <w:rFonts w:hint="cs"/>
          <w:rtl/>
        </w:rPr>
        <w:t xml:space="preserve">“ عن المعاهدات والاتفاقيات الدولية. وكانت هذه المنظمات نشطة بصفة خاصة في مجال حقوق المرأة، والعمالة، والعنف الموجه ضد المرأة، والمشاركة في الحياة العامة والسياسية، والمسائل المتصلة بانضمام بولندا إلى الاتحاد الأوروبي. وكان هناك تعاون أكبر بين المنظمات نفسها. </w:t>
      </w:r>
    </w:p>
    <w:p w:rsidR="004A3380" w:rsidRDefault="004A3380" w:rsidP="00C62CAB">
      <w:pPr>
        <w:pStyle w:val="SingleTxt"/>
        <w:rPr>
          <w:rFonts w:hint="cs"/>
          <w:rtl/>
        </w:rPr>
      </w:pPr>
      <w:r>
        <w:rPr>
          <w:rFonts w:hint="cs"/>
          <w:rtl/>
        </w:rPr>
        <w:t>108 -</w:t>
      </w:r>
      <w:r>
        <w:rPr>
          <w:rFonts w:hint="cs"/>
          <w:rtl/>
        </w:rPr>
        <w:tab/>
        <w:t xml:space="preserve"> ودعمت المفوضة الحكومية </w:t>
      </w:r>
      <w:r w:rsidR="005E1ACE">
        <w:rPr>
          <w:rFonts w:hint="cs"/>
          <w:rtl/>
        </w:rPr>
        <w:t xml:space="preserve">نشاط المنظمات والجماعات النسائية، التي </w:t>
      </w:r>
      <w:r w:rsidR="00C62CAB">
        <w:rPr>
          <w:rFonts w:hint="cs"/>
          <w:rtl/>
        </w:rPr>
        <w:t>تدعو</w:t>
      </w:r>
      <w:r w:rsidR="005E1ACE">
        <w:rPr>
          <w:rFonts w:hint="cs"/>
          <w:rtl/>
        </w:rPr>
        <w:t xml:space="preserve"> مرتين في السنة إلى تقديم اقتراحات في مجال المساواة بين الجنسين وحقوق المرأة. وترد قواعد التعاون بين الإدارة العامة والمنظمات غي</w:t>
      </w:r>
      <w:r w:rsidR="00C62CAB">
        <w:rPr>
          <w:rFonts w:hint="cs"/>
          <w:rtl/>
        </w:rPr>
        <w:t>ر الحكومية في قانون</w:t>
      </w:r>
      <w:r w:rsidR="005E1ACE">
        <w:rPr>
          <w:rFonts w:hint="cs"/>
          <w:rtl/>
        </w:rPr>
        <w:t xml:space="preserve"> </w:t>
      </w:r>
      <w:r w:rsidR="005E1ACE">
        <w:rPr>
          <w:rFonts w:hint="eastAsia"/>
          <w:rtl/>
        </w:rPr>
        <w:t>”النشاط العام والتطوعي المجاني</w:t>
      </w:r>
      <w:r w:rsidR="005E1ACE">
        <w:rPr>
          <w:rFonts w:hint="cs"/>
          <w:rtl/>
        </w:rPr>
        <w:t xml:space="preserve">“. ويضم هذا النشاط </w:t>
      </w:r>
      <w:r w:rsidR="005E1ACE">
        <w:rPr>
          <w:rFonts w:hint="eastAsia"/>
          <w:rtl/>
        </w:rPr>
        <w:t>”تعزيز وحماية حقوق المرأة ونشاطها دعما للمساواة بين الجنسين</w:t>
      </w:r>
      <w:r w:rsidR="005E1ACE">
        <w:rPr>
          <w:rFonts w:hint="cs"/>
          <w:rtl/>
        </w:rPr>
        <w:t xml:space="preserve">“ (الفقرة 1 من المادة 4، النقطة الثامنة من القانون). </w:t>
      </w:r>
    </w:p>
    <w:p w:rsidR="001D1102" w:rsidRPr="001D1102" w:rsidRDefault="001D1102" w:rsidP="001D1102">
      <w:pPr>
        <w:pStyle w:val="SingleTxt"/>
        <w:spacing w:after="0" w:line="120" w:lineRule="exact"/>
        <w:rPr>
          <w:rFonts w:hint="cs"/>
          <w:sz w:val="10"/>
          <w:rtl/>
        </w:rPr>
      </w:pPr>
    </w:p>
    <w:p w:rsidR="005E1ACE" w:rsidRDefault="005E1ACE" w:rsidP="004A3380">
      <w:pPr>
        <w:pStyle w:val="SingleTxt"/>
        <w:rPr>
          <w:rFonts w:hint="cs"/>
          <w:b/>
          <w:bCs/>
          <w:rtl/>
        </w:rPr>
      </w:pPr>
      <w:r>
        <w:rPr>
          <w:rFonts w:hint="cs"/>
          <w:b/>
          <w:bCs/>
          <w:rtl/>
        </w:rPr>
        <w:t xml:space="preserve">المادة 8 </w:t>
      </w:r>
      <w:r>
        <w:rPr>
          <w:b/>
          <w:bCs/>
          <w:rtl/>
        </w:rPr>
        <w:t>–</w:t>
      </w:r>
      <w:r>
        <w:rPr>
          <w:rFonts w:hint="cs"/>
          <w:b/>
          <w:bCs/>
          <w:rtl/>
        </w:rPr>
        <w:t xml:space="preserve"> التمثيل</w:t>
      </w:r>
      <w:r w:rsidR="009E3379">
        <w:rPr>
          <w:rFonts w:hint="cs"/>
          <w:b/>
          <w:bCs/>
          <w:rtl/>
        </w:rPr>
        <w:t xml:space="preserve"> الدولي </w:t>
      </w:r>
      <w:r>
        <w:rPr>
          <w:rFonts w:hint="cs"/>
          <w:b/>
          <w:bCs/>
          <w:rtl/>
        </w:rPr>
        <w:t>والمشاركة</w:t>
      </w:r>
      <w:r w:rsidR="009E3379">
        <w:rPr>
          <w:rFonts w:hint="cs"/>
          <w:b/>
          <w:bCs/>
          <w:rtl/>
        </w:rPr>
        <w:t xml:space="preserve"> الدولية</w:t>
      </w:r>
    </w:p>
    <w:p w:rsidR="005E1ACE" w:rsidRDefault="005E1ACE" w:rsidP="004A3380">
      <w:pPr>
        <w:pStyle w:val="SingleTxt"/>
        <w:rPr>
          <w:rFonts w:hint="cs"/>
          <w:rtl/>
        </w:rPr>
      </w:pPr>
      <w:r>
        <w:rPr>
          <w:rFonts w:hint="cs"/>
          <w:rtl/>
        </w:rPr>
        <w:t>109 -</w:t>
      </w:r>
      <w:r>
        <w:rPr>
          <w:rFonts w:hint="cs"/>
          <w:rtl/>
        </w:rPr>
        <w:tab/>
        <w:t xml:space="preserve"> خلال الفترة التي يغطيها التقرير، كان عدد النساء العاملات في مقر وزارة الخارجية على النحو التالي:</w:t>
      </w:r>
    </w:p>
    <w:p w:rsidR="0055674E" w:rsidRDefault="0055674E" w:rsidP="004A3380">
      <w:pPr>
        <w:pStyle w:val="SingleTxt"/>
        <w:rPr>
          <w:rFonts w:hint="cs"/>
          <w:rtl/>
        </w:rPr>
      </w:pPr>
    </w:p>
    <w:p w:rsidR="0055674E" w:rsidRDefault="0055674E" w:rsidP="004A3380">
      <w:pPr>
        <w:pStyle w:val="SingleTxt"/>
        <w:rPr>
          <w:rFonts w:hint="cs"/>
          <w:rtl/>
        </w:rPr>
      </w:pPr>
    </w:p>
    <w:p w:rsidR="0055674E" w:rsidRDefault="0055674E" w:rsidP="004A3380">
      <w:pPr>
        <w:pStyle w:val="SingleTxt"/>
        <w:rPr>
          <w:rFonts w:hint="cs"/>
          <w:rtl/>
        </w:rPr>
      </w:pPr>
    </w:p>
    <w:tbl>
      <w:tblPr>
        <w:bidiVisual/>
        <w:tblW w:w="5665" w:type="dxa"/>
        <w:jc w:val="center"/>
        <w:tblInd w:w="1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0"/>
        <w:gridCol w:w="1465"/>
        <w:gridCol w:w="103"/>
        <w:gridCol w:w="1957"/>
        <w:gridCol w:w="61"/>
        <w:gridCol w:w="1854"/>
        <w:gridCol w:w="145"/>
      </w:tblGrid>
      <w:tr w:rsidR="005E1ACE">
        <w:tblPrEx>
          <w:tblCellMar>
            <w:top w:w="0" w:type="dxa"/>
            <w:bottom w:w="0" w:type="dxa"/>
          </w:tblCellMar>
        </w:tblPrEx>
        <w:trPr>
          <w:gridBefore w:val="1"/>
          <w:wBefore w:w="80" w:type="dxa"/>
          <w:jc w:val="center"/>
        </w:trPr>
        <w:tc>
          <w:tcPr>
            <w:tcW w:w="1568" w:type="dxa"/>
            <w:gridSpan w:val="2"/>
            <w:shd w:val="clear" w:color="auto" w:fill="auto"/>
            <w:tcMar>
              <w:left w:w="0" w:type="dxa"/>
              <w:right w:w="0" w:type="dxa"/>
            </w:tcMar>
          </w:tcPr>
          <w:p w:rsidR="005E1ACE" w:rsidRPr="005E1ACE" w:rsidRDefault="005E1ACE" w:rsidP="005E1ACE">
            <w:pPr>
              <w:ind w:left="58" w:right="58"/>
              <w:rPr>
                <w:rFonts w:hint="cs"/>
                <w:b/>
                <w:bCs/>
                <w:rtl/>
              </w:rPr>
            </w:pPr>
            <w:r w:rsidRPr="005E1ACE">
              <w:rPr>
                <w:rFonts w:hint="cs"/>
                <w:b/>
                <w:bCs/>
                <w:rtl/>
              </w:rPr>
              <w:t>السنة</w:t>
            </w:r>
          </w:p>
        </w:tc>
        <w:tc>
          <w:tcPr>
            <w:tcW w:w="2018" w:type="dxa"/>
            <w:gridSpan w:val="2"/>
            <w:shd w:val="clear" w:color="auto" w:fill="auto"/>
          </w:tcPr>
          <w:p w:rsidR="005E1ACE" w:rsidRPr="005E1ACE" w:rsidRDefault="005E1ACE" w:rsidP="009E3379">
            <w:pPr>
              <w:ind w:left="58" w:right="58"/>
              <w:jc w:val="left"/>
              <w:rPr>
                <w:rFonts w:hint="cs"/>
                <w:b/>
                <w:bCs/>
                <w:rtl/>
              </w:rPr>
            </w:pPr>
            <w:r w:rsidRPr="005E1ACE">
              <w:rPr>
                <w:rFonts w:hint="cs"/>
                <w:b/>
                <w:bCs/>
                <w:rtl/>
              </w:rPr>
              <w:t>نسبة النساء العاملات في مقر وزارة الخارجية</w:t>
            </w:r>
          </w:p>
        </w:tc>
        <w:tc>
          <w:tcPr>
            <w:tcW w:w="1999" w:type="dxa"/>
            <w:gridSpan w:val="2"/>
            <w:shd w:val="clear" w:color="auto" w:fill="auto"/>
          </w:tcPr>
          <w:p w:rsidR="005E1ACE" w:rsidRPr="005E1ACE" w:rsidRDefault="005E1ACE" w:rsidP="009E3379">
            <w:pPr>
              <w:ind w:left="58" w:right="58"/>
              <w:jc w:val="left"/>
              <w:rPr>
                <w:rFonts w:hint="cs"/>
                <w:b/>
                <w:bCs/>
                <w:rtl/>
              </w:rPr>
            </w:pPr>
            <w:r w:rsidRPr="005E1ACE">
              <w:rPr>
                <w:rFonts w:hint="cs"/>
                <w:b/>
                <w:bCs/>
                <w:rtl/>
              </w:rPr>
              <w:t>نسبة النساء اللاتي يشغلن مناصب إدارية</w:t>
            </w:r>
          </w:p>
        </w:tc>
      </w:tr>
      <w:tr w:rsidR="005E1ACE">
        <w:tblPrEx>
          <w:tblCellMar>
            <w:top w:w="0" w:type="dxa"/>
            <w:bottom w:w="0" w:type="dxa"/>
          </w:tblCellMar>
        </w:tblPrEx>
        <w:trPr>
          <w:gridAfter w:val="1"/>
          <w:wAfter w:w="145" w:type="dxa"/>
          <w:jc w:val="center"/>
        </w:trPr>
        <w:tc>
          <w:tcPr>
            <w:tcW w:w="1545" w:type="dxa"/>
            <w:gridSpan w:val="2"/>
            <w:shd w:val="clear" w:color="auto" w:fill="auto"/>
          </w:tcPr>
          <w:p w:rsidR="005E1ACE" w:rsidRDefault="005E1ACE" w:rsidP="005E1ACE">
            <w:pPr>
              <w:ind w:left="58" w:right="58"/>
              <w:rPr>
                <w:rFonts w:hint="cs"/>
                <w:rtl/>
              </w:rPr>
            </w:pPr>
            <w:r>
              <w:rPr>
                <w:rFonts w:hint="cs"/>
                <w:rtl/>
              </w:rPr>
              <w:t>1998</w:t>
            </w:r>
          </w:p>
        </w:tc>
        <w:tc>
          <w:tcPr>
            <w:tcW w:w="2060" w:type="dxa"/>
            <w:gridSpan w:val="2"/>
            <w:shd w:val="clear" w:color="auto" w:fill="auto"/>
          </w:tcPr>
          <w:p w:rsidR="005E1ACE" w:rsidRPr="009E3379" w:rsidRDefault="005E1ACE" w:rsidP="009E3379">
            <w:pPr>
              <w:ind w:left="58" w:right="58"/>
              <w:jc w:val="left"/>
              <w:rPr>
                <w:rFonts w:hint="cs"/>
                <w:rtl/>
              </w:rPr>
            </w:pPr>
            <w:r w:rsidRPr="009E3379">
              <w:rPr>
                <w:rFonts w:hint="cs"/>
                <w:rtl/>
              </w:rPr>
              <w:t xml:space="preserve">42 </w:t>
            </w:r>
            <w:r w:rsidR="009E3379">
              <w:rPr>
                <w:rFonts w:hint="cs"/>
                <w:rtl/>
              </w:rPr>
              <w:t>في المائة</w:t>
            </w:r>
          </w:p>
        </w:tc>
        <w:tc>
          <w:tcPr>
            <w:tcW w:w="1915" w:type="dxa"/>
            <w:gridSpan w:val="2"/>
            <w:shd w:val="clear" w:color="auto" w:fill="auto"/>
          </w:tcPr>
          <w:p w:rsidR="005E1ACE" w:rsidRPr="009E3379" w:rsidRDefault="005E1ACE" w:rsidP="009E3379">
            <w:pPr>
              <w:ind w:left="58" w:right="58"/>
              <w:jc w:val="left"/>
              <w:rPr>
                <w:rFonts w:hint="cs"/>
                <w:rtl/>
              </w:rPr>
            </w:pPr>
            <w:r w:rsidRPr="009E3379">
              <w:rPr>
                <w:rFonts w:hint="cs"/>
                <w:rtl/>
              </w:rPr>
              <w:t xml:space="preserve">6.2 </w:t>
            </w:r>
            <w:r w:rsidR="009E3379">
              <w:rPr>
                <w:rFonts w:hint="cs"/>
                <w:rtl/>
              </w:rPr>
              <w:t>في المائة</w:t>
            </w:r>
          </w:p>
        </w:tc>
      </w:tr>
      <w:tr w:rsidR="005E1ACE">
        <w:tblPrEx>
          <w:tblCellMar>
            <w:top w:w="0" w:type="dxa"/>
            <w:bottom w:w="0" w:type="dxa"/>
          </w:tblCellMar>
        </w:tblPrEx>
        <w:trPr>
          <w:gridAfter w:val="1"/>
          <w:wAfter w:w="145" w:type="dxa"/>
          <w:jc w:val="center"/>
        </w:trPr>
        <w:tc>
          <w:tcPr>
            <w:tcW w:w="1545" w:type="dxa"/>
            <w:gridSpan w:val="2"/>
            <w:shd w:val="clear" w:color="auto" w:fill="auto"/>
          </w:tcPr>
          <w:p w:rsidR="005E1ACE" w:rsidRDefault="005E1ACE" w:rsidP="005E1ACE">
            <w:pPr>
              <w:ind w:left="58" w:right="58"/>
              <w:rPr>
                <w:rFonts w:hint="cs"/>
                <w:rtl/>
              </w:rPr>
            </w:pPr>
            <w:r>
              <w:rPr>
                <w:rFonts w:hint="cs"/>
                <w:rtl/>
              </w:rPr>
              <w:t>1999</w:t>
            </w:r>
          </w:p>
        </w:tc>
        <w:tc>
          <w:tcPr>
            <w:tcW w:w="2060" w:type="dxa"/>
            <w:gridSpan w:val="2"/>
            <w:shd w:val="clear" w:color="auto" w:fill="auto"/>
          </w:tcPr>
          <w:p w:rsidR="005E1ACE" w:rsidRPr="009E3379" w:rsidRDefault="005E1ACE" w:rsidP="009E3379">
            <w:pPr>
              <w:ind w:left="58" w:right="58"/>
              <w:jc w:val="left"/>
              <w:rPr>
                <w:rFonts w:hint="cs"/>
                <w:rtl/>
              </w:rPr>
            </w:pPr>
            <w:r w:rsidRPr="009E3379">
              <w:rPr>
                <w:rFonts w:hint="cs"/>
                <w:rtl/>
              </w:rPr>
              <w:t xml:space="preserve">44.2 </w:t>
            </w:r>
            <w:r w:rsidR="009E3379">
              <w:rPr>
                <w:rFonts w:hint="cs"/>
                <w:rtl/>
              </w:rPr>
              <w:t>في المائة</w:t>
            </w:r>
          </w:p>
        </w:tc>
        <w:tc>
          <w:tcPr>
            <w:tcW w:w="1915" w:type="dxa"/>
            <w:gridSpan w:val="2"/>
            <w:shd w:val="clear" w:color="auto" w:fill="auto"/>
          </w:tcPr>
          <w:p w:rsidR="005E1ACE" w:rsidRPr="009E3379" w:rsidRDefault="005E1ACE" w:rsidP="009E3379">
            <w:pPr>
              <w:ind w:left="58" w:right="58"/>
              <w:jc w:val="left"/>
              <w:rPr>
                <w:rFonts w:hint="cs"/>
                <w:rtl/>
              </w:rPr>
            </w:pPr>
            <w:r w:rsidRPr="009E3379">
              <w:rPr>
                <w:rFonts w:hint="cs"/>
                <w:rtl/>
              </w:rPr>
              <w:t xml:space="preserve">5.5 </w:t>
            </w:r>
            <w:r w:rsidR="009E3379">
              <w:rPr>
                <w:rFonts w:hint="cs"/>
                <w:rtl/>
              </w:rPr>
              <w:t>في المائة</w:t>
            </w:r>
          </w:p>
        </w:tc>
      </w:tr>
      <w:tr w:rsidR="005E1ACE">
        <w:tblPrEx>
          <w:tblCellMar>
            <w:top w:w="0" w:type="dxa"/>
            <w:bottom w:w="0" w:type="dxa"/>
          </w:tblCellMar>
        </w:tblPrEx>
        <w:trPr>
          <w:gridAfter w:val="1"/>
          <w:wAfter w:w="145" w:type="dxa"/>
          <w:jc w:val="center"/>
        </w:trPr>
        <w:tc>
          <w:tcPr>
            <w:tcW w:w="1545" w:type="dxa"/>
            <w:gridSpan w:val="2"/>
            <w:shd w:val="clear" w:color="auto" w:fill="auto"/>
          </w:tcPr>
          <w:p w:rsidR="005E1ACE" w:rsidRDefault="005E1ACE" w:rsidP="005E1ACE">
            <w:pPr>
              <w:ind w:left="58" w:right="58"/>
              <w:rPr>
                <w:rFonts w:hint="cs"/>
                <w:rtl/>
              </w:rPr>
            </w:pPr>
            <w:r>
              <w:rPr>
                <w:rFonts w:hint="cs"/>
                <w:rtl/>
              </w:rPr>
              <w:t>2000</w:t>
            </w:r>
          </w:p>
        </w:tc>
        <w:tc>
          <w:tcPr>
            <w:tcW w:w="2060" w:type="dxa"/>
            <w:gridSpan w:val="2"/>
            <w:shd w:val="clear" w:color="auto" w:fill="auto"/>
          </w:tcPr>
          <w:p w:rsidR="005E1ACE" w:rsidRPr="009E3379" w:rsidRDefault="005E1ACE" w:rsidP="009E3379">
            <w:pPr>
              <w:ind w:left="58" w:right="58"/>
              <w:jc w:val="left"/>
              <w:rPr>
                <w:rFonts w:hint="cs"/>
                <w:rtl/>
              </w:rPr>
            </w:pPr>
            <w:r w:rsidRPr="009E3379">
              <w:rPr>
                <w:rFonts w:hint="cs"/>
                <w:rtl/>
              </w:rPr>
              <w:t xml:space="preserve">44.3 </w:t>
            </w:r>
            <w:r w:rsidR="009E3379">
              <w:rPr>
                <w:rFonts w:hint="cs"/>
                <w:rtl/>
              </w:rPr>
              <w:t>في المائة</w:t>
            </w:r>
          </w:p>
        </w:tc>
        <w:tc>
          <w:tcPr>
            <w:tcW w:w="1915" w:type="dxa"/>
            <w:gridSpan w:val="2"/>
            <w:shd w:val="clear" w:color="auto" w:fill="auto"/>
          </w:tcPr>
          <w:p w:rsidR="005E1ACE" w:rsidRPr="009E3379" w:rsidRDefault="005E1ACE" w:rsidP="009E3379">
            <w:pPr>
              <w:ind w:left="58" w:right="58"/>
              <w:jc w:val="left"/>
              <w:rPr>
                <w:rFonts w:hint="cs"/>
                <w:rtl/>
              </w:rPr>
            </w:pPr>
            <w:r w:rsidRPr="009E3379">
              <w:rPr>
                <w:rFonts w:hint="cs"/>
                <w:rtl/>
              </w:rPr>
              <w:t xml:space="preserve">5.6 </w:t>
            </w:r>
            <w:r w:rsidR="009E3379">
              <w:rPr>
                <w:rFonts w:hint="cs"/>
                <w:rtl/>
              </w:rPr>
              <w:t>في المائة</w:t>
            </w:r>
          </w:p>
        </w:tc>
      </w:tr>
      <w:tr w:rsidR="005E1ACE">
        <w:tblPrEx>
          <w:tblCellMar>
            <w:top w:w="0" w:type="dxa"/>
            <w:bottom w:w="0" w:type="dxa"/>
          </w:tblCellMar>
        </w:tblPrEx>
        <w:trPr>
          <w:gridAfter w:val="1"/>
          <w:wAfter w:w="145" w:type="dxa"/>
          <w:jc w:val="center"/>
        </w:trPr>
        <w:tc>
          <w:tcPr>
            <w:tcW w:w="1545" w:type="dxa"/>
            <w:gridSpan w:val="2"/>
            <w:shd w:val="clear" w:color="auto" w:fill="auto"/>
          </w:tcPr>
          <w:p w:rsidR="005E1ACE" w:rsidRDefault="005E1ACE" w:rsidP="005E1ACE">
            <w:pPr>
              <w:ind w:left="58" w:right="58"/>
              <w:rPr>
                <w:rFonts w:hint="cs"/>
                <w:rtl/>
              </w:rPr>
            </w:pPr>
            <w:r>
              <w:rPr>
                <w:rFonts w:hint="cs"/>
                <w:rtl/>
              </w:rPr>
              <w:t>2001</w:t>
            </w:r>
          </w:p>
        </w:tc>
        <w:tc>
          <w:tcPr>
            <w:tcW w:w="2060" w:type="dxa"/>
            <w:gridSpan w:val="2"/>
            <w:shd w:val="clear" w:color="auto" w:fill="auto"/>
          </w:tcPr>
          <w:p w:rsidR="005E1ACE" w:rsidRPr="009E3379" w:rsidRDefault="005E1ACE" w:rsidP="009E3379">
            <w:pPr>
              <w:ind w:left="58" w:right="58"/>
              <w:jc w:val="left"/>
              <w:rPr>
                <w:rFonts w:hint="cs"/>
                <w:rtl/>
              </w:rPr>
            </w:pPr>
            <w:r w:rsidRPr="009E3379">
              <w:rPr>
                <w:rFonts w:hint="cs"/>
                <w:rtl/>
              </w:rPr>
              <w:t xml:space="preserve">45.6 </w:t>
            </w:r>
            <w:r w:rsidR="009E3379">
              <w:rPr>
                <w:rFonts w:hint="cs"/>
                <w:rtl/>
              </w:rPr>
              <w:t>في المائة</w:t>
            </w:r>
          </w:p>
        </w:tc>
        <w:tc>
          <w:tcPr>
            <w:tcW w:w="1915" w:type="dxa"/>
            <w:gridSpan w:val="2"/>
            <w:shd w:val="clear" w:color="auto" w:fill="auto"/>
          </w:tcPr>
          <w:p w:rsidR="005E1ACE" w:rsidRPr="009E3379" w:rsidRDefault="005E1ACE" w:rsidP="009E3379">
            <w:pPr>
              <w:ind w:left="58" w:right="58"/>
              <w:jc w:val="left"/>
              <w:rPr>
                <w:rFonts w:hint="cs"/>
                <w:rtl/>
              </w:rPr>
            </w:pPr>
            <w:r w:rsidRPr="009E3379">
              <w:rPr>
                <w:rFonts w:hint="cs"/>
                <w:rtl/>
              </w:rPr>
              <w:t xml:space="preserve">4.6 </w:t>
            </w:r>
            <w:r w:rsidR="009E3379">
              <w:rPr>
                <w:rFonts w:hint="cs"/>
                <w:rtl/>
              </w:rPr>
              <w:t>في المائة</w:t>
            </w:r>
          </w:p>
        </w:tc>
      </w:tr>
      <w:tr w:rsidR="005E1ACE">
        <w:tblPrEx>
          <w:tblCellMar>
            <w:top w:w="0" w:type="dxa"/>
            <w:bottom w:w="0" w:type="dxa"/>
          </w:tblCellMar>
        </w:tblPrEx>
        <w:trPr>
          <w:gridAfter w:val="1"/>
          <w:wAfter w:w="145" w:type="dxa"/>
          <w:jc w:val="center"/>
        </w:trPr>
        <w:tc>
          <w:tcPr>
            <w:tcW w:w="1545" w:type="dxa"/>
            <w:gridSpan w:val="2"/>
            <w:shd w:val="clear" w:color="auto" w:fill="auto"/>
          </w:tcPr>
          <w:p w:rsidR="005E1ACE" w:rsidRDefault="005E1ACE" w:rsidP="005E1ACE">
            <w:pPr>
              <w:ind w:left="58" w:right="58"/>
              <w:rPr>
                <w:rFonts w:hint="cs"/>
                <w:rtl/>
              </w:rPr>
            </w:pPr>
            <w:r>
              <w:rPr>
                <w:rFonts w:hint="cs"/>
                <w:rtl/>
              </w:rPr>
              <w:t>2002</w:t>
            </w:r>
          </w:p>
        </w:tc>
        <w:tc>
          <w:tcPr>
            <w:tcW w:w="2060" w:type="dxa"/>
            <w:gridSpan w:val="2"/>
            <w:shd w:val="clear" w:color="auto" w:fill="auto"/>
          </w:tcPr>
          <w:p w:rsidR="005E1ACE" w:rsidRPr="009E3379" w:rsidRDefault="005E1ACE" w:rsidP="009E3379">
            <w:pPr>
              <w:ind w:left="58" w:right="58"/>
              <w:jc w:val="left"/>
              <w:rPr>
                <w:rFonts w:hint="cs"/>
                <w:rtl/>
              </w:rPr>
            </w:pPr>
            <w:r w:rsidRPr="009E3379">
              <w:rPr>
                <w:rFonts w:hint="cs"/>
                <w:rtl/>
              </w:rPr>
              <w:t xml:space="preserve">44.6 </w:t>
            </w:r>
            <w:r w:rsidR="009E3379">
              <w:rPr>
                <w:rFonts w:hint="cs"/>
                <w:rtl/>
              </w:rPr>
              <w:t>في المائة</w:t>
            </w:r>
          </w:p>
        </w:tc>
        <w:tc>
          <w:tcPr>
            <w:tcW w:w="1915" w:type="dxa"/>
            <w:gridSpan w:val="2"/>
            <w:shd w:val="clear" w:color="auto" w:fill="auto"/>
          </w:tcPr>
          <w:p w:rsidR="005E1ACE" w:rsidRPr="009E3379" w:rsidRDefault="005E1ACE" w:rsidP="009E3379">
            <w:pPr>
              <w:ind w:left="58" w:right="58"/>
              <w:jc w:val="left"/>
              <w:rPr>
                <w:rFonts w:hint="cs"/>
                <w:rtl/>
              </w:rPr>
            </w:pPr>
            <w:r w:rsidRPr="009E3379">
              <w:rPr>
                <w:rFonts w:hint="cs"/>
                <w:rtl/>
              </w:rPr>
              <w:t xml:space="preserve">8.8 </w:t>
            </w:r>
            <w:r w:rsidR="009E3379">
              <w:rPr>
                <w:rFonts w:hint="cs"/>
                <w:rtl/>
              </w:rPr>
              <w:t>في المائة</w:t>
            </w:r>
          </w:p>
        </w:tc>
      </w:tr>
    </w:tbl>
    <w:p w:rsidR="00F957BD" w:rsidRPr="00F957BD" w:rsidRDefault="00F957BD" w:rsidP="00F957BD">
      <w:pPr>
        <w:pStyle w:val="SingleTxt"/>
        <w:spacing w:after="0" w:line="120" w:lineRule="exact"/>
        <w:rPr>
          <w:rFonts w:hint="cs"/>
          <w:sz w:val="10"/>
          <w:rtl/>
        </w:rPr>
      </w:pPr>
    </w:p>
    <w:p w:rsidR="005E1ACE" w:rsidRDefault="00F957BD" w:rsidP="00E16101">
      <w:pPr>
        <w:pStyle w:val="SingleTxt"/>
        <w:rPr>
          <w:rFonts w:hint="cs"/>
          <w:rtl/>
        </w:rPr>
      </w:pPr>
      <w:r>
        <w:rPr>
          <w:rFonts w:hint="cs"/>
          <w:rtl/>
        </w:rPr>
        <w:t>110 -</w:t>
      </w:r>
      <w:r>
        <w:rPr>
          <w:rFonts w:hint="cs"/>
          <w:rtl/>
        </w:rPr>
        <w:tab/>
        <w:t xml:space="preserve"> خلال الفترة 1991-1997، عملت 210 نساء و 264 رجلا في وزارة الخارجية، بينما كان العدد في الفترة 19982-2001: 153 امرأة و 169 رجلا. واعتبارا من عام 1998، كان تعيين الموظفين الجدد يقوم على أساس المسابقة. ومنذ عام 1990، ارتفع عدد النساء اللاتي تقدمن بطلبات لشغل الوظائف بالإضافة إلى ازدياد مؤهلاتهن. ونتيجة ذلك، تحسنت نسبة النساء </w:t>
      </w:r>
      <w:r w:rsidR="00E16101">
        <w:rPr>
          <w:rFonts w:hint="cs"/>
          <w:rtl/>
        </w:rPr>
        <w:t xml:space="preserve">إلى </w:t>
      </w:r>
      <w:r>
        <w:rPr>
          <w:rFonts w:hint="cs"/>
          <w:rtl/>
        </w:rPr>
        <w:t>الرجال تحسنا كبيرا.</w:t>
      </w:r>
    </w:p>
    <w:p w:rsidR="00F957BD" w:rsidRDefault="00F957BD" w:rsidP="004A3380">
      <w:pPr>
        <w:pStyle w:val="SingleTxt"/>
        <w:rPr>
          <w:rFonts w:hint="cs"/>
          <w:rtl/>
        </w:rPr>
      </w:pPr>
      <w:r>
        <w:rPr>
          <w:rFonts w:hint="cs"/>
          <w:rtl/>
        </w:rPr>
        <w:t>111 -</w:t>
      </w:r>
      <w:r>
        <w:rPr>
          <w:rFonts w:hint="cs"/>
          <w:rtl/>
        </w:rPr>
        <w:tab/>
        <w:t xml:space="preserve"> وفيما يلي جدول يبين توظيف النساء في البعثات الدبلوماسية والقنصلية في الخارج:</w:t>
      </w:r>
    </w:p>
    <w:p w:rsidR="00284A64" w:rsidRPr="00284A64" w:rsidRDefault="00284A64" w:rsidP="00284A64">
      <w:pPr>
        <w:pStyle w:val="SingleTxt"/>
        <w:spacing w:after="0" w:line="120" w:lineRule="exact"/>
        <w:rPr>
          <w:rFonts w:hint="cs"/>
          <w:sz w:val="10"/>
          <w:rtl/>
        </w:rPr>
      </w:pPr>
    </w:p>
    <w:tbl>
      <w:tblPr>
        <w:bidiVisual/>
        <w:tblW w:w="5768" w:type="dxa"/>
        <w:jc w:val="center"/>
        <w:tblInd w:w="14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26"/>
        <w:gridCol w:w="1957"/>
        <w:gridCol w:w="2285"/>
      </w:tblGrid>
      <w:tr w:rsidR="00284A64">
        <w:tblPrEx>
          <w:tblCellMar>
            <w:top w:w="0" w:type="dxa"/>
            <w:bottom w:w="0" w:type="dxa"/>
          </w:tblCellMar>
        </w:tblPrEx>
        <w:trPr>
          <w:jc w:val="center"/>
        </w:trPr>
        <w:tc>
          <w:tcPr>
            <w:tcW w:w="1526" w:type="dxa"/>
            <w:shd w:val="clear" w:color="auto" w:fill="auto"/>
            <w:tcMar>
              <w:left w:w="0" w:type="dxa"/>
              <w:right w:w="0" w:type="dxa"/>
            </w:tcMar>
          </w:tcPr>
          <w:p w:rsidR="00284A64" w:rsidRPr="00FB331A" w:rsidRDefault="00284A64" w:rsidP="00FB331A">
            <w:pPr>
              <w:ind w:left="58" w:right="58"/>
              <w:rPr>
                <w:rFonts w:hint="cs"/>
                <w:b/>
                <w:bCs/>
                <w:rtl/>
              </w:rPr>
            </w:pPr>
            <w:r w:rsidRPr="00FB331A">
              <w:rPr>
                <w:rFonts w:hint="cs"/>
                <w:b/>
                <w:bCs/>
                <w:rtl/>
              </w:rPr>
              <w:t>السنة</w:t>
            </w:r>
          </w:p>
        </w:tc>
        <w:tc>
          <w:tcPr>
            <w:tcW w:w="1957" w:type="dxa"/>
            <w:shd w:val="clear" w:color="auto" w:fill="auto"/>
          </w:tcPr>
          <w:p w:rsidR="00284A64" w:rsidRPr="00FB331A" w:rsidRDefault="00284A64" w:rsidP="001D1102">
            <w:pPr>
              <w:ind w:left="58" w:right="58"/>
              <w:jc w:val="left"/>
              <w:rPr>
                <w:rFonts w:hint="cs"/>
                <w:b/>
                <w:bCs/>
                <w:rtl/>
              </w:rPr>
            </w:pPr>
            <w:r w:rsidRPr="00FB331A">
              <w:rPr>
                <w:rFonts w:hint="cs"/>
                <w:b/>
                <w:bCs/>
                <w:rtl/>
              </w:rPr>
              <w:t>نسبة النساء العاملات في البعثات الأجنبية</w:t>
            </w:r>
          </w:p>
        </w:tc>
        <w:tc>
          <w:tcPr>
            <w:tcW w:w="2285" w:type="dxa"/>
            <w:shd w:val="clear" w:color="auto" w:fill="auto"/>
          </w:tcPr>
          <w:p w:rsidR="00284A64" w:rsidRPr="00FB331A" w:rsidRDefault="00284A64" w:rsidP="001D1102">
            <w:pPr>
              <w:ind w:left="58" w:right="58"/>
              <w:jc w:val="left"/>
              <w:rPr>
                <w:rFonts w:hint="cs"/>
                <w:b/>
                <w:bCs/>
                <w:rtl/>
              </w:rPr>
            </w:pPr>
            <w:r w:rsidRPr="00FB331A">
              <w:rPr>
                <w:rFonts w:hint="cs"/>
                <w:b/>
                <w:bCs/>
                <w:rtl/>
              </w:rPr>
              <w:t>نسبة النساء اللاتي يشغلن منصب رئيس البعثة</w:t>
            </w:r>
          </w:p>
        </w:tc>
      </w:tr>
      <w:tr w:rsidR="00284A64">
        <w:tblPrEx>
          <w:tblCellMar>
            <w:top w:w="0" w:type="dxa"/>
            <w:bottom w:w="0" w:type="dxa"/>
          </w:tblCellMar>
        </w:tblPrEx>
        <w:trPr>
          <w:jc w:val="center"/>
        </w:trPr>
        <w:tc>
          <w:tcPr>
            <w:tcW w:w="1526" w:type="dxa"/>
            <w:shd w:val="clear" w:color="auto" w:fill="auto"/>
          </w:tcPr>
          <w:p w:rsidR="00284A64" w:rsidRDefault="00284A64" w:rsidP="00FB331A">
            <w:pPr>
              <w:ind w:left="58" w:right="58"/>
              <w:rPr>
                <w:rFonts w:hint="cs"/>
                <w:rtl/>
              </w:rPr>
            </w:pPr>
            <w:r>
              <w:rPr>
                <w:rFonts w:hint="cs"/>
                <w:rtl/>
              </w:rPr>
              <w:t>1998</w:t>
            </w:r>
          </w:p>
        </w:tc>
        <w:tc>
          <w:tcPr>
            <w:tcW w:w="1957" w:type="dxa"/>
            <w:shd w:val="clear" w:color="auto" w:fill="auto"/>
          </w:tcPr>
          <w:p w:rsidR="00284A64" w:rsidRPr="00E16101" w:rsidRDefault="004B3119" w:rsidP="00E16101">
            <w:pPr>
              <w:ind w:left="58" w:right="58"/>
              <w:jc w:val="left"/>
              <w:rPr>
                <w:rFonts w:hint="cs"/>
                <w:rtl/>
              </w:rPr>
            </w:pPr>
            <w:r w:rsidRPr="00E16101">
              <w:rPr>
                <w:rFonts w:hint="cs"/>
                <w:rtl/>
              </w:rPr>
              <w:t xml:space="preserve">45.7 </w:t>
            </w:r>
            <w:r w:rsidR="00E16101">
              <w:rPr>
                <w:rFonts w:hint="cs"/>
                <w:rtl/>
              </w:rPr>
              <w:t>في المائة</w:t>
            </w:r>
          </w:p>
        </w:tc>
        <w:tc>
          <w:tcPr>
            <w:tcW w:w="2285" w:type="dxa"/>
            <w:shd w:val="clear" w:color="auto" w:fill="auto"/>
          </w:tcPr>
          <w:p w:rsidR="00284A64" w:rsidRPr="00E16101" w:rsidRDefault="004B3119" w:rsidP="00E16101">
            <w:pPr>
              <w:ind w:left="58" w:right="58"/>
              <w:jc w:val="left"/>
              <w:rPr>
                <w:rFonts w:hint="cs"/>
                <w:rtl/>
              </w:rPr>
            </w:pPr>
            <w:r w:rsidRPr="00E16101">
              <w:rPr>
                <w:rFonts w:hint="cs"/>
                <w:rtl/>
              </w:rPr>
              <w:t xml:space="preserve">8.5 </w:t>
            </w:r>
            <w:r w:rsidR="00E16101">
              <w:rPr>
                <w:rFonts w:hint="cs"/>
                <w:rtl/>
              </w:rPr>
              <w:t>في المائة</w:t>
            </w:r>
          </w:p>
        </w:tc>
      </w:tr>
      <w:tr w:rsidR="00284A64">
        <w:tblPrEx>
          <w:tblCellMar>
            <w:top w:w="0" w:type="dxa"/>
            <w:bottom w:w="0" w:type="dxa"/>
          </w:tblCellMar>
        </w:tblPrEx>
        <w:trPr>
          <w:jc w:val="center"/>
        </w:trPr>
        <w:tc>
          <w:tcPr>
            <w:tcW w:w="1526" w:type="dxa"/>
            <w:shd w:val="clear" w:color="auto" w:fill="auto"/>
          </w:tcPr>
          <w:p w:rsidR="00284A64" w:rsidRDefault="00284A64" w:rsidP="00FB331A">
            <w:pPr>
              <w:ind w:left="58" w:right="58"/>
              <w:rPr>
                <w:rFonts w:hint="cs"/>
                <w:rtl/>
              </w:rPr>
            </w:pPr>
            <w:r>
              <w:rPr>
                <w:rFonts w:hint="cs"/>
                <w:rtl/>
              </w:rPr>
              <w:t>1999</w:t>
            </w:r>
          </w:p>
        </w:tc>
        <w:tc>
          <w:tcPr>
            <w:tcW w:w="1957" w:type="dxa"/>
            <w:shd w:val="clear" w:color="auto" w:fill="auto"/>
          </w:tcPr>
          <w:p w:rsidR="00284A64" w:rsidRPr="00E16101" w:rsidRDefault="004B3119" w:rsidP="00E16101">
            <w:pPr>
              <w:ind w:left="58" w:right="58"/>
              <w:jc w:val="left"/>
              <w:rPr>
                <w:rFonts w:hint="cs"/>
                <w:rtl/>
              </w:rPr>
            </w:pPr>
            <w:r w:rsidRPr="00E16101">
              <w:rPr>
                <w:rFonts w:hint="cs"/>
                <w:rtl/>
              </w:rPr>
              <w:t xml:space="preserve">46.8 </w:t>
            </w:r>
            <w:r w:rsidR="00E16101">
              <w:rPr>
                <w:rFonts w:hint="cs"/>
                <w:rtl/>
              </w:rPr>
              <w:t>في المائة</w:t>
            </w:r>
          </w:p>
        </w:tc>
        <w:tc>
          <w:tcPr>
            <w:tcW w:w="2285" w:type="dxa"/>
            <w:shd w:val="clear" w:color="auto" w:fill="auto"/>
          </w:tcPr>
          <w:p w:rsidR="00284A64" w:rsidRPr="00E16101" w:rsidRDefault="004B3119" w:rsidP="00E16101">
            <w:pPr>
              <w:ind w:left="58" w:right="58"/>
              <w:jc w:val="left"/>
              <w:rPr>
                <w:rFonts w:hint="cs"/>
                <w:rtl/>
              </w:rPr>
            </w:pPr>
            <w:r w:rsidRPr="00E16101">
              <w:rPr>
                <w:rFonts w:hint="cs"/>
                <w:rtl/>
              </w:rPr>
              <w:t xml:space="preserve">7.5 </w:t>
            </w:r>
            <w:r w:rsidR="00E16101">
              <w:rPr>
                <w:rFonts w:hint="cs"/>
                <w:rtl/>
              </w:rPr>
              <w:t>في المائة</w:t>
            </w:r>
          </w:p>
        </w:tc>
      </w:tr>
      <w:tr w:rsidR="00284A64">
        <w:tblPrEx>
          <w:tblCellMar>
            <w:top w:w="0" w:type="dxa"/>
            <w:bottom w:w="0" w:type="dxa"/>
          </w:tblCellMar>
        </w:tblPrEx>
        <w:trPr>
          <w:jc w:val="center"/>
        </w:trPr>
        <w:tc>
          <w:tcPr>
            <w:tcW w:w="1526" w:type="dxa"/>
            <w:shd w:val="clear" w:color="auto" w:fill="auto"/>
          </w:tcPr>
          <w:p w:rsidR="00284A64" w:rsidRDefault="00284A64" w:rsidP="00FB331A">
            <w:pPr>
              <w:ind w:left="58" w:right="58"/>
              <w:rPr>
                <w:rFonts w:hint="cs"/>
                <w:rtl/>
              </w:rPr>
            </w:pPr>
            <w:r>
              <w:rPr>
                <w:rFonts w:hint="cs"/>
                <w:rtl/>
              </w:rPr>
              <w:t>2000</w:t>
            </w:r>
          </w:p>
        </w:tc>
        <w:tc>
          <w:tcPr>
            <w:tcW w:w="1957" w:type="dxa"/>
            <w:shd w:val="clear" w:color="auto" w:fill="auto"/>
          </w:tcPr>
          <w:p w:rsidR="00284A64" w:rsidRPr="00E16101" w:rsidRDefault="004B3119" w:rsidP="00E16101">
            <w:pPr>
              <w:ind w:left="58" w:right="58"/>
              <w:jc w:val="left"/>
              <w:rPr>
                <w:rFonts w:hint="cs"/>
                <w:rtl/>
              </w:rPr>
            </w:pPr>
            <w:r w:rsidRPr="00E16101">
              <w:rPr>
                <w:rFonts w:hint="cs"/>
                <w:rtl/>
              </w:rPr>
              <w:t xml:space="preserve">45.8 </w:t>
            </w:r>
            <w:r w:rsidR="00E16101">
              <w:rPr>
                <w:rFonts w:hint="cs"/>
                <w:rtl/>
              </w:rPr>
              <w:t>في المائة</w:t>
            </w:r>
          </w:p>
        </w:tc>
        <w:tc>
          <w:tcPr>
            <w:tcW w:w="2285" w:type="dxa"/>
            <w:shd w:val="clear" w:color="auto" w:fill="auto"/>
          </w:tcPr>
          <w:p w:rsidR="00284A64" w:rsidRPr="00E16101" w:rsidRDefault="004B3119" w:rsidP="00E16101">
            <w:pPr>
              <w:ind w:left="58" w:right="58"/>
              <w:jc w:val="left"/>
              <w:rPr>
                <w:rFonts w:hint="cs"/>
                <w:rtl/>
              </w:rPr>
            </w:pPr>
            <w:r w:rsidRPr="00E16101">
              <w:rPr>
                <w:rFonts w:hint="cs"/>
                <w:rtl/>
              </w:rPr>
              <w:t xml:space="preserve">10.4 </w:t>
            </w:r>
            <w:r w:rsidR="00E16101">
              <w:rPr>
                <w:rFonts w:hint="cs"/>
                <w:rtl/>
              </w:rPr>
              <w:t>في المائة</w:t>
            </w:r>
          </w:p>
        </w:tc>
      </w:tr>
      <w:tr w:rsidR="00284A64">
        <w:tblPrEx>
          <w:tblCellMar>
            <w:top w:w="0" w:type="dxa"/>
            <w:bottom w:w="0" w:type="dxa"/>
          </w:tblCellMar>
        </w:tblPrEx>
        <w:trPr>
          <w:jc w:val="center"/>
        </w:trPr>
        <w:tc>
          <w:tcPr>
            <w:tcW w:w="1526" w:type="dxa"/>
            <w:shd w:val="clear" w:color="auto" w:fill="auto"/>
          </w:tcPr>
          <w:p w:rsidR="00284A64" w:rsidRDefault="00284A64" w:rsidP="00FB331A">
            <w:pPr>
              <w:ind w:left="58" w:right="58"/>
              <w:rPr>
                <w:rFonts w:hint="cs"/>
                <w:rtl/>
              </w:rPr>
            </w:pPr>
            <w:r>
              <w:rPr>
                <w:rFonts w:hint="cs"/>
                <w:rtl/>
              </w:rPr>
              <w:t>2001</w:t>
            </w:r>
          </w:p>
        </w:tc>
        <w:tc>
          <w:tcPr>
            <w:tcW w:w="1957" w:type="dxa"/>
            <w:shd w:val="clear" w:color="auto" w:fill="auto"/>
          </w:tcPr>
          <w:p w:rsidR="00284A64" w:rsidRPr="00E16101" w:rsidRDefault="004B3119" w:rsidP="00E16101">
            <w:pPr>
              <w:ind w:left="58" w:right="58"/>
              <w:jc w:val="left"/>
              <w:rPr>
                <w:rFonts w:hint="cs"/>
                <w:rtl/>
              </w:rPr>
            </w:pPr>
            <w:r w:rsidRPr="00E16101">
              <w:rPr>
                <w:rFonts w:hint="cs"/>
                <w:rtl/>
              </w:rPr>
              <w:t xml:space="preserve">48.2 </w:t>
            </w:r>
            <w:r w:rsidR="00E16101">
              <w:rPr>
                <w:rFonts w:hint="cs"/>
                <w:rtl/>
              </w:rPr>
              <w:t>في المائة</w:t>
            </w:r>
          </w:p>
        </w:tc>
        <w:tc>
          <w:tcPr>
            <w:tcW w:w="2285" w:type="dxa"/>
            <w:shd w:val="clear" w:color="auto" w:fill="auto"/>
          </w:tcPr>
          <w:p w:rsidR="00284A64" w:rsidRPr="00E16101" w:rsidRDefault="004B3119" w:rsidP="00E16101">
            <w:pPr>
              <w:ind w:left="58" w:right="58"/>
              <w:jc w:val="left"/>
              <w:rPr>
                <w:rFonts w:hint="cs"/>
                <w:rtl/>
              </w:rPr>
            </w:pPr>
            <w:r w:rsidRPr="00E16101">
              <w:rPr>
                <w:rFonts w:hint="cs"/>
                <w:rtl/>
              </w:rPr>
              <w:t xml:space="preserve">12.1 </w:t>
            </w:r>
            <w:r w:rsidR="00E16101">
              <w:rPr>
                <w:rFonts w:hint="cs"/>
                <w:rtl/>
              </w:rPr>
              <w:t>في المائة</w:t>
            </w:r>
          </w:p>
        </w:tc>
      </w:tr>
      <w:tr w:rsidR="00284A64">
        <w:tblPrEx>
          <w:tblCellMar>
            <w:top w:w="0" w:type="dxa"/>
            <w:bottom w:w="0" w:type="dxa"/>
          </w:tblCellMar>
        </w:tblPrEx>
        <w:trPr>
          <w:jc w:val="center"/>
        </w:trPr>
        <w:tc>
          <w:tcPr>
            <w:tcW w:w="1526" w:type="dxa"/>
            <w:shd w:val="clear" w:color="auto" w:fill="auto"/>
          </w:tcPr>
          <w:p w:rsidR="00284A64" w:rsidRDefault="00284A64" w:rsidP="00FB331A">
            <w:pPr>
              <w:ind w:left="58" w:right="58"/>
              <w:rPr>
                <w:rFonts w:hint="cs"/>
                <w:rtl/>
              </w:rPr>
            </w:pPr>
            <w:r>
              <w:rPr>
                <w:rFonts w:hint="cs"/>
                <w:rtl/>
              </w:rPr>
              <w:t>2002</w:t>
            </w:r>
          </w:p>
        </w:tc>
        <w:tc>
          <w:tcPr>
            <w:tcW w:w="1957" w:type="dxa"/>
            <w:shd w:val="clear" w:color="auto" w:fill="auto"/>
          </w:tcPr>
          <w:p w:rsidR="00284A64" w:rsidRPr="00E16101" w:rsidRDefault="004B3119" w:rsidP="00E16101">
            <w:pPr>
              <w:ind w:left="58" w:right="58"/>
              <w:jc w:val="left"/>
              <w:rPr>
                <w:rFonts w:hint="cs"/>
                <w:rtl/>
              </w:rPr>
            </w:pPr>
            <w:r w:rsidRPr="00E16101">
              <w:rPr>
                <w:rFonts w:hint="cs"/>
                <w:rtl/>
              </w:rPr>
              <w:t xml:space="preserve">49.3 </w:t>
            </w:r>
            <w:r w:rsidR="00E16101">
              <w:rPr>
                <w:rFonts w:hint="cs"/>
                <w:rtl/>
              </w:rPr>
              <w:t>في المائة</w:t>
            </w:r>
          </w:p>
        </w:tc>
        <w:tc>
          <w:tcPr>
            <w:tcW w:w="2285" w:type="dxa"/>
            <w:shd w:val="clear" w:color="auto" w:fill="auto"/>
          </w:tcPr>
          <w:p w:rsidR="00284A64" w:rsidRPr="00E16101" w:rsidRDefault="004B3119" w:rsidP="00E16101">
            <w:pPr>
              <w:ind w:left="58" w:right="58"/>
              <w:jc w:val="left"/>
              <w:rPr>
                <w:rFonts w:hint="cs"/>
                <w:rtl/>
              </w:rPr>
            </w:pPr>
            <w:r w:rsidRPr="00E16101">
              <w:rPr>
                <w:rFonts w:hint="cs"/>
                <w:rtl/>
              </w:rPr>
              <w:t xml:space="preserve">10.2 </w:t>
            </w:r>
            <w:r w:rsidR="00E16101">
              <w:rPr>
                <w:rFonts w:hint="cs"/>
                <w:rtl/>
              </w:rPr>
              <w:t>في المائة</w:t>
            </w:r>
          </w:p>
        </w:tc>
      </w:tr>
    </w:tbl>
    <w:p w:rsidR="00D052FE" w:rsidRPr="00D052FE" w:rsidRDefault="00D052FE" w:rsidP="00D052FE">
      <w:pPr>
        <w:pStyle w:val="SingleTxt"/>
        <w:spacing w:after="0" w:line="120" w:lineRule="exact"/>
        <w:rPr>
          <w:rFonts w:hint="cs"/>
          <w:sz w:val="10"/>
          <w:rtl/>
        </w:rPr>
      </w:pPr>
    </w:p>
    <w:p w:rsidR="00F957BD" w:rsidRDefault="005548C5" w:rsidP="004A3380">
      <w:pPr>
        <w:pStyle w:val="SingleTxt"/>
        <w:rPr>
          <w:rFonts w:hint="cs"/>
          <w:rtl/>
        </w:rPr>
      </w:pPr>
      <w:r>
        <w:rPr>
          <w:rFonts w:hint="cs"/>
          <w:rtl/>
        </w:rPr>
        <w:t>إن حصة النساء في السلك الدبلوماسي آخذ</w:t>
      </w:r>
      <w:r w:rsidR="00E16101">
        <w:rPr>
          <w:rFonts w:hint="cs"/>
          <w:rtl/>
        </w:rPr>
        <w:t>ة</w:t>
      </w:r>
      <w:r>
        <w:rPr>
          <w:rFonts w:hint="cs"/>
          <w:rtl/>
        </w:rPr>
        <w:t xml:space="preserve"> في التزايد بصورة ثابتة ومنتظمة. كما أن نسبة </w:t>
      </w:r>
      <w:r w:rsidR="00E16101">
        <w:rPr>
          <w:rFonts w:hint="cs"/>
          <w:rtl/>
        </w:rPr>
        <w:t xml:space="preserve">النساء اللاتي يشغلن منصب رئيس </w:t>
      </w:r>
      <w:r>
        <w:rPr>
          <w:rFonts w:hint="cs"/>
          <w:rtl/>
        </w:rPr>
        <w:t>بعثة آخذ</w:t>
      </w:r>
      <w:r w:rsidR="00E16101">
        <w:rPr>
          <w:rFonts w:hint="cs"/>
          <w:rtl/>
        </w:rPr>
        <w:t>ة</w:t>
      </w:r>
      <w:r>
        <w:rPr>
          <w:rFonts w:hint="cs"/>
          <w:rtl/>
        </w:rPr>
        <w:t xml:space="preserve"> في التزايد، وإن كان ذلك دون المتوسط بالنسبة للمناصب الإدارية العليا في إدارة الدولة في بولندا (في عام 2000، شغلت النساء 31 في المائة من المناصب الإدارية في الإدارة العامة).</w:t>
      </w:r>
    </w:p>
    <w:p w:rsidR="005548C5" w:rsidRDefault="005548C5" w:rsidP="00E16101">
      <w:pPr>
        <w:pStyle w:val="SingleTxt"/>
        <w:rPr>
          <w:rFonts w:hint="cs"/>
          <w:rtl/>
        </w:rPr>
      </w:pPr>
      <w:r>
        <w:rPr>
          <w:rFonts w:hint="cs"/>
          <w:rtl/>
        </w:rPr>
        <w:t>112 -</w:t>
      </w:r>
      <w:r>
        <w:rPr>
          <w:rFonts w:hint="cs"/>
          <w:rtl/>
        </w:rPr>
        <w:tab/>
        <w:t xml:space="preserve"> وعلى الرغم من أن بولندا خلال الفترة التي يغطيها التقرير لم تجمع بيانات كاملة عن عدد النساء الأعضاء في الوفود التي تمثل بولندا في المنتديات الدولية، هناك بيانات جزئية قد</w:t>
      </w:r>
      <w:r w:rsidR="00E16101">
        <w:rPr>
          <w:rFonts w:hint="cs"/>
          <w:rtl/>
        </w:rPr>
        <w:t>م</w:t>
      </w:r>
      <w:r>
        <w:rPr>
          <w:rFonts w:hint="cs"/>
          <w:rtl/>
        </w:rPr>
        <w:t>تها بعض المؤسسات (وزارة المالية، ووزارة الاقتصاد والعمل والسياسات الاجتماعية، ووزارة التعليم الوطني والرياضة، ومكتب الإحصاءات المركزي) تشير إلى أن مشاركة المرأة</w:t>
      </w:r>
      <w:r>
        <w:rPr>
          <w:rFonts w:hint="eastAsia"/>
          <w:rtl/>
        </w:rPr>
        <w:t> </w:t>
      </w:r>
      <w:r>
        <w:rPr>
          <w:rFonts w:hint="cs"/>
          <w:rtl/>
        </w:rPr>
        <w:t xml:space="preserve">في هذه الوفود كانت عالية وآخذة في التزايد (48.4 في المائة </w:t>
      </w:r>
      <w:r>
        <w:rPr>
          <w:rtl/>
        </w:rPr>
        <w:t>–</w:t>
      </w:r>
      <w:r>
        <w:rPr>
          <w:rFonts w:hint="cs"/>
          <w:rtl/>
        </w:rPr>
        <w:t xml:space="preserve"> 56.1 في المائة)، علما بأن المتوسط كان 51 في المائة للفترة 1998-2002. يرد مصدر البيانات في الجدول ألف -8-1 (المرفق). </w:t>
      </w:r>
    </w:p>
    <w:p w:rsidR="005548C5" w:rsidRDefault="005548C5" w:rsidP="005548C5">
      <w:pPr>
        <w:pStyle w:val="SingleTxt"/>
        <w:rPr>
          <w:rFonts w:hint="cs"/>
          <w:rtl/>
        </w:rPr>
      </w:pPr>
      <w:r>
        <w:rPr>
          <w:rFonts w:hint="cs"/>
          <w:rtl/>
        </w:rPr>
        <w:t>113 -</w:t>
      </w:r>
      <w:r>
        <w:rPr>
          <w:rFonts w:hint="cs"/>
          <w:rtl/>
        </w:rPr>
        <w:tab/>
        <w:t xml:space="preserve"> وفيما يلي نسبة النساء البولنديات العاملات في الأمانة العامة للأمم المتحدة:</w:t>
      </w:r>
    </w:p>
    <w:p w:rsidR="005548C5" w:rsidRDefault="005548C5" w:rsidP="005548C5">
      <w:pPr>
        <w:pStyle w:val="SingleTxt"/>
        <w:rPr>
          <w:rFonts w:hint="cs"/>
          <w:rtl/>
        </w:rPr>
      </w:pPr>
      <w:r>
        <w:rPr>
          <w:rFonts w:hint="cs"/>
          <w:rtl/>
        </w:rPr>
        <w:t xml:space="preserve">1998: </w:t>
      </w:r>
      <w:r>
        <w:rPr>
          <w:rFonts w:hint="cs"/>
          <w:rtl/>
        </w:rPr>
        <w:tab/>
        <w:t>39 شخصا بمن فيهم 11 امرأة (28 في المائة)</w:t>
      </w:r>
    </w:p>
    <w:p w:rsidR="005548C5" w:rsidRDefault="005548C5" w:rsidP="001D1102">
      <w:pPr>
        <w:pStyle w:val="SingleTxt"/>
        <w:rPr>
          <w:rFonts w:hint="cs"/>
          <w:rtl/>
        </w:rPr>
      </w:pPr>
      <w:r>
        <w:rPr>
          <w:rFonts w:hint="cs"/>
          <w:rtl/>
        </w:rPr>
        <w:t>1999</w:t>
      </w:r>
      <w:r w:rsidR="001D1102">
        <w:rPr>
          <w:rFonts w:hint="cs"/>
          <w:rtl/>
        </w:rPr>
        <w:t>:</w:t>
      </w:r>
      <w:r>
        <w:rPr>
          <w:rFonts w:hint="cs"/>
          <w:rtl/>
        </w:rPr>
        <w:tab/>
      </w:r>
      <w:r>
        <w:rPr>
          <w:rFonts w:hint="cs"/>
          <w:rtl/>
        </w:rPr>
        <w:tab/>
        <w:t>36 شخصا، بمن فيهم 11 امرأة (31 في المائة)</w:t>
      </w:r>
    </w:p>
    <w:p w:rsidR="005548C5" w:rsidRDefault="005548C5" w:rsidP="005548C5">
      <w:pPr>
        <w:pStyle w:val="SingleTxt"/>
        <w:rPr>
          <w:rFonts w:hint="cs"/>
          <w:rtl/>
        </w:rPr>
      </w:pPr>
      <w:r>
        <w:rPr>
          <w:rFonts w:hint="cs"/>
          <w:rtl/>
        </w:rPr>
        <w:t xml:space="preserve">2000: </w:t>
      </w:r>
      <w:r>
        <w:rPr>
          <w:rFonts w:hint="cs"/>
          <w:rtl/>
        </w:rPr>
        <w:tab/>
        <w:t>38 شخصا، بمن فيهم 14 امرأة (37 في المائة)</w:t>
      </w:r>
    </w:p>
    <w:p w:rsidR="005548C5" w:rsidRDefault="005548C5" w:rsidP="005548C5">
      <w:pPr>
        <w:pStyle w:val="SingleTxt"/>
        <w:rPr>
          <w:rFonts w:hint="cs"/>
          <w:rtl/>
        </w:rPr>
      </w:pPr>
      <w:r>
        <w:rPr>
          <w:rFonts w:hint="cs"/>
          <w:rtl/>
        </w:rPr>
        <w:t xml:space="preserve">2001: </w:t>
      </w:r>
      <w:r>
        <w:rPr>
          <w:rFonts w:hint="cs"/>
          <w:rtl/>
        </w:rPr>
        <w:tab/>
        <w:t>46 شخصا، بمن فيهم 14 امرأة (30 في المائة)</w:t>
      </w:r>
    </w:p>
    <w:p w:rsidR="005548C5" w:rsidRDefault="005548C5" w:rsidP="00E16101">
      <w:pPr>
        <w:pStyle w:val="SingleTxt"/>
        <w:rPr>
          <w:rFonts w:hint="cs"/>
          <w:rtl/>
        </w:rPr>
      </w:pPr>
      <w:r>
        <w:rPr>
          <w:rFonts w:hint="cs"/>
          <w:rtl/>
        </w:rPr>
        <w:t xml:space="preserve">وخلال الفترة 2001-2002، </w:t>
      </w:r>
      <w:r w:rsidR="00E16101">
        <w:rPr>
          <w:rFonts w:hint="cs"/>
          <w:rtl/>
        </w:rPr>
        <w:t>شغلت</w:t>
      </w:r>
      <w:r>
        <w:rPr>
          <w:rFonts w:hint="cs"/>
          <w:rtl/>
        </w:rPr>
        <w:t xml:space="preserve"> دانوتا هوبنير من بولندا منصب وكيل الأمين العام للأمم المتحدة.</w:t>
      </w:r>
    </w:p>
    <w:p w:rsidR="005548C5" w:rsidRDefault="005548C5" w:rsidP="00E16101">
      <w:pPr>
        <w:pStyle w:val="SingleTxt"/>
        <w:rPr>
          <w:rFonts w:hint="cs"/>
          <w:rtl/>
        </w:rPr>
      </w:pPr>
      <w:r>
        <w:rPr>
          <w:rFonts w:hint="cs"/>
          <w:rtl/>
        </w:rPr>
        <w:t>114 -</w:t>
      </w:r>
      <w:r>
        <w:rPr>
          <w:rFonts w:hint="cs"/>
          <w:rtl/>
        </w:rPr>
        <w:tab/>
        <w:t xml:space="preserve"> لم يكن لدى الحكومة قواعدها الخاصة لتوظيف البولنديين في هيئات الأمم المتحدة. وفي عام 2002، بدأت وزارة الخارجية </w:t>
      </w:r>
      <w:r w:rsidR="00E16101">
        <w:rPr>
          <w:rFonts w:hint="cs"/>
          <w:rtl/>
        </w:rPr>
        <w:t>ت</w:t>
      </w:r>
      <w:r>
        <w:rPr>
          <w:rFonts w:hint="cs"/>
          <w:rtl/>
        </w:rPr>
        <w:t xml:space="preserve">عمل </w:t>
      </w:r>
      <w:r w:rsidR="00E16101">
        <w:rPr>
          <w:rFonts w:hint="cs"/>
          <w:rtl/>
        </w:rPr>
        <w:t>على</w:t>
      </w:r>
      <w:r>
        <w:rPr>
          <w:rFonts w:hint="cs"/>
          <w:rtl/>
        </w:rPr>
        <w:t xml:space="preserve"> إعداد قائمة بالمرشحين المؤهلين للعمل في الأمم المتحدة. وخلال الفترة التي يغطيها التقرير، لم تجمع بولندا بيانات عن أي </w:t>
      </w:r>
      <w:r w:rsidR="00E16101">
        <w:rPr>
          <w:rFonts w:hint="cs"/>
          <w:rtl/>
        </w:rPr>
        <w:t>من ال</w:t>
      </w:r>
      <w:r>
        <w:rPr>
          <w:rFonts w:hint="cs"/>
          <w:rtl/>
        </w:rPr>
        <w:t>جنس</w:t>
      </w:r>
      <w:r w:rsidR="00E16101">
        <w:rPr>
          <w:rFonts w:hint="cs"/>
          <w:rtl/>
        </w:rPr>
        <w:t>ين</w:t>
      </w:r>
      <w:r>
        <w:rPr>
          <w:rFonts w:hint="cs"/>
          <w:rtl/>
        </w:rPr>
        <w:t xml:space="preserve"> ينتمي إليه العاملون في المؤسسات الدولية.</w:t>
      </w:r>
    </w:p>
    <w:p w:rsidR="001D1102" w:rsidRPr="001D1102" w:rsidRDefault="001D1102" w:rsidP="001D1102">
      <w:pPr>
        <w:pStyle w:val="SingleTxt"/>
        <w:spacing w:after="0" w:line="120" w:lineRule="exact"/>
        <w:rPr>
          <w:rFonts w:hint="cs"/>
          <w:sz w:val="10"/>
          <w:rtl/>
        </w:rPr>
      </w:pPr>
    </w:p>
    <w:p w:rsidR="005548C5" w:rsidRDefault="005548C5" w:rsidP="005548C5">
      <w:pPr>
        <w:pStyle w:val="SingleTxt"/>
        <w:rPr>
          <w:rFonts w:hint="cs"/>
          <w:b/>
          <w:bCs/>
          <w:rtl/>
        </w:rPr>
      </w:pPr>
      <w:r>
        <w:rPr>
          <w:rFonts w:hint="cs"/>
          <w:b/>
          <w:bCs/>
          <w:rtl/>
        </w:rPr>
        <w:t xml:space="preserve">المادة 9 </w:t>
      </w:r>
      <w:r>
        <w:rPr>
          <w:b/>
          <w:bCs/>
          <w:rtl/>
        </w:rPr>
        <w:t>–</w:t>
      </w:r>
      <w:r>
        <w:rPr>
          <w:rFonts w:hint="cs"/>
          <w:b/>
          <w:bCs/>
          <w:rtl/>
        </w:rPr>
        <w:t xml:space="preserve"> الجنسية</w:t>
      </w:r>
    </w:p>
    <w:p w:rsidR="005548C5" w:rsidRDefault="005548C5" w:rsidP="009C102D">
      <w:pPr>
        <w:pStyle w:val="SingleTxt"/>
        <w:rPr>
          <w:rFonts w:hint="cs"/>
          <w:rtl/>
        </w:rPr>
      </w:pPr>
      <w:r>
        <w:rPr>
          <w:rFonts w:hint="cs"/>
          <w:rtl/>
        </w:rPr>
        <w:t>115 -</w:t>
      </w:r>
      <w:r>
        <w:rPr>
          <w:rFonts w:hint="cs"/>
          <w:rtl/>
        </w:rPr>
        <w:tab/>
        <w:t xml:space="preserve"> في الفترة 1998-2002، تم تنظيم</w:t>
      </w:r>
      <w:r w:rsidR="006F15E8">
        <w:rPr>
          <w:rFonts w:hint="cs"/>
          <w:rtl/>
        </w:rPr>
        <w:t xml:space="preserve"> المسائل المتعلقة بالجنسية في </w:t>
      </w:r>
      <w:r>
        <w:rPr>
          <w:rFonts w:hint="cs"/>
          <w:rtl/>
        </w:rPr>
        <w:t>قانون</w:t>
      </w:r>
      <w:r w:rsidR="006F15E8">
        <w:rPr>
          <w:rFonts w:hint="eastAsia"/>
          <w:rtl/>
        </w:rPr>
        <w:t>”الجنسية البولندية</w:t>
      </w:r>
      <w:r w:rsidR="006F15E8">
        <w:rPr>
          <w:rFonts w:hint="cs"/>
          <w:rtl/>
        </w:rPr>
        <w:t xml:space="preserve">“ </w:t>
      </w:r>
      <w:r>
        <w:rPr>
          <w:rFonts w:hint="cs"/>
          <w:rtl/>
        </w:rPr>
        <w:t>المؤرخ 15 شباط/فبراير 1962 (جريدة القوانين، رقم 10، البند 49 مع التعديلات اللاحقة)</w:t>
      </w:r>
      <w:r w:rsidR="006F15E8">
        <w:rPr>
          <w:rFonts w:hint="cs"/>
          <w:rtl/>
        </w:rPr>
        <w:t>،</w:t>
      </w:r>
      <w:r>
        <w:rPr>
          <w:rFonts w:hint="cs"/>
          <w:rtl/>
        </w:rPr>
        <w:t xml:space="preserve"> وقد تم تعديله بالقانون المؤرخ 14 تموز/يوليه 1998 عن </w:t>
      </w:r>
      <w:r>
        <w:rPr>
          <w:rFonts w:hint="eastAsia"/>
          <w:rtl/>
        </w:rPr>
        <w:t>”تعديل بعض القوانين المتعلقة باختصاصات هيئات الإدارة العامة فيما يتصل بالإصلاح المنهجي للدولة</w:t>
      </w:r>
      <w:r>
        <w:rPr>
          <w:rFonts w:hint="cs"/>
          <w:rtl/>
        </w:rPr>
        <w:t xml:space="preserve">“. وقد </w:t>
      </w:r>
      <w:r w:rsidR="006F15E8">
        <w:rPr>
          <w:rFonts w:hint="cs"/>
          <w:rtl/>
        </w:rPr>
        <w:t xml:space="preserve">تم </w:t>
      </w:r>
      <w:r>
        <w:rPr>
          <w:rFonts w:hint="cs"/>
          <w:rtl/>
        </w:rPr>
        <w:t xml:space="preserve">اعتبارا من 1 كانون الثاني/يناير 1999 </w:t>
      </w:r>
      <w:r w:rsidR="006F15E8">
        <w:rPr>
          <w:rFonts w:hint="cs"/>
          <w:rtl/>
        </w:rPr>
        <w:t xml:space="preserve">استحداث </w:t>
      </w:r>
      <w:r>
        <w:rPr>
          <w:rFonts w:hint="cs"/>
          <w:rtl/>
        </w:rPr>
        <w:t xml:space="preserve">لوائح موحدة تتعلق بحق اكتساب الجنسية البولندية من جانب أزواج الرعايا البولنديين. ووفقا للصيغة الجديدة للمادة 10 من قانون الجنسية البولندية (جريدة القوانين لعام 2000، رقم 28، البند 353) </w:t>
      </w:r>
      <w:r>
        <w:rPr>
          <w:rFonts w:hint="eastAsia"/>
          <w:rtl/>
        </w:rPr>
        <w:t xml:space="preserve">”إن الأجنبي الذي يمنح الإذن بالإقامة في أراضي جمهورية بولندا ويظل متزوجا لمدة ثلاث سنوات على الأقل بشخص يحمل الجنسية البولندية، يكتسب الجنسية البولندية بشرط أن يتقدم بالبيان </w:t>
      </w:r>
      <w:r w:rsidR="000F4E9A">
        <w:rPr>
          <w:rFonts w:hint="eastAsia"/>
          <w:rtl/>
        </w:rPr>
        <w:t xml:space="preserve">الملائم للهيئة المختصة </w:t>
      </w:r>
      <w:r w:rsidR="000F4E9A">
        <w:rPr>
          <w:rFonts w:hint="cs"/>
          <w:rtl/>
        </w:rPr>
        <w:t>خلال ال</w:t>
      </w:r>
      <w:r>
        <w:rPr>
          <w:rFonts w:hint="eastAsia"/>
          <w:rtl/>
        </w:rPr>
        <w:t xml:space="preserve">فترة </w:t>
      </w:r>
      <w:r w:rsidR="000F4E9A">
        <w:rPr>
          <w:rFonts w:hint="cs"/>
          <w:rtl/>
        </w:rPr>
        <w:t>المنصوص علهيا</w:t>
      </w:r>
      <w:r>
        <w:rPr>
          <w:rFonts w:hint="eastAsia"/>
          <w:rtl/>
        </w:rPr>
        <w:t xml:space="preserve">، </w:t>
      </w:r>
      <w:r w:rsidR="000F4E9A">
        <w:rPr>
          <w:rFonts w:hint="cs"/>
          <w:rtl/>
        </w:rPr>
        <w:t>و</w:t>
      </w:r>
      <w:r>
        <w:rPr>
          <w:rFonts w:hint="eastAsia"/>
          <w:rtl/>
        </w:rPr>
        <w:t xml:space="preserve">تصدر إليه الهيئة المعنية قرارا يؤكد استلامها </w:t>
      </w:r>
      <w:r w:rsidR="000F4E9A">
        <w:rPr>
          <w:rFonts w:hint="cs"/>
          <w:rtl/>
        </w:rPr>
        <w:t>ا</w:t>
      </w:r>
      <w:r>
        <w:rPr>
          <w:rFonts w:hint="eastAsia"/>
          <w:rtl/>
        </w:rPr>
        <w:t>لبيان</w:t>
      </w:r>
      <w:r>
        <w:rPr>
          <w:rFonts w:hint="cs"/>
          <w:rtl/>
        </w:rPr>
        <w:t xml:space="preserve">“. </w:t>
      </w:r>
    </w:p>
    <w:p w:rsidR="005548C5" w:rsidRDefault="005548C5" w:rsidP="00CF540A">
      <w:pPr>
        <w:pStyle w:val="SingleTxt"/>
        <w:rPr>
          <w:rFonts w:hint="cs"/>
          <w:rtl/>
        </w:rPr>
      </w:pPr>
      <w:r>
        <w:rPr>
          <w:rFonts w:hint="cs"/>
          <w:rtl/>
        </w:rPr>
        <w:t>116 -</w:t>
      </w:r>
      <w:r>
        <w:rPr>
          <w:rFonts w:hint="cs"/>
          <w:rtl/>
        </w:rPr>
        <w:tab/>
        <w:t xml:space="preserve"> كما تم تعديل المادة 11 من القانون، </w:t>
      </w:r>
      <w:r w:rsidR="000F4E9A">
        <w:rPr>
          <w:rFonts w:hint="cs"/>
          <w:rtl/>
        </w:rPr>
        <w:t>و</w:t>
      </w:r>
      <w:r>
        <w:rPr>
          <w:rFonts w:hint="cs"/>
          <w:rtl/>
        </w:rPr>
        <w:t>بس</w:t>
      </w:r>
      <w:r w:rsidR="000F4E9A">
        <w:rPr>
          <w:rFonts w:hint="cs"/>
          <w:rtl/>
        </w:rPr>
        <w:t>ّ</w:t>
      </w:r>
      <w:r>
        <w:rPr>
          <w:rFonts w:hint="cs"/>
          <w:rtl/>
        </w:rPr>
        <w:t xml:space="preserve">طت </w:t>
      </w:r>
      <w:r w:rsidR="000F4E9A">
        <w:rPr>
          <w:rFonts w:hint="cs"/>
          <w:rtl/>
        </w:rPr>
        <w:t xml:space="preserve">المادة </w:t>
      </w:r>
      <w:r>
        <w:rPr>
          <w:rFonts w:hint="cs"/>
          <w:rtl/>
        </w:rPr>
        <w:t xml:space="preserve">إجراءات استعادة المرأة جنسيتها البولندية. </w:t>
      </w:r>
      <w:r w:rsidR="007069F2">
        <w:rPr>
          <w:rFonts w:hint="cs"/>
          <w:rtl/>
        </w:rPr>
        <w:t xml:space="preserve">وتنص المادة على أن المرأة التي فقدت جنسيتها البولندية للحصول على جنسية أجنبية </w:t>
      </w:r>
      <w:r w:rsidR="000F4E9A">
        <w:rPr>
          <w:rFonts w:hint="cs"/>
          <w:rtl/>
        </w:rPr>
        <w:t>نتيجة</w:t>
      </w:r>
      <w:r w:rsidR="007069F2">
        <w:rPr>
          <w:rFonts w:hint="cs"/>
          <w:rtl/>
        </w:rPr>
        <w:t xml:space="preserve"> زواجها من أجنبي، تستطيع استعادة جنسيتها البولندية بعد </w:t>
      </w:r>
      <w:r w:rsidR="000F4E9A">
        <w:rPr>
          <w:rFonts w:hint="cs"/>
          <w:rtl/>
        </w:rPr>
        <w:t>ا</w:t>
      </w:r>
      <w:r w:rsidR="007069F2">
        <w:rPr>
          <w:rFonts w:hint="cs"/>
          <w:rtl/>
        </w:rPr>
        <w:t>ن</w:t>
      </w:r>
      <w:r w:rsidR="00CF540A">
        <w:rPr>
          <w:rFonts w:hint="cs"/>
          <w:rtl/>
        </w:rPr>
        <w:t>ت</w:t>
      </w:r>
      <w:r w:rsidR="007069F2">
        <w:rPr>
          <w:rFonts w:hint="cs"/>
          <w:rtl/>
        </w:rPr>
        <w:t xml:space="preserve">هاء هذا الزواج من خلال تقديم البيان الملائم إلى الهيئة المختصة. وفي الصيغة المعدلة، تم الاستعاضة عن كلمة </w:t>
      </w:r>
      <w:r w:rsidR="007069F2">
        <w:rPr>
          <w:rFonts w:hint="eastAsia"/>
          <w:rtl/>
        </w:rPr>
        <w:t>”المرأة</w:t>
      </w:r>
      <w:r w:rsidR="007069F2">
        <w:rPr>
          <w:rFonts w:hint="cs"/>
          <w:rtl/>
        </w:rPr>
        <w:t xml:space="preserve">“ بكلمة </w:t>
      </w:r>
      <w:r w:rsidR="007069F2">
        <w:rPr>
          <w:rFonts w:hint="eastAsia"/>
          <w:rtl/>
        </w:rPr>
        <w:t>”الشخص</w:t>
      </w:r>
      <w:r w:rsidR="007069F2">
        <w:rPr>
          <w:rFonts w:hint="cs"/>
          <w:rtl/>
        </w:rPr>
        <w:t>“، ومن ثم تم معادلة حقوق المرأة والرجل في استعادة الجنسية البولندية بطريقة مبسطة. وبموجب التعديل، تم إلغاء المادة 14 المتعلقة بالإجراءات المبسطة لفقدان الجنسية البولندية من القانون.</w:t>
      </w:r>
    </w:p>
    <w:p w:rsidR="007069F2" w:rsidRDefault="007069F2" w:rsidP="007069F2">
      <w:pPr>
        <w:pStyle w:val="SingleTxt"/>
        <w:rPr>
          <w:rFonts w:hint="cs"/>
          <w:rtl/>
        </w:rPr>
      </w:pPr>
      <w:r>
        <w:rPr>
          <w:rFonts w:hint="cs"/>
          <w:rtl/>
        </w:rPr>
        <w:t>117 -</w:t>
      </w:r>
      <w:r>
        <w:rPr>
          <w:rFonts w:hint="cs"/>
          <w:rtl/>
        </w:rPr>
        <w:tab/>
        <w:t xml:space="preserve"> ظلت اللوائح المتبقية في التقريرين 4 و 5 بدون تغيير.</w:t>
      </w:r>
    </w:p>
    <w:p w:rsidR="005C3FB1" w:rsidRPr="005C3FB1" w:rsidRDefault="005C3FB1" w:rsidP="005C3FB1">
      <w:pPr>
        <w:pStyle w:val="SingleTxt"/>
        <w:spacing w:after="0" w:line="120" w:lineRule="exact"/>
        <w:rPr>
          <w:rFonts w:hint="cs"/>
          <w:sz w:val="10"/>
          <w:rtl/>
        </w:rPr>
      </w:pPr>
    </w:p>
    <w:p w:rsidR="007069F2" w:rsidRDefault="007069F2" w:rsidP="007069F2">
      <w:pPr>
        <w:pStyle w:val="SingleTxt"/>
        <w:rPr>
          <w:rFonts w:hint="cs"/>
          <w:b/>
          <w:bCs/>
          <w:rtl/>
        </w:rPr>
      </w:pPr>
      <w:r>
        <w:rPr>
          <w:rFonts w:hint="cs"/>
          <w:b/>
          <w:bCs/>
          <w:rtl/>
        </w:rPr>
        <w:t xml:space="preserve">المادة 10 </w:t>
      </w:r>
      <w:r>
        <w:rPr>
          <w:b/>
          <w:bCs/>
          <w:rtl/>
        </w:rPr>
        <w:t>–</w:t>
      </w:r>
      <w:r>
        <w:rPr>
          <w:rFonts w:hint="cs"/>
          <w:b/>
          <w:bCs/>
          <w:rtl/>
        </w:rPr>
        <w:t xml:space="preserve"> التعليم </w:t>
      </w:r>
    </w:p>
    <w:p w:rsidR="007069F2" w:rsidRDefault="007069F2" w:rsidP="0049248E">
      <w:pPr>
        <w:pStyle w:val="SingleTxt"/>
        <w:rPr>
          <w:rFonts w:hint="cs"/>
          <w:rtl/>
        </w:rPr>
      </w:pPr>
      <w:r>
        <w:rPr>
          <w:rFonts w:hint="cs"/>
          <w:rtl/>
        </w:rPr>
        <w:t>118 -</w:t>
      </w:r>
      <w:r>
        <w:rPr>
          <w:rFonts w:hint="cs"/>
          <w:rtl/>
        </w:rPr>
        <w:tab/>
        <w:t xml:space="preserve"> قبل إصلاح الت</w:t>
      </w:r>
      <w:r w:rsidR="0049248E">
        <w:rPr>
          <w:rFonts w:hint="cs"/>
          <w:rtl/>
        </w:rPr>
        <w:t>دريس</w:t>
      </w:r>
      <w:r>
        <w:rPr>
          <w:rFonts w:hint="cs"/>
          <w:rtl/>
        </w:rPr>
        <w:t xml:space="preserve">، كان نظام </w:t>
      </w:r>
      <w:r w:rsidR="0049248E">
        <w:rPr>
          <w:rFonts w:hint="cs"/>
          <w:rtl/>
        </w:rPr>
        <w:t xml:space="preserve">التعليم في بولندا يتألف من </w:t>
      </w:r>
      <w:r>
        <w:rPr>
          <w:rFonts w:hint="cs"/>
          <w:rtl/>
        </w:rPr>
        <w:t xml:space="preserve">مرحلة ابتدائية مدتها ثماني سنوات، ومرحلة ثانوية عامة مدتها أربع سنوات أو مرحلة تدريب مهني مدتها خمس سنوات. وأدى إصلاح </w:t>
      </w:r>
      <w:r w:rsidR="0049248E">
        <w:rPr>
          <w:rFonts w:hint="cs"/>
          <w:rtl/>
        </w:rPr>
        <w:t>نظام التعليم</w:t>
      </w:r>
      <w:r>
        <w:rPr>
          <w:rFonts w:hint="cs"/>
          <w:rtl/>
        </w:rPr>
        <w:t xml:space="preserve"> في الفترة 1998-2001 إلى استحداث مرحلة ابتدائية مدتها ست سنوات، تليها مرحلة إعدادية مدتها ثلاث سنوات، ومرحلة ثانوية عامة مدتها ثلاث سنوات، أو مرحلة تدريب مهني مدته</w:t>
      </w:r>
      <w:r w:rsidR="0049248E">
        <w:rPr>
          <w:rFonts w:hint="cs"/>
          <w:rtl/>
        </w:rPr>
        <w:t>ا</w:t>
      </w:r>
      <w:r>
        <w:rPr>
          <w:rFonts w:hint="cs"/>
          <w:rtl/>
        </w:rPr>
        <w:t xml:space="preserve"> أربع سنوات (جريدة القوانين لعام 199</w:t>
      </w:r>
      <w:r w:rsidR="0049248E">
        <w:rPr>
          <w:rFonts w:hint="cs"/>
          <w:rtl/>
        </w:rPr>
        <w:t xml:space="preserve">8، رقم 117، البند 759). وبسبب </w:t>
      </w:r>
      <w:r>
        <w:rPr>
          <w:rFonts w:hint="cs"/>
          <w:rtl/>
        </w:rPr>
        <w:t xml:space="preserve">توقيت </w:t>
      </w:r>
      <w:r w:rsidR="0049248E">
        <w:rPr>
          <w:rFonts w:hint="cs"/>
          <w:rtl/>
        </w:rPr>
        <w:t>ا</w:t>
      </w:r>
      <w:r>
        <w:rPr>
          <w:rFonts w:hint="cs"/>
          <w:rtl/>
        </w:rPr>
        <w:t xml:space="preserve">لإصلاح </w:t>
      </w:r>
      <w:r w:rsidR="0049248E">
        <w:rPr>
          <w:rFonts w:hint="cs"/>
          <w:rtl/>
        </w:rPr>
        <w:t xml:space="preserve">المتأخر، </w:t>
      </w:r>
      <w:r>
        <w:rPr>
          <w:rFonts w:hint="cs"/>
          <w:rtl/>
        </w:rPr>
        <w:t>لم تجر أي تحليلات متعمقة عن آثاره. وفيما يتعلق بالمادة 10 من الاتفاقية، لم تطرأ أي تغييرات على المسائل المناقشة أدناه.</w:t>
      </w:r>
    </w:p>
    <w:p w:rsidR="007069F2" w:rsidRDefault="007069F2" w:rsidP="0049248E">
      <w:pPr>
        <w:pStyle w:val="SingleTxt"/>
        <w:rPr>
          <w:rFonts w:hint="cs"/>
          <w:rtl/>
        </w:rPr>
      </w:pPr>
      <w:r>
        <w:rPr>
          <w:rFonts w:hint="cs"/>
          <w:rtl/>
        </w:rPr>
        <w:t>119 -</w:t>
      </w:r>
      <w:r>
        <w:rPr>
          <w:rFonts w:hint="cs"/>
          <w:rtl/>
        </w:rPr>
        <w:tab/>
        <w:t xml:space="preserve"> يتم الموافقة على المناهج المدرسية والكتب المدرسية على أساس الاستعراض الذي يقوم به الخبراء (أمر وزارة التعليم الوطني والرياضة المؤرخ 15 شباط/فبراير 1999 فيما يتعلق بشروط وإجراءات الموافقة على استخدام المدارس للمناهج الدراسية والكتب المدرسية والتوصية باستخدام مواد للمساعدة التعليمية، جريدة القوانين لعام 1999، رقم 14، البند 130). ويجب أن يتضمن كل استعراض تقييما لمدى انسجام محتويات الكتب المدرسية مع الاتفاقيات الدولية التي صدقت عليها بولندا. وينطبق ذلك أيضا على المساواة بين الجنسين</w:t>
      </w:r>
      <w:r w:rsidR="0049248E">
        <w:rPr>
          <w:rFonts w:hint="cs"/>
          <w:rtl/>
        </w:rPr>
        <w:t xml:space="preserve"> التي </w:t>
      </w:r>
      <w:r>
        <w:rPr>
          <w:rFonts w:hint="cs"/>
          <w:rtl/>
        </w:rPr>
        <w:t xml:space="preserve">ترمي إلى القضاء على القولبة النمطية للمرأة. ووفقا للخبراء، فإن الكتب المدرسية التي تمت الموافقة عليها بعد 10 آذار/مارس 1999 لا تنتهك مبدأ المساواة والشراكة، وعليه لا داعي إلى تنقيحها. </w:t>
      </w:r>
    </w:p>
    <w:p w:rsidR="007069F2" w:rsidRDefault="007069F2" w:rsidP="0049248E">
      <w:pPr>
        <w:pStyle w:val="SingleTxt"/>
        <w:rPr>
          <w:rFonts w:hint="cs"/>
          <w:rtl/>
        </w:rPr>
      </w:pPr>
      <w:r>
        <w:rPr>
          <w:rFonts w:hint="cs"/>
          <w:rtl/>
        </w:rPr>
        <w:t>120 -</w:t>
      </w:r>
      <w:r>
        <w:rPr>
          <w:rFonts w:hint="cs"/>
          <w:rtl/>
        </w:rPr>
        <w:tab/>
        <w:t xml:space="preserve"> وفي تشرين</w:t>
      </w:r>
      <w:r w:rsidR="0049248E">
        <w:rPr>
          <w:rFonts w:hint="cs"/>
          <w:rtl/>
        </w:rPr>
        <w:t xml:space="preserve"> الأول/أكتوبر 2000، نظمت المفوضة الحكومية المعنية با</w:t>
      </w:r>
      <w:r>
        <w:rPr>
          <w:rFonts w:hint="cs"/>
          <w:rtl/>
        </w:rPr>
        <w:t xml:space="preserve">لمساواة بين مركز </w:t>
      </w:r>
      <w:r w:rsidR="0049248E">
        <w:rPr>
          <w:rFonts w:hint="cs"/>
          <w:rtl/>
        </w:rPr>
        <w:t xml:space="preserve">النساء والرجال </w:t>
      </w:r>
      <w:r>
        <w:rPr>
          <w:rFonts w:hint="cs"/>
          <w:rtl/>
        </w:rPr>
        <w:t xml:space="preserve">مؤتمرا عن </w:t>
      </w:r>
      <w:r>
        <w:rPr>
          <w:rFonts w:hint="eastAsia"/>
          <w:rtl/>
        </w:rPr>
        <w:t>”المساواة والتسامح في الكتب المدرسية</w:t>
      </w:r>
      <w:r>
        <w:rPr>
          <w:rFonts w:hint="cs"/>
          <w:rtl/>
        </w:rPr>
        <w:t>“. وقدم المشاركون تحليلات عن المناهج الدراسية والكتب المدرسية وركزوا فيها على محتوياتها، مع الإشارة بصفة خاصة إلى موضوع التسامح والمساواة. وبعد المؤتمر، أعد فريق عامل النتائج التي تم إحالتها إلى وزارة التعليم الوطنية والرياضة. وتنص هذه النتائج في جملة أمور على إعداد قائمة بالمعايير والمقاييس التي تتعلق بالمساواة بين الجنسين، يستخدمها الخبراء في الوزارة لتقييم المناهج الدراسية والكتب المدرسية، وإعداد برامج تدريبية للمدرسين.</w:t>
      </w:r>
    </w:p>
    <w:p w:rsidR="007069F2" w:rsidRDefault="007069F2" w:rsidP="009C102D">
      <w:pPr>
        <w:pStyle w:val="SingleTxt"/>
        <w:rPr>
          <w:rFonts w:hint="cs"/>
          <w:rtl/>
        </w:rPr>
      </w:pPr>
      <w:r>
        <w:rPr>
          <w:rFonts w:hint="cs"/>
          <w:rtl/>
        </w:rPr>
        <w:t>121 -</w:t>
      </w:r>
      <w:r>
        <w:rPr>
          <w:rFonts w:hint="cs"/>
          <w:rtl/>
        </w:rPr>
        <w:tab/>
        <w:t xml:space="preserve"> وقبل عام 2001، </w:t>
      </w:r>
      <w:r w:rsidR="00652DF1">
        <w:rPr>
          <w:rFonts w:hint="cs"/>
          <w:rtl/>
        </w:rPr>
        <w:t>كانت تدفع من ميزانية الدولة الاحتياطية المخصصة للحد من وطأة الفقر على الأطفال والشباب أموال لشراء المواد التعليمية للأطفال الذين يأتون من أفقر العائلات، بالإضافة إلى</w:t>
      </w:r>
      <w:r w:rsidR="0049248E">
        <w:rPr>
          <w:rFonts w:hint="cs"/>
          <w:rtl/>
        </w:rPr>
        <w:t xml:space="preserve"> تقديم</w:t>
      </w:r>
      <w:r w:rsidR="00652DF1">
        <w:rPr>
          <w:rFonts w:hint="cs"/>
          <w:rtl/>
        </w:rPr>
        <w:t xml:space="preserve"> منح في شكل مساعدات اجتماعية، وسكن في قاعات النوم، ووجبات غذائية. وتم تخصيص مبلغ إضافي من ميزانية الدولة لعام 2000 بنفس القيمة (يعادل 6.9 مليون من دولارات الولايات المتحدة) لمساعدة شباب الريف. وابتداء من عام 2001، تم إدراج الأموال المستخدمة في شراء المواد التعليمية للأطفال الذين يأتون من أفقر العائلات في الجزء التعليمي من الإعانات العامة. وشهد عام 2001 استحداث حساب لوغاريتمي </w:t>
      </w:r>
      <w:r w:rsidR="0049248E">
        <w:rPr>
          <w:rFonts w:hint="cs"/>
          <w:rtl/>
        </w:rPr>
        <w:t>لتحديد مبلغ ا</w:t>
      </w:r>
      <w:r w:rsidR="00BC1793">
        <w:rPr>
          <w:rFonts w:hint="cs"/>
          <w:rtl/>
        </w:rPr>
        <w:t>لإ</w:t>
      </w:r>
      <w:r w:rsidR="00652DF1">
        <w:rPr>
          <w:rFonts w:hint="cs"/>
          <w:rtl/>
        </w:rPr>
        <w:t xml:space="preserve">عانات التعليمية </w:t>
      </w:r>
      <w:r w:rsidR="0049248E">
        <w:rPr>
          <w:rFonts w:hint="cs"/>
          <w:rtl/>
        </w:rPr>
        <w:t>المقدمة ل</w:t>
      </w:r>
      <w:r w:rsidR="00652DF1">
        <w:rPr>
          <w:rFonts w:hint="cs"/>
          <w:rtl/>
        </w:rPr>
        <w:t xml:space="preserve">ما يسمى بالوحدات الفقيرة </w:t>
      </w:r>
      <w:r w:rsidR="0049248E">
        <w:rPr>
          <w:rFonts w:hint="cs"/>
          <w:rtl/>
        </w:rPr>
        <w:t>في مناطق</w:t>
      </w:r>
      <w:r w:rsidR="00652DF1">
        <w:rPr>
          <w:rFonts w:hint="cs"/>
          <w:rtl/>
        </w:rPr>
        <w:t xml:space="preserve"> الحكم الذاتي (إعانات مكيفة) حيث دخل الفرد فيها أقل من 60 في المائة من المتوسط الوطني. واستمر هذا الشكل من المعونة في عام 2002.</w:t>
      </w:r>
    </w:p>
    <w:p w:rsidR="00652DF1" w:rsidRDefault="00652DF1" w:rsidP="007069F2">
      <w:pPr>
        <w:pStyle w:val="SingleTxt"/>
        <w:rPr>
          <w:rFonts w:hint="cs"/>
          <w:rtl/>
        </w:rPr>
      </w:pPr>
      <w:r>
        <w:rPr>
          <w:rFonts w:hint="cs"/>
          <w:rtl/>
        </w:rPr>
        <w:t>122 -</w:t>
      </w:r>
      <w:r>
        <w:rPr>
          <w:rFonts w:hint="cs"/>
          <w:rtl/>
        </w:rPr>
        <w:tab/>
        <w:t xml:space="preserve"> شكلت البنات 63 في المائة من التلاميذ الذين حصلوا على جوائز مالية من رئيس الوزراء في عام 2002 لتفوقهم في المدرسة. وكانت نتائج البنات أيضا أفضل من نتائج البنين في الامتحانات الخارجية، التي تم استحداثها في النظام التعليمي.</w:t>
      </w:r>
    </w:p>
    <w:p w:rsidR="00652DF1" w:rsidRDefault="00652DF1" w:rsidP="00322499">
      <w:pPr>
        <w:pStyle w:val="SingleTxt"/>
        <w:rPr>
          <w:rFonts w:hint="cs"/>
          <w:rtl/>
        </w:rPr>
      </w:pPr>
      <w:r>
        <w:rPr>
          <w:rFonts w:hint="cs"/>
          <w:rtl/>
        </w:rPr>
        <w:t>123 -</w:t>
      </w:r>
      <w:r>
        <w:rPr>
          <w:rFonts w:hint="cs"/>
          <w:rtl/>
        </w:rPr>
        <w:tab/>
        <w:t xml:space="preserve"> ويعكس توزيع الجنسين بين التلاميذ هيكل السكان بصفة عامة في فئة عمرية محددة، فهناك 94 من البنات لكل 100 من البنين في المدارس الابتدائية، و 95 من البنات لكل 100 من البنين في المدارس ا</w:t>
      </w:r>
      <w:r w:rsidR="004F77E9">
        <w:rPr>
          <w:rFonts w:hint="cs"/>
          <w:rtl/>
        </w:rPr>
        <w:t>لإ</w:t>
      </w:r>
      <w:r>
        <w:rPr>
          <w:rFonts w:hint="cs"/>
          <w:rtl/>
        </w:rPr>
        <w:t xml:space="preserve">عدادية. وتختلف نسبة الجنسين بين التلاميذ في المراحل التالية ويعتمد ذلك على نوع المدرسة. </w:t>
      </w:r>
      <w:r w:rsidR="00322499">
        <w:rPr>
          <w:rFonts w:hint="cs"/>
          <w:rtl/>
        </w:rPr>
        <w:t>و</w:t>
      </w:r>
      <w:r>
        <w:rPr>
          <w:rFonts w:hint="cs"/>
          <w:rtl/>
        </w:rPr>
        <w:t>تشكل البنات أغلبية واضحة في المدارس الثانوية العامة، فهناك 215 من البنات لكل 100 من البنين في السنة الدراسية 1995-1996، و</w:t>
      </w:r>
      <w:r>
        <w:rPr>
          <w:rFonts w:hint="eastAsia"/>
          <w:rtl/>
        </w:rPr>
        <w:t> </w:t>
      </w:r>
      <w:r>
        <w:rPr>
          <w:rFonts w:hint="cs"/>
          <w:rtl/>
        </w:rPr>
        <w:t>164 من البنات لكل 100 من البنين في السنة الدراسية 2002-2003. وهناك في المتوسط 52 من البنات لكل 100 من البنين في مدارس التدريب المهني الأساسية. وترد</w:t>
      </w:r>
      <w:r w:rsidR="00322499">
        <w:rPr>
          <w:rFonts w:hint="cs"/>
          <w:rtl/>
        </w:rPr>
        <w:t xml:space="preserve"> في الجدول ألف -10-1، المرفق</w:t>
      </w:r>
      <w:r>
        <w:rPr>
          <w:rFonts w:hint="cs"/>
          <w:rtl/>
        </w:rPr>
        <w:t xml:space="preserve"> نسبة النساء بين طلاب وخريجي الدراسات العليا في السنة الأكاديمية 1999-2000.</w:t>
      </w:r>
    </w:p>
    <w:p w:rsidR="00652DF1" w:rsidRDefault="00652DF1" w:rsidP="00322499">
      <w:pPr>
        <w:pStyle w:val="SingleTxt"/>
        <w:rPr>
          <w:rFonts w:hint="cs"/>
          <w:rtl/>
        </w:rPr>
      </w:pPr>
      <w:r>
        <w:rPr>
          <w:rFonts w:hint="cs"/>
          <w:rtl/>
        </w:rPr>
        <w:t>124 -</w:t>
      </w:r>
      <w:r>
        <w:rPr>
          <w:rFonts w:hint="cs"/>
          <w:rtl/>
        </w:rPr>
        <w:tab/>
        <w:t xml:space="preserve"> في الفترة 1998-2000، </w:t>
      </w:r>
      <w:r w:rsidR="00322499">
        <w:rPr>
          <w:rFonts w:hint="cs"/>
          <w:rtl/>
        </w:rPr>
        <w:t>مثلت البنات</w:t>
      </w:r>
      <w:r w:rsidR="00037F27">
        <w:rPr>
          <w:rFonts w:hint="cs"/>
          <w:rtl/>
        </w:rPr>
        <w:t xml:space="preserve"> 46.7 في المائة من التلاميذ (49.6 في المائة من الخريجين) في مدار</w:t>
      </w:r>
      <w:r w:rsidR="00322499">
        <w:rPr>
          <w:rFonts w:hint="cs"/>
          <w:rtl/>
        </w:rPr>
        <w:t>س التدريب المهني</w:t>
      </w:r>
      <w:r w:rsidR="00037F27">
        <w:rPr>
          <w:rFonts w:hint="cs"/>
          <w:rtl/>
        </w:rPr>
        <w:t xml:space="preserve"> الثانوية، و 23 في المائة من التلاميذ (24.9 في المائة من الخريجين) في المدارس الثانوية التقنية. وترد البيانات عن التلاميذ من الجنسين في الجدول ألف -10-2 (المرفق).</w:t>
      </w:r>
    </w:p>
    <w:p w:rsidR="00037F27" w:rsidRDefault="00037F27" w:rsidP="00652DF1">
      <w:pPr>
        <w:pStyle w:val="SingleTxt"/>
        <w:rPr>
          <w:rFonts w:hint="cs"/>
          <w:rtl/>
        </w:rPr>
      </w:pPr>
      <w:r>
        <w:rPr>
          <w:rFonts w:hint="cs"/>
          <w:rtl/>
        </w:rPr>
        <w:t>125 -</w:t>
      </w:r>
      <w:r>
        <w:rPr>
          <w:rFonts w:hint="cs"/>
          <w:rtl/>
        </w:rPr>
        <w:tab/>
        <w:t xml:space="preserve"> في عام 2000، مثلت المرأة 57 في المائة من طلبة المدارس العليا و 64 في المائة من الخريجين. وشكلت النساء 38 في المائة من جميع المدرسين الأكاديميين. ووفقا للدراسة الاستقصائية عن العاملين في مجال التعليم، مثلت النساء في السنة الدراسية 2000-2001 نسبة 78 في المائة من جميع المدرسين و 73 في المائة من جميع نظار المدارس ونوابهم. ومقارنة بالسنة الدراسية 1998-1999، ازداد عدد المدرسات بنسبة 0.5 في المائة.</w:t>
      </w:r>
    </w:p>
    <w:p w:rsidR="00037F27" w:rsidRDefault="00037F27" w:rsidP="00B944CD">
      <w:pPr>
        <w:pStyle w:val="SingleTxt"/>
        <w:rPr>
          <w:rFonts w:hint="cs"/>
          <w:rtl/>
        </w:rPr>
      </w:pPr>
      <w:r>
        <w:rPr>
          <w:rFonts w:hint="cs"/>
          <w:rtl/>
        </w:rPr>
        <w:t>126 -</w:t>
      </w:r>
      <w:r>
        <w:rPr>
          <w:rFonts w:hint="cs"/>
          <w:rtl/>
        </w:rPr>
        <w:tab/>
        <w:t xml:space="preserve"> يفوق عدد الخريجات عدد الخريجين في جميع المدارس العليا تقريبا، باستثناء الأكاديميات العسكرية وكليات اللاهوت. ويتم توظيف النساء في الأكاديميات العسكرية وفقا لنفس المعايير المتبعة بالنسبة للرجال (قانون الخدمة العسكرية للجنود المحترفين، جريدة القوانين لعام 1997، رقم 10، البند 55). وفي عام 1999، أضيف إلى </w:t>
      </w:r>
      <w:r w:rsidR="00B944CD">
        <w:rPr>
          <w:rFonts w:hint="cs"/>
          <w:rtl/>
        </w:rPr>
        <w:t xml:space="preserve">الخيارات المتاحة للمرأة لكي تنضم إلى الجيش إمكانية </w:t>
      </w:r>
      <w:r>
        <w:rPr>
          <w:rFonts w:hint="cs"/>
          <w:rtl/>
        </w:rPr>
        <w:t>الالتحاق بالمدارس</w:t>
      </w:r>
      <w:r w:rsidR="00B944CD">
        <w:rPr>
          <w:rFonts w:hint="cs"/>
          <w:rtl/>
        </w:rPr>
        <w:t xml:space="preserve"> العسكرية على مختلف المستويات</w:t>
      </w:r>
      <w:r>
        <w:rPr>
          <w:rFonts w:hint="cs"/>
          <w:rtl/>
        </w:rPr>
        <w:t xml:space="preserve">. وقبل ذلك، كان يمكن للمرأة أن تنضم إلى الجيش عن طريق استخدام ما يسمى بالإجراءات الخاصة، التي تسمح للقوات المسلحة </w:t>
      </w:r>
      <w:r w:rsidR="00B944CD">
        <w:rPr>
          <w:rFonts w:hint="cs"/>
          <w:rtl/>
        </w:rPr>
        <w:t>ب</w:t>
      </w:r>
      <w:r>
        <w:rPr>
          <w:rFonts w:hint="cs"/>
          <w:rtl/>
        </w:rPr>
        <w:t xml:space="preserve">اجتذاب الأخصائيين الذين تحتاج إليهم. والعمل جار لتعريف معايير اللياقة البدنية اللازمة للمرأة التي تتقدم بطلب للانضمام إلى الأكاديميات العسكرية. وفي عام 2002، كان هناك 183 امرأة في جميع الأكاديميات العسكرية في بولندا. </w:t>
      </w:r>
    </w:p>
    <w:p w:rsidR="00037F27" w:rsidRDefault="00037F27" w:rsidP="00B944CD">
      <w:pPr>
        <w:pStyle w:val="SingleTxt"/>
        <w:rPr>
          <w:rFonts w:hint="cs"/>
          <w:rtl/>
        </w:rPr>
      </w:pPr>
      <w:r>
        <w:rPr>
          <w:rFonts w:hint="cs"/>
          <w:rtl/>
        </w:rPr>
        <w:t>127 -</w:t>
      </w:r>
      <w:r>
        <w:rPr>
          <w:rFonts w:hint="cs"/>
          <w:rtl/>
        </w:rPr>
        <w:tab/>
        <w:t xml:space="preserve"> تم في الفترة 2001-2003 تنفيذ برنامج رائد لمساعدة جالية الروما في منطقة مالوبولسكي. وهدف البرنامج دعم تعليم أطفال الروما، وبصفة خاصة منع بنات الروما من هجرة المدارس. وتم استغلال الخبرة المكتسبة من هذا المشروع لوضع برنامج على نطاق الأمة من أجل مساعدة جالية الروما، وقد بدأ تنفيذ البرنامج </w:t>
      </w:r>
      <w:r w:rsidR="00DA23C6">
        <w:rPr>
          <w:rFonts w:hint="cs"/>
          <w:rtl/>
        </w:rPr>
        <w:t>في 1 كانون الثاني/يناير 2004 وسوف يستمر حتى عام 2013. وتقوم وزارة الداخلية والإدارة بتنسيق البرنامج.</w:t>
      </w:r>
    </w:p>
    <w:p w:rsidR="00DA23C6" w:rsidRDefault="00DA23C6" w:rsidP="00DB752C">
      <w:pPr>
        <w:pStyle w:val="SingleTxt"/>
        <w:rPr>
          <w:rFonts w:hint="cs"/>
          <w:rtl/>
        </w:rPr>
      </w:pPr>
      <w:r>
        <w:rPr>
          <w:rFonts w:hint="cs"/>
          <w:rtl/>
        </w:rPr>
        <w:t>128 -</w:t>
      </w:r>
      <w:r>
        <w:rPr>
          <w:rFonts w:hint="cs"/>
          <w:rtl/>
        </w:rPr>
        <w:tab/>
        <w:t xml:space="preserve"> ويسمح التعديل الذي تم إدخاله على قانون </w:t>
      </w:r>
      <w:r>
        <w:rPr>
          <w:rFonts w:hint="eastAsia"/>
          <w:rtl/>
        </w:rPr>
        <w:t>”تنظيم الأسرة وحماية الجنين البشري والظروف التي تسمح بإجراء عمليات الإجهاض</w:t>
      </w:r>
      <w:r>
        <w:rPr>
          <w:rFonts w:hint="cs"/>
          <w:rtl/>
        </w:rPr>
        <w:t>“ باستحداث مادة</w:t>
      </w:r>
      <w:r>
        <w:rPr>
          <w:rFonts w:hint="eastAsia"/>
          <w:rtl/>
        </w:rPr>
        <w:t>”تثقيف الأسرة بشؤون الحياة</w:t>
      </w:r>
      <w:r>
        <w:rPr>
          <w:rFonts w:hint="cs"/>
          <w:rtl/>
        </w:rPr>
        <w:t>“</w:t>
      </w:r>
      <w:r w:rsidR="00B944CD">
        <w:rPr>
          <w:rFonts w:hint="cs"/>
          <w:rtl/>
        </w:rPr>
        <w:t xml:space="preserve"> في المناهج المدرسية</w:t>
      </w:r>
      <w:r>
        <w:rPr>
          <w:rFonts w:hint="cs"/>
          <w:rtl/>
        </w:rPr>
        <w:t xml:space="preserve">. وفي عام 2002، أصدرت وزارة التعليم الوطني والرياضة مرسوما أطلقت عليه اسم </w:t>
      </w:r>
      <w:r>
        <w:rPr>
          <w:rFonts w:hint="eastAsia"/>
          <w:rtl/>
        </w:rPr>
        <w:t xml:space="preserve">”برنامج أساسي للتعليم في فترة ما قبل </w:t>
      </w:r>
      <w:r w:rsidR="00B944CD">
        <w:rPr>
          <w:rFonts w:hint="cs"/>
          <w:rtl/>
        </w:rPr>
        <w:t xml:space="preserve">المرحلة </w:t>
      </w:r>
      <w:r>
        <w:rPr>
          <w:rFonts w:hint="eastAsia"/>
          <w:rtl/>
        </w:rPr>
        <w:t>الدر</w:t>
      </w:r>
      <w:r w:rsidR="00B944CD">
        <w:rPr>
          <w:rFonts w:hint="cs"/>
          <w:rtl/>
        </w:rPr>
        <w:t>ا</w:t>
      </w:r>
      <w:r>
        <w:rPr>
          <w:rFonts w:hint="eastAsia"/>
          <w:rtl/>
        </w:rPr>
        <w:t>س</w:t>
      </w:r>
      <w:r w:rsidR="00B944CD">
        <w:rPr>
          <w:rFonts w:hint="cs"/>
          <w:rtl/>
        </w:rPr>
        <w:t>ي</w:t>
      </w:r>
      <w:r>
        <w:rPr>
          <w:rFonts w:hint="eastAsia"/>
          <w:rtl/>
        </w:rPr>
        <w:t>ة و</w:t>
      </w:r>
      <w:r w:rsidR="00B944CD">
        <w:rPr>
          <w:rFonts w:hint="cs"/>
          <w:rtl/>
        </w:rPr>
        <w:t xml:space="preserve">مرحلة </w:t>
      </w:r>
      <w:r>
        <w:rPr>
          <w:rFonts w:hint="eastAsia"/>
          <w:rtl/>
        </w:rPr>
        <w:t xml:space="preserve">التعليم العام </w:t>
      </w:r>
      <w:r w:rsidR="00B944CD">
        <w:rPr>
          <w:rFonts w:hint="cs"/>
          <w:rtl/>
        </w:rPr>
        <w:t>في كل أ</w:t>
      </w:r>
      <w:r>
        <w:rPr>
          <w:rFonts w:hint="eastAsia"/>
          <w:rtl/>
        </w:rPr>
        <w:t>نو</w:t>
      </w:r>
      <w:r w:rsidR="00B944CD">
        <w:rPr>
          <w:rFonts w:hint="cs"/>
          <w:rtl/>
        </w:rPr>
        <w:t>ا</w:t>
      </w:r>
      <w:r>
        <w:rPr>
          <w:rFonts w:hint="eastAsia"/>
          <w:rtl/>
        </w:rPr>
        <w:t>ع المدارس</w:t>
      </w:r>
      <w:r>
        <w:rPr>
          <w:rFonts w:hint="cs"/>
          <w:rtl/>
        </w:rPr>
        <w:t>“ وقد تم إ</w:t>
      </w:r>
      <w:r w:rsidR="00F629CC">
        <w:rPr>
          <w:rFonts w:hint="cs"/>
          <w:rtl/>
        </w:rPr>
        <w:t>ضافة</w:t>
      </w:r>
      <w:r>
        <w:rPr>
          <w:rFonts w:hint="cs"/>
          <w:rtl/>
        </w:rPr>
        <w:t xml:space="preserve"> هذا البرنامج </w:t>
      </w:r>
      <w:r w:rsidR="00F629CC">
        <w:rPr>
          <w:rFonts w:hint="cs"/>
          <w:rtl/>
        </w:rPr>
        <w:t>إلى</w:t>
      </w:r>
      <w:r>
        <w:rPr>
          <w:rFonts w:hint="cs"/>
          <w:rtl/>
        </w:rPr>
        <w:t xml:space="preserve"> المناهج الدراسية في الصفوف ذات الصلة، ولا</w:t>
      </w:r>
      <w:r>
        <w:rPr>
          <w:rFonts w:hint="eastAsia"/>
          <w:rtl/>
        </w:rPr>
        <w:t> </w:t>
      </w:r>
      <w:r>
        <w:rPr>
          <w:rFonts w:hint="cs"/>
          <w:rtl/>
        </w:rPr>
        <w:t>ي</w:t>
      </w:r>
      <w:r w:rsidR="00F629CC">
        <w:rPr>
          <w:rFonts w:hint="cs"/>
          <w:rtl/>
        </w:rPr>
        <w:t>قدك</w:t>
      </w:r>
      <w:r>
        <w:rPr>
          <w:rFonts w:hint="cs"/>
          <w:rtl/>
        </w:rPr>
        <w:t xml:space="preserve"> معلومات عن العلاقات الجنسية بين الأشخاص فحسب بل يعالج أيضا مسائل مثل وسائل منع الحمل، والتسامح، و</w:t>
      </w:r>
      <w:r w:rsidR="00DB752C">
        <w:rPr>
          <w:rFonts w:hint="cs"/>
          <w:rtl/>
        </w:rPr>
        <w:t xml:space="preserve">التحلي بالمسؤولية في </w:t>
      </w:r>
      <w:r>
        <w:rPr>
          <w:rFonts w:hint="cs"/>
          <w:rtl/>
        </w:rPr>
        <w:t xml:space="preserve">المواقف الجنسية. </w:t>
      </w:r>
    </w:p>
    <w:p w:rsidR="00DA23C6" w:rsidRDefault="00DA23C6" w:rsidP="00DB752C">
      <w:pPr>
        <w:pStyle w:val="SingleTxt"/>
        <w:rPr>
          <w:rFonts w:hint="cs"/>
          <w:rtl/>
        </w:rPr>
      </w:pPr>
      <w:r>
        <w:rPr>
          <w:rFonts w:hint="cs"/>
          <w:rtl/>
        </w:rPr>
        <w:t>129 -</w:t>
      </w:r>
      <w:r>
        <w:rPr>
          <w:rFonts w:hint="cs"/>
          <w:rtl/>
        </w:rPr>
        <w:tab/>
        <w:t xml:space="preserve"> أضافت وزارة التعليم الوطني والرياضة </w:t>
      </w:r>
      <w:r w:rsidR="00DB752C">
        <w:rPr>
          <w:rFonts w:hint="cs"/>
          <w:rtl/>
        </w:rPr>
        <w:t xml:space="preserve">أسماء خبراء آخرين </w:t>
      </w:r>
      <w:r>
        <w:rPr>
          <w:rFonts w:hint="cs"/>
          <w:rtl/>
        </w:rPr>
        <w:t xml:space="preserve">إلى قائمة الخبراء الذين يستعرضون الكتب المدرسية الجديدة الرامية إلى تقديم المعلومات الحديثة عن العلاقات الجنسية. وإن المشاركة في الصفوف التي تعالج </w:t>
      </w:r>
      <w:r>
        <w:rPr>
          <w:rFonts w:hint="eastAsia"/>
          <w:rtl/>
        </w:rPr>
        <w:t>”تثقيف الأسرة بشؤون الحياة</w:t>
      </w:r>
      <w:r>
        <w:rPr>
          <w:rFonts w:hint="cs"/>
          <w:rtl/>
        </w:rPr>
        <w:t>“ غير إجبارية ولا يتم امتحان التلاميذ فيها، ويجب الحصول على موافقة الأهل أو أولياء الأمور لكي يحضرها التلاميذ. ويتم اختيار المعلمين الذين يدر</w:t>
      </w:r>
      <w:r w:rsidR="00DB752C">
        <w:rPr>
          <w:rFonts w:hint="cs"/>
          <w:rtl/>
        </w:rPr>
        <w:t>ّ</w:t>
      </w:r>
      <w:r>
        <w:rPr>
          <w:rFonts w:hint="cs"/>
          <w:rtl/>
        </w:rPr>
        <w:t xml:space="preserve">سون هذا الموضوع على أساس معايير عامة لا تشمل نوع الجنس. وتتسم المناهج الدراسية لتلاميذ المرحلة الإعدادية بالحياد من وجهة النظر العامة، وتتضمن معلومات محينة عن وسائل منع الحمل. </w:t>
      </w:r>
    </w:p>
    <w:p w:rsidR="00DA23C6" w:rsidRDefault="00DA23C6" w:rsidP="00DA23C6">
      <w:pPr>
        <w:pStyle w:val="SingleTxt"/>
        <w:rPr>
          <w:rFonts w:hint="cs"/>
          <w:rtl/>
        </w:rPr>
      </w:pPr>
      <w:r>
        <w:rPr>
          <w:rFonts w:hint="cs"/>
          <w:rtl/>
        </w:rPr>
        <w:t>130 -</w:t>
      </w:r>
      <w:r>
        <w:rPr>
          <w:rFonts w:hint="cs"/>
          <w:rtl/>
        </w:rPr>
        <w:tab/>
        <w:t xml:space="preserve"> وفي مجال التعليم، لخطة العمل الوطنية للمرأة </w:t>
      </w:r>
      <w:r>
        <w:rPr>
          <w:rtl/>
        </w:rPr>
        <w:t>–</w:t>
      </w:r>
      <w:r>
        <w:rPr>
          <w:rFonts w:hint="cs"/>
          <w:rtl/>
        </w:rPr>
        <w:t xml:space="preserve"> مرحلة التنفيذ الثانية للفترة 2003-2005 (التي اعتمدتها الحكومة في 19 آب/أغسطس 2003) هدف استراتيجي يتمثل في </w:t>
      </w:r>
      <w:r>
        <w:rPr>
          <w:rFonts w:hint="eastAsia"/>
          <w:rtl/>
        </w:rPr>
        <w:t>”القضاء على جميع أشكال اللامساواة والتمييز ضد المرأة في عملية التعليم</w:t>
      </w:r>
      <w:r>
        <w:rPr>
          <w:rFonts w:hint="cs"/>
          <w:rtl/>
        </w:rPr>
        <w:t>“. وفيما يلي المهام المذكورة في البرنامج:</w:t>
      </w:r>
    </w:p>
    <w:p w:rsidR="00DA23C6" w:rsidRDefault="00DA23C6" w:rsidP="00DB752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006A105E">
        <w:rPr>
          <w:rFonts w:hint="cs"/>
          <w:rtl/>
        </w:rPr>
        <w:t>-</w:t>
      </w:r>
      <w:r w:rsidR="006A105E">
        <w:rPr>
          <w:rFonts w:hint="cs"/>
          <w:rtl/>
        </w:rPr>
        <w:tab/>
        <w:t xml:space="preserve">استعراض التقييدات </w:t>
      </w:r>
      <w:r w:rsidR="00DB752C">
        <w:rPr>
          <w:rFonts w:hint="cs"/>
          <w:rtl/>
        </w:rPr>
        <w:t>المفروضة على</w:t>
      </w:r>
      <w:r w:rsidR="006A105E">
        <w:rPr>
          <w:rFonts w:hint="cs"/>
          <w:rtl/>
        </w:rPr>
        <w:t xml:space="preserve"> التحاق البنات والنساء في جميع أنواع المدارس العامة؛</w:t>
      </w:r>
    </w:p>
    <w:p w:rsidR="006A105E" w:rsidRDefault="006A105E" w:rsidP="005C3F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إيجاد ظروف لكي تواصل المرأة تعليمها إذا اضطرت إلى ترك المدرسة بسبب الحمل، أو الولادة، أو </w:t>
      </w:r>
      <w:r w:rsidR="00DB752C">
        <w:rPr>
          <w:rFonts w:hint="cs"/>
          <w:rtl/>
        </w:rPr>
        <w:t>القيام ب</w:t>
      </w:r>
      <w:r>
        <w:rPr>
          <w:rFonts w:hint="cs"/>
          <w:rtl/>
        </w:rPr>
        <w:t>واجبات الأمومة؛</w:t>
      </w:r>
    </w:p>
    <w:p w:rsidR="006A105E" w:rsidRDefault="006A105E" w:rsidP="00DB752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التأكد من وجود فرص متساوية ل</w:t>
      </w:r>
      <w:r w:rsidR="00DB752C">
        <w:rPr>
          <w:rFonts w:hint="cs"/>
          <w:rtl/>
        </w:rPr>
        <w:t>حصول ا</w:t>
      </w:r>
      <w:r>
        <w:rPr>
          <w:rFonts w:hint="cs"/>
          <w:rtl/>
        </w:rPr>
        <w:t>لنساء والرجال على التعليم خارج نطاق المناهج الرسمية وخارج الإطار المدرسي؛</w:t>
      </w:r>
    </w:p>
    <w:p w:rsidR="006A105E" w:rsidRDefault="006A105E" w:rsidP="005C3F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إدخال مبدأ المساواة بين الجنسين في المناهج الدراسية والكتب المدرسية والمواد التعليمية على جميع مستويات التعليم. </w:t>
      </w:r>
    </w:p>
    <w:p w:rsidR="005C3FB1" w:rsidRPr="005C3FB1" w:rsidRDefault="005C3FB1" w:rsidP="005C3F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6A105E" w:rsidRDefault="006A105E" w:rsidP="00DA23C6">
      <w:pPr>
        <w:pStyle w:val="SingleTxt"/>
        <w:rPr>
          <w:rFonts w:hint="cs"/>
          <w:b/>
          <w:bCs/>
          <w:rtl/>
        </w:rPr>
      </w:pPr>
      <w:r>
        <w:rPr>
          <w:rFonts w:hint="cs"/>
          <w:b/>
          <w:bCs/>
          <w:rtl/>
        </w:rPr>
        <w:t xml:space="preserve">المادة 11 </w:t>
      </w:r>
      <w:r>
        <w:rPr>
          <w:b/>
          <w:bCs/>
          <w:rtl/>
        </w:rPr>
        <w:t>–</w:t>
      </w:r>
      <w:r>
        <w:rPr>
          <w:rFonts w:hint="cs"/>
          <w:b/>
          <w:bCs/>
          <w:rtl/>
        </w:rPr>
        <w:t xml:space="preserve"> العمالة</w:t>
      </w:r>
    </w:p>
    <w:p w:rsidR="006A105E" w:rsidRDefault="006A105E" w:rsidP="00DA23C6">
      <w:pPr>
        <w:pStyle w:val="SingleTxt"/>
        <w:rPr>
          <w:rFonts w:hint="cs"/>
          <w:b/>
          <w:bCs/>
          <w:rtl/>
        </w:rPr>
      </w:pPr>
      <w:r>
        <w:rPr>
          <w:rFonts w:hint="cs"/>
          <w:b/>
          <w:bCs/>
          <w:rtl/>
        </w:rPr>
        <w:t>البرامج الحكومية</w:t>
      </w:r>
    </w:p>
    <w:p w:rsidR="006A105E" w:rsidRDefault="006A105E" w:rsidP="006A105E">
      <w:pPr>
        <w:pStyle w:val="SingleTxt"/>
        <w:rPr>
          <w:rFonts w:hint="cs"/>
          <w:rtl/>
        </w:rPr>
      </w:pPr>
      <w:r>
        <w:rPr>
          <w:rFonts w:hint="cs"/>
          <w:rtl/>
        </w:rPr>
        <w:t>131 -</w:t>
      </w:r>
      <w:r>
        <w:rPr>
          <w:rFonts w:hint="cs"/>
          <w:rtl/>
        </w:rPr>
        <w:tab/>
        <w:t xml:space="preserve"> تم تقييم المرحلة الأولى لتنفيذ خطة العمل الوطنية للمرأة في عام 2001. وعلى الرغم من تعليق كثير من المشاريع فإن نجاح البرنامج الذي لا يمكن إنكاره شمل تعديل قانون العمل، الذي استحدث حظرا واضحا على التمييز ضد المرأة. وتسمح خطة العمل الو</w:t>
      </w:r>
      <w:r w:rsidR="00837025">
        <w:rPr>
          <w:rFonts w:hint="cs"/>
          <w:rtl/>
        </w:rPr>
        <w:t xml:space="preserve">طنية للمرأة </w:t>
      </w:r>
      <w:r w:rsidR="00837025">
        <w:rPr>
          <w:rtl/>
        </w:rPr>
        <w:t>–</w:t>
      </w:r>
      <w:r w:rsidR="00837025">
        <w:rPr>
          <w:rFonts w:hint="cs"/>
          <w:rtl/>
        </w:rPr>
        <w:t xml:space="preserve"> مرحلة التنفيذ الثانية للفترة 2003-2005، في الفصل المعنون </w:t>
      </w:r>
      <w:r w:rsidR="00837025">
        <w:rPr>
          <w:rFonts w:hint="eastAsia"/>
          <w:rtl/>
        </w:rPr>
        <w:t>”النشاط الاقتصادي للمرأة</w:t>
      </w:r>
      <w:r w:rsidR="00837025">
        <w:rPr>
          <w:rFonts w:hint="cs"/>
          <w:rtl/>
        </w:rPr>
        <w:t xml:space="preserve">“ بتعزيز المساواة بين الجنسين عند أرباب العمل والموظفين، وتدعو إلى وجود أشكال مرنة من العمالة واحترام حقوق الوالدين </w:t>
      </w:r>
      <w:r w:rsidR="005152B6">
        <w:rPr>
          <w:rFonts w:hint="cs"/>
          <w:rtl/>
        </w:rPr>
        <w:t>من الجنسين في العمل. وتشمل الخطة</w:t>
      </w:r>
      <w:r w:rsidR="00837025">
        <w:rPr>
          <w:rFonts w:hint="cs"/>
          <w:rtl/>
        </w:rPr>
        <w:t xml:space="preserve"> حملة لتطبيق نفس سن التقاعد على الرجال والنساء.</w:t>
      </w:r>
    </w:p>
    <w:p w:rsidR="00837025" w:rsidRDefault="00837025" w:rsidP="006A105E">
      <w:pPr>
        <w:pStyle w:val="SingleTxt"/>
        <w:rPr>
          <w:rFonts w:hint="cs"/>
          <w:b/>
          <w:bCs/>
          <w:rtl/>
        </w:rPr>
      </w:pPr>
      <w:r>
        <w:rPr>
          <w:rFonts w:hint="cs"/>
          <w:b/>
          <w:bCs/>
          <w:rtl/>
        </w:rPr>
        <w:t>الصندوق الاجتماعي الأوروبي</w:t>
      </w:r>
    </w:p>
    <w:p w:rsidR="00837025" w:rsidRDefault="00837025" w:rsidP="006A105E">
      <w:pPr>
        <w:pStyle w:val="SingleTxt"/>
        <w:rPr>
          <w:rFonts w:hint="cs"/>
          <w:rtl/>
        </w:rPr>
      </w:pPr>
      <w:r>
        <w:rPr>
          <w:rFonts w:hint="cs"/>
          <w:rtl/>
        </w:rPr>
        <w:t>132 -</w:t>
      </w:r>
      <w:r>
        <w:rPr>
          <w:rFonts w:hint="cs"/>
          <w:rtl/>
        </w:rPr>
        <w:tab/>
        <w:t xml:space="preserve"> إثر دخول بولندا الاتحاد الأوروبي، استطاعت الاستفادة من الصكوك المالية الرامية إلى مساعدة البلدان الأعضاء لسد الثغرات في التنمية بين مختلف المناطق والتوصل إلى نوع من التماسك. وتشمل صكوك الاتحاد الأوروبي المذكورة تلك الصناديق الهيكلية مثل الصندوق الأوروبي للتنمية الإقليمية، والصندوق الاجتماعي الأوروبي، والصندوق الأوروبي للإرشاد والضمانات الزراعية/قسم التوجيه، والأداة المالية للإرشاد في مجال مصائد الأسماك</w:t>
      </w:r>
      <w:r w:rsidR="005152B6">
        <w:rPr>
          <w:rFonts w:hint="cs"/>
          <w:rtl/>
        </w:rPr>
        <w:t>،</w:t>
      </w:r>
      <w:r>
        <w:rPr>
          <w:rFonts w:hint="cs"/>
          <w:rtl/>
        </w:rPr>
        <w:t xml:space="preserve"> وصندوق الترابط.</w:t>
      </w:r>
    </w:p>
    <w:p w:rsidR="00837025" w:rsidRDefault="00837025" w:rsidP="00CE00F8">
      <w:pPr>
        <w:pStyle w:val="SingleTxt"/>
        <w:rPr>
          <w:rFonts w:hint="cs"/>
          <w:rtl/>
        </w:rPr>
      </w:pPr>
      <w:r>
        <w:rPr>
          <w:rFonts w:hint="cs"/>
          <w:rtl/>
        </w:rPr>
        <w:t>133 -</w:t>
      </w:r>
      <w:r>
        <w:rPr>
          <w:rFonts w:hint="cs"/>
          <w:rtl/>
        </w:rPr>
        <w:tab/>
        <w:t xml:space="preserve"> وقبل انضمام بولندا إلى الاتحاد الأوروبي، كانت الحكومة البولندية ملزمة بوضع خطة تنمية وطنية للفترة 2004-2006، تشير فيها إلى اتجاهات التنمية الاقتصادية في بولندا خلال السنوات الأولى من العضوية. و</w:t>
      </w:r>
      <w:r w:rsidR="005152B6">
        <w:rPr>
          <w:rFonts w:hint="cs"/>
          <w:rtl/>
        </w:rPr>
        <w:t xml:space="preserve">تم تعريف </w:t>
      </w:r>
      <w:r>
        <w:rPr>
          <w:rFonts w:hint="cs"/>
          <w:rtl/>
        </w:rPr>
        <w:t xml:space="preserve">أحد الأهداف الاستراتيجية لخطط التنمية الوطنية يتمثل </w:t>
      </w:r>
      <w:r w:rsidR="005152B6">
        <w:rPr>
          <w:rFonts w:hint="cs"/>
          <w:rtl/>
        </w:rPr>
        <w:t>على أنها</w:t>
      </w:r>
      <w:r>
        <w:rPr>
          <w:rFonts w:hint="cs"/>
          <w:rtl/>
        </w:rPr>
        <w:t xml:space="preserve"> </w:t>
      </w:r>
      <w:r>
        <w:rPr>
          <w:rFonts w:hint="eastAsia"/>
          <w:rtl/>
        </w:rPr>
        <w:t>”بناء مجتمع مفتوح قائم على المعرفة يضمن تنمية الموارد البشرية عن طريق التعليم والتدريب والعمل</w:t>
      </w:r>
      <w:r>
        <w:rPr>
          <w:rFonts w:hint="cs"/>
          <w:rtl/>
        </w:rPr>
        <w:t xml:space="preserve">“. ويتم تسهيل عملية تنفيذ هذا الهدف من خلال البرنامج التشغيلي القطاعي </w:t>
      </w:r>
      <w:r>
        <w:rPr>
          <w:rtl/>
        </w:rPr>
        <w:t>–</w:t>
      </w:r>
      <w:r>
        <w:rPr>
          <w:rFonts w:hint="cs"/>
          <w:rtl/>
        </w:rPr>
        <w:t xml:space="preserve"> تنمية الموارد البشرية. وأهداف هذا البرنامج تنعكس في الوثائق التالية: الاستراتيجية الوطنية للنمو والعمالة وتنمية الموارد البشرية للفترة 2000-2006، والتقييم المشترك لافتر</w:t>
      </w:r>
      <w:r w:rsidR="00AB3BDB">
        <w:rPr>
          <w:rFonts w:hint="cs"/>
          <w:rtl/>
        </w:rPr>
        <w:t>ض</w:t>
      </w:r>
      <w:r>
        <w:rPr>
          <w:rFonts w:hint="cs"/>
          <w:rtl/>
        </w:rPr>
        <w:t xml:space="preserve">ات استراتيجية العمالة البولندية، والاستراتيجية الاقتصادية الحكومية: المشاريع </w:t>
      </w:r>
      <w:r>
        <w:rPr>
          <w:rtl/>
        </w:rPr>
        <w:t>–</w:t>
      </w:r>
      <w:r>
        <w:rPr>
          <w:rFonts w:hint="cs"/>
          <w:rtl/>
        </w:rPr>
        <w:t xml:space="preserve"> التنمية </w:t>
      </w:r>
      <w:r>
        <w:rPr>
          <w:rtl/>
        </w:rPr>
        <w:t>–</w:t>
      </w:r>
      <w:r>
        <w:rPr>
          <w:rFonts w:hint="cs"/>
          <w:rtl/>
        </w:rPr>
        <w:t xml:space="preserve"> العمل، والبرنامج الاقتصادي </w:t>
      </w:r>
      <w:r w:rsidR="005152B6">
        <w:rPr>
          <w:rFonts w:hint="cs"/>
          <w:rtl/>
        </w:rPr>
        <w:t xml:space="preserve">في </w:t>
      </w:r>
      <w:r>
        <w:rPr>
          <w:rFonts w:hint="cs"/>
          <w:rtl/>
        </w:rPr>
        <w:t>فترة ما قبل الانضمام لعام 2002، والمبادئ التوجيهية للاستراتيجية الأوروبية للعمالة، والإطار السياسي للعمالة. ويتضمن برنامج التشغيل القطاعي تحليلا لسوق العمل في بولندا، ويعر</w:t>
      </w:r>
      <w:r w:rsidR="005152B6">
        <w:rPr>
          <w:rFonts w:hint="cs"/>
          <w:rtl/>
        </w:rPr>
        <w:t>ّ</w:t>
      </w:r>
      <w:r>
        <w:rPr>
          <w:rFonts w:hint="cs"/>
          <w:rtl/>
        </w:rPr>
        <w:t>ف الأولويات وطر</w:t>
      </w:r>
      <w:r w:rsidR="00CE00F8">
        <w:rPr>
          <w:rFonts w:hint="cs"/>
          <w:rtl/>
        </w:rPr>
        <w:t>ي</w:t>
      </w:r>
      <w:r>
        <w:rPr>
          <w:rFonts w:hint="cs"/>
          <w:rtl/>
        </w:rPr>
        <w:t>ق</w:t>
      </w:r>
      <w:r w:rsidR="00CE00F8">
        <w:rPr>
          <w:rFonts w:hint="cs"/>
          <w:rtl/>
        </w:rPr>
        <w:t>ة</w:t>
      </w:r>
      <w:r>
        <w:rPr>
          <w:rFonts w:hint="cs"/>
          <w:rtl/>
        </w:rPr>
        <w:t xml:space="preserve"> تنفيذ وتمويل البرنامج. وقد أعد الوثيقة الفريق العامل الذي تم إ</w:t>
      </w:r>
      <w:r w:rsidR="00CE00F8">
        <w:rPr>
          <w:rFonts w:hint="cs"/>
          <w:rtl/>
        </w:rPr>
        <w:t>نشاؤه لهذا الغرض في عام 2002. و</w:t>
      </w:r>
      <w:r>
        <w:rPr>
          <w:rFonts w:hint="cs"/>
          <w:rtl/>
        </w:rPr>
        <w:t xml:space="preserve">يضم أعضاؤه ممثلين من مختلف الوزارات والمفوضة العامة </w:t>
      </w:r>
      <w:r w:rsidR="00CE00F8">
        <w:rPr>
          <w:rFonts w:hint="cs"/>
          <w:rtl/>
        </w:rPr>
        <w:t>المعنية با</w:t>
      </w:r>
      <w:r>
        <w:rPr>
          <w:rFonts w:hint="cs"/>
          <w:rtl/>
        </w:rPr>
        <w:t xml:space="preserve">لمساواة </w:t>
      </w:r>
      <w:r w:rsidR="00CE00F8">
        <w:rPr>
          <w:rFonts w:hint="cs"/>
          <w:rtl/>
        </w:rPr>
        <w:t xml:space="preserve">بين </w:t>
      </w:r>
      <w:r>
        <w:rPr>
          <w:rFonts w:hint="cs"/>
          <w:rtl/>
        </w:rPr>
        <w:t xml:space="preserve">مركز </w:t>
      </w:r>
      <w:r w:rsidR="00CE00F8">
        <w:rPr>
          <w:rFonts w:hint="cs"/>
          <w:rtl/>
        </w:rPr>
        <w:t>النساء والرجال</w:t>
      </w:r>
      <w:r>
        <w:rPr>
          <w:rFonts w:hint="cs"/>
          <w:rtl/>
        </w:rPr>
        <w:t xml:space="preserve">. </w:t>
      </w:r>
    </w:p>
    <w:p w:rsidR="00837025" w:rsidRDefault="00837025" w:rsidP="00CE00F8">
      <w:pPr>
        <w:pStyle w:val="SingleTxt"/>
        <w:rPr>
          <w:rFonts w:hint="cs"/>
          <w:rtl/>
        </w:rPr>
      </w:pPr>
      <w:r>
        <w:rPr>
          <w:rFonts w:hint="cs"/>
          <w:rtl/>
        </w:rPr>
        <w:t>134 -</w:t>
      </w:r>
      <w:r>
        <w:rPr>
          <w:rFonts w:hint="cs"/>
          <w:rtl/>
        </w:rPr>
        <w:tab/>
        <w:t xml:space="preserve"> إن أحد العناصر التي لها الأولوية</w:t>
      </w:r>
      <w:r w:rsidR="00CE00F8">
        <w:rPr>
          <w:rFonts w:hint="cs"/>
          <w:rtl/>
        </w:rPr>
        <w:t xml:space="preserve"> فيما يتعلق بـ</w:t>
      </w:r>
      <w:r>
        <w:rPr>
          <w:rFonts w:hint="cs"/>
          <w:rtl/>
        </w:rPr>
        <w:t xml:space="preserve"> </w:t>
      </w:r>
      <w:r>
        <w:rPr>
          <w:rFonts w:hint="eastAsia"/>
          <w:rtl/>
        </w:rPr>
        <w:t>”السياسات النشطة في سوق العمل والاندماج المهني والاجتماعي</w:t>
      </w:r>
      <w:r>
        <w:rPr>
          <w:rFonts w:hint="cs"/>
          <w:rtl/>
        </w:rPr>
        <w:t xml:space="preserve">“ في البرنامج التشغيلي القطاعي </w:t>
      </w:r>
      <w:r>
        <w:rPr>
          <w:rtl/>
        </w:rPr>
        <w:t>–</w:t>
      </w:r>
      <w:r>
        <w:rPr>
          <w:rFonts w:hint="cs"/>
          <w:rtl/>
        </w:rPr>
        <w:t xml:space="preserve"> تنمية الموارد البشرية هو بند النشاط 1-</w:t>
      </w:r>
      <w:r w:rsidR="00CE00F8">
        <w:rPr>
          <w:rFonts w:hint="cs"/>
          <w:rtl/>
        </w:rPr>
        <w:t xml:space="preserve">6: </w:t>
      </w:r>
      <w:r>
        <w:rPr>
          <w:rFonts w:hint="eastAsia"/>
          <w:rtl/>
        </w:rPr>
        <w:t>”اندماج وإعادة اندماج المرأة في سوق العمل</w:t>
      </w:r>
      <w:r>
        <w:rPr>
          <w:rFonts w:hint="cs"/>
          <w:rtl/>
        </w:rPr>
        <w:t>“</w:t>
      </w:r>
      <w:r w:rsidR="00CE00F8">
        <w:rPr>
          <w:rFonts w:hint="cs"/>
          <w:rtl/>
        </w:rPr>
        <w:t>،</w:t>
      </w:r>
      <w:r>
        <w:rPr>
          <w:rFonts w:hint="cs"/>
          <w:rtl/>
        </w:rPr>
        <w:t xml:space="preserve"> </w:t>
      </w:r>
      <w:r w:rsidR="00CE00F8">
        <w:rPr>
          <w:rFonts w:hint="cs"/>
          <w:rtl/>
        </w:rPr>
        <w:t>و</w:t>
      </w:r>
      <w:r>
        <w:rPr>
          <w:rFonts w:hint="cs"/>
          <w:rtl/>
        </w:rPr>
        <w:t xml:space="preserve">ينسجم </w:t>
      </w:r>
      <w:r w:rsidR="00CE00F8">
        <w:rPr>
          <w:rFonts w:hint="cs"/>
          <w:rtl/>
        </w:rPr>
        <w:t xml:space="preserve">هذا البند </w:t>
      </w:r>
      <w:r>
        <w:rPr>
          <w:rFonts w:hint="cs"/>
          <w:rtl/>
        </w:rPr>
        <w:t xml:space="preserve">مع أحكام خطة العمل الوطنية للمرأة </w:t>
      </w:r>
      <w:r>
        <w:rPr>
          <w:rtl/>
        </w:rPr>
        <w:t>–</w:t>
      </w:r>
      <w:r>
        <w:rPr>
          <w:rFonts w:hint="cs"/>
          <w:rtl/>
        </w:rPr>
        <w:t xml:space="preserve"> مرحلة التنفيذ الثانية للفترة 2003-2005</w:t>
      </w:r>
      <w:r w:rsidR="00CE00F8">
        <w:rPr>
          <w:rFonts w:hint="cs"/>
          <w:rtl/>
        </w:rPr>
        <w:t>،</w:t>
      </w:r>
      <w:r>
        <w:rPr>
          <w:rFonts w:hint="cs"/>
          <w:rtl/>
        </w:rPr>
        <w:t xml:space="preserve"> ويهدف إلى مساعدة المرأة على إيجاد عمل، ويعزز مركزها المادي والاجتماعي. و</w:t>
      </w:r>
      <w:r w:rsidR="00CE00F8">
        <w:rPr>
          <w:rFonts w:hint="cs"/>
          <w:rtl/>
        </w:rPr>
        <w:t>ل</w:t>
      </w:r>
      <w:r>
        <w:rPr>
          <w:rFonts w:hint="cs"/>
          <w:rtl/>
        </w:rPr>
        <w:t>تمويل النشاط</w:t>
      </w:r>
      <w:r w:rsidR="00CE00F8">
        <w:rPr>
          <w:rFonts w:hint="cs"/>
          <w:rtl/>
        </w:rPr>
        <w:t xml:space="preserve"> المضطلع به في إطار البند</w:t>
      </w:r>
      <w:r>
        <w:rPr>
          <w:rFonts w:hint="cs"/>
          <w:rtl/>
        </w:rPr>
        <w:t xml:space="preserve"> 1-6 للفترة 2004-2006 </w:t>
      </w:r>
      <w:r w:rsidR="00CE00F8">
        <w:rPr>
          <w:rFonts w:hint="cs"/>
          <w:rtl/>
        </w:rPr>
        <w:t>تم رص</w:t>
      </w:r>
      <w:r>
        <w:rPr>
          <w:rFonts w:hint="cs"/>
          <w:rtl/>
        </w:rPr>
        <w:t>د 81.9 مليون يورو، بما في ذلك 65.5 مليون يورو ساهم بها الاتحاد الأوروبي (الصندوق الاجتماعي الأوروبي)، و</w:t>
      </w:r>
      <w:r w:rsidR="00CE00F8">
        <w:rPr>
          <w:rFonts w:hint="cs"/>
          <w:rtl/>
        </w:rPr>
        <w:t>مبلغ</w:t>
      </w:r>
      <w:r>
        <w:rPr>
          <w:rFonts w:hint="cs"/>
          <w:rtl/>
        </w:rPr>
        <w:t xml:space="preserve"> 15.8 مليون يورو ساهم</w:t>
      </w:r>
      <w:r w:rsidR="00CE00F8">
        <w:rPr>
          <w:rFonts w:hint="cs"/>
          <w:rtl/>
        </w:rPr>
        <w:t>ت</w:t>
      </w:r>
      <w:r>
        <w:rPr>
          <w:rFonts w:hint="cs"/>
          <w:rtl/>
        </w:rPr>
        <w:t xml:space="preserve"> به </w:t>
      </w:r>
      <w:r w:rsidR="00CE00F8">
        <w:rPr>
          <w:rFonts w:hint="cs"/>
          <w:rtl/>
        </w:rPr>
        <w:t>الدولة</w:t>
      </w:r>
      <w:r>
        <w:rPr>
          <w:rFonts w:hint="cs"/>
          <w:rtl/>
        </w:rPr>
        <w:t xml:space="preserve"> </w:t>
      </w:r>
      <w:r w:rsidR="001A2A16">
        <w:rPr>
          <w:rFonts w:hint="cs"/>
          <w:rtl/>
        </w:rPr>
        <w:t>(</w:t>
      </w:r>
      <w:r>
        <w:rPr>
          <w:rFonts w:hint="cs"/>
          <w:rtl/>
        </w:rPr>
        <w:t>ميزانية الدولة، والحكومات الذاتية الإقليمية، وصندوق العمل)</w:t>
      </w:r>
      <w:r w:rsidR="001A2A16">
        <w:rPr>
          <w:rFonts w:hint="cs"/>
          <w:rtl/>
        </w:rPr>
        <w:t xml:space="preserve">، و 0.6 مليون يورو </w:t>
      </w:r>
      <w:r w:rsidR="008C78D3">
        <w:rPr>
          <w:rFonts w:hint="cs"/>
          <w:rtl/>
        </w:rPr>
        <w:t xml:space="preserve">جاءت </w:t>
      </w:r>
      <w:r w:rsidR="001A2A16">
        <w:rPr>
          <w:rFonts w:hint="cs"/>
          <w:rtl/>
        </w:rPr>
        <w:t>من التبرعات الخاصة.</w:t>
      </w:r>
    </w:p>
    <w:p w:rsidR="001A2A16" w:rsidRDefault="001A2A16" w:rsidP="008C78D3">
      <w:pPr>
        <w:pStyle w:val="SingleTxt"/>
        <w:rPr>
          <w:rFonts w:hint="cs"/>
          <w:rtl/>
        </w:rPr>
      </w:pPr>
      <w:r>
        <w:rPr>
          <w:rFonts w:hint="cs"/>
          <w:rtl/>
        </w:rPr>
        <w:t xml:space="preserve">135 </w:t>
      </w:r>
      <w:r>
        <w:rPr>
          <w:rtl/>
        </w:rPr>
        <w:t>–</w:t>
      </w:r>
      <w:r>
        <w:rPr>
          <w:rFonts w:hint="cs"/>
          <w:rtl/>
        </w:rPr>
        <w:t xml:space="preserve"> إن المبادرة الاجتماعية المسماة </w:t>
      </w:r>
      <w:r>
        <w:rPr>
          <w:rFonts w:hint="eastAsia"/>
          <w:rtl/>
        </w:rPr>
        <w:t>”المساواة</w:t>
      </w:r>
      <w:r>
        <w:rPr>
          <w:rFonts w:hint="cs"/>
          <w:rtl/>
        </w:rPr>
        <w:t xml:space="preserve">“ سوف تكمل التدابير المتخذة في إطار البرنامج التشغيلي القطاعي </w:t>
      </w:r>
      <w:r>
        <w:rPr>
          <w:rtl/>
        </w:rPr>
        <w:t>–</w:t>
      </w:r>
      <w:r>
        <w:rPr>
          <w:rFonts w:hint="cs"/>
          <w:rtl/>
        </w:rPr>
        <w:t xml:space="preserve"> تنمية الموارد البشرية من أجل المرأة. ويمول الصندوق الاجتماعي الأوروبي المبادرة، وهدفه تنفيذ المهام التي حددتها استراتيجية العمالة الأوروبية. وتهدف المبادرة </w:t>
      </w:r>
      <w:r w:rsidR="008C78D3">
        <w:rPr>
          <w:rFonts w:hint="cs"/>
          <w:rtl/>
        </w:rPr>
        <w:t xml:space="preserve">إلى </w:t>
      </w:r>
      <w:r>
        <w:rPr>
          <w:rFonts w:hint="cs"/>
          <w:rtl/>
        </w:rPr>
        <w:t xml:space="preserve">التشجيع، عن طريق التعاون الدولي، على إيجاد طريقة جديدة للقضاء على التمييز وانعدام المساواة في سوق العمل، بالنسبة للموظفين والباحثين عن وظائف. ويتفق البرنامج مع </w:t>
      </w:r>
      <w:r w:rsidR="008C78D3">
        <w:rPr>
          <w:rFonts w:hint="cs"/>
          <w:rtl/>
        </w:rPr>
        <w:t>ال</w:t>
      </w:r>
      <w:r>
        <w:rPr>
          <w:rFonts w:hint="cs"/>
          <w:rtl/>
        </w:rPr>
        <w:t xml:space="preserve">أحكام </w:t>
      </w:r>
      <w:r w:rsidR="008C78D3">
        <w:rPr>
          <w:rFonts w:hint="cs"/>
          <w:rtl/>
        </w:rPr>
        <w:t xml:space="preserve">الواردة في </w:t>
      </w:r>
      <w:r>
        <w:rPr>
          <w:rFonts w:hint="cs"/>
          <w:rtl/>
        </w:rPr>
        <w:t>وثائق مثل الاستراتيجية الوطنية لنمو العمالة للفترة 2000-2006، والتقييم المشترك لافتراضات</w:t>
      </w:r>
      <w:r w:rsidR="00AB3BDB">
        <w:rPr>
          <w:rFonts w:hint="cs"/>
          <w:rtl/>
        </w:rPr>
        <w:t xml:space="preserve"> سياسات العمالة، و</w:t>
      </w:r>
      <w:r w:rsidR="008C78D3">
        <w:rPr>
          <w:rFonts w:hint="cs"/>
          <w:rtl/>
        </w:rPr>
        <w:t>ا</w:t>
      </w:r>
      <w:r w:rsidR="00AB3BDB">
        <w:rPr>
          <w:rFonts w:hint="cs"/>
          <w:rtl/>
        </w:rPr>
        <w:t xml:space="preserve">لمذكرة المشتركة للاندماج الاجتماعي. </w:t>
      </w:r>
    </w:p>
    <w:p w:rsidR="00AB3BDB" w:rsidRDefault="00AB3BDB" w:rsidP="008C78D3">
      <w:pPr>
        <w:pStyle w:val="SingleTxt"/>
        <w:rPr>
          <w:rFonts w:hint="cs"/>
          <w:rtl/>
        </w:rPr>
      </w:pPr>
      <w:r>
        <w:rPr>
          <w:rFonts w:hint="cs"/>
          <w:rtl/>
        </w:rPr>
        <w:t>136 -</w:t>
      </w:r>
      <w:r>
        <w:rPr>
          <w:rFonts w:hint="cs"/>
          <w:rtl/>
        </w:rPr>
        <w:tab/>
        <w:t xml:space="preserve"> إن عملية برمجة المبادرة الاجتماعية المسماة </w:t>
      </w:r>
      <w:r>
        <w:rPr>
          <w:rFonts w:hint="eastAsia"/>
          <w:rtl/>
        </w:rPr>
        <w:t>”المساواة</w:t>
      </w:r>
      <w:r>
        <w:rPr>
          <w:rFonts w:hint="cs"/>
          <w:rtl/>
        </w:rPr>
        <w:t xml:space="preserve">“ تجرى منذ النصف الثاني من عام 2002 في وزارة الاقتصاد والعمالة والسياسات الاجتماعية، بمشاركة الفريق العامل </w:t>
      </w:r>
      <w:r w:rsidR="008C78D3">
        <w:rPr>
          <w:rFonts w:hint="cs"/>
          <w:rtl/>
        </w:rPr>
        <w:t xml:space="preserve">المعني بمبادرة </w:t>
      </w:r>
      <w:r>
        <w:rPr>
          <w:rFonts w:hint="eastAsia"/>
          <w:rtl/>
        </w:rPr>
        <w:t>”المساواة</w:t>
      </w:r>
      <w:r>
        <w:rPr>
          <w:rFonts w:hint="cs"/>
          <w:rtl/>
        </w:rPr>
        <w:t xml:space="preserve">“ </w:t>
      </w:r>
      <w:r w:rsidR="008C78D3">
        <w:rPr>
          <w:rFonts w:hint="cs"/>
          <w:rtl/>
        </w:rPr>
        <w:t>و</w:t>
      </w:r>
      <w:r>
        <w:rPr>
          <w:rFonts w:hint="cs"/>
          <w:rtl/>
        </w:rPr>
        <w:t>المؤلف من ممثلين عن الوزارات، والمنظمات غير الحكومية، والشركاء الاجتماعيين، والممثلين الحكوميين المعنيين بالمساواة بين مركز النساء والرجال. وإن إحدى الأولويات الخمس ل</w:t>
      </w:r>
      <w:r w:rsidR="008C78D3">
        <w:rPr>
          <w:rFonts w:hint="cs"/>
          <w:rtl/>
        </w:rPr>
        <w:t>مبادرة</w:t>
      </w:r>
      <w:r>
        <w:rPr>
          <w:rFonts w:hint="cs"/>
          <w:rtl/>
        </w:rPr>
        <w:t xml:space="preserve"> </w:t>
      </w:r>
      <w:r>
        <w:rPr>
          <w:rFonts w:hint="eastAsia"/>
          <w:rtl/>
        </w:rPr>
        <w:t>”المساواة</w:t>
      </w:r>
      <w:r>
        <w:rPr>
          <w:rFonts w:hint="cs"/>
          <w:rtl/>
        </w:rPr>
        <w:t xml:space="preserve">“ هي </w:t>
      </w:r>
      <w:r>
        <w:rPr>
          <w:rFonts w:hint="eastAsia"/>
          <w:rtl/>
        </w:rPr>
        <w:t>”تكافؤ الفرص بين النساء والرجال</w:t>
      </w:r>
      <w:r>
        <w:rPr>
          <w:rFonts w:hint="cs"/>
          <w:rtl/>
        </w:rPr>
        <w:t xml:space="preserve">“، ولهذا الغرض تم اختيار الموضوع التالي: </w:t>
      </w:r>
      <w:r>
        <w:rPr>
          <w:rFonts w:hint="eastAsia"/>
          <w:rtl/>
        </w:rPr>
        <w:t>”التوفيق بين الحياة العائلية والحياة المهنية، فضلا عن إعادة اندماج الرجال والنساء الذين تركوا سوق العمل عن طريق تطوير أشكال أكثر مرونة وفعالية للعمل، وتنظيم العمل وخدمات الدعم</w:t>
      </w:r>
      <w:r>
        <w:rPr>
          <w:rFonts w:hint="cs"/>
          <w:rtl/>
        </w:rPr>
        <w:t xml:space="preserve">“. وسوف يكون هدف العمل ذي الصلة تطوير حلول نموذجية للتوفيق بين الحياة المهنية والحياة العائلية، بما في ذلك دعم المؤسسات التي تقدم الرعاية للأطفال والأشخاص المدمنين، من أجل تحسين المؤهلات وتعزيز أشكال مرنة من العمالة. وإن مجموع المخصصات التي اعتمدها الصندوق الاجتماعي الأوروبي من أجل التدابير المذكورة 12.05 مليون يورو للفترة 2004-2006 (9 في المائة) من ميزانية </w:t>
      </w:r>
      <w:r w:rsidR="008C78D3">
        <w:rPr>
          <w:rFonts w:hint="cs"/>
          <w:rtl/>
        </w:rPr>
        <w:t xml:space="preserve">مبادرة </w:t>
      </w:r>
      <w:r>
        <w:rPr>
          <w:rFonts w:hint="eastAsia"/>
          <w:rtl/>
        </w:rPr>
        <w:t>”المساواة</w:t>
      </w:r>
      <w:r>
        <w:rPr>
          <w:rFonts w:hint="cs"/>
          <w:rtl/>
        </w:rPr>
        <w:t xml:space="preserve">“. </w:t>
      </w:r>
    </w:p>
    <w:p w:rsidR="00AB3BDB" w:rsidRDefault="00AB3BDB" w:rsidP="009C102D">
      <w:pPr>
        <w:pStyle w:val="SingleTxt"/>
        <w:rPr>
          <w:rFonts w:hint="cs"/>
          <w:rtl/>
        </w:rPr>
      </w:pPr>
      <w:r>
        <w:rPr>
          <w:rFonts w:hint="cs"/>
          <w:rtl/>
        </w:rPr>
        <w:t>137 -</w:t>
      </w:r>
      <w:r>
        <w:rPr>
          <w:rFonts w:hint="cs"/>
          <w:rtl/>
        </w:rPr>
        <w:tab/>
        <w:t xml:space="preserve"> </w:t>
      </w:r>
      <w:r w:rsidR="00A01291">
        <w:rPr>
          <w:rFonts w:hint="cs"/>
          <w:rtl/>
        </w:rPr>
        <w:t xml:space="preserve">يركز كل من </w:t>
      </w:r>
      <w:r w:rsidR="00A01291">
        <w:rPr>
          <w:rFonts w:hint="eastAsia"/>
          <w:rtl/>
        </w:rPr>
        <w:t xml:space="preserve">”البرنامج التشغيلي القطاعي </w:t>
      </w:r>
      <w:r w:rsidR="00A01291">
        <w:rPr>
          <w:rtl/>
        </w:rPr>
        <w:t>–</w:t>
      </w:r>
      <w:r w:rsidR="00A01291">
        <w:rPr>
          <w:rFonts w:hint="eastAsia"/>
          <w:rtl/>
        </w:rPr>
        <w:t xml:space="preserve"> تنمية </w:t>
      </w:r>
      <w:r w:rsidR="00A01291">
        <w:rPr>
          <w:rFonts w:hint="cs"/>
          <w:rtl/>
        </w:rPr>
        <w:t>الموارد البشرية</w:t>
      </w:r>
      <w:r w:rsidR="008C78D3">
        <w:rPr>
          <w:rFonts w:hint="eastAsia"/>
          <w:rtl/>
        </w:rPr>
        <w:t>“ و</w:t>
      </w:r>
      <w:r w:rsidR="008C78D3">
        <w:rPr>
          <w:rFonts w:hint="cs"/>
          <w:rtl/>
        </w:rPr>
        <w:t xml:space="preserve">مبادرة </w:t>
      </w:r>
      <w:r w:rsidR="00A01291">
        <w:rPr>
          <w:rFonts w:hint="cs"/>
          <w:rtl/>
        </w:rPr>
        <w:t>”المساواة</w:t>
      </w:r>
      <w:r w:rsidR="00A01291">
        <w:rPr>
          <w:rFonts w:hint="eastAsia"/>
          <w:rtl/>
        </w:rPr>
        <w:t xml:space="preserve">“ على المساواة بين الجنسين. وإن </w:t>
      </w:r>
      <w:r w:rsidR="00A01291">
        <w:rPr>
          <w:rFonts w:hint="cs"/>
          <w:rtl/>
        </w:rPr>
        <w:t>مش</w:t>
      </w:r>
      <w:r w:rsidR="008C78D3">
        <w:rPr>
          <w:rFonts w:hint="cs"/>
          <w:rtl/>
        </w:rPr>
        <w:t>اركة المفوضة الحكومية المعنية با</w:t>
      </w:r>
      <w:r w:rsidR="00A01291">
        <w:rPr>
          <w:rFonts w:hint="cs"/>
          <w:rtl/>
        </w:rPr>
        <w:t xml:space="preserve">لمساواة بين مركز </w:t>
      </w:r>
      <w:r w:rsidR="008C78D3">
        <w:rPr>
          <w:rFonts w:hint="cs"/>
          <w:rtl/>
        </w:rPr>
        <w:t>النساء والرجال</w:t>
      </w:r>
      <w:r w:rsidR="00A01291">
        <w:rPr>
          <w:rFonts w:hint="cs"/>
          <w:rtl/>
        </w:rPr>
        <w:t xml:space="preserve"> متوقعة في الهيئات التي تشرف على تنفيذ البرنامجين، بما في ذلك لجان رصد كل من البرنامجين المؤلفين من عدد متساو من الرجال والنساء. </w:t>
      </w:r>
    </w:p>
    <w:p w:rsidR="001D1102" w:rsidRDefault="001D1102" w:rsidP="00AB3BDB">
      <w:pPr>
        <w:pStyle w:val="SingleTxt"/>
        <w:rPr>
          <w:rFonts w:hint="cs"/>
          <w:b/>
          <w:bCs/>
          <w:rtl/>
        </w:rPr>
      </w:pPr>
    </w:p>
    <w:p w:rsidR="001D1102" w:rsidRDefault="001D1102" w:rsidP="00AB3BDB">
      <w:pPr>
        <w:pStyle w:val="SingleTxt"/>
        <w:rPr>
          <w:rFonts w:hint="cs"/>
          <w:b/>
          <w:bCs/>
          <w:rtl/>
        </w:rPr>
      </w:pPr>
    </w:p>
    <w:p w:rsidR="00A01291" w:rsidRDefault="00A01291" w:rsidP="00AB3BDB">
      <w:pPr>
        <w:pStyle w:val="SingleTxt"/>
        <w:rPr>
          <w:rFonts w:hint="cs"/>
          <w:b/>
          <w:bCs/>
          <w:rtl/>
        </w:rPr>
      </w:pPr>
      <w:r>
        <w:rPr>
          <w:rFonts w:hint="cs"/>
          <w:b/>
          <w:bCs/>
          <w:rtl/>
        </w:rPr>
        <w:t>عملية التوظيف</w:t>
      </w:r>
    </w:p>
    <w:p w:rsidR="00A01291" w:rsidRDefault="00A01291" w:rsidP="003E459A">
      <w:pPr>
        <w:pStyle w:val="SingleTxt"/>
        <w:rPr>
          <w:rFonts w:hint="cs"/>
          <w:rtl/>
        </w:rPr>
      </w:pPr>
      <w:r>
        <w:rPr>
          <w:rFonts w:hint="cs"/>
          <w:rtl/>
        </w:rPr>
        <w:t>138 -</w:t>
      </w:r>
      <w:r>
        <w:rPr>
          <w:rFonts w:hint="cs"/>
          <w:rtl/>
        </w:rPr>
        <w:tab/>
        <w:t xml:space="preserve"> إن المرسوم الصادر عن وزارة العمل والسياسات الاجتماعي</w:t>
      </w:r>
      <w:r w:rsidR="003E459A">
        <w:rPr>
          <w:rFonts w:hint="cs"/>
          <w:rtl/>
        </w:rPr>
        <w:t>ة المؤرخ 9 شباط/فبراير 2002 والمتعلق بـ</w:t>
      </w:r>
      <w:r>
        <w:rPr>
          <w:rFonts w:hint="cs"/>
          <w:rtl/>
        </w:rPr>
        <w:t xml:space="preserve"> </w:t>
      </w:r>
      <w:r>
        <w:rPr>
          <w:rFonts w:hint="eastAsia"/>
          <w:rtl/>
        </w:rPr>
        <w:t>”المبادئ ال</w:t>
      </w:r>
      <w:r w:rsidR="003E459A">
        <w:rPr>
          <w:rFonts w:hint="cs"/>
          <w:rtl/>
        </w:rPr>
        <w:t>ت</w:t>
      </w:r>
      <w:r>
        <w:rPr>
          <w:rFonts w:hint="eastAsia"/>
          <w:rtl/>
        </w:rPr>
        <w:t>فص</w:t>
      </w:r>
      <w:r w:rsidR="003E459A">
        <w:rPr>
          <w:rFonts w:hint="cs"/>
          <w:rtl/>
        </w:rPr>
        <w:t>ي</w:t>
      </w:r>
      <w:r>
        <w:rPr>
          <w:rFonts w:hint="eastAsia"/>
          <w:rtl/>
        </w:rPr>
        <w:t>ل</w:t>
      </w:r>
      <w:r w:rsidR="003E459A">
        <w:rPr>
          <w:rFonts w:hint="cs"/>
          <w:rtl/>
        </w:rPr>
        <w:t>ي</w:t>
      </w:r>
      <w:r>
        <w:rPr>
          <w:rFonts w:hint="eastAsia"/>
          <w:rtl/>
        </w:rPr>
        <w:t xml:space="preserve">ة </w:t>
      </w:r>
      <w:r w:rsidR="003E459A">
        <w:rPr>
          <w:rFonts w:hint="cs"/>
          <w:rtl/>
        </w:rPr>
        <w:t xml:space="preserve">المطبقة في </w:t>
      </w:r>
      <w:r>
        <w:rPr>
          <w:rFonts w:hint="eastAsia"/>
          <w:rtl/>
        </w:rPr>
        <w:t>وكالات التوظيف، وإرشاد المتدرب</w:t>
      </w:r>
      <w:r w:rsidR="003E459A">
        <w:rPr>
          <w:rFonts w:hint="cs"/>
          <w:rtl/>
        </w:rPr>
        <w:t>ين،</w:t>
      </w:r>
      <w:r>
        <w:rPr>
          <w:rFonts w:hint="eastAsia"/>
          <w:rtl/>
        </w:rPr>
        <w:t xml:space="preserve"> و</w:t>
      </w:r>
      <w:r w:rsidR="003E459A">
        <w:rPr>
          <w:rFonts w:hint="eastAsia"/>
          <w:rtl/>
        </w:rPr>
        <w:t xml:space="preserve">تدريب </w:t>
      </w:r>
      <w:r w:rsidR="003E459A">
        <w:rPr>
          <w:rFonts w:hint="cs"/>
          <w:rtl/>
        </w:rPr>
        <w:t>ا</w:t>
      </w:r>
      <w:r>
        <w:rPr>
          <w:rFonts w:hint="eastAsia"/>
          <w:rtl/>
        </w:rPr>
        <w:t>لعاطلين عن العمل، وإنشاء قاعدة منهجية للمعلومات المتعلقة بالعمالة</w:t>
      </w:r>
      <w:r w:rsidR="003E459A">
        <w:rPr>
          <w:rFonts w:hint="cs"/>
          <w:rtl/>
        </w:rPr>
        <w:t>،</w:t>
      </w:r>
      <w:r>
        <w:rPr>
          <w:rFonts w:hint="eastAsia"/>
          <w:rtl/>
        </w:rPr>
        <w:t xml:space="preserve"> وتنظيم نوادي العمل وتمويلها</w:t>
      </w:r>
      <w:r>
        <w:rPr>
          <w:rFonts w:hint="cs"/>
          <w:rtl/>
        </w:rPr>
        <w:t>“ (جريدة القوانين رقم 12، البند 146، مع التعديلات اللاحقة) فرضت حظرا على إدراج معلومات في إعلانات الشواغر يمكن أن تميز بين بعض المرشحين تمييزا قائما على نوع الجنس</w:t>
      </w:r>
      <w:r w:rsidR="003E459A">
        <w:rPr>
          <w:rFonts w:hint="cs"/>
          <w:rtl/>
        </w:rPr>
        <w:t xml:space="preserve"> (الفقرة 2، النقطة 2). وهكذا على</w:t>
      </w:r>
      <w:r>
        <w:rPr>
          <w:rFonts w:hint="cs"/>
          <w:rtl/>
        </w:rPr>
        <w:t xml:space="preserve"> مكاتب التوظيف </w:t>
      </w:r>
      <w:r w:rsidR="003E459A">
        <w:rPr>
          <w:rFonts w:hint="cs"/>
          <w:rtl/>
        </w:rPr>
        <w:t>ألا</w:t>
      </w:r>
      <w:r>
        <w:rPr>
          <w:rFonts w:hint="cs"/>
          <w:rtl/>
        </w:rPr>
        <w:t xml:space="preserve"> </w:t>
      </w:r>
      <w:r w:rsidR="003E459A">
        <w:rPr>
          <w:rFonts w:hint="cs"/>
          <w:rtl/>
        </w:rPr>
        <w:t xml:space="preserve">تعلن </w:t>
      </w:r>
      <w:r>
        <w:rPr>
          <w:rFonts w:hint="cs"/>
          <w:rtl/>
        </w:rPr>
        <w:t>عروض العمل الموجهة إلى أحد الجنسين.</w:t>
      </w:r>
    </w:p>
    <w:p w:rsidR="00A01291" w:rsidRDefault="00A01291" w:rsidP="003E459A">
      <w:pPr>
        <w:pStyle w:val="SingleTxt"/>
        <w:rPr>
          <w:rFonts w:hint="cs"/>
          <w:rtl/>
        </w:rPr>
      </w:pPr>
      <w:r>
        <w:rPr>
          <w:rFonts w:hint="cs"/>
          <w:rtl/>
        </w:rPr>
        <w:t>139 -</w:t>
      </w:r>
      <w:r>
        <w:rPr>
          <w:rFonts w:hint="cs"/>
          <w:rtl/>
        </w:rPr>
        <w:tab/>
        <w:t xml:space="preserve"> تم تعديل قانون </w:t>
      </w:r>
      <w:r>
        <w:rPr>
          <w:rFonts w:hint="eastAsia"/>
          <w:rtl/>
        </w:rPr>
        <w:t>”العمالة والتصدي للبطالة</w:t>
      </w:r>
      <w:r>
        <w:rPr>
          <w:rFonts w:hint="cs"/>
          <w:rtl/>
        </w:rPr>
        <w:t xml:space="preserve">“ (جريدة القوانين رقم 6 لعام 2003، البند 65) أثناء الفترة التي يغطيها التقرير، وبدأ نفاذ القانون في 6 شباط/فبراير 2003. وقد استحدث القانون في جملة أمور عقوبات لعدم احترام الحظر المفروض على التمييز (الفقرة 3 من المادة 66). ويتضمن القانون أيضا حكما (الفقرة 13 من المادة 37) </w:t>
      </w:r>
      <w:r w:rsidR="003E459A">
        <w:rPr>
          <w:rFonts w:hint="cs"/>
          <w:rtl/>
        </w:rPr>
        <w:t>ي</w:t>
      </w:r>
      <w:r>
        <w:rPr>
          <w:rFonts w:hint="cs"/>
          <w:rtl/>
        </w:rPr>
        <w:t>حظر على</w:t>
      </w:r>
      <w:r w:rsidR="003E459A">
        <w:rPr>
          <w:rFonts w:hint="cs"/>
          <w:rtl/>
        </w:rPr>
        <w:t xml:space="preserve"> وكالات التوظيف</w:t>
      </w:r>
      <w:r>
        <w:rPr>
          <w:rFonts w:hint="cs"/>
          <w:rtl/>
        </w:rPr>
        <w:t xml:space="preserve"> </w:t>
      </w:r>
      <w:r w:rsidR="003E459A">
        <w:rPr>
          <w:rFonts w:hint="cs"/>
          <w:rtl/>
        </w:rPr>
        <w:t xml:space="preserve">اللجوء إلى </w:t>
      </w:r>
      <w:r>
        <w:rPr>
          <w:rFonts w:hint="cs"/>
          <w:rtl/>
        </w:rPr>
        <w:t xml:space="preserve">الممارسات التمييزية </w:t>
      </w:r>
      <w:r w:rsidR="003E459A">
        <w:rPr>
          <w:rFonts w:hint="cs"/>
          <w:rtl/>
        </w:rPr>
        <w:t>في تعاملها مع</w:t>
      </w:r>
      <w:r>
        <w:rPr>
          <w:rFonts w:hint="cs"/>
          <w:rtl/>
        </w:rPr>
        <w:t xml:space="preserve"> الباحثين عن عمل. </w:t>
      </w:r>
    </w:p>
    <w:p w:rsidR="00A01291" w:rsidRDefault="00A01291" w:rsidP="00AB3BDB">
      <w:pPr>
        <w:pStyle w:val="SingleTxt"/>
        <w:rPr>
          <w:rFonts w:hint="cs"/>
          <w:b/>
          <w:bCs/>
          <w:rtl/>
        </w:rPr>
      </w:pPr>
      <w:r>
        <w:rPr>
          <w:rFonts w:hint="cs"/>
          <w:b/>
          <w:bCs/>
          <w:rtl/>
        </w:rPr>
        <w:t>حظر التمييز القائم على نوع الجنس في علاقات العمل</w:t>
      </w:r>
    </w:p>
    <w:p w:rsidR="00A01291" w:rsidRDefault="00A01291" w:rsidP="00323A2D">
      <w:pPr>
        <w:pStyle w:val="SingleTxt"/>
        <w:rPr>
          <w:rFonts w:hint="cs"/>
          <w:rtl/>
        </w:rPr>
      </w:pPr>
      <w:r>
        <w:rPr>
          <w:rFonts w:hint="cs"/>
          <w:rtl/>
        </w:rPr>
        <w:t>140 -</w:t>
      </w:r>
      <w:r>
        <w:rPr>
          <w:rFonts w:hint="cs"/>
          <w:rtl/>
        </w:rPr>
        <w:tab/>
        <w:t xml:space="preserve"> إن القانون المؤرخ 24 آب/أغسطس 2001 عن </w:t>
      </w:r>
      <w:r>
        <w:rPr>
          <w:rFonts w:hint="eastAsia"/>
          <w:rtl/>
        </w:rPr>
        <w:t>”</w:t>
      </w:r>
      <w:r>
        <w:rPr>
          <w:rFonts w:hint="cs"/>
          <w:rtl/>
        </w:rPr>
        <w:t>تعديل قانون العمل وبعض القوانين الأخرى</w:t>
      </w:r>
      <w:r>
        <w:rPr>
          <w:rFonts w:hint="eastAsia"/>
          <w:rtl/>
        </w:rPr>
        <w:t>“ (جريدة القوانين رقم 128، البند 1405) الذي بدأ نفاذه في 1 كانون الثاني/يناير 2002، أدرج في قانون العمل الفصل 2</w:t>
      </w:r>
      <w:r w:rsidR="00323A2D">
        <w:rPr>
          <w:rFonts w:hint="cs"/>
          <w:rtl/>
        </w:rPr>
        <w:t>(</w:t>
      </w:r>
      <w:r>
        <w:rPr>
          <w:rFonts w:hint="eastAsia"/>
          <w:rtl/>
        </w:rPr>
        <w:t>أ</w:t>
      </w:r>
      <w:r w:rsidR="00323A2D">
        <w:rPr>
          <w:rFonts w:hint="cs"/>
          <w:rtl/>
        </w:rPr>
        <w:t>)</w:t>
      </w:r>
      <w:r>
        <w:rPr>
          <w:rFonts w:hint="eastAsia"/>
          <w:rtl/>
        </w:rPr>
        <w:t xml:space="preserve"> وعنوانه </w:t>
      </w:r>
      <w:r>
        <w:rPr>
          <w:rFonts w:hint="cs"/>
          <w:rtl/>
        </w:rPr>
        <w:t xml:space="preserve">”المساواة في معاملة </w:t>
      </w:r>
      <w:r w:rsidR="00323A2D">
        <w:rPr>
          <w:rFonts w:hint="cs"/>
          <w:rtl/>
        </w:rPr>
        <w:t xml:space="preserve">النساء </w:t>
      </w:r>
      <w:r>
        <w:rPr>
          <w:rFonts w:hint="cs"/>
          <w:rtl/>
        </w:rPr>
        <w:t>والرج</w:t>
      </w:r>
      <w:r w:rsidR="00323A2D">
        <w:rPr>
          <w:rFonts w:hint="cs"/>
          <w:rtl/>
        </w:rPr>
        <w:t>ا</w:t>
      </w:r>
      <w:r>
        <w:rPr>
          <w:rFonts w:hint="cs"/>
          <w:rtl/>
        </w:rPr>
        <w:t>ل</w:t>
      </w:r>
      <w:r>
        <w:rPr>
          <w:rFonts w:hint="eastAsia"/>
          <w:rtl/>
        </w:rPr>
        <w:t>“ (المادة 18 (3 أ) إلى المادة 18 (3 هـ)</w:t>
      </w:r>
      <w:r w:rsidR="00323A2D">
        <w:rPr>
          <w:rFonts w:hint="cs"/>
          <w:rtl/>
        </w:rPr>
        <w:t>) الذي</w:t>
      </w:r>
      <w:r w:rsidR="00C77946">
        <w:rPr>
          <w:rFonts w:hint="cs"/>
          <w:rtl/>
        </w:rPr>
        <w:t xml:space="preserve"> عرف التمييز غير المباشر، والتعويض المقدم نتيجة انتهاك </w:t>
      </w:r>
      <w:r w:rsidR="00323A2D">
        <w:rPr>
          <w:rFonts w:hint="cs"/>
          <w:rtl/>
        </w:rPr>
        <w:t>مبدأ المساواة في المعاملة، وفرض</w:t>
      </w:r>
      <w:r w:rsidR="00C77946">
        <w:rPr>
          <w:rFonts w:hint="cs"/>
          <w:rtl/>
        </w:rPr>
        <w:t xml:space="preserve"> على رب العمل عبء الإثبات، ومبدأ المساواة في الأجر للعمل المتساوي القيمة. </w:t>
      </w:r>
    </w:p>
    <w:p w:rsidR="00C77946" w:rsidRDefault="00C77946" w:rsidP="00211F53">
      <w:pPr>
        <w:pStyle w:val="SingleTxt"/>
        <w:rPr>
          <w:rFonts w:hint="cs"/>
          <w:rtl/>
        </w:rPr>
      </w:pPr>
      <w:r>
        <w:rPr>
          <w:rFonts w:hint="cs"/>
          <w:rtl/>
        </w:rPr>
        <w:t>141 -</w:t>
      </w:r>
      <w:r>
        <w:rPr>
          <w:rFonts w:hint="cs"/>
          <w:rtl/>
        </w:rPr>
        <w:tab/>
        <w:t xml:space="preserve"> وينص </w:t>
      </w:r>
      <w:r w:rsidR="00323A2D">
        <w:rPr>
          <w:rFonts w:hint="eastAsia"/>
          <w:rtl/>
        </w:rPr>
        <w:t>الفصل 2</w:t>
      </w:r>
      <w:r w:rsidR="00323A2D">
        <w:rPr>
          <w:rFonts w:hint="cs"/>
          <w:rtl/>
        </w:rPr>
        <w:t>(</w:t>
      </w:r>
      <w:r w:rsidR="00323A2D">
        <w:rPr>
          <w:rFonts w:hint="eastAsia"/>
          <w:rtl/>
        </w:rPr>
        <w:t>أ</w:t>
      </w:r>
      <w:r w:rsidR="00323A2D">
        <w:rPr>
          <w:rFonts w:hint="cs"/>
          <w:rtl/>
        </w:rPr>
        <w:t>)</w:t>
      </w:r>
      <w:r w:rsidR="00323A2D">
        <w:rPr>
          <w:rFonts w:hint="eastAsia"/>
          <w:rtl/>
        </w:rPr>
        <w:t xml:space="preserve"> </w:t>
      </w:r>
      <w:r>
        <w:rPr>
          <w:rFonts w:hint="cs"/>
          <w:rtl/>
        </w:rPr>
        <w:t>على أنه يتعين معاملة المرأة والرجل بصورة متساوية في</w:t>
      </w:r>
      <w:r w:rsidR="00323A2D">
        <w:rPr>
          <w:rFonts w:hint="cs"/>
          <w:rtl/>
        </w:rPr>
        <w:t xml:space="preserve"> </w:t>
      </w:r>
      <w:r>
        <w:rPr>
          <w:rFonts w:hint="cs"/>
          <w:rtl/>
        </w:rPr>
        <w:t>م</w:t>
      </w:r>
      <w:r w:rsidR="00323A2D">
        <w:rPr>
          <w:rFonts w:hint="cs"/>
          <w:rtl/>
        </w:rPr>
        <w:t>ج</w:t>
      </w:r>
      <w:r>
        <w:rPr>
          <w:rFonts w:hint="cs"/>
          <w:rtl/>
        </w:rPr>
        <w:t>ا</w:t>
      </w:r>
      <w:r w:rsidR="00323A2D">
        <w:rPr>
          <w:rFonts w:hint="cs"/>
          <w:rtl/>
        </w:rPr>
        <w:t>ل</w:t>
      </w:r>
      <w:r>
        <w:rPr>
          <w:rFonts w:hint="cs"/>
          <w:rtl/>
        </w:rPr>
        <w:t xml:space="preserve"> إبرام عقود العمل وفسخها، وظروف العمل، والترقية، وإمكانية الحصول على التدريب (الفقرة 1 من المادة 18 (3 أ) من قانون العمل). ويحظر أيضا </w:t>
      </w:r>
      <w:r w:rsidR="00323A2D">
        <w:rPr>
          <w:rFonts w:hint="eastAsia"/>
          <w:rtl/>
        </w:rPr>
        <w:t>الفصل 2</w:t>
      </w:r>
      <w:r w:rsidR="00323A2D">
        <w:rPr>
          <w:rFonts w:hint="cs"/>
          <w:rtl/>
        </w:rPr>
        <w:t>(</w:t>
      </w:r>
      <w:r w:rsidR="00323A2D">
        <w:rPr>
          <w:rFonts w:hint="eastAsia"/>
          <w:rtl/>
        </w:rPr>
        <w:t>أ</w:t>
      </w:r>
      <w:r w:rsidR="00323A2D">
        <w:rPr>
          <w:rFonts w:hint="cs"/>
          <w:rtl/>
        </w:rPr>
        <w:t>)</w:t>
      </w:r>
      <w:r w:rsidR="00323A2D">
        <w:rPr>
          <w:rFonts w:hint="eastAsia"/>
          <w:rtl/>
        </w:rPr>
        <w:t xml:space="preserve"> </w:t>
      </w:r>
      <w:r>
        <w:rPr>
          <w:rFonts w:hint="cs"/>
          <w:rtl/>
        </w:rPr>
        <w:t xml:space="preserve">التمييز المباشر وغير المباشر بوصفه انتهاكا لمبدأ المساواة بين الجنسين (الفقرتان 2 و 3 من المادة 18 (3 أ) من قانون العمل). وللموظفين، بغض النظر عن جنسهم، الحق في </w:t>
      </w:r>
      <w:r w:rsidR="00211F53">
        <w:rPr>
          <w:rFonts w:hint="cs"/>
          <w:rtl/>
        </w:rPr>
        <w:t>المساواة في الأجر</w:t>
      </w:r>
      <w:r>
        <w:rPr>
          <w:rFonts w:hint="cs"/>
          <w:rtl/>
        </w:rPr>
        <w:t xml:space="preserve"> عن الع</w:t>
      </w:r>
      <w:r w:rsidR="00211F53">
        <w:rPr>
          <w:rFonts w:hint="cs"/>
          <w:rtl/>
        </w:rPr>
        <w:t>مل المتساوي القيمة. ويضم</w:t>
      </w:r>
      <w:r>
        <w:rPr>
          <w:rFonts w:hint="cs"/>
          <w:rtl/>
        </w:rPr>
        <w:t xml:space="preserve"> </w:t>
      </w:r>
      <w:r w:rsidR="00211F53">
        <w:rPr>
          <w:rFonts w:hint="cs"/>
          <w:rtl/>
        </w:rPr>
        <w:t>الأجر المذكور</w:t>
      </w:r>
      <w:r>
        <w:rPr>
          <w:rFonts w:hint="cs"/>
          <w:rtl/>
        </w:rPr>
        <w:t xml:space="preserve"> جميع عناصر الأجر، بغض النظر عن تسميته</w:t>
      </w:r>
      <w:r w:rsidR="00211F53">
        <w:rPr>
          <w:rFonts w:hint="cs"/>
          <w:rtl/>
        </w:rPr>
        <w:t>ا</w:t>
      </w:r>
      <w:r>
        <w:rPr>
          <w:rFonts w:hint="cs"/>
          <w:rtl/>
        </w:rPr>
        <w:t xml:space="preserve"> أو طبيعته</w:t>
      </w:r>
      <w:r w:rsidR="00211F53">
        <w:rPr>
          <w:rFonts w:hint="cs"/>
          <w:rtl/>
        </w:rPr>
        <w:t>ا</w:t>
      </w:r>
      <w:r>
        <w:rPr>
          <w:rFonts w:hint="cs"/>
          <w:rtl/>
        </w:rPr>
        <w:t xml:space="preserve">، وغير ذلك من الاستحقاقات المتصلة بالعمل، الممنوحة للموظفين نقدا أو بشكل آخر (الفقرتان 1 و 2 من المادة 18 (3 ج) من قانون العمل). ويتضمن القانون أيضا تعريفا للعمل المتساوي القيمة. وعملا بالفقرة 3 من المادة 18 (3 ج) من قانون العمل تعريف العمل المتساوي القيمة هو العمل الذي يتطلب من الموظفين </w:t>
      </w:r>
      <w:r w:rsidR="00211F53">
        <w:rPr>
          <w:rFonts w:hint="cs"/>
          <w:rtl/>
        </w:rPr>
        <w:t>مؤهلات مهنية متشابهة، وموثقة بمستندات</w:t>
      </w:r>
      <w:r>
        <w:rPr>
          <w:rFonts w:hint="cs"/>
          <w:rtl/>
        </w:rPr>
        <w:t xml:space="preserve"> ملائم</w:t>
      </w:r>
      <w:r w:rsidR="00211F53">
        <w:rPr>
          <w:rFonts w:hint="cs"/>
          <w:rtl/>
        </w:rPr>
        <w:t>ة</w:t>
      </w:r>
      <w:r>
        <w:rPr>
          <w:rFonts w:hint="cs"/>
          <w:rtl/>
        </w:rPr>
        <w:t xml:space="preserve"> أو بموجب الخبرة المهنية، </w:t>
      </w:r>
      <w:r w:rsidR="00211F53">
        <w:rPr>
          <w:rFonts w:hint="cs"/>
          <w:rtl/>
        </w:rPr>
        <w:t xml:space="preserve">ويتطلب كذلك </w:t>
      </w:r>
      <w:r>
        <w:rPr>
          <w:rFonts w:hint="cs"/>
          <w:rtl/>
        </w:rPr>
        <w:t>مسؤوليات وجهود</w:t>
      </w:r>
      <w:r w:rsidR="00211F53">
        <w:rPr>
          <w:rFonts w:hint="cs"/>
          <w:rtl/>
        </w:rPr>
        <w:t>ا</w:t>
      </w:r>
      <w:r>
        <w:rPr>
          <w:rFonts w:hint="cs"/>
          <w:rtl/>
        </w:rPr>
        <w:t xml:space="preserve"> مشابهة. ويحدث انتهاك مبدأ المساواة في معاملة المرأة والرجل (المادة 18 (3 ب) من قانون العمل) عندما يفرق رب العمل بين وضع الموظف</w:t>
      </w:r>
      <w:r w:rsidR="00211F53">
        <w:rPr>
          <w:rFonts w:hint="cs"/>
          <w:rtl/>
        </w:rPr>
        <w:t>ين</w:t>
      </w:r>
      <w:r>
        <w:rPr>
          <w:rFonts w:hint="cs"/>
          <w:rtl/>
        </w:rPr>
        <w:t xml:space="preserve"> بسبب الجنس الذي ينتمي إليه </w:t>
      </w:r>
      <w:r w:rsidR="00211F53">
        <w:rPr>
          <w:rFonts w:hint="cs"/>
          <w:rtl/>
        </w:rPr>
        <w:t xml:space="preserve">الموظف </w:t>
      </w:r>
      <w:r>
        <w:rPr>
          <w:rFonts w:hint="cs"/>
          <w:rtl/>
        </w:rPr>
        <w:t>مما يؤدي إلى:</w:t>
      </w:r>
    </w:p>
    <w:p w:rsidR="00C77946" w:rsidRDefault="00C77946" w:rsidP="00211F53">
      <w:pPr>
        <w:pStyle w:val="SingleTxt"/>
        <w:rPr>
          <w:rFonts w:hint="cs"/>
          <w:rtl/>
        </w:rPr>
      </w:pPr>
      <w:r>
        <w:rPr>
          <w:rFonts w:hint="cs"/>
          <w:rtl/>
        </w:rPr>
        <w:tab/>
        <w:t>-</w:t>
      </w:r>
      <w:r>
        <w:rPr>
          <w:rFonts w:hint="cs"/>
          <w:rtl/>
        </w:rPr>
        <w:tab/>
        <w:t xml:space="preserve">رفض تعيين </w:t>
      </w:r>
      <w:r w:rsidR="00211F53">
        <w:rPr>
          <w:rFonts w:hint="cs"/>
          <w:rtl/>
        </w:rPr>
        <w:t xml:space="preserve">الموظف </w:t>
      </w:r>
      <w:r>
        <w:rPr>
          <w:rFonts w:hint="cs"/>
          <w:rtl/>
        </w:rPr>
        <w:t xml:space="preserve">أو </w:t>
      </w:r>
      <w:r w:rsidR="00211F53">
        <w:rPr>
          <w:rFonts w:hint="cs"/>
          <w:rtl/>
        </w:rPr>
        <w:t>استمراره في عمله</w:t>
      </w:r>
      <w:r>
        <w:rPr>
          <w:rFonts w:hint="cs"/>
          <w:rtl/>
        </w:rPr>
        <w:t>؛</w:t>
      </w:r>
    </w:p>
    <w:p w:rsidR="00C77946" w:rsidRDefault="00C77946" w:rsidP="00561811">
      <w:pPr>
        <w:pStyle w:val="SingleTxt"/>
        <w:ind w:left="2592" w:hanging="1325"/>
        <w:rPr>
          <w:rFonts w:hint="cs"/>
          <w:rtl/>
        </w:rPr>
      </w:pPr>
      <w:r>
        <w:rPr>
          <w:rFonts w:hint="cs"/>
          <w:rtl/>
        </w:rPr>
        <w:tab/>
        <w:t>-</w:t>
      </w:r>
      <w:r>
        <w:rPr>
          <w:rFonts w:hint="cs"/>
          <w:rtl/>
        </w:rPr>
        <w:tab/>
        <w:t xml:space="preserve">إيجاد ظروف غير مؤاتية لدفع مرتب </w:t>
      </w:r>
      <w:r w:rsidR="00561811">
        <w:rPr>
          <w:rFonts w:hint="cs"/>
          <w:rtl/>
        </w:rPr>
        <w:t xml:space="preserve">الموظف </w:t>
      </w:r>
      <w:r>
        <w:rPr>
          <w:rFonts w:hint="cs"/>
          <w:rtl/>
        </w:rPr>
        <w:t>أو ظروف عمل</w:t>
      </w:r>
      <w:r w:rsidR="00561811">
        <w:rPr>
          <w:rFonts w:hint="cs"/>
          <w:rtl/>
        </w:rPr>
        <w:t xml:space="preserve"> أخرى </w:t>
      </w:r>
      <w:r>
        <w:rPr>
          <w:rFonts w:hint="cs"/>
          <w:rtl/>
        </w:rPr>
        <w:t xml:space="preserve">، وعدم ترقية </w:t>
      </w:r>
      <w:r w:rsidR="00561811">
        <w:rPr>
          <w:rFonts w:hint="cs"/>
          <w:rtl/>
        </w:rPr>
        <w:t xml:space="preserve">الموظف </w:t>
      </w:r>
      <w:r>
        <w:rPr>
          <w:rFonts w:hint="cs"/>
          <w:rtl/>
        </w:rPr>
        <w:t>أو منح</w:t>
      </w:r>
      <w:r w:rsidR="00561811">
        <w:rPr>
          <w:rFonts w:hint="cs"/>
          <w:rtl/>
        </w:rPr>
        <w:t>ه</w:t>
      </w:r>
      <w:r>
        <w:rPr>
          <w:rFonts w:hint="cs"/>
          <w:rtl/>
        </w:rPr>
        <w:t xml:space="preserve"> </w:t>
      </w:r>
      <w:r w:rsidR="00561811">
        <w:rPr>
          <w:rFonts w:hint="cs"/>
          <w:rtl/>
        </w:rPr>
        <w:t>استحقاقاته</w:t>
      </w:r>
      <w:r>
        <w:rPr>
          <w:rFonts w:hint="cs"/>
          <w:rtl/>
        </w:rPr>
        <w:t>؛</w:t>
      </w:r>
    </w:p>
    <w:p w:rsidR="00C77946" w:rsidRDefault="00C77946" w:rsidP="00A01291">
      <w:pPr>
        <w:pStyle w:val="SingleTxt"/>
        <w:rPr>
          <w:rFonts w:hint="cs"/>
          <w:rtl/>
        </w:rPr>
      </w:pPr>
      <w:r>
        <w:rPr>
          <w:rFonts w:hint="cs"/>
          <w:rtl/>
        </w:rPr>
        <w:tab/>
        <w:t>-</w:t>
      </w:r>
      <w:r>
        <w:rPr>
          <w:rFonts w:hint="cs"/>
          <w:rtl/>
        </w:rPr>
        <w:tab/>
        <w:t>عدم اختيار الموظف للتدريب المهني.</w:t>
      </w:r>
    </w:p>
    <w:p w:rsidR="00C77946" w:rsidRDefault="00C77946" w:rsidP="00561811">
      <w:pPr>
        <w:pStyle w:val="SingleTxt"/>
        <w:rPr>
          <w:rFonts w:hint="cs"/>
          <w:rtl/>
        </w:rPr>
      </w:pPr>
      <w:r>
        <w:rPr>
          <w:rFonts w:hint="cs"/>
          <w:rtl/>
        </w:rPr>
        <w:t xml:space="preserve">ما لم يستطع رب العمل أن يثبت أن هناك اعتبارات أخرى. وتنص المادة 18 (3 ب) </w:t>
      </w:r>
      <w:r w:rsidR="00561811">
        <w:rPr>
          <w:rFonts w:hint="cs"/>
          <w:rtl/>
        </w:rPr>
        <w:t>على أن ت</w:t>
      </w:r>
      <w:r>
        <w:rPr>
          <w:rFonts w:hint="cs"/>
          <w:rtl/>
        </w:rPr>
        <w:t>ر</w:t>
      </w:r>
      <w:r w:rsidR="00561811">
        <w:rPr>
          <w:rFonts w:hint="cs"/>
          <w:rtl/>
        </w:rPr>
        <w:t>اجع</w:t>
      </w:r>
      <w:r>
        <w:rPr>
          <w:rFonts w:hint="cs"/>
          <w:rtl/>
        </w:rPr>
        <w:t xml:space="preserve"> </w:t>
      </w:r>
      <w:r w:rsidR="00561811">
        <w:rPr>
          <w:rFonts w:hint="cs"/>
          <w:rtl/>
        </w:rPr>
        <w:t>اللا</w:t>
      </w:r>
      <w:r>
        <w:rPr>
          <w:rFonts w:hint="cs"/>
          <w:rtl/>
        </w:rPr>
        <w:t xml:space="preserve">مساواة </w:t>
      </w:r>
      <w:r w:rsidR="00561811">
        <w:rPr>
          <w:rFonts w:hint="cs"/>
          <w:rtl/>
        </w:rPr>
        <w:t xml:space="preserve">بصورة مؤقتة </w:t>
      </w:r>
      <w:r>
        <w:rPr>
          <w:rFonts w:hint="cs"/>
          <w:rtl/>
        </w:rPr>
        <w:t>(مثل رفض التعيين إذا كان يرمي إلى استعادة المساواة بين الجنسين) لصالح أحد الجنسين لا يشكل انتهاكا لمبدأ المساواة في المعاملة بين النساء والرجال. بل إنه يشكل أساسا للتمييز الإيجابي.</w:t>
      </w:r>
    </w:p>
    <w:p w:rsidR="00C77946" w:rsidRDefault="00C77946" w:rsidP="007C004D">
      <w:pPr>
        <w:pStyle w:val="SingleTxt"/>
        <w:rPr>
          <w:rFonts w:hint="cs"/>
          <w:rtl/>
        </w:rPr>
      </w:pPr>
      <w:r>
        <w:rPr>
          <w:rFonts w:hint="cs"/>
          <w:rtl/>
        </w:rPr>
        <w:t>142 -</w:t>
      </w:r>
      <w:r>
        <w:rPr>
          <w:rFonts w:hint="cs"/>
          <w:rtl/>
        </w:rPr>
        <w:tab/>
        <w:t xml:space="preserve"> في حالة </w:t>
      </w:r>
      <w:r w:rsidR="00561811">
        <w:rPr>
          <w:rFonts w:hint="cs"/>
          <w:rtl/>
        </w:rPr>
        <w:t>عرض</w:t>
      </w:r>
      <w:r>
        <w:rPr>
          <w:rFonts w:hint="cs"/>
          <w:rtl/>
        </w:rPr>
        <w:t xml:space="preserve"> خلاف أمام محكمة العمل </w:t>
      </w:r>
      <w:r w:rsidR="00561811">
        <w:rPr>
          <w:rFonts w:hint="cs"/>
          <w:rtl/>
        </w:rPr>
        <w:t xml:space="preserve">حول </w:t>
      </w:r>
      <w:r>
        <w:rPr>
          <w:rFonts w:hint="cs"/>
          <w:rtl/>
        </w:rPr>
        <w:t xml:space="preserve">المساواة في المعاملة بين النساء والرجال، فإن عبء الإثبات يقع على </w:t>
      </w:r>
      <w:r w:rsidR="00561811">
        <w:rPr>
          <w:rFonts w:hint="cs"/>
          <w:rtl/>
        </w:rPr>
        <w:t xml:space="preserve">عاتق </w:t>
      </w:r>
      <w:r>
        <w:rPr>
          <w:rFonts w:hint="cs"/>
          <w:rtl/>
        </w:rPr>
        <w:t>رب العمل. ويعطي قانون العمل للموظفين أو الب</w:t>
      </w:r>
      <w:r w:rsidR="00561811">
        <w:rPr>
          <w:rFonts w:hint="cs"/>
          <w:rtl/>
        </w:rPr>
        <w:t>احثي</w:t>
      </w:r>
      <w:r>
        <w:rPr>
          <w:rFonts w:hint="cs"/>
          <w:rtl/>
        </w:rPr>
        <w:t xml:space="preserve">ن عن عمل الحق في رفع قضية على رب العمل للحصول على تعويضات إذا كان رب العمل قد انتهك مبدأ المساواة بين </w:t>
      </w:r>
      <w:r w:rsidR="00561811">
        <w:rPr>
          <w:rFonts w:hint="cs"/>
          <w:rtl/>
        </w:rPr>
        <w:t>النساء والرجال</w:t>
      </w:r>
      <w:r>
        <w:rPr>
          <w:rFonts w:hint="cs"/>
          <w:rtl/>
        </w:rPr>
        <w:t>. و</w:t>
      </w:r>
      <w:r w:rsidR="00561811">
        <w:rPr>
          <w:rFonts w:hint="cs"/>
          <w:rtl/>
        </w:rPr>
        <w:t>يرد</w:t>
      </w:r>
      <w:r>
        <w:rPr>
          <w:rFonts w:hint="cs"/>
          <w:rtl/>
        </w:rPr>
        <w:t xml:space="preserve"> أيضا تعريف </w:t>
      </w:r>
      <w:r w:rsidR="00561811">
        <w:rPr>
          <w:rFonts w:hint="cs"/>
          <w:rtl/>
        </w:rPr>
        <w:t>ل</w:t>
      </w:r>
      <w:r>
        <w:rPr>
          <w:rFonts w:hint="cs"/>
          <w:rtl/>
        </w:rPr>
        <w:t xml:space="preserve">حجم التعويض المحتمل (المادة 18 </w:t>
      </w:r>
      <w:r w:rsidR="0043617C">
        <w:rPr>
          <w:rFonts w:hint="cs"/>
          <w:rtl/>
        </w:rPr>
        <w:t>(3 د) من قانون العمل). وإن مطالبات الموظفين معفية من مصاريف المحكمة (المادة 263 م</w:t>
      </w:r>
      <w:r w:rsidR="007C004D">
        <w:rPr>
          <w:rFonts w:hint="cs"/>
          <w:rtl/>
        </w:rPr>
        <w:t>ن قانون العمل). وإن</w:t>
      </w:r>
      <w:r w:rsidR="0043617C">
        <w:rPr>
          <w:rFonts w:hint="cs"/>
          <w:rtl/>
        </w:rPr>
        <w:t xml:space="preserve"> ال</w:t>
      </w:r>
      <w:r w:rsidR="007C004D">
        <w:rPr>
          <w:rFonts w:hint="cs"/>
          <w:rtl/>
        </w:rPr>
        <w:t>ال</w:t>
      </w:r>
      <w:r w:rsidR="0043617C">
        <w:rPr>
          <w:rFonts w:hint="cs"/>
          <w:rtl/>
        </w:rPr>
        <w:t xml:space="preserve">تماس </w:t>
      </w:r>
      <w:r w:rsidR="007C004D">
        <w:rPr>
          <w:rFonts w:hint="cs"/>
          <w:rtl/>
        </w:rPr>
        <w:t xml:space="preserve">الذي يتقدم به </w:t>
      </w:r>
      <w:r w:rsidR="0043617C">
        <w:rPr>
          <w:rFonts w:hint="cs"/>
          <w:rtl/>
        </w:rPr>
        <w:t xml:space="preserve">موظف </w:t>
      </w:r>
      <w:r w:rsidR="007C004D">
        <w:rPr>
          <w:rFonts w:hint="cs"/>
          <w:rtl/>
        </w:rPr>
        <w:t xml:space="preserve">إلى </w:t>
      </w:r>
      <w:r w:rsidR="0043617C">
        <w:rPr>
          <w:rFonts w:hint="cs"/>
          <w:rtl/>
        </w:rPr>
        <w:t xml:space="preserve">محكمة العمل </w:t>
      </w:r>
      <w:r w:rsidR="007C004D">
        <w:rPr>
          <w:rFonts w:hint="cs"/>
          <w:rtl/>
        </w:rPr>
        <w:t xml:space="preserve">بخصوص </w:t>
      </w:r>
      <w:r w:rsidR="0043617C">
        <w:rPr>
          <w:rFonts w:hint="cs"/>
          <w:rtl/>
        </w:rPr>
        <w:t xml:space="preserve">انتهاك رب العمل لمبدأ المساواة بين الجنسين </w:t>
      </w:r>
      <w:r w:rsidR="007C004D">
        <w:rPr>
          <w:rFonts w:hint="cs"/>
          <w:rtl/>
        </w:rPr>
        <w:t xml:space="preserve">لا يجوز استعماله </w:t>
      </w:r>
      <w:r w:rsidR="0043617C">
        <w:rPr>
          <w:rFonts w:hint="cs"/>
          <w:rtl/>
        </w:rPr>
        <w:t xml:space="preserve">كأساس لإنهاء عقد الموظف (المادة 18 (3 هـ) من قانون العمل). وفي عام 2002، أفادت وزارة العدل عن حالة </w:t>
      </w:r>
      <w:r w:rsidR="007C004D">
        <w:rPr>
          <w:rFonts w:hint="cs"/>
          <w:rtl/>
        </w:rPr>
        <w:t xml:space="preserve">تمييز قائم على الجنس معروضة على </w:t>
      </w:r>
      <w:r w:rsidR="0043617C">
        <w:rPr>
          <w:rFonts w:hint="cs"/>
          <w:rtl/>
        </w:rPr>
        <w:t xml:space="preserve">المحكمة. ومن السابق لأوانه تقييم فعالية اللوائح الجديدة. </w:t>
      </w:r>
    </w:p>
    <w:p w:rsidR="0043617C" w:rsidRDefault="0043617C" w:rsidP="007C004D">
      <w:pPr>
        <w:pStyle w:val="SingleTxt"/>
        <w:rPr>
          <w:rFonts w:hint="cs"/>
          <w:rtl/>
        </w:rPr>
      </w:pPr>
      <w:r>
        <w:rPr>
          <w:rFonts w:hint="cs"/>
          <w:rtl/>
        </w:rPr>
        <w:t>143 -</w:t>
      </w:r>
      <w:r>
        <w:rPr>
          <w:rFonts w:hint="cs"/>
          <w:rtl/>
        </w:rPr>
        <w:tab/>
        <w:t xml:space="preserve"> </w:t>
      </w:r>
      <w:r w:rsidR="00037E82">
        <w:rPr>
          <w:rFonts w:hint="cs"/>
          <w:rtl/>
        </w:rPr>
        <w:t xml:space="preserve">ينظم قانون العمل </w:t>
      </w:r>
      <w:r w:rsidR="007C004D">
        <w:rPr>
          <w:rFonts w:hint="cs"/>
          <w:rtl/>
        </w:rPr>
        <w:t>حجم</w:t>
      </w:r>
      <w:r w:rsidR="00037E82">
        <w:rPr>
          <w:rFonts w:hint="cs"/>
          <w:rtl/>
        </w:rPr>
        <w:t xml:space="preserve"> البيانات التي يجوز لرب العمل أن يطلبها من الذين يبحثون عن العمل، ويقصر</w:t>
      </w:r>
      <w:r w:rsidR="007C004D">
        <w:rPr>
          <w:rFonts w:hint="cs"/>
          <w:rtl/>
        </w:rPr>
        <w:t>ها</w:t>
      </w:r>
      <w:r w:rsidR="00037E82">
        <w:rPr>
          <w:rFonts w:hint="cs"/>
          <w:rtl/>
        </w:rPr>
        <w:t xml:space="preserve"> على الحد الأدنى الأساسي اللازم للعمالة. وهكذا، فقد تم وضع أساس قانوني لمنع أرباب العمل من توجيه أسئلة يمكن أن تفسر على أنها موقف تمييزي تجاه الباحثين عن عمل. وينطبق ذلك بصفة خاصة على المسائل المتصلة بالوضع العائلي، أو بمشاريع </w:t>
      </w:r>
      <w:r w:rsidR="007C004D">
        <w:rPr>
          <w:rFonts w:hint="cs"/>
          <w:rtl/>
        </w:rPr>
        <w:t>ال</w:t>
      </w:r>
      <w:r w:rsidR="00037E82">
        <w:rPr>
          <w:rFonts w:hint="cs"/>
          <w:rtl/>
        </w:rPr>
        <w:t>زواج أو إنجاب أطفال.</w:t>
      </w:r>
    </w:p>
    <w:p w:rsidR="00037E82" w:rsidRDefault="00037E82" w:rsidP="007C004D">
      <w:pPr>
        <w:pStyle w:val="SingleTxt"/>
        <w:rPr>
          <w:rFonts w:hint="cs"/>
          <w:rtl/>
        </w:rPr>
      </w:pPr>
      <w:r>
        <w:rPr>
          <w:rFonts w:hint="cs"/>
          <w:rtl/>
        </w:rPr>
        <w:t>144 -</w:t>
      </w:r>
      <w:r>
        <w:rPr>
          <w:rFonts w:hint="cs"/>
          <w:rtl/>
        </w:rPr>
        <w:tab/>
        <w:t xml:space="preserve"> وبعد الفترة التي يغطيها التقرير، قدمت الحكومة في تشرين الثاني/نوفمبر 2002 إلى مجلس النواب مشروع قانون </w:t>
      </w:r>
      <w:r w:rsidR="007C004D">
        <w:rPr>
          <w:rFonts w:hint="cs"/>
          <w:rtl/>
        </w:rPr>
        <w:t>ل</w:t>
      </w:r>
      <w:r>
        <w:rPr>
          <w:rFonts w:hint="cs"/>
          <w:rtl/>
        </w:rPr>
        <w:t>تعديل قانون العمل وبعض القوانين الأخرى (بدأ نفاذه في 1 كانون الثاني/يناير 2004) ويرمي إلى تكييف القانون البولندي مع تشريعات الاتحاد الأوروبي فيما يتعلق بالمساواة في المعاملة في مجال العمالة</w:t>
      </w:r>
      <w:r w:rsidR="007C004D">
        <w:rPr>
          <w:rFonts w:hint="cs"/>
          <w:rtl/>
        </w:rPr>
        <w:t xml:space="preserve">، كما </w:t>
      </w:r>
      <w:r>
        <w:rPr>
          <w:rFonts w:hint="cs"/>
          <w:rtl/>
        </w:rPr>
        <w:t>استحدث تدابير لتعزيز صحة وسلامة العاملات الحوامل، وتلك اللاتي يرضعن أطفالهن أو و</w:t>
      </w:r>
      <w:r w:rsidR="007C004D">
        <w:rPr>
          <w:rFonts w:hint="cs"/>
          <w:rtl/>
        </w:rPr>
        <w:t>ضعن مو</w:t>
      </w:r>
      <w:r>
        <w:rPr>
          <w:rFonts w:hint="cs"/>
          <w:rtl/>
        </w:rPr>
        <w:t>ل</w:t>
      </w:r>
      <w:r w:rsidR="007C004D">
        <w:rPr>
          <w:rFonts w:hint="cs"/>
          <w:rtl/>
        </w:rPr>
        <w:t>و</w:t>
      </w:r>
      <w:r>
        <w:rPr>
          <w:rFonts w:hint="cs"/>
          <w:rtl/>
        </w:rPr>
        <w:t>د</w:t>
      </w:r>
      <w:r w:rsidR="007C004D">
        <w:rPr>
          <w:rFonts w:hint="cs"/>
          <w:rtl/>
        </w:rPr>
        <w:t>ا</w:t>
      </w:r>
      <w:r>
        <w:rPr>
          <w:rFonts w:hint="cs"/>
          <w:rtl/>
        </w:rPr>
        <w:t>. واستحدث التعديل المذكور أعلاه في قانون العمل الأحكام التالية:</w:t>
      </w:r>
    </w:p>
    <w:p w:rsidR="00037E82" w:rsidRDefault="00037E82" w:rsidP="00D7400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7C004D">
        <w:rPr>
          <w:rFonts w:hint="cs"/>
          <w:rtl/>
        </w:rPr>
        <w:t>جعل حظر</w:t>
      </w:r>
      <w:r>
        <w:rPr>
          <w:rFonts w:hint="cs"/>
          <w:rtl/>
        </w:rPr>
        <w:t xml:space="preserve"> التمييز في مجال العمل </w:t>
      </w:r>
      <w:r w:rsidR="007C004D">
        <w:rPr>
          <w:rFonts w:hint="cs"/>
          <w:rtl/>
        </w:rPr>
        <w:t>يشمل</w:t>
      </w:r>
      <w:r>
        <w:rPr>
          <w:rFonts w:hint="cs"/>
          <w:rtl/>
        </w:rPr>
        <w:t xml:space="preserve"> </w:t>
      </w:r>
      <w:r w:rsidR="007C004D">
        <w:rPr>
          <w:rFonts w:hint="cs"/>
          <w:rtl/>
        </w:rPr>
        <w:t>ال</w:t>
      </w:r>
      <w:r>
        <w:rPr>
          <w:rFonts w:hint="cs"/>
          <w:rtl/>
        </w:rPr>
        <w:t xml:space="preserve">تمييز </w:t>
      </w:r>
      <w:r w:rsidR="007C004D">
        <w:rPr>
          <w:rFonts w:hint="cs"/>
          <w:rtl/>
        </w:rPr>
        <w:t>القائم</w:t>
      </w:r>
      <w:r>
        <w:rPr>
          <w:rFonts w:hint="cs"/>
          <w:rtl/>
        </w:rPr>
        <w:t xml:space="preserve"> على العرق، أو الأصل الإثني أو التوجه الجنسي و</w:t>
      </w:r>
      <w:r w:rsidR="00D74009">
        <w:rPr>
          <w:rFonts w:hint="cs"/>
          <w:rtl/>
        </w:rPr>
        <w:t xml:space="preserve">تحديد أو عدم تحديد </w:t>
      </w:r>
      <w:r>
        <w:rPr>
          <w:rFonts w:hint="cs"/>
          <w:rtl/>
        </w:rPr>
        <w:t xml:space="preserve">مدة عقد العمل، وما إذا كان العمل متفرغا أو غير متفرغ (المادة 11 (3) من قانون العمل). وكان </w:t>
      </w:r>
      <w:r w:rsidR="00D74009">
        <w:rPr>
          <w:rFonts w:hint="cs"/>
          <w:rtl/>
        </w:rPr>
        <w:t xml:space="preserve">حظر </w:t>
      </w:r>
      <w:r>
        <w:rPr>
          <w:rFonts w:hint="cs"/>
          <w:rtl/>
        </w:rPr>
        <w:t>التمييز في السابق يشير إلى نوع الجنس، والعجز، والجنسية، والمعتقدات السياسية أو الدينية، والانتماء إلى نقابات العمال؛</w:t>
      </w:r>
    </w:p>
    <w:p w:rsidR="00037E82" w:rsidRDefault="00037E82" w:rsidP="00037E8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تعريف التمييز المباشر، وكان مفهوم التمييز المباشر مستخدم</w:t>
      </w:r>
      <w:r w:rsidR="00D74009">
        <w:rPr>
          <w:rFonts w:hint="cs"/>
          <w:rtl/>
        </w:rPr>
        <w:t>ا</w:t>
      </w:r>
      <w:r>
        <w:rPr>
          <w:rFonts w:hint="cs"/>
          <w:rtl/>
        </w:rPr>
        <w:t xml:space="preserve"> في قانون العمل بدون تعريف؛ </w:t>
      </w:r>
    </w:p>
    <w:p w:rsidR="00037E82" w:rsidRDefault="00037E82" w:rsidP="00037E8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تعريف التحرش الجنسي والاعتراف به بوصفه شكلا من أشكال التمييز الجنسي؛</w:t>
      </w:r>
    </w:p>
    <w:p w:rsidR="00037E82" w:rsidRDefault="00037E82" w:rsidP="00037E8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إزالة الحدود على حجم التعويض المقدم إلى شخص انتهك رب العمل الذي يعمل عنده مبدأ المساواة في المعاملة، على النحو المذكور في المادة 18 (3 د) من قانون العمل، وتحديد الحد الأدنى للتعويض على أساس الحد الأدنى للأجور. </w:t>
      </w:r>
    </w:p>
    <w:p w:rsidR="00037E82" w:rsidRDefault="00037E82" w:rsidP="00D74009">
      <w:pPr>
        <w:pStyle w:val="SingleTxt"/>
        <w:rPr>
          <w:rFonts w:hint="cs"/>
          <w:rtl/>
        </w:rPr>
      </w:pPr>
      <w:r>
        <w:rPr>
          <w:rFonts w:hint="cs"/>
          <w:rtl/>
        </w:rPr>
        <w:t>إن هذه الأحكام، فضلا عن قانو</w:t>
      </w:r>
      <w:r w:rsidR="00D74009">
        <w:rPr>
          <w:rFonts w:hint="cs"/>
          <w:rtl/>
        </w:rPr>
        <w:t>ن العمل، تحيل عبء الإثبات إ</w:t>
      </w:r>
      <w:r>
        <w:rPr>
          <w:rFonts w:hint="cs"/>
          <w:rtl/>
        </w:rPr>
        <w:t>لى رب العمل، وتح</w:t>
      </w:r>
      <w:r w:rsidR="00D74009">
        <w:rPr>
          <w:rFonts w:hint="cs"/>
          <w:rtl/>
        </w:rPr>
        <w:t>مّله مسؤولية إيجاد</w:t>
      </w:r>
      <w:r>
        <w:rPr>
          <w:rFonts w:hint="cs"/>
          <w:rtl/>
        </w:rPr>
        <w:t xml:space="preserve"> ظروف عمل خالية من التمييز القائم على الجنس</w:t>
      </w:r>
      <w:r w:rsidR="00D74009">
        <w:rPr>
          <w:rFonts w:hint="cs"/>
          <w:rtl/>
        </w:rPr>
        <w:t xml:space="preserve"> والتحرش الجنسي،</w:t>
      </w:r>
      <w:r>
        <w:rPr>
          <w:rFonts w:hint="cs"/>
          <w:rtl/>
        </w:rPr>
        <w:t xml:space="preserve"> </w:t>
      </w:r>
      <w:r w:rsidR="00D74009">
        <w:rPr>
          <w:rFonts w:hint="cs"/>
          <w:rtl/>
        </w:rPr>
        <w:t>و</w:t>
      </w:r>
      <w:r>
        <w:rPr>
          <w:rFonts w:hint="cs"/>
          <w:rtl/>
        </w:rPr>
        <w:t>تجعل القانون البولندي ينسجم مع المعايير الدولية.</w:t>
      </w:r>
    </w:p>
    <w:p w:rsidR="00037E82" w:rsidRDefault="00037E82" w:rsidP="00037E82">
      <w:pPr>
        <w:pStyle w:val="SingleTxt"/>
        <w:rPr>
          <w:rFonts w:hint="cs"/>
          <w:b/>
          <w:bCs/>
          <w:rtl/>
        </w:rPr>
      </w:pPr>
      <w:r>
        <w:rPr>
          <w:rFonts w:hint="cs"/>
          <w:b/>
          <w:bCs/>
          <w:rtl/>
        </w:rPr>
        <w:t>الأجور</w:t>
      </w:r>
    </w:p>
    <w:p w:rsidR="00037E82" w:rsidRDefault="00037E82" w:rsidP="004F3907">
      <w:pPr>
        <w:pStyle w:val="SingleTxt"/>
        <w:rPr>
          <w:rFonts w:hint="cs"/>
          <w:rtl/>
        </w:rPr>
      </w:pPr>
      <w:r>
        <w:rPr>
          <w:rFonts w:hint="cs"/>
          <w:rtl/>
        </w:rPr>
        <w:t>145 -</w:t>
      </w:r>
      <w:r>
        <w:rPr>
          <w:rFonts w:hint="cs"/>
          <w:rtl/>
        </w:rPr>
        <w:tab/>
        <w:t xml:space="preserve"> إن الأجر الذي تتقاضاه المرأة يقل عن الأجر الذي يتقاضاه الرجل بنسبة 20 في المائة في المتوسط (الجدول ألف -11-1، المرفق). ولم يكن لبدء نفاذ الحظر على التمييز في الأجور تأثير كبير على هذا الفرق. وتشير بيانات مكتب الإحصاءات المركزي إلى أن الفرق في الأجور واضح، ويتزايد لا سيما في المناصب الإدارية العليا. </w:t>
      </w:r>
      <w:r w:rsidR="006B7C87">
        <w:rPr>
          <w:rFonts w:hint="cs"/>
          <w:rtl/>
        </w:rPr>
        <w:t>ويتصل تعادل</w:t>
      </w:r>
      <w:r>
        <w:rPr>
          <w:rFonts w:hint="cs"/>
          <w:rtl/>
        </w:rPr>
        <w:t xml:space="preserve"> أجور الكتبة، والموظفين، والبائعين بانخفاض أجر الرجال الذين ينتمون إلى هذه الفئات. ولن يتسنى تقييم أثر الحظر على التمييز في الأجور (الفقرة 2 و 3 من المادة 18 (3</w:t>
      </w:r>
      <w:r>
        <w:rPr>
          <w:rFonts w:hint="eastAsia"/>
          <w:rtl/>
        </w:rPr>
        <w:t> </w:t>
      </w:r>
      <w:r>
        <w:rPr>
          <w:rFonts w:hint="cs"/>
          <w:rtl/>
        </w:rPr>
        <w:t xml:space="preserve">أ) من قانون العمل) إلى أن يأتي موعد </w:t>
      </w:r>
      <w:r w:rsidR="006B7C87">
        <w:rPr>
          <w:rFonts w:hint="cs"/>
          <w:rtl/>
        </w:rPr>
        <w:t xml:space="preserve">تقديم </w:t>
      </w:r>
      <w:r>
        <w:rPr>
          <w:rFonts w:hint="cs"/>
          <w:rtl/>
        </w:rPr>
        <w:t xml:space="preserve">التقرير عن الفترة التالية. ويمكن تقديم الشكاوى المتعلقة بالتمييز في الأجور إلى نقابات العمال </w:t>
      </w:r>
      <w:r w:rsidR="004F3907">
        <w:rPr>
          <w:rFonts w:hint="cs"/>
          <w:rtl/>
        </w:rPr>
        <w:t>وهيئة التفتيش الوطنية لل</w:t>
      </w:r>
      <w:r w:rsidR="00C92658">
        <w:rPr>
          <w:rFonts w:hint="cs"/>
          <w:rtl/>
        </w:rPr>
        <w:t>يد ال</w:t>
      </w:r>
      <w:r w:rsidR="004F3907">
        <w:rPr>
          <w:rFonts w:hint="cs"/>
          <w:rtl/>
        </w:rPr>
        <w:t>ع</w:t>
      </w:r>
      <w:r w:rsidR="00C92658">
        <w:rPr>
          <w:rFonts w:hint="cs"/>
          <w:rtl/>
        </w:rPr>
        <w:t>امل</w:t>
      </w:r>
      <w:r w:rsidR="004F3907">
        <w:rPr>
          <w:rFonts w:hint="cs"/>
          <w:rtl/>
        </w:rPr>
        <w:t>ة</w:t>
      </w:r>
      <w:r w:rsidR="006B7C87">
        <w:rPr>
          <w:rFonts w:hint="cs"/>
          <w:rtl/>
        </w:rPr>
        <w:t>. ومن الناحية العملية، خشية المرء من فقدان وظيفته</w:t>
      </w:r>
      <w:r>
        <w:rPr>
          <w:rFonts w:hint="cs"/>
          <w:rtl/>
        </w:rPr>
        <w:t xml:space="preserve"> (وينطبق ذلك على كل من الرجال والنساء) يمنع عادة الموظفين من تقديم مثل هذه الشكاوى. وفي الوقت الراهن، ليس هناك نظام </w:t>
      </w:r>
      <w:r w:rsidR="006B7C87">
        <w:rPr>
          <w:rFonts w:hint="cs"/>
          <w:rtl/>
        </w:rPr>
        <w:t>ي</w:t>
      </w:r>
      <w:r>
        <w:rPr>
          <w:rFonts w:hint="cs"/>
          <w:rtl/>
        </w:rPr>
        <w:t>رصد ممارسات</w:t>
      </w:r>
      <w:r w:rsidR="006B7C87">
        <w:rPr>
          <w:rFonts w:hint="cs"/>
          <w:rtl/>
        </w:rPr>
        <w:t xml:space="preserve"> أرباب العمل في مجال ا</w:t>
      </w:r>
      <w:r>
        <w:rPr>
          <w:rFonts w:hint="cs"/>
          <w:rtl/>
        </w:rPr>
        <w:t>لأجور. وي</w:t>
      </w:r>
      <w:r w:rsidR="006B7C87">
        <w:rPr>
          <w:rFonts w:hint="cs"/>
          <w:rtl/>
        </w:rPr>
        <w:t>ُ</w:t>
      </w:r>
      <w:r>
        <w:rPr>
          <w:rFonts w:hint="cs"/>
          <w:rtl/>
        </w:rPr>
        <w:t xml:space="preserve">عتزم إنشاء مثل هذا النظام في مرحلة التنفيذ الثانية لخطة العمل الوطنية للمرأة. </w:t>
      </w:r>
    </w:p>
    <w:p w:rsidR="00037E82" w:rsidRDefault="00037E82" w:rsidP="006B7C87">
      <w:pPr>
        <w:pStyle w:val="SingleTxt"/>
        <w:rPr>
          <w:rFonts w:hint="cs"/>
          <w:rtl/>
        </w:rPr>
      </w:pPr>
      <w:r>
        <w:rPr>
          <w:rFonts w:hint="cs"/>
          <w:rtl/>
        </w:rPr>
        <w:t>146 -</w:t>
      </w:r>
      <w:r>
        <w:rPr>
          <w:rFonts w:hint="cs"/>
          <w:rtl/>
        </w:rPr>
        <w:tab/>
        <w:t xml:space="preserve"> نادرا ما تشغل المرأة المناصب العليا والوظائف</w:t>
      </w:r>
      <w:r w:rsidR="006B7C87">
        <w:rPr>
          <w:rFonts w:hint="cs"/>
          <w:rtl/>
        </w:rPr>
        <w:t xml:space="preserve"> التي يتقاضى أصحابها أحسن</w:t>
      </w:r>
      <w:r>
        <w:rPr>
          <w:rFonts w:hint="cs"/>
          <w:rtl/>
        </w:rPr>
        <w:t xml:space="preserve"> المرتبات. وبينما تشير الإحصاءات إلى أن المرأة تشغل 38 في المائة من جميع الوظائف الإدارية، لا تمثل النساء إلا 22 في المائة من </w:t>
      </w:r>
      <w:r w:rsidR="006B7C87">
        <w:rPr>
          <w:rFonts w:hint="cs"/>
          <w:rtl/>
        </w:rPr>
        <w:t>كبار الإداريين</w:t>
      </w:r>
      <w:r>
        <w:rPr>
          <w:rFonts w:hint="cs"/>
          <w:rtl/>
        </w:rPr>
        <w:t xml:space="preserve">، أي </w:t>
      </w:r>
      <w:r w:rsidR="006B7C87">
        <w:rPr>
          <w:rFonts w:hint="cs"/>
          <w:rtl/>
        </w:rPr>
        <w:t xml:space="preserve">هؤلاء الذي تكون </w:t>
      </w:r>
      <w:r>
        <w:rPr>
          <w:rFonts w:hint="cs"/>
          <w:rtl/>
        </w:rPr>
        <w:t>نسبة مرتباتها 400 في المائة من متوسط الأجور (</w:t>
      </w:r>
      <w:r w:rsidR="006B7C87">
        <w:rPr>
          <w:rFonts w:hint="cs"/>
          <w:rtl/>
        </w:rPr>
        <w:t>هذه</w:t>
      </w:r>
      <w:r>
        <w:rPr>
          <w:rFonts w:hint="cs"/>
          <w:rtl/>
        </w:rPr>
        <w:t xml:space="preserve"> البيانات </w:t>
      </w:r>
      <w:r w:rsidR="006B7C87">
        <w:rPr>
          <w:rFonts w:hint="cs"/>
          <w:rtl/>
        </w:rPr>
        <w:t xml:space="preserve">الواردة </w:t>
      </w:r>
      <w:r>
        <w:rPr>
          <w:rFonts w:hint="cs"/>
          <w:rtl/>
        </w:rPr>
        <w:t xml:space="preserve">من مكتب الإحصاءات المركزي </w:t>
      </w:r>
      <w:r w:rsidR="006B7C87">
        <w:rPr>
          <w:rFonts w:hint="cs"/>
          <w:rtl/>
        </w:rPr>
        <w:t xml:space="preserve">هي </w:t>
      </w:r>
      <w:r>
        <w:rPr>
          <w:rFonts w:hint="cs"/>
          <w:rtl/>
        </w:rPr>
        <w:t xml:space="preserve">عن </w:t>
      </w:r>
      <w:r w:rsidR="006B7C87">
        <w:rPr>
          <w:rFonts w:hint="cs"/>
          <w:rtl/>
        </w:rPr>
        <w:t xml:space="preserve">شهر </w:t>
      </w:r>
      <w:r>
        <w:rPr>
          <w:rFonts w:hint="cs"/>
          <w:rtl/>
        </w:rPr>
        <w:t xml:space="preserve">تشرين الأول/أكتوبر 2002). وبالنسبة للنساء أيضا لا تعني الأقدمية في العمل أجورا أعلى كما هو الحال بالنسبة للرجل. وتعتزم خطة العمل الوطنية للمرأة - مرحلة التنفيذ الثانية للفترة 2003-2005 اتخاذ تدابير لإنفاذ القوانين الحالية </w:t>
      </w:r>
      <w:r w:rsidR="006B7C87">
        <w:rPr>
          <w:rFonts w:hint="cs"/>
          <w:rtl/>
        </w:rPr>
        <w:t>الرامية إلى ا</w:t>
      </w:r>
      <w:r>
        <w:rPr>
          <w:rFonts w:hint="cs"/>
          <w:rtl/>
        </w:rPr>
        <w:t>لقضاء على التمييز ضد المرأة في مجال العمل، و</w:t>
      </w:r>
      <w:r w:rsidR="004F3907">
        <w:rPr>
          <w:rFonts w:hint="cs"/>
          <w:rtl/>
        </w:rPr>
        <w:t>تحسين ظروف العمل، والتخلص من تشتت</w:t>
      </w:r>
      <w:r>
        <w:rPr>
          <w:rFonts w:hint="cs"/>
          <w:rtl/>
        </w:rPr>
        <w:t xml:space="preserve"> سوق العمل، وهي ظاهرة تنم عن التمييز غير المباشر ضد المرأة.</w:t>
      </w:r>
    </w:p>
    <w:p w:rsidR="00037E82" w:rsidRDefault="00037E82" w:rsidP="00037E82">
      <w:pPr>
        <w:pStyle w:val="SingleTxt"/>
        <w:rPr>
          <w:rFonts w:hint="cs"/>
          <w:b/>
          <w:bCs/>
          <w:rtl/>
        </w:rPr>
      </w:pPr>
      <w:r>
        <w:rPr>
          <w:rFonts w:hint="cs"/>
          <w:b/>
          <w:bCs/>
          <w:rtl/>
        </w:rPr>
        <w:t>تأنيث المهن</w:t>
      </w:r>
    </w:p>
    <w:p w:rsidR="00037E82" w:rsidRDefault="00037E82" w:rsidP="00CE4349">
      <w:pPr>
        <w:pStyle w:val="SingleTxt"/>
        <w:rPr>
          <w:rFonts w:hint="cs"/>
          <w:rtl/>
        </w:rPr>
      </w:pPr>
      <w:r>
        <w:rPr>
          <w:rFonts w:hint="cs"/>
          <w:rtl/>
        </w:rPr>
        <w:t>147 -</w:t>
      </w:r>
      <w:r>
        <w:rPr>
          <w:rFonts w:hint="cs"/>
          <w:rtl/>
        </w:rPr>
        <w:tab/>
        <w:t xml:space="preserve"> ترجع عدم المساواة في الأجور إلى التمسك بتأنيث بعض المهن والفئات المهنية (انظر الجدول ألف -11-2، المرفق). وتتقاضى النساء العاملات كخادمات ومنظفات وغسالات أدنى الأجور أي 52 في المائة من متوسط</w:t>
      </w:r>
      <w:r w:rsidR="004F3907">
        <w:rPr>
          <w:rFonts w:hint="cs"/>
          <w:rtl/>
        </w:rPr>
        <w:t xml:space="preserve"> الأجور</w:t>
      </w:r>
      <w:r>
        <w:rPr>
          <w:rFonts w:hint="cs"/>
          <w:rtl/>
        </w:rPr>
        <w:t xml:space="preserve">؛ ويعمل في هذه الفئة رجل واحد </w:t>
      </w:r>
      <w:r w:rsidR="004F3907">
        <w:rPr>
          <w:rFonts w:hint="cs"/>
          <w:rtl/>
        </w:rPr>
        <w:t>مقابل</w:t>
      </w:r>
      <w:r>
        <w:rPr>
          <w:rFonts w:hint="cs"/>
          <w:rtl/>
        </w:rPr>
        <w:t xml:space="preserve"> 11 امرأة. وتنتمي الممرضات والقابلات إلى أكثر الفئات المهنية تأنيثا، فهناك رجل واحد </w:t>
      </w:r>
      <w:r w:rsidR="004F3907">
        <w:rPr>
          <w:rFonts w:hint="cs"/>
          <w:rtl/>
        </w:rPr>
        <w:t>يعمل في هذه الفئة مقابل</w:t>
      </w:r>
      <w:r>
        <w:rPr>
          <w:rFonts w:hint="cs"/>
          <w:rtl/>
        </w:rPr>
        <w:t xml:space="preserve"> 74 امرأة ؛ وتعادل أجور هذه الفئة 70 في المائة من المتوسط الوطني</w:t>
      </w:r>
      <w:r w:rsidR="004F3907">
        <w:rPr>
          <w:rFonts w:hint="cs"/>
          <w:rtl/>
        </w:rPr>
        <w:t xml:space="preserve"> للأجور</w:t>
      </w:r>
      <w:r>
        <w:rPr>
          <w:rFonts w:hint="cs"/>
          <w:rtl/>
        </w:rPr>
        <w:t xml:space="preserve">. وتهيمن المرأة أيضا على </w:t>
      </w:r>
      <w:r w:rsidR="00CE4349">
        <w:rPr>
          <w:rFonts w:hint="cs"/>
          <w:rtl/>
        </w:rPr>
        <w:t xml:space="preserve">فئة </w:t>
      </w:r>
      <w:r>
        <w:rPr>
          <w:rFonts w:hint="cs"/>
          <w:rtl/>
        </w:rPr>
        <w:t>المعلمين في مرحلة ما قبل المد</w:t>
      </w:r>
      <w:r w:rsidR="00CE4349">
        <w:rPr>
          <w:rFonts w:hint="cs"/>
          <w:rtl/>
        </w:rPr>
        <w:t>رسة وفي رياض الأطفال، وهناك رجل</w:t>
      </w:r>
      <w:r>
        <w:rPr>
          <w:rFonts w:hint="cs"/>
          <w:rtl/>
        </w:rPr>
        <w:t xml:space="preserve"> واحد </w:t>
      </w:r>
      <w:r w:rsidR="00CE4349">
        <w:rPr>
          <w:rFonts w:hint="cs"/>
          <w:rtl/>
        </w:rPr>
        <w:t xml:space="preserve">مقابل </w:t>
      </w:r>
      <w:r>
        <w:rPr>
          <w:rFonts w:hint="cs"/>
          <w:rtl/>
        </w:rPr>
        <w:t>108 نساء في هذه الفئة. وتعادل مرتبات هذه الفئة 98 في المائة من المتوسط الوطني</w:t>
      </w:r>
      <w:r w:rsidR="00CE4349">
        <w:rPr>
          <w:rFonts w:hint="cs"/>
          <w:rtl/>
        </w:rPr>
        <w:t xml:space="preserve"> للأجور</w:t>
      </w:r>
      <w:r>
        <w:rPr>
          <w:rFonts w:hint="cs"/>
          <w:rtl/>
        </w:rPr>
        <w:t xml:space="preserve">. وإن الزيادة في أجر المدرسين مقارنة </w:t>
      </w:r>
      <w:r w:rsidR="00CE4349">
        <w:rPr>
          <w:rFonts w:hint="cs"/>
          <w:rtl/>
        </w:rPr>
        <w:t xml:space="preserve">بأجرهم كما هو وارد في </w:t>
      </w:r>
      <w:r>
        <w:rPr>
          <w:rFonts w:hint="cs"/>
          <w:rtl/>
        </w:rPr>
        <w:t>تقرير الفترة السابقة هو نتيجة إصلاح النظام التعليمي.</w:t>
      </w:r>
    </w:p>
    <w:p w:rsidR="00037E82" w:rsidRDefault="00037E82" w:rsidP="00037E82">
      <w:pPr>
        <w:pStyle w:val="SingleTxt"/>
        <w:rPr>
          <w:rFonts w:hint="cs"/>
          <w:b/>
          <w:bCs/>
          <w:rtl/>
        </w:rPr>
      </w:pPr>
      <w:r>
        <w:rPr>
          <w:rFonts w:hint="cs"/>
          <w:b/>
          <w:bCs/>
          <w:rtl/>
        </w:rPr>
        <w:t>سوق العمل</w:t>
      </w:r>
    </w:p>
    <w:p w:rsidR="00037E82" w:rsidRDefault="00037E82" w:rsidP="0061566D">
      <w:pPr>
        <w:pStyle w:val="SingleTxt"/>
        <w:rPr>
          <w:rFonts w:hint="cs"/>
          <w:rtl/>
        </w:rPr>
      </w:pPr>
      <w:r>
        <w:rPr>
          <w:rFonts w:hint="cs"/>
          <w:rtl/>
        </w:rPr>
        <w:t>148 -</w:t>
      </w:r>
      <w:r>
        <w:rPr>
          <w:rFonts w:hint="cs"/>
          <w:rtl/>
        </w:rPr>
        <w:tab/>
        <w:t xml:space="preserve"> إن أكبر فئة عمرية بين النساء العاملات هي الفئة التي يتراوح فيها عمر النساء بين 35 و 44 سنة (30 في المائة من المجموع) وبين 45 و 54 سنة (27 في المائة). وإن أكبر فئة عمرية بين النساء العاطلات عن العمل هي الفئة التي يتراوح عمر النساء فيها بين 15 و</w:t>
      </w:r>
      <w:r>
        <w:rPr>
          <w:rFonts w:hint="eastAsia"/>
          <w:rtl/>
        </w:rPr>
        <w:t> </w:t>
      </w:r>
      <w:r>
        <w:rPr>
          <w:rFonts w:hint="cs"/>
          <w:rtl/>
        </w:rPr>
        <w:t xml:space="preserve">19 سنة (45 في المائة) وبين 20 و 24 سنة (35 في المائة). </w:t>
      </w:r>
      <w:r w:rsidR="00C020E9">
        <w:rPr>
          <w:rFonts w:hint="cs"/>
          <w:rtl/>
        </w:rPr>
        <w:t>و</w:t>
      </w:r>
      <w:r w:rsidR="008C71E4">
        <w:rPr>
          <w:rFonts w:hint="cs"/>
          <w:rtl/>
        </w:rPr>
        <w:t xml:space="preserve">معدل البطالة بين النساء </w:t>
      </w:r>
      <w:r w:rsidR="0061566D">
        <w:rPr>
          <w:rFonts w:hint="cs"/>
          <w:rtl/>
          <w:lang w:bidi="ar-LB"/>
        </w:rPr>
        <w:t xml:space="preserve">مستمر في الارتفاع، </w:t>
      </w:r>
      <w:r w:rsidR="0061566D">
        <w:rPr>
          <w:rFonts w:hint="cs"/>
          <w:rtl/>
        </w:rPr>
        <w:t xml:space="preserve">إذ </w:t>
      </w:r>
      <w:r w:rsidR="008C71E4">
        <w:rPr>
          <w:rFonts w:hint="cs"/>
          <w:rtl/>
        </w:rPr>
        <w:t>كان 12.2 في المائة في تشرين الثاني/نوفمبر 1998، وبلغ 18 في المائة في الربع الأخير من عام 2000 ووصل إلى 20 في المائة في حزيران/يونيه 2002. كما أن 56.5 في المائة من النساء العاطلات عن العمل اضطررن إلى الانتظار لمدة تزيد عن سنة لإيجاد وظيفة جديدة، بينما كانت نسبة الرجال الذين يمرون بنفس الوضع 39.3 في المائة.</w:t>
      </w:r>
    </w:p>
    <w:p w:rsidR="008C71E4" w:rsidRDefault="008C71E4" w:rsidP="00037E82">
      <w:pPr>
        <w:pStyle w:val="SingleTxt"/>
        <w:rPr>
          <w:rFonts w:hint="cs"/>
          <w:b/>
          <w:bCs/>
          <w:rtl/>
        </w:rPr>
      </w:pPr>
      <w:r>
        <w:rPr>
          <w:rFonts w:hint="cs"/>
          <w:b/>
          <w:bCs/>
          <w:rtl/>
        </w:rPr>
        <w:t>حماية الحوامل</w:t>
      </w:r>
    </w:p>
    <w:p w:rsidR="008C71E4" w:rsidRDefault="008C71E4" w:rsidP="00EC1A52">
      <w:pPr>
        <w:pStyle w:val="SingleTxt"/>
        <w:rPr>
          <w:rFonts w:hint="cs"/>
          <w:rtl/>
        </w:rPr>
      </w:pPr>
      <w:r>
        <w:rPr>
          <w:rFonts w:hint="cs"/>
          <w:rtl/>
        </w:rPr>
        <w:t>149 -</w:t>
      </w:r>
      <w:r>
        <w:rPr>
          <w:rFonts w:hint="cs"/>
          <w:rtl/>
        </w:rPr>
        <w:tab/>
        <w:t xml:space="preserve"> لم تطرأ تغييرات كبيرة</w:t>
      </w:r>
      <w:r w:rsidR="0061566D">
        <w:rPr>
          <w:rFonts w:hint="cs"/>
          <w:rtl/>
        </w:rPr>
        <w:t xml:space="preserve"> على الحماية القانونية المتاحة للحوامل،</w:t>
      </w:r>
      <w:r>
        <w:rPr>
          <w:rFonts w:hint="cs"/>
          <w:rtl/>
        </w:rPr>
        <w:t xml:space="preserve"> مقارنة بالتقرير عن الفترة السابق. ففي عام 2002، بدأ </w:t>
      </w:r>
      <w:r w:rsidR="00EC1A52">
        <w:rPr>
          <w:rFonts w:hint="cs"/>
          <w:rtl/>
        </w:rPr>
        <w:t xml:space="preserve">مجلس الوزراء </w:t>
      </w:r>
      <w:r>
        <w:rPr>
          <w:rFonts w:hint="cs"/>
          <w:rtl/>
        </w:rPr>
        <w:t xml:space="preserve">العمل </w:t>
      </w:r>
      <w:r w:rsidR="00EC1A52">
        <w:rPr>
          <w:rFonts w:hint="cs"/>
          <w:rtl/>
        </w:rPr>
        <w:t xml:space="preserve">لإعداد </w:t>
      </w:r>
      <w:r>
        <w:rPr>
          <w:rFonts w:hint="cs"/>
          <w:rtl/>
        </w:rPr>
        <w:t xml:space="preserve">مرسوم </w:t>
      </w:r>
      <w:r w:rsidR="00EC1A52">
        <w:rPr>
          <w:rFonts w:hint="cs"/>
          <w:rtl/>
        </w:rPr>
        <w:t>يتضمن</w:t>
      </w:r>
      <w:r>
        <w:rPr>
          <w:rFonts w:hint="cs"/>
          <w:rtl/>
        </w:rPr>
        <w:t xml:space="preserve"> قائمة بالأعمال المحظورة على المرأة. وبفضل المفوضة الحكومية </w:t>
      </w:r>
      <w:r w:rsidR="00EC1A52">
        <w:rPr>
          <w:rFonts w:hint="cs"/>
          <w:rtl/>
        </w:rPr>
        <w:t>المعنية با</w:t>
      </w:r>
      <w:r>
        <w:rPr>
          <w:rFonts w:hint="cs"/>
          <w:rtl/>
        </w:rPr>
        <w:t xml:space="preserve">لمساواة بين مركز </w:t>
      </w:r>
      <w:r w:rsidR="00EC1A52">
        <w:rPr>
          <w:rFonts w:hint="cs"/>
          <w:rtl/>
        </w:rPr>
        <w:t>النساء والرجال</w:t>
      </w:r>
      <w:r>
        <w:rPr>
          <w:rFonts w:hint="cs"/>
          <w:rtl/>
        </w:rPr>
        <w:t>، تم تغيير مفهوم المرسوم بشكل جذري أثناء العملية التشريعية. فتم تضييق نطاقه لكي يحمي بصورة حصرية الحوامل بالإضافة إلى النساء اللاتي وضعن مؤخرا وتلك اللاتي يرضعن. وقدمت هذا الالتم</w:t>
      </w:r>
      <w:r w:rsidR="00EC1A52">
        <w:rPr>
          <w:rFonts w:hint="cs"/>
          <w:rtl/>
        </w:rPr>
        <w:t>اس أكثر من مرة المفوضات السابقات</w:t>
      </w:r>
      <w:r>
        <w:rPr>
          <w:rFonts w:hint="cs"/>
          <w:rtl/>
        </w:rPr>
        <w:t xml:space="preserve"> والمنظمات غير الحكومية، وتم إدراجه أيضا في خطة العمل الوطنية للمرأة سابقا (1997). وهو يناشد التخلي عن صيغة التمييز فيما يتعلق بـ </w:t>
      </w:r>
      <w:r>
        <w:rPr>
          <w:rFonts w:hint="eastAsia"/>
          <w:rtl/>
        </w:rPr>
        <w:t>”الأعمال المحظورة على المرأة</w:t>
      </w:r>
      <w:r>
        <w:rPr>
          <w:rFonts w:hint="cs"/>
          <w:rtl/>
        </w:rPr>
        <w:t xml:space="preserve">“ لصالح استخدام فكرة ظروف العمل الآمنة لجميع الموظفين، </w:t>
      </w:r>
      <w:r w:rsidR="00EC1A52">
        <w:rPr>
          <w:rFonts w:hint="cs"/>
          <w:rtl/>
        </w:rPr>
        <w:t xml:space="preserve">والمحافظة في نفس الوقت على </w:t>
      </w:r>
      <w:r>
        <w:rPr>
          <w:rFonts w:hint="cs"/>
          <w:rtl/>
        </w:rPr>
        <w:t xml:space="preserve">بعض الأحكام </w:t>
      </w:r>
      <w:r w:rsidR="00EC1A52">
        <w:rPr>
          <w:rFonts w:hint="cs"/>
          <w:rtl/>
        </w:rPr>
        <w:t>التي تخص الحوامل وتلك التي ي</w:t>
      </w:r>
      <w:r>
        <w:rPr>
          <w:rFonts w:hint="cs"/>
          <w:rtl/>
        </w:rPr>
        <w:t xml:space="preserve">رضعن أطفالهن. واستجابت الحكومة </w:t>
      </w:r>
      <w:r w:rsidR="00EC1A52">
        <w:rPr>
          <w:rFonts w:hint="cs"/>
          <w:rtl/>
        </w:rPr>
        <w:t>لهذا الالتماس ف</w:t>
      </w:r>
      <w:r>
        <w:rPr>
          <w:rFonts w:hint="cs"/>
          <w:rtl/>
        </w:rPr>
        <w:t>تخلص</w:t>
      </w:r>
      <w:r w:rsidR="00EC1A52">
        <w:rPr>
          <w:rFonts w:hint="cs"/>
          <w:rtl/>
        </w:rPr>
        <w:t>ت</w:t>
      </w:r>
      <w:r>
        <w:rPr>
          <w:rFonts w:hint="cs"/>
          <w:rtl/>
        </w:rPr>
        <w:t xml:space="preserve"> من جميع القوانين التي تميز ضد المرأة، وغيرت اسم المرسوم فأصبح </w:t>
      </w:r>
      <w:r>
        <w:rPr>
          <w:rFonts w:hint="eastAsia"/>
          <w:rtl/>
        </w:rPr>
        <w:t>”قائمة الأعمال التي تشكل بصفة خاصة عبئا على المرأة أو تضر بصحتها</w:t>
      </w:r>
      <w:r>
        <w:rPr>
          <w:rFonts w:hint="cs"/>
          <w:rtl/>
        </w:rPr>
        <w:t xml:space="preserve">“. وتم تعديل المرسوم في 30 تموز/يوليه 2002، وبدأ نفاذه في 10 تشرين الثاني/نوفمبر 2002. </w:t>
      </w:r>
    </w:p>
    <w:p w:rsidR="008C71E4" w:rsidRDefault="008C71E4" w:rsidP="008C71E4">
      <w:pPr>
        <w:pStyle w:val="SingleTxt"/>
        <w:rPr>
          <w:rFonts w:hint="cs"/>
          <w:b/>
          <w:bCs/>
          <w:rtl/>
        </w:rPr>
      </w:pPr>
      <w:r>
        <w:rPr>
          <w:rFonts w:hint="cs"/>
          <w:b/>
          <w:bCs/>
          <w:rtl/>
        </w:rPr>
        <w:t>إجازة الأمومة</w:t>
      </w:r>
    </w:p>
    <w:p w:rsidR="008C71E4" w:rsidRDefault="008C71E4" w:rsidP="00E84BD5">
      <w:pPr>
        <w:pStyle w:val="SingleTxt"/>
        <w:rPr>
          <w:rFonts w:hint="cs"/>
          <w:rtl/>
        </w:rPr>
      </w:pPr>
      <w:r>
        <w:rPr>
          <w:rFonts w:hint="cs"/>
          <w:rtl/>
        </w:rPr>
        <w:t>150 -</w:t>
      </w:r>
      <w:r>
        <w:rPr>
          <w:rFonts w:hint="cs"/>
          <w:rtl/>
        </w:rPr>
        <w:tab/>
        <w:t xml:space="preserve"> وضعت الحكومة في عام 1998 سياسات </w:t>
      </w:r>
      <w:r w:rsidR="004F1D91">
        <w:rPr>
          <w:rFonts w:hint="cs"/>
          <w:rtl/>
        </w:rPr>
        <w:t>تناصر العائل</w:t>
      </w:r>
      <w:r>
        <w:rPr>
          <w:rFonts w:hint="cs"/>
          <w:rtl/>
        </w:rPr>
        <w:t xml:space="preserve">ة </w:t>
      </w:r>
      <w:r w:rsidR="004F1D91">
        <w:rPr>
          <w:rFonts w:hint="cs"/>
          <w:rtl/>
        </w:rPr>
        <w:t>ف</w:t>
      </w:r>
      <w:r w:rsidR="00E84BD5">
        <w:rPr>
          <w:rFonts w:hint="cs"/>
          <w:rtl/>
        </w:rPr>
        <w:t>أعطت</w:t>
      </w:r>
      <w:r>
        <w:rPr>
          <w:rFonts w:hint="cs"/>
          <w:rtl/>
        </w:rPr>
        <w:t xml:space="preserve"> استحقاقات خاصة للمرأة التي ت</w:t>
      </w:r>
      <w:r w:rsidR="00E84BD5">
        <w:rPr>
          <w:rFonts w:hint="cs"/>
          <w:rtl/>
        </w:rPr>
        <w:t>ترك</w:t>
      </w:r>
      <w:r>
        <w:rPr>
          <w:rFonts w:hint="cs"/>
          <w:rtl/>
        </w:rPr>
        <w:t xml:space="preserve"> عملها من أجل تربية أطفالها. </w:t>
      </w:r>
      <w:r w:rsidR="00E84BD5">
        <w:rPr>
          <w:rFonts w:hint="cs"/>
          <w:rtl/>
        </w:rPr>
        <w:t>وضم</w:t>
      </w:r>
      <w:r>
        <w:rPr>
          <w:rFonts w:hint="cs"/>
          <w:rtl/>
        </w:rPr>
        <w:t xml:space="preserve">ت هذه الفترة </w:t>
      </w:r>
      <w:r w:rsidR="00E84BD5">
        <w:rPr>
          <w:rFonts w:hint="cs"/>
          <w:rtl/>
        </w:rPr>
        <w:t xml:space="preserve">إلى سنوات الخدمة التي تحسب على أساسها </w:t>
      </w:r>
      <w:r>
        <w:rPr>
          <w:rFonts w:hint="cs"/>
          <w:rtl/>
        </w:rPr>
        <w:t xml:space="preserve">استحقاقات التقاعد، ودفعت الدولة الاشتراك </w:t>
      </w:r>
      <w:r w:rsidR="00E84BD5">
        <w:rPr>
          <w:rFonts w:hint="cs"/>
          <w:rtl/>
        </w:rPr>
        <w:t>المستحق ل</w:t>
      </w:r>
      <w:r>
        <w:rPr>
          <w:rFonts w:hint="cs"/>
          <w:rtl/>
        </w:rPr>
        <w:t xml:space="preserve">لتأمينات الاجتماعية. وإذ أدركت الحكومة أن ميزانية الدولة لا تسمح لها بتمويل هذه النفقات الإضافية، نظرت في إمكانية تخفيض مخصصات رياض الأطفال، على افتراض أن </w:t>
      </w:r>
      <w:r w:rsidR="00E84BD5">
        <w:rPr>
          <w:rFonts w:hint="cs"/>
          <w:rtl/>
        </w:rPr>
        <w:t xml:space="preserve">في </w:t>
      </w:r>
      <w:r>
        <w:rPr>
          <w:rFonts w:hint="cs"/>
          <w:rtl/>
        </w:rPr>
        <w:t xml:space="preserve">رعاية الأم فائدة أكبر للطفل. وانعكس تطبيق هذا المفهوم </w:t>
      </w:r>
      <w:r w:rsidR="00E84BD5">
        <w:rPr>
          <w:rFonts w:hint="cs"/>
          <w:rtl/>
        </w:rPr>
        <w:t xml:space="preserve">غير الواقعي </w:t>
      </w:r>
      <w:r>
        <w:rPr>
          <w:rFonts w:hint="cs"/>
          <w:rtl/>
        </w:rPr>
        <w:t>لفترة قصيرة في المادة 180 من قانون العمل. ومدد القانون المؤرخ 19 تشرين الثاني/نوفمبر 1999 المتعلق بتعديل قانون العمل فترة إجازة الأمومة إلى 26 أسبوعا، و 39 أسبوعا في حالة الحمل المتعدد (وبدأ نفاذ هذا القانون في 1 كانون الثاني/يناير 2000، غير أن عام 2000 كله اعت</w:t>
      </w:r>
      <w:r w:rsidR="00E84BD5">
        <w:rPr>
          <w:rFonts w:hint="cs"/>
          <w:rtl/>
        </w:rPr>
        <w:t>ُ</w:t>
      </w:r>
      <w:r>
        <w:rPr>
          <w:rFonts w:hint="cs"/>
          <w:rtl/>
        </w:rPr>
        <w:t>بر فترة انتقالية، تم خلاله</w:t>
      </w:r>
      <w:r w:rsidR="00E84BD5">
        <w:rPr>
          <w:rFonts w:hint="cs"/>
          <w:rtl/>
        </w:rPr>
        <w:t>ا</w:t>
      </w:r>
      <w:r>
        <w:rPr>
          <w:rFonts w:hint="cs"/>
          <w:rtl/>
        </w:rPr>
        <w:t xml:space="preserve"> جعل فترة إجازة الأمومة 20 و 30 أسبوعا، على التوالي). و</w:t>
      </w:r>
      <w:r w:rsidR="00E84BD5">
        <w:rPr>
          <w:rFonts w:hint="cs"/>
          <w:rtl/>
        </w:rPr>
        <w:t xml:space="preserve">في الحالات التي يولد فيها </w:t>
      </w:r>
      <w:r>
        <w:rPr>
          <w:rFonts w:hint="cs"/>
          <w:rtl/>
        </w:rPr>
        <w:t xml:space="preserve">المولود ميتا، </w:t>
      </w:r>
      <w:r w:rsidR="00E84BD5">
        <w:rPr>
          <w:rFonts w:hint="cs"/>
          <w:rtl/>
        </w:rPr>
        <w:t>ي</w:t>
      </w:r>
      <w:r>
        <w:rPr>
          <w:rFonts w:hint="cs"/>
          <w:rtl/>
        </w:rPr>
        <w:t xml:space="preserve">تم تمديد فترة الإجازة من 8 إلى 10 أسابيع. وتم أيضا تمديد فترة الإجازة التي يمكن استخدامها قبل الولادة من أسبوعين إلى أربعة أسابيع. وبعد الانتخابات البرلمانية التالية، أعاد مجلس النواب، بناء على طلب الحكومة الجديدة، فترة إجازة الأمومة التي كانت سارية قبل عام 2000، أي 16 أسبوعا بعد أول ولادة، و 18 أسبوعا بعد كل ولادة لاحقة، و 16 أسبوعا في حالة الولادة المتعددة (القانون المؤرخ 21 كانون الأول/ديسمبر 2001 عن تعديل قانون العمل، بدأ نفاذه منذ 13 كانون الثاني/يناير 2002). </w:t>
      </w:r>
    </w:p>
    <w:p w:rsidR="008C71E4" w:rsidRDefault="008C71E4" w:rsidP="006D5588">
      <w:pPr>
        <w:pStyle w:val="SingleTxt"/>
        <w:rPr>
          <w:rFonts w:hint="cs"/>
          <w:rtl/>
        </w:rPr>
      </w:pPr>
      <w:r>
        <w:rPr>
          <w:rFonts w:hint="cs"/>
          <w:rtl/>
        </w:rPr>
        <w:t>151 -</w:t>
      </w:r>
      <w:r>
        <w:rPr>
          <w:rFonts w:hint="cs"/>
          <w:rtl/>
        </w:rPr>
        <w:tab/>
        <w:t xml:space="preserve"> عندما تم تمديد </w:t>
      </w:r>
      <w:r w:rsidR="005760EF">
        <w:rPr>
          <w:rFonts w:hint="cs"/>
          <w:rtl/>
        </w:rPr>
        <w:t>إجازة الأمومة، أضيفت الفقرتان 5 و 6 من المادة 180 إلى قانون العمل (اعتبارا من 26 أيار/مايو 2001</w:t>
      </w:r>
      <w:r w:rsidR="005F0E4B">
        <w:rPr>
          <w:rFonts w:hint="cs"/>
          <w:rtl/>
        </w:rPr>
        <w:t>)</w:t>
      </w:r>
      <w:r w:rsidR="005760EF">
        <w:rPr>
          <w:rFonts w:hint="cs"/>
          <w:rtl/>
        </w:rPr>
        <w:t xml:space="preserve"> وبناء على ذلك، تستطيع المرأة بعد 16 أسبوعا من إجازة الأمومة أن تعود إلى العمل و </w:t>
      </w:r>
      <w:r w:rsidR="005760EF">
        <w:rPr>
          <w:rFonts w:hint="eastAsia"/>
          <w:rtl/>
        </w:rPr>
        <w:t>”تحيل</w:t>
      </w:r>
      <w:r w:rsidR="005760EF">
        <w:rPr>
          <w:rFonts w:hint="cs"/>
          <w:rtl/>
        </w:rPr>
        <w:t xml:space="preserve">“ الجزء المتبقي من إجازتها إلى </w:t>
      </w:r>
      <w:r w:rsidR="005F0E4B">
        <w:rPr>
          <w:rFonts w:hint="cs"/>
          <w:rtl/>
        </w:rPr>
        <w:t xml:space="preserve">أب </w:t>
      </w:r>
      <w:r w:rsidR="005760EF">
        <w:rPr>
          <w:rFonts w:hint="cs"/>
          <w:rtl/>
        </w:rPr>
        <w:t xml:space="preserve">الطفل (الموظف) الذي </w:t>
      </w:r>
      <w:r w:rsidR="005F0E4B">
        <w:rPr>
          <w:rFonts w:hint="cs"/>
          <w:rtl/>
        </w:rPr>
        <w:t>ت</w:t>
      </w:r>
      <w:r w:rsidR="005760EF">
        <w:rPr>
          <w:rFonts w:hint="cs"/>
          <w:rtl/>
        </w:rPr>
        <w:t xml:space="preserve">قدم بطلب لهذا الغرض. وفي نفس الوقت، تم تغيير عنوان الفصل 8 من قانون العمل من </w:t>
      </w:r>
      <w:r w:rsidR="005760EF">
        <w:rPr>
          <w:rFonts w:hint="eastAsia"/>
          <w:rtl/>
        </w:rPr>
        <w:t>”حماية عمل المرأة</w:t>
      </w:r>
      <w:r w:rsidR="005760EF">
        <w:rPr>
          <w:rFonts w:hint="cs"/>
          <w:rtl/>
        </w:rPr>
        <w:t xml:space="preserve">“ إلى </w:t>
      </w:r>
      <w:r w:rsidR="005760EF">
        <w:rPr>
          <w:rFonts w:hint="eastAsia"/>
          <w:rtl/>
        </w:rPr>
        <w:t>”حماية عمل المرأة والرجل اللذ</w:t>
      </w:r>
      <w:r w:rsidR="005F0E4B">
        <w:rPr>
          <w:rFonts w:hint="cs"/>
          <w:rtl/>
        </w:rPr>
        <w:t>ي</w:t>
      </w:r>
      <w:r w:rsidR="005760EF">
        <w:rPr>
          <w:rFonts w:hint="eastAsia"/>
          <w:rtl/>
        </w:rPr>
        <w:t>ن يربيان طفلهما</w:t>
      </w:r>
      <w:r w:rsidR="005760EF">
        <w:rPr>
          <w:rFonts w:hint="cs"/>
          <w:rtl/>
        </w:rPr>
        <w:t xml:space="preserve">“ (القانون المؤرخ 24 حزيران/يونيه 2001 وضع الصيغة النهائية للفصل على النحو التالي </w:t>
      </w:r>
      <w:r w:rsidR="005760EF">
        <w:rPr>
          <w:rFonts w:hint="eastAsia"/>
          <w:rtl/>
        </w:rPr>
        <w:t>”حقوق الموظفين المتصلة بالأبوة والأمومة</w:t>
      </w:r>
      <w:r w:rsidR="005760EF">
        <w:rPr>
          <w:rFonts w:hint="cs"/>
          <w:rtl/>
        </w:rPr>
        <w:t>“). و</w:t>
      </w:r>
      <w:r w:rsidR="006D5588">
        <w:rPr>
          <w:rFonts w:hint="cs"/>
          <w:rtl/>
        </w:rPr>
        <w:t>اختص</w:t>
      </w:r>
      <w:r w:rsidR="005760EF">
        <w:rPr>
          <w:rFonts w:hint="cs"/>
          <w:rtl/>
        </w:rPr>
        <w:t xml:space="preserve">ر التعديل المذكور أعلاه لقانون العمل المؤرخ 21 كانون الأول/ديسمبر 2001 فترة الإجازة </w:t>
      </w:r>
      <w:r w:rsidR="005760EF">
        <w:rPr>
          <w:rFonts w:hint="eastAsia"/>
          <w:rtl/>
        </w:rPr>
        <w:t>”الفيزيولوجية</w:t>
      </w:r>
      <w:r w:rsidR="005760EF">
        <w:rPr>
          <w:rFonts w:hint="cs"/>
          <w:rtl/>
        </w:rPr>
        <w:t>“ إلى 14 أسبوعا وهي إجازة لا</w:t>
      </w:r>
      <w:r w:rsidR="005760EF">
        <w:rPr>
          <w:rFonts w:hint="eastAsia"/>
          <w:rtl/>
        </w:rPr>
        <w:t> </w:t>
      </w:r>
      <w:r w:rsidR="005760EF">
        <w:rPr>
          <w:rFonts w:hint="cs"/>
          <w:rtl/>
        </w:rPr>
        <w:t>تستطيع أن تأخذها إلا المرأة</w:t>
      </w:r>
      <w:r w:rsidR="006D5588">
        <w:rPr>
          <w:rFonts w:hint="cs"/>
          <w:rtl/>
        </w:rPr>
        <w:t>.</w:t>
      </w:r>
      <w:r w:rsidR="005760EF">
        <w:rPr>
          <w:rFonts w:hint="cs"/>
          <w:rtl/>
        </w:rPr>
        <w:t xml:space="preserve"> وهكذا، على الرغم من أن إجازة الأمومة استحقاق يمنح لأسباب بيولوجية، إلا أن هناك إمكانية لقسمته بين الوالدين. </w:t>
      </w:r>
    </w:p>
    <w:p w:rsidR="005760EF" w:rsidRDefault="005760EF" w:rsidP="005760EF">
      <w:pPr>
        <w:pStyle w:val="SingleTxt"/>
        <w:rPr>
          <w:rFonts w:hint="cs"/>
          <w:b/>
          <w:bCs/>
          <w:rtl/>
        </w:rPr>
      </w:pPr>
      <w:r>
        <w:rPr>
          <w:rFonts w:hint="cs"/>
          <w:b/>
          <w:bCs/>
          <w:rtl/>
        </w:rPr>
        <w:t>الأجازة الممنوحة لتربية الأطفال</w:t>
      </w:r>
    </w:p>
    <w:p w:rsidR="005760EF" w:rsidRDefault="005760EF" w:rsidP="005760EF">
      <w:pPr>
        <w:pStyle w:val="SingleTxt"/>
        <w:rPr>
          <w:rFonts w:hint="cs"/>
          <w:rtl/>
        </w:rPr>
      </w:pPr>
      <w:r>
        <w:rPr>
          <w:rFonts w:hint="cs"/>
          <w:rtl/>
        </w:rPr>
        <w:t>152 -</w:t>
      </w:r>
      <w:r>
        <w:rPr>
          <w:rFonts w:hint="cs"/>
          <w:rtl/>
        </w:rPr>
        <w:tab/>
        <w:t xml:space="preserve"> حتى عام 2001، لم يكن يتسنى منح إجازة تربية الأطفال إلا لأحد الوالدين، إما للأم أو للأب (الفقرة 1 من المادة 189 من قانون العمل). واعتبارا من 1 كانون الثاني/يناير 2002، يجوز منح إجازة تربية الأطفال ومدتها 3 أشهر إلى أحد الوالدين، أو معا، أو لولي أمر الطفل (إذا كانت للوالدين الأقدمية اللازمة). وهذا بمثابة تغيير أساسي في النهج المتبع للوفاء بحقوق الوالدين. </w:t>
      </w:r>
    </w:p>
    <w:p w:rsidR="005760EF" w:rsidRDefault="005760EF" w:rsidP="005760EF">
      <w:pPr>
        <w:pStyle w:val="SingleTxt"/>
        <w:rPr>
          <w:rFonts w:hint="cs"/>
          <w:rtl/>
        </w:rPr>
      </w:pPr>
      <w:r>
        <w:rPr>
          <w:rFonts w:hint="cs"/>
          <w:rtl/>
        </w:rPr>
        <w:t>153 -</w:t>
      </w:r>
      <w:r>
        <w:rPr>
          <w:rFonts w:hint="cs"/>
          <w:rtl/>
        </w:rPr>
        <w:tab/>
        <w:t xml:space="preserve"> واعتبارا من 29 تشرين الثاني/نوفمبر 2002، وبموجب الفقرة 3 من المادة 186 من قانون العمل، يجوز للموظف من أي من الجنسين الذي لا يستخدم إجازة تربية الأطفال أن يطلب تخفيض عدد ساعات عمله (بنسبة تصل إلى 50 في المائة) خلال الفترة التي يحق له</w:t>
      </w:r>
      <w:r w:rsidR="006E1ED9">
        <w:rPr>
          <w:rFonts w:hint="cs"/>
          <w:rtl/>
        </w:rPr>
        <w:t xml:space="preserve"> فيها</w:t>
      </w:r>
      <w:r>
        <w:rPr>
          <w:rFonts w:hint="cs"/>
          <w:rtl/>
        </w:rPr>
        <w:t xml:space="preserve"> أن يأخذ إجازة تربية الأطفال. وعلى رب العمل أن يوافق على هذا الطلب.</w:t>
      </w:r>
    </w:p>
    <w:p w:rsidR="005760EF" w:rsidRDefault="005760EF" w:rsidP="005760EF">
      <w:pPr>
        <w:pStyle w:val="SingleTxt"/>
        <w:rPr>
          <w:rFonts w:hint="cs"/>
          <w:b/>
          <w:bCs/>
          <w:rtl/>
        </w:rPr>
      </w:pPr>
      <w:r>
        <w:rPr>
          <w:rFonts w:hint="cs"/>
          <w:b/>
          <w:bCs/>
          <w:rtl/>
        </w:rPr>
        <w:t>مراقبة حقوق الموظفين</w:t>
      </w:r>
    </w:p>
    <w:p w:rsidR="005760EF" w:rsidRDefault="005760EF" w:rsidP="00CF540A">
      <w:pPr>
        <w:pStyle w:val="SingleTxt"/>
        <w:rPr>
          <w:rFonts w:hint="cs"/>
          <w:rtl/>
        </w:rPr>
      </w:pPr>
      <w:r>
        <w:rPr>
          <w:rFonts w:hint="cs"/>
          <w:rtl/>
        </w:rPr>
        <w:t>154 -</w:t>
      </w:r>
      <w:r>
        <w:rPr>
          <w:rFonts w:hint="cs"/>
          <w:rtl/>
        </w:rPr>
        <w:tab/>
        <w:t xml:space="preserve"> أجرت </w:t>
      </w:r>
      <w:r w:rsidR="00BD769D">
        <w:rPr>
          <w:rFonts w:hint="cs"/>
          <w:rtl/>
        </w:rPr>
        <w:t>هيئة التفتيش</w:t>
      </w:r>
      <w:r>
        <w:rPr>
          <w:rFonts w:hint="cs"/>
          <w:rtl/>
        </w:rPr>
        <w:t xml:space="preserve"> الوطنية</w:t>
      </w:r>
      <w:r w:rsidR="00BD769D">
        <w:rPr>
          <w:rFonts w:hint="cs"/>
          <w:rtl/>
        </w:rPr>
        <w:t xml:space="preserve"> لليد العاملة</w:t>
      </w:r>
      <w:r>
        <w:rPr>
          <w:rFonts w:hint="cs"/>
          <w:rtl/>
        </w:rPr>
        <w:t>، وتحالف نقابات العمل لعموم بولندا، أثناء النصف الثاني من عام 2003، دراسة استقصائية بين الموظفين. وأفاد 56.8 في المائة من الذين اشتركوا في الدراسة بأنهم عانوا بصورة شخصية من التمييز، وبأن 57.2 في المائة منهم كانوا على علم بهذه الأمور في مكان العمل، وبأن 58.5 في المائة منهم كانوا يعرفون أحدا ع</w:t>
      </w:r>
      <w:r w:rsidR="00E30A94">
        <w:rPr>
          <w:rFonts w:hint="cs"/>
          <w:rtl/>
        </w:rPr>
        <w:t>ان</w:t>
      </w:r>
      <w:r>
        <w:rPr>
          <w:rFonts w:hint="cs"/>
          <w:rtl/>
        </w:rPr>
        <w:t xml:space="preserve">ى من التمييز. وذكرت امرأة من </w:t>
      </w:r>
      <w:r w:rsidR="00E30A94">
        <w:rPr>
          <w:rFonts w:hint="cs"/>
          <w:rtl/>
        </w:rPr>
        <w:t>أصل</w:t>
      </w:r>
      <w:r w:rsidR="00CF540A">
        <w:rPr>
          <w:rFonts w:hint="cs"/>
          <w:rtl/>
        </w:rPr>
        <w:t xml:space="preserve"> كل </w:t>
      </w:r>
      <w:r>
        <w:rPr>
          <w:rFonts w:hint="cs"/>
          <w:rtl/>
        </w:rPr>
        <w:t>7 نساء أنها عانت من التمييز القائم على الجنس، و</w:t>
      </w:r>
      <w:r w:rsidR="00E30A94">
        <w:rPr>
          <w:rFonts w:hint="cs"/>
          <w:rtl/>
        </w:rPr>
        <w:t>عانى نفس عدد النساء من</w:t>
      </w:r>
      <w:r>
        <w:rPr>
          <w:rFonts w:hint="cs"/>
          <w:rtl/>
        </w:rPr>
        <w:t xml:space="preserve"> تمييز قائم على السن. وشعر أكثر من ربع النساء أنهن عانين من التمييز أثناء تعيينهن، بينما أفادت 17.8 في المائة منهن أن أرباب العمل وجهوا لهن أسئلة عن حياتهن الخاصة أثناء لقاء التوظيف. وشعرت امرأة </w:t>
      </w:r>
      <w:r w:rsidR="00E30A94">
        <w:rPr>
          <w:rFonts w:hint="cs"/>
          <w:rtl/>
        </w:rPr>
        <w:t>من أصل</w:t>
      </w:r>
      <w:r>
        <w:rPr>
          <w:rFonts w:hint="cs"/>
          <w:rtl/>
        </w:rPr>
        <w:t xml:space="preserve"> 8 نساء أنها كانت موضع إذلال في مكان العمل.</w:t>
      </w:r>
    </w:p>
    <w:p w:rsidR="005760EF" w:rsidRDefault="005760EF" w:rsidP="00F8732B">
      <w:pPr>
        <w:pStyle w:val="SingleTxt"/>
        <w:rPr>
          <w:rFonts w:hint="cs"/>
          <w:rtl/>
        </w:rPr>
      </w:pPr>
      <w:r>
        <w:rPr>
          <w:rFonts w:hint="cs"/>
          <w:rtl/>
        </w:rPr>
        <w:t>155 -</w:t>
      </w:r>
      <w:r>
        <w:rPr>
          <w:rFonts w:hint="cs"/>
          <w:rtl/>
        </w:rPr>
        <w:tab/>
        <w:t xml:space="preserve"> </w:t>
      </w:r>
      <w:r w:rsidR="00F8732B">
        <w:rPr>
          <w:rFonts w:hint="cs"/>
          <w:rtl/>
        </w:rPr>
        <w:t>شكل</w:t>
      </w:r>
      <w:r>
        <w:rPr>
          <w:rFonts w:hint="cs"/>
          <w:rtl/>
        </w:rPr>
        <w:t xml:space="preserve">ت المسائل المتعلقة بالمساواة بين الجنسين </w:t>
      </w:r>
      <w:r w:rsidR="00F8732B">
        <w:rPr>
          <w:rFonts w:hint="cs"/>
          <w:rtl/>
        </w:rPr>
        <w:t xml:space="preserve">نسبة صغيرة </w:t>
      </w:r>
      <w:r>
        <w:rPr>
          <w:rFonts w:hint="cs"/>
          <w:rtl/>
        </w:rPr>
        <w:t xml:space="preserve">من الحالات المحالة إلى </w:t>
      </w:r>
      <w:r w:rsidR="00F8732B">
        <w:rPr>
          <w:rFonts w:hint="cs"/>
          <w:rtl/>
        </w:rPr>
        <w:t>هيئة التفتيش ا</w:t>
      </w:r>
      <w:r>
        <w:rPr>
          <w:rFonts w:hint="cs"/>
          <w:rtl/>
        </w:rPr>
        <w:t xml:space="preserve">لوطنية </w:t>
      </w:r>
      <w:r w:rsidR="00F8732B">
        <w:rPr>
          <w:rFonts w:hint="cs"/>
          <w:rtl/>
        </w:rPr>
        <w:t>لليد العاملة لغرض إسداء المشورة</w:t>
      </w:r>
      <w:r>
        <w:rPr>
          <w:rFonts w:hint="cs"/>
          <w:rtl/>
        </w:rPr>
        <w:t xml:space="preserve"> القانوني</w:t>
      </w:r>
      <w:r w:rsidR="00F8732B">
        <w:rPr>
          <w:rFonts w:hint="cs"/>
          <w:rtl/>
        </w:rPr>
        <w:t>ة</w:t>
      </w:r>
      <w:r>
        <w:rPr>
          <w:rFonts w:hint="cs"/>
          <w:rtl/>
        </w:rPr>
        <w:t>. وقدم المفتشون بصفة رئيسية معلومات عن القوانين الجديدة وعن كيفية نشرها بين الموظفين، وعن صيغة إعلانات الشواغر، و</w:t>
      </w:r>
      <w:r w:rsidR="00F8732B">
        <w:rPr>
          <w:rFonts w:hint="cs"/>
          <w:rtl/>
        </w:rPr>
        <w:t xml:space="preserve">عن الطرف الذي يتحمل </w:t>
      </w:r>
      <w:r>
        <w:rPr>
          <w:rFonts w:hint="cs"/>
          <w:rtl/>
        </w:rPr>
        <w:t>عبء الإثبات في حالات التمييز. و</w:t>
      </w:r>
      <w:r w:rsidR="00F8732B">
        <w:rPr>
          <w:rFonts w:hint="cs"/>
          <w:rtl/>
        </w:rPr>
        <w:t xml:space="preserve">الجدير بالذكر أن </w:t>
      </w:r>
      <w:r>
        <w:rPr>
          <w:rFonts w:hint="cs"/>
          <w:rtl/>
        </w:rPr>
        <w:t>المحكمة هي ال</w:t>
      </w:r>
      <w:r w:rsidR="00F8732B">
        <w:rPr>
          <w:rFonts w:hint="cs"/>
          <w:rtl/>
        </w:rPr>
        <w:t>جه</w:t>
      </w:r>
      <w:r>
        <w:rPr>
          <w:rFonts w:hint="cs"/>
          <w:rtl/>
        </w:rPr>
        <w:t xml:space="preserve">ة الوحيدة التي </w:t>
      </w:r>
      <w:r w:rsidR="00F8732B">
        <w:rPr>
          <w:rFonts w:hint="cs"/>
          <w:rtl/>
        </w:rPr>
        <w:t>تستطيع أن تبت</w:t>
      </w:r>
      <w:r>
        <w:rPr>
          <w:rFonts w:hint="cs"/>
          <w:rtl/>
        </w:rPr>
        <w:t xml:space="preserve"> </w:t>
      </w:r>
      <w:r w:rsidR="00F8732B">
        <w:rPr>
          <w:rFonts w:hint="cs"/>
          <w:rtl/>
        </w:rPr>
        <w:t>في</w:t>
      </w:r>
      <w:r>
        <w:rPr>
          <w:rFonts w:hint="cs"/>
          <w:rtl/>
        </w:rPr>
        <w:t>ما إذا كان هناك تمييز أم لا.</w:t>
      </w:r>
    </w:p>
    <w:p w:rsidR="005760EF" w:rsidRDefault="005760EF" w:rsidP="000E628A">
      <w:pPr>
        <w:pStyle w:val="SingleTxt"/>
        <w:rPr>
          <w:rFonts w:hint="cs"/>
          <w:rtl/>
        </w:rPr>
      </w:pPr>
      <w:r>
        <w:rPr>
          <w:rFonts w:hint="cs"/>
          <w:rtl/>
        </w:rPr>
        <w:t>156 -</w:t>
      </w:r>
      <w:r>
        <w:rPr>
          <w:rFonts w:hint="cs"/>
          <w:rtl/>
        </w:rPr>
        <w:tab/>
        <w:t xml:space="preserve"> وبالإضافة إلى إ</w:t>
      </w:r>
      <w:r w:rsidR="00F8732B">
        <w:rPr>
          <w:rFonts w:hint="cs"/>
          <w:rtl/>
        </w:rPr>
        <w:t>س</w:t>
      </w:r>
      <w:r>
        <w:rPr>
          <w:rFonts w:hint="cs"/>
          <w:rtl/>
        </w:rPr>
        <w:t>د</w:t>
      </w:r>
      <w:r w:rsidR="00F8732B">
        <w:rPr>
          <w:rFonts w:hint="cs"/>
          <w:rtl/>
        </w:rPr>
        <w:t>اء المشورة</w:t>
      </w:r>
      <w:r>
        <w:rPr>
          <w:rFonts w:hint="cs"/>
          <w:rtl/>
        </w:rPr>
        <w:t xml:space="preserve"> القانوني</w:t>
      </w:r>
      <w:r w:rsidR="00F8732B">
        <w:rPr>
          <w:rFonts w:hint="cs"/>
          <w:rtl/>
        </w:rPr>
        <w:t>ة</w:t>
      </w:r>
      <w:r>
        <w:rPr>
          <w:rFonts w:hint="cs"/>
          <w:rtl/>
        </w:rPr>
        <w:t xml:space="preserve"> حول المساواة في المعاملة في مكان العمل، أجرت </w:t>
      </w:r>
      <w:r w:rsidR="00F8732B">
        <w:rPr>
          <w:rFonts w:hint="cs"/>
          <w:rtl/>
        </w:rPr>
        <w:t xml:space="preserve">هيئة التفتيش الوطنية لليد العاملة </w:t>
      </w:r>
      <w:r>
        <w:rPr>
          <w:rFonts w:hint="cs"/>
          <w:rtl/>
        </w:rPr>
        <w:t>حملات لتوعي</w:t>
      </w:r>
      <w:r w:rsidR="00F8732B">
        <w:rPr>
          <w:rFonts w:hint="cs"/>
          <w:rtl/>
        </w:rPr>
        <w:t>ة</w:t>
      </w:r>
      <w:r>
        <w:rPr>
          <w:rFonts w:hint="cs"/>
          <w:rtl/>
        </w:rPr>
        <w:t xml:space="preserve"> الموظفين وأرباب العمل بموضوع التمييز. وقد تم إصدار </w:t>
      </w:r>
      <w:r w:rsidR="00F8732B">
        <w:rPr>
          <w:rFonts w:hint="cs"/>
          <w:rtl/>
        </w:rPr>
        <w:t>ال</w:t>
      </w:r>
      <w:r>
        <w:rPr>
          <w:rFonts w:hint="cs"/>
          <w:rtl/>
        </w:rPr>
        <w:t xml:space="preserve">منشورات واستعراض اللوائح المناهضة للتمييز على موقع </w:t>
      </w:r>
      <w:r w:rsidR="00F8732B">
        <w:rPr>
          <w:rFonts w:hint="cs"/>
          <w:rtl/>
        </w:rPr>
        <w:t>هيئة التفتيش الوطنية لليد العاملة على</w:t>
      </w:r>
      <w:r>
        <w:rPr>
          <w:rFonts w:hint="cs"/>
          <w:rtl/>
        </w:rPr>
        <w:t xml:space="preserve"> الإنترنت. وأثار أيضا الموضوع ممثلو </w:t>
      </w:r>
      <w:r w:rsidR="00F8732B">
        <w:rPr>
          <w:rFonts w:hint="cs"/>
          <w:rtl/>
        </w:rPr>
        <w:t>الهيئة</w:t>
      </w:r>
      <w:r>
        <w:rPr>
          <w:rFonts w:hint="cs"/>
          <w:rtl/>
        </w:rPr>
        <w:t xml:space="preserve"> في اتصالاتهم مع وسائط الإعلام (</w:t>
      </w:r>
      <w:r w:rsidR="00F8732B">
        <w:rPr>
          <w:rFonts w:hint="cs"/>
          <w:rtl/>
        </w:rPr>
        <w:t xml:space="preserve">في </w:t>
      </w:r>
      <w:r>
        <w:rPr>
          <w:rFonts w:hint="cs"/>
          <w:rtl/>
        </w:rPr>
        <w:t xml:space="preserve">البرامج الإذاعية، </w:t>
      </w:r>
      <w:r w:rsidR="000E628A">
        <w:rPr>
          <w:rFonts w:hint="cs"/>
          <w:rtl/>
        </w:rPr>
        <w:t>و</w:t>
      </w:r>
      <w:r>
        <w:rPr>
          <w:rFonts w:hint="cs"/>
          <w:rtl/>
        </w:rPr>
        <w:t>عبر الهاتف في مكاتب الصحف).</w:t>
      </w:r>
    </w:p>
    <w:p w:rsidR="005760EF" w:rsidRDefault="005760EF" w:rsidP="005760EF">
      <w:pPr>
        <w:pStyle w:val="SingleTxt"/>
        <w:rPr>
          <w:b/>
          <w:bCs/>
          <w:sz w:val="22"/>
          <w:szCs w:val="32"/>
          <w:rtl/>
        </w:rPr>
      </w:pPr>
      <w:r>
        <w:rPr>
          <w:rFonts w:hint="cs"/>
          <w:b/>
          <w:bCs/>
          <w:rtl/>
        </w:rPr>
        <w:t>نظام المعاشات التقاعدية</w:t>
      </w:r>
    </w:p>
    <w:p w:rsidR="005760EF" w:rsidRDefault="005760EF" w:rsidP="008D06D8">
      <w:pPr>
        <w:pStyle w:val="SingleTxt"/>
        <w:rPr>
          <w:rFonts w:hint="cs"/>
          <w:sz w:val="22"/>
          <w:szCs w:val="32"/>
          <w:rtl/>
        </w:rPr>
      </w:pPr>
      <w:r>
        <w:rPr>
          <w:rFonts w:hint="cs"/>
          <w:sz w:val="22"/>
          <w:szCs w:val="32"/>
          <w:rtl/>
        </w:rPr>
        <w:t xml:space="preserve">157 </w:t>
      </w:r>
      <w:r>
        <w:rPr>
          <w:sz w:val="22"/>
          <w:szCs w:val="32"/>
          <w:rtl/>
        </w:rPr>
        <w:t>–</w:t>
      </w:r>
      <w:r>
        <w:rPr>
          <w:rFonts w:hint="cs"/>
          <w:sz w:val="22"/>
          <w:szCs w:val="32"/>
          <w:rtl/>
        </w:rPr>
        <w:t xml:space="preserve"> إن نظام المعاشات التقاعدية، الذي بدأ نفاذه في عام 1999 (القانون المؤرخ 17 كانون الأول/ديسمبر 1998 عن </w:t>
      </w:r>
      <w:r>
        <w:rPr>
          <w:rFonts w:hint="eastAsia"/>
          <w:sz w:val="22"/>
          <w:szCs w:val="32"/>
          <w:rtl/>
        </w:rPr>
        <w:t xml:space="preserve">”المعاشات التقاعدية </w:t>
      </w:r>
      <w:r w:rsidR="008D06D8">
        <w:rPr>
          <w:rFonts w:hint="cs"/>
          <w:sz w:val="22"/>
          <w:szCs w:val="32"/>
          <w:rtl/>
        </w:rPr>
        <w:t xml:space="preserve">المدفوعة </w:t>
      </w:r>
      <w:r>
        <w:rPr>
          <w:rFonts w:hint="eastAsia"/>
          <w:sz w:val="22"/>
          <w:szCs w:val="32"/>
          <w:rtl/>
        </w:rPr>
        <w:t>من صندوق التأمينات الاجتماعية</w:t>
      </w:r>
      <w:r>
        <w:rPr>
          <w:rFonts w:hint="cs"/>
          <w:sz w:val="22"/>
          <w:szCs w:val="32"/>
          <w:rtl/>
        </w:rPr>
        <w:t>“، جريدة القوانين رقم 162، البند 118) يستند إلى مبادئ مختلفة اختلافا تماما عن النظام السابق. فبالنسبة للمرأة، ربما تكون اللوائح الجديدة أقل مؤاتاة. غير أنه ينبغي أن يلاحظ أن التغييرات تؤثر في الأشخاص الذين كان يقل عمرهم عن 50 سنة عندما بدأ نفاذ النظام الجديد. أما الفئات العمرية الأخرى فما زالت ت</w:t>
      </w:r>
      <w:r w:rsidR="008D06D8">
        <w:rPr>
          <w:rFonts w:hint="cs"/>
          <w:sz w:val="22"/>
          <w:szCs w:val="32"/>
          <w:rtl/>
        </w:rPr>
        <w:t>طبع</w:t>
      </w:r>
      <w:r>
        <w:rPr>
          <w:rFonts w:hint="cs"/>
          <w:sz w:val="22"/>
          <w:szCs w:val="32"/>
          <w:rtl/>
        </w:rPr>
        <w:t xml:space="preserve"> عل</w:t>
      </w:r>
      <w:r w:rsidR="008D06D8">
        <w:rPr>
          <w:rFonts w:hint="cs"/>
          <w:sz w:val="22"/>
          <w:szCs w:val="32"/>
          <w:rtl/>
        </w:rPr>
        <w:t xml:space="preserve">يها </w:t>
      </w:r>
      <w:r>
        <w:rPr>
          <w:rFonts w:hint="cs"/>
          <w:sz w:val="22"/>
          <w:szCs w:val="32"/>
          <w:rtl/>
        </w:rPr>
        <w:t>القواعد القديمة، بما في ذلك إمكانية أخذ تقاعد مبكر. وبالنسبة للأشخاص الذين لم يبلغوا سن 30 سنة بحلول نهاية عام 1998</w:t>
      </w:r>
      <w:r w:rsidR="008D06D8">
        <w:rPr>
          <w:rFonts w:hint="cs"/>
          <w:sz w:val="22"/>
          <w:szCs w:val="32"/>
          <w:rtl/>
        </w:rPr>
        <w:t>،</w:t>
      </w:r>
      <w:r>
        <w:rPr>
          <w:rFonts w:hint="cs"/>
          <w:sz w:val="22"/>
          <w:szCs w:val="32"/>
          <w:rtl/>
        </w:rPr>
        <w:t xml:space="preserve"> فإنهم مرغمون على الاشتراك في مسارين لنظام التقاعد: أحدهما توزيعي وتديره مؤسسة التأمينات الاجتماعية والآخر رأسمالي وهو من اختصاص صناديق المعاشات التقاعدية المفتوحة. وللأشخاص الذين يتراوح عمرهم بين 30 و 50 سنة أن يختاروا إما أن يبقوا في المسار الأول أو اختيار المسارين. وسوف يعتمد حجم المعاش التقاعدي في نظام التقاعد</w:t>
      </w:r>
      <w:r w:rsidR="00CF540A">
        <w:rPr>
          <w:rFonts w:hint="cs"/>
          <w:sz w:val="22"/>
          <w:szCs w:val="32"/>
          <w:rtl/>
        </w:rPr>
        <w:t xml:space="preserve"> </w:t>
      </w:r>
      <w:r>
        <w:rPr>
          <w:rFonts w:hint="cs"/>
          <w:sz w:val="22"/>
          <w:szCs w:val="32"/>
          <w:rtl/>
        </w:rPr>
        <w:t>الجديد على مبلغ الاشتراكات المدفوعة في النظام، مضافا إليه الأرباح الناجمة عن الاستثمارات (في صندوق الاستثمارات). وهكذا فإن حجم المعاش التقاعدي يعتمد بصفة رئيسية على قيمة الاشتراكات ومدتها.</w:t>
      </w:r>
    </w:p>
    <w:p w:rsidR="005760EF" w:rsidRDefault="005760EF" w:rsidP="006D081F">
      <w:pPr>
        <w:pStyle w:val="SingleTxt"/>
        <w:rPr>
          <w:rFonts w:hint="cs"/>
          <w:rtl/>
        </w:rPr>
      </w:pPr>
      <w:r>
        <w:rPr>
          <w:rFonts w:hint="cs"/>
          <w:rtl/>
        </w:rPr>
        <w:t>158 -</w:t>
      </w:r>
      <w:r>
        <w:rPr>
          <w:rFonts w:hint="cs"/>
          <w:rtl/>
        </w:rPr>
        <w:tab/>
        <w:t xml:space="preserve"> إن اختلاف سن تقاعد </w:t>
      </w:r>
      <w:r w:rsidR="003B5C2A">
        <w:rPr>
          <w:rFonts w:hint="cs"/>
          <w:rtl/>
        </w:rPr>
        <w:t>ا</w:t>
      </w:r>
      <w:r>
        <w:rPr>
          <w:rFonts w:hint="cs"/>
          <w:rtl/>
        </w:rPr>
        <w:t xml:space="preserve">لمرأة (60) والرجل (65) يعني أن معاش </w:t>
      </w:r>
      <w:r w:rsidR="003B5C2A">
        <w:rPr>
          <w:rFonts w:hint="cs"/>
          <w:rtl/>
        </w:rPr>
        <w:t xml:space="preserve">المرأة التقاعدي </w:t>
      </w:r>
      <w:r>
        <w:rPr>
          <w:rFonts w:hint="cs"/>
          <w:rtl/>
        </w:rPr>
        <w:t xml:space="preserve">سيكون أقل حتى إذا كان مرتب الرجل والمرأة متساويين خلال فترة عملهما (وإن كانت المرأة غير مرغمة نظريا </w:t>
      </w:r>
      <w:r w:rsidR="003B5C2A">
        <w:rPr>
          <w:rFonts w:hint="cs"/>
          <w:rtl/>
        </w:rPr>
        <w:t>على</w:t>
      </w:r>
      <w:r>
        <w:rPr>
          <w:rFonts w:hint="cs"/>
          <w:rtl/>
        </w:rPr>
        <w:t xml:space="preserve"> التقاعد عندما تبلغ سن 60). ويتأثر أيضا حجم المعاش التقاعدي </w:t>
      </w:r>
      <w:r>
        <w:rPr>
          <w:rtl/>
        </w:rPr>
        <w:t>–</w:t>
      </w:r>
      <w:r>
        <w:rPr>
          <w:rFonts w:hint="cs"/>
          <w:rtl/>
        </w:rPr>
        <w:t xml:space="preserve"> بالإضافة إلى الاشتراكات المتراكمة </w:t>
      </w:r>
      <w:r>
        <w:rPr>
          <w:rtl/>
        </w:rPr>
        <w:t>–</w:t>
      </w:r>
      <w:r>
        <w:rPr>
          <w:rFonts w:hint="cs"/>
          <w:rtl/>
        </w:rPr>
        <w:t xml:space="preserve"> </w:t>
      </w:r>
      <w:r w:rsidR="003B5C2A">
        <w:rPr>
          <w:rFonts w:hint="cs"/>
          <w:rtl/>
        </w:rPr>
        <w:t>با</w:t>
      </w:r>
      <w:r>
        <w:rPr>
          <w:rFonts w:hint="cs"/>
          <w:rtl/>
        </w:rPr>
        <w:t xml:space="preserve">لعمر المتوقع عند التقاعد. وفي هذه الحالة، من أجل تخفيف أثر </w:t>
      </w:r>
      <w:r w:rsidR="003B5C2A">
        <w:rPr>
          <w:rFonts w:hint="cs"/>
          <w:rtl/>
        </w:rPr>
        <w:t>الفرق</w:t>
      </w:r>
      <w:r>
        <w:rPr>
          <w:rFonts w:hint="cs"/>
          <w:rtl/>
        </w:rPr>
        <w:t xml:space="preserve"> في سن التقاعد بين الرجل والمرأة، تم تطبيق متوسط سن التقاعد (</w:t>
      </w:r>
      <w:r w:rsidR="003B5C2A">
        <w:rPr>
          <w:rFonts w:hint="cs"/>
          <w:rtl/>
        </w:rPr>
        <w:t xml:space="preserve">أي حساب </w:t>
      </w:r>
      <w:r>
        <w:rPr>
          <w:rFonts w:hint="cs"/>
          <w:rtl/>
        </w:rPr>
        <w:t xml:space="preserve">متوسط سن الرجل والمرأة). غير أنه ينبغي أن يلاحظ أن المرأة التي تتقاعد عندما تبلغ سن 60 سوف يتم قسمة </w:t>
      </w:r>
      <w:r w:rsidR="00A9079E">
        <w:rPr>
          <w:rFonts w:hint="eastAsia"/>
          <w:sz w:val="22"/>
          <w:szCs w:val="32"/>
          <w:rtl/>
        </w:rPr>
        <w:t>”</w:t>
      </w:r>
      <w:r>
        <w:rPr>
          <w:rFonts w:hint="cs"/>
          <w:rtl/>
        </w:rPr>
        <w:t>رأسمالها</w:t>
      </w:r>
      <w:r w:rsidR="00A9079E">
        <w:rPr>
          <w:rFonts w:hint="cs"/>
          <w:sz w:val="22"/>
          <w:szCs w:val="32"/>
          <w:rtl/>
        </w:rPr>
        <w:t>“</w:t>
      </w:r>
      <w:r>
        <w:rPr>
          <w:rFonts w:hint="cs"/>
          <w:rtl/>
        </w:rPr>
        <w:t xml:space="preserve"> على السنوات المتبقية من حياتها المتوقعة، وهي أطول </w:t>
      </w:r>
      <w:r w:rsidR="006D081F">
        <w:rPr>
          <w:rFonts w:hint="cs"/>
          <w:rtl/>
        </w:rPr>
        <w:t xml:space="preserve">بمقدار خمس سنوات </w:t>
      </w:r>
      <w:r>
        <w:rPr>
          <w:rFonts w:hint="cs"/>
          <w:rtl/>
        </w:rPr>
        <w:t xml:space="preserve">من حياة </w:t>
      </w:r>
      <w:r w:rsidR="006D081F">
        <w:rPr>
          <w:rFonts w:hint="cs"/>
          <w:rtl/>
        </w:rPr>
        <w:t xml:space="preserve">الرجل </w:t>
      </w:r>
      <w:r>
        <w:rPr>
          <w:rFonts w:hint="cs"/>
          <w:rtl/>
        </w:rPr>
        <w:t>المتوقعة الذي يتقاعد عندما يبلغ</w:t>
      </w:r>
      <w:r w:rsidR="006D081F">
        <w:rPr>
          <w:rFonts w:hint="cs"/>
          <w:rtl/>
        </w:rPr>
        <w:t xml:space="preserve"> سن</w:t>
      </w:r>
      <w:r>
        <w:rPr>
          <w:rFonts w:hint="cs"/>
          <w:rtl/>
        </w:rPr>
        <w:t xml:space="preserve"> 65. </w:t>
      </w:r>
    </w:p>
    <w:p w:rsidR="005760EF" w:rsidRDefault="005760EF" w:rsidP="00A9079E">
      <w:pPr>
        <w:pStyle w:val="SingleTxt"/>
        <w:rPr>
          <w:rFonts w:hint="cs"/>
          <w:rtl/>
        </w:rPr>
      </w:pPr>
      <w:r>
        <w:rPr>
          <w:rFonts w:hint="cs"/>
          <w:rtl/>
        </w:rPr>
        <w:t>159 -</w:t>
      </w:r>
      <w:r>
        <w:rPr>
          <w:rFonts w:hint="cs"/>
          <w:rtl/>
        </w:rPr>
        <w:tab/>
        <w:t xml:space="preserve"> وفي عام 1999، طعن المفوض المسؤول عن حماية الحقوق المدنية (أمين المظالم) أمام المحكمة الدستورية في عدد من القوانين التي تتضمن أحكاما إما تحظر على المرأة شغل بعض المناصب أو تعطي لأرباب العمل الحق في إنهاء عقد عمل امرأة لأنها بلغت سن التقاعد وهو 60، أو إنهاء عقد عمل </w:t>
      </w:r>
      <w:r w:rsidR="00A9079E">
        <w:rPr>
          <w:rFonts w:hint="cs"/>
          <w:rtl/>
        </w:rPr>
        <w:t>ال</w:t>
      </w:r>
      <w:r>
        <w:rPr>
          <w:rFonts w:hint="cs"/>
          <w:rtl/>
        </w:rPr>
        <w:t xml:space="preserve">رجل لأنه بلغ سن التقاعد وهو 65. </w:t>
      </w:r>
    </w:p>
    <w:p w:rsidR="005760EF" w:rsidRDefault="005760EF" w:rsidP="005760EF">
      <w:pPr>
        <w:pStyle w:val="SingleTxt"/>
        <w:rPr>
          <w:rFonts w:hint="cs"/>
          <w:rtl/>
        </w:rPr>
      </w:pPr>
      <w:r>
        <w:rPr>
          <w:rFonts w:hint="cs"/>
          <w:rtl/>
        </w:rPr>
        <w:t>160 -</w:t>
      </w:r>
      <w:r>
        <w:rPr>
          <w:rFonts w:hint="cs"/>
          <w:rtl/>
        </w:rPr>
        <w:tab/>
        <w:t xml:space="preserve"> وفيما يتعلق بقانون </w:t>
      </w:r>
      <w:r>
        <w:rPr>
          <w:rFonts w:hint="eastAsia"/>
          <w:rtl/>
        </w:rPr>
        <w:t xml:space="preserve">”المستحضرات الصيدلانية، والمواد الطبية، والصيدليات والبيع بالجملة، </w:t>
      </w:r>
      <w:r>
        <w:rPr>
          <w:rFonts w:hint="cs"/>
          <w:rtl/>
        </w:rPr>
        <w:t xml:space="preserve">والتفتيش الصيدلاني (الحكم المؤرخ 13 حزيران/يونيه 2000، راجع </w:t>
      </w:r>
      <w:r>
        <w:t>K15/99</w:t>
      </w:r>
      <w:r>
        <w:rPr>
          <w:rFonts w:hint="cs"/>
          <w:rtl/>
        </w:rPr>
        <w:t xml:space="preserve">) وجدت المحكمة الدستورية أن منع المرأة من شغل وظيفة مدير صيدلية لأنها بلغت سن التقاعد المحدد للمرأة </w:t>
      </w:r>
      <w:r>
        <w:rPr>
          <w:rtl/>
        </w:rPr>
        <w:t>–</w:t>
      </w:r>
      <w:r>
        <w:rPr>
          <w:rFonts w:hint="cs"/>
          <w:rtl/>
        </w:rPr>
        <w:t xml:space="preserve"> لا للرجل </w:t>
      </w:r>
      <w:r>
        <w:rPr>
          <w:rtl/>
        </w:rPr>
        <w:t>–</w:t>
      </w:r>
      <w:r>
        <w:rPr>
          <w:rFonts w:hint="cs"/>
          <w:rtl/>
        </w:rPr>
        <w:t xml:space="preserve"> ينتهك الفقرة 2 من المادة 32 والمادة 65 من الدستور البولندي، والمادة 11 من اتفاقية القضاء على جميع أشكال التمييز ضد المرأة. </w:t>
      </w:r>
    </w:p>
    <w:p w:rsidR="005760EF" w:rsidRDefault="003C451F" w:rsidP="00967468">
      <w:pPr>
        <w:pStyle w:val="SingleTxt"/>
        <w:rPr>
          <w:rFonts w:hint="cs"/>
          <w:rtl/>
        </w:rPr>
      </w:pPr>
      <w:r>
        <w:rPr>
          <w:rFonts w:hint="cs"/>
          <w:rtl/>
        </w:rPr>
        <w:t>161 -</w:t>
      </w:r>
      <w:r>
        <w:rPr>
          <w:rFonts w:hint="cs"/>
          <w:rtl/>
        </w:rPr>
        <w:tab/>
        <w:t xml:space="preserve"> فيما يتعلق بقانون ميثاق المدرسين (الحكم المؤرخ 28 آذار/مارس 2000 راجع </w:t>
      </w:r>
      <w:r>
        <w:t>K27/99</w:t>
      </w:r>
      <w:r>
        <w:rPr>
          <w:rFonts w:hint="cs"/>
          <w:rtl/>
        </w:rPr>
        <w:t xml:space="preserve">)، وقانون العاملين في مكاتب الدولة (الحكم المؤرخ 5 كانون الأول/ديسمبر 2000، راجع </w:t>
      </w:r>
      <w:r>
        <w:t>K35/99</w:t>
      </w:r>
      <w:r>
        <w:rPr>
          <w:rFonts w:hint="cs"/>
          <w:rtl/>
        </w:rPr>
        <w:t xml:space="preserve">) وقانون العاملين في الحكم الذاتي (الحكم المؤرخ 5 كانون الأول/ ديسمبر 2000، راجع </w:t>
      </w:r>
      <w:r>
        <w:t>K35/99</w:t>
      </w:r>
      <w:r>
        <w:rPr>
          <w:rFonts w:hint="cs"/>
          <w:rtl/>
        </w:rPr>
        <w:t xml:space="preserve">) حكمت المحكمة الدستورية أن </w:t>
      </w:r>
      <w:r w:rsidR="00967468">
        <w:rPr>
          <w:rFonts w:hint="cs"/>
          <w:rtl/>
        </w:rPr>
        <w:t xml:space="preserve">اعتماد سن </w:t>
      </w:r>
      <w:r>
        <w:rPr>
          <w:rFonts w:hint="cs"/>
          <w:rtl/>
        </w:rPr>
        <w:t xml:space="preserve">تقاعد المرأة </w:t>
      </w:r>
      <w:r w:rsidR="00967468">
        <w:rPr>
          <w:rFonts w:hint="cs"/>
          <w:rtl/>
        </w:rPr>
        <w:t xml:space="preserve">وهو دون سن تقاعد </w:t>
      </w:r>
      <w:r>
        <w:rPr>
          <w:rFonts w:hint="cs"/>
          <w:rtl/>
        </w:rPr>
        <w:t>الرجل</w:t>
      </w:r>
      <w:r w:rsidR="00967468">
        <w:rPr>
          <w:rFonts w:hint="cs"/>
          <w:rtl/>
        </w:rPr>
        <w:t>،</w:t>
      </w:r>
      <w:r>
        <w:rPr>
          <w:rFonts w:hint="cs"/>
          <w:rtl/>
        </w:rPr>
        <w:t xml:space="preserve"> </w:t>
      </w:r>
      <w:r w:rsidR="00967468">
        <w:rPr>
          <w:rFonts w:hint="cs"/>
          <w:rtl/>
        </w:rPr>
        <w:t>في الوقت الذي تقوم فيه المرأة بن</w:t>
      </w:r>
      <w:r>
        <w:rPr>
          <w:rFonts w:hint="cs"/>
          <w:rtl/>
        </w:rPr>
        <w:t xml:space="preserve">فس </w:t>
      </w:r>
      <w:r w:rsidR="00967468">
        <w:rPr>
          <w:rFonts w:hint="cs"/>
          <w:rtl/>
        </w:rPr>
        <w:t>ما يقوم به الرجل</w:t>
      </w:r>
      <w:r>
        <w:rPr>
          <w:rFonts w:hint="cs"/>
          <w:rtl/>
        </w:rPr>
        <w:t xml:space="preserve">، لا ينسجم مع المادتين 32 و 33 من الدستور، ويميز بين الوضع القانوني للرجل والمرأة، ويتسم بطابع التمييز القائم على الجنس. </w:t>
      </w:r>
    </w:p>
    <w:p w:rsidR="003C451F" w:rsidRDefault="003C451F" w:rsidP="005A6DF1">
      <w:pPr>
        <w:pStyle w:val="SingleTxt"/>
        <w:rPr>
          <w:rFonts w:hint="cs"/>
          <w:rtl/>
        </w:rPr>
      </w:pPr>
      <w:r>
        <w:rPr>
          <w:rFonts w:hint="cs"/>
          <w:rtl/>
        </w:rPr>
        <w:t>162 -</w:t>
      </w:r>
      <w:r>
        <w:rPr>
          <w:rFonts w:hint="cs"/>
          <w:rtl/>
        </w:rPr>
        <w:tab/>
        <w:t xml:space="preserve"> </w:t>
      </w:r>
      <w:r w:rsidR="00967468">
        <w:rPr>
          <w:rFonts w:hint="cs"/>
          <w:rtl/>
        </w:rPr>
        <w:t>إن ا</w:t>
      </w:r>
      <w:r>
        <w:rPr>
          <w:rFonts w:hint="cs"/>
          <w:rtl/>
        </w:rPr>
        <w:t>لمرأة التي ت</w:t>
      </w:r>
      <w:r w:rsidR="00967468">
        <w:rPr>
          <w:rFonts w:hint="cs"/>
          <w:rtl/>
        </w:rPr>
        <w:t>طالب</w:t>
      </w:r>
      <w:r>
        <w:rPr>
          <w:rFonts w:hint="cs"/>
          <w:rtl/>
        </w:rPr>
        <w:t xml:space="preserve"> بأن يكون لها حقوق متساوية فيما يتعلق بسن التقاعد تجد ما يسعفها في المادة 172 من قانون المعاشات التقاعدية </w:t>
      </w:r>
      <w:r w:rsidR="00967468">
        <w:rPr>
          <w:rFonts w:hint="cs"/>
          <w:rtl/>
        </w:rPr>
        <w:t xml:space="preserve">المدفوعة </w:t>
      </w:r>
      <w:r>
        <w:rPr>
          <w:rFonts w:hint="cs"/>
          <w:rtl/>
        </w:rPr>
        <w:t xml:space="preserve">في حالة التقاعد </w:t>
      </w:r>
      <w:r w:rsidR="005A6DF1">
        <w:rPr>
          <w:rFonts w:hint="cs"/>
          <w:rtl/>
        </w:rPr>
        <w:t>أ</w:t>
      </w:r>
      <w:r>
        <w:rPr>
          <w:rFonts w:hint="cs"/>
          <w:rtl/>
        </w:rPr>
        <w:t>و</w:t>
      </w:r>
      <w:r w:rsidR="005A6DF1">
        <w:rPr>
          <w:rFonts w:hint="cs"/>
          <w:rtl/>
        </w:rPr>
        <w:t xml:space="preserve"> </w:t>
      </w:r>
      <w:r>
        <w:rPr>
          <w:rFonts w:hint="cs"/>
          <w:rtl/>
        </w:rPr>
        <w:t xml:space="preserve">العجز </w:t>
      </w:r>
      <w:r w:rsidR="005A6DF1">
        <w:rPr>
          <w:rFonts w:hint="cs"/>
          <w:rtl/>
        </w:rPr>
        <w:t xml:space="preserve">من </w:t>
      </w:r>
      <w:r>
        <w:rPr>
          <w:rFonts w:hint="cs"/>
          <w:rtl/>
        </w:rPr>
        <w:t xml:space="preserve">صندوق التأمينات الاجتماعية (وهو نفس القانون الذي يحدد سن التقاعد بالنسبة للمرأة والرجل) وينص على أن </w:t>
      </w:r>
      <w:r>
        <w:rPr>
          <w:rFonts w:hint="eastAsia"/>
          <w:rtl/>
        </w:rPr>
        <w:t xml:space="preserve">”القانون قائم على مبدأ المساواة في معاملة جميع الأشخاص المؤمن عليهم، بغض النظر عن نوع جنسهم، أو وضعهم العائلي، أو حالتهم العائلية. </w:t>
      </w:r>
      <w:r w:rsidR="005A6DF1">
        <w:rPr>
          <w:rFonts w:hint="cs"/>
          <w:rtl/>
        </w:rPr>
        <w:t xml:space="preserve">ويحق لكل شخص مؤمن عليه يشعر </w:t>
      </w:r>
      <w:r>
        <w:rPr>
          <w:rFonts w:hint="cs"/>
          <w:rtl/>
        </w:rPr>
        <w:t xml:space="preserve">أن مبدأ المساواة في </w:t>
      </w:r>
      <w:r w:rsidR="005A6DF1">
        <w:rPr>
          <w:rFonts w:hint="cs"/>
          <w:rtl/>
        </w:rPr>
        <w:t>المعاملة لا يُ</w:t>
      </w:r>
      <w:r>
        <w:rPr>
          <w:rFonts w:hint="cs"/>
          <w:rtl/>
        </w:rPr>
        <w:t>طبق عليه أن يطلب تعويضا من محكمة التأمينات الاجتماعية</w:t>
      </w:r>
      <w:r>
        <w:rPr>
          <w:rFonts w:hint="eastAsia"/>
          <w:rtl/>
        </w:rPr>
        <w:t xml:space="preserve">“. </w:t>
      </w:r>
    </w:p>
    <w:p w:rsidR="003C451F" w:rsidRDefault="003C451F" w:rsidP="005A6DF1">
      <w:pPr>
        <w:pStyle w:val="SingleTxt"/>
        <w:rPr>
          <w:rFonts w:hint="cs"/>
          <w:rtl/>
        </w:rPr>
      </w:pPr>
      <w:r>
        <w:rPr>
          <w:rFonts w:hint="cs"/>
          <w:rtl/>
        </w:rPr>
        <w:t>163 -</w:t>
      </w:r>
      <w:r>
        <w:rPr>
          <w:rFonts w:hint="cs"/>
          <w:rtl/>
        </w:rPr>
        <w:tab/>
        <w:t xml:space="preserve"> في أواخر عام 2003، بدأ العمل </w:t>
      </w:r>
      <w:r w:rsidR="005A6DF1">
        <w:rPr>
          <w:rFonts w:hint="cs"/>
          <w:rtl/>
        </w:rPr>
        <w:t xml:space="preserve">من أجل جعل </w:t>
      </w:r>
      <w:r>
        <w:rPr>
          <w:rFonts w:hint="cs"/>
          <w:rtl/>
        </w:rPr>
        <w:t xml:space="preserve">سن تقاعد </w:t>
      </w:r>
      <w:r w:rsidR="005A6DF1">
        <w:rPr>
          <w:rFonts w:hint="cs"/>
          <w:rtl/>
        </w:rPr>
        <w:t>ا</w:t>
      </w:r>
      <w:r>
        <w:rPr>
          <w:rFonts w:hint="cs"/>
          <w:rtl/>
        </w:rPr>
        <w:t xml:space="preserve">لنساء والرجال يقوم على المساواة والمرونة. وتسمح الصيغة المقترحة بأن يتم رفع سن التقاعد للمرأة بحلول عام 2004 إلى 65، وإن كان يحق لجميع المؤمن عليهم اختيار التقاعد التدريجي أو الكامل عندما يتراوح عمرهم بين 62 و 65 سنة. ويمر هذا الحل في الوقت الراهن بمرحلة المشاورات الاجتماعية، وسوف يتم العمل به اعتبارا من عام 2014 ولن يتم تطبيقه إلا على الأشخاص الذين ولدوا بعد عام 1954. </w:t>
      </w:r>
    </w:p>
    <w:p w:rsidR="003C451F" w:rsidRDefault="003C451F" w:rsidP="003C451F">
      <w:pPr>
        <w:pStyle w:val="SingleTxt"/>
        <w:rPr>
          <w:rFonts w:hint="cs"/>
          <w:b/>
          <w:bCs/>
          <w:rtl/>
        </w:rPr>
      </w:pPr>
      <w:r>
        <w:rPr>
          <w:rFonts w:hint="cs"/>
          <w:b/>
          <w:bCs/>
          <w:rtl/>
        </w:rPr>
        <w:t>المرأة في نقابات العمال</w:t>
      </w:r>
    </w:p>
    <w:p w:rsidR="003C451F" w:rsidRDefault="003C451F" w:rsidP="003C451F">
      <w:pPr>
        <w:pStyle w:val="SingleTxt"/>
        <w:rPr>
          <w:rFonts w:hint="cs"/>
          <w:rtl/>
        </w:rPr>
      </w:pPr>
      <w:r>
        <w:rPr>
          <w:rFonts w:hint="cs"/>
          <w:rtl/>
        </w:rPr>
        <w:t>164 -</w:t>
      </w:r>
      <w:r>
        <w:rPr>
          <w:rFonts w:hint="cs"/>
          <w:rtl/>
        </w:rPr>
        <w:tab/>
        <w:t xml:space="preserve"> استطاعت النساء المشاركة في نشاط نقابات العمال في بولندا على قدم المساواة مع الرجال. </w:t>
      </w:r>
    </w:p>
    <w:p w:rsidR="003C451F" w:rsidRDefault="003C451F" w:rsidP="009C102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تحالف نقابات العمال لعموم بولندا هو أكبر منظمة لنقابات العمال في بولندا أثناء الفترة التي يغطيها التقرير. غير أن البيانات المتعلقة بأعضائه لا تحدد نوع جنس الأعضاء. ولدى التحالف منظمة نسائية، و</w:t>
      </w:r>
      <w:r w:rsidR="006619F6">
        <w:rPr>
          <w:rFonts w:hint="cs"/>
          <w:rtl/>
        </w:rPr>
        <w:t>تألف</w:t>
      </w:r>
      <w:r>
        <w:rPr>
          <w:rFonts w:hint="cs"/>
          <w:rtl/>
        </w:rPr>
        <w:t xml:space="preserve"> مجلس رئاسة التحالف، المنتخب في نيسان/أبريل 2002 من 35 عضوا</w:t>
      </w:r>
      <w:r w:rsidR="006619F6">
        <w:rPr>
          <w:rFonts w:hint="cs"/>
          <w:rtl/>
        </w:rPr>
        <w:t>،</w:t>
      </w:r>
      <w:r>
        <w:rPr>
          <w:rFonts w:hint="cs"/>
          <w:rtl/>
        </w:rPr>
        <w:t xml:space="preserve"> بمن فيهم امرأتان؛ </w:t>
      </w:r>
    </w:p>
    <w:p w:rsidR="003C451F" w:rsidRDefault="003C451F" w:rsidP="006619F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6619F6">
        <w:rPr>
          <w:rFonts w:hint="cs"/>
          <w:rtl/>
        </w:rPr>
        <w:t>تألف</w:t>
      </w:r>
      <w:r>
        <w:rPr>
          <w:rFonts w:hint="cs"/>
          <w:rtl/>
        </w:rPr>
        <w:t xml:space="preserve"> مجلس اللجنة الوطنية لنقابة </w:t>
      </w:r>
      <w:r>
        <w:rPr>
          <w:rFonts w:hint="eastAsia"/>
          <w:rtl/>
        </w:rPr>
        <w:t>”التضامن</w:t>
      </w:r>
      <w:r>
        <w:rPr>
          <w:rFonts w:hint="cs"/>
          <w:rtl/>
        </w:rPr>
        <w:t xml:space="preserve">“ (وهي في الوقت الراهن ثاني أكبر نقابة عمال في بولندا) من 17 رجلا وامرأة واحدة. وتتضمن سلطات النقابة منسقا لشؤون المرأة. وتمثل النساء 38.2 في المائة من الأعضاء؛ </w:t>
      </w:r>
    </w:p>
    <w:p w:rsidR="003C451F" w:rsidRDefault="003C451F" w:rsidP="006619F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6619F6">
        <w:rPr>
          <w:rFonts w:hint="cs"/>
          <w:rtl/>
        </w:rPr>
        <w:t>تألف</w:t>
      </w:r>
      <w:r>
        <w:rPr>
          <w:rFonts w:hint="cs"/>
          <w:rtl/>
        </w:rPr>
        <w:t xml:space="preserve"> مجلس رئاسة المجلس الوطني لنقابة المدرسين البولنديين (</w:t>
      </w:r>
      <w:r w:rsidR="006619F6">
        <w:rPr>
          <w:rFonts w:hint="cs"/>
          <w:rtl/>
        </w:rPr>
        <w:t>تهيمن المرأة على مهنة التدريس)</w:t>
      </w:r>
      <w:r>
        <w:rPr>
          <w:rFonts w:hint="cs"/>
          <w:rtl/>
        </w:rPr>
        <w:t xml:space="preserve"> من سبع نساء وعشرة رجال؛ </w:t>
      </w:r>
    </w:p>
    <w:p w:rsidR="003C451F" w:rsidRDefault="003C451F" w:rsidP="006619F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6619F6">
        <w:rPr>
          <w:rFonts w:hint="cs"/>
          <w:rtl/>
        </w:rPr>
        <w:t>لم يضم</w:t>
      </w:r>
      <w:r>
        <w:rPr>
          <w:rFonts w:hint="cs"/>
          <w:rtl/>
        </w:rPr>
        <w:t xml:space="preserve"> مجلس رئاسة المجلس المركزي للأطباء أي امرأة بين أعضائه الـ 11، على الرغم من أن درجة التأنيث للمهنة الطبية عالٍ جدا؛</w:t>
      </w:r>
    </w:p>
    <w:p w:rsidR="003C451F" w:rsidRDefault="003C451F" w:rsidP="006619F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6619F6">
        <w:rPr>
          <w:rFonts w:hint="cs"/>
          <w:rtl/>
        </w:rPr>
        <w:t>تألف</w:t>
      </w:r>
      <w:r>
        <w:rPr>
          <w:rFonts w:hint="cs"/>
          <w:rtl/>
        </w:rPr>
        <w:t xml:space="preserve"> مجلس رئاسة المجلس المركزي للممرضات والقابلات من 7 نساء و 5 رجال. وإن مشاركة الرجال في القيادة ظاهرة غير اعتيادية بما أن المنظمة تتألف حصريا تقريبا من النساء؛</w:t>
      </w:r>
    </w:p>
    <w:p w:rsidR="003C451F" w:rsidRDefault="003C451F" w:rsidP="006619F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6619F6">
        <w:rPr>
          <w:rFonts w:hint="cs"/>
          <w:rtl/>
        </w:rPr>
        <w:t xml:space="preserve">كان </w:t>
      </w:r>
      <w:r>
        <w:rPr>
          <w:rFonts w:hint="cs"/>
          <w:rtl/>
        </w:rPr>
        <w:t xml:space="preserve">هناك 11 نقابة عمال نشطة في ميدان الزراعة، بما في ذلك الاتحاد الوطني للمزارعين، والدوائر والمنظمات الزراعية التي </w:t>
      </w:r>
      <w:r w:rsidR="006619F6">
        <w:rPr>
          <w:rFonts w:hint="cs"/>
          <w:rtl/>
        </w:rPr>
        <w:t>ي</w:t>
      </w:r>
      <w:r>
        <w:rPr>
          <w:rFonts w:hint="cs"/>
          <w:rtl/>
        </w:rPr>
        <w:t xml:space="preserve">تألف مجلس </w:t>
      </w:r>
      <w:r w:rsidR="006619F6">
        <w:rPr>
          <w:rFonts w:hint="cs"/>
          <w:rtl/>
        </w:rPr>
        <w:t>رئاست</w:t>
      </w:r>
      <w:r>
        <w:rPr>
          <w:rFonts w:hint="cs"/>
          <w:rtl/>
        </w:rPr>
        <w:t xml:space="preserve">ها من 15 شخصا، بمن فيهم 4 نساء. وتقوم دوائر </w:t>
      </w:r>
      <w:r w:rsidR="007119E4">
        <w:rPr>
          <w:rFonts w:hint="cs"/>
          <w:rtl/>
        </w:rPr>
        <w:t>ربات البيوت الريفيات بإحياء الأنشطة داخل الاتحاد (انظر المادة 14).</w:t>
      </w:r>
    </w:p>
    <w:p w:rsidR="005C3FB1" w:rsidRPr="005C3FB1" w:rsidRDefault="005C3FB1" w:rsidP="005C3FB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7119E4" w:rsidRDefault="007119E4" w:rsidP="007119E4">
      <w:pPr>
        <w:pStyle w:val="SingleTxt"/>
        <w:rPr>
          <w:rFonts w:hint="cs"/>
          <w:b/>
          <w:bCs/>
          <w:rtl/>
        </w:rPr>
      </w:pPr>
      <w:r>
        <w:rPr>
          <w:rFonts w:hint="cs"/>
          <w:b/>
          <w:bCs/>
          <w:rtl/>
        </w:rPr>
        <w:t xml:space="preserve">المادة 12 </w:t>
      </w:r>
      <w:r>
        <w:rPr>
          <w:b/>
          <w:bCs/>
          <w:rtl/>
        </w:rPr>
        <w:t>–</w:t>
      </w:r>
      <w:r>
        <w:rPr>
          <w:rFonts w:hint="cs"/>
          <w:b/>
          <w:bCs/>
          <w:rtl/>
        </w:rPr>
        <w:t xml:space="preserve"> المساواة في الحصول على الرعاية الصحية</w:t>
      </w:r>
    </w:p>
    <w:p w:rsidR="007119E4" w:rsidRDefault="007119E4" w:rsidP="007119E4">
      <w:pPr>
        <w:pStyle w:val="SingleTxt"/>
        <w:rPr>
          <w:rFonts w:hint="cs"/>
          <w:b/>
          <w:bCs/>
          <w:rtl/>
        </w:rPr>
      </w:pPr>
      <w:r>
        <w:rPr>
          <w:rFonts w:hint="cs"/>
          <w:b/>
          <w:bCs/>
          <w:rtl/>
        </w:rPr>
        <w:t>الضمانات القانونية المتعلقة بحماية الصحة</w:t>
      </w:r>
    </w:p>
    <w:p w:rsidR="007119E4" w:rsidRDefault="007119E4" w:rsidP="007119E4">
      <w:pPr>
        <w:pStyle w:val="SingleTxt"/>
        <w:rPr>
          <w:rFonts w:hint="cs"/>
          <w:rtl/>
        </w:rPr>
      </w:pPr>
      <w:r>
        <w:rPr>
          <w:rFonts w:hint="cs"/>
          <w:rtl/>
        </w:rPr>
        <w:t>165 -</w:t>
      </w:r>
      <w:r>
        <w:rPr>
          <w:rFonts w:hint="cs"/>
          <w:rtl/>
        </w:rPr>
        <w:tab/>
        <w:t xml:space="preserve"> من أهم الأنظمة القانونية التي لها مغزى أساسي فيما يتعلق بتنفيذ بولندا لأحكام المادة 12 من الاتفاقية</w:t>
      </w:r>
      <w:r w:rsidR="006619F6">
        <w:rPr>
          <w:rFonts w:hint="cs"/>
          <w:rtl/>
        </w:rPr>
        <w:t>،</w:t>
      </w:r>
      <w:r>
        <w:rPr>
          <w:rFonts w:hint="cs"/>
          <w:rtl/>
        </w:rPr>
        <w:t xml:space="preserve"> الدستور وقانونان نوقشا في التقرير السابق: القانون المتعلق بمؤسسات الرعاية الصحية، والقانون المتعلق بحماية الجنين البشر</w:t>
      </w:r>
      <w:r w:rsidR="006619F6">
        <w:rPr>
          <w:rFonts w:hint="cs"/>
          <w:rtl/>
        </w:rPr>
        <w:t>ي والظروف التي تسمح بإجراء عمليات</w:t>
      </w:r>
      <w:r>
        <w:rPr>
          <w:rFonts w:hint="cs"/>
          <w:rtl/>
        </w:rPr>
        <w:t xml:space="preserve"> الإجهاض.</w:t>
      </w:r>
    </w:p>
    <w:p w:rsidR="007119E4" w:rsidRDefault="007119E4" w:rsidP="00CE3279">
      <w:pPr>
        <w:pStyle w:val="SingleTxt"/>
        <w:rPr>
          <w:rFonts w:hint="cs"/>
          <w:rtl/>
        </w:rPr>
      </w:pPr>
      <w:r>
        <w:rPr>
          <w:rFonts w:hint="cs"/>
          <w:rtl/>
        </w:rPr>
        <w:t>166 -</w:t>
      </w:r>
      <w:r>
        <w:rPr>
          <w:rFonts w:hint="cs"/>
          <w:rtl/>
        </w:rPr>
        <w:tab/>
        <w:t xml:space="preserve"> بدأ نفاذ القانون المؤرخ 6 شباط/فبراير 1997 عن التأمين الصحي العام في 1 كانون الثاني/يناير 1999، واستحدث تغييرات أساسية في نظام تمويل وتنظيم الخدمات الصحية. فوضع نظام تمويل مختلط </w:t>
      </w:r>
      <w:r w:rsidR="006619F6">
        <w:rPr>
          <w:rFonts w:hint="cs"/>
          <w:rtl/>
        </w:rPr>
        <w:t>ل</w:t>
      </w:r>
      <w:r>
        <w:rPr>
          <w:rFonts w:hint="cs"/>
          <w:rtl/>
        </w:rPr>
        <w:t>ميزانية التأمين. وعلى هذا الأساس</w:t>
      </w:r>
      <w:r w:rsidR="006619F6">
        <w:rPr>
          <w:rFonts w:hint="cs"/>
          <w:rtl/>
        </w:rPr>
        <w:t>،</w:t>
      </w:r>
      <w:r>
        <w:rPr>
          <w:rFonts w:hint="cs"/>
          <w:rtl/>
        </w:rPr>
        <w:t xml:space="preserve"> يتم استخدام أموال ميزانية الدولة لدفع خدمات الرعاية الطبية الطارئة، والإجراءات المتخصصة للغاية، وبعض البرامج الصحية، وكذلك لتغطية الاشتراكات في التأمينات الطبية لبعض الفئات الاجتماعية. وتزيد أقساط التأمين كل سنة (</w:t>
      </w:r>
      <w:r w:rsidR="006619F6">
        <w:rPr>
          <w:rFonts w:hint="cs"/>
          <w:rtl/>
        </w:rPr>
        <w:t xml:space="preserve">فستصل </w:t>
      </w:r>
      <w:r>
        <w:rPr>
          <w:rFonts w:hint="cs"/>
          <w:rtl/>
        </w:rPr>
        <w:t xml:space="preserve">إلى نسبة 9 في المائة من </w:t>
      </w:r>
      <w:r w:rsidR="006619F6">
        <w:rPr>
          <w:rFonts w:hint="cs"/>
          <w:rtl/>
        </w:rPr>
        <w:t>مبلغ الأساس</w:t>
      </w:r>
      <w:r>
        <w:rPr>
          <w:rFonts w:hint="cs"/>
          <w:rtl/>
        </w:rPr>
        <w:t xml:space="preserve"> بحلول عام 2007) </w:t>
      </w:r>
      <w:r w:rsidR="00CE3279">
        <w:rPr>
          <w:rFonts w:hint="cs"/>
          <w:rtl/>
        </w:rPr>
        <w:t>علما بأ</w:t>
      </w:r>
      <w:r w:rsidR="00CF540A">
        <w:rPr>
          <w:rFonts w:hint="cs"/>
          <w:rtl/>
        </w:rPr>
        <w:t>ن</w:t>
      </w:r>
      <w:r w:rsidR="00CE3279">
        <w:rPr>
          <w:rFonts w:hint="cs"/>
          <w:rtl/>
        </w:rPr>
        <w:t xml:space="preserve"> </w:t>
      </w:r>
      <w:r>
        <w:rPr>
          <w:rFonts w:hint="cs"/>
          <w:rtl/>
        </w:rPr>
        <w:t xml:space="preserve">مجموع أموال نظام التأمينات </w:t>
      </w:r>
      <w:r w:rsidR="00CE3279">
        <w:rPr>
          <w:rFonts w:hint="cs"/>
          <w:rtl/>
        </w:rPr>
        <w:t xml:space="preserve">يعتمد </w:t>
      </w:r>
      <w:r>
        <w:rPr>
          <w:rFonts w:hint="cs"/>
          <w:rtl/>
        </w:rPr>
        <w:t>على حجم الأجور، أي على حالة الاقتصاد. وينبغي أن يلاحظ أنه مع توالي السنوات، على الرغم من ازدياد المبلغ المخصص</w:t>
      </w:r>
      <w:r w:rsidR="00CE3279">
        <w:rPr>
          <w:rFonts w:hint="cs"/>
          <w:rtl/>
        </w:rPr>
        <w:t xml:space="preserve"> </w:t>
      </w:r>
      <w:r>
        <w:rPr>
          <w:rFonts w:hint="cs"/>
          <w:rtl/>
        </w:rPr>
        <w:t>للرعاية الصحية</w:t>
      </w:r>
      <w:r w:rsidR="00CE3279">
        <w:rPr>
          <w:rFonts w:hint="cs"/>
          <w:rtl/>
        </w:rPr>
        <w:t xml:space="preserve"> بالأرقام الحقيقية </w:t>
      </w:r>
      <w:r>
        <w:rPr>
          <w:rFonts w:hint="cs"/>
          <w:rtl/>
        </w:rPr>
        <w:t>، انخفضت حصة النفقات العامة المخصصة للرعاية الصحية (ميزانية الدولة وميزانيات الحكومات الذاتية المحلية + الاشتراكات) من الناتج المحلي الإجمالي (من 4.26 في المائة في عام 1999 إلى 3.98 في المائة في عام 2002).</w:t>
      </w:r>
    </w:p>
    <w:p w:rsidR="007119E4" w:rsidRDefault="007119E4" w:rsidP="007119E4">
      <w:pPr>
        <w:pStyle w:val="SingleTxt"/>
        <w:rPr>
          <w:rFonts w:hint="cs"/>
          <w:rtl/>
        </w:rPr>
      </w:pPr>
      <w:r>
        <w:rPr>
          <w:rFonts w:hint="cs"/>
          <w:rtl/>
        </w:rPr>
        <w:t>167 -</w:t>
      </w:r>
      <w:r>
        <w:rPr>
          <w:rFonts w:hint="cs"/>
          <w:rtl/>
        </w:rPr>
        <w:tab/>
        <w:t xml:space="preserve"> وأعاد مكتب التأمينات الصحية توزيع اشتراكات التأمين على مكاتب الخدمات الصحية الإقليمية المنشأة مؤخرا، وعلى مكتب منفصل للخدمات الصحية المقدمة</w:t>
      </w:r>
      <w:r w:rsidR="00CE3279">
        <w:rPr>
          <w:rFonts w:hint="cs"/>
          <w:rtl/>
        </w:rPr>
        <w:t xml:space="preserve"> للمرضى المرتدين الزي الرسمي. و</w:t>
      </w:r>
      <w:r>
        <w:rPr>
          <w:rFonts w:hint="cs"/>
          <w:rtl/>
        </w:rPr>
        <w:t>وق</w:t>
      </w:r>
      <w:r w:rsidR="00CE3279">
        <w:rPr>
          <w:rFonts w:hint="cs"/>
          <w:rtl/>
        </w:rPr>
        <w:t>ّ</w:t>
      </w:r>
      <w:r>
        <w:rPr>
          <w:rFonts w:hint="cs"/>
          <w:rtl/>
        </w:rPr>
        <w:t>ع مكاتب الخدمات الصحية، ضمن حدود الأموال الموجودة تحت تصرفها، على عقود مع الجهات العامة والخاصة التي تقدم الخدمات الطبية.</w:t>
      </w:r>
    </w:p>
    <w:p w:rsidR="007119E4" w:rsidRDefault="007119E4" w:rsidP="008F76AB">
      <w:pPr>
        <w:pStyle w:val="SingleTxt"/>
        <w:rPr>
          <w:rFonts w:hint="cs"/>
          <w:rtl/>
        </w:rPr>
      </w:pPr>
      <w:r>
        <w:rPr>
          <w:rFonts w:hint="cs"/>
          <w:rtl/>
        </w:rPr>
        <w:t>168 -</w:t>
      </w:r>
      <w:r>
        <w:rPr>
          <w:rFonts w:hint="cs"/>
          <w:rtl/>
        </w:rPr>
        <w:tab/>
        <w:t xml:space="preserve"> التأمين الصحي عام وإجباري، ويضمن </w:t>
      </w:r>
      <w:r w:rsidR="00CE3279">
        <w:rPr>
          <w:rFonts w:hint="cs"/>
          <w:rtl/>
        </w:rPr>
        <w:t>ل</w:t>
      </w:r>
      <w:r>
        <w:rPr>
          <w:rFonts w:hint="cs"/>
          <w:rtl/>
        </w:rPr>
        <w:t xml:space="preserve">كل شخص </w:t>
      </w:r>
      <w:r w:rsidR="00CE3279">
        <w:rPr>
          <w:rFonts w:hint="cs"/>
          <w:rtl/>
        </w:rPr>
        <w:t xml:space="preserve">الحصول </w:t>
      </w:r>
      <w:r>
        <w:rPr>
          <w:rFonts w:hint="cs"/>
          <w:rtl/>
        </w:rPr>
        <w:t xml:space="preserve">على الرعاية الطبية، بغض النظر عن مستوى دخله. ويضمن النظام </w:t>
      </w:r>
      <w:r w:rsidR="00CE3279">
        <w:rPr>
          <w:rFonts w:hint="cs"/>
          <w:rtl/>
        </w:rPr>
        <w:t xml:space="preserve">حرية </w:t>
      </w:r>
      <w:r>
        <w:rPr>
          <w:rFonts w:hint="cs"/>
          <w:rtl/>
        </w:rPr>
        <w:t xml:space="preserve">اختيار </w:t>
      </w:r>
      <w:r w:rsidR="00CE3279">
        <w:rPr>
          <w:rFonts w:hint="cs"/>
          <w:rtl/>
        </w:rPr>
        <w:t>ا</w:t>
      </w:r>
      <w:r>
        <w:rPr>
          <w:rFonts w:hint="cs"/>
          <w:rtl/>
        </w:rPr>
        <w:t>لطبيب والمرافق الطبية ضمن المنطقة التي ي</w:t>
      </w:r>
      <w:r w:rsidR="00CE3279">
        <w:rPr>
          <w:rFonts w:hint="cs"/>
          <w:rtl/>
        </w:rPr>
        <w:t>قع فيها مكتب الخدمات الصحية الذي</w:t>
      </w:r>
      <w:r>
        <w:rPr>
          <w:rFonts w:hint="cs"/>
          <w:rtl/>
        </w:rPr>
        <w:t xml:space="preserve"> </w:t>
      </w:r>
      <w:r w:rsidR="00CE3279">
        <w:rPr>
          <w:rFonts w:hint="cs"/>
          <w:rtl/>
        </w:rPr>
        <w:t>ا</w:t>
      </w:r>
      <w:r>
        <w:rPr>
          <w:rFonts w:hint="cs"/>
          <w:rtl/>
        </w:rPr>
        <w:t xml:space="preserve">ختاره. وإذا أراد شخص الحصول على خدمات طبية خارج </w:t>
      </w:r>
      <w:r w:rsidR="00CE3279">
        <w:rPr>
          <w:rFonts w:hint="cs"/>
          <w:rtl/>
        </w:rPr>
        <w:t>م</w:t>
      </w:r>
      <w:r>
        <w:rPr>
          <w:rFonts w:hint="cs"/>
          <w:rtl/>
        </w:rPr>
        <w:t>نطق</w:t>
      </w:r>
      <w:r w:rsidR="00CE3279">
        <w:rPr>
          <w:rFonts w:hint="cs"/>
          <w:rtl/>
        </w:rPr>
        <w:t>ة</w:t>
      </w:r>
      <w:r>
        <w:rPr>
          <w:rFonts w:hint="cs"/>
          <w:rtl/>
        </w:rPr>
        <w:t xml:space="preserve"> مكتبه الصحي، </w:t>
      </w:r>
      <w:r w:rsidR="00CE3279">
        <w:rPr>
          <w:rFonts w:hint="cs"/>
          <w:rtl/>
        </w:rPr>
        <w:t>ف</w:t>
      </w:r>
      <w:r>
        <w:rPr>
          <w:rFonts w:hint="cs"/>
          <w:rtl/>
        </w:rPr>
        <w:t>على مكتبه الصحي أن يوافق على الطلب. ويقدم الخدمات الأساسية الطبيب الممارس العام الذي يستطيع أن ي</w:t>
      </w:r>
      <w:r w:rsidR="00CE3279">
        <w:rPr>
          <w:rFonts w:hint="cs"/>
          <w:rtl/>
        </w:rPr>
        <w:t>طلب من</w:t>
      </w:r>
      <w:r>
        <w:rPr>
          <w:rFonts w:hint="cs"/>
          <w:rtl/>
        </w:rPr>
        <w:t xml:space="preserve"> المريض إجراء</w:t>
      </w:r>
      <w:r w:rsidR="00CE3279">
        <w:rPr>
          <w:rFonts w:hint="cs"/>
          <w:rtl/>
        </w:rPr>
        <w:t xml:space="preserve"> ما يلزم من</w:t>
      </w:r>
      <w:r>
        <w:rPr>
          <w:rFonts w:hint="cs"/>
          <w:rtl/>
        </w:rPr>
        <w:t xml:space="preserve"> تحليلات أو </w:t>
      </w:r>
      <w:r w:rsidR="00CE3279">
        <w:rPr>
          <w:rFonts w:hint="cs"/>
          <w:rtl/>
        </w:rPr>
        <w:t>أن يحيله إلى</w:t>
      </w:r>
      <w:r>
        <w:rPr>
          <w:rFonts w:hint="cs"/>
          <w:rtl/>
        </w:rPr>
        <w:t xml:space="preserve"> أخصائي. ولا يحتاج المريض إلى أن يحيله طبيب ممارس عام إلى أخصائيين مثل أطباء الأسنان، والمتخصصين في أمراض الجلد، وأمراض النساء، وأطباء الأطفال، أو للحصول على موعد مع عيادات الصحة النفسية أو عيا</w:t>
      </w:r>
      <w:r w:rsidR="008F76AB">
        <w:rPr>
          <w:rFonts w:hint="cs"/>
          <w:rtl/>
        </w:rPr>
        <w:t>دات إعادة التأهيل. وإن التحضير</w:t>
      </w:r>
      <w:r>
        <w:rPr>
          <w:rFonts w:hint="cs"/>
          <w:rtl/>
        </w:rPr>
        <w:t xml:space="preserve"> لت</w:t>
      </w:r>
      <w:r w:rsidR="008F76AB">
        <w:rPr>
          <w:rFonts w:hint="cs"/>
          <w:rtl/>
        </w:rPr>
        <w:t>طبيق</w:t>
      </w:r>
      <w:r>
        <w:rPr>
          <w:rFonts w:hint="cs"/>
          <w:rtl/>
        </w:rPr>
        <w:t xml:space="preserve"> نظام التأمينات الصحية صادف إصلاح وحدات الخدمات الطبية التي اكتسبت استقلالا اقتصاديا، وأشرفت عليها في معظم الحالات هيئات الحكم الذاتي المحلي.</w:t>
      </w:r>
    </w:p>
    <w:p w:rsidR="007119E4" w:rsidRDefault="007119E4" w:rsidP="008F76AB">
      <w:pPr>
        <w:pStyle w:val="SingleTxt"/>
        <w:rPr>
          <w:rFonts w:hint="cs"/>
          <w:rtl/>
        </w:rPr>
      </w:pPr>
      <w:r>
        <w:rPr>
          <w:rFonts w:hint="cs"/>
          <w:rtl/>
        </w:rPr>
        <w:t>169 -</w:t>
      </w:r>
      <w:r>
        <w:rPr>
          <w:rFonts w:hint="cs"/>
          <w:rtl/>
        </w:rPr>
        <w:tab/>
        <w:t xml:space="preserve"> وكان هدف الإصلاحات تحسين إمكانيات الحصول على الخدمات الطبية وتحسين نوعيتها. وتم تحقيق ذلك عن طريق استخدام </w:t>
      </w:r>
      <w:r w:rsidR="008F76AB">
        <w:rPr>
          <w:rFonts w:hint="cs"/>
          <w:rtl/>
        </w:rPr>
        <w:t>ا</w:t>
      </w:r>
      <w:r>
        <w:rPr>
          <w:rFonts w:hint="cs"/>
          <w:rtl/>
        </w:rPr>
        <w:t>لموارد البشرية والأموال</w:t>
      </w:r>
      <w:r w:rsidR="008F76AB">
        <w:rPr>
          <w:rFonts w:hint="cs"/>
          <w:rtl/>
        </w:rPr>
        <w:t xml:space="preserve"> بفعالية أكبر</w:t>
      </w:r>
      <w:r>
        <w:rPr>
          <w:rFonts w:hint="cs"/>
          <w:rtl/>
        </w:rPr>
        <w:t>، وعن طريق إزالة م</w:t>
      </w:r>
      <w:r w:rsidR="008F76AB">
        <w:rPr>
          <w:rFonts w:hint="cs"/>
          <w:rtl/>
        </w:rPr>
        <w:t xml:space="preserve">ركزية الإدارة والتمويل، والتمييز </w:t>
      </w:r>
      <w:r>
        <w:rPr>
          <w:rFonts w:hint="cs"/>
          <w:rtl/>
        </w:rPr>
        <w:t xml:space="preserve">بين الهياكل التنظيمية، وتوسيع نطاق مصادر التمويل، وترشيد النفقات. ومع ذلك، كانت فترة الأربع سنوات </w:t>
      </w:r>
      <w:r w:rsidR="008F76AB">
        <w:rPr>
          <w:rFonts w:hint="cs"/>
          <w:rtl/>
        </w:rPr>
        <w:t>التي عملت فيها</w:t>
      </w:r>
      <w:r>
        <w:rPr>
          <w:rFonts w:hint="cs"/>
          <w:rtl/>
        </w:rPr>
        <w:t xml:space="preserve"> مكاتب الخدمات الصحية الإقليمية موضع انتقاد، وسببه الرئيسي </w:t>
      </w:r>
      <w:r w:rsidR="008F76AB">
        <w:rPr>
          <w:rFonts w:hint="cs"/>
          <w:rtl/>
        </w:rPr>
        <w:t xml:space="preserve">اتباع المكاتب </w:t>
      </w:r>
      <w:r>
        <w:rPr>
          <w:rFonts w:hint="cs"/>
          <w:rtl/>
        </w:rPr>
        <w:t xml:space="preserve">سياسات </w:t>
      </w:r>
      <w:r w:rsidR="008F76AB">
        <w:rPr>
          <w:rFonts w:hint="cs"/>
          <w:rtl/>
        </w:rPr>
        <w:t xml:space="preserve">مختلفة </w:t>
      </w:r>
      <w:r>
        <w:rPr>
          <w:rFonts w:hint="cs"/>
          <w:rtl/>
        </w:rPr>
        <w:t xml:space="preserve">وعدم وجود أساس قانوني لإشراف وزارة الصحة عليها. وفي عام 2003، تم حل مكاتب الخدمات الصحية وحل محله صندوق الصحة الوطنية. </w:t>
      </w:r>
    </w:p>
    <w:p w:rsidR="007119E4" w:rsidRDefault="007119E4" w:rsidP="007119E4">
      <w:pPr>
        <w:pStyle w:val="SingleTxt"/>
        <w:rPr>
          <w:rFonts w:hint="cs"/>
          <w:rtl/>
        </w:rPr>
      </w:pPr>
      <w:r>
        <w:rPr>
          <w:rFonts w:hint="cs"/>
          <w:rtl/>
        </w:rPr>
        <w:t>170 -</w:t>
      </w:r>
      <w:r>
        <w:rPr>
          <w:rFonts w:hint="cs"/>
          <w:rtl/>
        </w:rPr>
        <w:tab/>
        <w:t xml:space="preserve"> خلال الفترة التي يغطيها التقرير، استمر تنفيذ البرامج التي نوقشت في التقرير السابق، وتستهدف معظمها المرأة: برنامج الصحة الوطنية للفترة 1996-2005، والبرنامج الوطني للوقاية من فيروس نقص المناعة البشرية، وعلاج الحاملين للفيروس، والمرضى بالإيدز. </w:t>
      </w:r>
    </w:p>
    <w:p w:rsidR="007119E4" w:rsidRDefault="007119E4" w:rsidP="007119E4">
      <w:pPr>
        <w:pStyle w:val="SingleTxt"/>
        <w:rPr>
          <w:rFonts w:hint="cs"/>
          <w:b/>
          <w:bCs/>
          <w:rtl/>
        </w:rPr>
      </w:pPr>
      <w:r>
        <w:rPr>
          <w:rFonts w:hint="cs"/>
          <w:b/>
          <w:bCs/>
          <w:rtl/>
        </w:rPr>
        <w:t>الحصول على الرعاية الصحية</w:t>
      </w:r>
    </w:p>
    <w:p w:rsidR="007119E4" w:rsidRDefault="007119E4" w:rsidP="007119E4">
      <w:pPr>
        <w:pStyle w:val="SingleTxt"/>
        <w:rPr>
          <w:rFonts w:hint="cs"/>
          <w:rtl/>
        </w:rPr>
      </w:pPr>
      <w:r>
        <w:rPr>
          <w:rFonts w:hint="cs"/>
          <w:rtl/>
        </w:rPr>
        <w:t>171 -</w:t>
      </w:r>
      <w:r>
        <w:rPr>
          <w:rFonts w:hint="cs"/>
          <w:rtl/>
        </w:rPr>
        <w:tab/>
        <w:t xml:space="preserve"> كما ذكر آنفا، تم تنفيذ نموذج جديد للخدمات الصحية في بولندا أثناء الفترة التي يغطيها التقرير. وأعادت الحكومات الذاتية المحلية تنظيم المرافق العامة، لتكيفها مع الاحتياجات المحلية. وقد أثرت عملية إعادة الهيكلة على العاملين الطبيين. وتم الاستعاضة عن المرافق العامة المغلقة وأجنحة المستشفيات المغلقة بمرافق غير عامة (تجارية) </w:t>
      </w:r>
      <w:r w:rsidR="007A1F81">
        <w:rPr>
          <w:rFonts w:hint="cs"/>
          <w:rtl/>
        </w:rPr>
        <w:t xml:space="preserve">وعيادات خاصة لكل من الأطباء والممرضات. </w:t>
      </w:r>
    </w:p>
    <w:p w:rsidR="007A1F81" w:rsidRDefault="007A1F81" w:rsidP="007119E4">
      <w:pPr>
        <w:pStyle w:val="SingleTxt"/>
        <w:rPr>
          <w:rFonts w:hint="cs"/>
          <w:rtl/>
        </w:rPr>
      </w:pPr>
      <w:r>
        <w:rPr>
          <w:rFonts w:hint="cs"/>
          <w:rtl/>
        </w:rPr>
        <w:t>172 -</w:t>
      </w:r>
      <w:r>
        <w:rPr>
          <w:rFonts w:hint="cs"/>
          <w:rtl/>
        </w:rPr>
        <w:tab/>
        <w:t xml:space="preserve"> وخلال الفترة التي يغطيها التقرير، ازداد عدد المستشفيات، مما أدى إلى انخفاض مقابل في عدد العيادات، في كل من المدن والمناطق الريفية. وابتداء من عام 1998، تم إنشاء مرافق غير عامة للرعاية الصحية، وبحلول عام 2002، كان هناك حوالي 700 4 من هذه المرافق (العيادات والمراكز الصحية)، و 000 7 من العيادات الخاصة. وإن خصخصة قطاع الصيدليات أدى إلى زيادة عددها، ومعظم الصيدليات الجديدة أنشئت في المدن. وأدى ذلك إلى تحسن إمكانية الحصول على الأدوية. وبينما كان هناك صيدلية واحدة لكل 5.7 آلاف شخص في عام 1995، انخفض هذا العدد بحلول عام 2002 إلى 000 4 (7.7 ألف في الريف). </w:t>
      </w:r>
    </w:p>
    <w:p w:rsidR="007A1F81" w:rsidRDefault="007A1F81" w:rsidP="00BA5E8E">
      <w:pPr>
        <w:pStyle w:val="SingleTxt"/>
        <w:rPr>
          <w:rFonts w:hint="cs"/>
          <w:rtl/>
        </w:rPr>
      </w:pPr>
      <w:r>
        <w:rPr>
          <w:rFonts w:hint="cs"/>
          <w:rtl/>
        </w:rPr>
        <w:t>173 -</w:t>
      </w:r>
      <w:r>
        <w:rPr>
          <w:rFonts w:hint="cs"/>
          <w:rtl/>
        </w:rPr>
        <w:tab/>
        <w:t xml:space="preserve"> وانخفض عدد العاملين الطبيين (باستثناء الصيادلة) بينما ارتفع عدد المستشارين الطبيين </w:t>
      </w:r>
      <w:r w:rsidR="00BA5E8E">
        <w:rPr>
          <w:rFonts w:hint="cs"/>
          <w:rtl/>
        </w:rPr>
        <w:t>ل</w:t>
      </w:r>
      <w:r>
        <w:rPr>
          <w:rFonts w:hint="cs"/>
          <w:rtl/>
        </w:rPr>
        <w:t>كل شخص من 4.9 في عام 1998 إلى 5.4 في عام 200. وبسبب الاختلافات في النظم التعاقدية لكل مكتب من مكاتب الخدمات الصحية، لا يمكن مناقشة مختلف الاختصاصات الطبية. واستمرت عملية تأنيث المهن الطبية في كل أنحاء نظام الرعاية الصحية. فمثلت النساء أكثر من 70 في المائة من الموظفين في المرافق التي تخضع لوزارة الصحة، و 74 في المائة (بما في ذلك 30 في المائة من المديرين) في وزارة الصحة نفسها.</w:t>
      </w:r>
    </w:p>
    <w:p w:rsidR="007A1F81" w:rsidRDefault="007A1F81" w:rsidP="007A1F81">
      <w:pPr>
        <w:pStyle w:val="SingleTxt"/>
        <w:rPr>
          <w:rFonts w:hint="cs"/>
          <w:rtl/>
        </w:rPr>
      </w:pPr>
      <w:r>
        <w:rPr>
          <w:rFonts w:hint="cs"/>
          <w:rtl/>
        </w:rPr>
        <w:t>174 -</w:t>
      </w:r>
      <w:r>
        <w:rPr>
          <w:rFonts w:hint="cs"/>
          <w:rtl/>
        </w:rPr>
        <w:tab/>
        <w:t xml:space="preserve"> وانخفض عدد الأسر</w:t>
      </w:r>
      <w:r w:rsidR="00E268A5">
        <w:rPr>
          <w:rFonts w:hint="cs"/>
          <w:rtl/>
        </w:rPr>
        <w:t>ّ</w:t>
      </w:r>
      <w:r>
        <w:rPr>
          <w:rFonts w:hint="cs"/>
          <w:rtl/>
        </w:rPr>
        <w:t>ة في المستشفيات المفتوحة. غير أن إعادة الهيكلة الجارية أدت إلى تأسيس أنواع جديدة من المنشآت، مثل مراكز الرعاية الطبية، ومراكز التمريض، ومراكز التثقيف الطبي، فضلا عن المستوصفات. وفي عام 2002، كان في مراكز التمريض ما</w:t>
      </w:r>
      <w:r>
        <w:rPr>
          <w:rFonts w:hint="eastAsia"/>
          <w:rtl/>
        </w:rPr>
        <w:t> </w:t>
      </w:r>
      <w:r>
        <w:rPr>
          <w:rFonts w:hint="cs"/>
          <w:rtl/>
        </w:rPr>
        <w:t>مجموعه 000 26 سرير.</w:t>
      </w:r>
    </w:p>
    <w:p w:rsidR="007A1F81" w:rsidRDefault="007A1F81" w:rsidP="007A1F81">
      <w:pPr>
        <w:pStyle w:val="SingleTxt"/>
        <w:rPr>
          <w:rFonts w:hint="cs"/>
          <w:rtl/>
        </w:rPr>
      </w:pPr>
      <w:r>
        <w:rPr>
          <w:rFonts w:hint="cs"/>
          <w:rtl/>
        </w:rPr>
        <w:t>175 -</w:t>
      </w:r>
      <w:r>
        <w:rPr>
          <w:rFonts w:hint="cs"/>
          <w:rtl/>
        </w:rPr>
        <w:tab/>
        <w:t xml:space="preserve"> وقدمت مكاتب الخدمات الصحية الرعاية الصحية والاستشارة للنساء، في إطار العقود المبرمة لتوفير: </w:t>
      </w:r>
    </w:p>
    <w:p w:rsidR="007A1F81" w:rsidRDefault="007A1F81" w:rsidP="007A1F8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الرعاية الصحية الأساسية؛ </w:t>
      </w:r>
    </w:p>
    <w:p w:rsidR="007A1F81" w:rsidRDefault="007A1F81" w:rsidP="007A1F8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خدمات الأخصائيين خارج المستشفيات (أمراض النساء والولادة والعيادات التي تعالج مشاكل الحمل)؛</w:t>
      </w:r>
    </w:p>
    <w:p w:rsidR="007A1F81" w:rsidRDefault="007A1F81" w:rsidP="007A1F8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العلاج في المستشفيات (العلاج العام، وأمراض النساء، والولادة، والمشاكل المتعلقة بالحمل)؛</w:t>
      </w:r>
    </w:p>
    <w:p w:rsidR="007A1F81" w:rsidRDefault="007A1F81" w:rsidP="007A1F8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مدارس التوليد؛</w:t>
      </w:r>
    </w:p>
    <w:p w:rsidR="007A1F81" w:rsidRDefault="007A1F81" w:rsidP="007A1F8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معالجة العقم؛</w:t>
      </w:r>
    </w:p>
    <w:p w:rsidR="007A1F81" w:rsidRDefault="007A1F81" w:rsidP="007A1F8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تنظيم الأسرة؛</w:t>
      </w:r>
    </w:p>
    <w:p w:rsidR="007A1F81" w:rsidRDefault="007A1F81" w:rsidP="007A1F8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أمراض النساء في السن المتقدم؛</w:t>
      </w:r>
    </w:p>
    <w:p w:rsidR="007A1F81" w:rsidRDefault="007A1F81" w:rsidP="007A1F8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برامج التشجيع على الرعاية الصحية (مثل القيام بفحوصات للوقاية من السرطان)؛</w:t>
      </w:r>
    </w:p>
    <w:p w:rsidR="007A1F81" w:rsidRDefault="007A1F81" w:rsidP="007A1F8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العلاج في المنتجعات.</w:t>
      </w:r>
    </w:p>
    <w:p w:rsidR="007A1F81" w:rsidRDefault="007A1F81" w:rsidP="00004849">
      <w:pPr>
        <w:pStyle w:val="SingleTxt"/>
        <w:tabs>
          <w:tab w:val="left" w:pos="1267"/>
          <w:tab w:val="left" w:pos="1930"/>
          <w:tab w:val="left" w:pos="2592"/>
          <w:tab w:val="left" w:pos="3254"/>
          <w:tab w:val="left" w:pos="3917"/>
          <w:tab w:val="left" w:pos="4579"/>
          <w:tab w:val="left" w:pos="5242"/>
          <w:tab w:val="left" w:pos="5904"/>
          <w:tab w:val="left" w:pos="6566"/>
        </w:tabs>
        <w:rPr>
          <w:rFonts w:hint="cs"/>
          <w:rtl/>
        </w:rPr>
      </w:pPr>
      <w:r>
        <w:rPr>
          <w:rFonts w:hint="cs"/>
          <w:rtl/>
        </w:rPr>
        <w:t>176 -</w:t>
      </w:r>
      <w:r>
        <w:rPr>
          <w:rFonts w:hint="cs"/>
          <w:rtl/>
        </w:rPr>
        <w:tab/>
        <w:t xml:space="preserve"> الرعاية الصحية المتصلة بالحمل والولادة والنفاس مجانية. وبالنسبة للنساء اللاتي ليس لديهن تأمين صحي، تمول وزارة الصحة هذه الخدمات، ففي عام 2001، تم إنفاق ما يعادل 0.48 مليون من دولارات الولايات المتحدة لهذا الغرض. ولم يتم الإفادة عن وجود أي قيود لحصول المرأة على هذه الخدمات الطبية. ونظرا للانخفاض الحاد في عدد الولادات، تم تخفيض عدد الأسرة في أجنحة التوليد (تم إلغاء غرف التوليد بصورة كاملة في الريف وحل</w:t>
      </w:r>
      <w:r w:rsidR="00004849">
        <w:rPr>
          <w:rFonts w:hint="cs"/>
          <w:rtl/>
        </w:rPr>
        <w:t>ت</w:t>
      </w:r>
      <w:r>
        <w:rPr>
          <w:rFonts w:hint="cs"/>
          <w:rtl/>
        </w:rPr>
        <w:t xml:space="preserve"> محلها المستشفيات) و</w:t>
      </w:r>
      <w:r w:rsidR="00004849">
        <w:rPr>
          <w:rFonts w:hint="cs"/>
          <w:rtl/>
        </w:rPr>
        <w:t xml:space="preserve">إن </w:t>
      </w:r>
      <w:r>
        <w:rPr>
          <w:rFonts w:hint="cs"/>
          <w:rtl/>
        </w:rPr>
        <w:t xml:space="preserve">لم يؤد ذلك إلى </w:t>
      </w:r>
      <w:r w:rsidR="00004849">
        <w:rPr>
          <w:rFonts w:hint="cs"/>
          <w:rtl/>
        </w:rPr>
        <w:t>انخفض مستوى</w:t>
      </w:r>
      <w:r>
        <w:rPr>
          <w:rFonts w:hint="cs"/>
          <w:rtl/>
        </w:rPr>
        <w:t xml:space="preserve"> علاج أمراض النساء. وفي عام 2000، أعيد تنشيط الرعاية الطبية للأمهات والأطفال، وقدمت هذه الرعاية على المستوى الإقليمي المراكز الصحية الإقليمية، وعلى المستوى المركزي معهد الأم والطفل. وترد التحولات المذكورة أعلاه والبيانات الأساسية المتعلقة بتوفير الرعاية الصحية أثناء الفترة التي يغطيها التقرير في الجدول 1-12-1 (المرفق). </w:t>
      </w:r>
    </w:p>
    <w:p w:rsidR="007A1F81" w:rsidRDefault="007A1F81" w:rsidP="007A1F81">
      <w:pPr>
        <w:pStyle w:val="SingleTxt"/>
        <w:tabs>
          <w:tab w:val="left" w:pos="1267"/>
          <w:tab w:val="left" w:pos="1930"/>
          <w:tab w:val="left" w:pos="2592"/>
          <w:tab w:val="left" w:pos="3254"/>
          <w:tab w:val="left" w:pos="3917"/>
          <w:tab w:val="left" w:pos="4579"/>
          <w:tab w:val="left" w:pos="5242"/>
          <w:tab w:val="left" w:pos="5904"/>
          <w:tab w:val="left" w:pos="6566"/>
        </w:tabs>
        <w:rPr>
          <w:rFonts w:hint="cs"/>
          <w:b/>
          <w:bCs/>
          <w:rtl/>
        </w:rPr>
      </w:pPr>
      <w:r>
        <w:rPr>
          <w:rFonts w:hint="cs"/>
          <w:b/>
          <w:bCs/>
          <w:rtl/>
        </w:rPr>
        <w:t>الحالة الصحية</w:t>
      </w:r>
    </w:p>
    <w:p w:rsidR="007A1F81" w:rsidRDefault="007A1F81" w:rsidP="00004849">
      <w:pPr>
        <w:pStyle w:val="SingleTxt"/>
        <w:tabs>
          <w:tab w:val="left" w:pos="1267"/>
          <w:tab w:val="left" w:pos="1930"/>
          <w:tab w:val="left" w:pos="2592"/>
          <w:tab w:val="left" w:pos="3254"/>
          <w:tab w:val="left" w:pos="3917"/>
          <w:tab w:val="left" w:pos="4579"/>
          <w:tab w:val="left" w:pos="5242"/>
          <w:tab w:val="left" w:pos="5904"/>
          <w:tab w:val="left" w:pos="6566"/>
        </w:tabs>
        <w:rPr>
          <w:rFonts w:hint="cs"/>
          <w:rtl/>
        </w:rPr>
      </w:pPr>
      <w:r>
        <w:rPr>
          <w:rFonts w:hint="cs"/>
          <w:rtl/>
        </w:rPr>
        <w:t>177 -</w:t>
      </w:r>
      <w:r>
        <w:rPr>
          <w:rFonts w:hint="cs"/>
          <w:rtl/>
        </w:rPr>
        <w:tab/>
        <w:t xml:space="preserve"> </w:t>
      </w:r>
      <w:r w:rsidR="00A56505">
        <w:rPr>
          <w:rFonts w:hint="cs"/>
          <w:rtl/>
        </w:rPr>
        <w:t xml:space="preserve">ظلت أمراض القلب التاجية والسرطان من بين أهم </w:t>
      </w:r>
      <w:r w:rsidR="00004849">
        <w:rPr>
          <w:rFonts w:hint="cs"/>
          <w:rtl/>
        </w:rPr>
        <w:t xml:space="preserve">أسباب </w:t>
      </w:r>
      <w:r w:rsidR="00A56505">
        <w:rPr>
          <w:rFonts w:hint="cs"/>
          <w:rtl/>
        </w:rPr>
        <w:t>وفاة البالغين، بغض النظر عن جنس</w:t>
      </w:r>
      <w:r w:rsidR="00004849">
        <w:rPr>
          <w:rFonts w:hint="cs"/>
          <w:rtl/>
        </w:rPr>
        <w:t xml:space="preserve">هم ومكان </w:t>
      </w:r>
      <w:r w:rsidR="00A56505">
        <w:rPr>
          <w:rFonts w:hint="cs"/>
          <w:rtl/>
        </w:rPr>
        <w:t>إقام</w:t>
      </w:r>
      <w:r w:rsidR="00004849">
        <w:rPr>
          <w:rFonts w:hint="cs"/>
          <w:rtl/>
        </w:rPr>
        <w:t>تهم</w:t>
      </w:r>
      <w:r w:rsidR="00A56505">
        <w:rPr>
          <w:rFonts w:hint="cs"/>
          <w:rtl/>
        </w:rPr>
        <w:t xml:space="preserve">. وعدد النساء اللاتي توفين بسبب أمراض القلب التاجية أكثر من عدد الرجال، ففي عام 1999، كان هناك 475.2 </w:t>
      </w:r>
      <w:r w:rsidR="00004849">
        <w:rPr>
          <w:rFonts w:hint="cs"/>
          <w:rtl/>
        </w:rPr>
        <w:t xml:space="preserve">وفاة </w:t>
      </w:r>
      <w:r w:rsidR="00A56505">
        <w:rPr>
          <w:rFonts w:hint="cs"/>
          <w:rtl/>
        </w:rPr>
        <w:t>عن كل 000 100 امرأة و</w:t>
      </w:r>
      <w:r w:rsidR="00A56505">
        <w:rPr>
          <w:rFonts w:hint="eastAsia"/>
          <w:rtl/>
        </w:rPr>
        <w:t> </w:t>
      </w:r>
      <w:r w:rsidR="00A56505">
        <w:rPr>
          <w:rFonts w:hint="cs"/>
          <w:rtl/>
        </w:rPr>
        <w:t xml:space="preserve">463.5 </w:t>
      </w:r>
      <w:r w:rsidR="00004849">
        <w:rPr>
          <w:rFonts w:hint="cs"/>
          <w:rtl/>
        </w:rPr>
        <w:t xml:space="preserve">وفاة </w:t>
      </w:r>
      <w:r w:rsidR="00A56505">
        <w:rPr>
          <w:rFonts w:hint="cs"/>
          <w:rtl/>
        </w:rPr>
        <w:t>عن كل 0</w:t>
      </w:r>
      <w:r w:rsidR="00004849">
        <w:rPr>
          <w:rFonts w:hint="cs"/>
          <w:rtl/>
        </w:rPr>
        <w:t>00 100 رجل، علما بأن معدل الوفيات</w:t>
      </w:r>
      <w:r w:rsidR="00A56505">
        <w:rPr>
          <w:rFonts w:hint="cs"/>
          <w:rtl/>
        </w:rPr>
        <w:t xml:space="preserve"> كان أعلى في المناطق الريفية. وفي الفترة 1999-2001، انخفض عدد الوفيات بسبب أمراض القلب التاجية، وربما </w:t>
      </w:r>
      <w:r w:rsidR="00004849">
        <w:rPr>
          <w:rFonts w:hint="cs"/>
          <w:rtl/>
        </w:rPr>
        <w:t>يعود</w:t>
      </w:r>
      <w:r w:rsidR="00A56505">
        <w:rPr>
          <w:rFonts w:hint="cs"/>
          <w:rtl/>
        </w:rPr>
        <w:t xml:space="preserve"> ذلك </w:t>
      </w:r>
      <w:r w:rsidR="00004849">
        <w:rPr>
          <w:rFonts w:hint="cs"/>
          <w:rtl/>
        </w:rPr>
        <w:t xml:space="preserve">إلى </w:t>
      </w:r>
      <w:r w:rsidR="00A56505">
        <w:rPr>
          <w:rFonts w:hint="cs"/>
          <w:rtl/>
        </w:rPr>
        <w:t>التدابير الوقائية</w:t>
      </w:r>
      <w:r w:rsidR="00004849">
        <w:rPr>
          <w:rFonts w:hint="cs"/>
          <w:rtl/>
        </w:rPr>
        <w:t xml:space="preserve"> التي تم اتخاذها</w:t>
      </w:r>
      <w:r w:rsidR="00A56505">
        <w:rPr>
          <w:rFonts w:hint="cs"/>
          <w:rtl/>
        </w:rPr>
        <w:t>.</w:t>
      </w:r>
    </w:p>
    <w:p w:rsidR="00A56505" w:rsidRDefault="00A56505" w:rsidP="00004849">
      <w:pPr>
        <w:pStyle w:val="SingleTxt"/>
        <w:tabs>
          <w:tab w:val="left" w:pos="1267"/>
          <w:tab w:val="left" w:pos="1930"/>
          <w:tab w:val="left" w:pos="2592"/>
          <w:tab w:val="left" w:pos="3254"/>
          <w:tab w:val="left" w:pos="3917"/>
          <w:tab w:val="left" w:pos="4579"/>
          <w:tab w:val="left" w:pos="5242"/>
          <w:tab w:val="left" w:pos="5904"/>
          <w:tab w:val="left" w:pos="6566"/>
        </w:tabs>
        <w:rPr>
          <w:rFonts w:hint="cs"/>
          <w:rtl/>
        </w:rPr>
      </w:pPr>
      <w:r>
        <w:rPr>
          <w:rFonts w:hint="cs"/>
          <w:rtl/>
        </w:rPr>
        <w:t>179 -</w:t>
      </w:r>
      <w:r>
        <w:rPr>
          <w:rFonts w:hint="cs"/>
          <w:rtl/>
        </w:rPr>
        <w:tab/>
        <w:t xml:space="preserve"> وكان السرطان أكبر </w:t>
      </w:r>
      <w:r w:rsidR="00004849">
        <w:rPr>
          <w:rFonts w:hint="cs"/>
          <w:rtl/>
        </w:rPr>
        <w:t xml:space="preserve">ثاني </w:t>
      </w:r>
      <w:r>
        <w:rPr>
          <w:rFonts w:hint="cs"/>
          <w:rtl/>
        </w:rPr>
        <w:t xml:space="preserve">سبب للوفيات في بولندا، وازداد عدد الوفيات بسبب السرطان </w:t>
      </w:r>
      <w:r w:rsidR="00004849">
        <w:rPr>
          <w:rFonts w:hint="cs"/>
          <w:rtl/>
        </w:rPr>
        <w:t>عند</w:t>
      </w:r>
      <w:r>
        <w:rPr>
          <w:rFonts w:hint="cs"/>
          <w:rtl/>
        </w:rPr>
        <w:t xml:space="preserve"> كل من الرجال والنساء. ففي عام 1999، كان هناك في المتوسط 216.1 وفاة عن كل 000 100 شخص، بما في ذلك 255.1 وفاة عند الرجال و 179.1 </w:t>
      </w:r>
      <w:r w:rsidR="00004849">
        <w:rPr>
          <w:rFonts w:hint="cs"/>
          <w:rtl/>
        </w:rPr>
        <w:t xml:space="preserve">وفاة </w:t>
      </w:r>
      <w:r>
        <w:rPr>
          <w:rFonts w:hint="cs"/>
          <w:rtl/>
        </w:rPr>
        <w:t xml:space="preserve">عند النساء. وفي عام 2001، كان هناك 228.2 وفاة عن كل 000 100 شخص، بما في ذلك 267.2 وفاة عند الرجال و 187.2 وفاة عند النساء. ويتوفى </w:t>
      </w:r>
      <w:r w:rsidR="00CA0EA8">
        <w:rPr>
          <w:rFonts w:hint="cs"/>
          <w:rtl/>
        </w:rPr>
        <w:t xml:space="preserve">سكان المدن بسبب السرطان أكثر من المقيمين في الريف. </w:t>
      </w:r>
    </w:p>
    <w:p w:rsidR="0074390F" w:rsidRDefault="00CA0EA8" w:rsidP="009C102D">
      <w:pPr>
        <w:pStyle w:val="SingleTxt"/>
        <w:tabs>
          <w:tab w:val="left" w:pos="1267"/>
          <w:tab w:val="left" w:pos="1930"/>
          <w:tab w:val="left" w:pos="2592"/>
          <w:tab w:val="left" w:pos="3254"/>
          <w:tab w:val="left" w:pos="3917"/>
          <w:tab w:val="left" w:pos="4579"/>
          <w:tab w:val="left" w:pos="5242"/>
          <w:tab w:val="left" w:pos="5904"/>
          <w:tab w:val="left" w:pos="6566"/>
        </w:tabs>
        <w:rPr>
          <w:rFonts w:hint="cs"/>
          <w:rtl/>
        </w:rPr>
      </w:pPr>
      <w:r>
        <w:rPr>
          <w:rFonts w:hint="cs"/>
          <w:rtl/>
        </w:rPr>
        <w:t>180 -</w:t>
      </w:r>
      <w:r>
        <w:rPr>
          <w:rFonts w:hint="cs"/>
          <w:rtl/>
        </w:rPr>
        <w:tab/>
        <w:t xml:space="preserve"> ويمثل كل من سرطان الثديين وسرطان عنق الرحم 27 في المائة من جميع حالات السرطان في النساء. وإن تصوير الثدي الشعاعي غير متوفر بما فيه الكفاية (فلم يتم فحص إلا</w:t>
      </w:r>
      <w:r>
        <w:rPr>
          <w:rFonts w:hint="eastAsia"/>
          <w:rtl/>
        </w:rPr>
        <w:t> </w:t>
      </w:r>
      <w:r>
        <w:rPr>
          <w:rFonts w:hint="cs"/>
          <w:rtl/>
        </w:rPr>
        <w:t xml:space="preserve">15 في المائة من النساء في عام 1999، </w:t>
      </w:r>
      <w:r w:rsidR="00004849">
        <w:rPr>
          <w:rFonts w:hint="cs"/>
          <w:rtl/>
        </w:rPr>
        <w:t xml:space="preserve">وتضم هذه النسبة </w:t>
      </w:r>
      <w:r>
        <w:rPr>
          <w:rFonts w:hint="cs"/>
          <w:rtl/>
        </w:rPr>
        <w:t>5 في المائة</w:t>
      </w:r>
      <w:r w:rsidR="00004849">
        <w:rPr>
          <w:rFonts w:hint="cs"/>
          <w:rtl/>
        </w:rPr>
        <w:t xml:space="preserve"> </w:t>
      </w:r>
      <w:r w:rsidR="0074390F">
        <w:rPr>
          <w:rFonts w:hint="cs"/>
          <w:rtl/>
        </w:rPr>
        <w:t>أجري لهن ا</w:t>
      </w:r>
      <w:r w:rsidR="00004849">
        <w:rPr>
          <w:rFonts w:hint="cs"/>
          <w:rtl/>
        </w:rPr>
        <w:t>لفحص</w:t>
      </w:r>
      <w:r>
        <w:rPr>
          <w:rFonts w:hint="cs"/>
          <w:rtl/>
        </w:rPr>
        <w:t xml:space="preserve"> الأولي المنظم)، ولا يتوفر كذلك بما فيه الكفاية الفحص السيتولوجي (فلا يتم كل سنة إلا فحص حوالي 30 في المائة من النساء اللاتي يتراوح عمرهن بين 30 و 59 سنة، </w:t>
      </w:r>
      <w:r w:rsidR="0074390F">
        <w:rPr>
          <w:rFonts w:hint="cs"/>
          <w:rtl/>
        </w:rPr>
        <w:t xml:space="preserve">وتضم هذه النسبة 5 في المائة أجري لهن الفحص الأولي المنظم. </w:t>
      </w:r>
    </w:p>
    <w:p w:rsidR="00CA0EA8" w:rsidRDefault="00CA0EA8" w:rsidP="0074390F">
      <w:pPr>
        <w:pStyle w:val="SingleTxt"/>
        <w:tabs>
          <w:tab w:val="left" w:pos="1267"/>
          <w:tab w:val="left" w:pos="1930"/>
          <w:tab w:val="left" w:pos="2592"/>
          <w:tab w:val="left" w:pos="3254"/>
          <w:tab w:val="left" w:pos="3917"/>
          <w:tab w:val="left" w:pos="4579"/>
          <w:tab w:val="left" w:pos="5242"/>
          <w:tab w:val="left" w:pos="5904"/>
          <w:tab w:val="left" w:pos="6566"/>
        </w:tabs>
        <w:rPr>
          <w:rFonts w:hint="cs"/>
          <w:rtl/>
        </w:rPr>
      </w:pPr>
      <w:r>
        <w:rPr>
          <w:rFonts w:hint="cs"/>
          <w:rtl/>
        </w:rPr>
        <w:t>181 -</w:t>
      </w:r>
      <w:r>
        <w:rPr>
          <w:rFonts w:hint="cs"/>
          <w:rtl/>
        </w:rPr>
        <w:tab/>
        <w:t xml:space="preserve"> ووفقا لمؤسسة ترقق العظام البولندية، فإن المضاعفات الناجمة عن شرخ العنق الفخذي هو </w:t>
      </w:r>
      <w:r w:rsidR="0074390F">
        <w:rPr>
          <w:rFonts w:hint="cs"/>
          <w:rtl/>
        </w:rPr>
        <w:t>ثالث س</w:t>
      </w:r>
      <w:r>
        <w:rPr>
          <w:rFonts w:hint="cs"/>
          <w:rtl/>
        </w:rPr>
        <w:t xml:space="preserve">بب </w:t>
      </w:r>
      <w:r w:rsidR="0074390F">
        <w:rPr>
          <w:rFonts w:hint="cs"/>
          <w:rtl/>
        </w:rPr>
        <w:t>للوفيات</w:t>
      </w:r>
      <w:r>
        <w:rPr>
          <w:rFonts w:hint="cs"/>
          <w:rtl/>
        </w:rPr>
        <w:t xml:space="preserve"> (بعد أمراض القلب التاجية والسرطان) عند النساء اللاتي يتجاوزن سن 60 سنة.</w:t>
      </w:r>
    </w:p>
    <w:p w:rsidR="00CA0EA8" w:rsidRDefault="00CA0EA8" w:rsidP="00CA0EA8">
      <w:pPr>
        <w:pStyle w:val="SingleTxt"/>
        <w:tabs>
          <w:tab w:val="left" w:pos="1267"/>
          <w:tab w:val="left" w:pos="1930"/>
          <w:tab w:val="left" w:pos="2592"/>
          <w:tab w:val="left" w:pos="3254"/>
          <w:tab w:val="left" w:pos="3917"/>
          <w:tab w:val="left" w:pos="4579"/>
          <w:tab w:val="left" w:pos="5242"/>
          <w:tab w:val="left" w:pos="5904"/>
          <w:tab w:val="left" w:pos="6566"/>
        </w:tabs>
        <w:rPr>
          <w:rFonts w:hint="cs"/>
          <w:rtl/>
        </w:rPr>
      </w:pPr>
      <w:r>
        <w:rPr>
          <w:rFonts w:hint="cs"/>
          <w:rtl/>
        </w:rPr>
        <w:t>182 -</w:t>
      </w:r>
      <w:r>
        <w:rPr>
          <w:rFonts w:hint="cs"/>
          <w:rtl/>
        </w:rPr>
        <w:tab/>
        <w:t xml:space="preserve"> في عام 1989، </w:t>
      </w:r>
      <w:r w:rsidR="0074390F">
        <w:rPr>
          <w:rFonts w:hint="cs"/>
          <w:rtl/>
        </w:rPr>
        <w:t xml:space="preserve">كان </w:t>
      </w:r>
      <w:r>
        <w:rPr>
          <w:rFonts w:hint="cs"/>
          <w:rtl/>
        </w:rPr>
        <w:t>معدل الوفيات المت</w:t>
      </w:r>
      <w:r w:rsidR="0074390F">
        <w:rPr>
          <w:rFonts w:hint="cs"/>
          <w:rtl/>
        </w:rPr>
        <w:t>صلة بالحمل والولادة والنفاس</w:t>
      </w:r>
      <w:r>
        <w:rPr>
          <w:rFonts w:hint="cs"/>
          <w:rtl/>
        </w:rPr>
        <w:t xml:space="preserve"> 0.1 عن كل 000 100. وكما حدث في السنوات السابقة، فإن أسباب الوفيات الرئيسية هي النزيف، وانسداد الشرايين، والالتهابات، والتسمم أثناء الحمل.</w:t>
      </w:r>
    </w:p>
    <w:p w:rsidR="00CA0EA8" w:rsidRDefault="00CA0EA8" w:rsidP="00CA0EA8">
      <w:pPr>
        <w:pStyle w:val="SingleTxt"/>
        <w:tabs>
          <w:tab w:val="left" w:pos="1267"/>
          <w:tab w:val="left" w:pos="1930"/>
          <w:tab w:val="left" w:pos="2592"/>
          <w:tab w:val="left" w:pos="3254"/>
          <w:tab w:val="left" w:pos="3917"/>
          <w:tab w:val="left" w:pos="4579"/>
          <w:tab w:val="left" w:pos="5242"/>
          <w:tab w:val="left" w:pos="5904"/>
          <w:tab w:val="left" w:pos="6566"/>
        </w:tabs>
        <w:rPr>
          <w:rFonts w:hint="cs"/>
          <w:rtl/>
        </w:rPr>
      </w:pPr>
      <w:r>
        <w:rPr>
          <w:rFonts w:hint="cs"/>
          <w:rtl/>
        </w:rPr>
        <w:t>183 -</w:t>
      </w:r>
      <w:r>
        <w:rPr>
          <w:rFonts w:hint="cs"/>
          <w:rtl/>
        </w:rPr>
        <w:tab/>
        <w:t xml:space="preserve"> استمر معدل الوفيات بين الرضع في الانخفاض. فانخفض من 8.85 في عام 1999 إلى 7.5 في عام 20</w:t>
      </w:r>
      <w:r w:rsidR="0074390F">
        <w:rPr>
          <w:rFonts w:hint="cs"/>
          <w:rtl/>
        </w:rPr>
        <w:t>02 (عن كل 000 1 ولادة حية). ولم يطرأ تغيير على</w:t>
      </w:r>
      <w:r>
        <w:rPr>
          <w:rFonts w:hint="cs"/>
          <w:rtl/>
        </w:rPr>
        <w:t xml:space="preserve"> الأسباب الرئ</w:t>
      </w:r>
      <w:r w:rsidR="0074390F">
        <w:rPr>
          <w:rFonts w:hint="cs"/>
          <w:rtl/>
        </w:rPr>
        <w:t>يسية للوفيات عند الرضع</w:t>
      </w:r>
      <w:r>
        <w:rPr>
          <w:rFonts w:hint="cs"/>
          <w:rtl/>
        </w:rPr>
        <w:t>. وهي بصفة رئيسية ظروف طرأت في فترة ما قبل الولادة، بما في ذلك اضطرابات في الجهاز التنفسي والعيوب الوراثية، بما في ذلك أمراض القلب. ولا تميز الإحصائيات المتعلقة بوفيات الرضع بين الجنسين، وإن كانت بيانات أخرى تشير إلى أن معدل الوفيات بين الأطفال الذين يقل عمرهم عن سنة واحدة أعلى عند البنين.</w:t>
      </w:r>
    </w:p>
    <w:p w:rsidR="00CA0EA8" w:rsidRDefault="00CA0EA8" w:rsidP="00CA0EA8">
      <w:pPr>
        <w:pStyle w:val="SingleTxt"/>
        <w:tabs>
          <w:tab w:val="left" w:pos="1267"/>
          <w:tab w:val="left" w:pos="1930"/>
          <w:tab w:val="left" w:pos="2592"/>
          <w:tab w:val="left" w:pos="3254"/>
          <w:tab w:val="left" w:pos="3917"/>
          <w:tab w:val="left" w:pos="4579"/>
          <w:tab w:val="left" w:pos="5242"/>
          <w:tab w:val="left" w:pos="5904"/>
          <w:tab w:val="left" w:pos="6566"/>
        </w:tabs>
        <w:rPr>
          <w:rFonts w:hint="cs"/>
          <w:rtl/>
        </w:rPr>
      </w:pPr>
      <w:r>
        <w:rPr>
          <w:rFonts w:hint="cs"/>
          <w:rtl/>
        </w:rPr>
        <w:t>184 -</w:t>
      </w:r>
      <w:r>
        <w:rPr>
          <w:rFonts w:hint="cs"/>
          <w:rtl/>
        </w:rPr>
        <w:tab/>
        <w:t xml:space="preserve"> الفحص غير الجراحي (3-4 مرات أثناء الحمل) يرد في العقود المبرمة مع مكاتب الخدمات الصحية. ويتم</w:t>
      </w:r>
      <w:r w:rsidR="0074390F">
        <w:rPr>
          <w:rFonts w:hint="cs"/>
          <w:rtl/>
        </w:rPr>
        <w:t xml:space="preserve"> إجراء الفحوصات غير الجراحية (بزل السلى وبز</w:t>
      </w:r>
      <w:r>
        <w:rPr>
          <w:rFonts w:hint="cs"/>
          <w:rtl/>
        </w:rPr>
        <w:t>ل القلب) بناء على تعليمات من طبيب النساء، عندما يشتبه بوجود عيوب وراثية أو مرض يهدد حياة الجنين.</w:t>
      </w:r>
    </w:p>
    <w:p w:rsidR="00CA0EA8" w:rsidRDefault="00CA0EA8" w:rsidP="00CA0EA8">
      <w:pPr>
        <w:pStyle w:val="SingleTxt"/>
        <w:tabs>
          <w:tab w:val="left" w:pos="1267"/>
          <w:tab w:val="left" w:pos="1930"/>
          <w:tab w:val="left" w:pos="2592"/>
          <w:tab w:val="left" w:pos="3254"/>
          <w:tab w:val="left" w:pos="3917"/>
          <w:tab w:val="left" w:pos="4579"/>
          <w:tab w:val="left" w:pos="5242"/>
          <w:tab w:val="left" w:pos="5904"/>
          <w:tab w:val="left" w:pos="6566"/>
        </w:tabs>
        <w:rPr>
          <w:rFonts w:hint="cs"/>
          <w:rtl/>
        </w:rPr>
      </w:pPr>
      <w:r>
        <w:rPr>
          <w:rFonts w:hint="cs"/>
          <w:rtl/>
        </w:rPr>
        <w:tab/>
        <w:t>فيما يلي بيانات عن الفحوصات التي تجرى قبل الولادة</w:t>
      </w:r>
    </w:p>
    <w:p w:rsidR="00527F1F" w:rsidRPr="00527F1F" w:rsidRDefault="00527F1F" w:rsidP="00527F1F">
      <w:pPr>
        <w:pStyle w:val="SingleTxt"/>
        <w:tabs>
          <w:tab w:val="left" w:pos="1267"/>
          <w:tab w:val="left" w:pos="1930"/>
          <w:tab w:val="left" w:pos="2592"/>
          <w:tab w:val="left" w:pos="3254"/>
          <w:tab w:val="left" w:pos="3917"/>
          <w:tab w:val="left" w:pos="4579"/>
          <w:tab w:val="left" w:pos="5242"/>
          <w:tab w:val="left" w:pos="5904"/>
          <w:tab w:val="left" w:pos="6566"/>
        </w:tabs>
        <w:spacing w:after="0" w:line="120" w:lineRule="exact"/>
        <w:rPr>
          <w:rFonts w:hint="cs"/>
          <w:sz w:val="10"/>
          <w:rtl/>
        </w:rPr>
      </w:pPr>
    </w:p>
    <w:tbl>
      <w:tblPr>
        <w:bidiVisual/>
        <w:tblW w:w="65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62"/>
        <w:gridCol w:w="1440"/>
        <w:gridCol w:w="1399"/>
        <w:gridCol w:w="1236"/>
      </w:tblGrid>
      <w:tr w:rsidR="00527F1F">
        <w:tblPrEx>
          <w:tblCellMar>
            <w:top w:w="0" w:type="dxa"/>
            <w:bottom w:w="0" w:type="dxa"/>
          </w:tblCellMar>
        </w:tblPrEx>
        <w:trPr>
          <w:jc w:val="center"/>
        </w:trPr>
        <w:tc>
          <w:tcPr>
            <w:tcW w:w="2462" w:type="dxa"/>
            <w:shd w:val="clear" w:color="auto" w:fill="auto"/>
            <w:tcMar>
              <w:left w:w="0" w:type="dxa"/>
              <w:right w:w="0" w:type="dxa"/>
            </w:tcMar>
          </w:tcPr>
          <w:p w:rsidR="00527F1F" w:rsidRPr="001E79FA" w:rsidRDefault="00527F1F" w:rsidP="001E79FA">
            <w:pPr>
              <w:ind w:left="58" w:right="58"/>
              <w:rPr>
                <w:rFonts w:hint="cs"/>
                <w:b/>
                <w:bCs/>
                <w:rtl/>
              </w:rPr>
            </w:pPr>
          </w:p>
        </w:tc>
        <w:tc>
          <w:tcPr>
            <w:tcW w:w="1440" w:type="dxa"/>
            <w:shd w:val="clear" w:color="auto" w:fill="auto"/>
          </w:tcPr>
          <w:p w:rsidR="00527F1F" w:rsidRPr="001E79FA" w:rsidRDefault="001E79FA" w:rsidP="001E79FA">
            <w:pPr>
              <w:ind w:left="58" w:right="58"/>
              <w:rPr>
                <w:rFonts w:hint="cs"/>
                <w:b/>
                <w:bCs/>
                <w:rtl/>
              </w:rPr>
            </w:pPr>
            <w:r w:rsidRPr="001E79FA">
              <w:rPr>
                <w:rFonts w:hint="cs"/>
                <w:b/>
                <w:bCs/>
                <w:rtl/>
              </w:rPr>
              <w:t>2000</w:t>
            </w:r>
          </w:p>
        </w:tc>
        <w:tc>
          <w:tcPr>
            <w:tcW w:w="1399" w:type="dxa"/>
            <w:shd w:val="clear" w:color="auto" w:fill="auto"/>
          </w:tcPr>
          <w:p w:rsidR="00527F1F" w:rsidRPr="001E79FA" w:rsidRDefault="001E79FA" w:rsidP="001E79FA">
            <w:pPr>
              <w:ind w:left="58" w:right="58"/>
              <w:rPr>
                <w:rFonts w:hint="cs"/>
                <w:b/>
                <w:bCs/>
                <w:rtl/>
              </w:rPr>
            </w:pPr>
            <w:r w:rsidRPr="001E79FA">
              <w:rPr>
                <w:rFonts w:hint="cs"/>
                <w:b/>
                <w:bCs/>
                <w:rtl/>
              </w:rPr>
              <w:t>2001</w:t>
            </w:r>
          </w:p>
        </w:tc>
        <w:tc>
          <w:tcPr>
            <w:tcW w:w="1236" w:type="dxa"/>
            <w:shd w:val="clear" w:color="auto" w:fill="auto"/>
          </w:tcPr>
          <w:p w:rsidR="00527F1F" w:rsidRPr="001E79FA" w:rsidRDefault="001E79FA" w:rsidP="001E79FA">
            <w:pPr>
              <w:ind w:left="58" w:right="58"/>
              <w:rPr>
                <w:rFonts w:hint="cs"/>
                <w:b/>
                <w:bCs/>
                <w:rtl/>
              </w:rPr>
            </w:pPr>
            <w:r w:rsidRPr="001E79FA">
              <w:rPr>
                <w:rFonts w:hint="cs"/>
                <w:b/>
                <w:bCs/>
                <w:rtl/>
              </w:rPr>
              <w:t>2002</w:t>
            </w:r>
          </w:p>
        </w:tc>
      </w:tr>
      <w:tr w:rsidR="00527F1F">
        <w:tblPrEx>
          <w:tblCellMar>
            <w:top w:w="0" w:type="dxa"/>
            <w:bottom w:w="0" w:type="dxa"/>
          </w:tblCellMar>
        </w:tblPrEx>
        <w:trPr>
          <w:jc w:val="center"/>
        </w:trPr>
        <w:tc>
          <w:tcPr>
            <w:tcW w:w="2462" w:type="dxa"/>
            <w:shd w:val="clear" w:color="auto" w:fill="auto"/>
          </w:tcPr>
          <w:p w:rsidR="00527F1F" w:rsidRDefault="00527F1F" w:rsidP="001E79FA">
            <w:pPr>
              <w:ind w:left="58" w:right="58"/>
              <w:rPr>
                <w:rFonts w:hint="cs"/>
                <w:rtl/>
              </w:rPr>
            </w:pPr>
            <w:r>
              <w:rPr>
                <w:rFonts w:hint="cs"/>
                <w:rtl/>
              </w:rPr>
              <w:t>المشاورات الوراثية</w:t>
            </w:r>
          </w:p>
        </w:tc>
        <w:tc>
          <w:tcPr>
            <w:tcW w:w="1440" w:type="dxa"/>
            <w:shd w:val="clear" w:color="auto" w:fill="auto"/>
          </w:tcPr>
          <w:p w:rsidR="00527F1F" w:rsidRDefault="001E79FA" w:rsidP="001E79FA">
            <w:pPr>
              <w:ind w:left="58" w:right="58"/>
              <w:rPr>
                <w:rFonts w:hint="cs"/>
                <w:rtl/>
              </w:rPr>
            </w:pPr>
            <w:r>
              <w:rPr>
                <w:rFonts w:hint="cs"/>
                <w:rtl/>
              </w:rPr>
              <w:t>غير متوفر</w:t>
            </w:r>
          </w:p>
        </w:tc>
        <w:tc>
          <w:tcPr>
            <w:tcW w:w="1399" w:type="dxa"/>
            <w:shd w:val="clear" w:color="auto" w:fill="auto"/>
          </w:tcPr>
          <w:p w:rsidR="00527F1F" w:rsidRDefault="001E79FA" w:rsidP="001E79FA">
            <w:pPr>
              <w:ind w:left="58" w:right="58"/>
              <w:rPr>
                <w:rFonts w:hint="cs"/>
                <w:rtl/>
              </w:rPr>
            </w:pPr>
            <w:r>
              <w:rPr>
                <w:rFonts w:hint="cs"/>
                <w:rtl/>
              </w:rPr>
              <w:t>077 11</w:t>
            </w:r>
          </w:p>
        </w:tc>
        <w:tc>
          <w:tcPr>
            <w:tcW w:w="1236" w:type="dxa"/>
            <w:shd w:val="clear" w:color="auto" w:fill="auto"/>
          </w:tcPr>
          <w:p w:rsidR="00527F1F" w:rsidRDefault="001E79FA" w:rsidP="001E79FA">
            <w:pPr>
              <w:ind w:left="58" w:right="58"/>
              <w:rPr>
                <w:rFonts w:hint="cs"/>
                <w:rtl/>
              </w:rPr>
            </w:pPr>
            <w:r>
              <w:rPr>
                <w:rFonts w:hint="cs"/>
                <w:rtl/>
              </w:rPr>
              <w:t>072 16</w:t>
            </w:r>
          </w:p>
        </w:tc>
      </w:tr>
      <w:tr w:rsidR="00527F1F">
        <w:tblPrEx>
          <w:tblCellMar>
            <w:top w:w="0" w:type="dxa"/>
            <w:bottom w:w="0" w:type="dxa"/>
          </w:tblCellMar>
        </w:tblPrEx>
        <w:trPr>
          <w:jc w:val="center"/>
        </w:trPr>
        <w:tc>
          <w:tcPr>
            <w:tcW w:w="2462" w:type="dxa"/>
            <w:shd w:val="clear" w:color="auto" w:fill="auto"/>
          </w:tcPr>
          <w:p w:rsidR="00527F1F" w:rsidRDefault="00527F1F" w:rsidP="001E79FA">
            <w:pPr>
              <w:ind w:left="58" w:right="58"/>
              <w:rPr>
                <w:rFonts w:hint="cs"/>
                <w:rtl/>
              </w:rPr>
            </w:pPr>
            <w:r>
              <w:rPr>
                <w:rFonts w:hint="cs"/>
                <w:rtl/>
              </w:rPr>
              <w:t>الفحوصات غير الجراحية في فترة ما قبل الولادة</w:t>
            </w:r>
          </w:p>
        </w:tc>
        <w:tc>
          <w:tcPr>
            <w:tcW w:w="1440" w:type="dxa"/>
            <w:shd w:val="clear" w:color="auto" w:fill="auto"/>
          </w:tcPr>
          <w:p w:rsidR="00527F1F" w:rsidRDefault="001E79FA" w:rsidP="001E79FA">
            <w:pPr>
              <w:ind w:left="58" w:right="58"/>
              <w:rPr>
                <w:rFonts w:hint="cs"/>
                <w:rtl/>
              </w:rPr>
            </w:pPr>
            <w:r>
              <w:rPr>
                <w:rFonts w:hint="cs"/>
                <w:rtl/>
              </w:rPr>
              <w:t>654 1</w:t>
            </w:r>
          </w:p>
        </w:tc>
        <w:tc>
          <w:tcPr>
            <w:tcW w:w="1399" w:type="dxa"/>
            <w:shd w:val="clear" w:color="auto" w:fill="auto"/>
          </w:tcPr>
          <w:p w:rsidR="00527F1F" w:rsidRDefault="001E79FA" w:rsidP="001E79FA">
            <w:pPr>
              <w:ind w:left="58" w:right="58"/>
              <w:rPr>
                <w:rFonts w:hint="cs"/>
                <w:rtl/>
              </w:rPr>
            </w:pPr>
            <w:r>
              <w:rPr>
                <w:rFonts w:hint="cs"/>
                <w:rtl/>
              </w:rPr>
              <w:t>035 2</w:t>
            </w:r>
          </w:p>
        </w:tc>
        <w:tc>
          <w:tcPr>
            <w:tcW w:w="1236" w:type="dxa"/>
            <w:shd w:val="clear" w:color="auto" w:fill="auto"/>
          </w:tcPr>
          <w:p w:rsidR="00527F1F" w:rsidRDefault="001E79FA" w:rsidP="001E79FA">
            <w:pPr>
              <w:ind w:left="58" w:right="58"/>
              <w:rPr>
                <w:rFonts w:hint="cs"/>
                <w:rtl/>
              </w:rPr>
            </w:pPr>
            <w:r>
              <w:rPr>
                <w:rFonts w:hint="cs"/>
                <w:rtl/>
              </w:rPr>
              <w:t>800 3</w:t>
            </w:r>
          </w:p>
        </w:tc>
      </w:tr>
      <w:tr w:rsidR="00527F1F">
        <w:tblPrEx>
          <w:tblCellMar>
            <w:top w:w="0" w:type="dxa"/>
            <w:bottom w:w="0" w:type="dxa"/>
          </w:tblCellMar>
        </w:tblPrEx>
        <w:trPr>
          <w:jc w:val="center"/>
        </w:trPr>
        <w:tc>
          <w:tcPr>
            <w:tcW w:w="2462" w:type="dxa"/>
            <w:shd w:val="clear" w:color="auto" w:fill="auto"/>
          </w:tcPr>
          <w:p w:rsidR="00527F1F" w:rsidRDefault="00527F1F" w:rsidP="001E79FA">
            <w:pPr>
              <w:ind w:left="58" w:right="58"/>
              <w:rPr>
                <w:rFonts w:hint="cs"/>
                <w:rtl/>
              </w:rPr>
            </w:pPr>
            <w:r>
              <w:rPr>
                <w:rFonts w:hint="cs"/>
                <w:rtl/>
              </w:rPr>
              <w:t>الأجنة المصابة بعيوب</w:t>
            </w:r>
          </w:p>
        </w:tc>
        <w:tc>
          <w:tcPr>
            <w:tcW w:w="1440" w:type="dxa"/>
            <w:shd w:val="clear" w:color="auto" w:fill="auto"/>
          </w:tcPr>
          <w:p w:rsidR="00527F1F" w:rsidRDefault="001E79FA" w:rsidP="001E79FA">
            <w:pPr>
              <w:ind w:left="58" w:right="58"/>
              <w:rPr>
                <w:rFonts w:hint="cs"/>
                <w:rtl/>
              </w:rPr>
            </w:pPr>
            <w:r>
              <w:rPr>
                <w:rFonts w:hint="cs"/>
                <w:rtl/>
              </w:rPr>
              <w:t>107</w:t>
            </w:r>
          </w:p>
        </w:tc>
        <w:tc>
          <w:tcPr>
            <w:tcW w:w="1399" w:type="dxa"/>
            <w:shd w:val="clear" w:color="auto" w:fill="auto"/>
          </w:tcPr>
          <w:p w:rsidR="00527F1F" w:rsidRDefault="001E79FA" w:rsidP="001E79FA">
            <w:pPr>
              <w:ind w:left="58" w:right="58"/>
              <w:rPr>
                <w:rFonts w:hint="cs"/>
                <w:rtl/>
              </w:rPr>
            </w:pPr>
            <w:r>
              <w:rPr>
                <w:rFonts w:hint="cs"/>
                <w:rtl/>
              </w:rPr>
              <w:t>138</w:t>
            </w:r>
          </w:p>
        </w:tc>
        <w:tc>
          <w:tcPr>
            <w:tcW w:w="1236" w:type="dxa"/>
            <w:shd w:val="clear" w:color="auto" w:fill="auto"/>
          </w:tcPr>
          <w:p w:rsidR="00527F1F" w:rsidRDefault="001E79FA" w:rsidP="001E79FA">
            <w:pPr>
              <w:ind w:left="58" w:right="58"/>
              <w:rPr>
                <w:rFonts w:hint="cs"/>
                <w:rtl/>
              </w:rPr>
            </w:pPr>
            <w:r>
              <w:rPr>
                <w:rFonts w:hint="cs"/>
                <w:rtl/>
              </w:rPr>
              <w:t>596</w:t>
            </w:r>
          </w:p>
        </w:tc>
      </w:tr>
    </w:tbl>
    <w:p w:rsidR="00527F1F" w:rsidRPr="00527F1F" w:rsidRDefault="00527F1F" w:rsidP="001E79FA">
      <w:pPr>
        <w:pStyle w:val="SingleTxt"/>
        <w:tabs>
          <w:tab w:val="left" w:pos="1267"/>
          <w:tab w:val="left" w:pos="1930"/>
          <w:tab w:val="left" w:pos="2592"/>
          <w:tab w:val="left" w:pos="3254"/>
          <w:tab w:val="left" w:pos="3917"/>
          <w:tab w:val="left" w:pos="4579"/>
          <w:tab w:val="left" w:pos="5242"/>
          <w:tab w:val="left" w:pos="5904"/>
          <w:tab w:val="left" w:pos="6566"/>
        </w:tabs>
        <w:spacing w:after="0" w:line="120" w:lineRule="exact"/>
        <w:ind w:left="58" w:right="58"/>
        <w:rPr>
          <w:rFonts w:hint="cs"/>
          <w:sz w:val="10"/>
          <w:rtl/>
        </w:rPr>
      </w:pPr>
    </w:p>
    <w:p w:rsidR="00CA0EA8" w:rsidRDefault="00527F1F" w:rsidP="00CA0EA8">
      <w:pPr>
        <w:pStyle w:val="SingleTxt"/>
        <w:tabs>
          <w:tab w:val="left" w:pos="1267"/>
          <w:tab w:val="left" w:pos="1930"/>
          <w:tab w:val="left" w:pos="2592"/>
          <w:tab w:val="left" w:pos="3254"/>
          <w:tab w:val="left" w:pos="3917"/>
          <w:tab w:val="left" w:pos="4579"/>
          <w:tab w:val="left" w:pos="5242"/>
          <w:tab w:val="left" w:pos="5904"/>
          <w:tab w:val="left" w:pos="6566"/>
        </w:tabs>
        <w:rPr>
          <w:rFonts w:hint="cs"/>
          <w:rtl/>
        </w:rPr>
      </w:pPr>
      <w:r>
        <w:rPr>
          <w:rFonts w:hint="cs"/>
          <w:rtl/>
        </w:rPr>
        <w:t>185 -</w:t>
      </w:r>
      <w:r>
        <w:rPr>
          <w:rFonts w:hint="cs"/>
          <w:rtl/>
        </w:rPr>
        <w:tab/>
        <w:t xml:space="preserve"> </w:t>
      </w:r>
      <w:r w:rsidR="001E79FA">
        <w:rPr>
          <w:rFonts w:hint="cs"/>
          <w:rtl/>
        </w:rPr>
        <w:t>تم خلال الفترة التي يغطيها التقرير تنفيذ البرامج التالية المتعلقة بصحة الحوامل والرضع بتمويل من وزارة الصحة، لا سيما في إطار برنامج الصحة الوطني:</w:t>
      </w:r>
    </w:p>
    <w:p w:rsidR="001E79FA" w:rsidRDefault="001E79FA" w:rsidP="001E79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الوقاية من الأمراض الوراثية في العائلات المعر</w:t>
      </w:r>
      <w:r w:rsidR="0074390F">
        <w:rPr>
          <w:rFonts w:hint="cs"/>
          <w:rtl/>
        </w:rPr>
        <w:t>ّضة لخطر</w:t>
      </w:r>
      <w:r>
        <w:rPr>
          <w:rFonts w:hint="cs"/>
          <w:rtl/>
        </w:rPr>
        <w:t xml:space="preserve"> شديد عن طريق فحص الخلايا وإسداء المشورة الوراثية؛</w:t>
      </w:r>
    </w:p>
    <w:p w:rsidR="001E79FA" w:rsidRDefault="001E79FA" w:rsidP="001E79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برنامج رصد وتصحيح الوقاية الأولية من العيوب الوراثية؛</w:t>
      </w:r>
    </w:p>
    <w:p w:rsidR="001E79FA" w:rsidRDefault="001E79FA" w:rsidP="001E79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برنامج الوقاية من عيوب الأنبوب العصبي الأولية في بولندا؛</w:t>
      </w:r>
    </w:p>
    <w:p w:rsidR="001E79FA" w:rsidRDefault="001E79FA" w:rsidP="001E79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القضاء على الأمراض المنقولة عن طريق الاتصال الجنسي؛</w:t>
      </w:r>
    </w:p>
    <w:p w:rsidR="001E79FA" w:rsidRDefault="001E79FA" w:rsidP="001E79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تنفيذ الإشراف الطبي والتنظيمي في الرعاية الصحية المقدمة للأم والطفل؛</w:t>
      </w:r>
    </w:p>
    <w:p w:rsidR="001E79FA" w:rsidRDefault="001E79FA" w:rsidP="001E79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برنامج الوقاية الأولوية من الأمراض المتصلة بالتدخين مع التركيز على الحوامل؛</w:t>
      </w:r>
    </w:p>
    <w:p w:rsidR="001E79FA" w:rsidRDefault="001E79FA" w:rsidP="001E79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الاستفادة إلى أقصى حد من الرعاية في فترة ما قبل الولادة، بما في ذلك: </w:t>
      </w:r>
    </w:p>
    <w:p w:rsidR="001E79FA" w:rsidRDefault="001E79FA" w:rsidP="0074390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2102" w:hanging="662"/>
        <w:rPr>
          <w:rFonts w:hint="cs"/>
          <w:rtl/>
        </w:rPr>
      </w:pPr>
      <w:r>
        <w:rPr>
          <w:rFonts w:hint="cs"/>
          <w:rtl/>
        </w:rPr>
        <w:tab/>
        <w:t>•</w:t>
      </w:r>
      <w:r>
        <w:rPr>
          <w:rFonts w:hint="cs"/>
          <w:rtl/>
        </w:rPr>
        <w:tab/>
        <w:t>الوقاية من الولادة قبل أوانها وعواقب ذلك وقلة وزن المولود؛</w:t>
      </w:r>
    </w:p>
    <w:p w:rsidR="001E79FA" w:rsidRDefault="001E79FA" w:rsidP="0074390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2102" w:hanging="662"/>
        <w:rPr>
          <w:rFonts w:hint="cs"/>
          <w:rtl/>
        </w:rPr>
      </w:pPr>
      <w:r>
        <w:rPr>
          <w:rFonts w:hint="cs"/>
          <w:rtl/>
        </w:rPr>
        <w:tab/>
        <w:t>•</w:t>
      </w:r>
      <w:r>
        <w:rPr>
          <w:rFonts w:hint="cs"/>
          <w:rtl/>
        </w:rPr>
        <w:tab/>
        <w:t>تحسين المعدات في أجنحة التوليد والرضع؛</w:t>
      </w:r>
    </w:p>
    <w:p w:rsidR="001E79FA" w:rsidRDefault="001E79FA" w:rsidP="0074390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2102" w:hanging="662"/>
        <w:rPr>
          <w:rFonts w:hint="cs"/>
          <w:rtl/>
        </w:rPr>
      </w:pPr>
      <w:r>
        <w:rPr>
          <w:rFonts w:hint="cs"/>
          <w:rtl/>
        </w:rPr>
        <w:tab/>
        <w:t>•</w:t>
      </w:r>
      <w:r>
        <w:rPr>
          <w:rFonts w:hint="cs"/>
          <w:rtl/>
        </w:rPr>
        <w:tab/>
        <w:t>تنفيذ البرنامج الوطني للإشراف على الرعاية الصحية المقدمة إلى الأم والطفل، مع الإشارة بصفة خاصة إلى الرعاية في فترة ما قبل الولادة.</w:t>
      </w:r>
    </w:p>
    <w:p w:rsidR="001E79FA" w:rsidRDefault="001E79FA" w:rsidP="00255C76">
      <w:pPr>
        <w:pStyle w:val="SingleTxt"/>
        <w:rPr>
          <w:rFonts w:hint="cs"/>
          <w:rtl/>
        </w:rPr>
      </w:pPr>
      <w:r>
        <w:rPr>
          <w:rFonts w:hint="cs"/>
          <w:rtl/>
        </w:rPr>
        <w:t>186 -</w:t>
      </w:r>
      <w:r>
        <w:rPr>
          <w:rFonts w:hint="cs"/>
          <w:rtl/>
        </w:rPr>
        <w:tab/>
        <w:t xml:space="preserve"> في الفترة بين عامي 1985 وحزيران/يونيه 2003، تم تسجيل 189 8 حالة من حالات فيروس نقص المناعة البشرية في بولندا، وإن كان يقدر أن العدد الفعلي للأشخاص المصابين بالمرض ربما يتراوح بين 000 15 و 000 20. ويقدر أن 10 في المائة من المصابين هم تحت سن 20، وأكثر من 50 في المائة من المصابين يتراوح عمرهم بين 20 و 29 سنة، وأكثر من 20 في المائة من المصابين هم من النساء. وفيما يلي عدد حالات الإيدز المسجلة خلال الفترة التي يغطيها التقرير: عام 1999: 123 شخصا، وعام 2000: 116 شخصا، وعام 2001: 122 شخصا (لا تميز الإحصاءات العامة المتاحة </w:t>
      </w:r>
      <w:r w:rsidR="00255C76">
        <w:rPr>
          <w:rFonts w:hint="cs"/>
          <w:rtl/>
        </w:rPr>
        <w:t xml:space="preserve">بين </w:t>
      </w:r>
      <w:r>
        <w:rPr>
          <w:rFonts w:hint="cs"/>
          <w:rtl/>
        </w:rPr>
        <w:t>جنس المصابين). و</w:t>
      </w:r>
      <w:r w:rsidR="00255C76">
        <w:rPr>
          <w:rFonts w:hint="cs"/>
          <w:rtl/>
        </w:rPr>
        <w:t xml:space="preserve">فيما يلي </w:t>
      </w:r>
      <w:r>
        <w:rPr>
          <w:rFonts w:hint="cs"/>
          <w:rtl/>
        </w:rPr>
        <w:t>المهام التي يضطلع بها في البرنامج الوطني للوقاية من فيروس نقص المناعة البشرية، وعلاج حاملي الفيروس والمرضى المصابين بالإيدز:</w:t>
      </w:r>
    </w:p>
    <w:p w:rsidR="001E79FA" w:rsidRDefault="001E79FA" w:rsidP="001E79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تدريب الموظفين في الخدمات الصحية والمدرسين والصحفيين ورجال الدين؛</w:t>
      </w:r>
    </w:p>
    <w:p w:rsidR="001E79FA" w:rsidRDefault="001E79FA" w:rsidP="001E79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نشر كتيبات تتضمن معلومات للأطباء وأطباء الأسنان والممرضات والقابلات والحلاقين؛</w:t>
      </w:r>
    </w:p>
    <w:p w:rsidR="001E79FA" w:rsidRDefault="001E79FA" w:rsidP="001E79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نشر كتيبات عن المصابين؛</w:t>
      </w:r>
    </w:p>
    <w:p w:rsidR="001E79FA" w:rsidRDefault="001E79FA" w:rsidP="001E79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نشر كتيبات وملصقات ومنشورات لتوزيعها على الشباب؛</w:t>
      </w:r>
    </w:p>
    <w:p w:rsidR="001E79FA" w:rsidRDefault="001E79FA" w:rsidP="00255C7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تنظيم حملات في وسائط الإعلام وفي الشوارع (مواقف النقل العام واليافطات)؛</w:t>
      </w:r>
    </w:p>
    <w:p w:rsidR="001E79FA" w:rsidRDefault="001E79FA" w:rsidP="001E79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توفير الوقاية في المناسبات التي تنظم من أجل الشباب في الهواء الطلق. </w:t>
      </w:r>
    </w:p>
    <w:p w:rsidR="001E79FA" w:rsidRDefault="001E79FA" w:rsidP="00255C76">
      <w:pPr>
        <w:pStyle w:val="SingleTxt"/>
        <w:rPr>
          <w:rFonts w:hint="cs"/>
          <w:rtl/>
        </w:rPr>
      </w:pPr>
      <w:r>
        <w:rPr>
          <w:rFonts w:hint="cs"/>
          <w:rtl/>
        </w:rPr>
        <w:t xml:space="preserve">ويعتزم البرنامج أيضا تمويل المشاريع العلاجية والتثقيفية، التي تنفذها المرافق الطبية العامة وغير العامة، </w:t>
      </w:r>
      <w:r w:rsidR="00715240">
        <w:rPr>
          <w:rFonts w:hint="cs"/>
          <w:rtl/>
        </w:rPr>
        <w:t xml:space="preserve">فضلا عن المنظمات غير الحكومية. ومنذ عام 1996، تم تشغيل خط هاتفي ساخن. ويتم كل سنة أثناء اليوم العالمي للإيدز تنظيم حملة إعلامية لتشجيع الناس على إجراء فحص لمعرفة ما إذا كانوا مصابين بفيروس نقص المناعة البشرية وهو فحص متاح مجانا في جميع الأقاليم. وفي عام 2002، تم إنفاق ما يعادل 000 25 من دولارات الولايات المتحدة على الحملة. وإن </w:t>
      </w:r>
      <w:r w:rsidR="00255C76">
        <w:rPr>
          <w:rFonts w:hint="cs"/>
          <w:rtl/>
        </w:rPr>
        <w:t>انخفاض معدل</w:t>
      </w:r>
      <w:r w:rsidR="00715240">
        <w:rPr>
          <w:rFonts w:hint="cs"/>
          <w:rtl/>
        </w:rPr>
        <w:t xml:space="preserve"> انتشار فيروس نقص المناعة البشرية والإيدز القليلة في بولندا </w:t>
      </w:r>
      <w:r w:rsidR="00255C76">
        <w:rPr>
          <w:rFonts w:hint="cs"/>
          <w:rtl/>
        </w:rPr>
        <w:t xml:space="preserve">يعود إلى </w:t>
      </w:r>
      <w:r w:rsidR="00715240">
        <w:rPr>
          <w:rFonts w:hint="cs"/>
          <w:rtl/>
        </w:rPr>
        <w:t>التداب</w:t>
      </w:r>
      <w:r w:rsidR="00255C76">
        <w:rPr>
          <w:rFonts w:hint="cs"/>
          <w:rtl/>
        </w:rPr>
        <w:t>ير التثقيفية والوقائية المكثفة التي تم اتخاذها.</w:t>
      </w:r>
    </w:p>
    <w:p w:rsidR="00715240" w:rsidRDefault="00715240" w:rsidP="00320EDF">
      <w:pPr>
        <w:pStyle w:val="SingleTxt"/>
        <w:rPr>
          <w:rFonts w:hint="cs"/>
          <w:rtl/>
        </w:rPr>
      </w:pPr>
      <w:r>
        <w:rPr>
          <w:rFonts w:hint="cs"/>
          <w:rtl/>
        </w:rPr>
        <w:t>187 -</w:t>
      </w:r>
      <w:r>
        <w:rPr>
          <w:rFonts w:hint="cs"/>
          <w:rtl/>
        </w:rPr>
        <w:tab/>
        <w:t xml:space="preserve"> </w:t>
      </w:r>
      <w:r w:rsidR="00320EDF">
        <w:rPr>
          <w:rFonts w:hint="cs"/>
          <w:rtl/>
        </w:rPr>
        <w:t>مما يثير القلق</w:t>
      </w:r>
      <w:r>
        <w:rPr>
          <w:rFonts w:hint="cs"/>
          <w:rtl/>
        </w:rPr>
        <w:t xml:space="preserve"> استمرار ا</w:t>
      </w:r>
      <w:r w:rsidR="00320EDF">
        <w:rPr>
          <w:rFonts w:hint="cs"/>
          <w:rtl/>
        </w:rPr>
        <w:t>نتشار</w:t>
      </w:r>
      <w:r>
        <w:rPr>
          <w:rFonts w:hint="cs"/>
          <w:rtl/>
        </w:rPr>
        <w:t xml:space="preserve"> الأمراض الناجمة عن </w:t>
      </w:r>
      <w:r w:rsidR="00320EDF">
        <w:rPr>
          <w:rFonts w:hint="cs"/>
          <w:rtl/>
        </w:rPr>
        <w:t>اتباع أ</w:t>
      </w:r>
      <w:r>
        <w:rPr>
          <w:rFonts w:hint="cs"/>
          <w:rtl/>
        </w:rPr>
        <w:t>نم</w:t>
      </w:r>
      <w:r w:rsidR="00320EDF">
        <w:rPr>
          <w:rFonts w:hint="cs"/>
          <w:rtl/>
        </w:rPr>
        <w:t>ا</w:t>
      </w:r>
      <w:r>
        <w:rPr>
          <w:rFonts w:hint="cs"/>
          <w:rtl/>
        </w:rPr>
        <w:t xml:space="preserve">ط </w:t>
      </w:r>
      <w:r w:rsidR="00320EDF">
        <w:rPr>
          <w:rFonts w:hint="cs"/>
          <w:rtl/>
        </w:rPr>
        <w:t>معينة من الحياة</w:t>
      </w:r>
      <w:r>
        <w:rPr>
          <w:rFonts w:hint="cs"/>
          <w:rtl/>
        </w:rPr>
        <w:t>، وما ينجم عن ذلك من معدلات وفاة عالية بين النساء والرجال. ويتطلب ذلك زيادة التأكيد على التدابير الوقائية والتثقيفية. وقد أثبتت المعرفة المحسنة لفيروس نقص المناعة البشرية/الإ</w:t>
      </w:r>
      <w:r w:rsidR="00320EDF">
        <w:rPr>
          <w:rFonts w:hint="cs"/>
          <w:rtl/>
        </w:rPr>
        <w:t>يدز واستمرار انخفاض معدلات ا</w:t>
      </w:r>
      <w:r>
        <w:rPr>
          <w:rFonts w:hint="cs"/>
          <w:rtl/>
        </w:rPr>
        <w:t xml:space="preserve">لإصابة </w:t>
      </w:r>
      <w:r w:rsidR="00320EDF">
        <w:rPr>
          <w:rFonts w:hint="cs"/>
          <w:rtl/>
        </w:rPr>
        <w:t xml:space="preserve">به </w:t>
      </w:r>
      <w:r>
        <w:rPr>
          <w:rFonts w:hint="cs"/>
          <w:rtl/>
        </w:rPr>
        <w:t>فعالية هذه البرامج. والجدير بالذكر أيضا أن بولندا ضيقت الفجوة التي تفصلها عن البلدان المتقدمة فيما يتعلق ب</w:t>
      </w:r>
      <w:r w:rsidR="00320EDF">
        <w:rPr>
          <w:rFonts w:hint="cs"/>
          <w:rtl/>
        </w:rPr>
        <w:t>مؤشرين مثل معدل</w:t>
      </w:r>
      <w:r>
        <w:rPr>
          <w:rFonts w:hint="cs"/>
          <w:rtl/>
        </w:rPr>
        <w:t xml:space="preserve"> الوفيات عند الرضع والأمهات، مما يشير إلى تحسن نوعية الرعاية الصحية.</w:t>
      </w:r>
    </w:p>
    <w:p w:rsidR="00715240" w:rsidRDefault="00715240" w:rsidP="001E79FA">
      <w:pPr>
        <w:pStyle w:val="SingleTxt"/>
        <w:rPr>
          <w:rFonts w:hint="cs"/>
          <w:b/>
          <w:bCs/>
          <w:rtl/>
        </w:rPr>
      </w:pPr>
      <w:r>
        <w:rPr>
          <w:rFonts w:hint="cs"/>
          <w:b/>
          <w:bCs/>
          <w:rtl/>
        </w:rPr>
        <w:t>تنظيم الأسرة</w:t>
      </w:r>
    </w:p>
    <w:p w:rsidR="00715240" w:rsidRDefault="00715240" w:rsidP="00EA3BE6">
      <w:pPr>
        <w:pStyle w:val="SingleTxt"/>
        <w:rPr>
          <w:rFonts w:hint="cs"/>
          <w:rtl/>
        </w:rPr>
      </w:pPr>
      <w:r>
        <w:rPr>
          <w:rFonts w:hint="cs"/>
          <w:rtl/>
        </w:rPr>
        <w:t>188 -</w:t>
      </w:r>
      <w:r>
        <w:rPr>
          <w:rFonts w:hint="cs"/>
          <w:rtl/>
        </w:rPr>
        <w:tab/>
        <w:t xml:space="preserve"> وقد تحسنت إمكانية استعمال وسائل تنظيم الإنجاب ووسائل منع الحمل. فأصبح التثقيف متاحا للبالغين في مراكز إرشاد </w:t>
      </w:r>
      <w:r w:rsidR="00EA3BE6">
        <w:rPr>
          <w:rFonts w:hint="cs"/>
          <w:rtl/>
        </w:rPr>
        <w:t>ا</w:t>
      </w:r>
      <w:r>
        <w:rPr>
          <w:rFonts w:hint="cs"/>
          <w:rtl/>
        </w:rPr>
        <w:t xml:space="preserve">لنساء ومدارس التوليد. وتم تنظيم صفوف تثقيفية في المدارس عن </w:t>
      </w:r>
      <w:r w:rsidR="00EA3BE6">
        <w:rPr>
          <w:rFonts w:hint="cs"/>
          <w:rtl/>
        </w:rPr>
        <w:t>العلاقات</w:t>
      </w:r>
      <w:r>
        <w:rPr>
          <w:rFonts w:hint="cs"/>
          <w:rtl/>
        </w:rPr>
        <w:t xml:space="preserve"> الجنسية، في إطار موضوع </w:t>
      </w:r>
      <w:r>
        <w:rPr>
          <w:rFonts w:hint="eastAsia"/>
          <w:rtl/>
        </w:rPr>
        <w:t>”التثقيف في شؤون الحياة</w:t>
      </w:r>
      <w:r>
        <w:rPr>
          <w:rFonts w:hint="cs"/>
          <w:rtl/>
        </w:rPr>
        <w:t>“ (في المناهج الدراسية للصف الخامس من المدارس الابتدائية وما بعده) وفي إطار الوقاية من فيروس نقص المناعة البشرية/الإيدز.</w:t>
      </w:r>
    </w:p>
    <w:p w:rsidR="00715240" w:rsidRDefault="00715240" w:rsidP="00EA3BE6">
      <w:pPr>
        <w:pStyle w:val="SingleTxt"/>
        <w:rPr>
          <w:rFonts w:hint="cs"/>
          <w:rtl/>
        </w:rPr>
      </w:pPr>
      <w:r>
        <w:rPr>
          <w:rFonts w:hint="cs"/>
          <w:rtl/>
        </w:rPr>
        <w:t>189 -</w:t>
      </w:r>
      <w:r>
        <w:rPr>
          <w:rFonts w:hint="cs"/>
          <w:rtl/>
        </w:rPr>
        <w:tab/>
        <w:t xml:space="preserve"> وتشير الإحصاءات إلى أن العازل الذكري أكثر وسائل منع الحمل استعمالا (25 في ا</w:t>
      </w:r>
      <w:r w:rsidR="00EA3BE6">
        <w:rPr>
          <w:rFonts w:hint="cs"/>
          <w:rtl/>
        </w:rPr>
        <w:t>لمائة من الذين اشتركوا في</w:t>
      </w:r>
      <w:r>
        <w:rPr>
          <w:rFonts w:hint="cs"/>
          <w:rtl/>
        </w:rPr>
        <w:t xml:space="preserve"> الاستبيان، بمن فيهم 15.9 في المائة من النساء)، بما أنه متاح على نطاق واسع ورخيص نسبيا. وفي عام 2002، تمت الموافقة على</w:t>
      </w:r>
      <w:r w:rsidR="00EA3BE6">
        <w:rPr>
          <w:rFonts w:hint="cs"/>
          <w:rtl/>
        </w:rPr>
        <w:t xml:space="preserve"> بيع</w:t>
      </w:r>
      <w:r>
        <w:rPr>
          <w:rFonts w:hint="cs"/>
          <w:rtl/>
        </w:rPr>
        <w:t xml:space="preserve"> 20 من وسائل منع الحمل الهرمونية </w:t>
      </w:r>
      <w:r w:rsidR="00EA3BE6">
        <w:rPr>
          <w:rFonts w:hint="cs"/>
          <w:rtl/>
        </w:rPr>
        <w:t>في بولندا، بما في ذلك ثلاث</w:t>
      </w:r>
      <w:r>
        <w:rPr>
          <w:rFonts w:hint="cs"/>
          <w:rtl/>
        </w:rPr>
        <w:t xml:space="preserve"> منها (</w:t>
      </w:r>
      <w:r>
        <w:t>Microgynon</w:t>
      </w:r>
      <w:r>
        <w:rPr>
          <w:rFonts w:hint="cs"/>
          <w:rtl/>
        </w:rPr>
        <w:t xml:space="preserve"> و</w:t>
      </w:r>
      <w:r>
        <w:t>Rigudidon</w:t>
      </w:r>
      <w:r>
        <w:rPr>
          <w:rFonts w:hint="cs"/>
          <w:rtl/>
        </w:rPr>
        <w:t xml:space="preserve"> و</w:t>
      </w:r>
      <w:r>
        <w:t>Stedril</w:t>
      </w:r>
      <w:r w:rsidR="00EA3BE6">
        <w:rPr>
          <w:rFonts w:hint="cs"/>
          <w:rtl/>
        </w:rPr>
        <w:t xml:space="preserve">) </w:t>
      </w:r>
      <w:r>
        <w:rPr>
          <w:rFonts w:hint="cs"/>
          <w:rtl/>
        </w:rPr>
        <w:t xml:space="preserve">تم وضعها على قائمة الأدوية التي تسدد قيمتها. ووفقا للدراسة الاستقصائية المتعلقة بالأسرة والخصوبة، </w:t>
      </w:r>
      <w:r w:rsidR="00EA3BE6">
        <w:rPr>
          <w:rFonts w:hint="cs"/>
          <w:rtl/>
        </w:rPr>
        <w:t>ازداد</w:t>
      </w:r>
      <w:r>
        <w:rPr>
          <w:rFonts w:hint="cs"/>
          <w:rtl/>
        </w:rPr>
        <w:t xml:space="preserve"> عدد النساء اللاتي </w:t>
      </w:r>
      <w:r w:rsidR="00EA3BE6">
        <w:rPr>
          <w:rFonts w:hint="cs"/>
          <w:rtl/>
        </w:rPr>
        <w:t>ي</w:t>
      </w:r>
      <w:r>
        <w:rPr>
          <w:rFonts w:hint="cs"/>
          <w:rtl/>
        </w:rPr>
        <w:t>ستخدمن حبوب منع الحمل في الفترة 1999-2001 من 4.6 في المائة إلى 14.1 في المائة.</w:t>
      </w:r>
    </w:p>
    <w:p w:rsidR="00715240" w:rsidRDefault="00715240" w:rsidP="00EA3BE6">
      <w:pPr>
        <w:pStyle w:val="SingleTxt"/>
        <w:rPr>
          <w:rFonts w:hint="cs"/>
          <w:rtl/>
        </w:rPr>
      </w:pPr>
      <w:r>
        <w:rPr>
          <w:rFonts w:hint="cs"/>
          <w:rtl/>
        </w:rPr>
        <w:t>190 -</w:t>
      </w:r>
      <w:r>
        <w:rPr>
          <w:rFonts w:hint="cs"/>
          <w:rtl/>
        </w:rPr>
        <w:tab/>
        <w:t xml:space="preserve"> تتم عمليات الإجهاض في بولندا بصورة قانونية، امتثالا لقانون تنظيم الأسرة ما</w:t>
      </w:r>
      <w:r>
        <w:rPr>
          <w:rFonts w:hint="eastAsia"/>
          <w:rtl/>
        </w:rPr>
        <w:t> </w:t>
      </w:r>
      <w:r>
        <w:rPr>
          <w:rFonts w:hint="cs"/>
          <w:rtl/>
        </w:rPr>
        <w:t xml:space="preserve">دامت العملية مبررة طبيا وقانونيا. ويرد في الجدول ألف -12-2 (المرفق) عدد عمليات الإجهاض التي تمت بصورة قانونية، استنادا إلى البيانات التي قدمها مركز نظم المعلومات للخدمات الصحية (عدد عمليات الإجهاض التي أجريت بصورة غير قانونية غير معروفة). وإن عدد عمليات الإجهاض التي أجريت بصورة قانونية، مقارنة بالبيانات المتعلقة بحالات الإجهاض الطبيعي والحالات المشمولة في القانون الجنائي (ترد البيانات في الجدول ألف -12-3، المرفق)، تشير إلى ضرورة تعديل قانون تنظيم الأسرة، وتشكك في فعالية الإرشاد المقدم </w:t>
      </w:r>
      <w:r w:rsidR="00EA3BE6">
        <w:rPr>
          <w:rFonts w:hint="cs"/>
          <w:rtl/>
        </w:rPr>
        <w:t xml:space="preserve">للحوامل </w:t>
      </w:r>
      <w:r>
        <w:rPr>
          <w:rFonts w:hint="cs"/>
          <w:rtl/>
        </w:rPr>
        <w:t>و</w:t>
      </w:r>
      <w:r w:rsidR="00EA3BE6">
        <w:rPr>
          <w:rFonts w:hint="cs"/>
          <w:rtl/>
        </w:rPr>
        <w:t xml:space="preserve">في </w:t>
      </w:r>
      <w:r>
        <w:rPr>
          <w:rFonts w:hint="cs"/>
          <w:rtl/>
        </w:rPr>
        <w:t xml:space="preserve">نظام الرعاية الاجتماعية </w:t>
      </w:r>
      <w:r w:rsidR="00EA3BE6">
        <w:rPr>
          <w:rFonts w:hint="cs"/>
          <w:rtl/>
        </w:rPr>
        <w:t>المتبع</w:t>
      </w:r>
      <w:r>
        <w:rPr>
          <w:rFonts w:hint="cs"/>
          <w:rtl/>
        </w:rPr>
        <w:t xml:space="preserve">. </w:t>
      </w:r>
    </w:p>
    <w:p w:rsidR="00715240" w:rsidRDefault="00715240" w:rsidP="00715240">
      <w:pPr>
        <w:pStyle w:val="SingleTxt"/>
        <w:rPr>
          <w:rFonts w:hint="cs"/>
          <w:rtl/>
        </w:rPr>
      </w:pPr>
      <w:r>
        <w:rPr>
          <w:rFonts w:hint="cs"/>
          <w:rtl/>
        </w:rPr>
        <w:t>191 -</w:t>
      </w:r>
      <w:r>
        <w:rPr>
          <w:rFonts w:hint="cs"/>
          <w:rtl/>
        </w:rPr>
        <w:tab/>
        <w:t xml:space="preserve"> تشير المعلومات </w:t>
      </w:r>
      <w:r w:rsidR="003B48ED">
        <w:rPr>
          <w:rFonts w:hint="cs"/>
          <w:rtl/>
        </w:rPr>
        <w:t>المستمدة من المنظمات غير الحكومية والحالات التي تنم عن المسؤولية المهنية إلى أن مرافق الرعاية الصحية العامة ترفض القيام بعمليات الإجهاض حتى إذا سمح بها القانون. وهذا يعني أن هناك أطباء يسيئون استعمال شرط الاعتراض على الإجهاض لأسباب تتعلق بالضمير. وردا على ذلك، ذكّر وزير الصحة ال</w:t>
      </w:r>
      <w:r w:rsidR="00EA3BE6">
        <w:rPr>
          <w:rFonts w:hint="cs"/>
          <w:rtl/>
        </w:rPr>
        <w:t>أقاليم (رؤساء الإدارة في الحكومات</w:t>
      </w:r>
      <w:r w:rsidR="003B48ED">
        <w:rPr>
          <w:rFonts w:hint="cs"/>
          <w:rtl/>
        </w:rPr>
        <w:t xml:space="preserve"> المحلية) بضرورة تطبيق القانون (آذار/مارس 2003). </w:t>
      </w:r>
    </w:p>
    <w:p w:rsidR="003B48ED" w:rsidRDefault="003B48ED" w:rsidP="00EA3BE6">
      <w:pPr>
        <w:pStyle w:val="SingleTxt"/>
        <w:rPr>
          <w:rFonts w:hint="cs"/>
          <w:rtl/>
        </w:rPr>
      </w:pPr>
      <w:r>
        <w:rPr>
          <w:rFonts w:hint="cs"/>
          <w:rtl/>
        </w:rPr>
        <w:t>192 -</w:t>
      </w:r>
      <w:r>
        <w:rPr>
          <w:rFonts w:hint="cs"/>
          <w:rtl/>
        </w:rPr>
        <w:tab/>
        <w:t xml:space="preserve"> أظهر استطلاع عام للرأي أجراه المكتب المركزي للإحصاءات في تموز/يوليو 2003 أن معظم البولنديين </w:t>
      </w:r>
      <w:r w:rsidR="00EA3BE6">
        <w:rPr>
          <w:rFonts w:hint="cs"/>
          <w:rtl/>
        </w:rPr>
        <w:t>يعارضون</w:t>
      </w:r>
      <w:r>
        <w:rPr>
          <w:rFonts w:hint="cs"/>
          <w:rtl/>
        </w:rPr>
        <w:t xml:space="preserve"> القانون الحالي المتعلق بالإجهاض. و</w:t>
      </w:r>
      <w:r w:rsidR="00EA3BE6">
        <w:rPr>
          <w:rFonts w:hint="cs"/>
          <w:rtl/>
        </w:rPr>
        <w:t>يؤيد</w:t>
      </w:r>
      <w:r>
        <w:rPr>
          <w:rFonts w:hint="cs"/>
          <w:rtl/>
        </w:rPr>
        <w:t xml:space="preserve"> 61 في المائة من الذين اشتركوا في الاستطلاع </w:t>
      </w:r>
      <w:r w:rsidR="00EA3BE6">
        <w:rPr>
          <w:rFonts w:hint="cs"/>
          <w:rtl/>
        </w:rPr>
        <w:t>سنّ</w:t>
      </w:r>
      <w:r>
        <w:rPr>
          <w:rFonts w:hint="cs"/>
          <w:rtl/>
        </w:rPr>
        <w:t xml:space="preserve"> قوانين أكثر تحررا، و</w:t>
      </w:r>
      <w:r w:rsidR="00EA3BE6">
        <w:rPr>
          <w:rFonts w:hint="cs"/>
          <w:rtl/>
        </w:rPr>
        <w:t xml:space="preserve">يؤيد 20 في المائة </w:t>
      </w:r>
      <w:r w:rsidR="00E34F6D">
        <w:rPr>
          <w:rFonts w:hint="cs"/>
          <w:rtl/>
        </w:rPr>
        <w:t xml:space="preserve">منهم </w:t>
      </w:r>
      <w:r>
        <w:rPr>
          <w:rFonts w:hint="cs"/>
          <w:rtl/>
        </w:rPr>
        <w:t>قوانين أشد، وليس لـ 19 في المائة منهم أي رأي.</w:t>
      </w:r>
    </w:p>
    <w:p w:rsidR="003B48ED" w:rsidRDefault="003B48ED" w:rsidP="001640F3">
      <w:pPr>
        <w:pStyle w:val="SingleTxt"/>
        <w:rPr>
          <w:rFonts w:hint="cs"/>
          <w:rtl/>
        </w:rPr>
      </w:pPr>
      <w:r>
        <w:rPr>
          <w:rFonts w:hint="cs"/>
          <w:rtl/>
        </w:rPr>
        <w:t>193 -</w:t>
      </w:r>
      <w:r>
        <w:rPr>
          <w:rFonts w:hint="cs"/>
          <w:rtl/>
        </w:rPr>
        <w:tab/>
        <w:t xml:space="preserve"> و</w:t>
      </w:r>
      <w:r w:rsidR="001640F3">
        <w:rPr>
          <w:rFonts w:hint="cs"/>
          <w:rtl/>
        </w:rPr>
        <w:t xml:space="preserve">أظهرت التجربة </w:t>
      </w:r>
      <w:r>
        <w:rPr>
          <w:rFonts w:hint="cs"/>
          <w:rtl/>
        </w:rPr>
        <w:t xml:space="preserve">أنه </w:t>
      </w:r>
      <w:r w:rsidR="001640F3">
        <w:rPr>
          <w:rFonts w:hint="cs"/>
          <w:rtl/>
        </w:rPr>
        <w:t xml:space="preserve">يصعب </w:t>
      </w:r>
      <w:r>
        <w:rPr>
          <w:rFonts w:hint="cs"/>
          <w:rtl/>
        </w:rPr>
        <w:t xml:space="preserve">جمع بيانات عن تنفيذ القانون، مثلا </w:t>
      </w:r>
      <w:r w:rsidR="001640F3">
        <w:rPr>
          <w:rFonts w:hint="cs"/>
          <w:rtl/>
        </w:rPr>
        <w:t>عن</w:t>
      </w:r>
      <w:r>
        <w:rPr>
          <w:rFonts w:hint="cs"/>
          <w:rtl/>
        </w:rPr>
        <w:t xml:space="preserve"> مدى تقديم المدارس منحا للفتيات الحوامل، أو </w:t>
      </w:r>
      <w:r w:rsidR="001640F3">
        <w:rPr>
          <w:rFonts w:hint="cs"/>
          <w:rtl/>
        </w:rPr>
        <w:t xml:space="preserve">عما </w:t>
      </w:r>
      <w:r>
        <w:rPr>
          <w:rFonts w:hint="cs"/>
          <w:rtl/>
        </w:rPr>
        <w:t>إذا أتيحت للتلميذة</w:t>
      </w:r>
      <w:r w:rsidR="001640F3">
        <w:rPr>
          <w:rFonts w:hint="cs"/>
          <w:rtl/>
        </w:rPr>
        <w:t>،</w:t>
      </w:r>
      <w:r>
        <w:rPr>
          <w:rFonts w:hint="cs"/>
          <w:rtl/>
        </w:rPr>
        <w:t xml:space="preserve"> التي يقل عمرها عن 15 سنة وأنجبت رضيعا</w:t>
      </w:r>
      <w:r w:rsidR="001640F3">
        <w:rPr>
          <w:rFonts w:hint="cs"/>
          <w:rtl/>
        </w:rPr>
        <w:t>،</w:t>
      </w:r>
      <w:r>
        <w:rPr>
          <w:rFonts w:hint="cs"/>
          <w:rtl/>
        </w:rPr>
        <w:t xml:space="preserve"> </w:t>
      </w:r>
      <w:r w:rsidR="001640F3">
        <w:rPr>
          <w:rFonts w:hint="cs"/>
          <w:rtl/>
        </w:rPr>
        <w:t xml:space="preserve">فرصة اتخاذ قرار بشأن ما إذا </w:t>
      </w:r>
      <w:r>
        <w:rPr>
          <w:rFonts w:hint="cs"/>
          <w:rtl/>
        </w:rPr>
        <w:t>كانت تريد أن تصبح أما.</w:t>
      </w:r>
    </w:p>
    <w:p w:rsidR="003B48ED" w:rsidRDefault="003B48ED" w:rsidP="00B25170">
      <w:pPr>
        <w:pStyle w:val="SingleTxt"/>
        <w:rPr>
          <w:rFonts w:hint="cs"/>
          <w:rtl/>
        </w:rPr>
      </w:pPr>
      <w:r>
        <w:rPr>
          <w:rFonts w:hint="cs"/>
          <w:rtl/>
        </w:rPr>
        <w:t>194 -</w:t>
      </w:r>
      <w:r>
        <w:rPr>
          <w:rFonts w:hint="cs"/>
          <w:rtl/>
        </w:rPr>
        <w:tab/>
        <w:t xml:space="preserve"> ونظرا لضرورة إيجاد طرق لإجراء تقييم دقيق عن تطبيق القانون وعواقبه الاجتماعية، قرر رئيس الو</w:t>
      </w:r>
      <w:r w:rsidR="00B25170">
        <w:rPr>
          <w:rFonts w:hint="cs"/>
          <w:rtl/>
        </w:rPr>
        <w:t>زراء، بناء على اقتراح من المفوض</w:t>
      </w:r>
      <w:r>
        <w:rPr>
          <w:rFonts w:hint="cs"/>
          <w:rtl/>
        </w:rPr>
        <w:t xml:space="preserve">ة الحكومية </w:t>
      </w:r>
      <w:r w:rsidR="00B25170">
        <w:rPr>
          <w:rFonts w:hint="cs"/>
          <w:rtl/>
        </w:rPr>
        <w:t>المعنية با</w:t>
      </w:r>
      <w:r>
        <w:rPr>
          <w:rFonts w:hint="cs"/>
          <w:rtl/>
        </w:rPr>
        <w:t xml:space="preserve">لمساواة بين مركز </w:t>
      </w:r>
      <w:r w:rsidR="00B25170">
        <w:rPr>
          <w:rFonts w:hint="cs"/>
          <w:rtl/>
        </w:rPr>
        <w:t>النساء والرجال</w:t>
      </w:r>
      <w:r>
        <w:rPr>
          <w:rFonts w:hint="cs"/>
          <w:rtl/>
        </w:rPr>
        <w:t>، إنشاء فريق مشترك بين الوزارات لتقييم تنفيذ قانون تنظيم الأسرة وحماية الجنين البشري والظروف التي تسمح بإجراء عمليات الإجهاض.</w:t>
      </w:r>
    </w:p>
    <w:p w:rsidR="003B48ED" w:rsidRDefault="003B48ED" w:rsidP="00891427">
      <w:pPr>
        <w:pStyle w:val="SingleTxt"/>
        <w:rPr>
          <w:rFonts w:hint="cs"/>
          <w:rtl/>
        </w:rPr>
      </w:pPr>
      <w:r>
        <w:rPr>
          <w:rFonts w:hint="cs"/>
          <w:rtl/>
        </w:rPr>
        <w:t>195 -</w:t>
      </w:r>
      <w:r>
        <w:rPr>
          <w:rFonts w:hint="cs"/>
          <w:rtl/>
        </w:rPr>
        <w:tab/>
        <w:t xml:space="preserve"> اعترفت منظمة الصحة العالمية ب</w:t>
      </w:r>
      <w:r w:rsidR="00B25170">
        <w:rPr>
          <w:rFonts w:hint="cs"/>
          <w:rtl/>
          <w:lang w:bidi="ar-LB"/>
        </w:rPr>
        <w:t xml:space="preserve">أن </w:t>
      </w:r>
      <w:r>
        <w:rPr>
          <w:rFonts w:hint="cs"/>
          <w:rtl/>
        </w:rPr>
        <w:t>العقم أحد الأمراض الاجتماعية</w:t>
      </w:r>
      <w:r w:rsidR="00B25170">
        <w:rPr>
          <w:rFonts w:hint="cs"/>
          <w:rtl/>
        </w:rPr>
        <w:t>،</w:t>
      </w:r>
      <w:r>
        <w:rPr>
          <w:rFonts w:hint="cs"/>
          <w:rtl/>
        </w:rPr>
        <w:t xml:space="preserve"> بسبب حجم المشكلة</w:t>
      </w:r>
      <w:r w:rsidR="00B25170">
        <w:rPr>
          <w:rFonts w:hint="cs"/>
          <w:rtl/>
        </w:rPr>
        <w:t xml:space="preserve"> التي يخلقها</w:t>
      </w:r>
      <w:r>
        <w:rPr>
          <w:rFonts w:hint="cs"/>
          <w:rtl/>
        </w:rPr>
        <w:t xml:space="preserve">. ويؤثر العقم </w:t>
      </w:r>
      <w:r w:rsidR="00B25170">
        <w:rPr>
          <w:rFonts w:hint="cs"/>
          <w:rtl/>
        </w:rPr>
        <w:t xml:space="preserve">في فئة </w:t>
      </w:r>
      <w:r>
        <w:rPr>
          <w:rFonts w:hint="cs"/>
          <w:rtl/>
        </w:rPr>
        <w:t>كبير</w:t>
      </w:r>
      <w:r w:rsidR="00B25170">
        <w:rPr>
          <w:rFonts w:hint="cs"/>
          <w:rtl/>
        </w:rPr>
        <w:t>ة</w:t>
      </w:r>
      <w:r>
        <w:rPr>
          <w:rFonts w:hint="cs"/>
          <w:rtl/>
        </w:rPr>
        <w:t xml:space="preserve"> من السكان البولنديين، حوالي 1.2 مليون</w:t>
      </w:r>
      <w:r w:rsidR="00B25170">
        <w:rPr>
          <w:rFonts w:hint="cs"/>
          <w:rtl/>
        </w:rPr>
        <w:t xml:space="preserve"> من الأ</w:t>
      </w:r>
      <w:r>
        <w:rPr>
          <w:rFonts w:hint="cs"/>
          <w:rtl/>
        </w:rPr>
        <w:t>زو</w:t>
      </w:r>
      <w:r w:rsidR="00B25170">
        <w:rPr>
          <w:rFonts w:hint="cs"/>
          <w:rtl/>
        </w:rPr>
        <w:t>ا</w:t>
      </w:r>
      <w:r>
        <w:rPr>
          <w:rFonts w:hint="cs"/>
          <w:rtl/>
        </w:rPr>
        <w:t xml:space="preserve">ج. ولم يحاول إلا نصف هذا العدد علاج </w:t>
      </w:r>
      <w:r w:rsidR="00B25170">
        <w:rPr>
          <w:rFonts w:hint="cs"/>
          <w:rtl/>
        </w:rPr>
        <w:t xml:space="preserve">هذا </w:t>
      </w:r>
      <w:r>
        <w:rPr>
          <w:rFonts w:hint="cs"/>
          <w:rtl/>
        </w:rPr>
        <w:t>العقم، وامتنع النصف الآخر عن ذلك إما لأسباب دينية أو اقتصادية. ولم يلجأ بالفعل إلى علاج</w:t>
      </w:r>
      <w:r w:rsidR="00891427">
        <w:rPr>
          <w:rFonts w:hint="cs"/>
          <w:rtl/>
        </w:rPr>
        <w:t xml:space="preserve"> العقم</w:t>
      </w:r>
      <w:r>
        <w:rPr>
          <w:rFonts w:hint="cs"/>
          <w:rtl/>
        </w:rPr>
        <w:t xml:space="preserve"> خلال سنة </w:t>
      </w:r>
      <w:r w:rsidR="00891427">
        <w:rPr>
          <w:rFonts w:hint="cs"/>
          <w:rtl/>
        </w:rPr>
        <w:t xml:space="preserve">من السنوات </w:t>
      </w:r>
      <w:r>
        <w:rPr>
          <w:rFonts w:hint="cs"/>
          <w:rtl/>
        </w:rPr>
        <w:t xml:space="preserve">إلا 12 في المائة من الذين </w:t>
      </w:r>
      <w:r w:rsidR="00891427">
        <w:rPr>
          <w:rFonts w:hint="cs"/>
          <w:rtl/>
        </w:rPr>
        <w:t>حاولوا علاجه</w:t>
      </w:r>
      <w:r>
        <w:rPr>
          <w:rFonts w:hint="cs"/>
          <w:rtl/>
        </w:rPr>
        <w:t xml:space="preserve">. </w:t>
      </w:r>
      <w:r w:rsidR="0020712E">
        <w:rPr>
          <w:rFonts w:hint="cs"/>
          <w:rtl/>
        </w:rPr>
        <w:t>و</w:t>
      </w:r>
      <w:r w:rsidR="00891427">
        <w:rPr>
          <w:rFonts w:hint="cs"/>
          <w:rtl/>
        </w:rPr>
        <w:t>اتضح</w:t>
      </w:r>
      <w:r w:rsidR="0020712E">
        <w:rPr>
          <w:rFonts w:hint="cs"/>
          <w:rtl/>
        </w:rPr>
        <w:t xml:space="preserve"> أن وسائل الإخصاب لم تكن ناجحة إلا في 2 في المائة من الحالات. ويقدر أن 500 1 من الأزواج يسيرون على هذا الدرب في بولندا. ويعتمد تشخيص وعلاج العقم بصورة حصرية على الوضع المادي للمريض. </w:t>
      </w:r>
      <w:r w:rsidR="00891427">
        <w:rPr>
          <w:rFonts w:hint="cs"/>
          <w:rtl/>
        </w:rPr>
        <w:t>ولا تسدد الحكومة تكاليف علاج</w:t>
      </w:r>
      <w:r w:rsidR="0020712E">
        <w:rPr>
          <w:rFonts w:hint="cs"/>
          <w:rtl/>
        </w:rPr>
        <w:t xml:space="preserve"> العقم، ولا سيما الإخصاب الأنبوبي. وفي عام 2002، قدمت رابطة اللقلاق التماسا إلى وزير الصحة وقع عليه عدة آلاف من الأشخاص طلبوا فيه تسديدا جزئيا على الأقل للأدوية والإجراءات المستخدمة في معالجة العقم، بحيث يستطيع الأشخاص المتواضعي الدخل الاستفادة من هذه الوسائل.</w:t>
      </w:r>
    </w:p>
    <w:p w:rsidR="0020712E" w:rsidRDefault="0020712E" w:rsidP="00715240">
      <w:pPr>
        <w:pStyle w:val="SingleTxt"/>
        <w:rPr>
          <w:rFonts w:hint="cs"/>
          <w:rtl/>
        </w:rPr>
      </w:pPr>
      <w:r>
        <w:rPr>
          <w:rFonts w:hint="cs"/>
          <w:rtl/>
        </w:rPr>
        <w:tab/>
        <w:t xml:space="preserve">تعتزم خطة العمل الوطنية للمرأة </w:t>
      </w:r>
      <w:r>
        <w:rPr>
          <w:rtl/>
        </w:rPr>
        <w:t>–</w:t>
      </w:r>
      <w:r>
        <w:rPr>
          <w:rFonts w:hint="cs"/>
          <w:rtl/>
        </w:rPr>
        <w:t xml:space="preserve"> مرحلة التنفيذ الثانية للفترة 2003-2005، ابتداء من عام 2004</w:t>
      </w:r>
      <w:r w:rsidR="00891427">
        <w:rPr>
          <w:rFonts w:hint="cs"/>
          <w:rtl/>
        </w:rPr>
        <w:t>،</w:t>
      </w:r>
      <w:r>
        <w:rPr>
          <w:rFonts w:hint="cs"/>
          <w:rtl/>
        </w:rPr>
        <w:t xml:space="preserve"> البدء في تسديد مجموعة كبيرة من الأدوية التي</w:t>
      </w:r>
      <w:r w:rsidR="00891427">
        <w:rPr>
          <w:rFonts w:hint="cs"/>
          <w:rtl/>
        </w:rPr>
        <w:t xml:space="preserve"> تعالج العقم. وتنص خطة العمل</w:t>
      </w:r>
      <w:r>
        <w:rPr>
          <w:rFonts w:hint="cs"/>
          <w:rtl/>
        </w:rPr>
        <w:t xml:space="preserve"> على تدابير أخرى تتعلق بصحة المرأة من بينها: </w:t>
      </w:r>
    </w:p>
    <w:p w:rsidR="0020712E" w:rsidRDefault="0020712E" w:rsidP="008914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تنفيذ برامج الوقاية الصحية </w:t>
      </w:r>
      <w:r w:rsidR="00891427">
        <w:rPr>
          <w:rFonts w:hint="cs"/>
          <w:rtl/>
        </w:rPr>
        <w:t>الرامية إلى</w:t>
      </w:r>
      <w:r>
        <w:rPr>
          <w:rFonts w:hint="cs"/>
          <w:rtl/>
        </w:rPr>
        <w:t xml:space="preserve"> تحسين صحة المرأة، لا سيما فيما يتعلق بأمراض السرطان والأمراض الوراثية ورعاية الأم والطفل؛</w:t>
      </w:r>
    </w:p>
    <w:p w:rsidR="0020712E" w:rsidRDefault="0020712E" w:rsidP="002071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تطوير شبكة من العيادات التي ت</w:t>
      </w:r>
      <w:r w:rsidR="00891427">
        <w:rPr>
          <w:rFonts w:hint="cs"/>
          <w:rtl/>
        </w:rPr>
        <w:t>س</w:t>
      </w:r>
      <w:r>
        <w:rPr>
          <w:rFonts w:hint="cs"/>
          <w:rtl/>
        </w:rPr>
        <w:t>تهدف المرأة، بما في ذلك المرافق المتخصصة التي تقدم معلومات وخدمات تشخيصية للمراهقات؛</w:t>
      </w:r>
    </w:p>
    <w:p w:rsidR="0020712E" w:rsidRDefault="0020712E" w:rsidP="002071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إعداد نظام لتوفير الرعاية الطبية للمسنين بما في ذلك التشخيص، والعلاج، وإعادة التأهيل من الظروف التي تتصل بفقدان اللياقة البدنية والنفسية بسبب التقدم في السن وجميع أشكال العجز.</w:t>
      </w:r>
    </w:p>
    <w:p w:rsidR="0020712E" w:rsidRDefault="0020712E" w:rsidP="002071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إدراج المسائل الصحية للمرأة في برامج السياسات الصحية للدولة؛</w:t>
      </w:r>
    </w:p>
    <w:p w:rsidR="0020712E" w:rsidRDefault="0020712E" w:rsidP="002071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تعديل ما يلزم من القوانين المتصلة بحق المرأة </w:t>
      </w:r>
      <w:r w:rsidR="00891427">
        <w:rPr>
          <w:rFonts w:hint="cs"/>
          <w:rtl/>
        </w:rPr>
        <w:t xml:space="preserve">في </w:t>
      </w:r>
      <w:r>
        <w:rPr>
          <w:rFonts w:hint="cs"/>
          <w:rtl/>
        </w:rPr>
        <w:t>التصرف في أموم</w:t>
      </w:r>
      <w:r w:rsidR="00891427">
        <w:rPr>
          <w:rFonts w:hint="cs"/>
          <w:rtl/>
        </w:rPr>
        <w:t>ت</w:t>
      </w:r>
      <w:r>
        <w:rPr>
          <w:rFonts w:hint="cs"/>
          <w:rtl/>
        </w:rPr>
        <w:t>ها؛</w:t>
      </w:r>
    </w:p>
    <w:p w:rsidR="0020712E" w:rsidRDefault="0020712E" w:rsidP="0089142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891427">
        <w:rPr>
          <w:rFonts w:hint="cs"/>
          <w:rtl/>
        </w:rPr>
        <w:t>إدراج</w:t>
      </w:r>
      <w:r>
        <w:rPr>
          <w:rFonts w:hint="cs"/>
          <w:rtl/>
        </w:rPr>
        <w:t xml:space="preserve"> معلومات عن الوسائل الحديثة لتنظيم الأسرة في المناهج الدراسية المتعلقة بالعلاقات الجنسية، وإعداد برامج إعلامية للبالغين؛</w:t>
      </w:r>
    </w:p>
    <w:p w:rsidR="0020712E" w:rsidRDefault="00187351" w:rsidP="0018735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w:t>
      </w:r>
      <w:r w:rsidR="0020712E">
        <w:rPr>
          <w:rFonts w:hint="cs"/>
          <w:rtl/>
        </w:rPr>
        <w:t xml:space="preserve"> وسائل منع الحم</w:t>
      </w:r>
      <w:r>
        <w:rPr>
          <w:rFonts w:hint="cs"/>
          <w:rtl/>
        </w:rPr>
        <w:t>ل</w:t>
      </w:r>
      <w:r w:rsidR="0020712E">
        <w:rPr>
          <w:rFonts w:hint="cs"/>
          <w:rtl/>
        </w:rPr>
        <w:t xml:space="preserve"> الحديثة </w:t>
      </w:r>
      <w:r>
        <w:rPr>
          <w:rFonts w:hint="cs"/>
          <w:rtl/>
        </w:rPr>
        <w:t xml:space="preserve">في قائمة الأدوية </w:t>
      </w:r>
      <w:r w:rsidR="0020712E">
        <w:rPr>
          <w:rFonts w:hint="cs"/>
          <w:rtl/>
        </w:rPr>
        <w:t>التي ت</w:t>
      </w:r>
      <w:r>
        <w:rPr>
          <w:rFonts w:hint="cs"/>
          <w:rtl/>
        </w:rPr>
        <w:t>سدد</w:t>
      </w:r>
      <w:r w:rsidR="0020712E">
        <w:rPr>
          <w:rFonts w:hint="cs"/>
          <w:rtl/>
        </w:rPr>
        <w:t xml:space="preserve"> الدولة</w:t>
      </w:r>
      <w:r>
        <w:rPr>
          <w:rFonts w:hint="cs"/>
          <w:rtl/>
        </w:rPr>
        <w:t xml:space="preserve"> قيمتها</w:t>
      </w:r>
      <w:r w:rsidR="0020712E">
        <w:rPr>
          <w:rFonts w:hint="cs"/>
          <w:rtl/>
        </w:rPr>
        <w:t xml:space="preserve">. </w:t>
      </w:r>
    </w:p>
    <w:p w:rsidR="0020712E" w:rsidRDefault="0020712E" w:rsidP="0020712E">
      <w:pPr>
        <w:pStyle w:val="SingleTxt"/>
        <w:rPr>
          <w:rFonts w:hint="cs"/>
          <w:b/>
          <w:bCs/>
          <w:rtl/>
        </w:rPr>
      </w:pPr>
      <w:r>
        <w:rPr>
          <w:rFonts w:hint="cs"/>
          <w:b/>
          <w:bCs/>
          <w:rtl/>
        </w:rPr>
        <w:t xml:space="preserve">المادة 13 </w:t>
      </w:r>
      <w:r>
        <w:rPr>
          <w:b/>
          <w:bCs/>
          <w:rtl/>
        </w:rPr>
        <w:t>–</w:t>
      </w:r>
      <w:r>
        <w:rPr>
          <w:rFonts w:hint="cs"/>
          <w:b/>
          <w:bCs/>
          <w:rtl/>
        </w:rPr>
        <w:t xml:space="preserve"> الاستحقاقات الاجتماعية والاقتصادية</w:t>
      </w:r>
    </w:p>
    <w:p w:rsidR="0020712E" w:rsidRDefault="0020712E" w:rsidP="0020712E">
      <w:pPr>
        <w:pStyle w:val="SingleTxt"/>
        <w:rPr>
          <w:rFonts w:hint="cs"/>
          <w:b/>
          <w:bCs/>
          <w:rtl/>
        </w:rPr>
      </w:pPr>
      <w:r w:rsidRPr="0020712E">
        <w:rPr>
          <w:rFonts w:hint="cs"/>
          <w:b/>
          <w:bCs/>
          <w:rtl/>
        </w:rPr>
        <w:t>الاستحقاقات المتعلقة بالأسرة</w:t>
      </w:r>
    </w:p>
    <w:p w:rsidR="0020712E" w:rsidRDefault="0020712E" w:rsidP="00FE7075">
      <w:pPr>
        <w:pStyle w:val="SingleTxt"/>
        <w:rPr>
          <w:rFonts w:hint="cs"/>
          <w:rtl/>
        </w:rPr>
      </w:pPr>
      <w:r>
        <w:rPr>
          <w:rFonts w:hint="cs"/>
          <w:rtl/>
        </w:rPr>
        <w:t>197 -</w:t>
      </w:r>
      <w:r>
        <w:rPr>
          <w:rFonts w:hint="cs"/>
          <w:rtl/>
        </w:rPr>
        <w:tab/>
        <w:t xml:space="preserve"> </w:t>
      </w:r>
      <w:r w:rsidR="00FE7075">
        <w:rPr>
          <w:rFonts w:hint="cs"/>
          <w:rtl/>
        </w:rPr>
        <w:t xml:space="preserve">كما جاء </w:t>
      </w:r>
      <w:r>
        <w:rPr>
          <w:rFonts w:hint="cs"/>
          <w:rtl/>
        </w:rPr>
        <w:t xml:space="preserve">في التقرير عن الفترة السابقة، للنساء والرجال استحقاقات متساوية تتعلق بالأسرة. فما زالت هناك قوانين تضمن الحماية الخاصة للوالد الوحيد ولم تطرأ تغييرات كبيرة على نظام التعويضات العائلية والتأمينات الاجتماعية. </w:t>
      </w:r>
    </w:p>
    <w:p w:rsidR="0020712E" w:rsidRDefault="0020712E" w:rsidP="00FE7075">
      <w:pPr>
        <w:pStyle w:val="SingleTxt"/>
        <w:rPr>
          <w:rFonts w:hint="cs"/>
          <w:rtl/>
        </w:rPr>
      </w:pPr>
      <w:r>
        <w:rPr>
          <w:rFonts w:hint="cs"/>
          <w:rtl/>
        </w:rPr>
        <w:t>198 -</w:t>
      </w:r>
      <w:r>
        <w:rPr>
          <w:rFonts w:hint="cs"/>
          <w:rtl/>
        </w:rPr>
        <w:tab/>
        <w:t xml:space="preserve"> لم يطرأ أي تغيير على نظام </w:t>
      </w:r>
      <w:r w:rsidR="00FE7075">
        <w:rPr>
          <w:rFonts w:hint="cs"/>
          <w:rtl/>
        </w:rPr>
        <w:t>تخفيف</w:t>
      </w:r>
      <w:r>
        <w:rPr>
          <w:rFonts w:hint="cs"/>
          <w:rtl/>
        </w:rPr>
        <w:t xml:space="preserve"> الضرائب. فالتعويض والنفقات المتصلة برعاية الأطفال معفي</w:t>
      </w:r>
      <w:r w:rsidR="00FE7075">
        <w:rPr>
          <w:rFonts w:hint="cs"/>
          <w:rtl/>
        </w:rPr>
        <w:t>ة</w:t>
      </w:r>
      <w:r>
        <w:rPr>
          <w:rFonts w:hint="cs"/>
          <w:rtl/>
        </w:rPr>
        <w:t xml:space="preserve"> </w:t>
      </w:r>
      <w:r w:rsidR="00FE7075">
        <w:rPr>
          <w:rFonts w:hint="cs"/>
          <w:rtl/>
        </w:rPr>
        <w:t>م</w:t>
      </w:r>
      <w:r>
        <w:rPr>
          <w:rFonts w:hint="cs"/>
          <w:rtl/>
        </w:rPr>
        <w:t xml:space="preserve">ن الضرائب. ويستطيع الزوجان والمعيل الوحيد </w:t>
      </w:r>
      <w:r w:rsidR="00FE7075">
        <w:rPr>
          <w:rFonts w:hint="cs"/>
          <w:rtl/>
        </w:rPr>
        <w:t>الاشتراك معا</w:t>
      </w:r>
      <w:r>
        <w:rPr>
          <w:rFonts w:hint="cs"/>
          <w:rtl/>
        </w:rPr>
        <w:t xml:space="preserve"> في دفع الضرائب.</w:t>
      </w:r>
    </w:p>
    <w:p w:rsidR="0020122C" w:rsidRDefault="0020712E" w:rsidP="0020122C">
      <w:pPr>
        <w:pStyle w:val="SingleTxt"/>
        <w:rPr>
          <w:rFonts w:hint="cs"/>
          <w:rtl/>
        </w:rPr>
      </w:pPr>
      <w:r>
        <w:rPr>
          <w:rFonts w:hint="cs"/>
          <w:rtl/>
        </w:rPr>
        <w:t>199 -</w:t>
      </w:r>
      <w:r>
        <w:rPr>
          <w:rFonts w:hint="cs"/>
          <w:rtl/>
        </w:rPr>
        <w:tab/>
        <w:t xml:space="preserve"> إن التعديل المؤرخ 17 كانون الأول/ديسمبر 2001، (الذي بدأ نفاذه في 1 كانون الثاني/يناير </w:t>
      </w:r>
      <w:r w:rsidR="00FE7075">
        <w:rPr>
          <w:rFonts w:hint="cs"/>
          <w:rtl/>
        </w:rPr>
        <w:t xml:space="preserve">2002 </w:t>
      </w:r>
      <w:r>
        <w:rPr>
          <w:rFonts w:hint="cs"/>
          <w:rtl/>
        </w:rPr>
        <w:t>أضاف إلى أحكام قانون</w:t>
      </w:r>
      <w:r w:rsidR="0020122C">
        <w:rPr>
          <w:rFonts w:hint="cs"/>
          <w:rtl/>
        </w:rPr>
        <w:t xml:space="preserve"> التأمينات الاجتماعية بدل الأمومة الدوري ومنحة الأمومة. ويمكن دفع بدل الأمومة الدوري إلى المعيلة الوحيدة، أو إلى أب الطفل الذي توفيت أمه أو تخلت عنه خلال الأشهر الأربعة الأولى من حياة الطفل، أو إلى شخص وضع الطفل في أسرة حاضنة، أو إلى شخص يرعى الطفل وتقدم بطلب إلى المحكمة العائلية لكي يتبناه (أثناء السنة الأولى من حياة الطفل). ولنفس الأشخاص الحق في الحصول على منحة الأمومة بنفس القيمة عن كل طفل.</w:t>
      </w:r>
    </w:p>
    <w:p w:rsidR="0020122C" w:rsidRDefault="0020122C" w:rsidP="00C3398C">
      <w:pPr>
        <w:pStyle w:val="SingleTxt"/>
        <w:rPr>
          <w:rFonts w:hint="cs"/>
          <w:rtl/>
        </w:rPr>
      </w:pPr>
      <w:r>
        <w:rPr>
          <w:rFonts w:hint="cs"/>
          <w:rtl/>
        </w:rPr>
        <w:t>200 -</w:t>
      </w:r>
      <w:r>
        <w:rPr>
          <w:rFonts w:hint="cs"/>
          <w:rtl/>
        </w:rPr>
        <w:tab/>
        <w:t xml:space="preserve"> خلال </w:t>
      </w:r>
      <w:r w:rsidR="00FE7075">
        <w:rPr>
          <w:rFonts w:hint="cs"/>
          <w:rtl/>
        </w:rPr>
        <w:t xml:space="preserve">فترة </w:t>
      </w:r>
      <w:r>
        <w:rPr>
          <w:rFonts w:hint="cs"/>
          <w:rtl/>
        </w:rPr>
        <w:t>التقرير</w:t>
      </w:r>
      <w:r w:rsidR="00C3398C">
        <w:rPr>
          <w:rFonts w:hint="cs"/>
          <w:rtl/>
        </w:rPr>
        <w:t xml:space="preserve"> السابقة</w:t>
      </w:r>
      <w:r>
        <w:rPr>
          <w:rFonts w:hint="cs"/>
          <w:rtl/>
        </w:rPr>
        <w:t xml:space="preserve">، كان </w:t>
      </w:r>
      <w:r w:rsidR="00FE7075">
        <w:rPr>
          <w:rFonts w:hint="cs"/>
          <w:rtl/>
        </w:rPr>
        <w:t>دفع البدل الدوري من التأمينات الاجتماعية مضمو</w:t>
      </w:r>
      <w:r>
        <w:rPr>
          <w:rFonts w:hint="cs"/>
          <w:rtl/>
        </w:rPr>
        <w:t>ن</w:t>
      </w:r>
      <w:r w:rsidR="00FE7075">
        <w:rPr>
          <w:rFonts w:hint="cs"/>
          <w:rtl/>
        </w:rPr>
        <w:t>ا</w:t>
      </w:r>
      <w:r>
        <w:rPr>
          <w:rFonts w:hint="cs"/>
          <w:rtl/>
        </w:rPr>
        <w:t xml:space="preserve"> للشخص الذي فقد حقه في الاستحقاقات المتعلقة بالبطالة وكان في نفس الوقت المعيل الوحيد ل</w:t>
      </w:r>
      <w:r w:rsidR="00FE7075">
        <w:rPr>
          <w:rFonts w:hint="cs"/>
          <w:rtl/>
        </w:rPr>
        <w:t xml:space="preserve">طفل واحد على الأقل عمره </w:t>
      </w:r>
      <w:r>
        <w:rPr>
          <w:rFonts w:hint="cs"/>
          <w:rtl/>
        </w:rPr>
        <w:t xml:space="preserve">تحت سن 15سنة. واعتبارا من 1 </w:t>
      </w:r>
      <w:r w:rsidR="00C3398C">
        <w:rPr>
          <w:rFonts w:hint="cs"/>
          <w:rtl/>
        </w:rPr>
        <w:t>أيلول/سبتمبر 2001، شمل هذا البدل</w:t>
      </w:r>
      <w:r>
        <w:rPr>
          <w:rFonts w:hint="cs"/>
          <w:rtl/>
        </w:rPr>
        <w:t xml:space="preserve"> الأشخاص الذين يرعون </w:t>
      </w:r>
      <w:r w:rsidR="00FE7075">
        <w:rPr>
          <w:rFonts w:hint="cs"/>
          <w:rtl/>
        </w:rPr>
        <w:t>أ</w:t>
      </w:r>
      <w:r>
        <w:rPr>
          <w:rFonts w:hint="cs"/>
          <w:rtl/>
        </w:rPr>
        <w:t>طف</w:t>
      </w:r>
      <w:r w:rsidR="00FE7075">
        <w:rPr>
          <w:rFonts w:hint="cs"/>
          <w:rtl/>
        </w:rPr>
        <w:t>ا</w:t>
      </w:r>
      <w:r>
        <w:rPr>
          <w:rFonts w:hint="cs"/>
          <w:rtl/>
        </w:rPr>
        <w:t>ل</w:t>
      </w:r>
      <w:r w:rsidR="00FE7075">
        <w:rPr>
          <w:rFonts w:hint="cs"/>
          <w:rtl/>
        </w:rPr>
        <w:t>ا</w:t>
      </w:r>
      <w:r>
        <w:rPr>
          <w:rFonts w:hint="cs"/>
          <w:rtl/>
        </w:rPr>
        <w:t xml:space="preserve"> حتى سن 16 سنة. واعتبارا من 1 كانون الثاني/يناير 2002، ت</w:t>
      </w:r>
      <w:r w:rsidR="00FE7075">
        <w:rPr>
          <w:rFonts w:hint="cs"/>
          <w:rtl/>
        </w:rPr>
        <w:t>م قصر</w:t>
      </w:r>
      <w:r>
        <w:rPr>
          <w:rFonts w:hint="cs"/>
          <w:rtl/>
        </w:rPr>
        <w:t xml:space="preserve"> الحق ف</w:t>
      </w:r>
      <w:r w:rsidR="00FE7075">
        <w:rPr>
          <w:rFonts w:hint="cs"/>
          <w:rtl/>
        </w:rPr>
        <w:t>ي الحصول على البدل الدوري على المعيل</w:t>
      </w:r>
      <w:r w:rsidR="00C3398C">
        <w:rPr>
          <w:rFonts w:hint="cs"/>
          <w:rtl/>
        </w:rPr>
        <w:t xml:space="preserve"> الوحيد الذي يرعى </w:t>
      </w:r>
      <w:r>
        <w:rPr>
          <w:rFonts w:hint="cs"/>
          <w:rtl/>
        </w:rPr>
        <w:t>أطفال</w:t>
      </w:r>
      <w:r w:rsidR="00C3398C">
        <w:rPr>
          <w:rFonts w:hint="cs"/>
          <w:rtl/>
        </w:rPr>
        <w:t>ا</w:t>
      </w:r>
      <w:r>
        <w:rPr>
          <w:rFonts w:hint="cs"/>
          <w:rtl/>
        </w:rPr>
        <w:t xml:space="preserve"> </w:t>
      </w:r>
      <w:r w:rsidR="00C3398C">
        <w:rPr>
          <w:rFonts w:hint="cs"/>
          <w:rtl/>
        </w:rPr>
        <w:t xml:space="preserve">حتى سن </w:t>
      </w:r>
      <w:r>
        <w:rPr>
          <w:rFonts w:hint="cs"/>
          <w:rtl/>
        </w:rPr>
        <w:t>سبع سنوات. ولم يطرأ تغيير على مدة</w:t>
      </w:r>
      <w:r w:rsidR="00C3398C">
        <w:rPr>
          <w:rFonts w:hint="cs"/>
          <w:rtl/>
        </w:rPr>
        <w:t xml:space="preserve"> الحصول على البدل وما أضيف إليه</w:t>
      </w:r>
      <w:r>
        <w:rPr>
          <w:rFonts w:hint="cs"/>
          <w:rtl/>
        </w:rPr>
        <w:t xml:space="preserve"> من ا</w:t>
      </w:r>
      <w:r w:rsidR="00C3398C">
        <w:rPr>
          <w:rFonts w:hint="cs"/>
          <w:rtl/>
        </w:rPr>
        <w:t>لا</w:t>
      </w:r>
      <w:r>
        <w:rPr>
          <w:rFonts w:hint="cs"/>
          <w:rtl/>
        </w:rPr>
        <w:t xml:space="preserve">شتراكات </w:t>
      </w:r>
      <w:r w:rsidR="00C3398C">
        <w:rPr>
          <w:rFonts w:hint="cs"/>
          <w:rtl/>
        </w:rPr>
        <w:t>التي دفعها الوالدان ل</w:t>
      </w:r>
      <w:r>
        <w:rPr>
          <w:rFonts w:hint="cs"/>
          <w:rtl/>
        </w:rPr>
        <w:t>لتأمينات الاجتماعية.</w:t>
      </w:r>
    </w:p>
    <w:p w:rsidR="0020122C" w:rsidRDefault="0020122C" w:rsidP="00063873">
      <w:pPr>
        <w:pStyle w:val="SingleTxt"/>
        <w:rPr>
          <w:rFonts w:hint="cs"/>
          <w:rtl/>
        </w:rPr>
      </w:pPr>
      <w:r>
        <w:rPr>
          <w:rFonts w:hint="cs"/>
          <w:rtl/>
        </w:rPr>
        <w:t>201 -</w:t>
      </w:r>
      <w:r>
        <w:rPr>
          <w:rFonts w:hint="cs"/>
          <w:rtl/>
        </w:rPr>
        <w:tab/>
        <w:t xml:space="preserve"> </w:t>
      </w:r>
      <w:r w:rsidR="00EB558B">
        <w:rPr>
          <w:rFonts w:hint="cs"/>
          <w:rtl/>
        </w:rPr>
        <w:t>بموجب</w:t>
      </w:r>
      <w:r>
        <w:rPr>
          <w:rFonts w:hint="cs"/>
          <w:rtl/>
        </w:rPr>
        <w:t xml:space="preserve"> القانون المؤرخ 1 كانون الأول/ديسمبر 1994 عن الاستحقاقات المتعلقة بالأسرة وعلاج الأطفال ورعايتهم (جريدة القوانين لعام 1998، رقم 102، البند 651 مع التعديلات اللاحقة)، </w:t>
      </w:r>
      <w:r w:rsidR="00EB558B">
        <w:rPr>
          <w:rFonts w:hint="cs"/>
          <w:rtl/>
        </w:rPr>
        <w:t>و</w:t>
      </w:r>
      <w:r>
        <w:rPr>
          <w:rFonts w:hint="cs"/>
          <w:rtl/>
        </w:rPr>
        <w:t>اعتبارا من 1 أيلول/سبتمبر 1998، ي</w:t>
      </w:r>
      <w:r w:rsidR="00EB558B">
        <w:rPr>
          <w:rFonts w:hint="cs"/>
          <w:rtl/>
        </w:rPr>
        <w:t>حق</w:t>
      </w:r>
      <w:r>
        <w:rPr>
          <w:rFonts w:hint="cs"/>
          <w:rtl/>
        </w:rPr>
        <w:t xml:space="preserve"> </w:t>
      </w:r>
      <w:r w:rsidR="00EB558B">
        <w:rPr>
          <w:rFonts w:hint="cs"/>
          <w:rtl/>
        </w:rPr>
        <w:t>ل</w:t>
      </w:r>
      <w:r>
        <w:rPr>
          <w:rFonts w:hint="cs"/>
          <w:rtl/>
        </w:rPr>
        <w:t xml:space="preserve">لأشخاص الذين يربون أطفالهم بمفردهم </w:t>
      </w:r>
      <w:r w:rsidR="00EB558B">
        <w:rPr>
          <w:rFonts w:hint="cs"/>
          <w:rtl/>
        </w:rPr>
        <w:t>الحصول على</w:t>
      </w:r>
      <w:r>
        <w:rPr>
          <w:rFonts w:hint="cs"/>
          <w:rtl/>
        </w:rPr>
        <w:t xml:space="preserve"> بدل تربية أطفال لمدة 36 شهرا، وهو بدل يشبه البدل الممنوح فيم</w:t>
      </w:r>
      <w:r w:rsidR="00EB558B">
        <w:rPr>
          <w:rFonts w:hint="cs"/>
          <w:rtl/>
        </w:rPr>
        <w:t>ا يتصل بالولادات المتعددة. ورفع</w:t>
      </w:r>
      <w:r>
        <w:rPr>
          <w:rFonts w:hint="cs"/>
          <w:rtl/>
        </w:rPr>
        <w:t xml:space="preserve"> تعديل آخر للقانون </w:t>
      </w:r>
      <w:r w:rsidR="00EB558B">
        <w:rPr>
          <w:rFonts w:hint="cs"/>
          <w:rtl/>
        </w:rPr>
        <w:t>أجري</w:t>
      </w:r>
      <w:r>
        <w:rPr>
          <w:rFonts w:hint="cs"/>
          <w:rtl/>
        </w:rPr>
        <w:t xml:space="preserve"> في كانون الثاني/يناير 2002، لمدة سنة واحدة (من 1 حزيران/يونيه 2002 إلى 31 أيار/مايو 2003)</w:t>
      </w:r>
      <w:r w:rsidR="00EB558B">
        <w:rPr>
          <w:rFonts w:hint="cs"/>
          <w:rtl/>
        </w:rPr>
        <w:t>،</w:t>
      </w:r>
      <w:r>
        <w:rPr>
          <w:rFonts w:hint="cs"/>
          <w:rtl/>
        </w:rPr>
        <w:t xml:space="preserve"> الحد الأقصى لدخل </w:t>
      </w:r>
      <w:r w:rsidR="00EB558B">
        <w:rPr>
          <w:rFonts w:hint="cs"/>
          <w:rtl/>
        </w:rPr>
        <w:t xml:space="preserve">كل </w:t>
      </w:r>
      <w:r>
        <w:rPr>
          <w:rFonts w:hint="cs"/>
          <w:rtl/>
        </w:rPr>
        <w:t xml:space="preserve">فرد </w:t>
      </w:r>
      <w:r w:rsidR="00EB558B">
        <w:rPr>
          <w:rFonts w:hint="cs"/>
          <w:rtl/>
        </w:rPr>
        <w:t>في الأسرة</w:t>
      </w:r>
      <w:r w:rsidR="00063873">
        <w:rPr>
          <w:rFonts w:hint="cs"/>
          <w:rtl/>
        </w:rPr>
        <w:t>، الذي يحق بموجبه</w:t>
      </w:r>
      <w:r w:rsidR="00EB558B">
        <w:rPr>
          <w:rFonts w:hint="cs"/>
          <w:rtl/>
        </w:rPr>
        <w:t xml:space="preserve"> </w:t>
      </w:r>
      <w:r>
        <w:rPr>
          <w:rFonts w:hint="cs"/>
          <w:rtl/>
        </w:rPr>
        <w:t>للأشخاص الذين يربون أطفالهم بمفردهم الحصول على البدل.</w:t>
      </w:r>
    </w:p>
    <w:p w:rsidR="0020122C" w:rsidRDefault="0020122C" w:rsidP="00063873">
      <w:pPr>
        <w:pStyle w:val="SingleTxt"/>
        <w:rPr>
          <w:rFonts w:hint="cs"/>
          <w:rtl/>
        </w:rPr>
      </w:pPr>
      <w:r>
        <w:rPr>
          <w:rFonts w:hint="cs"/>
          <w:rtl/>
        </w:rPr>
        <w:t xml:space="preserve">202 </w:t>
      </w:r>
      <w:r>
        <w:rPr>
          <w:rtl/>
        </w:rPr>
        <w:t>–</w:t>
      </w:r>
      <w:r>
        <w:rPr>
          <w:rFonts w:hint="cs"/>
          <w:rtl/>
        </w:rPr>
        <w:t xml:space="preserve"> القانون المؤرخ 7 تشرين الأول/أكتوبر 1999 (الذي بدأ نفاذه في 1 كانون الثاني/ يناير 2000) أعاد معيار الدخل</w:t>
      </w:r>
      <w:r w:rsidRPr="0020122C">
        <w:rPr>
          <w:vertAlign w:val="superscript"/>
          <w:rtl/>
        </w:rPr>
        <w:t>(</w:t>
      </w:r>
      <w:r>
        <w:rPr>
          <w:rStyle w:val="FootnoteReference"/>
          <w:rtl/>
        </w:rPr>
        <w:footnoteReference w:id="3"/>
      </w:r>
      <w:r w:rsidRPr="0020122C">
        <w:rPr>
          <w:vertAlign w:val="superscript"/>
          <w:rtl/>
        </w:rPr>
        <w:t>)</w:t>
      </w:r>
      <w:r>
        <w:rPr>
          <w:rFonts w:hint="cs"/>
          <w:rtl/>
        </w:rPr>
        <w:t xml:space="preserve"> (</w:t>
      </w:r>
      <w:r w:rsidR="00063873">
        <w:rPr>
          <w:rFonts w:hint="cs"/>
          <w:rtl/>
        </w:rPr>
        <w:t xml:space="preserve">الذي </w:t>
      </w:r>
      <w:r>
        <w:rPr>
          <w:rFonts w:hint="cs"/>
          <w:rtl/>
        </w:rPr>
        <w:t xml:space="preserve">ألغي في عام 1989) </w:t>
      </w:r>
      <w:r w:rsidR="00063873">
        <w:rPr>
          <w:rFonts w:hint="cs"/>
          <w:rtl/>
        </w:rPr>
        <w:t>الذي يُطبق على ال</w:t>
      </w:r>
      <w:r>
        <w:rPr>
          <w:rFonts w:hint="cs"/>
          <w:rtl/>
        </w:rPr>
        <w:t xml:space="preserve">أشخاص الذين </w:t>
      </w:r>
      <w:r w:rsidR="00063873">
        <w:rPr>
          <w:rFonts w:hint="cs"/>
          <w:rtl/>
        </w:rPr>
        <w:t xml:space="preserve">يتقدمون بطلب للحصول على </w:t>
      </w:r>
      <w:r>
        <w:rPr>
          <w:rFonts w:hint="cs"/>
          <w:rtl/>
        </w:rPr>
        <w:t xml:space="preserve">النفقة. </w:t>
      </w:r>
      <w:r w:rsidR="00063873">
        <w:rPr>
          <w:rFonts w:hint="cs"/>
          <w:rtl/>
        </w:rPr>
        <w:t xml:space="preserve">إن </w:t>
      </w:r>
      <w:r>
        <w:rPr>
          <w:rFonts w:hint="cs"/>
          <w:rtl/>
        </w:rPr>
        <w:t>متوسط الدخل الشهري لكل فرد في الأسرة خلال السنة التقويمية السابقة لا يمكن أن يتجاوز 60 في المائة من متوسط الأجر الذي أعلن عنه رئيس مكتب الإحصاءات المركزي لأغراض المعاشات التقاعدية، على ألا تتجاوز قيمة البدل 30 في المائة من ذلك الأجر. و</w:t>
      </w:r>
      <w:r w:rsidR="00063873">
        <w:rPr>
          <w:rFonts w:hint="cs"/>
          <w:rtl/>
        </w:rPr>
        <w:t xml:space="preserve">يتمثل </w:t>
      </w:r>
      <w:r>
        <w:rPr>
          <w:rFonts w:hint="cs"/>
          <w:rtl/>
        </w:rPr>
        <w:t xml:space="preserve">الهدف من العودة إلى معيار الدخل </w:t>
      </w:r>
      <w:r w:rsidR="00063873">
        <w:rPr>
          <w:rFonts w:hint="cs"/>
          <w:rtl/>
        </w:rPr>
        <w:t>في</w:t>
      </w:r>
      <w:r>
        <w:rPr>
          <w:rFonts w:hint="cs"/>
          <w:rtl/>
        </w:rPr>
        <w:t xml:space="preserve"> عدم منح المساعدة إلا لأصحاب أقل الدخول، وتخفيف الضغط على ميزانية</w:t>
      </w:r>
      <w:r w:rsidR="00063873">
        <w:rPr>
          <w:rFonts w:hint="cs"/>
          <w:rtl/>
        </w:rPr>
        <w:t xml:space="preserve"> الدولة. ولم يكن لهذا التغيير</w:t>
      </w:r>
      <w:r>
        <w:rPr>
          <w:rFonts w:hint="cs"/>
          <w:rtl/>
        </w:rPr>
        <w:t xml:space="preserve"> أثر </w:t>
      </w:r>
      <w:r w:rsidR="00063873">
        <w:rPr>
          <w:rFonts w:hint="cs"/>
          <w:rtl/>
        </w:rPr>
        <w:t xml:space="preserve">كبير على عدد البدلات الممنوحة، إذ </w:t>
      </w:r>
      <w:r>
        <w:rPr>
          <w:rFonts w:hint="cs"/>
          <w:rtl/>
        </w:rPr>
        <w:t>قل</w:t>
      </w:r>
      <w:r w:rsidR="00063873">
        <w:rPr>
          <w:rFonts w:hint="cs"/>
          <w:rtl/>
        </w:rPr>
        <w:t>ّ</w:t>
      </w:r>
      <w:r>
        <w:rPr>
          <w:rFonts w:hint="cs"/>
          <w:rtl/>
        </w:rPr>
        <w:t xml:space="preserve"> معدل نموها بشكل طفيف في سنة 2000 (فيما يلي الأرقام التي توضح معدلات النمو ذات الصلة بالنسبة للسنوات السابقة: 107 في المائة في عام 1999 و 103.4 في المائة في عام 2000 و 107.5 في المائة في عام 2001 و 106.1 في المائة في عام 2002). </w:t>
      </w:r>
    </w:p>
    <w:p w:rsidR="0020122C" w:rsidRDefault="0020122C" w:rsidP="002C1691">
      <w:pPr>
        <w:pStyle w:val="SingleTxt"/>
        <w:rPr>
          <w:rFonts w:hint="cs"/>
          <w:rtl/>
        </w:rPr>
      </w:pPr>
      <w:r>
        <w:rPr>
          <w:rFonts w:hint="cs"/>
          <w:rtl/>
        </w:rPr>
        <w:t>203 -</w:t>
      </w:r>
      <w:r>
        <w:rPr>
          <w:rFonts w:hint="cs"/>
          <w:rtl/>
        </w:rPr>
        <w:tab/>
        <w:t xml:space="preserve"> هناك بند </w:t>
      </w:r>
      <w:r w:rsidR="00E44CC3">
        <w:rPr>
          <w:rFonts w:hint="cs"/>
          <w:rtl/>
        </w:rPr>
        <w:t xml:space="preserve">قانوني غير موجه للمعيلين الوحيدين، ولكنه مع ذلك مهم من وجهة نظر التأمينات الاجتماعية، يحظر هذا البند (اعتبارا من </w:t>
      </w:r>
      <w:r w:rsidR="002C1691">
        <w:rPr>
          <w:rFonts w:hint="cs"/>
          <w:rtl/>
        </w:rPr>
        <w:t>10 تموز/يوليه 2001) طرد</w:t>
      </w:r>
      <w:r w:rsidR="00E44CC3">
        <w:rPr>
          <w:rFonts w:hint="cs"/>
          <w:rtl/>
        </w:rPr>
        <w:t xml:space="preserve"> </w:t>
      </w:r>
      <w:r w:rsidR="002C1691">
        <w:rPr>
          <w:rFonts w:hint="cs"/>
          <w:rtl/>
        </w:rPr>
        <w:t>ال</w:t>
      </w:r>
      <w:r w:rsidR="00E44CC3">
        <w:rPr>
          <w:rFonts w:hint="cs"/>
          <w:rtl/>
        </w:rPr>
        <w:t>ح</w:t>
      </w:r>
      <w:r w:rsidR="002C1691">
        <w:rPr>
          <w:rFonts w:hint="cs"/>
          <w:rtl/>
        </w:rPr>
        <w:t>و</w:t>
      </w:r>
      <w:r w:rsidR="00E44CC3">
        <w:rPr>
          <w:rFonts w:hint="cs"/>
          <w:rtl/>
        </w:rPr>
        <w:t xml:space="preserve">امل أو </w:t>
      </w:r>
      <w:r w:rsidR="002C1691">
        <w:rPr>
          <w:rFonts w:hint="cs"/>
          <w:rtl/>
        </w:rPr>
        <w:t>ال</w:t>
      </w:r>
      <w:r w:rsidR="00E44CC3">
        <w:rPr>
          <w:rFonts w:hint="cs"/>
          <w:rtl/>
        </w:rPr>
        <w:t xml:space="preserve">أشخاص </w:t>
      </w:r>
      <w:r w:rsidR="002C1691">
        <w:rPr>
          <w:rFonts w:hint="cs"/>
          <w:rtl/>
        </w:rPr>
        <w:t xml:space="preserve">الذين </w:t>
      </w:r>
      <w:r w:rsidR="00E44CC3">
        <w:rPr>
          <w:rFonts w:hint="cs"/>
          <w:rtl/>
        </w:rPr>
        <w:t>يربون أطفالا صغارا من منازلهم دون إيجاد</w:t>
      </w:r>
      <w:r w:rsidR="002C1691">
        <w:rPr>
          <w:rFonts w:hint="cs"/>
          <w:rtl/>
        </w:rPr>
        <w:t xml:space="preserve"> </w:t>
      </w:r>
      <w:r w:rsidR="00E44CC3">
        <w:rPr>
          <w:rFonts w:hint="cs"/>
          <w:rtl/>
        </w:rPr>
        <w:t>سكن اجتماعي</w:t>
      </w:r>
      <w:r w:rsidR="002C1691">
        <w:rPr>
          <w:rFonts w:hint="cs"/>
          <w:rtl/>
        </w:rPr>
        <w:t xml:space="preserve"> يأويهم</w:t>
      </w:r>
      <w:r w:rsidR="00E44CC3">
        <w:rPr>
          <w:rFonts w:hint="cs"/>
          <w:rtl/>
        </w:rPr>
        <w:t xml:space="preserve"> </w:t>
      </w:r>
      <w:r w:rsidR="00E44CC3" w:rsidRPr="00E44CC3">
        <w:rPr>
          <w:vertAlign w:val="superscript"/>
          <w:rtl/>
        </w:rPr>
        <w:t>(</w:t>
      </w:r>
      <w:r w:rsidR="00E44CC3">
        <w:rPr>
          <w:rStyle w:val="FootnoteReference"/>
          <w:rtl/>
        </w:rPr>
        <w:footnoteReference w:id="4"/>
      </w:r>
      <w:r w:rsidR="00E44CC3" w:rsidRPr="00E44CC3">
        <w:rPr>
          <w:vertAlign w:val="superscript"/>
          <w:rtl/>
        </w:rPr>
        <w:t>)</w:t>
      </w:r>
      <w:r w:rsidR="00E44CC3">
        <w:rPr>
          <w:rFonts w:hint="cs"/>
          <w:rtl/>
        </w:rPr>
        <w:t>.</w:t>
      </w:r>
    </w:p>
    <w:p w:rsidR="00E44CC3" w:rsidRDefault="00E44CC3" w:rsidP="002C1691">
      <w:pPr>
        <w:pStyle w:val="SingleTxt"/>
        <w:rPr>
          <w:rFonts w:hint="cs"/>
          <w:rtl/>
        </w:rPr>
      </w:pPr>
      <w:r>
        <w:rPr>
          <w:rFonts w:hint="cs"/>
          <w:rtl/>
        </w:rPr>
        <w:t>204 -</w:t>
      </w:r>
      <w:r>
        <w:rPr>
          <w:rFonts w:hint="cs"/>
          <w:rtl/>
        </w:rPr>
        <w:tab/>
        <w:t xml:space="preserve"> بعد انقضاء الفترة التي يغطيها التقرير، اتخذت الحكومة خطوات لتبسيط وإدماج نظام الاستحقاقات </w:t>
      </w:r>
      <w:r w:rsidR="002C1691">
        <w:rPr>
          <w:rFonts w:hint="cs"/>
          <w:rtl/>
        </w:rPr>
        <w:t>للتأكد من</w:t>
      </w:r>
      <w:r>
        <w:rPr>
          <w:rFonts w:hint="cs"/>
          <w:rtl/>
        </w:rPr>
        <w:t xml:space="preserve"> أن المساعدة تصل إلى الأشخاص الذين بحاجة إليها. وتم إلغاء قانون الاستحقاقات المتعلق بالأسرة وعلاج الأطفال وتربيتهم، وقانون صندوق النفقة وحل محلهما القانون المؤرخ 28 تشرين الثاني/نوفمبر 2003 عن التعويضات العائلية (جريدة القوانين رقم 228، البند 2255) الذي بدأ نفاذه في 1 أيار/مايو 2004. وفيما</w:t>
      </w:r>
      <w:r>
        <w:rPr>
          <w:rFonts w:hint="eastAsia"/>
          <w:rtl/>
        </w:rPr>
        <w:t> </w:t>
      </w:r>
      <w:r>
        <w:rPr>
          <w:rFonts w:hint="cs"/>
          <w:rtl/>
        </w:rPr>
        <w:t>يلي أهم التغييرات:</w:t>
      </w:r>
    </w:p>
    <w:p w:rsidR="00E44CC3" w:rsidRDefault="00E44CC3" w:rsidP="002C169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استحداث معايير موحدة وشفافة للدخل </w:t>
      </w:r>
      <w:r w:rsidR="002C1691">
        <w:rPr>
          <w:rFonts w:hint="cs"/>
          <w:rtl/>
        </w:rPr>
        <w:t>لتحديد</w:t>
      </w:r>
      <w:r>
        <w:rPr>
          <w:rFonts w:hint="cs"/>
          <w:rtl/>
        </w:rPr>
        <w:t xml:space="preserve"> جميع الاستحقاقات </w:t>
      </w:r>
      <w:r w:rsidR="002C1691">
        <w:rPr>
          <w:rFonts w:hint="cs"/>
          <w:rtl/>
        </w:rPr>
        <w:t>التي يمنحها</w:t>
      </w:r>
      <w:r>
        <w:rPr>
          <w:rFonts w:hint="cs"/>
          <w:rtl/>
        </w:rPr>
        <w:t xml:space="preserve"> القانون؛</w:t>
      </w:r>
    </w:p>
    <w:p w:rsidR="00E44CC3" w:rsidRDefault="00E44CC3" w:rsidP="00E44C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2202D0">
        <w:rPr>
          <w:rFonts w:hint="cs"/>
          <w:rtl/>
        </w:rPr>
        <w:t>منح تعويضات عائلية بصورة حصرية للأسر التي لديها أطفال تعيلهم؛</w:t>
      </w:r>
    </w:p>
    <w:p w:rsidR="002202D0" w:rsidRDefault="002202D0" w:rsidP="00E44C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استحداث نظام يتم بموجبه إعطاء منحة واحدة وبدلات دورية للأطفال الكبار في السن (منحة للالتحاق بالمدارس وبدل مواصلات)؛ </w:t>
      </w:r>
    </w:p>
    <w:p w:rsidR="002202D0" w:rsidRDefault="002202D0" w:rsidP="00E44C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الاستعاضة عن صندوق النفقة باستحقاقات للأشخا</w:t>
      </w:r>
      <w:r w:rsidR="002C1691">
        <w:rPr>
          <w:rFonts w:hint="cs"/>
          <w:rtl/>
        </w:rPr>
        <w:t>ص ا</w:t>
      </w:r>
      <w:r>
        <w:rPr>
          <w:rFonts w:hint="cs"/>
          <w:rtl/>
        </w:rPr>
        <w:t>لذين يربون أطفالهم بمفردهم (بغض النظر عن استلامهم النفقة).</w:t>
      </w:r>
    </w:p>
    <w:p w:rsidR="001D1102" w:rsidRDefault="001D1102" w:rsidP="00E44C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p>
    <w:p w:rsidR="001D1102" w:rsidRDefault="001D1102" w:rsidP="00E44C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p>
    <w:p w:rsidR="001D1102" w:rsidRDefault="001D1102" w:rsidP="00E44CC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p>
    <w:p w:rsidR="002202D0" w:rsidRDefault="002202D0" w:rsidP="002202D0">
      <w:pPr>
        <w:pStyle w:val="SingleTxt"/>
        <w:rPr>
          <w:rFonts w:hint="cs"/>
          <w:b/>
          <w:bCs/>
          <w:rtl/>
        </w:rPr>
      </w:pPr>
      <w:r>
        <w:rPr>
          <w:rFonts w:hint="cs"/>
          <w:b/>
          <w:bCs/>
          <w:rtl/>
        </w:rPr>
        <w:t>المرأة في قطاع الأعمال</w:t>
      </w:r>
    </w:p>
    <w:p w:rsidR="002202D0" w:rsidRDefault="002202D0" w:rsidP="002202D0">
      <w:pPr>
        <w:pStyle w:val="SingleTxt"/>
        <w:rPr>
          <w:rFonts w:hint="cs"/>
          <w:rtl/>
        </w:rPr>
      </w:pPr>
      <w:r>
        <w:rPr>
          <w:rFonts w:hint="cs"/>
          <w:rtl/>
        </w:rPr>
        <w:t>205 -</w:t>
      </w:r>
      <w:r>
        <w:rPr>
          <w:rFonts w:hint="cs"/>
          <w:rtl/>
        </w:rPr>
        <w:tab/>
        <w:t xml:space="preserve"> مجموعة أصحاب المشاريع تضم الأشخاص الذين يعملون لحسابهم</w:t>
      </w:r>
      <w:r w:rsidRPr="002202D0">
        <w:rPr>
          <w:vertAlign w:val="superscript"/>
          <w:rtl/>
        </w:rPr>
        <w:t>(</w:t>
      </w:r>
      <w:r>
        <w:rPr>
          <w:rStyle w:val="FootnoteReference"/>
          <w:rtl/>
        </w:rPr>
        <w:footnoteReference w:id="5"/>
      </w:r>
      <w:r w:rsidRPr="002202D0">
        <w:rPr>
          <w:vertAlign w:val="superscript"/>
          <w:rtl/>
        </w:rPr>
        <w:t>)</w:t>
      </w:r>
      <w:r>
        <w:rPr>
          <w:rFonts w:hint="cs"/>
          <w:rtl/>
        </w:rPr>
        <w:t xml:space="preserve"> وأرباب العمل</w:t>
      </w:r>
      <w:r w:rsidRPr="002202D0">
        <w:rPr>
          <w:vertAlign w:val="superscript"/>
          <w:rtl/>
        </w:rPr>
        <w:t>(</w:t>
      </w:r>
      <w:r>
        <w:rPr>
          <w:rStyle w:val="FootnoteReference"/>
          <w:rtl/>
        </w:rPr>
        <w:footnoteReference w:id="6"/>
      </w:r>
      <w:r w:rsidRPr="002202D0">
        <w:rPr>
          <w:vertAlign w:val="superscript"/>
          <w:rtl/>
        </w:rPr>
        <w:t>)</w:t>
      </w:r>
      <w:r>
        <w:rPr>
          <w:rFonts w:hint="cs"/>
          <w:rtl/>
        </w:rPr>
        <w:t>.</w:t>
      </w:r>
    </w:p>
    <w:p w:rsidR="002202D0" w:rsidRDefault="002202D0" w:rsidP="00731A1E">
      <w:pPr>
        <w:pStyle w:val="SingleTxt"/>
        <w:rPr>
          <w:rFonts w:hint="cs"/>
          <w:rtl/>
        </w:rPr>
      </w:pPr>
      <w:r>
        <w:rPr>
          <w:rFonts w:hint="cs"/>
          <w:rtl/>
        </w:rPr>
        <w:t>206 -</w:t>
      </w:r>
      <w:r>
        <w:rPr>
          <w:rFonts w:hint="cs"/>
          <w:rtl/>
        </w:rPr>
        <w:tab/>
        <w:t xml:space="preserve"> خلال الفترة التي يجري تحليلها، انخفض عدد النساء اللاتي يعملن لحسابهن (من 064 1 ألف في عام 1998 إلى 990 ألف في عام 2002)، وإن كانت نسبتهن بين جميع الأشخاص الذين يعملون لحسابهم ظلت ضمن المتوسط أي 38 في المائة. وكان عدد الأشخاص الذين يعملون لحسابهم في المناطق الريفية ضعف عدد الأشخاص الذين يعملون لحسابهم في المدن. وكان عدد النساء اللاتي يعملن لحسابهن في المدن أقل من اللاتي يعملن لحسابهن في الريف (35 في المائة و 44 في المائة، على التوالي). وبناء عليه، </w:t>
      </w:r>
      <w:r w:rsidR="00731A1E">
        <w:rPr>
          <w:rFonts w:hint="cs"/>
          <w:rtl/>
        </w:rPr>
        <w:t>تعني في كثير من الأحيان عبارة "</w:t>
      </w:r>
      <w:r>
        <w:rPr>
          <w:rFonts w:hint="cs"/>
          <w:rtl/>
        </w:rPr>
        <w:t>المرأة تعمل لحسابها</w:t>
      </w:r>
      <w:r w:rsidR="00731A1E">
        <w:rPr>
          <w:rFonts w:hint="cs"/>
          <w:rtl/>
        </w:rPr>
        <w:t>"</w:t>
      </w:r>
      <w:r>
        <w:rPr>
          <w:rFonts w:hint="cs"/>
          <w:rtl/>
        </w:rPr>
        <w:t xml:space="preserve"> أنها تعمل في المجال الزراعي أكثر مما تعمل في </w:t>
      </w:r>
      <w:r w:rsidR="00731A1E">
        <w:rPr>
          <w:rFonts w:hint="cs"/>
          <w:rtl/>
        </w:rPr>
        <w:t xml:space="preserve">غير </w:t>
      </w:r>
      <w:r>
        <w:rPr>
          <w:rFonts w:hint="cs"/>
          <w:rtl/>
        </w:rPr>
        <w:t>المجال الزراعي.</w:t>
      </w:r>
    </w:p>
    <w:p w:rsidR="002202D0" w:rsidRDefault="002202D0" w:rsidP="00731A1E">
      <w:pPr>
        <w:pStyle w:val="SingleTxt"/>
        <w:rPr>
          <w:rFonts w:hint="cs"/>
          <w:rtl/>
        </w:rPr>
      </w:pPr>
      <w:r>
        <w:rPr>
          <w:rFonts w:hint="cs"/>
          <w:rtl/>
        </w:rPr>
        <w:t>207 -</w:t>
      </w:r>
      <w:r>
        <w:rPr>
          <w:rFonts w:hint="cs"/>
          <w:rtl/>
        </w:rPr>
        <w:tab/>
        <w:t xml:space="preserve"> خلال الفترة التي يغطيها التقرير، انخفض بصورة كبيرة عدد أرباب العمل الذين كان عددهم في المدن أكبر من عددهم في المناطق الريفية على الرغم من أن نسبة النساء في هذه المجموعة ظل في حدود 29 في المائة. وسبب انخفاض عدد أرباب العمل يرجع إلى استحداث نظام تأمينات اجتماعية جديد في عام 2000 أدى إلى زيادة تكاليف اليد العاملة، وإلى هبوط النشاط الاقتصادي الذي بدأ في عام 2001. </w:t>
      </w:r>
    </w:p>
    <w:p w:rsidR="002202D0" w:rsidRDefault="002202D0" w:rsidP="002202D0">
      <w:pPr>
        <w:pStyle w:val="SingleTxt"/>
        <w:rPr>
          <w:rFonts w:hint="cs"/>
          <w:rtl/>
        </w:rPr>
      </w:pPr>
      <w:r>
        <w:rPr>
          <w:rFonts w:hint="cs"/>
          <w:rtl/>
        </w:rPr>
        <w:t>208 -</w:t>
      </w:r>
      <w:r>
        <w:rPr>
          <w:rFonts w:hint="cs"/>
          <w:rtl/>
        </w:rPr>
        <w:tab/>
        <w:t xml:space="preserve"> وهناك مجموعة منفصلة من الأشخاص الذين يعملون وتسمى العاملون في الأسر. ومثلت النساء 55 في المائة من هذه المجموعة في عام 1992، و 59 في المائة في عام 2002. </w:t>
      </w:r>
    </w:p>
    <w:p w:rsidR="002202D0" w:rsidRDefault="002202D0" w:rsidP="00E94A64">
      <w:pPr>
        <w:pStyle w:val="SingleTxt"/>
        <w:rPr>
          <w:rFonts w:hint="cs"/>
          <w:rtl/>
        </w:rPr>
      </w:pPr>
      <w:r>
        <w:rPr>
          <w:rFonts w:hint="cs"/>
          <w:rtl/>
        </w:rPr>
        <w:t>209 -</w:t>
      </w:r>
      <w:r>
        <w:rPr>
          <w:rFonts w:hint="cs"/>
          <w:rtl/>
        </w:rPr>
        <w:tab/>
        <w:t xml:space="preserve"> إن وضع اليد العاملة يعني أن المرأة أكثر من الرجل مرغمة بسبب العوامل الخارجية على أن تبدأ نشاطا تجاريا مستقلا. وفي الدراسة الاستقصائية التي أجريت في عام 2001، </w:t>
      </w:r>
      <w:r w:rsidR="00731A1E">
        <w:rPr>
          <w:rFonts w:hint="cs"/>
          <w:rtl/>
        </w:rPr>
        <w:t>رأى</w:t>
      </w:r>
      <w:r>
        <w:rPr>
          <w:rFonts w:hint="cs"/>
          <w:rtl/>
        </w:rPr>
        <w:t xml:space="preserve"> معظم أصحاب المشاريع (81 في المائة من النساء و 69 في المائة من الرجال) أن انتماءهم </w:t>
      </w:r>
      <w:r w:rsidR="00E94A64">
        <w:rPr>
          <w:rFonts w:hint="cs"/>
          <w:rtl/>
        </w:rPr>
        <w:t xml:space="preserve">إلى أحد </w:t>
      </w:r>
      <w:r>
        <w:rPr>
          <w:rFonts w:hint="cs"/>
          <w:rtl/>
        </w:rPr>
        <w:t>الجنسي</w:t>
      </w:r>
      <w:r w:rsidR="00E94A64">
        <w:rPr>
          <w:rFonts w:hint="cs"/>
          <w:rtl/>
        </w:rPr>
        <w:t>ن</w:t>
      </w:r>
      <w:r>
        <w:rPr>
          <w:rFonts w:hint="cs"/>
          <w:rtl/>
        </w:rPr>
        <w:t xml:space="preserve"> ل</w:t>
      </w:r>
      <w:r w:rsidR="00E94A64">
        <w:rPr>
          <w:rFonts w:hint="cs"/>
          <w:rtl/>
        </w:rPr>
        <w:t>م يكن</w:t>
      </w:r>
      <w:r>
        <w:rPr>
          <w:rFonts w:hint="cs"/>
          <w:rtl/>
        </w:rPr>
        <w:t xml:space="preserve"> عاملا في </w:t>
      </w:r>
      <w:r w:rsidR="00E94A64">
        <w:rPr>
          <w:rFonts w:hint="cs"/>
          <w:rtl/>
        </w:rPr>
        <w:t>ال</w:t>
      </w:r>
      <w:r>
        <w:rPr>
          <w:rFonts w:hint="cs"/>
          <w:rtl/>
        </w:rPr>
        <w:t>قرار</w:t>
      </w:r>
      <w:r w:rsidR="00E94A64">
        <w:rPr>
          <w:rFonts w:hint="cs"/>
          <w:rtl/>
        </w:rPr>
        <w:t xml:space="preserve"> الذي أخذوه ل</w:t>
      </w:r>
      <w:r>
        <w:rPr>
          <w:rFonts w:hint="cs"/>
          <w:rtl/>
        </w:rPr>
        <w:t>بدء نشاطهم</w:t>
      </w:r>
      <w:r w:rsidR="00E94A64">
        <w:rPr>
          <w:rFonts w:hint="cs"/>
          <w:rtl/>
        </w:rPr>
        <w:t xml:space="preserve"> التجاري الخاص بهم. ومع ذلك، كان عدد</w:t>
      </w:r>
      <w:r>
        <w:rPr>
          <w:rFonts w:hint="cs"/>
          <w:rtl/>
        </w:rPr>
        <w:t xml:space="preserve"> الرجال </w:t>
      </w:r>
      <w:r w:rsidR="00E94A64">
        <w:rPr>
          <w:rFonts w:hint="cs"/>
          <w:rtl/>
        </w:rPr>
        <w:t>الذين ر</w:t>
      </w:r>
      <w:r>
        <w:rPr>
          <w:rFonts w:hint="cs"/>
          <w:rtl/>
        </w:rPr>
        <w:t>أ</w:t>
      </w:r>
      <w:r w:rsidR="00E94A64">
        <w:rPr>
          <w:rFonts w:hint="cs"/>
          <w:rtl/>
        </w:rPr>
        <w:t xml:space="preserve">وا </w:t>
      </w:r>
      <w:r>
        <w:rPr>
          <w:rFonts w:hint="cs"/>
          <w:rtl/>
        </w:rPr>
        <w:t xml:space="preserve">أنه </w:t>
      </w:r>
      <w:r w:rsidR="00E94A64">
        <w:rPr>
          <w:rFonts w:hint="cs"/>
          <w:rtl/>
        </w:rPr>
        <w:t xml:space="preserve">كان </w:t>
      </w:r>
      <w:r>
        <w:rPr>
          <w:rFonts w:hint="cs"/>
          <w:rtl/>
        </w:rPr>
        <w:t>من الأسهل عليهم بدء نشاطهم التجاري</w:t>
      </w:r>
      <w:r w:rsidR="00E94A64">
        <w:rPr>
          <w:rFonts w:hint="cs"/>
          <w:rtl/>
        </w:rPr>
        <w:t xml:space="preserve"> أكثر من عدد النساء</w:t>
      </w:r>
      <w:r>
        <w:rPr>
          <w:rFonts w:hint="cs"/>
          <w:rtl/>
        </w:rPr>
        <w:t>.</w:t>
      </w:r>
    </w:p>
    <w:p w:rsidR="002202D0" w:rsidRDefault="002202D0" w:rsidP="009C102D">
      <w:pPr>
        <w:pStyle w:val="SingleTxt"/>
        <w:rPr>
          <w:rFonts w:hint="cs"/>
          <w:rtl/>
          <w:lang w:bidi="ar-LB"/>
        </w:rPr>
      </w:pPr>
      <w:r>
        <w:rPr>
          <w:rFonts w:hint="cs"/>
          <w:rtl/>
        </w:rPr>
        <w:t>210 -</w:t>
      </w:r>
      <w:r>
        <w:rPr>
          <w:rFonts w:hint="cs"/>
          <w:rtl/>
        </w:rPr>
        <w:tab/>
        <w:t xml:space="preserve"> ومن الخصائص المميزة، أن المرأة عندما تتخذ قرار</w:t>
      </w:r>
      <w:r w:rsidR="00E94A64">
        <w:rPr>
          <w:rFonts w:hint="cs"/>
          <w:rtl/>
        </w:rPr>
        <w:t>ا</w:t>
      </w:r>
      <w:r>
        <w:rPr>
          <w:rFonts w:hint="cs"/>
          <w:rtl/>
        </w:rPr>
        <w:t xml:space="preserve"> ببدء نشاطها التجاري تخشى في كثير من الأحيان الإخفاق، وترى أنها تخاطر مخاطرة كبيرة وتعوزها الثقة بالنفس. وتشعر المرأة بصعوبة الحصول على المشورة والمساعدة لأنها تفتقر إلى الاتصالات اللازمة. وإن تربيتها التقليدية لا </w:t>
      </w:r>
      <w:r w:rsidR="00E94A64">
        <w:rPr>
          <w:rFonts w:hint="cs"/>
          <w:rtl/>
        </w:rPr>
        <w:t>ت</w:t>
      </w:r>
      <w:r>
        <w:rPr>
          <w:rFonts w:hint="cs"/>
          <w:rtl/>
        </w:rPr>
        <w:t xml:space="preserve">عزز ثقتها بالنفس أو </w:t>
      </w:r>
      <w:r w:rsidR="00E94A64">
        <w:rPr>
          <w:rFonts w:hint="cs"/>
          <w:rtl/>
        </w:rPr>
        <w:t xml:space="preserve">لا تعطيها </w:t>
      </w:r>
      <w:r>
        <w:rPr>
          <w:rFonts w:hint="cs"/>
          <w:rtl/>
        </w:rPr>
        <w:t xml:space="preserve">الجرأة </w:t>
      </w:r>
      <w:r w:rsidR="00E94A64">
        <w:rPr>
          <w:rFonts w:hint="cs"/>
          <w:rtl/>
        </w:rPr>
        <w:t>اللازمة ل</w:t>
      </w:r>
      <w:r>
        <w:rPr>
          <w:rFonts w:hint="cs"/>
          <w:rtl/>
        </w:rPr>
        <w:t>تنظيم المشاريع</w:t>
      </w:r>
      <w:r w:rsidR="00E94A64">
        <w:rPr>
          <w:rFonts w:hint="cs"/>
          <w:rtl/>
        </w:rPr>
        <w:t>،</w:t>
      </w:r>
      <w:r>
        <w:rPr>
          <w:rFonts w:hint="cs"/>
          <w:rtl/>
        </w:rPr>
        <w:t xml:space="preserve"> ومن ثم فإن عدد النساء اللاتي يبدأن نشاطهن التجاري أقل من عدد الرجال. أما صعوبة التوفيق بين الواجبات العا</w:t>
      </w:r>
      <w:r w:rsidR="00E94A64">
        <w:rPr>
          <w:rFonts w:hint="cs"/>
          <w:rtl/>
        </w:rPr>
        <w:t>ئ</w:t>
      </w:r>
      <w:r>
        <w:rPr>
          <w:rFonts w:hint="cs"/>
          <w:rtl/>
        </w:rPr>
        <w:t xml:space="preserve">لية والواجبات المهنية </w:t>
      </w:r>
      <w:r>
        <w:rPr>
          <w:rtl/>
        </w:rPr>
        <w:t>–</w:t>
      </w:r>
      <w:r>
        <w:rPr>
          <w:rFonts w:hint="cs"/>
          <w:rtl/>
        </w:rPr>
        <w:t xml:space="preserve"> المذكورة في التقرير السابق </w:t>
      </w:r>
      <w:r w:rsidR="009C102D">
        <w:rPr>
          <w:rFonts w:hint="cs"/>
          <w:rtl/>
        </w:rPr>
        <w:t>-</w:t>
      </w:r>
      <w:r>
        <w:rPr>
          <w:rFonts w:hint="cs"/>
          <w:rtl/>
        </w:rPr>
        <w:t xml:space="preserve"> </w:t>
      </w:r>
      <w:r w:rsidR="00E94A64">
        <w:rPr>
          <w:rFonts w:hint="cs"/>
          <w:rtl/>
        </w:rPr>
        <w:t xml:space="preserve">فهي </w:t>
      </w:r>
      <w:r>
        <w:rPr>
          <w:rFonts w:hint="cs"/>
          <w:rtl/>
        </w:rPr>
        <w:t>أقل وضوحا هذه المرة. ومن بين الحواجز الأخرى التي تؤثر بصورة متساوية على النساء والرجال الضرائب العالية، والبيروقراطية المفرطة، والقوانين الغامضة، وعدم توفر رؤوس الأموال، وتكلفة الائتمانات، والإجراءات</w:t>
      </w:r>
      <w:r w:rsidR="00DB7002">
        <w:rPr>
          <w:rFonts w:hint="eastAsia"/>
          <w:rtl/>
        </w:rPr>
        <w:t> </w:t>
      </w:r>
      <w:r>
        <w:rPr>
          <w:rFonts w:hint="cs"/>
          <w:rtl/>
        </w:rPr>
        <w:t>المعقدة للحصول عليها</w:t>
      </w:r>
      <w:r w:rsidR="00E94A64">
        <w:rPr>
          <w:rFonts w:hint="cs"/>
          <w:rtl/>
        </w:rPr>
        <w:t>،</w:t>
      </w:r>
      <w:r>
        <w:rPr>
          <w:rFonts w:hint="cs"/>
          <w:rtl/>
        </w:rPr>
        <w:t xml:space="preserve"> فضلا عن قلة المعرفة بالشؤون التجارية (استطلاع قام به </w:t>
      </w:r>
      <w:r>
        <w:t>I</w:t>
      </w:r>
      <w:r w:rsidR="00E94A64">
        <w:t>psos</w:t>
      </w:r>
      <w:r>
        <w:t>-D</w:t>
      </w:r>
      <w:r w:rsidR="00E94A64">
        <w:t>emoskop</w:t>
      </w:r>
      <w:r>
        <w:rPr>
          <w:rFonts w:hint="cs"/>
          <w:rtl/>
        </w:rPr>
        <w:t xml:space="preserve"> في عام 2001).</w:t>
      </w:r>
    </w:p>
    <w:p w:rsidR="00DB7002" w:rsidRDefault="00DB7002" w:rsidP="00D27CFC">
      <w:pPr>
        <w:pStyle w:val="SingleTxt"/>
        <w:rPr>
          <w:rFonts w:hint="cs"/>
          <w:rtl/>
        </w:rPr>
      </w:pPr>
      <w:r>
        <w:rPr>
          <w:rFonts w:hint="cs"/>
          <w:rtl/>
        </w:rPr>
        <w:t>211 -</w:t>
      </w:r>
      <w:r>
        <w:rPr>
          <w:rFonts w:hint="cs"/>
          <w:rtl/>
        </w:rPr>
        <w:tab/>
        <w:t xml:space="preserve"> تفاوت</w:t>
      </w:r>
      <w:r w:rsidR="00E94A64">
        <w:rPr>
          <w:rFonts w:hint="cs"/>
          <w:rtl/>
        </w:rPr>
        <w:t>ت نسبة</w:t>
      </w:r>
      <w:r>
        <w:rPr>
          <w:rFonts w:hint="cs"/>
          <w:rtl/>
        </w:rPr>
        <w:t xml:space="preserve"> </w:t>
      </w:r>
      <w:r w:rsidR="00E94A64">
        <w:rPr>
          <w:rFonts w:hint="cs"/>
          <w:rtl/>
        </w:rPr>
        <w:t>النساء</w:t>
      </w:r>
      <w:r>
        <w:rPr>
          <w:rFonts w:hint="cs"/>
          <w:rtl/>
        </w:rPr>
        <w:t xml:space="preserve"> بين أصحاب المشاريع التجارية الجديدة، واعتمد ذلك على نوع النشاط التجاري. </w:t>
      </w:r>
      <w:r w:rsidR="00E94A64">
        <w:rPr>
          <w:rFonts w:hint="cs"/>
          <w:rtl/>
        </w:rPr>
        <w:t>ف</w:t>
      </w:r>
      <w:r>
        <w:rPr>
          <w:rFonts w:hint="cs"/>
          <w:rtl/>
        </w:rPr>
        <w:t>انخفضت هذه النسبة في مجال إدارة المحلات، وإدارة الفنادق، وخدمات المطاعم</w:t>
      </w:r>
      <w:r w:rsidRPr="00DB7002">
        <w:rPr>
          <w:vertAlign w:val="superscript"/>
          <w:rtl/>
        </w:rPr>
        <w:t>(</w:t>
      </w:r>
      <w:r>
        <w:rPr>
          <w:rStyle w:val="FootnoteReference"/>
          <w:rtl/>
        </w:rPr>
        <w:footnoteReference w:id="7"/>
      </w:r>
      <w:r w:rsidRPr="00DB7002">
        <w:rPr>
          <w:vertAlign w:val="superscript"/>
          <w:rtl/>
        </w:rPr>
        <w:t>)</w:t>
      </w:r>
      <w:r w:rsidR="00E94A64">
        <w:rPr>
          <w:rFonts w:hint="cs"/>
          <w:rtl/>
        </w:rPr>
        <w:t>.</w:t>
      </w:r>
      <w:r>
        <w:rPr>
          <w:rFonts w:hint="cs"/>
          <w:rtl/>
        </w:rPr>
        <w:t xml:space="preserve"> </w:t>
      </w:r>
      <w:r w:rsidR="00D27CFC">
        <w:rPr>
          <w:rFonts w:hint="cs"/>
          <w:rtl/>
        </w:rPr>
        <w:t>ك</w:t>
      </w:r>
      <w:r w:rsidR="00E94A64">
        <w:rPr>
          <w:rFonts w:hint="cs"/>
          <w:rtl/>
        </w:rPr>
        <w:t xml:space="preserve">ما </w:t>
      </w:r>
      <w:r w:rsidR="00D27CFC">
        <w:rPr>
          <w:rFonts w:hint="cs"/>
          <w:rtl/>
        </w:rPr>
        <w:t xml:space="preserve">كان </w:t>
      </w:r>
      <w:r>
        <w:rPr>
          <w:rFonts w:hint="cs"/>
          <w:rtl/>
        </w:rPr>
        <w:t>عدد النساء أقل بكثير من عدد الرجال الذين أسسوا شركات صناعية وشركات مواصلات وش</w:t>
      </w:r>
      <w:r w:rsidR="00435B2E">
        <w:rPr>
          <w:rFonts w:hint="cs"/>
          <w:rtl/>
        </w:rPr>
        <w:t xml:space="preserve">ركات بناء، </w:t>
      </w:r>
      <w:r w:rsidR="00D27CFC">
        <w:rPr>
          <w:rFonts w:hint="cs"/>
          <w:rtl/>
        </w:rPr>
        <w:t xml:space="preserve">على الرغم من أن </w:t>
      </w:r>
      <w:r w:rsidR="00435B2E">
        <w:rPr>
          <w:rFonts w:hint="cs"/>
          <w:rtl/>
        </w:rPr>
        <w:t xml:space="preserve">عدد النساء </w:t>
      </w:r>
      <w:r w:rsidR="00D27CFC">
        <w:rPr>
          <w:rFonts w:hint="cs"/>
          <w:rtl/>
        </w:rPr>
        <w:t xml:space="preserve">كان </w:t>
      </w:r>
      <w:r w:rsidR="00435B2E">
        <w:rPr>
          <w:rFonts w:hint="cs"/>
          <w:rtl/>
        </w:rPr>
        <w:t>مهيمنا</w:t>
      </w:r>
      <w:r>
        <w:rPr>
          <w:rFonts w:hint="cs"/>
          <w:rtl/>
        </w:rPr>
        <w:t xml:space="preserve"> في مجموعة المشاريع المتصلة بالرعاية الصحية</w:t>
      </w:r>
      <w:r w:rsidRPr="00DB7002">
        <w:rPr>
          <w:vertAlign w:val="superscript"/>
          <w:rtl/>
        </w:rPr>
        <w:t>(</w:t>
      </w:r>
      <w:r>
        <w:rPr>
          <w:rStyle w:val="FootnoteReference"/>
          <w:rtl/>
        </w:rPr>
        <w:footnoteReference w:id="8"/>
      </w:r>
      <w:r w:rsidRPr="00DB7002">
        <w:rPr>
          <w:vertAlign w:val="superscript"/>
          <w:rtl/>
        </w:rPr>
        <w:t>)</w:t>
      </w:r>
      <w:r>
        <w:rPr>
          <w:rFonts w:hint="cs"/>
          <w:rtl/>
        </w:rPr>
        <w:t>.</w:t>
      </w:r>
    </w:p>
    <w:p w:rsidR="00DB7002" w:rsidRDefault="00DB7002" w:rsidP="00D27CFC">
      <w:pPr>
        <w:pStyle w:val="SingleTxt"/>
        <w:rPr>
          <w:rFonts w:hint="cs"/>
          <w:rtl/>
        </w:rPr>
      </w:pPr>
      <w:r>
        <w:rPr>
          <w:rFonts w:hint="cs"/>
          <w:rtl/>
        </w:rPr>
        <w:t>212 -</w:t>
      </w:r>
      <w:r>
        <w:rPr>
          <w:rFonts w:hint="cs"/>
          <w:rtl/>
        </w:rPr>
        <w:tab/>
        <w:t xml:space="preserve"> تشجع عدة منظمات </w:t>
      </w:r>
      <w:r w:rsidR="00D27CFC">
        <w:rPr>
          <w:rFonts w:hint="cs"/>
          <w:rtl/>
        </w:rPr>
        <w:t>عاملة</w:t>
      </w:r>
      <w:r>
        <w:rPr>
          <w:rFonts w:hint="cs"/>
          <w:rtl/>
        </w:rPr>
        <w:t xml:space="preserve"> في بولندا الشركات التي تمتلكها الن</w:t>
      </w:r>
      <w:r w:rsidR="00D27CFC">
        <w:rPr>
          <w:rFonts w:hint="cs"/>
          <w:rtl/>
        </w:rPr>
        <w:t xml:space="preserve">ساء. ومن بين هذه المنظمات </w:t>
      </w:r>
      <w:r>
        <w:rPr>
          <w:rFonts w:hint="cs"/>
          <w:rtl/>
        </w:rPr>
        <w:t xml:space="preserve">المنتدى الدولي للمرأة، وهي رابطة </w:t>
      </w:r>
      <w:r w:rsidR="00D27CFC">
        <w:rPr>
          <w:rFonts w:hint="cs"/>
          <w:rtl/>
        </w:rPr>
        <w:t xml:space="preserve">مؤلفة من </w:t>
      </w:r>
      <w:r>
        <w:rPr>
          <w:rFonts w:hint="cs"/>
          <w:rtl/>
        </w:rPr>
        <w:t>أصحاب الشركات ومديريها الذين يقومون بنشاط تثقيفي وإعلامي ويشجعون الأ</w:t>
      </w:r>
      <w:r w:rsidR="00D27CFC">
        <w:rPr>
          <w:rFonts w:hint="cs"/>
          <w:rtl/>
        </w:rPr>
        <w:t>بحاث في مجال النشاط التجاري الذي</w:t>
      </w:r>
      <w:r>
        <w:rPr>
          <w:rFonts w:hint="cs"/>
          <w:rtl/>
        </w:rPr>
        <w:t xml:space="preserve"> تقوم به المرأة، والرابطة البولندية لأصحاب الشركات </w:t>
      </w:r>
      <w:r>
        <w:rPr>
          <w:rtl/>
        </w:rPr>
        <w:t>–</w:t>
      </w:r>
      <w:r>
        <w:rPr>
          <w:rFonts w:hint="cs"/>
          <w:rtl/>
        </w:rPr>
        <w:t xml:space="preserve"> نادي نساء الأعمال، وهذه الرابطة عضو في المنظمة العالمية لأصحاب الشركات من النساء، وتجمع أكثر من 000 30 نساء أعمال في أكثر من 30 بلدا. وهناك شركة على شبكة الإنترنت اسمها </w:t>
      </w:r>
      <w:r>
        <w:t>KOBIETY ONLINE</w:t>
      </w:r>
      <w:r>
        <w:rPr>
          <w:rFonts w:hint="cs"/>
          <w:rtl/>
        </w:rPr>
        <w:t xml:space="preserve"> كانت نشطة منذ عدة سنوات وتقدم معلومات محينة عن أصحاب المشاريع من النساء بالإضافة إلى المشورة العملية لنساء الأعمال.</w:t>
      </w:r>
    </w:p>
    <w:p w:rsidR="001D1102" w:rsidRDefault="001D1102" w:rsidP="00D27CFC">
      <w:pPr>
        <w:pStyle w:val="SingleTxt"/>
        <w:rPr>
          <w:rFonts w:hint="cs"/>
          <w:rtl/>
        </w:rPr>
      </w:pPr>
    </w:p>
    <w:p w:rsidR="00DB7002" w:rsidRDefault="00DB7002" w:rsidP="00DB7002">
      <w:pPr>
        <w:pStyle w:val="SingleTxt"/>
        <w:rPr>
          <w:rFonts w:hint="cs"/>
          <w:b/>
          <w:bCs/>
          <w:rtl/>
        </w:rPr>
      </w:pPr>
      <w:r>
        <w:rPr>
          <w:rFonts w:hint="cs"/>
          <w:b/>
          <w:bCs/>
          <w:rtl/>
        </w:rPr>
        <w:t>إمكانية الحصول على الائتمانات</w:t>
      </w:r>
    </w:p>
    <w:p w:rsidR="00DB7002" w:rsidRDefault="00DB7002" w:rsidP="00DB7002">
      <w:pPr>
        <w:pStyle w:val="SingleTxt"/>
        <w:rPr>
          <w:rFonts w:hint="cs"/>
          <w:rtl/>
        </w:rPr>
      </w:pPr>
      <w:r>
        <w:rPr>
          <w:rFonts w:hint="cs"/>
          <w:rtl/>
        </w:rPr>
        <w:t>213 -</w:t>
      </w:r>
      <w:r>
        <w:rPr>
          <w:rFonts w:hint="cs"/>
          <w:rtl/>
        </w:rPr>
        <w:tab/>
        <w:t xml:space="preserve"> </w:t>
      </w:r>
      <w:r w:rsidR="005C3FB1">
        <w:rPr>
          <w:rFonts w:hint="cs"/>
          <w:rtl/>
        </w:rPr>
        <w:t xml:space="preserve">كما جاء في التقارير السابقة، تتمتع المرأة في بولندا بالمساواة مع الرجل فيما يتعلق بالحصول على القروض المصرفية وغير ذلك من أشكال الائتمانات. </w:t>
      </w:r>
    </w:p>
    <w:p w:rsidR="005C3FB1" w:rsidRDefault="005C3FB1" w:rsidP="00DB7002">
      <w:pPr>
        <w:pStyle w:val="SingleTxt"/>
        <w:rPr>
          <w:rFonts w:hint="cs"/>
          <w:rtl/>
        </w:rPr>
      </w:pPr>
      <w:r>
        <w:rPr>
          <w:rFonts w:hint="cs"/>
          <w:rtl/>
        </w:rPr>
        <w:tab/>
        <w:t>وفيما يلي نصيب المرأة مقارنة بجميع أصحاب المشاريع الذين حصلوا في الفترة 1998-2002 على قروض من الصندوق المصغر</w:t>
      </w:r>
      <w:r w:rsidRPr="005C3FB1">
        <w:rPr>
          <w:vertAlign w:val="superscript"/>
          <w:rtl/>
        </w:rPr>
        <w:t>(</w:t>
      </w:r>
      <w:r>
        <w:rPr>
          <w:rStyle w:val="FootnoteReference"/>
          <w:rtl/>
        </w:rPr>
        <w:footnoteReference w:id="9"/>
      </w:r>
      <w:r w:rsidRPr="005C3FB1">
        <w:rPr>
          <w:vertAlign w:val="superscript"/>
          <w:rtl/>
        </w:rPr>
        <w:t>)</w:t>
      </w:r>
    </w:p>
    <w:p w:rsidR="008C4F86" w:rsidRPr="008C4F86" w:rsidRDefault="008C4F86" w:rsidP="008C4F86">
      <w:pPr>
        <w:pStyle w:val="SingleTxt"/>
        <w:spacing w:after="0" w:line="120" w:lineRule="exact"/>
        <w:rPr>
          <w:rFonts w:hint="cs"/>
          <w:sz w:val="10"/>
          <w:rtl/>
        </w:rPr>
      </w:pPr>
    </w:p>
    <w:tbl>
      <w:tblPr>
        <w:bidiVisual/>
        <w:tblW w:w="5472" w:type="dxa"/>
        <w:jc w:val="center"/>
        <w:tblInd w:w="1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5"/>
        <w:gridCol w:w="1957"/>
        <w:gridCol w:w="2240"/>
      </w:tblGrid>
      <w:tr w:rsidR="005C3FB1">
        <w:tblPrEx>
          <w:tblCellMar>
            <w:top w:w="0" w:type="dxa"/>
            <w:bottom w:w="0" w:type="dxa"/>
          </w:tblCellMar>
        </w:tblPrEx>
        <w:trPr>
          <w:jc w:val="center"/>
        </w:trPr>
        <w:tc>
          <w:tcPr>
            <w:tcW w:w="1275" w:type="dxa"/>
            <w:shd w:val="clear" w:color="auto" w:fill="auto"/>
            <w:tcMar>
              <w:left w:w="0" w:type="dxa"/>
              <w:right w:w="0" w:type="dxa"/>
            </w:tcMar>
          </w:tcPr>
          <w:p w:rsidR="005C3FB1" w:rsidRDefault="005C3FB1" w:rsidP="005C3FB1">
            <w:pPr>
              <w:ind w:left="72" w:right="72"/>
              <w:jc w:val="lowKashida"/>
              <w:rPr>
                <w:rFonts w:hint="cs"/>
                <w:rtl/>
              </w:rPr>
            </w:pPr>
            <w:r>
              <w:rPr>
                <w:rFonts w:hint="cs"/>
                <w:rtl/>
              </w:rPr>
              <w:t>السنة</w:t>
            </w:r>
          </w:p>
        </w:tc>
        <w:tc>
          <w:tcPr>
            <w:tcW w:w="1957" w:type="dxa"/>
            <w:shd w:val="clear" w:color="auto" w:fill="auto"/>
          </w:tcPr>
          <w:p w:rsidR="005C3FB1" w:rsidRDefault="005C3FB1" w:rsidP="00D93F9B">
            <w:pPr>
              <w:ind w:left="72" w:right="72"/>
              <w:jc w:val="left"/>
              <w:rPr>
                <w:rFonts w:hint="cs"/>
                <w:rtl/>
              </w:rPr>
            </w:pPr>
            <w:r>
              <w:rPr>
                <w:rFonts w:hint="cs"/>
                <w:rtl/>
              </w:rPr>
              <w:t>مجموع عدد القروض</w:t>
            </w:r>
          </w:p>
        </w:tc>
        <w:tc>
          <w:tcPr>
            <w:tcW w:w="2240" w:type="dxa"/>
            <w:shd w:val="clear" w:color="auto" w:fill="auto"/>
          </w:tcPr>
          <w:p w:rsidR="005C3FB1" w:rsidRDefault="005C3FB1" w:rsidP="00D93F9B">
            <w:pPr>
              <w:ind w:left="72" w:right="72"/>
              <w:jc w:val="left"/>
              <w:rPr>
                <w:rFonts w:hint="cs"/>
                <w:rtl/>
              </w:rPr>
            </w:pPr>
            <w:r>
              <w:rPr>
                <w:rFonts w:hint="cs"/>
                <w:rtl/>
              </w:rPr>
              <w:t>النسبة المئوية من القروض الممنوحة إلى النساء</w:t>
            </w:r>
          </w:p>
        </w:tc>
      </w:tr>
      <w:tr w:rsidR="005C3FB1">
        <w:tblPrEx>
          <w:tblCellMar>
            <w:top w:w="0" w:type="dxa"/>
            <w:bottom w:w="0" w:type="dxa"/>
          </w:tblCellMar>
        </w:tblPrEx>
        <w:trPr>
          <w:jc w:val="center"/>
        </w:trPr>
        <w:tc>
          <w:tcPr>
            <w:tcW w:w="1275" w:type="dxa"/>
            <w:shd w:val="clear" w:color="auto" w:fill="auto"/>
          </w:tcPr>
          <w:p w:rsidR="005C3FB1" w:rsidRDefault="005C3FB1" w:rsidP="005C3FB1">
            <w:pPr>
              <w:ind w:left="72" w:right="72"/>
              <w:rPr>
                <w:rFonts w:hint="cs"/>
                <w:rtl/>
              </w:rPr>
            </w:pPr>
            <w:r>
              <w:rPr>
                <w:rFonts w:hint="cs"/>
                <w:rtl/>
              </w:rPr>
              <w:t>1999</w:t>
            </w:r>
          </w:p>
        </w:tc>
        <w:tc>
          <w:tcPr>
            <w:tcW w:w="1957" w:type="dxa"/>
            <w:shd w:val="clear" w:color="auto" w:fill="auto"/>
          </w:tcPr>
          <w:p w:rsidR="005C3FB1" w:rsidRDefault="005C3FB1" w:rsidP="005C3FB1">
            <w:pPr>
              <w:ind w:left="72" w:right="72"/>
              <w:rPr>
                <w:rFonts w:hint="cs"/>
                <w:rtl/>
              </w:rPr>
            </w:pPr>
            <w:r>
              <w:rPr>
                <w:rFonts w:hint="cs"/>
                <w:rtl/>
              </w:rPr>
              <w:t>357 9</w:t>
            </w:r>
          </w:p>
        </w:tc>
        <w:tc>
          <w:tcPr>
            <w:tcW w:w="2240" w:type="dxa"/>
            <w:shd w:val="clear" w:color="auto" w:fill="auto"/>
          </w:tcPr>
          <w:p w:rsidR="005C3FB1" w:rsidRPr="00D93F9B" w:rsidRDefault="005C3FB1" w:rsidP="005C3FB1">
            <w:pPr>
              <w:ind w:left="72" w:right="72"/>
              <w:rPr>
                <w:rFonts w:hint="cs"/>
                <w:rtl/>
              </w:rPr>
            </w:pPr>
            <w:r w:rsidRPr="00D93F9B">
              <w:rPr>
                <w:rFonts w:hint="cs"/>
                <w:rtl/>
              </w:rPr>
              <w:t xml:space="preserve">39.8 </w:t>
            </w:r>
            <w:r w:rsidR="00D93F9B">
              <w:rPr>
                <w:rFonts w:hint="cs"/>
                <w:rtl/>
              </w:rPr>
              <w:t>في المائة</w:t>
            </w:r>
          </w:p>
        </w:tc>
      </w:tr>
      <w:tr w:rsidR="005C3FB1">
        <w:tblPrEx>
          <w:tblCellMar>
            <w:top w:w="0" w:type="dxa"/>
            <w:bottom w:w="0" w:type="dxa"/>
          </w:tblCellMar>
        </w:tblPrEx>
        <w:trPr>
          <w:jc w:val="center"/>
        </w:trPr>
        <w:tc>
          <w:tcPr>
            <w:tcW w:w="1275" w:type="dxa"/>
            <w:shd w:val="clear" w:color="auto" w:fill="auto"/>
          </w:tcPr>
          <w:p w:rsidR="005C3FB1" w:rsidRDefault="005C3FB1" w:rsidP="005C3FB1">
            <w:pPr>
              <w:ind w:left="72" w:right="72"/>
              <w:rPr>
                <w:rFonts w:hint="cs"/>
                <w:rtl/>
              </w:rPr>
            </w:pPr>
            <w:r>
              <w:rPr>
                <w:rFonts w:hint="cs"/>
                <w:rtl/>
              </w:rPr>
              <w:t>2000</w:t>
            </w:r>
          </w:p>
        </w:tc>
        <w:tc>
          <w:tcPr>
            <w:tcW w:w="1957" w:type="dxa"/>
            <w:shd w:val="clear" w:color="auto" w:fill="auto"/>
          </w:tcPr>
          <w:p w:rsidR="005C3FB1" w:rsidRDefault="005C3FB1" w:rsidP="005C3FB1">
            <w:pPr>
              <w:ind w:left="72" w:right="72"/>
              <w:rPr>
                <w:rFonts w:hint="cs"/>
                <w:rtl/>
              </w:rPr>
            </w:pPr>
            <w:r>
              <w:rPr>
                <w:rFonts w:hint="cs"/>
                <w:rtl/>
              </w:rPr>
              <w:t>173 8</w:t>
            </w:r>
          </w:p>
        </w:tc>
        <w:tc>
          <w:tcPr>
            <w:tcW w:w="2240" w:type="dxa"/>
            <w:shd w:val="clear" w:color="auto" w:fill="auto"/>
          </w:tcPr>
          <w:p w:rsidR="005C3FB1" w:rsidRPr="00D93F9B" w:rsidRDefault="005C3FB1" w:rsidP="005C3FB1">
            <w:pPr>
              <w:ind w:left="72" w:right="72"/>
              <w:rPr>
                <w:rFonts w:hint="cs"/>
                <w:rtl/>
              </w:rPr>
            </w:pPr>
            <w:r w:rsidRPr="00D93F9B">
              <w:rPr>
                <w:rFonts w:hint="cs"/>
                <w:rtl/>
              </w:rPr>
              <w:t xml:space="preserve">42.2 </w:t>
            </w:r>
            <w:r w:rsidR="00D93F9B">
              <w:rPr>
                <w:rFonts w:hint="cs"/>
                <w:rtl/>
              </w:rPr>
              <w:t>في المائة</w:t>
            </w:r>
          </w:p>
        </w:tc>
      </w:tr>
      <w:tr w:rsidR="005C3FB1">
        <w:tblPrEx>
          <w:tblCellMar>
            <w:top w:w="0" w:type="dxa"/>
            <w:bottom w:w="0" w:type="dxa"/>
          </w:tblCellMar>
        </w:tblPrEx>
        <w:trPr>
          <w:jc w:val="center"/>
        </w:trPr>
        <w:tc>
          <w:tcPr>
            <w:tcW w:w="1275" w:type="dxa"/>
            <w:shd w:val="clear" w:color="auto" w:fill="auto"/>
          </w:tcPr>
          <w:p w:rsidR="005C3FB1" w:rsidRDefault="005C3FB1" w:rsidP="005C3FB1">
            <w:pPr>
              <w:ind w:left="72" w:right="72"/>
              <w:rPr>
                <w:rFonts w:hint="cs"/>
                <w:rtl/>
              </w:rPr>
            </w:pPr>
            <w:r>
              <w:rPr>
                <w:rFonts w:hint="cs"/>
                <w:rtl/>
              </w:rPr>
              <w:t>2001</w:t>
            </w:r>
          </w:p>
        </w:tc>
        <w:tc>
          <w:tcPr>
            <w:tcW w:w="1957" w:type="dxa"/>
            <w:shd w:val="clear" w:color="auto" w:fill="auto"/>
          </w:tcPr>
          <w:p w:rsidR="005C3FB1" w:rsidRDefault="005C3FB1" w:rsidP="005C3FB1">
            <w:pPr>
              <w:ind w:left="72" w:right="72"/>
              <w:rPr>
                <w:rFonts w:hint="cs"/>
                <w:rtl/>
              </w:rPr>
            </w:pPr>
            <w:r>
              <w:rPr>
                <w:rFonts w:hint="cs"/>
                <w:rtl/>
              </w:rPr>
              <w:t>762 6</w:t>
            </w:r>
          </w:p>
        </w:tc>
        <w:tc>
          <w:tcPr>
            <w:tcW w:w="2240" w:type="dxa"/>
            <w:shd w:val="clear" w:color="auto" w:fill="auto"/>
          </w:tcPr>
          <w:p w:rsidR="005C3FB1" w:rsidRPr="00D93F9B" w:rsidRDefault="005C3FB1" w:rsidP="005C3FB1">
            <w:pPr>
              <w:ind w:left="72" w:right="72"/>
              <w:rPr>
                <w:rFonts w:hint="cs"/>
                <w:rtl/>
              </w:rPr>
            </w:pPr>
            <w:r w:rsidRPr="00D93F9B">
              <w:rPr>
                <w:rFonts w:hint="cs"/>
                <w:rtl/>
              </w:rPr>
              <w:t xml:space="preserve">43.5 </w:t>
            </w:r>
            <w:r w:rsidR="00D93F9B">
              <w:rPr>
                <w:rFonts w:hint="cs"/>
                <w:rtl/>
              </w:rPr>
              <w:t>في المائة</w:t>
            </w:r>
          </w:p>
        </w:tc>
      </w:tr>
      <w:tr w:rsidR="005C3FB1">
        <w:tblPrEx>
          <w:tblCellMar>
            <w:top w:w="0" w:type="dxa"/>
            <w:bottom w:w="0" w:type="dxa"/>
          </w:tblCellMar>
        </w:tblPrEx>
        <w:trPr>
          <w:jc w:val="center"/>
        </w:trPr>
        <w:tc>
          <w:tcPr>
            <w:tcW w:w="1275" w:type="dxa"/>
            <w:shd w:val="clear" w:color="auto" w:fill="auto"/>
          </w:tcPr>
          <w:p w:rsidR="005C3FB1" w:rsidRDefault="005C3FB1" w:rsidP="005C3FB1">
            <w:pPr>
              <w:ind w:left="72" w:right="72"/>
              <w:rPr>
                <w:rFonts w:hint="cs"/>
                <w:rtl/>
              </w:rPr>
            </w:pPr>
            <w:r>
              <w:rPr>
                <w:rFonts w:hint="cs"/>
                <w:rtl/>
              </w:rPr>
              <w:t>2002</w:t>
            </w:r>
          </w:p>
        </w:tc>
        <w:tc>
          <w:tcPr>
            <w:tcW w:w="1957" w:type="dxa"/>
            <w:shd w:val="clear" w:color="auto" w:fill="auto"/>
          </w:tcPr>
          <w:p w:rsidR="005C3FB1" w:rsidRDefault="005C3FB1" w:rsidP="005C3FB1">
            <w:pPr>
              <w:ind w:left="72" w:right="72"/>
              <w:rPr>
                <w:rFonts w:hint="cs"/>
                <w:rtl/>
              </w:rPr>
            </w:pPr>
            <w:r>
              <w:rPr>
                <w:rFonts w:hint="cs"/>
                <w:rtl/>
              </w:rPr>
              <w:t>696 4</w:t>
            </w:r>
          </w:p>
        </w:tc>
        <w:tc>
          <w:tcPr>
            <w:tcW w:w="2240" w:type="dxa"/>
            <w:shd w:val="clear" w:color="auto" w:fill="auto"/>
          </w:tcPr>
          <w:p w:rsidR="005C3FB1" w:rsidRPr="00D93F9B" w:rsidRDefault="005C3FB1" w:rsidP="005C3FB1">
            <w:pPr>
              <w:ind w:left="72" w:right="72"/>
              <w:rPr>
                <w:rFonts w:hint="cs"/>
                <w:rtl/>
              </w:rPr>
            </w:pPr>
            <w:r w:rsidRPr="00D93F9B">
              <w:rPr>
                <w:rFonts w:hint="cs"/>
                <w:rtl/>
              </w:rPr>
              <w:t xml:space="preserve">43.7 </w:t>
            </w:r>
            <w:r w:rsidR="00D93F9B">
              <w:rPr>
                <w:rFonts w:hint="cs"/>
                <w:rtl/>
              </w:rPr>
              <w:t>في المائة</w:t>
            </w:r>
          </w:p>
        </w:tc>
      </w:tr>
    </w:tbl>
    <w:p w:rsidR="008C4F86" w:rsidRPr="008C4F86" w:rsidRDefault="008C4F86" w:rsidP="008C4F86">
      <w:pPr>
        <w:pStyle w:val="SingleTxt"/>
        <w:spacing w:after="0" w:line="120" w:lineRule="exact"/>
        <w:rPr>
          <w:rFonts w:hint="cs"/>
          <w:sz w:val="10"/>
          <w:rtl/>
        </w:rPr>
      </w:pPr>
    </w:p>
    <w:p w:rsidR="005C3FB1" w:rsidRDefault="008C4F86" w:rsidP="00D93F9B">
      <w:pPr>
        <w:pStyle w:val="SingleTxt"/>
        <w:rPr>
          <w:rFonts w:hint="cs"/>
          <w:rtl/>
        </w:rPr>
      </w:pPr>
      <w:r>
        <w:rPr>
          <w:rFonts w:hint="cs"/>
          <w:rtl/>
        </w:rPr>
        <w:t xml:space="preserve">ومقارنة بالتقرير عن الفترة السابقة، ازداد نصيب المرأة </w:t>
      </w:r>
      <w:r w:rsidR="00D93F9B">
        <w:rPr>
          <w:rFonts w:hint="cs"/>
          <w:rtl/>
        </w:rPr>
        <w:t>بين</w:t>
      </w:r>
      <w:r>
        <w:rPr>
          <w:rFonts w:hint="cs"/>
          <w:rtl/>
        </w:rPr>
        <w:t xml:space="preserve"> الأشخاص الذين منحهم الصندوق قروضا بعدة نقاط مئوية. وعلى الرغم من أن المصارف لا تحتفظ ببيانات عن نوع جنس عملائها الذين تمنحهم الائتمانات، يمكن الافتراض أن النساء يمثلن 40 في المائة من هذا العدد</w:t>
      </w:r>
      <w:r w:rsidRPr="008C4F86">
        <w:rPr>
          <w:vertAlign w:val="superscript"/>
          <w:rtl/>
        </w:rPr>
        <w:t>(</w:t>
      </w:r>
      <w:r>
        <w:rPr>
          <w:rStyle w:val="FootnoteReference"/>
          <w:rtl/>
        </w:rPr>
        <w:footnoteReference w:id="10"/>
      </w:r>
      <w:r w:rsidRPr="008C4F86">
        <w:rPr>
          <w:vertAlign w:val="superscript"/>
          <w:rtl/>
        </w:rPr>
        <w:t>)</w:t>
      </w:r>
      <w:r>
        <w:rPr>
          <w:rFonts w:hint="cs"/>
          <w:rtl/>
        </w:rPr>
        <w:t>.</w:t>
      </w:r>
    </w:p>
    <w:p w:rsidR="008C4F86" w:rsidRDefault="008C4F86" w:rsidP="00DB7002">
      <w:pPr>
        <w:pStyle w:val="SingleTxt"/>
        <w:rPr>
          <w:rFonts w:hint="cs"/>
          <w:b/>
          <w:bCs/>
          <w:rtl/>
        </w:rPr>
      </w:pPr>
      <w:r>
        <w:rPr>
          <w:rFonts w:hint="cs"/>
          <w:b/>
          <w:bCs/>
          <w:rtl/>
        </w:rPr>
        <w:t>الترفيه والرياضة والثقافة</w:t>
      </w:r>
    </w:p>
    <w:p w:rsidR="008C4F86" w:rsidRDefault="008C4F86" w:rsidP="00DB7002">
      <w:pPr>
        <w:pStyle w:val="SingleTxt"/>
        <w:rPr>
          <w:rFonts w:hint="cs"/>
          <w:rtl/>
        </w:rPr>
      </w:pPr>
      <w:r>
        <w:rPr>
          <w:rFonts w:hint="cs"/>
          <w:rtl/>
        </w:rPr>
        <w:t>214 -</w:t>
      </w:r>
      <w:r>
        <w:rPr>
          <w:rFonts w:hint="cs"/>
          <w:rtl/>
        </w:rPr>
        <w:tab/>
        <w:t xml:space="preserve"> كما جاء في التقرير عن الفترة السابقة، يشارك البنين والبنات في الألعاب الرياضية في مدارسهم أثناء فترة تعليمهم الإلزامية. وفي إطار الألعاب المدرسية للشباب في عام 2000، تم تنظيم حوالي 200 3 مناسبة على مستوى الأقاليم والمقاطعات. وكان عدد المشاركين 000 400 شاب 40 في المائة منهم من البنات. </w:t>
      </w:r>
    </w:p>
    <w:p w:rsidR="008C4F86" w:rsidRDefault="008C4F86" w:rsidP="00D07817">
      <w:pPr>
        <w:pStyle w:val="SingleTxt"/>
        <w:rPr>
          <w:rFonts w:hint="cs"/>
          <w:rtl/>
        </w:rPr>
      </w:pPr>
      <w:r>
        <w:rPr>
          <w:rFonts w:hint="cs"/>
          <w:rtl/>
        </w:rPr>
        <w:t>215 -</w:t>
      </w:r>
      <w:r>
        <w:rPr>
          <w:rFonts w:hint="cs"/>
          <w:rtl/>
        </w:rPr>
        <w:tab/>
        <w:t xml:space="preserve"> على ا</w:t>
      </w:r>
      <w:r w:rsidR="00D07817">
        <w:rPr>
          <w:rFonts w:hint="cs"/>
          <w:rtl/>
        </w:rPr>
        <w:t>لرغم من عدم وجود أي</w:t>
      </w:r>
      <w:r>
        <w:rPr>
          <w:rFonts w:hint="cs"/>
          <w:rtl/>
        </w:rPr>
        <w:t xml:space="preserve"> </w:t>
      </w:r>
      <w:r w:rsidR="00D07817">
        <w:rPr>
          <w:rFonts w:hint="cs"/>
          <w:rtl/>
        </w:rPr>
        <w:t>قيود</w:t>
      </w:r>
      <w:r>
        <w:rPr>
          <w:rFonts w:hint="cs"/>
          <w:rtl/>
        </w:rPr>
        <w:t xml:space="preserve"> رسمية على مشاركة النساء في المسابقات الرياضية، إلا أن نسبتهن ما زالت قليلة خلال الفترة 1998-2002. وفي عام 2001، مثلت النساء 9.6 في المائة من كبار الرياضيين في جميع الفئات و 6.9 في المائة من الرياضيين المبتدئين. واشتركت النساء البولنديات في كثير من الألعاب الرياضية التي يشارك فيها تقليديا الرجال، وحققت نجاحا دوليا في كثير منها (مثلا رفع الأثقال، والوثب بالزانة، والقفز الثلاثي، وقفز المطرقة، والملاحة، والمصارعة، والسومو، وركوب الدرجات في الجبال). </w:t>
      </w:r>
    </w:p>
    <w:p w:rsidR="00D07817" w:rsidRDefault="008C4F86" w:rsidP="00D07817">
      <w:pPr>
        <w:pStyle w:val="SingleTxt"/>
        <w:rPr>
          <w:rFonts w:hint="cs"/>
          <w:rtl/>
        </w:rPr>
      </w:pPr>
      <w:r>
        <w:rPr>
          <w:rFonts w:hint="cs"/>
          <w:rtl/>
        </w:rPr>
        <w:t>216 -</w:t>
      </w:r>
      <w:r>
        <w:rPr>
          <w:rFonts w:hint="cs"/>
          <w:rtl/>
        </w:rPr>
        <w:tab/>
        <w:t xml:space="preserve"> إن نسبة النساء المشاركات في المسابقات الرياضية الرفيعة المستوى (مثل الفريق الأولمبي) أعلى من مشاركتها في الألعاب الرياضية بصفة عامة. وفي ألعاب سيدني، شكلت النساء 31 في المائة من الفريق البولندي، وفازت بخمس ميداليات، أي 37 في المائة من جميع الميداليات التي تم الفوز بها. وينبغي الإشارة أيضا إلى نشاط المنظمات النسائية في الألعاب الرياضية البولندية (مثلا الرابطة البولندية للألعاب الرياضية النسائية أو لجنة الألعاب الرياضية النسائية التابعة للجنة الأولمبية البولندية).</w:t>
      </w:r>
    </w:p>
    <w:p w:rsidR="008C4F86" w:rsidRDefault="00D07817" w:rsidP="00D07817">
      <w:pPr>
        <w:pStyle w:val="SingleTxt"/>
        <w:rPr>
          <w:rFonts w:hint="cs"/>
          <w:rtl/>
        </w:rPr>
      </w:pPr>
      <w:r>
        <w:rPr>
          <w:rFonts w:hint="cs"/>
          <w:rtl/>
        </w:rPr>
        <w:t xml:space="preserve">217 - </w:t>
      </w:r>
      <w:r w:rsidR="008C4F86">
        <w:rPr>
          <w:rFonts w:hint="cs"/>
          <w:rtl/>
        </w:rPr>
        <w:t>ومن أجل تحسين فرص الجمهور للانفتاح على الثقافة تم زيادة ال</w:t>
      </w:r>
      <w:r>
        <w:rPr>
          <w:rFonts w:hint="cs"/>
          <w:rtl/>
        </w:rPr>
        <w:t>مخصصا</w:t>
      </w:r>
      <w:r w:rsidR="008C4F86">
        <w:rPr>
          <w:rFonts w:hint="cs"/>
          <w:rtl/>
        </w:rPr>
        <w:t xml:space="preserve">ت في ميزانية الدولة </w:t>
      </w:r>
      <w:r>
        <w:rPr>
          <w:rFonts w:hint="cs"/>
          <w:rtl/>
        </w:rPr>
        <w:t xml:space="preserve">للإنفاق </w:t>
      </w:r>
      <w:r w:rsidR="008C4F86">
        <w:rPr>
          <w:rFonts w:hint="cs"/>
          <w:rtl/>
        </w:rPr>
        <w:t>على الثقافة وحماية التراث الوطني، من 0.42 في المائة في عام 2000 إلى 0.54 في المائة في عام 2001. واستمرت الحكومات الذاتية المحلية تخصص 3.15 في المائة من ميزان</w:t>
      </w:r>
      <w:r w:rsidR="00E86660">
        <w:rPr>
          <w:rFonts w:hint="cs"/>
          <w:rtl/>
        </w:rPr>
        <w:t>ي</w:t>
      </w:r>
      <w:r w:rsidR="008C4F86">
        <w:rPr>
          <w:rFonts w:hint="cs"/>
          <w:rtl/>
        </w:rPr>
        <w:t>تها لهذا الغرض.</w:t>
      </w:r>
    </w:p>
    <w:p w:rsidR="008C4F86" w:rsidRDefault="008C4F86" w:rsidP="00DB7002">
      <w:pPr>
        <w:pStyle w:val="SingleTxt"/>
        <w:rPr>
          <w:rFonts w:hint="cs"/>
          <w:b/>
          <w:bCs/>
          <w:rtl/>
        </w:rPr>
      </w:pPr>
      <w:r>
        <w:rPr>
          <w:rFonts w:hint="cs"/>
          <w:b/>
          <w:bCs/>
          <w:rtl/>
        </w:rPr>
        <w:t xml:space="preserve">المادة 14 </w:t>
      </w:r>
      <w:r>
        <w:rPr>
          <w:b/>
          <w:bCs/>
          <w:rtl/>
        </w:rPr>
        <w:t>–</w:t>
      </w:r>
      <w:r>
        <w:rPr>
          <w:rFonts w:hint="cs"/>
          <w:b/>
          <w:bCs/>
          <w:rtl/>
        </w:rPr>
        <w:t xml:space="preserve"> المرأة الريفية </w:t>
      </w:r>
    </w:p>
    <w:p w:rsidR="008C4F86" w:rsidRDefault="008C4F86" w:rsidP="00DB7002">
      <w:pPr>
        <w:pStyle w:val="SingleTxt"/>
        <w:rPr>
          <w:rFonts w:hint="cs"/>
          <w:b/>
          <w:bCs/>
          <w:rtl/>
        </w:rPr>
      </w:pPr>
      <w:r>
        <w:rPr>
          <w:rFonts w:hint="cs"/>
          <w:b/>
          <w:bCs/>
          <w:rtl/>
        </w:rPr>
        <w:t>إعادة تنظيم الزراعة</w:t>
      </w:r>
    </w:p>
    <w:p w:rsidR="00741D29" w:rsidRDefault="008C4F86" w:rsidP="00741D29">
      <w:pPr>
        <w:pStyle w:val="SingleTxt"/>
        <w:rPr>
          <w:rFonts w:hint="cs"/>
          <w:rtl/>
        </w:rPr>
      </w:pPr>
      <w:r>
        <w:rPr>
          <w:rFonts w:hint="cs"/>
          <w:rtl/>
        </w:rPr>
        <w:t>218 -</w:t>
      </w:r>
      <w:r>
        <w:rPr>
          <w:rFonts w:hint="cs"/>
          <w:rtl/>
        </w:rPr>
        <w:tab/>
        <w:t xml:space="preserve"> وفقا للإحصاء الزراعي العام، كان في عام 2002 ما مجموعه 100 956 1 مزرعة</w:t>
      </w:r>
      <w:r w:rsidRPr="008C4F86">
        <w:rPr>
          <w:vertAlign w:val="superscript"/>
          <w:rtl/>
        </w:rPr>
        <w:t>(</w:t>
      </w:r>
      <w:r>
        <w:rPr>
          <w:rStyle w:val="FootnoteReference"/>
          <w:rtl/>
        </w:rPr>
        <w:footnoteReference w:id="11"/>
      </w:r>
      <w:r w:rsidRPr="008C4F86">
        <w:rPr>
          <w:vertAlign w:val="superscript"/>
          <w:rtl/>
        </w:rPr>
        <w:t>)</w:t>
      </w:r>
      <w:r>
        <w:rPr>
          <w:rFonts w:hint="cs"/>
          <w:rtl/>
        </w:rPr>
        <w:t xml:space="preserve"> في بولندا ومساحة كل منها أكثر من 1 هكتار، </w:t>
      </w:r>
      <w:r w:rsidR="00D4702D">
        <w:rPr>
          <w:rFonts w:hint="cs"/>
          <w:rtl/>
        </w:rPr>
        <w:t>و 99.9 في المائة منها عبارة عن مزارع خاصة، و 0.1 في المائة منها ملك للقطاع العام. ومقارنة ب</w:t>
      </w:r>
      <w:r w:rsidR="00741D29">
        <w:rPr>
          <w:rFonts w:hint="cs"/>
          <w:rtl/>
        </w:rPr>
        <w:t>التقرير</w:t>
      </w:r>
      <w:r w:rsidR="00D4702D">
        <w:rPr>
          <w:rFonts w:hint="cs"/>
          <w:rtl/>
        </w:rPr>
        <w:t xml:space="preserve"> عن الفترة السابقة، ازداد متوسط الأرض الزراعية بنسبة إضافية قدرها 23 في المائة، ويعادل ذلك في عام 2002</w:t>
      </w:r>
      <w:r w:rsidR="00741D29">
        <w:rPr>
          <w:rFonts w:hint="cs"/>
          <w:rtl/>
        </w:rPr>
        <w:t xml:space="preserve"> مساحة</w:t>
      </w:r>
      <w:r w:rsidR="00D4702D">
        <w:rPr>
          <w:rFonts w:hint="cs"/>
          <w:rtl/>
        </w:rPr>
        <w:t xml:space="preserve"> </w:t>
      </w:r>
      <w:r w:rsidR="00741D29">
        <w:rPr>
          <w:rFonts w:hint="cs"/>
          <w:rtl/>
        </w:rPr>
        <w:t xml:space="preserve">قدرها </w:t>
      </w:r>
      <w:r w:rsidR="00D4702D">
        <w:rPr>
          <w:rFonts w:hint="cs"/>
          <w:rtl/>
        </w:rPr>
        <w:t>9.6 هكتار (بما في ذلك 8.4 هكتار من الأرض الصالحة للزراعة). غير أن مساحة حوالي 60 في المائة من المزارع كانت تتراوح بين 1 و 3 هكتار، و</w:t>
      </w:r>
      <w:r w:rsidR="00741D29">
        <w:rPr>
          <w:rFonts w:hint="cs"/>
          <w:rtl/>
        </w:rPr>
        <w:t>تتجاوز مساحة</w:t>
      </w:r>
      <w:r w:rsidR="00D4702D">
        <w:rPr>
          <w:rFonts w:hint="cs"/>
          <w:rtl/>
        </w:rPr>
        <w:t xml:space="preserve"> 0.5 في المائة منها 50 هكتارا. ولم تقم التعاونيات الزراعية إلا بحرث 2 في المائة من الأرض الصالحة للزراعة.</w:t>
      </w:r>
    </w:p>
    <w:p w:rsidR="008C4F86" w:rsidRDefault="00741D29" w:rsidP="00741D29">
      <w:pPr>
        <w:pStyle w:val="SingleTxt"/>
        <w:rPr>
          <w:rFonts w:hint="cs"/>
          <w:rtl/>
        </w:rPr>
      </w:pPr>
      <w:r>
        <w:rPr>
          <w:rFonts w:hint="cs"/>
          <w:rtl/>
        </w:rPr>
        <w:t xml:space="preserve">219 - </w:t>
      </w:r>
      <w:r w:rsidR="00D4702D">
        <w:rPr>
          <w:rFonts w:hint="cs"/>
          <w:rtl/>
        </w:rPr>
        <w:t>كان نصيب الزراعة في عام 2001 من الناتج المحلي الإجمالي 2.9 في المائة. وأشار الإحصاء الزراعي العام لعام 2002 إلى هبوط عدد المزارع بنسبة 4.3 في المائة مقارنة بعام 1996</w:t>
      </w:r>
      <w:r w:rsidR="00D4702D" w:rsidRPr="00D4702D">
        <w:rPr>
          <w:vertAlign w:val="superscript"/>
          <w:rtl/>
        </w:rPr>
        <w:t>(</w:t>
      </w:r>
      <w:r w:rsidR="00D4702D">
        <w:rPr>
          <w:rStyle w:val="FootnoteReference"/>
          <w:rtl/>
        </w:rPr>
        <w:footnoteReference w:id="12"/>
      </w:r>
      <w:r w:rsidR="00D4702D" w:rsidRPr="00D4702D">
        <w:rPr>
          <w:vertAlign w:val="superscript"/>
          <w:rtl/>
        </w:rPr>
        <w:t>)</w:t>
      </w:r>
      <w:r w:rsidR="00D4702D">
        <w:rPr>
          <w:rFonts w:hint="cs"/>
          <w:rtl/>
        </w:rPr>
        <w:t xml:space="preserve">. وحدثت أيضا تغييرات في عدد المزارعين، فكان عدد المزارعين في سن مرحلة ما قبل الإنتاج وفي سن مرحلة ما بعد الإنتاج أقل من السابق، وكان عددهم أكبر في سن مرحلة الإنتاج، أما الزيادة الكبرى فكانت في مجموعة الأشخاص القليلي التنقل (45 إلى 59 بالنسبة للنساء، و 45 إلى 64 بالنسبة للرجال). وفي عام 2002، كانت الأسر المعيشية التي تضم مزارعا تمثل 27.4 في المائة من إجمالي سكان البلد. وانخفض عدد الأشخاص المرتبطين بالمزارع </w:t>
      </w:r>
      <w:r>
        <w:rPr>
          <w:rFonts w:hint="cs"/>
          <w:rtl/>
        </w:rPr>
        <w:t>ب</w:t>
      </w:r>
      <w:r w:rsidR="00D4702D">
        <w:rPr>
          <w:rFonts w:hint="cs"/>
          <w:rtl/>
        </w:rPr>
        <w:t xml:space="preserve">حوالي 1 مليون شخص، أي 10 في المائة تقريبا، مقارنة بعام 1996. </w:t>
      </w:r>
    </w:p>
    <w:p w:rsidR="00D4702D" w:rsidRDefault="00D4702D" w:rsidP="00D4702D">
      <w:pPr>
        <w:pStyle w:val="SingleTxt"/>
        <w:rPr>
          <w:rFonts w:hint="cs"/>
          <w:rtl/>
        </w:rPr>
      </w:pPr>
      <w:r>
        <w:rPr>
          <w:rFonts w:hint="cs"/>
          <w:rtl/>
        </w:rPr>
        <w:t>220 -</w:t>
      </w:r>
      <w:r>
        <w:rPr>
          <w:rFonts w:hint="cs"/>
          <w:rtl/>
        </w:rPr>
        <w:tab/>
        <w:t xml:space="preserve"> اختلفت مستويات التعليم اختلافا كبيرا، ويعتمد ذلك على موقع المزرعة. فالأشخاص الذين يعملون في كبرى المزارع (مساحتها أكثر من 50 هكتارا) أكثر ثقافة من الأشخاص الذين يعملون في مزارع متوسطة الحجم أو صغيرة الحجم. وتضم المجموعة الأولى 47.5 في المائة من الأشخاص الذين أكملوا على الأقل تعليمهم الثانوي، علما بأن 21.4 في المائة فقط أكملوا تعليمهم الثانوي في المزارع الصغرى.</w:t>
      </w:r>
    </w:p>
    <w:p w:rsidR="00D4702D" w:rsidRDefault="00D4702D" w:rsidP="00741D29">
      <w:pPr>
        <w:pStyle w:val="SingleTxt"/>
        <w:rPr>
          <w:rFonts w:hint="cs"/>
          <w:rtl/>
        </w:rPr>
      </w:pPr>
      <w:r>
        <w:rPr>
          <w:rFonts w:hint="cs"/>
          <w:rtl/>
        </w:rPr>
        <w:t>221 -</w:t>
      </w:r>
      <w:r>
        <w:rPr>
          <w:rFonts w:hint="cs"/>
          <w:rtl/>
        </w:rPr>
        <w:tab/>
        <w:t xml:space="preserve"> أدى التدهور الاقتصادي المستمر في الزراعة إلى انخفاض</w:t>
      </w:r>
      <w:r w:rsidR="00741D29">
        <w:rPr>
          <w:rFonts w:hint="cs"/>
          <w:rtl/>
        </w:rPr>
        <w:t xml:space="preserve"> عدد المزارع التي تقوم بنشاط اقتصادي (إما في مجال الزراعة أو خارجها)</w:t>
      </w:r>
      <w:r>
        <w:rPr>
          <w:rFonts w:hint="cs"/>
          <w:rtl/>
        </w:rPr>
        <w:t xml:space="preserve"> </w:t>
      </w:r>
      <w:r w:rsidR="00741D29">
        <w:rPr>
          <w:rFonts w:hint="cs"/>
          <w:rtl/>
        </w:rPr>
        <w:t>بنسبة 21 في المائة</w:t>
      </w:r>
      <w:r>
        <w:rPr>
          <w:rFonts w:hint="cs"/>
          <w:rtl/>
        </w:rPr>
        <w:t xml:space="preserve">. وقد علّق </w:t>
      </w:r>
      <w:r w:rsidR="00741D29">
        <w:rPr>
          <w:rFonts w:hint="cs"/>
          <w:rtl/>
        </w:rPr>
        <w:t>ال</w:t>
      </w:r>
      <w:r>
        <w:rPr>
          <w:rFonts w:hint="cs"/>
          <w:rtl/>
        </w:rPr>
        <w:t>مشتغلو</w:t>
      </w:r>
      <w:r w:rsidR="00741D29">
        <w:rPr>
          <w:rFonts w:hint="cs"/>
          <w:rtl/>
        </w:rPr>
        <w:t>ن في</w:t>
      </w:r>
      <w:r>
        <w:rPr>
          <w:rFonts w:hint="cs"/>
          <w:rtl/>
        </w:rPr>
        <w:t xml:space="preserve"> هذه المزارع نشاطهم الزراعي</w:t>
      </w:r>
      <w:r w:rsidR="00741D29">
        <w:rPr>
          <w:rFonts w:hint="cs"/>
          <w:rtl/>
        </w:rPr>
        <w:t xml:space="preserve"> أو هجروه</w:t>
      </w:r>
      <w:r w:rsidRPr="00D4702D">
        <w:rPr>
          <w:vertAlign w:val="superscript"/>
          <w:rtl/>
        </w:rPr>
        <w:t>(</w:t>
      </w:r>
      <w:r>
        <w:rPr>
          <w:rStyle w:val="FootnoteReference"/>
          <w:rtl/>
        </w:rPr>
        <w:footnoteReference w:id="13"/>
      </w:r>
      <w:r w:rsidRPr="00D4702D">
        <w:rPr>
          <w:vertAlign w:val="superscript"/>
          <w:rtl/>
        </w:rPr>
        <w:t>)</w:t>
      </w:r>
      <w:r>
        <w:rPr>
          <w:rFonts w:hint="cs"/>
          <w:rtl/>
        </w:rPr>
        <w:t>. وفي نفس الوقت حدث نمو نسبته 46 في المائة في عدد المزارع التي يقوم مستغلوها</w:t>
      </w:r>
      <w:r w:rsidRPr="00D4702D">
        <w:rPr>
          <w:vertAlign w:val="superscript"/>
          <w:rtl/>
        </w:rPr>
        <w:t>(</w:t>
      </w:r>
      <w:r>
        <w:rPr>
          <w:rStyle w:val="FootnoteReference"/>
          <w:rtl/>
        </w:rPr>
        <w:footnoteReference w:id="14"/>
      </w:r>
      <w:r w:rsidRPr="00D4702D">
        <w:rPr>
          <w:vertAlign w:val="superscript"/>
          <w:rtl/>
        </w:rPr>
        <w:t>)</w:t>
      </w:r>
      <w:r>
        <w:rPr>
          <w:rFonts w:hint="cs"/>
          <w:vertAlign w:val="superscript"/>
          <w:rtl/>
        </w:rPr>
        <w:t xml:space="preserve"> </w:t>
      </w:r>
      <w:r>
        <w:rPr>
          <w:rFonts w:hint="cs"/>
          <w:rtl/>
        </w:rPr>
        <w:t>بنشاط غير زراعي. وتع</w:t>
      </w:r>
      <w:r w:rsidR="00741D29">
        <w:rPr>
          <w:rFonts w:hint="cs"/>
          <w:rtl/>
        </w:rPr>
        <w:t>ني</w:t>
      </w:r>
      <w:r>
        <w:rPr>
          <w:rFonts w:hint="cs"/>
          <w:rtl/>
        </w:rPr>
        <w:t xml:space="preserve"> هذه ال</w:t>
      </w:r>
      <w:r w:rsidR="00741D29">
        <w:rPr>
          <w:rFonts w:hint="cs"/>
          <w:rtl/>
        </w:rPr>
        <w:t>ظاهر</w:t>
      </w:r>
      <w:r>
        <w:rPr>
          <w:rFonts w:hint="cs"/>
          <w:rtl/>
        </w:rPr>
        <w:t xml:space="preserve">ة </w:t>
      </w:r>
      <w:r w:rsidR="00741D29">
        <w:rPr>
          <w:rFonts w:hint="cs"/>
          <w:rtl/>
        </w:rPr>
        <w:t xml:space="preserve">أن هناك سعيا </w:t>
      </w:r>
      <w:r>
        <w:rPr>
          <w:rFonts w:hint="cs"/>
          <w:rtl/>
        </w:rPr>
        <w:t xml:space="preserve">إلى إيجاد مصادر بديلة للدخل. وأكثر أنواع الأنشطة التي يتم الاضطلاع بها </w:t>
      </w:r>
      <w:r w:rsidR="00BE39AA">
        <w:rPr>
          <w:rFonts w:hint="cs"/>
          <w:rtl/>
        </w:rPr>
        <w:t xml:space="preserve">هي </w:t>
      </w:r>
      <w:r>
        <w:rPr>
          <w:rFonts w:hint="cs"/>
          <w:rtl/>
        </w:rPr>
        <w:t>البيع بالتجزئة، وتجهيز الأغذية، والبناء والنقل.</w:t>
      </w:r>
    </w:p>
    <w:p w:rsidR="00D4702D" w:rsidRDefault="00D4702D" w:rsidP="00D4702D">
      <w:pPr>
        <w:pStyle w:val="SingleTxt"/>
        <w:rPr>
          <w:rFonts w:hint="cs"/>
          <w:b/>
          <w:bCs/>
          <w:rtl/>
        </w:rPr>
      </w:pPr>
      <w:r>
        <w:rPr>
          <w:rFonts w:hint="cs"/>
          <w:b/>
          <w:bCs/>
          <w:rtl/>
        </w:rPr>
        <w:t>النشاط المهني الذي تقوم به المرأة الريفية</w:t>
      </w:r>
    </w:p>
    <w:p w:rsidR="00D4702D" w:rsidRDefault="00D4702D" w:rsidP="009A27F2">
      <w:pPr>
        <w:pStyle w:val="SingleTxt"/>
        <w:rPr>
          <w:rFonts w:hint="cs"/>
          <w:rtl/>
        </w:rPr>
      </w:pPr>
      <w:r>
        <w:rPr>
          <w:rFonts w:hint="cs"/>
          <w:rtl/>
        </w:rPr>
        <w:t>222 -</w:t>
      </w:r>
      <w:r>
        <w:rPr>
          <w:rFonts w:hint="cs"/>
          <w:rtl/>
        </w:rPr>
        <w:tab/>
        <w:t xml:space="preserve"> وفقا لآخر إحصاء وطني للسكان والإسكان والإحصاء الزراعي العام، كان هناك 7.3 مليون امرأة يعشن في عام 2002 في الريف، ويمثل ذلك 37.2 في المائة من جميع النساء. ويوجد في الريف 101 امرأة لكل 100 رجل، بينما يوجد في المدن 110 نساء لكل 100 رجل. وفي المناطق الريفية يزيد عدد الرجال عن عدد النساء في الفئة العمرية التي تبلغ 55 سنة، وبعد هذا العمر بشكل النساء أغلبية واضحة (في المدن تبدأ هذه الأغلبية في سن أصغر، 29 سنة). وانخفضت نسبة النساء العاملات في المزارع مع ازدياد حجم هذه المزارع. ففي المزارع الصغيرة (التي تتراوح مساحة الأرض الصالحة للزراعة فيها </w:t>
      </w:r>
      <w:r w:rsidR="009A27F2">
        <w:rPr>
          <w:rFonts w:hint="cs"/>
          <w:rtl/>
        </w:rPr>
        <w:t xml:space="preserve">بين </w:t>
      </w:r>
      <w:r>
        <w:rPr>
          <w:rFonts w:hint="cs"/>
          <w:rtl/>
        </w:rPr>
        <w:t xml:space="preserve">1 </w:t>
      </w:r>
      <w:r w:rsidR="009A27F2">
        <w:rPr>
          <w:rFonts w:hint="cs"/>
          <w:rtl/>
        </w:rPr>
        <w:t>و</w:t>
      </w:r>
      <w:r>
        <w:rPr>
          <w:rFonts w:hint="cs"/>
          <w:rtl/>
        </w:rPr>
        <w:t xml:space="preserve"> 2 هكتار) تشكل النساء 50.2 في المائة من جميع الأشخاص العاملين، بينما تمثل النسا</w:t>
      </w:r>
      <w:r w:rsidR="009A27F2">
        <w:rPr>
          <w:rFonts w:hint="cs"/>
          <w:rtl/>
        </w:rPr>
        <w:t>ء</w:t>
      </w:r>
      <w:r>
        <w:rPr>
          <w:rFonts w:hint="cs"/>
          <w:rtl/>
        </w:rPr>
        <w:t xml:space="preserve"> في المزارع الأكبر </w:t>
      </w:r>
      <w:r w:rsidR="00503520">
        <w:rPr>
          <w:rFonts w:hint="cs"/>
          <w:rtl/>
        </w:rPr>
        <w:t>36.5 في المائة من هؤلاء الأشخاص. وفي المتوسط، يعمل الرجال في المزارع ثماني ساعات في اليوم بينما تعمل النساء سبع ساعات</w:t>
      </w:r>
      <w:r w:rsidR="00AA1C43">
        <w:rPr>
          <w:rFonts w:hint="cs"/>
          <w:rtl/>
        </w:rPr>
        <w:t xml:space="preserve">. (الإحصاء الزراعي العام لعام 2002). </w:t>
      </w:r>
    </w:p>
    <w:p w:rsidR="00AA1C43" w:rsidRDefault="00AA1C43" w:rsidP="00822DF5">
      <w:pPr>
        <w:pStyle w:val="SingleTxt"/>
        <w:rPr>
          <w:rFonts w:hint="cs"/>
          <w:rtl/>
        </w:rPr>
      </w:pPr>
      <w:r>
        <w:rPr>
          <w:rFonts w:hint="cs"/>
          <w:rtl/>
        </w:rPr>
        <w:t>223 -</w:t>
      </w:r>
      <w:r>
        <w:rPr>
          <w:rFonts w:hint="cs"/>
          <w:rtl/>
        </w:rPr>
        <w:tab/>
        <w:t xml:space="preserve"> يعطي الجدول ألف -14-1 (المرفق) مؤشرات عن حالة المرأة في سوق العمل، ويصنفها إلى أربع مجموعات: مجموع السكان في بولندا</w:t>
      </w:r>
      <w:r w:rsidR="00822DF5">
        <w:rPr>
          <w:rFonts w:hint="cs"/>
          <w:rtl/>
        </w:rPr>
        <w:t>؛ مجموع سكان الريف؛ ومجموع</w:t>
      </w:r>
      <w:r w:rsidR="002A057E">
        <w:rPr>
          <w:rFonts w:hint="cs"/>
          <w:rtl/>
        </w:rPr>
        <w:t xml:space="preserve"> سكان</w:t>
      </w:r>
      <w:r w:rsidR="00822DF5">
        <w:rPr>
          <w:rFonts w:hint="cs"/>
          <w:rtl/>
        </w:rPr>
        <w:t xml:space="preserve"> الريف المرتبطين بمزرعة، ومجموع</w:t>
      </w:r>
      <w:r w:rsidR="002A057E">
        <w:rPr>
          <w:rFonts w:hint="cs"/>
          <w:rtl/>
        </w:rPr>
        <w:t xml:space="preserve"> سكان الريف غير المرتبطين بالزراعة. وعند تحليل هذه المؤشرات في إطار العمالة أو معدل البطالة، </w:t>
      </w:r>
      <w:r w:rsidR="00822DF5">
        <w:rPr>
          <w:rFonts w:hint="cs"/>
          <w:rtl/>
        </w:rPr>
        <w:t>ت</w:t>
      </w:r>
      <w:r w:rsidR="002A057E">
        <w:rPr>
          <w:rFonts w:hint="cs"/>
          <w:rtl/>
        </w:rPr>
        <w:t xml:space="preserve">لاحظ النسبة المئوية العالية للأشخاص النشطين مهنيا بين المزارعين والنسبة المنخفضة للبطالة. ومن ناحية أخرى، تلاحظ أعلى نسبة بطالة بين سكان الريف الذين لا يملكون مزارع؛ وينتمي معظم هؤلاء إلى عمال المزارع الحكومية الفاشلة. والمشكلة حادة بصفة خاصة في غرب وشمال بولندا </w:t>
      </w:r>
      <w:r w:rsidR="00822DF5">
        <w:rPr>
          <w:rFonts w:hint="cs"/>
          <w:rtl/>
        </w:rPr>
        <w:t>إذ إن أكبر عدد ل</w:t>
      </w:r>
      <w:r w:rsidR="002A057E">
        <w:rPr>
          <w:rFonts w:hint="cs"/>
          <w:rtl/>
        </w:rPr>
        <w:t>لمزارع الحكومية قبل تغيير النظام في بولندا</w:t>
      </w:r>
      <w:r w:rsidR="00822DF5">
        <w:rPr>
          <w:rFonts w:hint="cs"/>
          <w:rtl/>
        </w:rPr>
        <w:t xml:space="preserve"> كان في هاتين المنطقتين</w:t>
      </w:r>
      <w:r w:rsidR="002A057E">
        <w:rPr>
          <w:rFonts w:hint="cs"/>
          <w:rtl/>
        </w:rPr>
        <w:t>.</w:t>
      </w:r>
    </w:p>
    <w:p w:rsidR="002A057E" w:rsidRDefault="002A057E" w:rsidP="00822DF5">
      <w:pPr>
        <w:pStyle w:val="SingleTxt"/>
        <w:rPr>
          <w:rFonts w:hint="cs"/>
          <w:rtl/>
        </w:rPr>
      </w:pPr>
      <w:r>
        <w:rPr>
          <w:rFonts w:hint="cs"/>
          <w:rtl/>
        </w:rPr>
        <w:t>224 -</w:t>
      </w:r>
      <w:r>
        <w:rPr>
          <w:rFonts w:hint="cs"/>
          <w:rtl/>
        </w:rPr>
        <w:tab/>
        <w:t xml:space="preserve"> وفي الريف، ت</w:t>
      </w:r>
      <w:r w:rsidR="00822DF5">
        <w:rPr>
          <w:rFonts w:hint="cs"/>
          <w:rtl/>
        </w:rPr>
        <w:t>شتغل</w:t>
      </w:r>
      <w:r>
        <w:rPr>
          <w:rFonts w:hint="cs"/>
          <w:rtl/>
        </w:rPr>
        <w:t xml:space="preserve"> معظم النساء </w:t>
      </w:r>
      <w:r w:rsidR="00822DF5">
        <w:rPr>
          <w:rFonts w:hint="cs"/>
          <w:rtl/>
        </w:rPr>
        <w:t>في الأعمال</w:t>
      </w:r>
      <w:r>
        <w:rPr>
          <w:rFonts w:hint="cs"/>
          <w:rtl/>
        </w:rPr>
        <w:t xml:space="preserve"> اليدوي</w:t>
      </w:r>
      <w:r w:rsidR="00822DF5">
        <w:rPr>
          <w:rFonts w:hint="cs"/>
          <w:rtl/>
        </w:rPr>
        <w:t>ة</w:t>
      </w:r>
      <w:r>
        <w:rPr>
          <w:rFonts w:hint="cs"/>
          <w:rtl/>
        </w:rPr>
        <w:t xml:space="preserve">. وتفيد النساء الريفيات والنساء اللاتي يعشن في المدن الصغيرة بأن </w:t>
      </w:r>
      <w:r w:rsidR="00822DF5">
        <w:rPr>
          <w:rFonts w:hint="cs"/>
          <w:rtl/>
        </w:rPr>
        <w:t>ال</w:t>
      </w:r>
      <w:r>
        <w:rPr>
          <w:rFonts w:hint="cs"/>
          <w:rtl/>
        </w:rPr>
        <w:t xml:space="preserve">صعوبات </w:t>
      </w:r>
      <w:r w:rsidR="00822DF5">
        <w:rPr>
          <w:rFonts w:hint="cs"/>
          <w:rtl/>
        </w:rPr>
        <w:t>التي يواجهنها ل</w:t>
      </w:r>
      <w:r>
        <w:rPr>
          <w:rFonts w:hint="cs"/>
          <w:rtl/>
        </w:rPr>
        <w:t>إيجاد عمل أكثر من الصعوبات التي تواجهها نساء المدن. والصعوبة في إيجاد عمل تعود في كثير من الأحيان إلى الافتقار إلى التعليم، أو عدم إكماله. وإن التغييرات في سوق العمل والبطالة العالية وضعت حدا لتدفق اليد العاملة من الزراعة إلى فروع</w:t>
      </w:r>
      <w:r w:rsidR="00822DF5">
        <w:rPr>
          <w:rFonts w:hint="cs"/>
          <w:rtl/>
        </w:rPr>
        <w:t xml:space="preserve"> الاقتصاد</w:t>
      </w:r>
      <w:r>
        <w:rPr>
          <w:rFonts w:hint="cs"/>
          <w:rtl/>
        </w:rPr>
        <w:t xml:space="preserve"> الأخرى. والأشخا</w:t>
      </w:r>
      <w:r w:rsidR="00822DF5">
        <w:rPr>
          <w:rFonts w:hint="cs"/>
          <w:rtl/>
        </w:rPr>
        <w:t>ص الذين فقدوا عملهم في المدن يعو</w:t>
      </w:r>
      <w:r>
        <w:rPr>
          <w:rFonts w:hint="cs"/>
          <w:rtl/>
        </w:rPr>
        <w:t xml:space="preserve">دون في كثير من الأحيان إلى المناطق الريفية. ويظل الشباب من الجنسين في كثير من الأحيان يعتمدون على والديهم لأن افتقارهم إلى الخبرة العملية لا يساعدهم على إيجاد عمل. </w:t>
      </w:r>
    </w:p>
    <w:p w:rsidR="002A057E" w:rsidRDefault="002A057E" w:rsidP="005B3A9A">
      <w:pPr>
        <w:pStyle w:val="SingleTxt"/>
        <w:rPr>
          <w:rFonts w:hint="cs"/>
          <w:rtl/>
        </w:rPr>
      </w:pPr>
      <w:r>
        <w:rPr>
          <w:rFonts w:hint="cs"/>
          <w:rtl/>
        </w:rPr>
        <w:t>225 -</w:t>
      </w:r>
      <w:r>
        <w:rPr>
          <w:rFonts w:hint="cs"/>
          <w:rtl/>
        </w:rPr>
        <w:tab/>
        <w:t xml:space="preserve"> وأكثر الأسباب التي أدت إلى توقف المرأة عن مزاولة عمل بأجر هو إفلاس رب العمل والحمل. والمرأة الريفية أقل مرونة في سوق العمل (</w:t>
      </w:r>
      <w:r w:rsidR="00822DF5">
        <w:rPr>
          <w:rFonts w:hint="cs"/>
          <w:rtl/>
        </w:rPr>
        <w:t xml:space="preserve">فهي </w:t>
      </w:r>
      <w:r>
        <w:rPr>
          <w:rFonts w:hint="cs"/>
          <w:rtl/>
        </w:rPr>
        <w:t>أقل استعداد</w:t>
      </w:r>
      <w:r w:rsidR="00822DF5">
        <w:rPr>
          <w:rFonts w:hint="cs"/>
          <w:rtl/>
        </w:rPr>
        <w:t>ا</w:t>
      </w:r>
      <w:r>
        <w:rPr>
          <w:rFonts w:hint="cs"/>
          <w:rtl/>
        </w:rPr>
        <w:t xml:space="preserve"> لتغيير عملها، أو للعودة إلى التدريب، أو تغيير مكان إقامتها) مقارنة بالمرأة التي تعيش في المدن. وهذا له علاقة أيضا بمستوى تعليمها </w:t>
      </w:r>
      <w:r w:rsidR="005B3A9A">
        <w:rPr>
          <w:rFonts w:hint="cs"/>
          <w:rtl/>
        </w:rPr>
        <w:t xml:space="preserve">فهو </w:t>
      </w:r>
      <w:r>
        <w:rPr>
          <w:rFonts w:hint="cs"/>
          <w:rtl/>
        </w:rPr>
        <w:t xml:space="preserve">أقل من مستوى تعليم المرأة التي تعيش في المدن. وإن عدم الاستعداد لتغيير مكان العمل </w:t>
      </w:r>
      <w:r w:rsidR="005B3A9A">
        <w:rPr>
          <w:rFonts w:hint="cs"/>
          <w:rtl/>
        </w:rPr>
        <w:t>مر</w:t>
      </w:r>
      <w:r>
        <w:rPr>
          <w:rFonts w:hint="cs"/>
          <w:rtl/>
        </w:rPr>
        <w:t>د</w:t>
      </w:r>
      <w:r w:rsidR="005B3A9A">
        <w:rPr>
          <w:rFonts w:hint="cs"/>
          <w:rtl/>
        </w:rPr>
        <w:t>ّه</w:t>
      </w:r>
      <w:r>
        <w:rPr>
          <w:rFonts w:hint="cs"/>
          <w:rtl/>
        </w:rPr>
        <w:t xml:space="preserve"> إلى أنه يمكن حتى للمزرعة ذات الدخل المنخفض أن تفي بالاحتياجات الأساسية</w:t>
      </w:r>
      <w:r w:rsidR="005B3A9A">
        <w:rPr>
          <w:rFonts w:hint="cs"/>
          <w:rtl/>
        </w:rPr>
        <w:t>،</w:t>
      </w:r>
      <w:r>
        <w:rPr>
          <w:rFonts w:hint="cs"/>
          <w:rtl/>
        </w:rPr>
        <w:t xml:space="preserve"> مثل الوجبات المتواضعة والدخل المحدود.</w:t>
      </w:r>
    </w:p>
    <w:p w:rsidR="002A057E" w:rsidRDefault="002A057E" w:rsidP="00AA1C43">
      <w:pPr>
        <w:pStyle w:val="SingleTxt"/>
        <w:rPr>
          <w:rFonts w:hint="cs"/>
          <w:rtl/>
        </w:rPr>
      </w:pPr>
      <w:r>
        <w:rPr>
          <w:rFonts w:hint="cs"/>
          <w:rtl/>
        </w:rPr>
        <w:t>226 -</w:t>
      </w:r>
      <w:r>
        <w:rPr>
          <w:rFonts w:hint="cs"/>
          <w:rtl/>
        </w:rPr>
        <w:tab/>
        <w:t xml:space="preserve"> أثرت البطالة وتخفيض الإنفاق الاجتماعي على دخل الأسر وعلى حالة المرأة. ويعاني عدد متزا</w:t>
      </w:r>
      <w:r w:rsidR="005B3A9A">
        <w:rPr>
          <w:rFonts w:hint="cs"/>
          <w:rtl/>
        </w:rPr>
        <w:t>يد من النساء من تدهور ظروف عملهن وحياتهن</w:t>
      </w:r>
      <w:r>
        <w:rPr>
          <w:rFonts w:hint="cs"/>
          <w:rtl/>
        </w:rPr>
        <w:t>. وينطبق ذلك بصفة خاصة على المرأة المريضة والمعوقة والمسنة وأيضا على الأمهات المعيلات. والنساء اللاتي يعشن في المناطق الريفية النائية ينتمين إلى أكثر المجموعات ضعفا.</w:t>
      </w:r>
    </w:p>
    <w:p w:rsidR="002A057E" w:rsidRDefault="002A057E" w:rsidP="00AA1C43">
      <w:pPr>
        <w:pStyle w:val="SingleTxt"/>
        <w:rPr>
          <w:rFonts w:hint="cs"/>
          <w:b/>
          <w:bCs/>
          <w:rtl/>
        </w:rPr>
      </w:pPr>
      <w:r>
        <w:rPr>
          <w:rFonts w:hint="cs"/>
          <w:b/>
          <w:bCs/>
          <w:rtl/>
        </w:rPr>
        <w:t>المشاريع التجارية وإمكانية الحصول على الائتمانات</w:t>
      </w:r>
    </w:p>
    <w:p w:rsidR="002A057E" w:rsidRDefault="002A057E" w:rsidP="00D37DF2">
      <w:pPr>
        <w:pStyle w:val="SingleTxt"/>
        <w:rPr>
          <w:rFonts w:hint="cs"/>
          <w:rtl/>
        </w:rPr>
      </w:pPr>
      <w:r>
        <w:rPr>
          <w:rFonts w:hint="cs"/>
          <w:rtl/>
        </w:rPr>
        <w:t>227 -</w:t>
      </w:r>
      <w:r>
        <w:rPr>
          <w:rFonts w:hint="cs"/>
          <w:rtl/>
        </w:rPr>
        <w:tab/>
        <w:t xml:space="preserve"> تقرر بعض النساء الريفيات </w:t>
      </w:r>
      <w:r w:rsidR="00DB5B3C">
        <w:rPr>
          <w:rFonts w:hint="cs"/>
          <w:rtl/>
        </w:rPr>
        <w:t xml:space="preserve">بدء نشاطها التجاري الخاص بها. ويشمل ذلك عادة الحرف اليدوية، والسياحة الزراعية، وتجهيز وبيع المنتجات الزراعية. وتسمح هذه المهن الجمع بين النشاط المهني والواجبات المنزلية وتربية الأطفال. كما أن الجمع بين العمل في المزارع والنشاط غير الزراعي يسمح بالمحافظة على المزارع ذات الدخل المنخفض ويمنع الهجرة من بعض المناطق، </w:t>
      </w:r>
      <w:r w:rsidR="00D37DF2">
        <w:rPr>
          <w:rFonts w:hint="cs"/>
          <w:rtl/>
        </w:rPr>
        <w:t>الأمر الذي</w:t>
      </w:r>
      <w:r w:rsidR="00DB5B3C">
        <w:rPr>
          <w:rFonts w:hint="cs"/>
          <w:rtl/>
        </w:rPr>
        <w:t xml:space="preserve"> يمكن أن يؤدي إلى تدهور اقتصادي واجتماعي. </w:t>
      </w:r>
    </w:p>
    <w:p w:rsidR="00DB5B3C" w:rsidRDefault="00DB5B3C" w:rsidP="00D37DF2">
      <w:pPr>
        <w:pStyle w:val="SingleTxt"/>
        <w:rPr>
          <w:rFonts w:hint="cs"/>
          <w:rtl/>
        </w:rPr>
      </w:pPr>
      <w:r>
        <w:rPr>
          <w:rFonts w:hint="cs"/>
          <w:rtl/>
        </w:rPr>
        <w:t>228 -</w:t>
      </w:r>
      <w:r>
        <w:rPr>
          <w:rFonts w:hint="cs"/>
          <w:rtl/>
        </w:rPr>
        <w:tab/>
        <w:t xml:space="preserve"> هناك مساواة بين الرجال والنساء في بولندا في الحصول على الائتمانات ولا سيما الائتمانات الزراعية التفضيلية. وت</w:t>
      </w:r>
      <w:r w:rsidR="00D37DF2">
        <w:rPr>
          <w:rFonts w:hint="cs"/>
          <w:rtl/>
        </w:rPr>
        <w:t>شترط</w:t>
      </w:r>
      <w:r>
        <w:rPr>
          <w:rFonts w:hint="cs"/>
          <w:rtl/>
        </w:rPr>
        <w:t xml:space="preserve"> المصارف </w:t>
      </w:r>
      <w:r w:rsidR="00D37DF2">
        <w:rPr>
          <w:rFonts w:hint="cs"/>
          <w:rtl/>
        </w:rPr>
        <w:t xml:space="preserve">من </w:t>
      </w:r>
      <w:r>
        <w:rPr>
          <w:rFonts w:hint="cs"/>
          <w:rtl/>
        </w:rPr>
        <w:t xml:space="preserve">الذين يسعون للحصول على الائتمانات من كلا الجنسين </w:t>
      </w:r>
      <w:r w:rsidR="00D37DF2">
        <w:rPr>
          <w:rFonts w:hint="cs"/>
          <w:rtl/>
        </w:rPr>
        <w:t xml:space="preserve">أن يستوفوا </w:t>
      </w:r>
      <w:r>
        <w:rPr>
          <w:rFonts w:hint="cs"/>
          <w:rtl/>
        </w:rPr>
        <w:t>نفس الشروط. ومن بين</w:t>
      </w:r>
      <w:r w:rsidR="009C102D">
        <w:rPr>
          <w:rFonts w:hint="cs"/>
          <w:rtl/>
        </w:rPr>
        <w:t xml:space="preserve"> </w:t>
      </w:r>
      <w:r w:rsidR="00D37DF2">
        <w:rPr>
          <w:rFonts w:hint="cs"/>
          <w:rtl/>
        </w:rPr>
        <w:t>هذه الشروط</w:t>
      </w:r>
      <w:r>
        <w:rPr>
          <w:rFonts w:hint="cs"/>
          <w:rtl/>
        </w:rPr>
        <w:t xml:space="preserve"> إعطاء ضمانات ف</w:t>
      </w:r>
      <w:r w:rsidR="00D37DF2">
        <w:rPr>
          <w:rFonts w:hint="cs"/>
          <w:rtl/>
        </w:rPr>
        <w:t>ي شكل أملاك، وفي هذه الحالة فإن</w:t>
      </w:r>
      <w:r>
        <w:rPr>
          <w:rFonts w:hint="cs"/>
          <w:rtl/>
        </w:rPr>
        <w:t xml:space="preserve"> المزرعة التي يديرها الزوجان </w:t>
      </w:r>
      <w:r w:rsidR="00D37DF2">
        <w:rPr>
          <w:rFonts w:hint="cs"/>
          <w:rtl/>
        </w:rPr>
        <w:t xml:space="preserve">هي </w:t>
      </w:r>
      <w:r>
        <w:rPr>
          <w:rFonts w:hint="cs"/>
          <w:rtl/>
        </w:rPr>
        <w:t>ملكهما المشترك.</w:t>
      </w:r>
    </w:p>
    <w:p w:rsidR="00DB5B3C" w:rsidRDefault="00DB5B3C" w:rsidP="00AA1C43">
      <w:pPr>
        <w:pStyle w:val="SingleTxt"/>
        <w:rPr>
          <w:rFonts w:hint="cs"/>
          <w:b/>
          <w:bCs/>
          <w:rtl/>
        </w:rPr>
      </w:pPr>
      <w:r>
        <w:rPr>
          <w:rFonts w:hint="cs"/>
          <w:b/>
          <w:bCs/>
          <w:rtl/>
        </w:rPr>
        <w:t>المرأة في الأسرة المعيشية الريفية</w:t>
      </w:r>
    </w:p>
    <w:p w:rsidR="00DB5B3C" w:rsidRDefault="00DB5B3C" w:rsidP="009C102D">
      <w:pPr>
        <w:pStyle w:val="SingleTxt"/>
        <w:rPr>
          <w:rFonts w:hint="cs"/>
          <w:rtl/>
        </w:rPr>
      </w:pPr>
      <w:r>
        <w:rPr>
          <w:rFonts w:hint="cs"/>
          <w:rtl/>
        </w:rPr>
        <w:t>229 -</w:t>
      </w:r>
      <w:r>
        <w:rPr>
          <w:rFonts w:hint="cs"/>
          <w:rtl/>
        </w:rPr>
        <w:tab/>
        <w:t xml:space="preserve"> المرأة التي تمارس مهنة المزارع هي عادة شريك للرجل في العمل في المزرعة أو في النشاط الاقتصادي غير الزراعي (نشاط الأسرة التجاري). وعلى الرغم من ذلك</w:t>
      </w:r>
      <w:r w:rsidR="00D37DF2">
        <w:rPr>
          <w:rFonts w:hint="cs"/>
          <w:rtl/>
        </w:rPr>
        <w:t>،</w:t>
      </w:r>
      <w:r>
        <w:rPr>
          <w:rFonts w:hint="cs"/>
          <w:rtl/>
        </w:rPr>
        <w:t xml:space="preserve"> </w:t>
      </w:r>
      <w:r w:rsidR="00D37DF2">
        <w:rPr>
          <w:rFonts w:hint="cs"/>
          <w:rtl/>
        </w:rPr>
        <w:t xml:space="preserve">ما زال </w:t>
      </w:r>
      <w:r>
        <w:rPr>
          <w:rFonts w:hint="cs"/>
          <w:rtl/>
        </w:rPr>
        <w:t xml:space="preserve">توزيع المهام </w:t>
      </w:r>
      <w:r w:rsidR="00D37DF2">
        <w:rPr>
          <w:rFonts w:hint="cs"/>
          <w:rtl/>
        </w:rPr>
        <w:t xml:space="preserve">في المزارع </w:t>
      </w:r>
      <w:r w:rsidR="0024199C">
        <w:rPr>
          <w:rFonts w:hint="cs"/>
          <w:rtl/>
        </w:rPr>
        <w:t>يميز بين ما هو من اختصاص المرأة وما هو من اختصاص الرجل</w:t>
      </w:r>
      <w:r>
        <w:rPr>
          <w:rFonts w:hint="cs"/>
          <w:rtl/>
        </w:rPr>
        <w:t xml:space="preserve">. فالواجبات المنزلية هي من اختصاص المرأة. وفي بعض </w:t>
      </w:r>
      <w:r w:rsidR="0024199C">
        <w:rPr>
          <w:rFonts w:hint="cs"/>
          <w:rtl/>
        </w:rPr>
        <w:t>الظروف</w:t>
      </w:r>
      <w:r>
        <w:rPr>
          <w:rFonts w:hint="cs"/>
          <w:rtl/>
        </w:rPr>
        <w:t xml:space="preserve"> العائلية غير المؤاتية (الأرملة، والمرأة التي تعيش مع زوج مريض، والمعيلة الوحيدة) تستطيع المرأة أن تتصرف بصورة مستقلة في مزرعتها. ومن أصل 100 شخص يعملون في المزارع الخاصة، 71 منهم </w:t>
      </w:r>
      <w:r w:rsidR="0024199C">
        <w:rPr>
          <w:rFonts w:hint="cs"/>
          <w:rtl/>
        </w:rPr>
        <w:t>من ال</w:t>
      </w:r>
      <w:r>
        <w:rPr>
          <w:rFonts w:hint="cs"/>
          <w:rtl/>
        </w:rPr>
        <w:t>رجال ولا يتجاوز عدد النساء 29.</w:t>
      </w:r>
    </w:p>
    <w:p w:rsidR="00DB5B3C" w:rsidRDefault="00DB5B3C" w:rsidP="00F14C47">
      <w:pPr>
        <w:pStyle w:val="SingleTxt"/>
        <w:rPr>
          <w:rFonts w:hint="cs"/>
          <w:rtl/>
        </w:rPr>
      </w:pPr>
      <w:r>
        <w:rPr>
          <w:rFonts w:hint="cs"/>
          <w:rtl/>
        </w:rPr>
        <w:t>230 -</w:t>
      </w:r>
      <w:r>
        <w:rPr>
          <w:rFonts w:hint="cs"/>
          <w:rtl/>
        </w:rPr>
        <w:tab/>
        <w:t xml:space="preserve"> تشير الأبحاث التي قامت بها أكاديمية العلوم البولندية في عام 2003 إلى أن زوجة المزارع لا تتحمل مسؤولية إعداد العمل في الحقول وبيع المنتجات. </w:t>
      </w:r>
      <w:r w:rsidR="005845C1">
        <w:rPr>
          <w:rFonts w:hint="cs"/>
          <w:rtl/>
        </w:rPr>
        <w:t>ف</w:t>
      </w:r>
      <w:r>
        <w:rPr>
          <w:rFonts w:hint="cs"/>
          <w:rtl/>
        </w:rPr>
        <w:t>هي ترى أن هذا هو دور زوجها. وتشارك في كثير من الأحيان في المسائل المتعلقة بالائتمانات وشراء الماشية، بما</w:t>
      </w:r>
      <w:r w:rsidR="00F14C47">
        <w:rPr>
          <w:rFonts w:hint="eastAsia"/>
          <w:rtl/>
        </w:rPr>
        <w:t> </w:t>
      </w:r>
      <w:r>
        <w:rPr>
          <w:rFonts w:hint="cs"/>
          <w:rtl/>
        </w:rPr>
        <w:t>أن رعاية الأبقار والخنازير والدواجن تظل بصفة رئيسية مهمة المرأة. وإن تحسن موقف المرأة المزارعة المعاصرة ينعكس في أنها وحدها أو مع زوجها توقع على العقود التجارية أو اتفاقات الائتمانات بالنيابة عن أسرتها. ويمكن الحديث هنا عن ظهور شراكة داخل العلاقا</w:t>
      </w:r>
      <w:r w:rsidR="005845C1">
        <w:rPr>
          <w:rFonts w:hint="cs"/>
          <w:rtl/>
        </w:rPr>
        <w:t>ت العائلية. وهناك علامة أخرى تشير إلى</w:t>
      </w:r>
      <w:r>
        <w:rPr>
          <w:rFonts w:hint="cs"/>
          <w:rtl/>
        </w:rPr>
        <w:t xml:space="preserve"> تغير النموذج العائلي و</w:t>
      </w:r>
      <w:r w:rsidR="005845C1">
        <w:rPr>
          <w:rFonts w:hint="cs"/>
          <w:rtl/>
        </w:rPr>
        <w:t>ت</w:t>
      </w:r>
      <w:r>
        <w:rPr>
          <w:rFonts w:hint="cs"/>
          <w:rtl/>
        </w:rPr>
        <w:t xml:space="preserve">تمثل في سعي المرأة المتزوجة إلى إيجاد عمل بأجر. والمرأة التي تساهم في دخل الأسرة تعامل في كثير من الأحيان كشريك على قدم المساواة </w:t>
      </w:r>
      <w:r w:rsidR="005845C1">
        <w:rPr>
          <w:rFonts w:hint="cs"/>
          <w:rtl/>
        </w:rPr>
        <w:t>عند</w:t>
      </w:r>
      <w:r>
        <w:rPr>
          <w:rFonts w:hint="cs"/>
          <w:rtl/>
        </w:rPr>
        <w:t xml:space="preserve"> اتخاذ القرارات. وسلطة المرأة داخل الأسرة آخذة في التحسن مما يعزز اختصاصاتها. وإن إرساء نموذج </w:t>
      </w:r>
      <w:r w:rsidR="005845C1">
        <w:rPr>
          <w:rFonts w:hint="cs"/>
          <w:rtl/>
        </w:rPr>
        <w:t>الشراكة داخل العلاقات العائلية تعترض</w:t>
      </w:r>
      <w:r>
        <w:rPr>
          <w:rFonts w:hint="cs"/>
          <w:rtl/>
        </w:rPr>
        <w:t xml:space="preserve">ه </w:t>
      </w:r>
      <w:r w:rsidR="005845C1">
        <w:rPr>
          <w:rFonts w:hint="cs"/>
          <w:rtl/>
        </w:rPr>
        <w:t xml:space="preserve">عقبة </w:t>
      </w:r>
      <w:r>
        <w:rPr>
          <w:rFonts w:hint="cs"/>
          <w:rtl/>
        </w:rPr>
        <w:t>النقص في الحضانات ورياض الأطفال وبيوت التمريض مما يعني أن رعاية الأطفال والمسنين المرضى يظل من اختصاص المرأة، و</w:t>
      </w:r>
      <w:r w:rsidR="005845C1">
        <w:rPr>
          <w:rFonts w:hint="cs"/>
          <w:rtl/>
        </w:rPr>
        <w:t xml:space="preserve">في </w:t>
      </w:r>
      <w:r>
        <w:rPr>
          <w:rFonts w:hint="cs"/>
          <w:rtl/>
        </w:rPr>
        <w:t xml:space="preserve">كثير من الأحيان يحول </w:t>
      </w:r>
      <w:r w:rsidR="005845C1">
        <w:rPr>
          <w:rFonts w:hint="cs"/>
          <w:rtl/>
        </w:rPr>
        <w:t xml:space="preserve">ذلك </w:t>
      </w:r>
      <w:r>
        <w:rPr>
          <w:rFonts w:hint="cs"/>
          <w:rtl/>
        </w:rPr>
        <w:t xml:space="preserve">دون سعيها لإيجاد عمل خارج المزرعة. </w:t>
      </w:r>
    </w:p>
    <w:p w:rsidR="00DB5B3C" w:rsidRDefault="00DB5B3C" w:rsidP="00DB5B3C">
      <w:pPr>
        <w:pStyle w:val="SingleTxt"/>
        <w:rPr>
          <w:rFonts w:hint="cs"/>
          <w:b/>
          <w:bCs/>
          <w:rtl/>
        </w:rPr>
      </w:pPr>
      <w:r>
        <w:rPr>
          <w:rFonts w:hint="cs"/>
          <w:b/>
          <w:bCs/>
          <w:rtl/>
        </w:rPr>
        <w:t>الأسرة والأطفال</w:t>
      </w:r>
    </w:p>
    <w:p w:rsidR="00DB5B3C" w:rsidRDefault="00DB5B3C" w:rsidP="009C102D">
      <w:pPr>
        <w:pStyle w:val="SingleTxt"/>
        <w:rPr>
          <w:rFonts w:hint="cs"/>
          <w:rtl/>
        </w:rPr>
      </w:pPr>
      <w:r>
        <w:rPr>
          <w:rFonts w:hint="cs"/>
          <w:rtl/>
        </w:rPr>
        <w:t>231 -</w:t>
      </w:r>
      <w:r>
        <w:rPr>
          <w:rFonts w:hint="cs"/>
          <w:rtl/>
        </w:rPr>
        <w:tab/>
        <w:t xml:space="preserve"> في عام 2002 كان عدد الأسر</w:t>
      </w:r>
      <w:r w:rsidRPr="00DB5B3C">
        <w:rPr>
          <w:vertAlign w:val="superscript"/>
          <w:rtl/>
        </w:rPr>
        <w:t>(</w:t>
      </w:r>
      <w:r>
        <w:rPr>
          <w:rStyle w:val="FootnoteReference"/>
          <w:rtl/>
        </w:rPr>
        <w:footnoteReference w:id="15"/>
      </w:r>
      <w:r w:rsidRPr="00DB5B3C">
        <w:rPr>
          <w:vertAlign w:val="superscript"/>
          <w:rtl/>
        </w:rPr>
        <w:t>)</w:t>
      </w:r>
      <w:r>
        <w:rPr>
          <w:rFonts w:hint="cs"/>
          <w:rtl/>
        </w:rPr>
        <w:t xml:space="preserve"> في بولندا 10.5 مليون بما في ذلك 36.9</w:t>
      </w:r>
      <w:r w:rsidR="005845C1">
        <w:rPr>
          <w:rFonts w:hint="cs"/>
          <w:rtl/>
        </w:rPr>
        <w:t xml:space="preserve"> منها تعيش</w:t>
      </w:r>
      <w:r>
        <w:rPr>
          <w:rFonts w:hint="cs"/>
          <w:rtl/>
        </w:rPr>
        <w:t xml:space="preserve"> في المناطق الريفية. وتفتخر المناطق الريفية بأن نسبة العائلات التي لديها أطفال أعلى من نسبتها في المدن (60.6 في المائة مقارنة بالمتوسط الوطني وهو 56 في المائة)، و</w:t>
      </w:r>
      <w:r w:rsidR="005845C1">
        <w:rPr>
          <w:rFonts w:hint="cs"/>
          <w:rtl/>
        </w:rPr>
        <w:t xml:space="preserve">بأن </w:t>
      </w:r>
      <w:r>
        <w:rPr>
          <w:rFonts w:hint="cs"/>
          <w:rtl/>
        </w:rPr>
        <w:t xml:space="preserve">عدد المعيلات الوحيدات </w:t>
      </w:r>
      <w:r w:rsidR="005845C1">
        <w:rPr>
          <w:rFonts w:hint="cs"/>
          <w:rtl/>
        </w:rPr>
        <w:t xml:space="preserve">أقل </w:t>
      </w:r>
      <w:r>
        <w:rPr>
          <w:rFonts w:hint="cs"/>
          <w:rtl/>
        </w:rPr>
        <w:t>(14.4 في المائة مقارنة بـ 17.2 في المائة). وهناك فروق في عدد الأطفال في الأسرة، إذ إن 52.1 في المائة من الأسر التي تعيش في المدن لديها طفل واحد مقارنة بنسبة 38.3 في المائة من هذه الأسر في الريف. وعلى الأرجح أن يكون للعائلات الريفية ثلاثة أطفال أو أكثر (25.3 في المائة مقارنة بنسبة 11.8 في المائة في المدن). ومتوسط عدد الأطفال في الريف يعادل 2.01 مقابل 1.64 في المدن.</w:t>
      </w:r>
    </w:p>
    <w:p w:rsidR="00DB5B3C" w:rsidRDefault="0028217F" w:rsidP="0028217F">
      <w:pPr>
        <w:pStyle w:val="SingleTxt"/>
        <w:rPr>
          <w:rFonts w:hint="cs"/>
          <w:rtl/>
        </w:rPr>
      </w:pPr>
      <w:r>
        <w:rPr>
          <w:rFonts w:hint="cs"/>
          <w:rtl/>
        </w:rPr>
        <w:t>232 -</w:t>
      </w:r>
      <w:r>
        <w:rPr>
          <w:rFonts w:hint="cs"/>
          <w:rtl/>
        </w:rPr>
        <w:tab/>
        <w:t xml:space="preserve"> ومقارنة ب</w:t>
      </w:r>
      <w:r w:rsidR="00DB5B3C">
        <w:rPr>
          <w:rFonts w:hint="cs"/>
          <w:rtl/>
        </w:rPr>
        <w:t xml:space="preserve">تعداد </w:t>
      </w:r>
      <w:r>
        <w:rPr>
          <w:rFonts w:hint="cs"/>
          <w:rtl/>
        </w:rPr>
        <w:t xml:space="preserve">السكان </w:t>
      </w:r>
      <w:r w:rsidR="00DB5B3C">
        <w:rPr>
          <w:rFonts w:hint="cs"/>
          <w:rtl/>
        </w:rPr>
        <w:t xml:space="preserve">الوطني السابق، ازداد عدد الأسر المعيشية </w:t>
      </w:r>
      <w:r>
        <w:rPr>
          <w:rFonts w:hint="cs"/>
          <w:rtl/>
        </w:rPr>
        <w:t xml:space="preserve">التي لا علاقة لمصدر دخلها الرئيسي بالعمل بأجر </w:t>
      </w:r>
      <w:r w:rsidR="00DB5B3C">
        <w:rPr>
          <w:rFonts w:hint="cs"/>
          <w:rtl/>
        </w:rPr>
        <w:t xml:space="preserve">بنسبة تفوق 50 في المائة. وتمثل هذه الأسر في الوقت الراهن 43 في المائة من مجموع الأسر في بولندا، مع العلم بأن نسبة الأسر المعيشية الريفية أعلى بمقدار 2 في المائة. ومن بين هذه الأسر، </w:t>
      </w:r>
      <w:r>
        <w:rPr>
          <w:rFonts w:hint="cs"/>
          <w:rtl/>
        </w:rPr>
        <w:t xml:space="preserve">تشكل </w:t>
      </w:r>
      <w:r w:rsidR="00DB5B3C">
        <w:rPr>
          <w:rFonts w:hint="cs"/>
          <w:rtl/>
        </w:rPr>
        <w:t>تلك التي تعتمد على المعاشات التقاعدية أكبر مجموعة (37.6 في المائة من جميع الأسر المعيشية في بولندا). وفي عام 1988، كانت هذه النسبة المئوية 26.2 في المائة (التعداد الوطني للسكان والإسكان).</w:t>
      </w:r>
    </w:p>
    <w:p w:rsidR="00B416C8" w:rsidRDefault="00B416C8" w:rsidP="00B416C8">
      <w:pPr>
        <w:pStyle w:val="SingleTxt"/>
        <w:rPr>
          <w:rFonts w:hint="cs"/>
          <w:b/>
          <w:bCs/>
          <w:rtl/>
        </w:rPr>
      </w:pPr>
      <w:r>
        <w:rPr>
          <w:rFonts w:hint="cs"/>
          <w:b/>
          <w:bCs/>
          <w:rtl/>
        </w:rPr>
        <w:t>التأمينات الاجتماعية في المناطق الريفية</w:t>
      </w:r>
    </w:p>
    <w:p w:rsidR="00B416C8" w:rsidRDefault="00B416C8" w:rsidP="003A1F32">
      <w:pPr>
        <w:pStyle w:val="SingleTxt"/>
        <w:rPr>
          <w:rFonts w:hint="cs"/>
          <w:rtl/>
        </w:rPr>
      </w:pPr>
      <w:r>
        <w:rPr>
          <w:rFonts w:hint="cs"/>
          <w:rtl/>
        </w:rPr>
        <w:t>233 -</w:t>
      </w:r>
      <w:r>
        <w:rPr>
          <w:rFonts w:hint="cs"/>
          <w:rtl/>
        </w:rPr>
        <w:tab/>
        <w:t xml:space="preserve"> إن صندوق التأمينات الاجتماعية الزراعية ي</w:t>
      </w:r>
      <w:r w:rsidR="00DE2507">
        <w:rPr>
          <w:rFonts w:hint="cs"/>
          <w:rtl/>
        </w:rPr>
        <w:t>ؤ</w:t>
      </w:r>
      <w:r>
        <w:rPr>
          <w:rFonts w:hint="cs"/>
          <w:rtl/>
        </w:rPr>
        <w:t>م</w:t>
      </w:r>
      <w:r w:rsidR="00DE2507">
        <w:rPr>
          <w:rFonts w:hint="cs"/>
          <w:rtl/>
        </w:rPr>
        <w:t>ّ</w:t>
      </w:r>
      <w:r>
        <w:rPr>
          <w:rFonts w:hint="cs"/>
          <w:rtl/>
        </w:rPr>
        <w:t xml:space="preserve">ن ويخدم حوالي 4.5 مليون مزارع. وحجم المساهمة في هذا </w:t>
      </w:r>
      <w:r w:rsidR="00DE2507">
        <w:rPr>
          <w:rFonts w:hint="cs"/>
          <w:rtl/>
        </w:rPr>
        <w:t>الصندوق</w:t>
      </w:r>
      <w:r>
        <w:rPr>
          <w:rFonts w:hint="cs"/>
          <w:rtl/>
        </w:rPr>
        <w:t xml:space="preserve"> يشكل حوالي ثمن المشاركة في نظام التأمينات الاجتماعية غير الزراعية (مع حجم مماثل في المعاشات التقاعدية)</w:t>
      </w:r>
      <w:r w:rsidR="00DE2507">
        <w:rPr>
          <w:rFonts w:hint="cs"/>
          <w:rtl/>
        </w:rPr>
        <w:t>.</w:t>
      </w:r>
      <w:r>
        <w:rPr>
          <w:rFonts w:hint="cs"/>
          <w:rtl/>
        </w:rPr>
        <w:t xml:space="preserve"> وبالإضافة إلى ذلك، لا يرتبط حجم </w:t>
      </w:r>
      <w:r w:rsidR="00DE2507">
        <w:rPr>
          <w:rFonts w:hint="cs"/>
          <w:rtl/>
        </w:rPr>
        <w:t>المس</w:t>
      </w:r>
      <w:r>
        <w:rPr>
          <w:rFonts w:hint="cs"/>
          <w:rtl/>
        </w:rPr>
        <w:t>ا</w:t>
      </w:r>
      <w:r w:rsidR="00DE2507">
        <w:rPr>
          <w:rFonts w:hint="cs"/>
          <w:rtl/>
        </w:rPr>
        <w:t>هم</w:t>
      </w:r>
      <w:r>
        <w:rPr>
          <w:rFonts w:hint="cs"/>
          <w:rtl/>
        </w:rPr>
        <w:t xml:space="preserve">ة </w:t>
      </w:r>
      <w:r w:rsidR="00DE2507">
        <w:rPr>
          <w:rFonts w:hint="cs"/>
          <w:rtl/>
        </w:rPr>
        <w:t xml:space="preserve">في </w:t>
      </w:r>
      <w:r>
        <w:rPr>
          <w:rFonts w:hint="cs"/>
          <w:rtl/>
        </w:rPr>
        <w:t xml:space="preserve">صندوق التأمينات </w:t>
      </w:r>
      <w:r w:rsidR="00DE2507">
        <w:rPr>
          <w:rFonts w:hint="cs"/>
          <w:rtl/>
        </w:rPr>
        <w:t>الزراعية بحجم المزرعة ولا بالدخ</w:t>
      </w:r>
      <w:r>
        <w:rPr>
          <w:rFonts w:hint="cs"/>
          <w:rtl/>
        </w:rPr>
        <w:t xml:space="preserve">ل الذي تدره. ويضمن النظام المستقل أيضا الحصول على الخدمات الطبية، واستعمال مرافقه في مجال إعادة التأهيل، والمعالجة في مصحاته. والاستحقاقات التي يقدمها صندوق التأمينات الاجتماعية الزراعي للجنسين </w:t>
      </w:r>
      <w:r w:rsidR="00DE2507">
        <w:rPr>
          <w:rFonts w:hint="cs"/>
          <w:rtl/>
        </w:rPr>
        <w:t xml:space="preserve">متساوية </w:t>
      </w:r>
      <w:r>
        <w:rPr>
          <w:rFonts w:hint="cs"/>
          <w:rtl/>
        </w:rPr>
        <w:t>(</w:t>
      </w:r>
      <w:r w:rsidR="00DE2507">
        <w:rPr>
          <w:rFonts w:hint="cs"/>
          <w:rtl/>
        </w:rPr>
        <w:t xml:space="preserve">إلا فيما يتعلق ببعض </w:t>
      </w:r>
      <w:r w:rsidR="003A1F32">
        <w:rPr>
          <w:rFonts w:hint="cs"/>
          <w:rtl/>
        </w:rPr>
        <w:t>الأمور</w:t>
      </w:r>
      <w:r>
        <w:rPr>
          <w:rFonts w:hint="cs"/>
          <w:rtl/>
        </w:rPr>
        <w:t xml:space="preserve"> </w:t>
      </w:r>
      <w:r w:rsidR="003A1F32">
        <w:rPr>
          <w:rFonts w:hint="cs"/>
          <w:rtl/>
        </w:rPr>
        <w:t>مثل</w:t>
      </w:r>
      <w:r>
        <w:rPr>
          <w:rFonts w:hint="cs"/>
          <w:rtl/>
        </w:rPr>
        <w:t xml:space="preserve"> سن تقاعد المرأة</w:t>
      </w:r>
      <w:r w:rsidR="003A1F32">
        <w:rPr>
          <w:rFonts w:hint="cs"/>
          <w:rtl/>
        </w:rPr>
        <w:t xml:space="preserve"> فهو أقل من سن تقاعد الرجل</w:t>
      </w:r>
      <w:r>
        <w:rPr>
          <w:rFonts w:hint="cs"/>
          <w:rtl/>
        </w:rPr>
        <w:t xml:space="preserve">). وتمول ميزانية الدولة أكثر من 95 في المائة من المعاشات التقاعدية الزراعية. </w:t>
      </w:r>
    </w:p>
    <w:p w:rsidR="00B416C8" w:rsidRDefault="00B416C8" w:rsidP="003A1F32">
      <w:pPr>
        <w:pStyle w:val="SingleTxt"/>
        <w:rPr>
          <w:rFonts w:hint="cs"/>
          <w:rtl/>
        </w:rPr>
      </w:pPr>
      <w:r>
        <w:rPr>
          <w:rFonts w:hint="cs"/>
          <w:rtl/>
        </w:rPr>
        <w:t>234 -</w:t>
      </w:r>
      <w:r>
        <w:rPr>
          <w:rFonts w:hint="cs"/>
          <w:rtl/>
        </w:rPr>
        <w:tab/>
        <w:t xml:space="preserve"> وإن بدلات الولادة والأمومة استحقاقات خاصة غير متاحة إلا </w:t>
      </w:r>
      <w:r w:rsidR="003A1F32">
        <w:rPr>
          <w:rFonts w:hint="cs"/>
          <w:rtl/>
        </w:rPr>
        <w:t>لغض تأمين ا</w:t>
      </w:r>
      <w:r>
        <w:rPr>
          <w:rFonts w:hint="cs"/>
          <w:rtl/>
        </w:rPr>
        <w:t xml:space="preserve">لنساء الريفيات. ويعادل البدل المدفوع عن الولادة ثلاثة معاشات تقاعدية أساسية، بينما يعادل بدل الأمومة ثمانية أسابيع من الإجازة المرضية. ويستطيع أي شخص أن يطالب بهذه الاستحقاقات إذا كان مؤمنا لمدة لا تقل عن سنة واحدة، وإن كانت مدة التأمينات الأخرى مدرجة كذلك في هذه الفترة. </w:t>
      </w:r>
    </w:p>
    <w:p w:rsidR="00B416C8" w:rsidRDefault="00B416C8" w:rsidP="00B416C8">
      <w:pPr>
        <w:pStyle w:val="SingleTxt"/>
        <w:rPr>
          <w:rFonts w:hint="cs"/>
          <w:b/>
          <w:bCs/>
          <w:rtl/>
        </w:rPr>
      </w:pPr>
      <w:r>
        <w:rPr>
          <w:rFonts w:hint="cs"/>
          <w:b/>
          <w:bCs/>
          <w:rtl/>
        </w:rPr>
        <w:t>الظروف السكنية</w:t>
      </w:r>
    </w:p>
    <w:p w:rsidR="00B416C8" w:rsidRDefault="00B416C8" w:rsidP="00946312">
      <w:pPr>
        <w:pStyle w:val="SingleTxt"/>
        <w:rPr>
          <w:rFonts w:hint="cs"/>
          <w:rtl/>
        </w:rPr>
      </w:pPr>
      <w:r>
        <w:rPr>
          <w:rFonts w:hint="cs"/>
          <w:rtl/>
        </w:rPr>
        <w:t>235 -</w:t>
      </w:r>
      <w:r>
        <w:rPr>
          <w:rFonts w:hint="cs"/>
          <w:rtl/>
        </w:rPr>
        <w:tab/>
        <w:t xml:space="preserve"> تختلف </w:t>
      </w:r>
      <w:r w:rsidR="00946312">
        <w:rPr>
          <w:rFonts w:hint="cs"/>
          <w:rtl/>
        </w:rPr>
        <w:t>مستويات</w:t>
      </w:r>
      <w:r>
        <w:rPr>
          <w:rFonts w:hint="cs"/>
          <w:rtl/>
        </w:rPr>
        <w:t xml:space="preserve"> المعيشة في</w:t>
      </w:r>
      <w:r w:rsidR="00946312">
        <w:rPr>
          <w:rFonts w:hint="cs"/>
          <w:rtl/>
        </w:rPr>
        <w:t>ما بين</w:t>
      </w:r>
      <w:r>
        <w:rPr>
          <w:rFonts w:hint="cs"/>
          <w:rtl/>
        </w:rPr>
        <w:t xml:space="preserve"> العائلات الريفية اختلافا كبيرا، وإن كانت عموما </w:t>
      </w:r>
      <w:r w:rsidR="00946312">
        <w:rPr>
          <w:rFonts w:hint="cs"/>
          <w:rtl/>
        </w:rPr>
        <w:t>دون مستويات</w:t>
      </w:r>
      <w:r>
        <w:rPr>
          <w:rFonts w:hint="cs"/>
          <w:rtl/>
        </w:rPr>
        <w:t xml:space="preserve"> من نظرائها في المدن. فيعتمد مستوى </w:t>
      </w:r>
      <w:r w:rsidR="00946312">
        <w:rPr>
          <w:rFonts w:hint="cs"/>
          <w:rtl/>
        </w:rPr>
        <w:t>أثاث</w:t>
      </w:r>
      <w:r>
        <w:rPr>
          <w:rFonts w:hint="cs"/>
          <w:rtl/>
        </w:rPr>
        <w:t xml:space="preserve"> المنزل على التعليم والدخل ومهنة أفراد الأسرة. و</w:t>
      </w:r>
      <w:r w:rsidR="00946312">
        <w:rPr>
          <w:rFonts w:hint="cs"/>
          <w:rtl/>
        </w:rPr>
        <w:t xml:space="preserve">تلاحظ </w:t>
      </w:r>
      <w:r>
        <w:rPr>
          <w:rFonts w:hint="cs"/>
          <w:rtl/>
        </w:rPr>
        <w:t xml:space="preserve">أفضل </w:t>
      </w:r>
      <w:r w:rsidR="00946312">
        <w:rPr>
          <w:rFonts w:hint="cs"/>
          <w:rtl/>
        </w:rPr>
        <w:t xml:space="preserve">مستويات </w:t>
      </w:r>
      <w:r>
        <w:rPr>
          <w:rFonts w:hint="cs"/>
          <w:rtl/>
        </w:rPr>
        <w:t xml:space="preserve">المعيشة </w:t>
      </w:r>
      <w:r w:rsidR="00946312">
        <w:rPr>
          <w:rFonts w:hint="cs"/>
          <w:rtl/>
        </w:rPr>
        <w:t xml:space="preserve">عند </w:t>
      </w:r>
      <w:r>
        <w:rPr>
          <w:rFonts w:hint="cs"/>
          <w:rtl/>
        </w:rPr>
        <w:t xml:space="preserve">الأسر المثقفة، </w:t>
      </w:r>
      <w:r w:rsidR="00946312">
        <w:rPr>
          <w:rFonts w:hint="cs"/>
          <w:rtl/>
        </w:rPr>
        <w:t>فتعتمد في</w:t>
      </w:r>
      <w:r>
        <w:rPr>
          <w:rFonts w:hint="cs"/>
          <w:rtl/>
        </w:rPr>
        <w:t xml:space="preserve"> رزق</w:t>
      </w:r>
      <w:r w:rsidR="00946312">
        <w:rPr>
          <w:rFonts w:hint="cs"/>
          <w:rtl/>
        </w:rPr>
        <w:t xml:space="preserve">ها على </w:t>
      </w:r>
      <w:r>
        <w:rPr>
          <w:rFonts w:hint="cs"/>
          <w:rtl/>
        </w:rPr>
        <w:t>العمل بأجر، و</w:t>
      </w:r>
      <w:r w:rsidR="00946312">
        <w:rPr>
          <w:rFonts w:hint="cs"/>
          <w:rtl/>
        </w:rPr>
        <w:t xml:space="preserve">على </w:t>
      </w:r>
      <w:r>
        <w:rPr>
          <w:rFonts w:hint="cs"/>
          <w:rtl/>
        </w:rPr>
        <w:t xml:space="preserve">مصادر دخل متنوعة. أما الأسر التي تعتمد في رزقها بصورة حصرية على الزراعة وأفرادها عاطلون عن العمل، فهي في حالة أسوأ. وتحاول </w:t>
      </w:r>
      <w:r w:rsidR="00946312">
        <w:rPr>
          <w:rFonts w:hint="cs"/>
          <w:rtl/>
        </w:rPr>
        <w:t xml:space="preserve">هذه الأسر </w:t>
      </w:r>
      <w:r>
        <w:rPr>
          <w:rFonts w:hint="cs"/>
          <w:rtl/>
        </w:rPr>
        <w:t xml:space="preserve">رفع مستوى معيشتها عن طريق العمل في القطاع الاقتصادي </w:t>
      </w:r>
      <w:r>
        <w:rPr>
          <w:rFonts w:hint="eastAsia"/>
          <w:rtl/>
        </w:rPr>
        <w:t>”غير الرسمي</w:t>
      </w:r>
      <w:r>
        <w:rPr>
          <w:rFonts w:hint="cs"/>
          <w:rtl/>
        </w:rPr>
        <w:t xml:space="preserve">“. </w:t>
      </w:r>
    </w:p>
    <w:p w:rsidR="00B416C8" w:rsidRDefault="00B416C8" w:rsidP="00946312">
      <w:pPr>
        <w:pStyle w:val="SingleTxt"/>
        <w:rPr>
          <w:rFonts w:hint="cs"/>
          <w:rtl/>
        </w:rPr>
      </w:pPr>
      <w:r>
        <w:rPr>
          <w:rFonts w:hint="cs"/>
          <w:rtl/>
        </w:rPr>
        <w:t>236 -</w:t>
      </w:r>
      <w:r>
        <w:rPr>
          <w:rFonts w:hint="cs"/>
          <w:rtl/>
        </w:rPr>
        <w:tab/>
        <w:t xml:space="preserve"> شهدت الفترة التي يغطيها التقرير تقدما هائلا في تركيب المرافق </w:t>
      </w:r>
      <w:r w:rsidR="00946312">
        <w:rPr>
          <w:rFonts w:hint="cs"/>
          <w:rtl/>
        </w:rPr>
        <w:t xml:space="preserve">العامة </w:t>
      </w:r>
      <w:r>
        <w:rPr>
          <w:rFonts w:hint="cs"/>
          <w:rtl/>
        </w:rPr>
        <w:t xml:space="preserve">في المنازل الريفية، وعلى هذا الأساس </w:t>
      </w:r>
      <w:r w:rsidR="00946312">
        <w:rPr>
          <w:rFonts w:hint="cs"/>
          <w:rtl/>
        </w:rPr>
        <w:t xml:space="preserve">كان </w:t>
      </w:r>
      <w:r>
        <w:rPr>
          <w:rFonts w:hint="cs"/>
          <w:rtl/>
        </w:rPr>
        <w:t>تحسن</w:t>
      </w:r>
      <w:r w:rsidR="00946312">
        <w:rPr>
          <w:rFonts w:hint="cs"/>
          <w:rtl/>
        </w:rPr>
        <w:t>ها</w:t>
      </w:r>
      <w:r>
        <w:rPr>
          <w:rFonts w:hint="cs"/>
          <w:rtl/>
        </w:rPr>
        <w:t xml:space="preserve"> أكبر من التحسن الذي حدث في منازل المدن. فعدد المنازل المزودة بالمرافق العامة أعلى من عدد المنازل الجديدة، مما يعني أن المنازل القائمة، لا سيما في الريف، ي</w:t>
      </w:r>
      <w:r w:rsidR="00946312">
        <w:rPr>
          <w:rFonts w:hint="cs"/>
          <w:rtl/>
        </w:rPr>
        <w:t>جري تحديثها. ومع ذلك، يظل الأثاث</w:t>
      </w:r>
      <w:r>
        <w:rPr>
          <w:rFonts w:hint="cs"/>
          <w:rtl/>
        </w:rPr>
        <w:t xml:space="preserve"> في المنازل الريفية أدنى مستوى من نظيره في المدن. وحوالي 6.5 مليون شخص، بمن فيهم 4 ملايين في الريف، يعيشون دون المستوى القياسي. وفي عام 2002، وصلت تمديدات الغاز إلى 75 في المائة من المنازل في المدن، و 17 في المائة من المنازل في الريف، كما أن الماء الجاري وصل إلى 99 في المائة من منازل المدن و 89 في المائة من منازل الريف. وبالنسبة للمساحة التي يشغلها الفر</w:t>
      </w:r>
      <w:r w:rsidR="00946312">
        <w:rPr>
          <w:rFonts w:hint="cs"/>
          <w:rtl/>
        </w:rPr>
        <w:t>د في المنزل فهي تبلغ 20 م</w:t>
      </w:r>
      <w:r w:rsidR="00946312" w:rsidRPr="00946312">
        <w:rPr>
          <w:rFonts w:hint="cs"/>
          <w:vertAlign w:val="superscript"/>
          <w:rtl/>
        </w:rPr>
        <w:t>2</w:t>
      </w:r>
      <w:r>
        <w:rPr>
          <w:rFonts w:hint="cs"/>
          <w:rtl/>
        </w:rPr>
        <w:t xml:space="preserve"> في المدن و 21.9</w:t>
      </w:r>
      <w:r w:rsidR="00946312">
        <w:rPr>
          <w:rFonts w:hint="cs"/>
          <w:rtl/>
        </w:rPr>
        <w:t xml:space="preserve"> م</w:t>
      </w:r>
      <w:r w:rsidR="00946312" w:rsidRPr="00946312">
        <w:rPr>
          <w:rFonts w:hint="cs"/>
          <w:vertAlign w:val="superscript"/>
          <w:rtl/>
        </w:rPr>
        <w:t>2</w:t>
      </w:r>
      <w:r>
        <w:rPr>
          <w:rFonts w:hint="cs"/>
          <w:rtl/>
        </w:rPr>
        <w:t xml:space="preserve"> في الريف (التعداد الوطني للسكان والإسكان). ويرد تقييم لظروف المعيشة عند السكان في عام 2002 في الجدول ألف -14-2 (المرفق). </w:t>
      </w:r>
    </w:p>
    <w:p w:rsidR="00B416C8" w:rsidRDefault="00B416C8" w:rsidP="00B416C8">
      <w:pPr>
        <w:pStyle w:val="SingleTxt"/>
        <w:rPr>
          <w:rFonts w:hint="cs"/>
          <w:b/>
          <w:bCs/>
          <w:rtl/>
        </w:rPr>
      </w:pPr>
      <w:r>
        <w:rPr>
          <w:rFonts w:hint="cs"/>
          <w:b/>
          <w:bCs/>
          <w:rtl/>
        </w:rPr>
        <w:t xml:space="preserve">الدور الوطني للنساء الريفيات ومنظماتهن </w:t>
      </w:r>
    </w:p>
    <w:p w:rsidR="00B416C8" w:rsidRDefault="00B416C8" w:rsidP="00CF2913">
      <w:pPr>
        <w:pStyle w:val="SingleTxt"/>
        <w:rPr>
          <w:rFonts w:hint="cs"/>
          <w:rtl/>
        </w:rPr>
      </w:pPr>
      <w:r>
        <w:rPr>
          <w:rFonts w:hint="cs"/>
          <w:rtl/>
        </w:rPr>
        <w:t>237 -</w:t>
      </w:r>
      <w:r>
        <w:rPr>
          <w:rFonts w:hint="cs"/>
          <w:rtl/>
        </w:rPr>
        <w:tab/>
        <w:t xml:space="preserve"> النساء ممثلات تمثيلا ناقصا في الحكومات الذاتية </w:t>
      </w:r>
      <w:r w:rsidR="00CF2913">
        <w:rPr>
          <w:rFonts w:hint="cs"/>
          <w:rtl/>
        </w:rPr>
        <w:t>التابعة ل</w:t>
      </w:r>
      <w:r>
        <w:rPr>
          <w:rFonts w:hint="cs"/>
          <w:rtl/>
        </w:rPr>
        <w:t xml:space="preserve">مجالس المناطق والمقاطعات والأقاليم. ومشاركتهن أقل في المناطق الريفية. والمنظمة الوحيدة التي تجتذب مشاركة كبيرة من جانب المرأة الريفية هي </w:t>
      </w:r>
      <w:r>
        <w:rPr>
          <w:rFonts w:hint="eastAsia"/>
          <w:rtl/>
        </w:rPr>
        <w:t>”دوائر ربات البيوت الريفيات</w:t>
      </w:r>
      <w:r>
        <w:rPr>
          <w:rFonts w:hint="cs"/>
          <w:rtl/>
        </w:rPr>
        <w:t>“. وتشير كثير من النساء الريفيات إلى أن حل</w:t>
      </w:r>
      <w:r w:rsidR="00A90C57">
        <w:rPr>
          <w:rFonts w:hint="cs"/>
          <w:rtl/>
        </w:rPr>
        <w:t>ّ</w:t>
      </w:r>
      <w:r>
        <w:rPr>
          <w:rFonts w:hint="cs"/>
          <w:rtl/>
        </w:rPr>
        <w:t xml:space="preserve"> الفروع المحلية لدوائر ربات البيوت الريفيات</w:t>
      </w:r>
      <w:r w:rsidR="00CF2913">
        <w:rPr>
          <w:rFonts w:hint="cs"/>
          <w:rtl/>
        </w:rPr>
        <w:t xml:space="preserve"> هو</w:t>
      </w:r>
      <w:r>
        <w:rPr>
          <w:rFonts w:hint="cs"/>
          <w:rtl/>
        </w:rPr>
        <w:t xml:space="preserve"> السبب الرئيسي لعدم انتمائها إلى أي منظمة. وعمر الأغلبية الساحقة للنساء اللاتي ينتمين إلى منظمات اجتماعية يفوق 45 سنة. ولا يبدو أن الشابات في كل من المدن والريف مهتمات بأي شكل من أشكال النشاط الاجتماعي (تقرير مركز التحليلات الاجتماعية - الاقتصادية الذي كلفته بها أمانة المفوضة الحكومية </w:t>
      </w:r>
      <w:r w:rsidR="00CF2913">
        <w:rPr>
          <w:rFonts w:hint="cs"/>
          <w:rtl/>
        </w:rPr>
        <w:t>المعنية با</w:t>
      </w:r>
      <w:r>
        <w:rPr>
          <w:rFonts w:hint="cs"/>
          <w:rtl/>
        </w:rPr>
        <w:t xml:space="preserve">لمساواة بين مركز </w:t>
      </w:r>
      <w:r w:rsidR="00CF2913">
        <w:rPr>
          <w:rFonts w:hint="cs"/>
          <w:rtl/>
        </w:rPr>
        <w:t>النساء والرجال</w:t>
      </w:r>
      <w:r>
        <w:rPr>
          <w:rFonts w:hint="cs"/>
          <w:rtl/>
        </w:rPr>
        <w:t>، 2003). وفي السنوات الأخيرة، أنشأ المزارعون البولنديون فرقا للمنتجين الزراعيين ترمي إلى زيادة القدرة على المنافسة. وتم إنشاء معظم هذه الفرق في مجال إنتاج الفاكهة والألبان واللحوم. ولا تمثل النساء إلا عشر أعضاء هذه الفرق.</w:t>
      </w:r>
    </w:p>
    <w:p w:rsidR="00B416C8" w:rsidRDefault="00B416C8" w:rsidP="00B416C8">
      <w:pPr>
        <w:pStyle w:val="SingleTxt"/>
        <w:rPr>
          <w:rFonts w:hint="cs"/>
          <w:b/>
          <w:bCs/>
          <w:rtl/>
        </w:rPr>
      </w:pPr>
      <w:r>
        <w:rPr>
          <w:rFonts w:hint="cs"/>
          <w:b/>
          <w:bCs/>
          <w:rtl/>
        </w:rPr>
        <w:t>التعليم</w:t>
      </w:r>
    </w:p>
    <w:p w:rsidR="00B416C8" w:rsidRDefault="00B416C8" w:rsidP="00A90C57">
      <w:pPr>
        <w:pStyle w:val="SingleTxt"/>
        <w:rPr>
          <w:rFonts w:hint="cs"/>
          <w:rtl/>
        </w:rPr>
      </w:pPr>
      <w:r>
        <w:rPr>
          <w:rFonts w:hint="cs"/>
          <w:rtl/>
        </w:rPr>
        <w:t xml:space="preserve">238 - </w:t>
      </w:r>
      <w:r w:rsidR="00A90C57">
        <w:rPr>
          <w:rFonts w:hint="cs"/>
          <w:rtl/>
        </w:rPr>
        <w:t>تم</w:t>
      </w:r>
      <w:r>
        <w:rPr>
          <w:rFonts w:hint="cs"/>
          <w:rtl/>
        </w:rPr>
        <w:t xml:space="preserve"> تحقيق تحسن هائل في مستويات تعليم المزارعين مقارنة بالبيانات التي تم </w:t>
      </w:r>
      <w:r w:rsidR="00A90C57">
        <w:rPr>
          <w:rFonts w:hint="cs"/>
          <w:rtl/>
        </w:rPr>
        <w:t xml:space="preserve">جمعها أثناء </w:t>
      </w:r>
      <w:r>
        <w:rPr>
          <w:rFonts w:hint="cs"/>
          <w:rtl/>
        </w:rPr>
        <w:t xml:space="preserve">التعداد الزراعي لعام 1996. </w:t>
      </w:r>
      <w:r w:rsidR="00A90C57">
        <w:rPr>
          <w:rFonts w:hint="cs"/>
          <w:rtl/>
        </w:rPr>
        <w:t>فارتفع</w:t>
      </w:r>
      <w:r>
        <w:rPr>
          <w:rFonts w:hint="cs"/>
          <w:rtl/>
        </w:rPr>
        <w:t xml:space="preserve"> نصيب الفرد من التعليم العالي بنسبة 3</w:t>
      </w:r>
      <w:r>
        <w:rPr>
          <w:rFonts w:hint="eastAsia"/>
          <w:rtl/>
        </w:rPr>
        <w:t> </w:t>
      </w:r>
      <w:r>
        <w:rPr>
          <w:rFonts w:hint="cs"/>
          <w:rtl/>
        </w:rPr>
        <w:t>في المائة، وفي التعليم الثانوي والتدريب المهني والتعليم العام بنسبة 7 في المائة. وفي الوقت نفسه، انخفضت النسبة المئوية للأشخاص الذين يقتصر تعليمهم على التدريب المهني أو المرحلة الابتدائية (7 في المائة). ومع ذلك، ينبغي أن يلاحظ أنه</w:t>
      </w:r>
      <w:r w:rsidR="00A90C57">
        <w:rPr>
          <w:rFonts w:hint="cs"/>
          <w:rtl/>
        </w:rPr>
        <w:t>،</w:t>
      </w:r>
      <w:r>
        <w:rPr>
          <w:rFonts w:hint="cs"/>
          <w:rtl/>
        </w:rPr>
        <w:t xml:space="preserve"> على الرغم من </w:t>
      </w:r>
      <w:r w:rsidR="00A90C57">
        <w:rPr>
          <w:rFonts w:hint="cs"/>
          <w:rtl/>
        </w:rPr>
        <w:t xml:space="preserve">ارتقاء </w:t>
      </w:r>
      <w:r>
        <w:rPr>
          <w:rFonts w:hint="cs"/>
          <w:rtl/>
        </w:rPr>
        <w:t xml:space="preserve">مستوى تعليم </w:t>
      </w:r>
      <w:r w:rsidR="00A90C57">
        <w:rPr>
          <w:rFonts w:hint="cs"/>
          <w:rtl/>
        </w:rPr>
        <w:t xml:space="preserve">المرأة، </w:t>
      </w:r>
      <w:r>
        <w:rPr>
          <w:rFonts w:hint="cs"/>
          <w:rtl/>
        </w:rPr>
        <w:t>ما زالت هناك أغلبية واضحة من النساء لم تكمل تعليمها الابتدائي، و</w:t>
      </w:r>
      <w:r w:rsidR="00A90C57">
        <w:rPr>
          <w:rFonts w:hint="cs"/>
          <w:rtl/>
        </w:rPr>
        <w:t xml:space="preserve">لهذا الوضع علاقة </w:t>
      </w:r>
      <w:r>
        <w:rPr>
          <w:rFonts w:hint="cs"/>
          <w:rtl/>
        </w:rPr>
        <w:t xml:space="preserve">بمتوسط العمر المتوقع عند النساء، كما أشير إلى ذلك في التقرير الدوري 4-5 (الإحصاء الزراعي العام لعام 2002). </w:t>
      </w:r>
    </w:p>
    <w:p w:rsidR="00B416C8" w:rsidRDefault="00B416C8" w:rsidP="00B416C8">
      <w:pPr>
        <w:pStyle w:val="SingleTxt"/>
        <w:rPr>
          <w:rFonts w:hint="cs"/>
          <w:b/>
          <w:bCs/>
          <w:rtl/>
        </w:rPr>
      </w:pPr>
      <w:r>
        <w:rPr>
          <w:rFonts w:hint="cs"/>
          <w:b/>
          <w:bCs/>
          <w:rtl/>
        </w:rPr>
        <w:t>الصحة</w:t>
      </w:r>
    </w:p>
    <w:p w:rsidR="00B416C8" w:rsidRDefault="00B416C8" w:rsidP="00A90C57">
      <w:pPr>
        <w:pStyle w:val="SingleTxt"/>
        <w:rPr>
          <w:rFonts w:hint="cs"/>
          <w:rtl/>
        </w:rPr>
      </w:pPr>
      <w:r>
        <w:rPr>
          <w:rFonts w:hint="cs"/>
          <w:rtl/>
        </w:rPr>
        <w:t>239 - بعد إدخال الإصلاحات في نظام الرعاية الصحية في المناطق الريفية، لم ت</w:t>
      </w:r>
      <w:r w:rsidR="00A90C57">
        <w:rPr>
          <w:rFonts w:hint="cs"/>
          <w:rtl/>
        </w:rPr>
        <w:t>ظهر</w:t>
      </w:r>
      <w:r>
        <w:rPr>
          <w:rFonts w:hint="cs"/>
          <w:rtl/>
        </w:rPr>
        <w:t xml:space="preserve"> الآثار الإيجابية المتوقعة للإصلاح في الفترة 2000-2002 فيما يتعلق بنظام الرعاية الصحية ونوعيتها وإمكانية الحصول عليها. ووفقا لمعهد الطب الريفي، فإن أكثر من نصف الذين ردوا على الاستبيان ذكروا أنهم اضطروا إلى الاستغناء عن خدمات طبية هامة (مثل شراء أدوية غالية الزمن أو إجراء فحوص</w:t>
      </w:r>
      <w:r w:rsidR="00A90C57">
        <w:rPr>
          <w:rFonts w:hint="cs"/>
          <w:rtl/>
        </w:rPr>
        <w:t>ات عند الأخصائيين) لأسباب مالية.</w:t>
      </w:r>
      <w:r>
        <w:rPr>
          <w:rFonts w:hint="cs"/>
          <w:rtl/>
        </w:rPr>
        <w:t xml:space="preserve"> و</w:t>
      </w:r>
      <w:r w:rsidR="00A90C57">
        <w:rPr>
          <w:rFonts w:hint="cs"/>
          <w:rtl/>
        </w:rPr>
        <w:t>عدد النساء في هذه الفئة أكبر من عدد الرجال</w:t>
      </w:r>
      <w:r>
        <w:rPr>
          <w:rFonts w:hint="cs"/>
          <w:rtl/>
        </w:rPr>
        <w:t>.</w:t>
      </w:r>
    </w:p>
    <w:p w:rsidR="00B416C8" w:rsidRDefault="00B416C8" w:rsidP="009F5CB8">
      <w:pPr>
        <w:pStyle w:val="SingleTxt"/>
        <w:rPr>
          <w:rFonts w:hint="cs"/>
          <w:rtl/>
        </w:rPr>
      </w:pPr>
      <w:r>
        <w:rPr>
          <w:rFonts w:hint="cs"/>
          <w:rtl/>
        </w:rPr>
        <w:t>240 -</w:t>
      </w:r>
      <w:r>
        <w:rPr>
          <w:rFonts w:hint="cs"/>
          <w:rtl/>
        </w:rPr>
        <w:tab/>
        <w:t xml:space="preserve"> إن مستوى الوعي الصحي المنخفض بين سكان الريف هو السبب الذي من أجله </w:t>
      </w:r>
      <w:r w:rsidR="00A90C57">
        <w:rPr>
          <w:rFonts w:hint="cs"/>
          <w:rtl/>
        </w:rPr>
        <w:t xml:space="preserve">عدد </w:t>
      </w:r>
      <w:r>
        <w:rPr>
          <w:rFonts w:hint="cs"/>
          <w:rtl/>
        </w:rPr>
        <w:t xml:space="preserve">النساء الريفيات </w:t>
      </w:r>
      <w:r w:rsidR="00A90C57">
        <w:rPr>
          <w:rFonts w:hint="cs"/>
          <w:rtl/>
        </w:rPr>
        <w:t xml:space="preserve">اللاتي يذهبن </w:t>
      </w:r>
      <w:r>
        <w:rPr>
          <w:rFonts w:hint="cs"/>
          <w:rtl/>
        </w:rPr>
        <w:t xml:space="preserve">إلى الأطباء، بمن فيهم أطباء النساء، أقل من نظيراتهن في المدن. وليس هناك فرق كبير بين المجموعتين فيما يتعلق بالسبب الذي من أجله لا يستخدمن وسائل </w:t>
      </w:r>
      <w:r w:rsidR="00A90C57">
        <w:rPr>
          <w:rFonts w:hint="cs"/>
          <w:rtl/>
        </w:rPr>
        <w:t>منع الحمل الهرمونية. ومن بين</w:t>
      </w:r>
      <w:r>
        <w:rPr>
          <w:rFonts w:hint="cs"/>
          <w:rtl/>
        </w:rPr>
        <w:t xml:space="preserve"> الأسباب</w:t>
      </w:r>
      <w:r w:rsidR="00A90C57">
        <w:rPr>
          <w:rFonts w:hint="cs"/>
          <w:rtl/>
        </w:rPr>
        <w:t xml:space="preserve"> التي ذكرتها النساء</w:t>
      </w:r>
      <w:r>
        <w:rPr>
          <w:rFonts w:hint="cs"/>
          <w:rtl/>
        </w:rPr>
        <w:t>، الاعتبارات الدينية</w:t>
      </w:r>
      <w:r w:rsidR="00A90C57">
        <w:rPr>
          <w:rFonts w:hint="cs"/>
          <w:rtl/>
        </w:rPr>
        <w:t>،</w:t>
      </w:r>
      <w:r>
        <w:rPr>
          <w:rFonts w:hint="cs"/>
          <w:rtl/>
        </w:rPr>
        <w:t xml:space="preserve"> والقلق </w:t>
      </w:r>
      <w:r w:rsidR="00A90C57">
        <w:rPr>
          <w:rFonts w:hint="cs"/>
          <w:rtl/>
        </w:rPr>
        <w:t xml:space="preserve">الناجم عن </w:t>
      </w:r>
      <w:r>
        <w:rPr>
          <w:rFonts w:hint="cs"/>
          <w:rtl/>
        </w:rPr>
        <w:t>آثار</w:t>
      </w:r>
      <w:r w:rsidR="00A90C57">
        <w:rPr>
          <w:rFonts w:hint="cs"/>
          <w:rtl/>
        </w:rPr>
        <w:t>ها</w:t>
      </w:r>
      <w:r>
        <w:rPr>
          <w:rFonts w:hint="cs"/>
          <w:rtl/>
        </w:rPr>
        <w:t xml:space="preserve"> الضارة </w:t>
      </w:r>
      <w:r w:rsidR="00A90C57">
        <w:rPr>
          <w:rFonts w:hint="cs"/>
          <w:rtl/>
        </w:rPr>
        <w:t xml:space="preserve">المحتملة </w:t>
      </w:r>
      <w:r>
        <w:rPr>
          <w:rFonts w:hint="cs"/>
          <w:rtl/>
        </w:rPr>
        <w:t xml:space="preserve">عليهن وعلى أطفالهن في المستقبل. وتعطى الأفضلية إلى الوسائل الطبيعية لمنع الحمل. ويلاحظ أن </w:t>
      </w:r>
      <w:r w:rsidR="009F5CB8">
        <w:rPr>
          <w:rFonts w:hint="cs"/>
          <w:rtl/>
        </w:rPr>
        <w:t xml:space="preserve">موقف </w:t>
      </w:r>
      <w:r>
        <w:rPr>
          <w:rFonts w:hint="cs"/>
          <w:rtl/>
        </w:rPr>
        <w:t xml:space="preserve">النساء اللاتي يقل عمرهن عن 35 سنة أقل </w:t>
      </w:r>
      <w:r w:rsidR="009F5CB8">
        <w:rPr>
          <w:rFonts w:hint="cs"/>
          <w:rtl/>
        </w:rPr>
        <w:t>تشددا</w:t>
      </w:r>
      <w:r>
        <w:rPr>
          <w:rFonts w:hint="cs"/>
          <w:rtl/>
        </w:rPr>
        <w:t xml:space="preserve"> في هذا الصدد.</w:t>
      </w:r>
    </w:p>
    <w:p w:rsidR="00B416C8" w:rsidRDefault="00B416C8" w:rsidP="00B416C8">
      <w:pPr>
        <w:pStyle w:val="SingleTxt"/>
        <w:rPr>
          <w:rFonts w:hint="cs"/>
          <w:rtl/>
        </w:rPr>
      </w:pPr>
      <w:r>
        <w:rPr>
          <w:rFonts w:hint="cs"/>
          <w:rtl/>
        </w:rPr>
        <w:t>241 -</w:t>
      </w:r>
      <w:r>
        <w:rPr>
          <w:rFonts w:hint="cs"/>
          <w:rtl/>
        </w:rPr>
        <w:tab/>
        <w:t xml:space="preserve"> إن معدل الوفيات بين النساء اللاتي يعشن في المدن أقل من عددها بين النساء اللاتي يعشن في المناطق الريفية، والفرق من حيث العدد هو 85 عن كل 000 10 امرأة (الجدول ألف -14-5، المرفق). وفي عام 2000، كان معدل الوفيات عند الولادة مطابقا في المجموعتين. ومعدل الوفيات بين الرضّع عند الولادة أعلى هامشيا في المناطق الريفية (الجدول ألف -14-6، المرفق) وإن كان هذا المعدل </w:t>
      </w:r>
      <w:r w:rsidR="009F5CB8">
        <w:rPr>
          <w:rFonts w:hint="cs"/>
          <w:rtl/>
        </w:rPr>
        <w:t xml:space="preserve">قد </w:t>
      </w:r>
      <w:r>
        <w:rPr>
          <w:rFonts w:hint="cs"/>
          <w:rtl/>
        </w:rPr>
        <w:t xml:space="preserve">انخفض انخفاضا حادا في الفترة 1998-2001. أما العمر المتوقع </w:t>
      </w:r>
      <w:r w:rsidR="009F5CB8">
        <w:rPr>
          <w:rFonts w:hint="cs"/>
          <w:rtl/>
        </w:rPr>
        <w:t xml:space="preserve">فهو </w:t>
      </w:r>
      <w:r>
        <w:rPr>
          <w:rFonts w:hint="cs"/>
          <w:rtl/>
        </w:rPr>
        <w:t>أعلى بصورة طفيفة في المناطق الريفية.</w:t>
      </w:r>
    </w:p>
    <w:p w:rsidR="00B416C8" w:rsidRDefault="00B416C8" w:rsidP="009F5CB8">
      <w:pPr>
        <w:pStyle w:val="SingleTxt"/>
        <w:rPr>
          <w:rFonts w:hint="cs"/>
          <w:rtl/>
        </w:rPr>
      </w:pPr>
      <w:r>
        <w:rPr>
          <w:rFonts w:hint="cs"/>
          <w:rtl/>
        </w:rPr>
        <w:t>242 -</w:t>
      </w:r>
      <w:r>
        <w:rPr>
          <w:rFonts w:hint="cs"/>
          <w:rtl/>
        </w:rPr>
        <w:tab/>
        <w:t xml:space="preserve"> يقوم صندوق التأمينات الاجتماعية الزراعي بأنشطة وقائية ترمي إلى تحسين ظروف المعيشة في المناطق الريفية. وفي الفترة 1999-2000، اشتركت وزارة الزراعة والتنمية الريفية في تنفيذ البرنامج الحكومي الاستراتيجي </w:t>
      </w:r>
      <w:r>
        <w:rPr>
          <w:rFonts w:hint="eastAsia"/>
          <w:rtl/>
        </w:rPr>
        <w:t>”</w:t>
      </w:r>
      <w:r>
        <w:rPr>
          <w:rFonts w:hint="cs"/>
          <w:rtl/>
        </w:rPr>
        <w:t>السلامة وحماية الصحة في بيئة العمل</w:t>
      </w:r>
      <w:r>
        <w:rPr>
          <w:rFonts w:hint="eastAsia"/>
          <w:rtl/>
        </w:rPr>
        <w:t>“</w:t>
      </w:r>
      <w:r>
        <w:rPr>
          <w:rFonts w:hint="cs"/>
          <w:rtl/>
        </w:rPr>
        <w:t xml:space="preserve"> وينطوي </w:t>
      </w:r>
      <w:r w:rsidR="009F5CB8">
        <w:rPr>
          <w:rFonts w:hint="cs"/>
          <w:rtl/>
        </w:rPr>
        <w:t xml:space="preserve">البرنامج </w:t>
      </w:r>
      <w:r>
        <w:rPr>
          <w:rFonts w:hint="cs"/>
          <w:rtl/>
        </w:rPr>
        <w:t xml:space="preserve">على الوقاية من التهديدات الملاحظة في مكان العمل، والوقاية الطبية، والتوعية </w:t>
      </w:r>
      <w:r w:rsidR="009F5CB8">
        <w:rPr>
          <w:rFonts w:hint="cs"/>
          <w:rtl/>
        </w:rPr>
        <w:t>با</w:t>
      </w:r>
      <w:r>
        <w:rPr>
          <w:rFonts w:hint="cs"/>
          <w:rtl/>
        </w:rPr>
        <w:t>لشؤون الصحية، وسلامة مكان العمل. ووزع صندوق التأمينات الاجتماعية الزراعية مواد دعائية في إطار البرنامج، بالإضافة إلى إنشاء مراكز الاستشارة الزراعية والغرف الزراعية. وفي الفترة 1990-2000، انخفض عدد الحوادث في المزارع بنسبة 45.6 في المائة.</w:t>
      </w:r>
    </w:p>
    <w:p w:rsidR="00B416C8" w:rsidRPr="0098047D" w:rsidRDefault="00B416C8" w:rsidP="00B416C8">
      <w:pPr>
        <w:pStyle w:val="SingleTxt"/>
        <w:spacing w:after="0" w:line="120" w:lineRule="exact"/>
        <w:rPr>
          <w:rFonts w:hint="cs"/>
          <w:sz w:val="10"/>
          <w:rtl/>
        </w:rPr>
      </w:pPr>
    </w:p>
    <w:p w:rsidR="00B416C8" w:rsidRDefault="00B416C8" w:rsidP="00B416C8">
      <w:pPr>
        <w:pStyle w:val="SingleTxt"/>
        <w:rPr>
          <w:rFonts w:hint="cs"/>
          <w:b/>
          <w:bCs/>
          <w:rtl/>
        </w:rPr>
      </w:pPr>
      <w:r>
        <w:rPr>
          <w:rFonts w:hint="cs"/>
          <w:b/>
          <w:bCs/>
          <w:rtl/>
        </w:rPr>
        <w:t xml:space="preserve">المادة 16 </w:t>
      </w:r>
      <w:r>
        <w:rPr>
          <w:b/>
          <w:bCs/>
          <w:rtl/>
        </w:rPr>
        <w:t>–</w:t>
      </w:r>
      <w:r>
        <w:rPr>
          <w:rFonts w:hint="cs"/>
          <w:b/>
          <w:bCs/>
          <w:rtl/>
        </w:rPr>
        <w:t xml:space="preserve"> المساواة أمام قانون الزواج و</w:t>
      </w:r>
      <w:r w:rsidR="00197924">
        <w:rPr>
          <w:rFonts w:hint="cs"/>
          <w:b/>
          <w:bCs/>
          <w:rtl/>
        </w:rPr>
        <w:t xml:space="preserve">قانون </w:t>
      </w:r>
      <w:r>
        <w:rPr>
          <w:rFonts w:hint="cs"/>
          <w:b/>
          <w:bCs/>
          <w:rtl/>
        </w:rPr>
        <w:t>الأسرة</w:t>
      </w:r>
    </w:p>
    <w:p w:rsidR="00B416C8" w:rsidRDefault="00B416C8" w:rsidP="00197924">
      <w:pPr>
        <w:pStyle w:val="SingleTxt"/>
        <w:rPr>
          <w:rFonts w:hint="cs"/>
          <w:rtl/>
        </w:rPr>
      </w:pPr>
      <w:r>
        <w:rPr>
          <w:rFonts w:hint="cs"/>
          <w:rtl/>
        </w:rPr>
        <w:t>243 -</w:t>
      </w:r>
      <w:r>
        <w:rPr>
          <w:rFonts w:hint="cs"/>
          <w:rtl/>
        </w:rPr>
        <w:tab/>
        <w:t xml:space="preserve"> بدأ</w:t>
      </w:r>
      <w:r w:rsidR="00197924">
        <w:rPr>
          <w:rFonts w:hint="cs"/>
          <w:rtl/>
        </w:rPr>
        <w:t xml:space="preserve"> في 15 تشرين الثاني/نوفمبر 1998 </w:t>
      </w:r>
      <w:r>
        <w:rPr>
          <w:rFonts w:hint="cs"/>
          <w:rtl/>
        </w:rPr>
        <w:t xml:space="preserve">نفاذ </w:t>
      </w:r>
      <w:r w:rsidR="00197924">
        <w:rPr>
          <w:rFonts w:hint="cs"/>
          <w:rtl/>
        </w:rPr>
        <w:t>ال</w:t>
      </w:r>
      <w:r>
        <w:rPr>
          <w:rFonts w:hint="cs"/>
          <w:rtl/>
        </w:rPr>
        <w:t xml:space="preserve">تعديل </w:t>
      </w:r>
      <w:r w:rsidR="00197924">
        <w:rPr>
          <w:rFonts w:hint="cs"/>
          <w:rtl/>
        </w:rPr>
        <w:t xml:space="preserve">الذي أدخل </w:t>
      </w:r>
      <w:r>
        <w:rPr>
          <w:rFonts w:hint="cs"/>
          <w:rtl/>
        </w:rPr>
        <w:t xml:space="preserve">على قانون الأسرة والوصاية </w:t>
      </w:r>
      <w:r>
        <w:rPr>
          <w:rFonts w:hint="eastAsia"/>
          <w:rtl/>
        </w:rPr>
        <w:t>”المعتمد في 27 أيار/مايو 1998</w:t>
      </w:r>
      <w:r>
        <w:rPr>
          <w:rFonts w:hint="cs"/>
          <w:rtl/>
        </w:rPr>
        <w:t xml:space="preserve">“. ويتعلق </w:t>
      </w:r>
      <w:r w:rsidR="00197924">
        <w:rPr>
          <w:rFonts w:hint="cs"/>
          <w:rtl/>
        </w:rPr>
        <w:t xml:space="preserve">التعديل </w:t>
      </w:r>
      <w:r>
        <w:rPr>
          <w:rFonts w:hint="cs"/>
          <w:rtl/>
        </w:rPr>
        <w:t>بمسائل مثل سن الزواج، وأسماء الزوجات بعد الزواج، واسم الأطفال، وما يسمى الصلح في الزواج.</w:t>
      </w:r>
    </w:p>
    <w:p w:rsidR="00B416C8" w:rsidRDefault="00B416C8" w:rsidP="00197924">
      <w:pPr>
        <w:pStyle w:val="SingleTxt"/>
        <w:rPr>
          <w:rFonts w:hint="cs"/>
          <w:rtl/>
        </w:rPr>
      </w:pPr>
      <w:r>
        <w:rPr>
          <w:rFonts w:hint="cs"/>
          <w:rtl/>
        </w:rPr>
        <w:t>244 -</w:t>
      </w:r>
      <w:r>
        <w:rPr>
          <w:rFonts w:hint="cs"/>
          <w:rtl/>
        </w:rPr>
        <w:tab/>
        <w:t xml:space="preserve"> تم معادلة سن الزواج لكل من الجنسين. وتنص الفقرة 1 من المادة 10 من قانون الأسرة والوصاية على أنه لا يجوز لأي شخص دون سن 18 الزواج. ومع ذلك، يجوز لمحكمة الوصاية أن تسمح للمرأة التي </w:t>
      </w:r>
      <w:r w:rsidR="00197924">
        <w:rPr>
          <w:rFonts w:hint="cs"/>
          <w:rtl/>
        </w:rPr>
        <w:t>يكون ع</w:t>
      </w:r>
      <w:r>
        <w:rPr>
          <w:rFonts w:hint="cs"/>
          <w:rtl/>
        </w:rPr>
        <w:t>مرها 16 سنة</w:t>
      </w:r>
      <w:r w:rsidR="00197924">
        <w:rPr>
          <w:rFonts w:hint="cs"/>
          <w:rtl/>
        </w:rPr>
        <w:t xml:space="preserve"> على الأقل</w:t>
      </w:r>
      <w:r>
        <w:rPr>
          <w:rFonts w:hint="cs"/>
          <w:rtl/>
        </w:rPr>
        <w:t xml:space="preserve"> بالزواج إذا كانت هناك ظروف هامة ودلائل تشير إلى أن ذلك يمكن أن يخدم رفاهية الأسرة الجديدة. ولا يرى القانون أن هذه الإمكانية متاحة في حالة الرجال.</w:t>
      </w:r>
    </w:p>
    <w:p w:rsidR="00B416C8" w:rsidRDefault="00B416C8" w:rsidP="00197924">
      <w:pPr>
        <w:pStyle w:val="SingleTxt"/>
        <w:rPr>
          <w:rFonts w:hint="cs"/>
          <w:rtl/>
        </w:rPr>
      </w:pPr>
      <w:r>
        <w:rPr>
          <w:rFonts w:hint="cs"/>
          <w:rtl/>
        </w:rPr>
        <w:t>245 -</w:t>
      </w:r>
      <w:r>
        <w:rPr>
          <w:rFonts w:hint="cs"/>
          <w:rtl/>
        </w:rPr>
        <w:tab/>
        <w:t xml:space="preserve"> وعمليا، يتم تطبيق هذا القانون إذا كانت المرأة حامل. وأعدت المفوضة الحكومية </w:t>
      </w:r>
      <w:r w:rsidR="00197924">
        <w:rPr>
          <w:rFonts w:hint="cs"/>
          <w:rtl/>
        </w:rPr>
        <w:t>المعنية بال</w:t>
      </w:r>
      <w:r>
        <w:rPr>
          <w:rFonts w:hint="cs"/>
          <w:rtl/>
        </w:rPr>
        <w:t xml:space="preserve">مساواة في المركز بين </w:t>
      </w:r>
      <w:r w:rsidR="00197924">
        <w:rPr>
          <w:rFonts w:hint="cs"/>
          <w:rtl/>
        </w:rPr>
        <w:t xml:space="preserve">النساء والرجال </w:t>
      </w:r>
      <w:r>
        <w:rPr>
          <w:rFonts w:hint="cs"/>
          <w:rtl/>
        </w:rPr>
        <w:t xml:space="preserve">اقتراحا لتغيير هذا الحكم، </w:t>
      </w:r>
      <w:r w:rsidR="00197924">
        <w:rPr>
          <w:rFonts w:hint="cs"/>
          <w:rtl/>
        </w:rPr>
        <w:t>لل</w:t>
      </w:r>
      <w:r>
        <w:rPr>
          <w:rFonts w:hint="cs"/>
          <w:rtl/>
        </w:rPr>
        <w:t>سم</w:t>
      </w:r>
      <w:r w:rsidR="00197924">
        <w:rPr>
          <w:rFonts w:hint="cs"/>
          <w:rtl/>
        </w:rPr>
        <w:t>ا</w:t>
      </w:r>
      <w:r>
        <w:rPr>
          <w:rFonts w:hint="cs"/>
          <w:rtl/>
        </w:rPr>
        <w:t xml:space="preserve">ح للمحكمة </w:t>
      </w:r>
      <w:r w:rsidR="00197924">
        <w:rPr>
          <w:rFonts w:hint="cs"/>
          <w:rtl/>
        </w:rPr>
        <w:t xml:space="preserve">بمنح الإذن </w:t>
      </w:r>
      <w:r>
        <w:rPr>
          <w:rFonts w:hint="cs"/>
          <w:rtl/>
        </w:rPr>
        <w:t xml:space="preserve">بالزواج </w:t>
      </w:r>
      <w:r w:rsidR="00197924">
        <w:rPr>
          <w:rFonts w:hint="cs"/>
          <w:rtl/>
        </w:rPr>
        <w:t>ل</w:t>
      </w:r>
      <w:r>
        <w:rPr>
          <w:rFonts w:hint="cs"/>
          <w:rtl/>
        </w:rPr>
        <w:t>شخص (بغض النظر عن نوع جنسه) عمره عن 16 سنة</w:t>
      </w:r>
      <w:r w:rsidR="00197924">
        <w:rPr>
          <w:rFonts w:hint="cs"/>
          <w:rtl/>
        </w:rPr>
        <w:t xml:space="preserve"> على الأقل</w:t>
      </w:r>
      <w:r>
        <w:rPr>
          <w:rFonts w:hint="cs"/>
          <w:rtl/>
        </w:rPr>
        <w:t>. وهذا من شأنه أن يمنع التمييز بين الأم المراهق</w:t>
      </w:r>
      <w:r w:rsidR="00197924">
        <w:rPr>
          <w:rFonts w:hint="cs"/>
          <w:rtl/>
        </w:rPr>
        <w:t>ة</w:t>
      </w:r>
      <w:r>
        <w:rPr>
          <w:rFonts w:hint="cs"/>
          <w:rtl/>
        </w:rPr>
        <w:t xml:space="preserve"> ال</w:t>
      </w:r>
      <w:r w:rsidR="00197924">
        <w:rPr>
          <w:rFonts w:hint="cs"/>
          <w:rtl/>
        </w:rPr>
        <w:t>تي أصبحت ح</w:t>
      </w:r>
      <w:r>
        <w:rPr>
          <w:rFonts w:hint="cs"/>
          <w:rtl/>
        </w:rPr>
        <w:t>امل</w:t>
      </w:r>
      <w:r w:rsidR="00197924">
        <w:rPr>
          <w:rFonts w:hint="cs"/>
          <w:rtl/>
        </w:rPr>
        <w:t>ا</w:t>
      </w:r>
      <w:r>
        <w:rPr>
          <w:rFonts w:hint="cs"/>
          <w:rtl/>
        </w:rPr>
        <w:t xml:space="preserve"> من نظ</w:t>
      </w:r>
      <w:r w:rsidR="00197924">
        <w:rPr>
          <w:rFonts w:hint="cs"/>
          <w:rtl/>
        </w:rPr>
        <w:t>يرها</w:t>
      </w:r>
      <w:r>
        <w:rPr>
          <w:rFonts w:hint="cs"/>
          <w:rtl/>
        </w:rPr>
        <w:t>.</w:t>
      </w:r>
    </w:p>
    <w:p w:rsidR="00B416C8" w:rsidRDefault="00B416C8" w:rsidP="00B416C8">
      <w:pPr>
        <w:pStyle w:val="SingleTxt"/>
        <w:rPr>
          <w:rFonts w:hint="cs"/>
          <w:rtl/>
        </w:rPr>
      </w:pPr>
      <w:r>
        <w:rPr>
          <w:rFonts w:hint="cs"/>
          <w:rtl/>
        </w:rPr>
        <w:t>246 -</w:t>
      </w:r>
      <w:r>
        <w:rPr>
          <w:rFonts w:hint="cs"/>
          <w:rtl/>
        </w:rPr>
        <w:tab/>
        <w:t xml:space="preserve"> وغيّر أيضا التعديل الذي أدخل على قانون الأسرة والوصاية القواعد المتصلة باختيار اسم العائلة الذي سيستخدمه كل من الزوجين. وفي حالة كل من المرأة والرجل، يتم تحديد الاسم المستخدم بعد الزواج في بيان يعرض على المسجل. ويجوز للزوجين أن يحملا نفس الاسم الذي يستخدمه أحد الزوجين، ويجوز لكل زوج أن يحتفظ باسمه القديم، أو يستطيع أن يضيف اسم زوجه أو زوجته إلى اسمه أو اسمها. وإذا لم يتم تقديم البيان أمام المسجل فكل من الزوجين يحتفظ باسمه.</w:t>
      </w:r>
    </w:p>
    <w:p w:rsidR="00B416C8" w:rsidRDefault="00B416C8" w:rsidP="00197924">
      <w:pPr>
        <w:pStyle w:val="SingleTxt"/>
        <w:rPr>
          <w:rFonts w:hint="cs"/>
          <w:rtl/>
        </w:rPr>
      </w:pPr>
      <w:r>
        <w:rPr>
          <w:rFonts w:hint="cs"/>
          <w:rtl/>
        </w:rPr>
        <w:t>247 -</w:t>
      </w:r>
      <w:r>
        <w:rPr>
          <w:rFonts w:hint="cs"/>
          <w:rtl/>
        </w:rPr>
        <w:tab/>
        <w:t xml:space="preserve"> يتجاهل التعديل المذكور أعلاه وجود القانون المؤرخ 15 تشرين الثاني/نوفمبر 1956 عن تغيير الاسم والكنية. وبموجب أحكام هذا القانون، لا يجوز إلا للمرأة المتزوجة أن تغير اسمها. ولا يتمتع الرجل بهذا الحق، مما يتنافى مع الأنظمة السابقة لقانون الأسرة والوصاية حيث يجوز للرجل أن يحمل اسم زوجته. وفي شباط/فبراير 2003، اقترحت المف</w:t>
      </w:r>
      <w:r w:rsidR="00197924">
        <w:rPr>
          <w:rFonts w:hint="cs"/>
          <w:rtl/>
        </w:rPr>
        <w:t>وضة الحكومية المعنية با</w:t>
      </w:r>
      <w:r>
        <w:rPr>
          <w:rFonts w:hint="cs"/>
          <w:rtl/>
        </w:rPr>
        <w:t xml:space="preserve">لمساواة بين مركز </w:t>
      </w:r>
      <w:r w:rsidR="00197924">
        <w:rPr>
          <w:rFonts w:hint="cs"/>
          <w:rtl/>
        </w:rPr>
        <w:t>النساء والرجال</w:t>
      </w:r>
      <w:r>
        <w:rPr>
          <w:rFonts w:hint="cs"/>
          <w:rtl/>
        </w:rPr>
        <w:t xml:space="preserve"> تعديلا ملائما للقانون فيما يتعلق بتغيير الاسم والكنية.</w:t>
      </w:r>
    </w:p>
    <w:p w:rsidR="00B416C8" w:rsidRDefault="00B416C8" w:rsidP="00B416C8">
      <w:pPr>
        <w:pStyle w:val="SingleTxt"/>
        <w:rPr>
          <w:rFonts w:hint="cs"/>
          <w:rtl/>
        </w:rPr>
      </w:pPr>
      <w:r>
        <w:rPr>
          <w:rFonts w:hint="cs"/>
          <w:rtl/>
        </w:rPr>
        <w:t>248 -</w:t>
      </w:r>
      <w:r>
        <w:rPr>
          <w:rFonts w:hint="cs"/>
          <w:rtl/>
        </w:rPr>
        <w:tab/>
        <w:t xml:space="preserve"> وغيّر أيضا التعديل الذي أدخل على قانون الأسرة والوصاية الأنظمة المتعلقة بأسماء الأطفال. وبعد التغيير، يفترض من الطفل الذي حملت به الأم من زوجها، أن يحمل اسمه، ما لم يعلن الزوجان أن الطفل سيحمل اسم الأم. </w:t>
      </w:r>
    </w:p>
    <w:p w:rsidR="00B416C8" w:rsidRDefault="00B416C8" w:rsidP="00275265">
      <w:pPr>
        <w:pStyle w:val="SingleTxt"/>
        <w:rPr>
          <w:rFonts w:hint="cs"/>
          <w:rtl/>
        </w:rPr>
      </w:pPr>
      <w:r>
        <w:rPr>
          <w:rFonts w:hint="cs"/>
          <w:rtl/>
        </w:rPr>
        <w:t>249 -</w:t>
      </w:r>
      <w:r>
        <w:rPr>
          <w:rFonts w:hint="cs"/>
          <w:rtl/>
        </w:rPr>
        <w:tab/>
        <w:t xml:space="preserve"> وبعد إبرام المعاهدة الدينية المؤرخة 28 تموز/يوليه 1993 بين جمهورية بولندا والكرسي الرسولي، تم تعديل كثير من قوانين الزواج في عام 1998. كان في السابق يتم إجراء الزواج أمام المسجل. وبناء على التعديل، يجوز للمرأة والرجل أن يعقدا زواجهما بموجب القانون الداخلي في كنيسة أو في رابطة دينية أخرى أمام الكاهن ويعلنا عن رغبتهما في الزواج بموجب القانون البولندي وبعد ذلك يعد</w:t>
      </w:r>
      <w:r w:rsidR="00275265">
        <w:rPr>
          <w:rFonts w:hint="cs"/>
          <w:rtl/>
        </w:rPr>
        <w:t>ّ</w:t>
      </w:r>
      <w:r>
        <w:rPr>
          <w:rFonts w:hint="cs"/>
          <w:rtl/>
        </w:rPr>
        <w:t xml:space="preserve"> المسجل شهادة الزواج. وينطبق هذا</w:t>
      </w:r>
      <w:r w:rsidR="00275265">
        <w:rPr>
          <w:rFonts w:hint="cs"/>
          <w:rtl/>
        </w:rPr>
        <w:t xml:space="preserve"> الحكم عندما يتم التصديق على ا</w:t>
      </w:r>
      <w:r>
        <w:rPr>
          <w:rFonts w:hint="cs"/>
          <w:rtl/>
        </w:rPr>
        <w:t xml:space="preserve">تفاق دولي (مثل المعاهدة الدينية)، أو قانون ينظم العلاقات بين الدولة والكنيسة أو أي رابطة دينية أخرى، ويعتبر الزواج </w:t>
      </w:r>
      <w:r w:rsidR="00275265">
        <w:rPr>
          <w:rFonts w:hint="cs"/>
          <w:rtl/>
        </w:rPr>
        <w:t>ال</w:t>
      </w:r>
      <w:r>
        <w:rPr>
          <w:rFonts w:hint="cs"/>
          <w:rtl/>
        </w:rPr>
        <w:t xml:space="preserve">مبرم بموجب القانون الكنسي الداخلي يساوي الزواج المبرم أمام المسجل. ومن ثم، يتمتع الزواج الكنسي بنفس المزايا التي يتمتع بها الزواج المبرم بموجب القانون البولندي. </w:t>
      </w:r>
    </w:p>
    <w:p w:rsidR="00B416C8" w:rsidRDefault="00B416C8" w:rsidP="00275265">
      <w:pPr>
        <w:pStyle w:val="SingleTxt"/>
        <w:rPr>
          <w:rFonts w:hint="cs"/>
          <w:rtl/>
        </w:rPr>
      </w:pPr>
      <w:r>
        <w:rPr>
          <w:rFonts w:hint="cs"/>
          <w:rtl/>
        </w:rPr>
        <w:t>250 -</w:t>
      </w:r>
      <w:r>
        <w:rPr>
          <w:rFonts w:hint="cs"/>
          <w:rtl/>
        </w:rPr>
        <w:tab/>
        <w:t xml:space="preserve"> واعتبارا من 16 كانون الأول/ديسمبر 1999، يجوز لكل من الزوجين أن يطالب</w:t>
      </w:r>
      <w:r w:rsidR="00275265">
        <w:rPr>
          <w:rFonts w:hint="cs"/>
          <w:rtl/>
        </w:rPr>
        <w:t>ا</w:t>
      </w:r>
      <w:r>
        <w:rPr>
          <w:rFonts w:hint="cs"/>
          <w:rtl/>
        </w:rPr>
        <w:t xml:space="preserve"> بالانفصال، في حالة الانهيار الكامل للزواج. ويترتب على الانفصال نفس العواقب التي يترتب عليها الطلاق (قانون الأسرة والوصاية، الفصل الخامس وعنوانه الزواج). وتم استحداث هذا الحل كخيار </w:t>
      </w:r>
      <w:r w:rsidR="00275265">
        <w:rPr>
          <w:rFonts w:hint="cs"/>
          <w:rtl/>
        </w:rPr>
        <w:t>متاح للكاثوليكيين الذين لا</w:t>
      </w:r>
      <w:r>
        <w:rPr>
          <w:rFonts w:hint="cs"/>
          <w:rtl/>
        </w:rPr>
        <w:t xml:space="preserve"> </w:t>
      </w:r>
      <w:r w:rsidR="00275265">
        <w:rPr>
          <w:rFonts w:hint="cs"/>
          <w:rtl/>
        </w:rPr>
        <w:t>ي</w:t>
      </w:r>
      <w:r>
        <w:rPr>
          <w:rFonts w:hint="cs"/>
          <w:rtl/>
        </w:rPr>
        <w:t>رغب</w:t>
      </w:r>
      <w:r w:rsidR="00275265">
        <w:rPr>
          <w:rFonts w:hint="cs"/>
          <w:rtl/>
        </w:rPr>
        <w:t xml:space="preserve">ون </w:t>
      </w:r>
      <w:r>
        <w:rPr>
          <w:rFonts w:hint="cs"/>
          <w:rtl/>
        </w:rPr>
        <w:t xml:space="preserve">في </w:t>
      </w:r>
      <w:r w:rsidR="00275265">
        <w:rPr>
          <w:rFonts w:hint="cs"/>
          <w:rtl/>
        </w:rPr>
        <w:t>الطلاق لأنه يعتبر</w:t>
      </w:r>
      <w:r>
        <w:rPr>
          <w:rFonts w:hint="cs"/>
          <w:rtl/>
        </w:rPr>
        <w:t xml:space="preserve"> خطيئة في نظر الكنيسة.</w:t>
      </w:r>
    </w:p>
    <w:p w:rsidR="00B416C8" w:rsidRDefault="00B416C8" w:rsidP="00275265">
      <w:pPr>
        <w:pStyle w:val="SingleTxt"/>
        <w:rPr>
          <w:rFonts w:hint="cs"/>
          <w:rtl/>
        </w:rPr>
      </w:pPr>
      <w:r>
        <w:rPr>
          <w:rFonts w:hint="cs"/>
          <w:rtl/>
        </w:rPr>
        <w:t>251 -</w:t>
      </w:r>
      <w:r>
        <w:rPr>
          <w:rFonts w:hint="cs"/>
          <w:rtl/>
        </w:rPr>
        <w:tab/>
        <w:t xml:space="preserve"> ظل تعدد الأزواج كما جاء في التقرير عن الفترة السابقة جريمة. وينص قانون العقوبات</w:t>
      </w:r>
      <w:r w:rsidR="00275265">
        <w:rPr>
          <w:rFonts w:hint="cs"/>
          <w:rtl/>
        </w:rPr>
        <w:t xml:space="preserve"> المؤرخ</w:t>
      </w:r>
      <w:r>
        <w:rPr>
          <w:rFonts w:hint="cs"/>
          <w:rtl/>
        </w:rPr>
        <w:t xml:space="preserve"> 6 حزيران/يونيه 1997 (</w:t>
      </w:r>
      <w:r w:rsidR="00275265">
        <w:rPr>
          <w:rFonts w:hint="cs"/>
          <w:rtl/>
        </w:rPr>
        <w:t>و</w:t>
      </w:r>
      <w:r>
        <w:rPr>
          <w:rFonts w:hint="cs"/>
          <w:rtl/>
        </w:rPr>
        <w:t xml:space="preserve">الذي بدأ نفاذه في 1 أيلول/سبتمبر 1998) على أن أي شخص يرتكب جريمة </w:t>
      </w:r>
      <w:r w:rsidR="00275265">
        <w:rPr>
          <w:rFonts w:hint="cs"/>
          <w:rtl/>
        </w:rPr>
        <w:t>تعدد الأ</w:t>
      </w:r>
      <w:r>
        <w:rPr>
          <w:rFonts w:hint="cs"/>
          <w:rtl/>
        </w:rPr>
        <w:t>زواج معرض</w:t>
      </w:r>
      <w:r w:rsidR="00275265">
        <w:rPr>
          <w:rFonts w:hint="cs"/>
          <w:rtl/>
        </w:rPr>
        <w:t xml:space="preserve"> للغرامة، أو لتقييد حريته أو للسجن</w:t>
      </w:r>
      <w:r>
        <w:rPr>
          <w:rFonts w:hint="cs"/>
          <w:rtl/>
        </w:rPr>
        <w:t xml:space="preserve"> لمدة تصل إلى سنتين (المادة 206). ويحظر أيضا قانون العقوبات العلاقات الجنسية مع أي شخص دون سن 15 سنة (كما جاء في التقرير عن الفترة السابقة، وتنص الم</w:t>
      </w:r>
      <w:r w:rsidR="00275265">
        <w:rPr>
          <w:rFonts w:hint="cs"/>
          <w:rtl/>
        </w:rPr>
        <w:t xml:space="preserve">ادة 200 من قانون العقوبات على </w:t>
      </w:r>
      <w:r>
        <w:rPr>
          <w:rFonts w:hint="cs"/>
          <w:rtl/>
        </w:rPr>
        <w:t xml:space="preserve">سجن </w:t>
      </w:r>
      <w:r w:rsidR="00275265">
        <w:rPr>
          <w:rFonts w:hint="cs"/>
          <w:rtl/>
        </w:rPr>
        <w:t xml:space="preserve">مرتكب هذه الجريمة </w:t>
      </w:r>
      <w:r>
        <w:rPr>
          <w:rFonts w:hint="cs"/>
          <w:rtl/>
        </w:rPr>
        <w:t>لفترة تتراوح بين سنة وعشر سنوات).</w:t>
      </w:r>
    </w:p>
    <w:p w:rsidR="00B416C8" w:rsidRDefault="00B416C8" w:rsidP="00B416C8">
      <w:pPr>
        <w:pStyle w:val="SingleTxt"/>
        <w:rPr>
          <w:rFonts w:hint="cs"/>
          <w:rtl/>
        </w:rPr>
      </w:pPr>
      <w:r>
        <w:rPr>
          <w:rFonts w:hint="cs"/>
          <w:rtl/>
        </w:rPr>
        <w:t>252 -</w:t>
      </w:r>
      <w:r>
        <w:rPr>
          <w:rFonts w:hint="cs"/>
          <w:rtl/>
        </w:rPr>
        <w:tab/>
        <w:t xml:space="preserve"> استمر العمل خلال الفترة التي يغطيها التقرير في إعداد </w:t>
      </w:r>
      <w:r>
        <w:rPr>
          <w:rFonts w:hint="eastAsia"/>
          <w:rtl/>
        </w:rPr>
        <w:t>”خطة العمل الوطنية للمرأة</w:t>
      </w:r>
      <w:r>
        <w:rPr>
          <w:rFonts w:hint="cs"/>
          <w:rtl/>
        </w:rPr>
        <w:t> -</w:t>
      </w:r>
      <w:r>
        <w:rPr>
          <w:rFonts w:hint="eastAsia"/>
          <w:rtl/>
        </w:rPr>
        <w:t xml:space="preserve"> مرحلة </w:t>
      </w:r>
      <w:r>
        <w:rPr>
          <w:rFonts w:hint="cs"/>
          <w:rtl/>
        </w:rPr>
        <w:t>التنفيذ الثانية للفترة 2003-2005، وتتيح الخطة تعزيز المساواة في معاملة كل من الأبوين فيما يتعلق بوصايتهما ودورهما التثقيفي.</w:t>
      </w:r>
    </w:p>
    <w:p w:rsidR="00B416C8" w:rsidRDefault="00B416C8" w:rsidP="00275265">
      <w:pPr>
        <w:pStyle w:val="SingleTxt"/>
        <w:rPr>
          <w:rFonts w:hint="cs"/>
          <w:rtl/>
        </w:rPr>
      </w:pPr>
      <w:r>
        <w:rPr>
          <w:rFonts w:hint="cs"/>
          <w:rtl/>
        </w:rPr>
        <w:t>253 -</w:t>
      </w:r>
      <w:r>
        <w:rPr>
          <w:rFonts w:hint="cs"/>
          <w:rtl/>
        </w:rPr>
        <w:tab/>
        <w:t xml:space="preserve"> تناقش المسائل المتعلقة بعدد الأطفال داخل الأسرة، وبعدد الولادات، و</w:t>
      </w:r>
      <w:r w:rsidR="00275265">
        <w:rPr>
          <w:rFonts w:hint="cs"/>
          <w:rtl/>
        </w:rPr>
        <w:t xml:space="preserve">بإمكانية الحصول على </w:t>
      </w:r>
      <w:r>
        <w:rPr>
          <w:rFonts w:hint="cs"/>
          <w:rtl/>
        </w:rPr>
        <w:t>المعلومات ذات الصلة في ذلك الجزء من التقرير الذي يعالج المادة 12، بينما تعالج مسألة العنف في العلاقات بين الأشخاص، في المادة 5.</w:t>
      </w:r>
    </w:p>
    <w:p w:rsidR="00B416C8" w:rsidRPr="00573C13" w:rsidRDefault="00B416C8" w:rsidP="00B416C8">
      <w:pPr>
        <w:pStyle w:val="SingleTxt"/>
        <w:spacing w:after="0" w:line="240" w:lineRule="auto"/>
        <w:rPr>
          <w:rFonts w:hint="cs"/>
          <w:rtl/>
        </w:rPr>
      </w:pPr>
    </w:p>
    <w:p w:rsidR="00275265" w:rsidRDefault="00275265" w:rsidP="0027526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br w:type="column"/>
      </w:r>
      <w:r>
        <w:rPr>
          <w:rFonts w:hint="cs"/>
          <w:rtl/>
        </w:rPr>
        <w:tab/>
        <w:t>المرفق</w:t>
      </w:r>
    </w:p>
    <w:p w:rsidR="00275265" w:rsidRDefault="00275265" w:rsidP="00277077">
      <w:pPr>
        <w:pStyle w:val="SingleTxt"/>
        <w:spacing w:line="340" w:lineRule="exact"/>
        <w:rPr>
          <w:rFonts w:hint="cs"/>
          <w:rtl/>
        </w:rPr>
      </w:pPr>
      <w:r>
        <w:rPr>
          <w:rFonts w:hint="cs"/>
          <w:rtl/>
        </w:rPr>
        <w:t>الجدول ألف -5-1</w:t>
      </w:r>
    </w:p>
    <w:p w:rsidR="00275265" w:rsidRPr="00EE71CB" w:rsidRDefault="00275265" w:rsidP="00277077">
      <w:pPr>
        <w:pStyle w:val="SingleTxt"/>
        <w:spacing w:line="340" w:lineRule="exact"/>
        <w:rPr>
          <w:rFonts w:hint="cs"/>
          <w:b/>
          <w:bCs/>
          <w:rtl/>
        </w:rPr>
      </w:pPr>
      <w:r>
        <w:rPr>
          <w:rFonts w:hint="cs"/>
          <w:b/>
          <w:bCs/>
          <w:rtl/>
        </w:rPr>
        <w:t>تدخلات الشرطة في شؤون الأسرة،</w:t>
      </w:r>
      <w:r w:rsidRPr="00EE71CB">
        <w:rPr>
          <w:rFonts w:hint="cs"/>
          <w:b/>
          <w:bCs/>
          <w:rtl/>
        </w:rPr>
        <w:t xml:space="preserve"> بما في ذلك حالات العنف</w:t>
      </w:r>
    </w:p>
    <w:p w:rsidR="00275265" w:rsidRPr="00EE71CB" w:rsidRDefault="00275265" w:rsidP="00275265">
      <w:pPr>
        <w:pStyle w:val="SingleTxt"/>
        <w:spacing w:after="0" w:line="120" w:lineRule="exact"/>
        <w:rPr>
          <w:rFonts w:hint="cs"/>
          <w:sz w:val="10"/>
          <w:rtl/>
        </w:rPr>
      </w:pPr>
    </w:p>
    <w:tbl>
      <w:tblPr>
        <w:bidiVisual/>
        <w:tblW w:w="6414" w:type="dxa"/>
        <w:jc w:val="center"/>
        <w:tblInd w:w="-12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006"/>
        <w:gridCol w:w="1751"/>
        <w:gridCol w:w="1657"/>
      </w:tblGrid>
      <w:tr w:rsidR="00275265">
        <w:tblPrEx>
          <w:tblCellMar>
            <w:top w:w="0" w:type="dxa"/>
            <w:bottom w:w="0" w:type="dxa"/>
          </w:tblCellMar>
        </w:tblPrEx>
        <w:trPr>
          <w:jc w:val="center"/>
        </w:trPr>
        <w:tc>
          <w:tcPr>
            <w:tcW w:w="3006" w:type="dxa"/>
            <w:shd w:val="clear" w:color="auto" w:fill="auto"/>
            <w:tcMar>
              <w:left w:w="0" w:type="dxa"/>
              <w:right w:w="0" w:type="dxa"/>
            </w:tcMar>
          </w:tcPr>
          <w:p w:rsidR="00275265" w:rsidRPr="00582F97" w:rsidRDefault="00275265" w:rsidP="003F4B71">
            <w:pPr>
              <w:ind w:left="72" w:right="72"/>
              <w:rPr>
                <w:rFonts w:hint="cs"/>
                <w:b/>
                <w:bCs/>
                <w:rtl/>
              </w:rPr>
            </w:pPr>
          </w:p>
        </w:tc>
        <w:tc>
          <w:tcPr>
            <w:tcW w:w="1751" w:type="dxa"/>
            <w:shd w:val="clear" w:color="auto" w:fill="auto"/>
          </w:tcPr>
          <w:p w:rsidR="00275265" w:rsidRPr="00582F97" w:rsidRDefault="00275265" w:rsidP="003F4B71">
            <w:pPr>
              <w:ind w:left="72" w:right="72"/>
              <w:rPr>
                <w:rFonts w:hint="cs"/>
                <w:b/>
                <w:bCs/>
                <w:rtl/>
              </w:rPr>
            </w:pPr>
            <w:r w:rsidRPr="00582F97">
              <w:rPr>
                <w:rFonts w:hint="cs"/>
                <w:b/>
                <w:bCs/>
                <w:rtl/>
              </w:rPr>
              <w:t>2000</w:t>
            </w:r>
          </w:p>
        </w:tc>
        <w:tc>
          <w:tcPr>
            <w:tcW w:w="1657" w:type="dxa"/>
            <w:shd w:val="clear" w:color="auto" w:fill="auto"/>
          </w:tcPr>
          <w:p w:rsidR="00275265" w:rsidRPr="00582F97" w:rsidRDefault="00275265" w:rsidP="003F4B71">
            <w:pPr>
              <w:ind w:left="72" w:right="72"/>
              <w:rPr>
                <w:rFonts w:hint="cs"/>
                <w:b/>
                <w:bCs/>
                <w:rtl/>
              </w:rPr>
            </w:pPr>
            <w:r w:rsidRPr="00582F97">
              <w:rPr>
                <w:rFonts w:hint="cs"/>
                <w:b/>
                <w:bCs/>
                <w:rtl/>
              </w:rPr>
              <w:t>2001</w:t>
            </w:r>
          </w:p>
        </w:tc>
      </w:tr>
      <w:tr w:rsidR="00275265">
        <w:tblPrEx>
          <w:tblCellMar>
            <w:top w:w="0" w:type="dxa"/>
            <w:bottom w:w="0" w:type="dxa"/>
          </w:tblCellMar>
        </w:tblPrEx>
        <w:trPr>
          <w:jc w:val="center"/>
        </w:trPr>
        <w:tc>
          <w:tcPr>
            <w:tcW w:w="3006" w:type="dxa"/>
            <w:shd w:val="clear" w:color="auto" w:fill="auto"/>
          </w:tcPr>
          <w:p w:rsidR="00275265" w:rsidRDefault="00275265" w:rsidP="003F4B71">
            <w:pPr>
              <w:ind w:left="72" w:right="72"/>
              <w:rPr>
                <w:rFonts w:hint="cs"/>
                <w:rtl/>
              </w:rPr>
            </w:pPr>
            <w:r>
              <w:rPr>
                <w:rFonts w:hint="cs"/>
                <w:rtl/>
              </w:rPr>
              <w:t>التدخلات المنزلية (المجموع)</w:t>
            </w:r>
          </w:p>
        </w:tc>
        <w:tc>
          <w:tcPr>
            <w:tcW w:w="1751" w:type="dxa"/>
            <w:shd w:val="clear" w:color="auto" w:fill="auto"/>
          </w:tcPr>
          <w:p w:rsidR="00275265" w:rsidRDefault="00275265" w:rsidP="003F4B71">
            <w:pPr>
              <w:ind w:left="72" w:right="72"/>
              <w:rPr>
                <w:rFonts w:hint="cs"/>
                <w:rtl/>
              </w:rPr>
            </w:pPr>
            <w:r>
              <w:rPr>
                <w:rFonts w:hint="cs"/>
                <w:rtl/>
              </w:rPr>
              <w:t>602 479</w:t>
            </w:r>
          </w:p>
        </w:tc>
        <w:tc>
          <w:tcPr>
            <w:tcW w:w="1657" w:type="dxa"/>
            <w:shd w:val="clear" w:color="auto" w:fill="auto"/>
          </w:tcPr>
          <w:p w:rsidR="00275265" w:rsidRDefault="00275265" w:rsidP="003F4B71">
            <w:pPr>
              <w:ind w:left="72" w:right="72"/>
              <w:rPr>
                <w:rFonts w:hint="cs"/>
                <w:rtl/>
              </w:rPr>
            </w:pPr>
            <w:r>
              <w:rPr>
                <w:rFonts w:hint="cs"/>
                <w:rtl/>
              </w:rPr>
              <w:t>007 482</w:t>
            </w:r>
          </w:p>
        </w:tc>
      </w:tr>
      <w:tr w:rsidR="00275265">
        <w:tblPrEx>
          <w:tblCellMar>
            <w:top w:w="0" w:type="dxa"/>
            <w:bottom w:w="0" w:type="dxa"/>
          </w:tblCellMar>
        </w:tblPrEx>
        <w:trPr>
          <w:jc w:val="center"/>
        </w:trPr>
        <w:tc>
          <w:tcPr>
            <w:tcW w:w="3006" w:type="dxa"/>
            <w:shd w:val="clear" w:color="auto" w:fill="auto"/>
          </w:tcPr>
          <w:p w:rsidR="00275265" w:rsidRDefault="00275265" w:rsidP="003F4B71">
            <w:pPr>
              <w:ind w:left="72" w:right="72"/>
              <w:rPr>
                <w:rFonts w:hint="cs"/>
                <w:rtl/>
              </w:rPr>
            </w:pPr>
            <w:r>
              <w:rPr>
                <w:rFonts w:hint="cs"/>
                <w:rtl/>
              </w:rPr>
              <w:t>بما في ذلك حالات العنف المنزلي</w:t>
            </w:r>
          </w:p>
        </w:tc>
        <w:tc>
          <w:tcPr>
            <w:tcW w:w="1751" w:type="dxa"/>
            <w:shd w:val="clear" w:color="auto" w:fill="auto"/>
          </w:tcPr>
          <w:p w:rsidR="00275265" w:rsidRDefault="00275265" w:rsidP="003F4B71">
            <w:pPr>
              <w:ind w:left="72" w:right="72"/>
              <w:rPr>
                <w:rFonts w:hint="cs"/>
                <w:rtl/>
              </w:rPr>
            </w:pPr>
            <w:r>
              <w:rPr>
                <w:rFonts w:hint="cs"/>
                <w:rtl/>
              </w:rPr>
              <w:t>146 86</w:t>
            </w:r>
          </w:p>
        </w:tc>
        <w:tc>
          <w:tcPr>
            <w:tcW w:w="1657" w:type="dxa"/>
            <w:shd w:val="clear" w:color="auto" w:fill="auto"/>
          </w:tcPr>
          <w:p w:rsidR="00275265" w:rsidRDefault="00275265" w:rsidP="003F4B71">
            <w:pPr>
              <w:ind w:left="72" w:right="72"/>
              <w:rPr>
                <w:rFonts w:hint="cs"/>
                <w:rtl/>
              </w:rPr>
            </w:pPr>
            <w:r>
              <w:rPr>
                <w:rFonts w:hint="cs"/>
                <w:rtl/>
              </w:rPr>
              <w:t>545 86</w:t>
            </w:r>
          </w:p>
        </w:tc>
      </w:tr>
    </w:tbl>
    <w:p w:rsidR="00277077" w:rsidRPr="00277077" w:rsidRDefault="00277077" w:rsidP="00277077">
      <w:pPr>
        <w:pStyle w:val="SingleTxt"/>
        <w:spacing w:after="0" w:line="120" w:lineRule="exact"/>
        <w:rPr>
          <w:rFonts w:hint="cs"/>
          <w:sz w:val="10"/>
          <w:rtl/>
        </w:rPr>
      </w:pPr>
    </w:p>
    <w:p w:rsidR="00277077" w:rsidRPr="00277077" w:rsidRDefault="00277077" w:rsidP="00277077">
      <w:pPr>
        <w:pStyle w:val="SingleTxt"/>
        <w:spacing w:after="0" w:line="120" w:lineRule="exact"/>
        <w:rPr>
          <w:rFonts w:hint="cs"/>
          <w:sz w:val="10"/>
          <w:rtl/>
        </w:rPr>
      </w:pPr>
    </w:p>
    <w:p w:rsidR="00275265" w:rsidRDefault="00275265" w:rsidP="00277077">
      <w:pPr>
        <w:pStyle w:val="SingleTxt"/>
        <w:spacing w:line="340" w:lineRule="exact"/>
        <w:rPr>
          <w:rFonts w:hint="cs"/>
          <w:rtl/>
        </w:rPr>
      </w:pPr>
      <w:r>
        <w:rPr>
          <w:rFonts w:hint="cs"/>
          <w:rtl/>
        </w:rPr>
        <w:t>الجدول ألف -5-2</w:t>
      </w:r>
    </w:p>
    <w:p w:rsidR="00275265" w:rsidRDefault="00275265" w:rsidP="00277077">
      <w:pPr>
        <w:pStyle w:val="SingleTxt"/>
        <w:spacing w:line="340" w:lineRule="exact"/>
        <w:rPr>
          <w:rFonts w:hint="cs"/>
          <w:b/>
          <w:bCs/>
          <w:rtl/>
        </w:rPr>
      </w:pPr>
      <w:r>
        <w:rPr>
          <w:rFonts w:hint="cs"/>
          <w:b/>
          <w:bCs/>
          <w:rtl/>
        </w:rPr>
        <w:t>ضحايا العنف المنزلي</w:t>
      </w:r>
    </w:p>
    <w:p w:rsidR="00275265" w:rsidRPr="00582F97" w:rsidRDefault="00275265" w:rsidP="00275265">
      <w:pPr>
        <w:pStyle w:val="SingleTxt"/>
        <w:spacing w:after="0" w:line="120" w:lineRule="exact"/>
        <w:rPr>
          <w:rFonts w:hint="cs"/>
          <w:b/>
          <w:bCs/>
          <w:sz w:val="10"/>
          <w:rtl/>
        </w:rPr>
      </w:pPr>
    </w:p>
    <w:tbl>
      <w:tblPr>
        <w:bidiVisual/>
        <w:tblW w:w="77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846"/>
        <w:gridCol w:w="1700"/>
        <w:gridCol w:w="1481"/>
        <w:gridCol w:w="1738"/>
      </w:tblGrid>
      <w:tr w:rsidR="00275265" w:rsidRPr="00582F97">
        <w:tblPrEx>
          <w:tblCellMar>
            <w:top w:w="0" w:type="dxa"/>
            <w:bottom w:w="0" w:type="dxa"/>
          </w:tblCellMar>
        </w:tblPrEx>
        <w:trPr>
          <w:jc w:val="center"/>
        </w:trPr>
        <w:tc>
          <w:tcPr>
            <w:tcW w:w="2846" w:type="dxa"/>
            <w:shd w:val="clear" w:color="auto" w:fill="auto"/>
            <w:tcMar>
              <w:left w:w="0" w:type="dxa"/>
              <w:right w:w="0" w:type="dxa"/>
            </w:tcMar>
          </w:tcPr>
          <w:p w:rsidR="00275265" w:rsidRPr="00582F97" w:rsidRDefault="00275265" w:rsidP="003F4B71">
            <w:pPr>
              <w:ind w:left="72" w:right="72"/>
              <w:rPr>
                <w:rFonts w:hint="cs"/>
                <w:b/>
                <w:bCs/>
                <w:rtl/>
              </w:rPr>
            </w:pPr>
          </w:p>
        </w:tc>
        <w:tc>
          <w:tcPr>
            <w:tcW w:w="1700" w:type="dxa"/>
            <w:shd w:val="clear" w:color="auto" w:fill="auto"/>
          </w:tcPr>
          <w:p w:rsidR="00275265" w:rsidRPr="00582F97" w:rsidRDefault="00275265" w:rsidP="003F4B71">
            <w:pPr>
              <w:ind w:left="72" w:right="72"/>
              <w:rPr>
                <w:rFonts w:hint="cs"/>
                <w:b/>
                <w:bCs/>
                <w:rtl/>
              </w:rPr>
            </w:pPr>
            <w:r w:rsidRPr="00582F97">
              <w:rPr>
                <w:rFonts w:hint="cs"/>
                <w:b/>
                <w:bCs/>
                <w:rtl/>
              </w:rPr>
              <w:t>2000</w:t>
            </w:r>
          </w:p>
        </w:tc>
        <w:tc>
          <w:tcPr>
            <w:tcW w:w="1481" w:type="dxa"/>
            <w:shd w:val="clear" w:color="auto" w:fill="auto"/>
          </w:tcPr>
          <w:p w:rsidR="00275265" w:rsidRPr="00582F97" w:rsidRDefault="00275265" w:rsidP="003F4B71">
            <w:pPr>
              <w:ind w:left="72" w:right="72"/>
              <w:rPr>
                <w:rFonts w:hint="cs"/>
                <w:b/>
                <w:bCs/>
                <w:rtl/>
              </w:rPr>
            </w:pPr>
            <w:r w:rsidRPr="00582F97">
              <w:rPr>
                <w:rFonts w:hint="cs"/>
                <w:b/>
                <w:bCs/>
                <w:rtl/>
              </w:rPr>
              <w:t>2001</w:t>
            </w:r>
          </w:p>
        </w:tc>
        <w:tc>
          <w:tcPr>
            <w:tcW w:w="1738" w:type="dxa"/>
            <w:shd w:val="clear" w:color="auto" w:fill="auto"/>
          </w:tcPr>
          <w:p w:rsidR="00275265" w:rsidRPr="00582F97" w:rsidRDefault="00275265" w:rsidP="003F4B71">
            <w:pPr>
              <w:ind w:left="72" w:right="72"/>
              <w:rPr>
                <w:rFonts w:hint="cs"/>
                <w:b/>
                <w:bCs/>
                <w:rtl/>
              </w:rPr>
            </w:pPr>
            <w:r w:rsidRPr="00582F97">
              <w:rPr>
                <w:rFonts w:hint="cs"/>
                <w:b/>
                <w:bCs/>
                <w:rtl/>
              </w:rPr>
              <w:t>نسبة الانخفاض</w:t>
            </w:r>
          </w:p>
        </w:tc>
      </w:tr>
      <w:tr w:rsidR="00275265">
        <w:tblPrEx>
          <w:tblCellMar>
            <w:top w:w="0" w:type="dxa"/>
            <w:bottom w:w="0" w:type="dxa"/>
          </w:tblCellMar>
        </w:tblPrEx>
        <w:trPr>
          <w:jc w:val="center"/>
        </w:trPr>
        <w:tc>
          <w:tcPr>
            <w:tcW w:w="2846" w:type="dxa"/>
            <w:shd w:val="clear" w:color="auto" w:fill="auto"/>
          </w:tcPr>
          <w:p w:rsidR="00275265" w:rsidRDefault="00275265" w:rsidP="003F4B71">
            <w:pPr>
              <w:ind w:left="72" w:right="72"/>
              <w:jc w:val="left"/>
              <w:rPr>
                <w:rFonts w:hint="cs"/>
                <w:rtl/>
              </w:rPr>
            </w:pPr>
            <w:r>
              <w:rPr>
                <w:rFonts w:hint="cs"/>
                <w:rtl/>
              </w:rPr>
              <w:t>مجموع ضحايا العنف المنزلي</w:t>
            </w:r>
          </w:p>
        </w:tc>
        <w:tc>
          <w:tcPr>
            <w:tcW w:w="1700" w:type="dxa"/>
            <w:shd w:val="clear" w:color="auto" w:fill="auto"/>
          </w:tcPr>
          <w:p w:rsidR="00275265" w:rsidRDefault="00275265" w:rsidP="003F4B71">
            <w:pPr>
              <w:ind w:left="72" w:right="72"/>
              <w:rPr>
                <w:rFonts w:hint="cs"/>
                <w:rtl/>
              </w:rPr>
            </w:pPr>
            <w:r>
              <w:rPr>
                <w:rFonts w:hint="cs"/>
                <w:rtl/>
              </w:rPr>
              <w:t>644 116</w:t>
            </w:r>
          </w:p>
        </w:tc>
        <w:tc>
          <w:tcPr>
            <w:tcW w:w="1481" w:type="dxa"/>
            <w:shd w:val="clear" w:color="auto" w:fill="auto"/>
          </w:tcPr>
          <w:p w:rsidR="00275265" w:rsidRDefault="00275265" w:rsidP="003F4B71">
            <w:pPr>
              <w:ind w:left="72" w:right="72"/>
              <w:rPr>
                <w:rFonts w:hint="cs"/>
                <w:rtl/>
              </w:rPr>
            </w:pPr>
            <w:r>
              <w:rPr>
                <w:rFonts w:hint="cs"/>
                <w:rtl/>
              </w:rPr>
              <w:t>793 113</w:t>
            </w:r>
          </w:p>
        </w:tc>
        <w:tc>
          <w:tcPr>
            <w:tcW w:w="1738" w:type="dxa"/>
            <w:shd w:val="clear" w:color="auto" w:fill="auto"/>
          </w:tcPr>
          <w:p w:rsidR="00275265" w:rsidRPr="00210509" w:rsidRDefault="00275265" w:rsidP="003F4B71">
            <w:pPr>
              <w:ind w:left="72" w:right="72"/>
              <w:rPr>
                <w:rFonts w:cs="Akhbar MT" w:hint="cs"/>
                <w:rtl/>
              </w:rPr>
            </w:pPr>
            <w:r w:rsidRPr="00210509">
              <w:rPr>
                <w:rFonts w:cs="Akhbar MT" w:hint="cs"/>
                <w:rtl/>
              </w:rPr>
              <w:t>2.45</w:t>
            </w:r>
            <w:r w:rsidRPr="002266BE">
              <w:rPr>
                <w:rFonts w:hint="cs"/>
                <w:rtl/>
              </w:rPr>
              <w:t xml:space="preserve"> في المائة</w:t>
            </w:r>
          </w:p>
        </w:tc>
      </w:tr>
      <w:tr w:rsidR="00275265">
        <w:tblPrEx>
          <w:tblCellMar>
            <w:top w:w="0" w:type="dxa"/>
            <w:bottom w:w="0" w:type="dxa"/>
          </w:tblCellMar>
        </w:tblPrEx>
        <w:trPr>
          <w:jc w:val="center"/>
        </w:trPr>
        <w:tc>
          <w:tcPr>
            <w:tcW w:w="2846" w:type="dxa"/>
            <w:shd w:val="clear" w:color="auto" w:fill="auto"/>
          </w:tcPr>
          <w:p w:rsidR="00275265" w:rsidRDefault="00275265" w:rsidP="003F4B71">
            <w:pPr>
              <w:ind w:left="72" w:right="72"/>
              <w:jc w:val="left"/>
              <w:rPr>
                <w:rFonts w:hint="cs"/>
                <w:rtl/>
              </w:rPr>
            </w:pPr>
            <w:r>
              <w:rPr>
                <w:rFonts w:hint="cs"/>
                <w:rtl/>
              </w:rPr>
              <w:t>بمن فيهم النساء</w:t>
            </w:r>
          </w:p>
        </w:tc>
        <w:tc>
          <w:tcPr>
            <w:tcW w:w="1700" w:type="dxa"/>
            <w:shd w:val="clear" w:color="auto" w:fill="auto"/>
          </w:tcPr>
          <w:p w:rsidR="00275265" w:rsidRDefault="00275265" w:rsidP="003F4B71">
            <w:pPr>
              <w:ind w:left="72" w:right="72"/>
              <w:rPr>
                <w:rFonts w:hint="cs"/>
                <w:rtl/>
              </w:rPr>
            </w:pPr>
            <w:r>
              <w:rPr>
                <w:rFonts w:hint="cs"/>
                <w:rtl/>
              </w:rPr>
              <w:t>678 67</w:t>
            </w:r>
          </w:p>
        </w:tc>
        <w:tc>
          <w:tcPr>
            <w:tcW w:w="1481" w:type="dxa"/>
            <w:shd w:val="clear" w:color="auto" w:fill="auto"/>
          </w:tcPr>
          <w:p w:rsidR="00275265" w:rsidRDefault="00275265" w:rsidP="003F4B71">
            <w:pPr>
              <w:ind w:left="72" w:right="72"/>
              <w:rPr>
                <w:rFonts w:hint="cs"/>
                <w:rtl/>
              </w:rPr>
            </w:pPr>
            <w:r>
              <w:rPr>
                <w:rFonts w:hint="cs"/>
                <w:rtl/>
              </w:rPr>
              <w:t>991 66</w:t>
            </w:r>
          </w:p>
        </w:tc>
        <w:tc>
          <w:tcPr>
            <w:tcW w:w="1738" w:type="dxa"/>
            <w:shd w:val="clear" w:color="auto" w:fill="auto"/>
          </w:tcPr>
          <w:p w:rsidR="00275265" w:rsidRPr="002266BE" w:rsidRDefault="00275265" w:rsidP="003F4B71">
            <w:pPr>
              <w:ind w:left="72" w:right="72"/>
              <w:rPr>
                <w:rFonts w:hint="cs"/>
                <w:rtl/>
              </w:rPr>
            </w:pPr>
            <w:r w:rsidRPr="002266BE">
              <w:rPr>
                <w:rFonts w:hint="cs"/>
                <w:rtl/>
              </w:rPr>
              <w:t>1.02 في المائة</w:t>
            </w:r>
          </w:p>
        </w:tc>
      </w:tr>
      <w:tr w:rsidR="00275265">
        <w:tblPrEx>
          <w:tblCellMar>
            <w:top w:w="0" w:type="dxa"/>
            <w:bottom w:w="0" w:type="dxa"/>
          </w:tblCellMar>
        </w:tblPrEx>
        <w:trPr>
          <w:jc w:val="center"/>
        </w:trPr>
        <w:tc>
          <w:tcPr>
            <w:tcW w:w="2846" w:type="dxa"/>
            <w:shd w:val="clear" w:color="auto" w:fill="auto"/>
          </w:tcPr>
          <w:p w:rsidR="00275265" w:rsidRDefault="00275265" w:rsidP="003F4B71">
            <w:pPr>
              <w:ind w:left="72" w:right="72"/>
              <w:jc w:val="left"/>
              <w:rPr>
                <w:rFonts w:hint="cs"/>
                <w:rtl/>
              </w:rPr>
            </w:pPr>
            <w:r>
              <w:rPr>
                <w:rFonts w:hint="cs"/>
                <w:rtl/>
              </w:rPr>
              <w:t>بمن فيهم الرجال</w:t>
            </w:r>
          </w:p>
        </w:tc>
        <w:tc>
          <w:tcPr>
            <w:tcW w:w="1700" w:type="dxa"/>
            <w:shd w:val="clear" w:color="auto" w:fill="auto"/>
          </w:tcPr>
          <w:p w:rsidR="00275265" w:rsidRDefault="00275265" w:rsidP="003F4B71">
            <w:pPr>
              <w:ind w:left="72" w:right="72"/>
              <w:rPr>
                <w:rFonts w:hint="cs"/>
                <w:rtl/>
              </w:rPr>
            </w:pPr>
            <w:r>
              <w:rPr>
                <w:rFonts w:hint="cs"/>
                <w:rtl/>
              </w:rPr>
              <w:t>606 5</w:t>
            </w:r>
          </w:p>
        </w:tc>
        <w:tc>
          <w:tcPr>
            <w:tcW w:w="1481" w:type="dxa"/>
            <w:shd w:val="clear" w:color="auto" w:fill="auto"/>
          </w:tcPr>
          <w:p w:rsidR="00275265" w:rsidRDefault="00275265" w:rsidP="003F4B71">
            <w:pPr>
              <w:ind w:left="72" w:right="72"/>
              <w:rPr>
                <w:rFonts w:hint="cs"/>
                <w:rtl/>
              </w:rPr>
            </w:pPr>
            <w:r>
              <w:rPr>
                <w:rFonts w:hint="cs"/>
                <w:rtl/>
              </w:rPr>
              <w:t>589 5</w:t>
            </w:r>
          </w:p>
        </w:tc>
        <w:tc>
          <w:tcPr>
            <w:tcW w:w="1738" w:type="dxa"/>
            <w:shd w:val="clear" w:color="auto" w:fill="auto"/>
          </w:tcPr>
          <w:p w:rsidR="00275265" w:rsidRPr="002266BE" w:rsidRDefault="00275265" w:rsidP="003F4B71">
            <w:pPr>
              <w:ind w:left="72" w:right="72"/>
              <w:rPr>
                <w:rFonts w:hint="cs"/>
                <w:rtl/>
              </w:rPr>
            </w:pPr>
            <w:r w:rsidRPr="002266BE">
              <w:rPr>
                <w:rFonts w:hint="cs"/>
                <w:rtl/>
              </w:rPr>
              <w:t>0.31 في المائة</w:t>
            </w:r>
          </w:p>
        </w:tc>
      </w:tr>
      <w:tr w:rsidR="00275265">
        <w:tblPrEx>
          <w:tblCellMar>
            <w:top w:w="0" w:type="dxa"/>
            <w:bottom w:w="0" w:type="dxa"/>
          </w:tblCellMar>
        </w:tblPrEx>
        <w:trPr>
          <w:jc w:val="center"/>
        </w:trPr>
        <w:tc>
          <w:tcPr>
            <w:tcW w:w="2846" w:type="dxa"/>
            <w:shd w:val="clear" w:color="auto" w:fill="auto"/>
          </w:tcPr>
          <w:p w:rsidR="00275265" w:rsidRDefault="00275265" w:rsidP="003F4B71">
            <w:pPr>
              <w:ind w:left="72" w:right="72"/>
              <w:jc w:val="left"/>
              <w:rPr>
                <w:rFonts w:hint="cs"/>
                <w:rtl/>
              </w:rPr>
            </w:pPr>
            <w:r>
              <w:rPr>
                <w:rFonts w:hint="cs"/>
                <w:rtl/>
              </w:rPr>
              <w:t>بمن فيهم الأطفال دون سن 13</w:t>
            </w:r>
          </w:p>
        </w:tc>
        <w:tc>
          <w:tcPr>
            <w:tcW w:w="1700" w:type="dxa"/>
            <w:shd w:val="clear" w:color="auto" w:fill="auto"/>
          </w:tcPr>
          <w:p w:rsidR="00275265" w:rsidRDefault="00275265" w:rsidP="003F4B71">
            <w:pPr>
              <w:ind w:left="72" w:right="72"/>
              <w:rPr>
                <w:rFonts w:hint="cs"/>
                <w:rtl/>
              </w:rPr>
            </w:pPr>
            <w:r>
              <w:rPr>
                <w:rFonts w:hint="cs"/>
                <w:rtl/>
              </w:rPr>
              <w:t>820 27</w:t>
            </w:r>
          </w:p>
        </w:tc>
        <w:tc>
          <w:tcPr>
            <w:tcW w:w="1481" w:type="dxa"/>
            <w:shd w:val="clear" w:color="auto" w:fill="auto"/>
          </w:tcPr>
          <w:p w:rsidR="00275265" w:rsidRDefault="00275265" w:rsidP="003F4B71">
            <w:pPr>
              <w:ind w:left="72" w:right="72"/>
              <w:rPr>
                <w:rFonts w:hint="cs"/>
                <w:rtl/>
              </w:rPr>
            </w:pPr>
            <w:r>
              <w:rPr>
                <w:rFonts w:hint="cs"/>
                <w:rtl/>
              </w:rPr>
              <w:t>305 26</w:t>
            </w:r>
          </w:p>
        </w:tc>
        <w:tc>
          <w:tcPr>
            <w:tcW w:w="1738" w:type="dxa"/>
            <w:shd w:val="clear" w:color="auto" w:fill="auto"/>
          </w:tcPr>
          <w:p w:rsidR="00275265" w:rsidRPr="002266BE" w:rsidRDefault="00275265" w:rsidP="003F4B71">
            <w:pPr>
              <w:ind w:left="72" w:right="72"/>
              <w:rPr>
                <w:rFonts w:hint="cs"/>
                <w:rtl/>
              </w:rPr>
            </w:pPr>
            <w:r w:rsidRPr="002266BE">
              <w:rPr>
                <w:rFonts w:hint="cs"/>
                <w:rtl/>
              </w:rPr>
              <w:t>5.45 في المائة</w:t>
            </w:r>
          </w:p>
        </w:tc>
      </w:tr>
      <w:tr w:rsidR="00275265">
        <w:tblPrEx>
          <w:tblCellMar>
            <w:top w:w="0" w:type="dxa"/>
            <w:bottom w:w="0" w:type="dxa"/>
          </w:tblCellMar>
        </w:tblPrEx>
        <w:trPr>
          <w:jc w:val="center"/>
        </w:trPr>
        <w:tc>
          <w:tcPr>
            <w:tcW w:w="2846" w:type="dxa"/>
            <w:shd w:val="clear" w:color="auto" w:fill="auto"/>
          </w:tcPr>
          <w:p w:rsidR="00275265" w:rsidRDefault="00275265" w:rsidP="003F4B71">
            <w:pPr>
              <w:ind w:left="72" w:right="72"/>
              <w:jc w:val="left"/>
              <w:rPr>
                <w:rFonts w:hint="cs"/>
                <w:rtl/>
              </w:rPr>
            </w:pPr>
            <w:r>
              <w:rPr>
                <w:rFonts w:hint="cs"/>
                <w:rtl/>
              </w:rPr>
              <w:t>بمن فيهم المراهقون بين سن 13 وسن 18</w:t>
            </w:r>
          </w:p>
        </w:tc>
        <w:tc>
          <w:tcPr>
            <w:tcW w:w="1700" w:type="dxa"/>
            <w:shd w:val="clear" w:color="auto" w:fill="auto"/>
          </w:tcPr>
          <w:p w:rsidR="00275265" w:rsidRDefault="00275265" w:rsidP="003F4B71">
            <w:pPr>
              <w:ind w:left="72" w:right="72"/>
              <w:rPr>
                <w:rFonts w:hint="cs"/>
                <w:rtl/>
              </w:rPr>
            </w:pPr>
            <w:r>
              <w:rPr>
                <w:rFonts w:hint="cs"/>
                <w:rtl/>
              </w:rPr>
              <w:t>540 15</w:t>
            </w:r>
          </w:p>
        </w:tc>
        <w:tc>
          <w:tcPr>
            <w:tcW w:w="1481" w:type="dxa"/>
            <w:shd w:val="clear" w:color="auto" w:fill="auto"/>
          </w:tcPr>
          <w:p w:rsidR="00275265" w:rsidRDefault="00275265" w:rsidP="003F4B71">
            <w:pPr>
              <w:ind w:left="72" w:right="72"/>
              <w:rPr>
                <w:rFonts w:hint="cs"/>
                <w:rtl/>
              </w:rPr>
            </w:pPr>
            <w:r>
              <w:rPr>
                <w:rFonts w:hint="cs"/>
                <w:rtl/>
              </w:rPr>
              <w:t>908 14</w:t>
            </w:r>
          </w:p>
        </w:tc>
        <w:tc>
          <w:tcPr>
            <w:tcW w:w="1738" w:type="dxa"/>
            <w:shd w:val="clear" w:color="auto" w:fill="auto"/>
          </w:tcPr>
          <w:p w:rsidR="00275265" w:rsidRPr="002266BE" w:rsidRDefault="00275265" w:rsidP="003F4B71">
            <w:pPr>
              <w:ind w:left="72" w:right="72"/>
              <w:rPr>
                <w:rFonts w:hint="cs"/>
                <w:rtl/>
              </w:rPr>
            </w:pPr>
            <w:r w:rsidRPr="002266BE">
              <w:rPr>
                <w:rFonts w:hint="cs"/>
                <w:rtl/>
              </w:rPr>
              <w:t>4.17 في المائة</w:t>
            </w:r>
          </w:p>
        </w:tc>
      </w:tr>
    </w:tbl>
    <w:p w:rsidR="003F4B71" w:rsidRDefault="003F4B71" w:rsidP="00275265">
      <w:pPr>
        <w:pStyle w:val="SingleTxt"/>
        <w:rPr>
          <w:rFonts w:hint="cs"/>
          <w:rtl/>
        </w:rPr>
      </w:pPr>
    </w:p>
    <w:p w:rsidR="00275265" w:rsidRDefault="00275265" w:rsidP="00277077">
      <w:pPr>
        <w:pStyle w:val="SingleTxt"/>
        <w:spacing w:line="340" w:lineRule="exact"/>
        <w:rPr>
          <w:rFonts w:hint="cs"/>
          <w:rtl/>
        </w:rPr>
      </w:pPr>
      <w:r>
        <w:rPr>
          <w:rFonts w:hint="cs"/>
          <w:rtl/>
        </w:rPr>
        <w:t>الجدول ألف -6-1</w:t>
      </w:r>
    </w:p>
    <w:p w:rsidR="00275265" w:rsidRDefault="00275265" w:rsidP="00277077">
      <w:pPr>
        <w:pStyle w:val="SingleTxt"/>
        <w:spacing w:line="340" w:lineRule="exact"/>
        <w:rPr>
          <w:rFonts w:hint="cs"/>
          <w:b/>
          <w:bCs/>
          <w:rtl/>
        </w:rPr>
      </w:pPr>
      <w:r>
        <w:rPr>
          <w:rFonts w:hint="cs"/>
          <w:b/>
          <w:bCs/>
          <w:rtl/>
        </w:rPr>
        <w:t>الإجراءات المتخذة في حالات الدعارة والاتجار بالأشخاص</w:t>
      </w:r>
    </w:p>
    <w:p w:rsidR="00275265" w:rsidRPr="00EE71CB" w:rsidRDefault="00275265" w:rsidP="00275265">
      <w:pPr>
        <w:pStyle w:val="SingleTxt"/>
        <w:spacing w:after="0" w:line="120" w:lineRule="exact"/>
        <w:rPr>
          <w:rFonts w:hint="cs"/>
          <w:b/>
          <w:bCs/>
          <w:sz w:val="10"/>
          <w:rtl/>
        </w:rPr>
      </w:pPr>
    </w:p>
    <w:tbl>
      <w:tblPr>
        <w:bidiVisual/>
        <w:tblW w:w="9844" w:type="dxa"/>
        <w:jc w:val="center"/>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038"/>
        <w:gridCol w:w="618"/>
        <w:gridCol w:w="618"/>
        <w:gridCol w:w="618"/>
        <w:gridCol w:w="618"/>
        <w:gridCol w:w="618"/>
        <w:gridCol w:w="594"/>
        <w:gridCol w:w="721"/>
        <w:gridCol w:w="721"/>
        <w:gridCol w:w="721"/>
        <w:gridCol w:w="721"/>
        <w:gridCol w:w="618"/>
        <w:gridCol w:w="620"/>
      </w:tblGrid>
      <w:tr w:rsidR="00275265">
        <w:tblPrEx>
          <w:tblCellMar>
            <w:top w:w="0" w:type="dxa"/>
            <w:bottom w:w="0" w:type="dxa"/>
          </w:tblCellMar>
        </w:tblPrEx>
        <w:trPr>
          <w:jc w:val="center"/>
        </w:trPr>
        <w:tc>
          <w:tcPr>
            <w:tcW w:w="2038" w:type="dxa"/>
            <w:shd w:val="clear" w:color="auto" w:fill="auto"/>
            <w:tcMar>
              <w:left w:w="0" w:type="dxa"/>
              <w:right w:w="0" w:type="dxa"/>
            </w:tcMar>
          </w:tcPr>
          <w:p w:rsidR="00275265" w:rsidRPr="00210509" w:rsidRDefault="00275265" w:rsidP="003F4B71">
            <w:pPr>
              <w:ind w:left="58" w:right="58"/>
              <w:jc w:val="center"/>
              <w:rPr>
                <w:rFonts w:hint="cs"/>
                <w:b/>
                <w:bCs/>
                <w:rtl/>
              </w:rPr>
            </w:pPr>
            <w:r w:rsidRPr="00210509">
              <w:rPr>
                <w:rFonts w:hint="cs"/>
                <w:b/>
                <w:bCs/>
                <w:rtl/>
              </w:rPr>
              <w:t>المؤهلات القانونية</w:t>
            </w:r>
          </w:p>
        </w:tc>
        <w:tc>
          <w:tcPr>
            <w:tcW w:w="2472" w:type="dxa"/>
            <w:gridSpan w:val="4"/>
            <w:shd w:val="clear" w:color="auto" w:fill="auto"/>
          </w:tcPr>
          <w:p w:rsidR="00275265" w:rsidRPr="00210509" w:rsidRDefault="00275265" w:rsidP="003F4B71">
            <w:pPr>
              <w:ind w:left="58" w:right="58"/>
              <w:jc w:val="center"/>
              <w:rPr>
                <w:rFonts w:hint="cs"/>
                <w:b/>
                <w:bCs/>
                <w:rtl/>
              </w:rPr>
            </w:pPr>
            <w:r w:rsidRPr="00210509">
              <w:rPr>
                <w:rFonts w:hint="cs"/>
                <w:b/>
                <w:bCs/>
                <w:rtl/>
              </w:rPr>
              <w:t>بدء الإجراءات</w:t>
            </w:r>
          </w:p>
        </w:tc>
        <w:tc>
          <w:tcPr>
            <w:tcW w:w="2654" w:type="dxa"/>
            <w:gridSpan w:val="4"/>
            <w:shd w:val="clear" w:color="auto" w:fill="auto"/>
          </w:tcPr>
          <w:p w:rsidR="00275265" w:rsidRPr="00210509" w:rsidRDefault="00275265" w:rsidP="003F4B71">
            <w:pPr>
              <w:ind w:left="58" w:right="58"/>
              <w:jc w:val="center"/>
              <w:rPr>
                <w:rFonts w:hint="cs"/>
                <w:b/>
                <w:bCs/>
                <w:rtl/>
              </w:rPr>
            </w:pPr>
            <w:r w:rsidRPr="00210509">
              <w:rPr>
                <w:rFonts w:hint="cs"/>
                <w:b/>
                <w:bCs/>
                <w:rtl/>
              </w:rPr>
              <w:t>اختتام الإجراءات</w:t>
            </w:r>
          </w:p>
        </w:tc>
        <w:tc>
          <w:tcPr>
            <w:tcW w:w="2680" w:type="dxa"/>
            <w:gridSpan w:val="4"/>
            <w:shd w:val="clear" w:color="auto" w:fill="auto"/>
          </w:tcPr>
          <w:p w:rsidR="00275265" w:rsidRPr="00210509" w:rsidRDefault="00275265" w:rsidP="003F4B71">
            <w:pPr>
              <w:ind w:left="58" w:right="58"/>
              <w:jc w:val="center"/>
              <w:rPr>
                <w:rFonts w:hint="cs"/>
                <w:b/>
                <w:bCs/>
                <w:rtl/>
              </w:rPr>
            </w:pPr>
            <w:r w:rsidRPr="00210509">
              <w:rPr>
                <w:rFonts w:hint="cs"/>
                <w:b/>
                <w:bCs/>
                <w:rtl/>
              </w:rPr>
              <w:t>إثبات الجرائم</w:t>
            </w:r>
          </w:p>
        </w:tc>
      </w:tr>
      <w:tr w:rsidR="00275265">
        <w:tblPrEx>
          <w:tblCellMar>
            <w:top w:w="0" w:type="dxa"/>
            <w:bottom w:w="0" w:type="dxa"/>
          </w:tblCellMar>
        </w:tblPrEx>
        <w:trPr>
          <w:jc w:val="center"/>
        </w:trPr>
        <w:tc>
          <w:tcPr>
            <w:tcW w:w="2038" w:type="dxa"/>
            <w:shd w:val="clear" w:color="auto" w:fill="auto"/>
          </w:tcPr>
          <w:p w:rsidR="00275265" w:rsidRPr="00210509" w:rsidRDefault="00275265" w:rsidP="003F4B71">
            <w:pPr>
              <w:ind w:left="58" w:right="58"/>
              <w:rPr>
                <w:rFonts w:hint="cs"/>
                <w:b/>
                <w:bCs/>
                <w:sz w:val="26"/>
                <w:szCs w:val="26"/>
                <w:rtl/>
              </w:rPr>
            </w:pPr>
          </w:p>
        </w:tc>
        <w:tc>
          <w:tcPr>
            <w:tcW w:w="618" w:type="dxa"/>
            <w:shd w:val="clear" w:color="auto" w:fill="auto"/>
          </w:tcPr>
          <w:p w:rsidR="00275265" w:rsidRPr="00210509" w:rsidRDefault="00275265" w:rsidP="003F4B71">
            <w:pPr>
              <w:ind w:left="29" w:right="29"/>
              <w:rPr>
                <w:rFonts w:hint="cs"/>
                <w:sz w:val="26"/>
                <w:szCs w:val="26"/>
                <w:rtl/>
              </w:rPr>
            </w:pPr>
            <w:r w:rsidRPr="00210509">
              <w:rPr>
                <w:rFonts w:hint="cs"/>
                <w:sz w:val="26"/>
                <w:szCs w:val="26"/>
                <w:rtl/>
              </w:rPr>
              <w:t>1999</w:t>
            </w:r>
          </w:p>
        </w:tc>
        <w:tc>
          <w:tcPr>
            <w:tcW w:w="618" w:type="dxa"/>
            <w:shd w:val="clear" w:color="auto" w:fill="auto"/>
          </w:tcPr>
          <w:p w:rsidR="00275265" w:rsidRPr="00210509" w:rsidRDefault="00275265" w:rsidP="003F4B71">
            <w:pPr>
              <w:ind w:left="29" w:right="29"/>
              <w:rPr>
                <w:rFonts w:hint="cs"/>
                <w:sz w:val="26"/>
                <w:szCs w:val="26"/>
                <w:rtl/>
              </w:rPr>
            </w:pPr>
            <w:r w:rsidRPr="00210509">
              <w:rPr>
                <w:rFonts w:hint="cs"/>
                <w:sz w:val="26"/>
                <w:szCs w:val="26"/>
                <w:rtl/>
              </w:rPr>
              <w:t>2000</w:t>
            </w:r>
          </w:p>
        </w:tc>
        <w:tc>
          <w:tcPr>
            <w:tcW w:w="618" w:type="dxa"/>
            <w:shd w:val="clear" w:color="auto" w:fill="auto"/>
          </w:tcPr>
          <w:p w:rsidR="00275265" w:rsidRPr="00210509" w:rsidRDefault="00275265" w:rsidP="003F4B71">
            <w:pPr>
              <w:ind w:left="29" w:right="29"/>
              <w:rPr>
                <w:rFonts w:hint="cs"/>
                <w:sz w:val="26"/>
                <w:szCs w:val="26"/>
                <w:rtl/>
              </w:rPr>
            </w:pPr>
            <w:r w:rsidRPr="00210509">
              <w:rPr>
                <w:rFonts w:hint="cs"/>
                <w:sz w:val="26"/>
                <w:szCs w:val="26"/>
                <w:rtl/>
              </w:rPr>
              <w:t>2001</w:t>
            </w:r>
          </w:p>
        </w:tc>
        <w:tc>
          <w:tcPr>
            <w:tcW w:w="618" w:type="dxa"/>
            <w:shd w:val="clear" w:color="auto" w:fill="auto"/>
          </w:tcPr>
          <w:p w:rsidR="00275265" w:rsidRPr="00210509" w:rsidRDefault="00275265" w:rsidP="003F4B71">
            <w:pPr>
              <w:ind w:left="29" w:right="29"/>
              <w:rPr>
                <w:rFonts w:hint="cs"/>
                <w:sz w:val="26"/>
                <w:szCs w:val="26"/>
                <w:rtl/>
              </w:rPr>
            </w:pPr>
            <w:r w:rsidRPr="00210509">
              <w:rPr>
                <w:rFonts w:hint="cs"/>
                <w:sz w:val="26"/>
                <w:szCs w:val="26"/>
                <w:rtl/>
              </w:rPr>
              <w:t>2002</w:t>
            </w:r>
          </w:p>
        </w:tc>
        <w:tc>
          <w:tcPr>
            <w:tcW w:w="618" w:type="dxa"/>
            <w:shd w:val="clear" w:color="auto" w:fill="auto"/>
          </w:tcPr>
          <w:p w:rsidR="00275265" w:rsidRPr="00210509" w:rsidRDefault="00275265" w:rsidP="003F4B71">
            <w:pPr>
              <w:ind w:left="29" w:right="29"/>
              <w:rPr>
                <w:rFonts w:hint="cs"/>
                <w:sz w:val="26"/>
                <w:szCs w:val="26"/>
                <w:rtl/>
              </w:rPr>
            </w:pPr>
            <w:r w:rsidRPr="00210509">
              <w:rPr>
                <w:rFonts w:hint="cs"/>
                <w:sz w:val="26"/>
                <w:szCs w:val="26"/>
                <w:rtl/>
              </w:rPr>
              <w:t>1999</w:t>
            </w:r>
          </w:p>
        </w:tc>
        <w:tc>
          <w:tcPr>
            <w:tcW w:w="594" w:type="dxa"/>
            <w:shd w:val="clear" w:color="auto" w:fill="auto"/>
          </w:tcPr>
          <w:p w:rsidR="00275265" w:rsidRPr="00210509" w:rsidRDefault="00275265" w:rsidP="003F4B71">
            <w:pPr>
              <w:ind w:left="29" w:right="29"/>
              <w:rPr>
                <w:rFonts w:hint="cs"/>
                <w:sz w:val="26"/>
                <w:szCs w:val="26"/>
                <w:rtl/>
              </w:rPr>
            </w:pPr>
            <w:r w:rsidRPr="00210509">
              <w:rPr>
                <w:rFonts w:hint="cs"/>
                <w:sz w:val="26"/>
                <w:szCs w:val="26"/>
                <w:rtl/>
              </w:rPr>
              <w:t>2000</w:t>
            </w:r>
          </w:p>
        </w:tc>
        <w:tc>
          <w:tcPr>
            <w:tcW w:w="721" w:type="dxa"/>
            <w:shd w:val="clear" w:color="auto" w:fill="auto"/>
          </w:tcPr>
          <w:p w:rsidR="00275265" w:rsidRPr="00210509" w:rsidRDefault="00275265" w:rsidP="003F4B71">
            <w:pPr>
              <w:ind w:left="29" w:right="29"/>
              <w:rPr>
                <w:rFonts w:hint="cs"/>
                <w:sz w:val="26"/>
                <w:szCs w:val="26"/>
                <w:rtl/>
              </w:rPr>
            </w:pPr>
            <w:r w:rsidRPr="00210509">
              <w:rPr>
                <w:rFonts w:hint="cs"/>
                <w:sz w:val="26"/>
                <w:szCs w:val="26"/>
                <w:rtl/>
              </w:rPr>
              <w:t>2001</w:t>
            </w:r>
          </w:p>
        </w:tc>
        <w:tc>
          <w:tcPr>
            <w:tcW w:w="721" w:type="dxa"/>
            <w:shd w:val="clear" w:color="auto" w:fill="auto"/>
          </w:tcPr>
          <w:p w:rsidR="00275265" w:rsidRPr="00210509" w:rsidRDefault="00275265" w:rsidP="003F4B71">
            <w:pPr>
              <w:ind w:left="29" w:right="29"/>
              <w:rPr>
                <w:rFonts w:hint="cs"/>
                <w:sz w:val="26"/>
                <w:szCs w:val="26"/>
                <w:rtl/>
              </w:rPr>
            </w:pPr>
            <w:r w:rsidRPr="00210509">
              <w:rPr>
                <w:rFonts w:hint="cs"/>
                <w:sz w:val="26"/>
                <w:szCs w:val="26"/>
                <w:rtl/>
              </w:rPr>
              <w:t>2002</w:t>
            </w:r>
          </w:p>
        </w:tc>
        <w:tc>
          <w:tcPr>
            <w:tcW w:w="721" w:type="dxa"/>
            <w:shd w:val="clear" w:color="auto" w:fill="auto"/>
          </w:tcPr>
          <w:p w:rsidR="00275265" w:rsidRPr="00210509" w:rsidRDefault="00275265" w:rsidP="003F4B71">
            <w:pPr>
              <w:ind w:left="29" w:right="29"/>
              <w:rPr>
                <w:rFonts w:hint="cs"/>
                <w:sz w:val="26"/>
                <w:szCs w:val="26"/>
                <w:rtl/>
              </w:rPr>
            </w:pPr>
            <w:r w:rsidRPr="00210509">
              <w:rPr>
                <w:rFonts w:hint="cs"/>
                <w:sz w:val="26"/>
                <w:szCs w:val="26"/>
                <w:rtl/>
              </w:rPr>
              <w:t>1999</w:t>
            </w:r>
          </w:p>
        </w:tc>
        <w:tc>
          <w:tcPr>
            <w:tcW w:w="721" w:type="dxa"/>
            <w:shd w:val="clear" w:color="auto" w:fill="auto"/>
          </w:tcPr>
          <w:p w:rsidR="00275265" w:rsidRPr="00210509" w:rsidRDefault="00275265" w:rsidP="003F4B71">
            <w:pPr>
              <w:ind w:left="29" w:right="29"/>
              <w:rPr>
                <w:rFonts w:hint="cs"/>
                <w:sz w:val="26"/>
                <w:szCs w:val="26"/>
                <w:rtl/>
              </w:rPr>
            </w:pPr>
            <w:r w:rsidRPr="00210509">
              <w:rPr>
                <w:rFonts w:hint="cs"/>
                <w:sz w:val="26"/>
                <w:szCs w:val="26"/>
                <w:rtl/>
              </w:rPr>
              <w:t>2000</w:t>
            </w:r>
          </w:p>
        </w:tc>
        <w:tc>
          <w:tcPr>
            <w:tcW w:w="618" w:type="dxa"/>
            <w:shd w:val="clear" w:color="auto" w:fill="auto"/>
          </w:tcPr>
          <w:p w:rsidR="00275265" w:rsidRPr="00210509" w:rsidRDefault="00275265" w:rsidP="003F4B71">
            <w:pPr>
              <w:ind w:left="29" w:right="29"/>
              <w:rPr>
                <w:rFonts w:hint="cs"/>
                <w:sz w:val="26"/>
                <w:szCs w:val="26"/>
                <w:rtl/>
              </w:rPr>
            </w:pPr>
            <w:r w:rsidRPr="00210509">
              <w:rPr>
                <w:rFonts w:hint="cs"/>
                <w:sz w:val="26"/>
                <w:szCs w:val="26"/>
                <w:rtl/>
              </w:rPr>
              <w:t>2001</w:t>
            </w:r>
          </w:p>
        </w:tc>
        <w:tc>
          <w:tcPr>
            <w:tcW w:w="620" w:type="dxa"/>
            <w:shd w:val="clear" w:color="auto" w:fill="auto"/>
          </w:tcPr>
          <w:p w:rsidR="00275265" w:rsidRPr="00210509" w:rsidRDefault="00275265" w:rsidP="003F4B71">
            <w:pPr>
              <w:ind w:left="29" w:right="29"/>
              <w:rPr>
                <w:rFonts w:hint="cs"/>
                <w:sz w:val="26"/>
                <w:szCs w:val="26"/>
                <w:rtl/>
              </w:rPr>
            </w:pPr>
            <w:r w:rsidRPr="00210509">
              <w:rPr>
                <w:rFonts w:hint="cs"/>
                <w:sz w:val="26"/>
                <w:szCs w:val="26"/>
                <w:rtl/>
              </w:rPr>
              <w:t>2002</w:t>
            </w:r>
          </w:p>
        </w:tc>
      </w:tr>
      <w:tr w:rsidR="00275265">
        <w:tblPrEx>
          <w:tblCellMar>
            <w:top w:w="0" w:type="dxa"/>
            <w:bottom w:w="0" w:type="dxa"/>
          </w:tblCellMar>
        </w:tblPrEx>
        <w:trPr>
          <w:jc w:val="center"/>
        </w:trPr>
        <w:tc>
          <w:tcPr>
            <w:tcW w:w="2038" w:type="dxa"/>
            <w:shd w:val="clear" w:color="auto" w:fill="auto"/>
          </w:tcPr>
          <w:p w:rsidR="00275265" w:rsidRPr="00EE71CB" w:rsidRDefault="00275265" w:rsidP="003F4B71">
            <w:pPr>
              <w:spacing w:line="340" w:lineRule="exact"/>
              <w:ind w:left="58" w:right="58"/>
              <w:jc w:val="left"/>
              <w:rPr>
                <w:rFonts w:hint="cs"/>
                <w:sz w:val="26"/>
                <w:szCs w:val="26"/>
                <w:rtl/>
              </w:rPr>
            </w:pPr>
            <w:r w:rsidRPr="00EE71CB">
              <w:rPr>
                <w:rFonts w:hint="cs"/>
                <w:sz w:val="26"/>
                <w:szCs w:val="26"/>
                <w:rtl/>
              </w:rPr>
              <w:t>الاختطاف لغرض الإكراه على ممارسة الدعارة في الخارج (المادة 204</w:t>
            </w:r>
            <w:r w:rsidR="003F4B71">
              <w:rPr>
                <w:rFonts w:hint="cs"/>
                <w:sz w:val="26"/>
                <w:szCs w:val="26"/>
                <w:rtl/>
              </w:rPr>
              <w:t xml:space="preserve"> من القانون الجنائي</w:t>
            </w:r>
            <w:r w:rsidRPr="00EE71CB">
              <w:rPr>
                <w:rFonts w:hint="cs"/>
                <w:sz w:val="26"/>
                <w:szCs w:val="26"/>
                <w:rtl/>
              </w:rPr>
              <w:t>)</w:t>
            </w:r>
          </w:p>
        </w:tc>
        <w:tc>
          <w:tcPr>
            <w:tcW w:w="618" w:type="dxa"/>
            <w:shd w:val="clear" w:color="auto" w:fill="auto"/>
            <w:vAlign w:val="bottom"/>
          </w:tcPr>
          <w:p w:rsidR="00275265" w:rsidRPr="00210509" w:rsidRDefault="00275265" w:rsidP="003F4B71">
            <w:pPr>
              <w:spacing w:line="340" w:lineRule="exact"/>
              <w:ind w:left="29" w:right="29"/>
              <w:jc w:val="left"/>
              <w:rPr>
                <w:rFonts w:hint="cs"/>
                <w:sz w:val="28"/>
                <w:szCs w:val="28"/>
                <w:rtl/>
              </w:rPr>
            </w:pPr>
            <w:r w:rsidRPr="00210509">
              <w:rPr>
                <w:rFonts w:hint="cs"/>
                <w:sz w:val="28"/>
                <w:szCs w:val="28"/>
                <w:rtl/>
              </w:rPr>
              <w:t>55</w:t>
            </w:r>
          </w:p>
        </w:tc>
        <w:tc>
          <w:tcPr>
            <w:tcW w:w="618" w:type="dxa"/>
            <w:shd w:val="clear" w:color="auto" w:fill="auto"/>
            <w:vAlign w:val="bottom"/>
          </w:tcPr>
          <w:p w:rsidR="00275265" w:rsidRPr="00210509" w:rsidRDefault="00275265" w:rsidP="003F4B71">
            <w:pPr>
              <w:spacing w:line="340" w:lineRule="exact"/>
              <w:ind w:left="29" w:right="29"/>
              <w:jc w:val="left"/>
              <w:rPr>
                <w:rFonts w:hint="cs"/>
                <w:sz w:val="28"/>
                <w:szCs w:val="28"/>
                <w:rtl/>
              </w:rPr>
            </w:pPr>
            <w:r w:rsidRPr="00210509">
              <w:rPr>
                <w:rFonts w:hint="cs"/>
                <w:sz w:val="28"/>
                <w:szCs w:val="28"/>
                <w:rtl/>
              </w:rPr>
              <w:t>33</w:t>
            </w:r>
          </w:p>
        </w:tc>
        <w:tc>
          <w:tcPr>
            <w:tcW w:w="618" w:type="dxa"/>
            <w:shd w:val="clear" w:color="auto" w:fill="auto"/>
            <w:vAlign w:val="bottom"/>
          </w:tcPr>
          <w:p w:rsidR="00275265" w:rsidRPr="00210509" w:rsidRDefault="00275265" w:rsidP="003F4B71">
            <w:pPr>
              <w:spacing w:line="340" w:lineRule="exact"/>
              <w:ind w:left="29" w:right="29"/>
              <w:jc w:val="left"/>
              <w:rPr>
                <w:rFonts w:hint="cs"/>
                <w:sz w:val="28"/>
                <w:szCs w:val="28"/>
                <w:rtl/>
              </w:rPr>
            </w:pPr>
            <w:r w:rsidRPr="00210509">
              <w:rPr>
                <w:rFonts w:hint="cs"/>
                <w:sz w:val="28"/>
                <w:szCs w:val="28"/>
                <w:rtl/>
              </w:rPr>
              <w:t>10</w:t>
            </w:r>
          </w:p>
        </w:tc>
        <w:tc>
          <w:tcPr>
            <w:tcW w:w="618" w:type="dxa"/>
            <w:shd w:val="clear" w:color="auto" w:fill="auto"/>
            <w:vAlign w:val="bottom"/>
          </w:tcPr>
          <w:p w:rsidR="00275265" w:rsidRPr="00210509" w:rsidRDefault="00275265" w:rsidP="003F4B71">
            <w:pPr>
              <w:spacing w:line="340" w:lineRule="exact"/>
              <w:ind w:left="29" w:right="29"/>
              <w:jc w:val="left"/>
              <w:rPr>
                <w:rFonts w:hint="cs"/>
                <w:sz w:val="28"/>
                <w:szCs w:val="28"/>
                <w:rtl/>
              </w:rPr>
            </w:pPr>
            <w:r w:rsidRPr="00210509">
              <w:rPr>
                <w:rFonts w:hint="cs"/>
                <w:sz w:val="28"/>
                <w:szCs w:val="28"/>
                <w:rtl/>
              </w:rPr>
              <w:t>55</w:t>
            </w:r>
          </w:p>
        </w:tc>
        <w:tc>
          <w:tcPr>
            <w:tcW w:w="618" w:type="dxa"/>
            <w:shd w:val="clear" w:color="auto" w:fill="auto"/>
            <w:vAlign w:val="bottom"/>
          </w:tcPr>
          <w:p w:rsidR="00275265" w:rsidRPr="00210509" w:rsidRDefault="00275265" w:rsidP="003F4B71">
            <w:pPr>
              <w:spacing w:line="340" w:lineRule="exact"/>
              <w:ind w:left="29" w:right="29"/>
              <w:jc w:val="left"/>
              <w:rPr>
                <w:rFonts w:hint="cs"/>
                <w:sz w:val="28"/>
                <w:szCs w:val="28"/>
                <w:rtl/>
              </w:rPr>
            </w:pPr>
            <w:r w:rsidRPr="00210509">
              <w:rPr>
                <w:rFonts w:hint="cs"/>
                <w:sz w:val="28"/>
                <w:szCs w:val="28"/>
                <w:rtl/>
              </w:rPr>
              <w:t>112</w:t>
            </w:r>
          </w:p>
        </w:tc>
        <w:tc>
          <w:tcPr>
            <w:tcW w:w="594" w:type="dxa"/>
            <w:shd w:val="clear" w:color="auto" w:fill="auto"/>
            <w:vAlign w:val="bottom"/>
          </w:tcPr>
          <w:p w:rsidR="00275265" w:rsidRPr="00210509" w:rsidRDefault="00275265" w:rsidP="003F4B71">
            <w:pPr>
              <w:spacing w:line="340" w:lineRule="exact"/>
              <w:ind w:left="29" w:right="29"/>
              <w:jc w:val="left"/>
              <w:rPr>
                <w:rFonts w:hint="cs"/>
                <w:sz w:val="28"/>
                <w:szCs w:val="28"/>
                <w:rtl/>
              </w:rPr>
            </w:pPr>
            <w:r w:rsidRPr="00210509">
              <w:rPr>
                <w:rFonts w:hint="cs"/>
                <w:sz w:val="28"/>
                <w:szCs w:val="28"/>
                <w:rtl/>
              </w:rPr>
              <w:t>77</w:t>
            </w:r>
          </w:p>
        </w:tc>
        <w:tc>
          <w:tcPr>
            <w:tcW w:w="721" w:type="dxa"/>
            <w:shd w:val="clear" w:color="auto" w:fill="auto"/>
            <w:vAlign w:val="bottom"/>
          </w:tcPr>
          <w:p w:rsidR="00275265" w:rsidRPr="00210509" w:rsidRDefault="00275265" w:rsidP="003F4B71">
            <w:pPr>
              <w:spacing w:line="340" w:lineRule="exact"/>
              <w:ind w:left="29" w:right="29"/>
              <w:jc w:val="left"/>
              <w:rPr>
                <w:rFonts w:hint="cs"/>
                <w:sz w:val="28"/>
                <w:szCs w:val="28"/>
                <w:rtl/>
              </w:rPr>
            </w:pPr>
            <w:r w:rsidRPr="00210509">
              <w:rPr>
                <w:rFonts w:hint="cs"/>
                <w:sz w:val="28"/>
                <w:szCs w:val="28"/>
                <w:rtl/>
              </w:rPr>
              <w:t>66</w:t>
            </w:r>
          </w:p>
        </w:tc>
        <w:tc>
          <w:tcPr>
            <w:tcW w:w="721" w:type="dxa"/>
            <w:shd w:val="clear" w:color="auto" w:fill="auto"/>
            <w:vAlign w:val="bottom"/>
          </w:tcPr>
          <w:p w:rsidR="00275265" w:rsidRPr="00210509" w:rsidRDefault="00275265" w:rsidP="003F4B71">
            <w:pPr>
              <w:spacing w:line="340" w:lineRule="exact"/>
              <w:ind w:left="29" w:right="29"/>
              <w:jc w:val="left"/>
              <w:rPr>
                <w:rFonts w:hint="cs"/>
                <w:sz w:val="28"/>
                <w:szCs w:val="28"/>
                <w:rtl/>
              </w:rPr>
            </w:pPr>
            <w:r w:rsidRPr="00210509">
              <w:rPr>
                <w:rFonts w:hint="cs"/>
                <w:sz w:val="28"/>
                <w:szCs w:val="28"/>
                <w:rtl/>
              </w:rPr>
              <w:t>99</w:t>
            </w:r>
          </w:p>
        </w:tc>
        <w:tc>
          <w:tcPr>
            <w:tcW w:w="721" w:type="dxa"/>
            <w:shd w:val="clear" w:color="auto" w:fill="auto"/>
            <w:vAlign w:val="bottom"/>
          </w:tcPr>
          <w:p w:rsidR="00275265" w:rsidRPr="00210509" w:rsidRDefault="00275265" w:rsidP="003F4B71">
            <w:pPr>
              <w:spacing w:line="340" w:lineRule="exact"/>
              <w:ind w:left="29" w:right="29"/>
              <w:jc w:val="left"/>
              <w:rPr>
                <w:rFonts w:hint="cs"/>
                <w:sz w:val="28"/>
                <w:szCs w:val="28"/>
                <w:rtl/>
              </w:rPr>
            </w:pPr>
            <w:r w:rsidRPr="00210509">
              <w:rPr>
                <w:rFonts w:hint="cs"/>
                <w:sz w:val="28"/>
                <w:szCs w:val="28"/>
                <w:rtl/>
              </w:rPr>
              <w:t>33</w:t>
            </w:r>
          </w:p>
        </w:tc>
        <w:tc>
          <w:tcPr>
            <w:tcW w:w="721" w:type="dxa"/>
            <w:shd w:val="clear" w:color="auto" w:fill="auto"/>
            <w:vAlign w:val="bottom"/>
          </w:tcPr>
          <w:p w:rsidR="00275265" w:rsidRPr="00210509" w:rsidRDefault="00275265" w:rsidP="003F4B71">
            <w:pPr>
              <w:spacing w:line="340" w:lineRule="exact"/>
              <w:ind w:left="29" w:right="29"/>
              <w:jc w:val="left"/>
              <w:rPr>
                <w:rFonts w:hint="cs"/>
                <w:sz w:val="28"/>
                <w:szCs w:val="28"/>
                <w:rtl/>
              </w:rPr>
            </w:pPr>
            <w:r w:rsidRPr="00210509">
              <w:rPr>
                <w:rFonts w:hint="cs"/>
                <w:sz w:val="28"/>
                <w:szCs w:val="28"/>
                <w:rtl/>
              </w:rPr>
              <w:t>66</w:t>
            </w:r>
          </w:p>
        </w:tc>
        <w:tc>
          <w:tcPr>
            <w:tcW w:w="618" w:type="dxa"/>
            <w:shd w:val="clear" w:color="auto" w:fill="auto"/>
            <w:vAlign w:val="bottom"/>
          </w:tcPr>
          <w:p w:rsidR="00275265" w:rsidRPr="00210509" w:rsidRDefault="00275265" w:rsidP="003F4B71">
            <w:pPr>
              <w:spacing w:line="340" w:lineRule="exact"/>
              <w:ind w:left="29" w:right="29"/>
              <w:jc w:val="left"/>
              <w:rPr>
                <w:rFonts w:hint="cs"/>
                <w:sz w:val="28"/>
                <w:szCs w:val="28"/>
                <w:rtl/>
              </w:rPr>
            </w:pPr>
            <w:r w:rsidRPr="00210509">
              <w:rPr>
                <w:rFonts w:hint="cs"/>
                <w:sz w:val="28"/>
                <w:szCs w:val="28"/>
                <w:rtl/>
              </w:rPr>
              <w:t>110</w:t>
            </w:r>
          </w:p>
        </w:tc>
        <w:tc>
          <w:tcPr>
            <w:tcW w:w="620" w:type="dxa"/>
            <w:shd w:val="clear" w:color="auto" w:fill="auto"/>
            <w:vAlign w:val="bottom"/>
          </w:tcPr>
          <w:p w:rsidR="00275265" w:rsidRPr="00210509" w:rsidRDefault="00275265" w:rsidP="003F4B71">
            <w:pPr>
              <w:spacing w:line="340" w:lineRule="exact"/>
              <w:ind w:left="29" w:right="29"/>
              <w:jc w:val="left"/>
              <w:rPr>
                <w:rFonts w:hint="cs"/>
                <w:sz w:val="28"/>
                <w:szCs w:val="28"/>
                <w:rtl/>
              </w:rPr>
            </w:pPr>
            <w:r w:rsidRPr="00210509">
              <w:rPr>
                <w:rFonts w:hint="cs"/>
                <w:sz w:val="28"/>
                <w:szCs w:val="28"/>
                <w:rtl/>
              </w:rPr>
              <w:t>22</w:t>
            </w:r>
          </w:p>
        </w:tc>
      </w:tr>
      <w:tr w:rsidR="00275265">
        <w:tblPrEx>
          <w:tblCellMar>
            <w:top w:w="0" w:type="dxa"/>
            <w:bottom w:w="0" w:type="dxa"/>
          </w:tblCellMar>
        </w:tblPrEx>
        <w:trPr>
          <w:jc w:val="center"/>
        </w:trPr>
        <w:tc>
          <w:tcPr>
            <w:tcW w:w="2038" w:type="dxa"/>
            <w:shd w:val="clear" w:color="auto" w:fill="auto"/>
          </w:tcPr>
          <w:p w:rsidR="00275265" w:rsidRPr="00EE71CB" w:rsidRDefault="00275265" w:rsidP="003F4B71">
            <w:pPr>
              <w:spacing w:line="340" w:lineRule="exact"/>
              <w:ind w:left="58" w:right="58"/>
              <w:jc w:val="left"/>
              <w:rPr>
                <w:rFonts w:hint="cs"/>
                <w:sz w:val="26"/>
                <w:szCs w:val="26"/>
                <w:rtl/>
              </w:rPr>
            </w:pPr>
            <w:r w:rsidRPr="00EE71CB">
              <w:rPr>
                <w:rFonts w:hint="cs"/>
                <w:sz w:val="26"/>
                <w:szCs w:val="26"/>
                <w:rtl/>
              </w:rPr>
              <w:t xml:space="preserve">الاتجار بالأشخاص (المادة 253 الفقرة 1 </w:t>
            </w:r>
            <w:r w:rsidR="003F4B71">
              <w:rPr>
                <w:rFonts w:hint="cs"/>
                <w:sz w:val="26"/>
                <w:szCs w:val="26"/>
                <w:rtl/>
              </w:rPr>
              <w:t>من القانون الجنائي</w:t>
            </w:r>
            <w:r w:rsidRPr="00EE71CB">
              <w:rPr>
                <w:rFonts w:hint="cs"/>
                <w:sz w:val="26"/>
                <w:szCs w:val="26"/>
                <w:rtl/>
              </w:rPr>
              <w:t>)</w:t>
            </w:r>
          </w:p>
        </w:tc>
        <w:tc>
          <w:tcPr>
            <w:tcW w:w="618" w:type="dxa"/>
            <w:shd w:val="clear" w:color="auto" w:fill="auto"/>
            <w:vAlign w:val="bottom"/>
          </w:tcPr>
          <w:p w:rsidR="00275265" w:rsidRDefault="00275265" w:rsidP="003F4B71">
            <w:pPr>
              <w:spacing w:line="340" w:lineRule="exact"/>
              <w:ind w:left="29" w:right="29"/>
              <w:jc w:val="left"/>
              <w:rPr>
                <w:rFonts w:hint="cs"/>
                <w:rtl/>
              </w:rPr>
            </w:pPr>
            <w:r>
              <w:rPr>
                <w:rFonts w:hint="cs"/>
                <w:rtl/>
              </w:rPr>
              <w:t>88</w:t>
            </w:r>
          </w:p>
        </w:tc>
        <w:tc>
          <w:tcPr>
            <w:tcW w:w="618" w:type="dxa"/>
            <w:shd w:val="clear" w:color="auto" w:fill="auto"/>
            <w:vAlign w:val="bottom"/>
          </w:tcPr>
          <w:p w:rsidR="00275265" w:rsidRDefault="00275265" w:rsidP="003F4B71">
            <w:pPr>
              <w:spacing w:line="340" w:lineRule="exact"/>
              <w:ind w:left="29" w:right="29"/>
              <w:jc w:val="left"/>
              <w:rPr>
                <w:rFonts w:hint="cs"/>
                <w:rtl/>
              </w:rPr>
            </w:pPr>
            <w:r>
              <w:rPr>
                <w:rFonts w:hint="cs"/>
                <w:rtl/>
              </w:rPr>
              <w:t>112</w:t>
            </w:r>
          </w:p>
        </w:tc>
        <w:tc>
          <w:tcPr>
            <w:tcW w:w="618" w:type="dxa"/>
            <w:shd w:val="clear" w:color="auto" w:fill="auto"/>
            <w:vAlign w:val="bottom"/>
          </w:tcPr>
          <w:p w:rsidR="00275265" w:rsidRDefault="00275265" w:rsidP="003F4B71">
            <w:pPr>
              <w:spacing w:line="340" w:lineRule="exact"/>
              <w:ind w:left="29" w:right="29"/>
              <w:jc w:val="left"/>
              <w:rPr>
                <w:rFonts w:hint="cs"/>
                <w:rtl/>
              </w:rPr>
            </w:pPr>
            <w:r>
              <w:rPr>
                <w:rFonts w:hint="cs"/>
                <w:rtl/>
              </w:rPr>
              <w:t>77</w:t>
            </w:r>
          </w:p>
        </w:tc>
        <w:tc>
          <w:tcPr>
            <w:tcW w:w="618" w:type="dxa"/>
            <w:shd w:val="clear" w:color="auto" w:fill="auto"/>
            <w:vAlign w:val="bottom"/>
          </w:tcPr>
          <w:p w:rsidR="00275265" w:rsidRDefault="00275265" w:rsidP="003F4B71">
            <w:pPr>
              <w:spacing w:line="340" w:lineRule="exact"/>
              <w:ind w:left="29" w:right="29"/>
              <w:jc w:val="left"/>
              <w:rPr>
                <w:rFonts w:hint="cs"/>
                <w:rtl/>
              </w:rPr>
            </w:pPr>
            <w:r>
              <w:rPr>
                <w:rFonts w:hint="cs"/>
                <w:rtl/>
              </w:rPr>
              <w:t>77</w:t>
            </w:r>
          </w:p>
        </w:tc>
        <w:tc>
          <w:tcPr>
            <w:tcW w:w="618" w:type="dxa"/>
            <w:shd w:val="clear" w:color="auto" w:fill="auto"/>
            <w:vAlign w:val="bottom"/>
          </w:tcPr>
          <w:p w:rsidR="00275265" w:rsidRDefault="00275265" w:rsidP="003F4B71">
            <w:pPr>
              <w:spacing w:line="340" w:lineRule="exact"/>
              <w:ind w:left="29" w:right="29"/>
              <w:jc w:val="left"/>
              <w:rPr>
                <w:rFonts w:hint="cs"/>
                <w:rtl/>
              </w:rPr>
            </w:pPr>
            <w:r>
              <w:rPr>
                <w:rFonts w:hint="cs"/>
                <w:rtl/>
              </w:rPr>
              <w:t>44</w:t>
            </w:r>
          </w:p>
        </w:tc>
        <w:tc>
          <w:tcPr>
            <w:tcW w:w="594" w:type="dxa"/>
            <w:shd w:val="clear" w:color="auto" w:fill="auto"/>
            <w:vAlign w:val="bottom"/>
          </w:tcPr>
          <w:p w:rsidR="00275265" w:rsidRDefault="00275265" w:rsidP="003F4B71">
            <w:pPr>
              <w:spacing w:line="340" w:lineRule="exact"/>
              <w:ind w:left="29" w:right="29"/>
              <w:jc w:val="left"/>
              <w:rPr>
                <w:rFonts w:hint="cs"/>
                <w:rtl/>
              </w:rPr>
            </w:pPr>
            <w:r>
              <w:rPr>
                <w:rFonts w:hint="cs"/>
                <w:rtl/>
              </w:rPr>
              <w:t>113</w:t>
            </w:r>
          </w:p>
        </w:tc>
        <w:tc>
          <w:tcPr>
            <w:tcW w:w="721" w:type="dxa"/>
            <w:shd w:val="clear" w:color="auto" w:fill="auto"/>
            <w:vAlign w:val="bottom"/>
          </w:tcPr>
          <w:p w:rsidR="00275265" w:rsidRDefault="00275265" w:rsidP="003F4B71">
            <w:pPr>
              <w:spacing w:line="340" w:lineRule="exact"/>
              <w:ind w:left="29" w:right="29"/>
              <w:jc w:val="left"/>
              <w:rPr>
                <w:rFonts w:hint="cs"/>
                <w:rtl/>
              </w:rPr>
            </w:pPr>
            <w:r>
              <w:rPr>
                <w:rFonts w:hint="cs"/>
                <w:rtl/>
              </w:rPr>
              <w:t>113</w:t>
            </w:r>
          </w:p>
        </w:tc>
        <w:tc>
          <w:tcPr>
            <w:tcW w:w="721" w:type="dxa"/>
            <w:shd w:val="clear" w:color="auto" w:fill="auto"/>
            <w:vAlign w:val="bottom"/>
          </w:tcPr>
          <w:p w:rsidR="00275265" w:rsidRDefault="00275265" w:rsidP="003F4B71">
            <w:pPr>
              <w:spacing w:line="340" w:lineRule="exact"/>
              <w:ind w:left="29" w:right="29"/>
              <w:jc w:val="left"/>
              <w:rPr>
                <w:rFonts w:hint="cs"/>
                <w:rtl/>
              </w:rPr>
            </w:pPr>
            <w:r>
              <w:rPr>
                <w:rFonts w:hint="cs"/>
                <w:rtl/>
              </w:rPr>
              <w:t>88</w:t>
            </w:r>
          </w:p>
        </w:tc>
        <w:tc>
          <w:tcPr>
            <w:tcW w:w="721" w:type="dxa"/>
            <w:shd w:val="clear" w:color="auto" w:fill="auto"/>
            <w:vAlign w:val="bottom"/>
          </w:tcPr>
          <w:p w:rsidR="00275265" w:rsidRDefault="00275265" w:rsidP="003F4B71">
            <w:pPr>
              <w:spacing w:line="340" w:lineRule="exact"/>
              <w:ind w:left="29" w:right="29"/>
              <w:jc w:val="left"/>
              <w:rPr>
                <w:rFonts w:hint="cs"/>
                <w:rtl/>
              </w:rPr>
            </w:pPr>
            <w:r>
              <w:rPr>
                <w:rFonts w:hint="cs"/>
                <w:rtl/>
              </w:rPr>
              <w:t>55</w:t>
            </w:r>
          </w:p>
        </w:tc>
        <w:tc>
          <w:tcPr>
            <w:tcW w:w="721" w:type="dxa"/>
            <w:shd w:val="clear" w:color="auto" w:fill="auto"/>
            <w:vAlign w:val="bottom"/>
          </w:tcPr>
          <w:p w:rsidR="00275265" w:rsidRDefault="00275265" w:rsidP="003F4B71">
            <w:pPr>
              <w:spacing w:line="340" w:lineRule="exact"/>
              <w:ind w:left="29" w:right="29"/>
              <w:jc w:val="left"/>
              <w:rPr>
                <w:rFonts w:hint="cs"/>
                <w:rtl/>
              </w:rPr>
            </w:pPr>
            <w:r>
              <w:rPr>
                <w:rFonts w:hint="cs"/>
                <w:rtl/>
              </w:rPr>
              <w:t>119</w:t>
            </w:r>
          </w:p>
        </w:tc>
        <w:tc>
          <w:tcPr>
            <w:tcW w:w="618" w:type="dxa"/>
            <w:shd w:val="clear" w:color="auto" w:fill="auto"/>
            <w:vAlign w:val="bottom"/>
          </w:tcPr>
          <w:p w:rsidR="00275265" w:rsidRDefault="00275265" w:rsidP="003F4B71">
            <w:pPr>
              <w:spacing w:line="340" w:lineRule="exact"/>
              <w:ind w:left="29" w:right="29"/>
              <w:jc w:val="left"/>
              <w:rPr>
                <w:rFonts w:hint="cs"/>
                <w:rtl/>
              </w:rPr>
            </w:pPr>
            <w:r>
              <w:rPr>
                <w:rFonts w:hint="cs"/>
                <w:rtl/>
              </w:rPr>
              <w:t>224</w:t>
            </w:r>
          </w:p>
        </w:tc>
        <w:tc>
          <w:tcPr>
            <w:tcW w:w="620" w:type="dxa"/>
            <w:shd w:val="clear" w:color="auto" w:fill="auto"/>
            <w:vAlign w:val="bottom"/>
          </w:tcPr>
          <w:p w:rsidR="00275265" w:rsidRDefault="00275265" w:rsidP="003F4B71">
            <w:pPr>
              <w:spacing w:line="340" w:lineRule="exact"/>
              <w:ind w:left="29" w:right="29"/>
              <w:jc w:val="left"/>
              <w:rPr>
                <w:rFonts w:hint="cs"/>
                <w:rtl/>
              </w:rPr>
            </w:pPr>
            <w:r>
              <w:rPr>
                <w:rFonts w:hint="cs"/>
                <w:rtl/>
              </w:rPr>
              <w:t>88</w:t>
            </w:r>
          </w:p>
        </w:tc>
      </w:tr>
    </w:tbl>
    <w:p w:rsidR="00275265" w:rsidRDefault="00275265" w:rsidP="00275265">
      <w:pPr>
        <w:pStyle w:val="SingleTxt"/>
        <w:rPr>
          <w:rFonts w:hint="cs"/>
          <w:b/>
          <w:bCs/>
          <w:rtl/>
        </w:rPr>
      </w:pPr>
    </w:p>
    <w:p w:rsidR="00275265" w:rsidRPr="00EE71CB" w:rsidRDefault="00275265" w:rsidP="00275265">
      <w:pPr>
        <w:pStyle w:val="SingleTxt"/>
        <w:rPr>
          <w:rFonts w:hint="cs"/>
          <w:rtl/>
        </w:rPr>
      </w:pPr>
      <w:r w:rsidRPr="00EE71CB">
        <w:rPr>
          <w:rFonts w:hint="cs"/>
          <w:rtl/>
        </w:rPr>
        <w:t>الجدول ألف -7-1</w:t>
      </w:r>
    </w:p>
    <w:p w:rsidR="00275265" w:rsidRDefault="00275265" w:rsidP="003F4B71">
      <w:pPr>
        <w:pStyle w:val="SingleTxt"/>
        <w:rPr>
          <w:rFonts w:hint="cs"/>
          <w:b/>
          <w:bCs/>
          <w:rtl/>
        </w:rPr>
      </w:pPr>
      <w:r>
        <w:rPr>
          <w:rFonts w:hint="cs"/>
          <w:b/>
          <w:bCs/>
          <w:rtl/>
        </w:rPr>
        <w:t>نسبة النساء في قياد</w:t>
      </w:r>
      <w:r w:rsidR="003F4B71">
        <w:rPr>
          <w:rFonts w:hint="cs"/>
          <w:b/>
          <w:bCs/>
          <w:rtl/>
        </w:rPr>
        <w:t>ات</w:t>
      </w:r>
      <w:r>
        <w:rPr>
          <w:rFonts w:hint="cs"/>
          <w:b/>
          <w:bCs/>
          <w:rtl/>
        </w:rPr>
        <w:t xml:space="preserve"> الأحزاب السياسية بعد الانتخابات البرلمانية في عام 2001</w:t>
      </w:r>
    </w:p>
    <w:p w:rsidR="00275265" w:rsidRPr="00EE71CB" w:rsidRDefault="00275265" w:rsidP="00275265">
      <w:pPr>
        <w:pStyle w:val="SingleTxt"/>
        <w:spacing w:after="0" w:line="120" w:lineRule="exact"/>
        <w:rPr>
          <w:rFonts w:hint="cs"/>
          <w:b/>
          <w:bCs/>
          <w:sz w:val="10"/>
          <w:rtl/>
        </w:rPr>
      </w:pPr>
    </w:p>
    <w:tbl>
      <w:tblPr>
        <w:bidiVisual/>
        <w:tblW w:w="7838" w:type="dxa"/>
        <w:jc w:val="center"/>
        <w:tblInd w:w="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754"/>
        <w:gridCol w:w="2406"/>
        <w:gridCol w:w="2678"/>
      </w:tblGrid>
      <w:tr w:rsidR="00275265">
        <w:tblPrEx>
          <w:tblCellMar>
            <w:top w:w="0" w:type="dxa"/>
            <w:bottom w:w="0" w:type="dxa"/>
          </w:tblCellMar>
        </w:tblPrEx>
        <w:trPr>
          <w:jc w:val="center"/>
        </w:trPr>
        <w:tc>
          <w:tcPr>
            <w:tcW w:w="2754" w:type="dxa"/>
            <w:shd w:val="clear" w:color="auto" w:fill="auto"/>
            <w:tcMar>
              <w:left w:w="0" w:type="dxa"/>
              <w:right w:w="0" w:type="dxa"/>
            </w:tcMar>
          </w:tcPr>
          <w:p w:rsidR="00275265" w:rsidRPr="00210509" w:rsidRDefault="00275265" w:rsidP="003F4B71">
            <w:pPr>
              <w:ind w:left="58" w:right="58"/>
              <w:rPr>
                <w:rFonts w:hint="cs"/>
                <w:b/>
                <w:bCs/>
                <w:rtl/>
              </w:rPr>
            </w:pPr>
            <w:r w:rsidRPr="00210509">
              <w:rPr>
                <w:rFonts w:hint="cs"/>
                <w:b/>
                <w:bCs/>
                <w:rtl/>
              </w:rPr>
              <w:t>اسم الحزب</w:t>
            </w:r>
          </w:p>
        </w:tc>
        <w:tc>
          <w:tcPr>
            <w:tcW w:w="2406" w:type="dxa"/>
            <w:shd w:val="clear" w:color="auto" w:fill="auto"/>
          </w:tcPr>
          <w:p w:rsidR="00275265" w:rsidRPr="00210509" w:rsidRDefault="00275265" w:rsidP="003F4B71">
            <w:pPr>
              <w:ind w:left="58" w:right="58"/>
              <w:rPr>
                <w:rFonts w:hint="cs"/>
                <w:b/>
                <w:bCs/>
                <w:rtl/>
              </w:rPr>
            </w:pPr>
            <w:r w:rsidRPr="00210509">
              <w:rPr>
                <w:rFonts w:hint="cs"/>
                <w:b/>
                <w:bCs/>
                <w:rtl/>
              </w:rPr>
              <w:t>عدد أعضاء المجلس</w:t>
            </w:r>
          </w:p>
        </w:tc>
        <w:tc>
          <w:tcPr>
            <w:tcW w:w="2678" w:type="dxa"/>
            <w:shd w:val="clear" w:color="auto" w:fill="auto"/>
          </w:tcPr>
          <w:p w:rsidR="00275265" w:rsidRPr="00210509" w:rsidRDefault="00275265" w:rsidP="003F4B71">
            <w:pPr>
              <w:ind w:left="58" w:right="58"/>
              <w:rPr>
                <w:rFonts w:hint="cs"/>
                <w:b/>
                <w:bCs/>
                <w:rtl/>
              </w:rPr>
            </w:pPr>
            <w:r w:rsidRPr="00210509">
              <w:rPr>
                <w:rFonts w:hint="cs"/>
                <w:b/>
                <w:bCs/>
                <w:rtl/>
              </w:rPr>
              <w:t>بمن فيهم النساء</w:t>
            </w:r>
          </w:p>
        </w:tc>
      </w:tr>
      <w:tr w:rsidR="00275265">
        <w:tblPrEx>
          <w:tblCellMar>
            <w:top w:w="0" w:type="dxa"/>
            <w:bottom w:w="0" w:type="dxa"/>
          </w:tblCellMar>
        </w:tblPrEx>
        <w:trPr>
          <w:jc w:val="center"/>
        </w:trPr>
        <w:tc>
          <w:tcPr>
            <w:tcW w:w="2754" w:type="dxa"/>
            <w:shd w:val="clear" w:color="auto" w:fill="auto"/>
          </w:tcPr>
          <w:p w:rsidR="00275265" w:rsidRDefault="00275265" w:rsidP="003F4B71">
            <w:pPr>
              <w:ind w:left="58" w:right="58"/>
              <w:rPr>
                <w:rFonts w:hint="cs"/>
                <w:rtl/>
              </w:rPr>
            </w:pPr>
            <w:r>
              <w:rPr>
                <w:rFonts w:hint="cs"/>
                <w:rtl/>
              </w:rPr>
              <w:t>تحالف اليسار الديمقراطي</w:t>
            </w:r>
          </w:p>
        </w:tc>
        <w:tc>
          <w:tcPr>
            <w:tcW w:w="2406" w:type="dxa"/>
            <w:shd w:val="clear" w:color="auto" w:fill="auto"/>
          </w:tcPr>
          <w:p w:rsidR="00275265" w:rsidRDefault="00275265" w:rsidP="003F4B71">
            <w:pPr>
              <w:ind w:left="58" w:right="58"/>
              <w:rPr>
                <w:rFonts w:hint="cs"/>
                <w:rtl/>
              </w:rPr>
            </w:pPr>
            <w:r>
              <w:rPr>
                <w:rFonts w:hint="cs"/>
                <w:rtl/>
              </w:rPr>
              <w:t>38</w:t>
            </w:r>
          </w:p>
        </w:tc>
        <w:tc>
          <w:tcPr>
            <w:tcW w:w="2678" w:type="dxa"/>
            <w:shd w:val="clear" w:color="auto" w:fill="auto"/>
          </w:tcPr>
          <w:p w:rsidR="00275265" w:rsidRDefault="00275265" w:rsidP="003F4B71">
            <w:pPr>
              <w:ind w:left="58" w:right="58"/>
              <w:rPr>
                <w:rFonts w:hint="cs"/>
                <w:rtl/>
              </w:rPr>
            </w:pPr>
            <w:r>
              <w:rPr>
                <w:rFonts w:hint="cs"/>
                <w:rtl/>
              </w:rPr>
              <w:t>8 (بمن فيهم نائب رئيس)</w:t>
            </w:r>
          </w:p>
        </w:tc>
      </w:tr>
      <w:tr w:rsidR="00275265">
        <w:tblPrEx>
          <w:tblCellMar>
            <w:top w:w="0" w:type="dxa"/>
            <w:bottom w:w="0" w:type="dxa"/>
          </w:tblCellMar>
        </w:tblPrEx>
        <w:trPr>
          <w:jc w:val="center"/>
        </w:trPr>
        <w:tc>
          <w:tcPr>
            <w:tcW w:w="2754" w:type="dxa"/>
            <w:shd w:val="clear" w:color="auto" w:fill="auto"/>
          </w:tcPr>
          <w:p w:rsidR="00275265" w:rsidRDefault="00275265" w:rsidP="003F4B71">
            <w:pPr>
              <w:ind w:left="58" w:right="58"/>
              <w:rPr>
                <w:rFonts w:hint="cs"/>
                <w:rtl/>
              </w:rPr>
            </w:pPr>
            <w:r>
              <w:rPr>
                <w:rFonts w:hint="cs"/>
                <w:rtl/>
              </w:rPr>
              <w:t>نقابة العمال</w:t>
            </w:r>
          </w:p>
        </w:tc>
        <w:tc>
          <w:tcPr>
            <w:tcW w:w="2406" w:type="dxa"/>
            <w:shd w:val="clear" w:color="auto" w:fill="auto"/>
          </w:tcPr>
          <w:p w:rsidR="00275265" w:rsidRDefault="00275265" w:rsidP="003F4B71">
            <w:pPr>
              <w:ind w:left="58" w:right="58"/>
              <w:rPr>
                <w:rFonts w:hint="cs"/>
                <w:rtl/>
              </w:rPr>
            </w:pPr>
            <w:r>
              <w:rPr>
                <w:rFonts w:hint="cs"/>
                <w:rtl/>
              </w:rPr>
              <w:t>20</w:t>
            </w:r>
          </w:p>
        </w:tc>
        <w:tc>
          <w:tcPr>
            <w:tcW w:w="2678" w:type="dxa"/>
            <w:shd w:val="clear" w:color="auto" w:fill="auto"/>
          </w:tcPr>
          <w:p w:rsidR="00275265" w:rsidRDefault="00275265" w:rsidP="003F4B71">
            <w:pPr>
              <w:ind w:left="58" w:right="58"/>
              <w:rPr>
                <w:rFonts w:hint="cs"/>
                <w:rtl/>
              </w:rPr>
            </w:pPr>
            <w:r>
              <w:rPr>
                <w:rFonts w:hint="cs"/>
                <w:rtl/>
              </w:rPr>
              <w:t>6 (بمن فيهم نائبا</w:t>
            </w:r>
            <w:r w:rsidR="003F4B71">
              <w:rPr>
                <w:rFonts w:hint="cs"/>
                <w:rtl/>
              </w:rPr>
              <w:t>ن</w:t>
            </w:r>
            <w:r>
              <w:rPr>
                <w:rFonts w:hint="cs"/>
                <w:rtl/>
              </w:rPr>
              <w:t xml:space="preserve"> </w:t>
            </w:r>
            <w:r w:rsidR="003F4B71">
              <w:rPr>
                <w:rFonts w:hint="cs"/>
                <w:rtl/>
              </w:rPr>
              <w:t>ل</w:t>
            </w:r>
            <w:r>
              <w:rPr>
                <w:rFonts w:hint="cs"/>
                <w:rtl/>
              </w:rPr>
              <w:t>لرئيس)</w:t>
            </w:r>
          </w:p>
        </w:tc>
      </w:tr>
      <w:tr w:rsidR="00275265">
        <w:tblPrEx>
          <w:tblCellMar>
            <w:top w:w="0" w:type="dxa"/>
            <w:bottom w:w="0" w:type="dxa"/>
          </w:tblCellMar>
        </w:tblPrEx>
        <w:trPr>
          <w:jc w:val="center"/>
        </w:trPr>
        <w:tc>
          <w:tcPr>
            <w:tcW w:w="2754" w:type="dxa"/>
            <w:shd w:val="clear" w:color="auto" w:fill="auto"/>
          </w:tcPr>
          <w:p w:rsidR="00275265" w:rsidRDefault="00275265" w:rsidP="003F4B71">
            <w:pPr>
              <w:ind w:left="58" w:right="58"/>
              <w:rPr>
                <w:rFonts w:hint="cs"/>
                <w:rtl/>
              </w:rPr>
            </w:pPr>
            <w:r>
              <w:rPr>
                <w:rFonts w:hint="cs"/>
                <w:rtl/>
              </w:rPr>
              <w:t>حزب الفلاحين البولندي</w:t>
            </w:r>
          </w:p>
        </w:tc>
        <w:tc>
          <w:tcPr>
            <w:tcW w:w="2406" w:type="dxa"/>
            <w:shd w:val="clear" w:color="auto" w:fill="auto"/>
          </w:tcPr>
          <w:p w:rsidR="00275265" w:rsidRDefault="00275265" w:rsidP="003F4B71">
            <w:pPr>
              <w:ind w:left="58" w:right="58"/>
              <w:rPr>
                <w:rFonts w:hint="cs"/>
                <w:rtl/>
              </w:rPr>
            </w:pPr>
            <w:r>
              <w:rPr>
                <w:rFonts w:hint="cs"/>
                <w:rtl/>
              </w:rPr>
              <w:t>15</w:t>
            </w:r>
          </w:p>
        </w:tc>
        <w:tc>
          <w:tcPr>
            <w:tcW w:w="2678" w:type="dxa"/>
            <w:shd w:val="clear" w:color="auto" w:fill="auto"/>
          </w:tcPr>
          <w:p w:rsidR="00275265" w:rsidRDefault="00275265" w:rsidP="003F4B71">
            <w:pPr>
              <w:ind w:left="58" w:right="58"/>
              <w:rPr>
                <w:rFonts w:hint="cs"/>
                <w:rtl/>
              </w:rPr>
            </w:pPr>
            <w:r>
              <w:rPr>
                <w:rFonts w:hint="cs"/>
                <w:rtl/>
              </w:rPr>
              <w:t>صفر</w:t>
            </w:r>
          </w:p>
        </w:tc>
      </w:tr>
      <w:tr w:rsidR="00275265">
        <w:tblPrEx>
          <w:tblCellMar>
            <w:top w:w="0" w:type="dxa"/>
            <w:bottom w:w="0" w:type="dxa"/>
          </w:tblCellMar>
        </w:tblPrEx>
        <w:trPr>
          <w:jc w:val="center"/>
        </w:trPr>
        <w:tc>
          <w:tcPr>
            <w:tcW w:w="2754" w:type="dxa"/>
            <w:shd w:val="clear" w:color="auto" w:fill="auto"/>
          </w:tcPr>
          <w:p w:rsidR="00275265" w:rsidRDefault="00275265" w:rsidP="003F4B71">
            <w:pPr>
              <w:ind w:left="58" w:right="58"/>
              <w:rPr>
                <w:rFonts w:hint="cs"/>
                <w:rtl/>
              </w:rPr>
            </w:pPr>
            <w:r>
              <w:rPr>
                <w:rFonts w:hint="cs"/>
                <w:rtl/>
              </w:rPr>
              <w:t>البرنامج الوطني</w:t>
            </w:r>
          </w:p>
        </w:tc>
        <w:tc>
          <w:tcPr>
            <w:tcW w:w="2406" w:type="dxa"/>
            <w:shd w:val="clear" w:color="auto" w:fill="auto"/>
          </w:tcPr>
          <w:p w:rsidR="00275265" w:rsidRDefault="00275265" w:rsidP="003F4B71">
            <w:pPr>
              <w:ind w:left="58" w:right="58"/>
              <w:rPr>
                <w:rFonts w:hint="cs"/>
                <w:rtl/>
              </w:rPr>
            </w:pPr>
            <w:r>
              <w:rPr>
                <w:rFonts w:hint="cs"/>
                <w:rtl/>
              </w:rPr>
              <w:t>57</w:t>
            </w:r>
          </w:p>
        </w:tc>
        <w:tc>
          <w:tcPr>
            <w:tcW w:w="2678" w:type="dxa"/>
            <w:shd w:val="clear" w:color="auto" w:fill="auto"/>
          </w:tcPr>
          <w:p w:rsidR="00275265" w:rsidRDefault="00275265" w:rsidP="003F4B71">
            <w:pPr>
              <w:ind w:left="58" w:right="58"/>
              <w:rPr>
                <w:rFonts w:hint="cs"/>
                <w:rtl/>
              </w:rPr>
            </w:pPr>
            <w:r>
              <w:rPr>
                <w:rFonts w:hint="cs"/>
                <w:rtl/>
              </w:rPr>
              <w:t>11</w:t>
            </w:r>
          </w:p>
        </w:tc>
      </w:tr>
      <w:tr w:rsidR="00275265">
        <w:tblPrEx>
          <w:tblCellMar>
            <w:top w:w="0" w:type="dxa"/>
            <w:bottom w:w="0" w:type="dxa"/>
          </w:tblCellMar>
        </w:tblPrEx>
        <w:trPr>
          <w:jc w:val="center"/>
        </w:trPr>
        <w:tc>
          <w:tcPr>
            <w:tcW w:w="2754" w:type="dxa"/>
            <w:shd w:val="clear" w:color="auto" w:fill="auto"/>
          </w:tcPr>
          <w:p w:rsidR="00275265" w:rsidRDefault="00275265" w:rsidP="003F4B71">
            <w:pPr>
              <w:ind w:left="58" w:right="58"/>
              <w:rPr>
                <w:rFonts w:hint="cs"/>
                <w:rtl/>
              </w:rPr>
            </w:pPr>
            <w:r>
              <w:rPr>
                <w:rFonts w:hint="cs"/>
                <w:rtl/>
              </w:rPr>
              <w:t>القانون والعدل</w:t>
            </w:r>
          </w:p>
        </w:tc>
        <w:tc>
          <w:tcPr>
            <w:tcW w:w="2406" w:type="dxa"/>
            <w:shd w:val="clear" w:color="auto" w:fill="auto"/>
          </w:tcPr>
          <w:p w:rsidR="00275265" w:rsidRDefault="00275265" w:rsidP="003F4B71">
            <w:pPr>
              <w:ind w:left="58" w:right="58"/>
              <w:rPr>
                <w:rFonts w:hint="cs"/>
                <w:rtl/>
              </w:rPr>
            </w:pPr>
            <w:r>
              <w:rPr>
                <w:rFonts w:hint="cs"/>
                <w:rtl/>
              </w:rPr>
              <w:t>35</w:t>
            </w:r>
          </w:p>
        </w:tc>
        <w:tc>
          <w:tcPr>
            <w:tcW w:w="2678" w:type="dxa"/>
            <w:shd w:val="clear" w:color="auto" w:fill="auto"/>
          </w:tcPr>
          <w:p w:rsidR="00275265" w:rsidRDefault="00275265" w:rsidP="003F4B71">
            <w:pPr>
              <w:ind w:left="58" w:right="58"/>
              <w:rPr>
                <w:rFonts w:hint="cs"/>
                <w:rtl/>
              </w:rPr>
            </w:pPr>
            <w:r>
              <w:rPr>
                <w:rFonts w:hint="cs"/>
                <w:rtl/>
              </w:rPr>
              <w:t>3</w:t>
            </w:r>
          </w:p>
        </w:tc>
      </w:tr>
      <w:tr w:rsidR="00275265">
        <w:tblPrEx>
          <w:tblCellMar>
            <w:top w:w="0" w:type="dxa"/>
            <w:bottom w:w="0" w:type="dxa"/>
          </w:tblCellMar>
        </w:tblPrEx>
        <w:trPr>
          <w:jc w:val="center"/>
        </w:trPr>
        <w:tc>
          <w:tcPr>
            <w:tcW w:w="2754" w:type="dxa"/>
            <w:shd w:val="clear" w:color="auto" w:fill="auto"/>
          </w:tcPr>
          <w:p w:rsidR="00275265" w:rsidRDefault="00275265" w:rsidP="003F4B71">
            <w:pPr>
              <w:ind w:left="58" w:right="58"/>
              <w:rPr>
                <w:rFonts w:hint="cs"/>
                <w:rtl/>
              </w:rPr>
            </w:pPr>
            <w:r>
              <w:rPr>
                <w:rFonts w:hint="cs"/>
                <w:rtl/>
              </w:rPr>
              <w:t>الدفاع عن الذات</w:t>
            </w:r>
          </w:p>
        </w:tc>
        <w:tc>
          <w:tcPr>
            <w:tcW w:w="2406" w:type="dxa"/>
            <w:shd w:val="clear" w:color="auto" w:fill="auto"/>
          </w:tcPr>
          <w:p w:rsidR="00275265" w:rsidRDefault="00275265" w:rsidP="003F4B71">
            <w:pPr>
              <w:ind w:left="58" w:right="58"/>
              <w:rPr>
                <w:rFonts w:hint="cs"/>
                <w:rtl/>
              </w:rPr>
            </w:pPr>
            <w:r>
              <w:rPr>
                <w:rFonts w:hint="cs"/>
                <w:rtl/>
              </w:rPr>
              <w:t>4</w:t>
            </w:r>
          </w:p>
        </w:tc>
        <w:tc>
          <w:tcPr>
            <w:tcW w:w="2678" w:type="dxa"/>
            <w:shd w:val="clear" w:color="auto" w:fill="auto"/>
          </w:tcPr>
          <w:p w:rsidR="00275265" w:rsidRDefault="00275265" w:rsidP="003F4B71">
            <w:pPr>
              <w:ind w:left="58" w:right="58"/>
              <w:rPr>
                <w:rFonts w:hint="cs"/>
                <w:rtl/>
              </w:rPr>
            </w:pPr>
            <w:r>
              <w:rPr>
                <w:rFonts w:hint="cs"/>
                <w:rtl/>
              </w:rPr>
              <w:t>صفر</w:t>
            </w:r>
          </w:p>
        </w:tc>
      </w:tr>
      <w:tr w:rsidR="00275265">
        <w:tblPrEx>
          <w:tblCellMar>
            <w:top w:w="0" w:type="dxa"/>
            <w:bottom w:w="0" w:type="dxa"/>
          </w:tblCellMar>
        </w:tblPrEx>
        <w:trPr>
          <w:jc w:val="center"/>
        </w:trPr>
        <w:tc>
          <w:tcPr>
            <w:tcW w:w="2754" w:type="dxa"/>
            <w:shd w:val="clear" w:color="auto" w:fill="auto"/>
          </w:tcPr>
          <w:p w:rsidR="00275265" w:rsidRDefault="00275265" w:rsidP="003F4B71">
            <w:pPr>
              <w:ind w:left="58" w:right="58"/>
              <w:rPr>
                <w:rFonts w:hint="cs"/>
                <w:rtl/>
              </w:rPr>
            </w:pPr>
            <w:r>
              <w:rPr>
                <w:rFonts w:hint="cs"/>
                <w:rtl/>
              </w:rPr>
              <w:t>اتحاد الأسر البولندية</w:t>
            </w:r>
          </w:p>
        </w:tc>
        <w:tc>
          <w:tcPr>
            <w:tcW w:w="2406" w:type="dxa"/>
            <w:shd w:val="clear" w:color="auto" w:fill="auto"/>
          </w:tcPr>
          <w:p w:rsidR="00275265" w:rsidRDefault="00275265" w:rsidP="003F4B71">
            <w:pPr>
              <w:ind w:left="58" w:right="58"/>
              <w:rPr>
                <w:rFonts w:hint="cs"/>
                <w:rtl/>
              </w:rPr>
            </w:pPr>
            <w:r>
              <w:rPr>
                <w:rFonts w:hint="cs"/>
                <w:rtl/>
              </w:rPr>
              <w:t>12</w:t>
            </w:r>
          </w:p>
        </w:tc>
        <w:tc>
          <w:tcPr>
            <w:tcW w:w="2678" w:type="dxa"/>
            <w:shd w:val="clear" w:color="auto" w:fill="auto"/>
          </w:tcPr>
          <w:p w:rsidR="00275265" w:rsidRDefault="00275265" w:rsidP="003F4B71">
            <w:pPr>
              <w:ind w:left="58" w:right="58"/>
              <w:rPr>
                <w:rFonts w:hint="cs"/>
                <w:rtl/>
              </w:rPr>
            </w:pPr>
            <w:r>
              <w:rPr>
                <w:rFonts w:hint="cs"/>
                <w:rtl/>
              </w:rPr>
              <w:t>صفر</w:t>
            </w:r>
          </w:p>
        </w:tc>
      </w:tr>
      <w:tr w:rsidR="00275265">
        <w:tblPrEx>
          <w:tblCellMar>
            <w:top w:w="0" w:type="dxa"/>
            <w:bottom w:w="0" w:type="dxa"/>
          </w:tblCellMar>
        </w:tblPrEx>
        <w:trPr>
          <w:jc w:val="center"/>
        </w:trPr>
        <w:tc>
          <w:tcPr>
            <w:tcW w:w="2754" w:type="dxa"/>
            <w:shd w:val="clear" w:color="auto" w:fill="auto"/>
          </w:tcPr>
          <w:p w:rsidR="00275265" w:rsidRDefault="00275265" w:rsidP="003F4B71">
            <w:pPr>
              <w:ind w:left="58" w:right="58"/>
              <w:rPr>
                <w:rFonts w:hint="cs"/>
                <w:rtl/>
              </w:rPr>
            </w:pPr>
            <w:r>
              <w:rPr>
                <w:rFonts w:hint="cs"/>
                <w:rtl/>
              </w:rPr>
              <w:t>اتحاد الحرية*</w:t>
            </w:r>
          </w:p>
        </w:tc>
        <w:tc>
          <w:tcPr>
            <w:tcW w:w="2406" w:type="dxa"/>
            <w:shd w:val="clear" w:color="auto" w:fill="auto"/>
          </w:tcPr>
          <w:p w:rsidR="00275265" w:rsidRDefault="00275265" w:rsidP="003F4B71">
            <w:pPr>
              <w:ind w:left="58" w:right="58"/>
              <w:rPr>
                <w:rFonts w:hint="cs"/>
                <w:rtl/>
              </w:rPr>
            </w:pPr>
            <w:r>
              <w:rPr>
                <w:rFonts w:hint="cs"/>
                <w:rtl/>
              </w:rPr>
              <w:t>15</w:t>
            </w:r>
          </w:p>
        </w:tc>
        <w:tc>
          <w:tcPr>
            <w:tcW w:w="2678" w:type="dxa"/>
            <w:shd w:val="clear" w:color="auto" w:fill="auto"/>
          </w:tcPr>
          <w:p w:rsidR="00275265" w:rsidRDefault="00275265" w:rsidP="003F4B71">
            <w:pPr>
              <w:ind w:left="58" w:right="58"/>
              <w:rPr>
                <w:rFonts w:hint="cs"/>
                <w:rtl/>
              </w:rPr>
            </w:pPr>
            <w:r>
              <w:rPr>
                <w:rFonts w:hint="cs"/>
                <w:rtl/>
              </w:rPr>
              <w:t>6 (بمن فيهم نائب الرئيس)</w:t>
            </w:r>
          </w:p>
        </w:tc>
      </w:tr>
    </w:tbl>
    <w:p w:rsidR="00275265" w:rsidRPr="00EE71CB" w:rsidRDefault="00275265" w:rsidP="00275265">
      <w:pPr>
        <w:pStyle w:val="SingleTxt"/>
        <w:spacing w:after="0" w:line="120" w:lineRule="exact"/>
        <w:rPr>
          <w:rFonts w:hint="cs"/>
          <w:b/>
          <w:bCs/>
          <w:sz w:val="10"/>
          <w:rtl/>
        </w:rPr>
      </w:pPr>
    </w:p>
    <w:p w:rsidR="00275265" w:rsidRDefault="00275265" w:rsidP="00275265">
      <w:pPr>
        <w:pStyle w:val="SingleTxt"/>
        <w:rPr>
          <w:rFonts w:hint="cs"/>
          <w:rtl/>
        </w:rPr>
      </w:pPr>
      <w:r>
        <w:rPr>
          <w:rFonts w:hint="cs"/>
          <w:b/>
          <w:bCs/>
          <w:rtl/>
        </w:rPr>
        <w:t xml:space="preserve">*  </w:t>
      </w:r>
      <w:r>
        <w:rPr>
          <w:rFonts w:hint="cs"/>
          <w:rtl/>
        </w:rPr>
        <w:t>حزب اتحاد الحرية غير ممثل في البرلمان. وهو أحد ثلاثة أحزاب نص في برنامجه وقوائم مرشحيه على ضرورة العمل بمبدأ تخصيص حصة للمرأة.</w:t>
      </w:r>
    </w:p>
    <w:p w:rsidR="00275265" w:rsidRDefault="00275265" w:rsidP="00275265">
      <w:pPr>
        <w:pStyle w:val="SingleTxt"/>
        <w:rPr>
          <w:rFonts w:hint="cs"/>
          <w:rtl/>
        </w:rPr>
      </w:pPr>
    </w:p>
    <w:p w:rsidR="00275265" w:rsidRDefault="00275265" w:rsidP="00275265">
      <w:pPr>
        <w:pStyle w:val="SingleTxt"/>
        <w:rPr>
          <w:rFonts w:hint="cs"/>
          <w:rtl/>
        </w:rPr>
      </w:pPr>
      <w:r>
        <w:rPr>
          <w:rFonts w:hint="cs"/>
          <w:rtl/>
        </w:rPr>
        <w:t>الجدول ألف -8-1</w:t>
      </w:r>
    </w:p>
    <w:p w:rsidR="00275265" w:rsidRPr="00094DB6" w:rsidRDefault="00275265" w:rsidP="00275265">
      <w:pPr>
        <w:pStyle w:val="SingleTxt"/>
        <w:rPr>
          <w:rFonts w:hint="cs"/>
          <w:b/>
          <w:bCs/>
          <w:sz w:val="28"/>
          <w:szCs w:val="28"/>
          <w:rtl/>
        </w:rPr>
      </w:pPr>
      <w:r w:rsidRPr="00094DB6">
        <w:rPr>
          <w:rFonts w:hint="cs"/>
          <w:b/>
          <w:bCs/>
          <w:sz w:val="28"/>
          <w:szCs w:val="28"/>
          <w:rtl/>
        </w:rPr>
        <w:t>نسبة النساء الخبيرات الأعضاء في الوفود التي تمثل بولندا في المنتديات الدولية في الفترة 1998-2002 (على أساس البيانات التي قدمتها وزارة المالية، ووزارة الاقتصاد والعمل والسياسات الاجتماعية، ووزارة التربية الوطنية والرياضة، ومكتب الإحصاءات الوطني)</w:t>
      </w:r>
    </w:p>
    <w:p w:rsidR="00275265" w:rsidRPr="00A50CA8" w:rsidRDefault="00275265" w:rsidP="00275265">
      <w:pPr>
        <w:pStyle w:val="SingleTxt"/>
        <w:spacing w:after="0" w:line="120" w:lineRule="exact"/>
        <w:rPr>
          <w:rFonts w:hint="cs"/>
          <w:b/>
          <w:bCs/>
          <w:sz w:val="10"/>
          <w:rtl/>
        </w:rPr>
      </w:pPr>
    </w:p>
    <w:tbl>
      <w:tblPr>
        <w:bidiVisual/>
        <w:tblW w:w="98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41"/>
        <w:gridCol w:w="1641"/>
        <w:gridCol w:w="1418"/>
        <w:gridCol w:w="1442"/>
        <w:gridCol w:w="2369"/>
        <w:gridCol w:w="1339"/>
      </w:tblGrid>
      <w:tr w:rsidR="00275265">
        <w:tblPrEx>
          <w:tblCellMar>
            <w:top w:w="0" w:type="dxa"/>
            <w:bottom w:w="0" w:type="dxa"/>
          </w:tblCellMar>
        </w:tblPrEx>
        <w:trPr>
          <w:jc w:val="center"/>
        </w:trPr>
        <w:tc>
          <w:tcPr>
            <w:tcW w:w="1641" w:type="dxa"/>
            <w:vMerge w:val="restart"/>
            <w:shd w:val="clear" w:color="auto" w:fill="auto"/>
            <w:tcMar>
              <w:left w:w="0" w:type="dxa"/>
              <w:right w:w="0" w:type="dxa"/>
            </w:tcMar>
          </w:tcPr>
          <w:p w:rsidR="00275265" w:rsidRPr="00CF47B7" w:rsidRDefault="00275265" w:rsidP="003F4B71">
            <w:pPr>
              <w:ind w:left="58" w:right="58"/>
              <w:rPr>
                <w:rFonts w:hint="cs"/>
                <w:b/>
                <w:bCs/>
                <w:rtl/>
              </w:rPr>
            </w:pPr>
            <w:r w:rsidRPr="00CF47B7">
              <w:rPr>
                <w:rFonts w:hint="cs"/>
                <w:b/>
                <w:bCs/>
                <w:rtl/>
              </w:rPr>
              <w:t>السنة</w:t>
            </w:r>
          </w:p>
        </w:tc>
        <w:tc>
          <w:tcPr>
            <w:tcW w:w="8209" w:type="dxa"/>
            <w:gridSpan w:val="5"/>
            <w:shd w:val="clear" w:color="auto" w:fill="auto"/>
          </w:tcPr>
          <w:p w:rsidR="00275265" w:rsidRPr="00CF47B7" w:rsidRDefault="00275265" w:rsidP="003F4B71">
            <w:pPr>
              <w:ind w:left="58" w:right="58"/>
              <w:jc w:val="center"/>
              <w:rPr>
                <w:rFonts w:hint="cs"/>
                <w:b/>
                <w:bCs/>
                <w:rtl/>
              </w:rPr>
            </w:pPr>
            <w:r w:rsidRPr="00CF47B7">
              <w:rPr>
                <w:rFonts w:hint="cs"/>
                <w:b/>
                <w:bCs/>
                <w:rtl/>
              </w:rPr>
              <w:t>نسبة النساء</w:t>
            </w:r>
          </w:p>
        </w:tc>
      </w:tr>
      <w:tr w:rsidR="00275265">
        <w:tblPrEx>
          <w:tblCellMar>
            <w:top w:w="0" w:type="dxa"/>
            <w:bottom w:w="0" w:type="dxa"/>
          </w:tblCellMar>
        </w:tblPrEx>
        <w:trPr>
          <w:jc w:val="center"/>
        </w:trPr>
        <w:tc>
          <w:tcPr>
            <w:tcW w:w="1641" w:type="dxa"/>
            <w:vMerge/>
            <w:shd w:val="clear" w:color="auto" w:fill="auto"/>
          </w:tcPr>
          <w:p w:rsidR="00275265" w:rsidRPr="00376613" w:rsidRDefault="00275265" w:rsidP="003F4B71">
            <w:pPr>
              <w:ind w:left="58" w:right="58"/>
              <w:rPr>
                <w:rFonts w:hint="cs"/>
                <w:b/>
                <w:bCs/>
                <w:rtl/>
              </w:rPr>
            </w:pPr>
          </w:p>
        </w:tc>
        <w:tc>
          <w:tcPr>
            <w:tcW w:w="1641" w:type="dxa"/>
            <w:shd w:val="clear" w:color="auto" w:fill="auto"/>
          </w:tcPr>
          <w:p w:rsidR="00275265" w:rsidRPr="00376613" w:rsidRDefault="00275265" w:rsidP="003F4B71">
            <w:pPr>
              <w:ind w:left="58" w:right="58"/>
              <w:rPr>
                <w:rFonts w:hint="cs"/>
                <w:b/>
                <w:bCs/>
                <w:rtl/>
              </w:rPr>
            </w:pPr>
            <w:r w:rsidRPr="00376613">
              <w:rPr>
                <w:rFonts w:hint="cs"/>
                <w:b/>
                <w:bCs/>
                <w:rtl/>
              </w:rPr>
              <w:t>وزارة المالية</w:t>
            </w:r>
          </w:p>
        </w:tc>
        <w:tc>
          <w:tcPr>
            <w:tcW w:w="1418" w:type="dxa"/>
            <w:shd w:val="clear" w:color="auto" w:fill="auto"/>
          </w:tcPr>
          <w:p w:rsidR="00275265" w:rsidRPr="00376613" w:rsidRDefault="00275265" w:rsidP="003F4B71">
            <w:pPr>
              <w:ind w:left="58" w:right="58"/>
              <w:rPr>
                <w:rFonts w:hint="cs"/>
                <w:b/>
                <w:bCs/>
                <w:rtl/>
              </w:rPr>
            </w:pPr>
            <w:r w:rsidRPr="00376613">
              <w:rPr>
                <w:rFonts w:hint="cs"/>
                <w:b/>
                <w:bCs/>
                <w:rtl/>
              </w:rPr>
              <w:t>وزارة الاقتصاد</w:t>
            </w:r>
          </w:p>
        </w:tc>
        <w:tc>
          <w:tcPr>
            <w:tcW w:w="1442" w:type="dxa"/>
            <w:shd w:val="clear" w:color="auto" w:fill="auto"/>
          </w:tcPr>
          <w:p w:rsidR="00275265" w:rsidRPr="00376613" w:rsidRDefault="00275265" w:rsidP="003F4B71">
            <w:pPr>
              <w:ind w:left="58" w:right="58"/>
              <w:rPr>
                <w:rFonts w:hint="cs"/>
                <w:b/>
                <w:bCs/>
                <w:rtl/>
              </w:rPr>
            </w:pPr>
            <w:r w:rsidRPr="00376613">
              <w:rPr>
                <w:rFonts w:hint="cs"/>
                <w:b/>
                <w:bCs/>
                <w:rtl/>
              </w:rPr>
              <w:t>وزارة التعليم</w:t>
            </w:r>
          </w:p>
        </w:tc>
        <w:tc>
          <w:tcPr>
            <w:tcW w:w="2369" w:type="dxa"/>
            <w:shd w:val="clear" w:color="auto" w:fill="auto"/>
          </w:tcPr>
          <w:p w:rsidR="00275265" w:rsidRPr="00376613" w:rsidRDefault="00275265" w:rsidP="003F4B71">
            <w:pPr>
              <w:ind w:left="29" w:right="29"/>
              <w:rPr>
                <w:rFonts w:hint="cs"/>
                <w:b/>
                <w:bCs/>
                <w:rtl/>
              </w:rPr>
            </w:pPr>
            <w:r w:rsidRPr="00376613">
              <w:rPr>
                <w:rFonts w:hint="cs"/>
                <w:b/>
                <w:bCs/>
                <w:rtl/>
              </w:rPr>
              <w:t>مكتب الإحصاءات الوطني</w:t>
            </w:r>
          </w:p>
        </w:tc>
        <w:tc>
          <w:tcPr>
            <w:tcW w:w="1339" w:type="dxa"/>
            <w:shd w:val="clear" w:color="auto" w:fill="auto"/>
          </w:tcPr>
          <w:p w:rsidR="00275265" w:rsidRPr="00376613" w:rsidRDefault="00275265" w:rsidP="003F4B71">
            <w:pPr>
              <w:ind w:left="58" w:right="58"/>
              <w:rPr>
                <w:rFonts w:hint="cs"/>
                <w:b/>
                <w:bCs/>
                <w:rtl/>
              </w:rPr>
            </w:pPr>
            <w:r w:rsidRPr="00376613">
              <w:rPr>
                <w:rFonts w:hint="cs"/>
                <w:b/>
                <w:bCs/>
                <w:rtl/>
              </w:rPr>
              <w:t>المتوسط</w:t>
            </w:r>
          </w:p>
        </w:tc>
      </w:tr>
      <w:tr w:rsidR="00275265">
        <w:tblPrEx>
          <w:tblCellMar>
            <w:top w:w="0" w:type="dxa"/>
            <w:bottom w:w="0" w:type="dxa"/>
          </w:tblCellMar>
        </w:tblPrEx>
        <w:trPr>
          <w:jc w:val="center"/>
        </w:trPr>
        <w:tc>
          <w:tcPr>
            <w:tcW w:w="1641" w:type="dxa"/>
            <w:shd w:val="clear" w:color="auto" w:fill="auto"/>
          </w:tcPr>
          <w:p w:rsidR="00275265" w:rsidRPr="00376613" w:rsidRDefault="00275265" w:rsidP="003F4B71">
            <w:pPr>
              <w:ind w:left="58" w:right="58"/>
              <w:rPr>
                <w:rFonts w:hint="cs"/>
                <w:b/>
                <w:bCs/>
                <w:rtl/>
              </w:rPr>
            </w:pPr>
            <w:r w:rsidRPr="00376613">
              <w:rPr>
                <w:rFonts w:hint="cs"/>
                <w:b/>
                <w:bCs/>
                <w:rtl/>
              </w:rPr>
              <w:t>1998</w:t>
            </w:r>
          </w:p>
        </w:tc>
        <w:tc>
          <w:tcPr>
            <w:tcW w:w="1641" w:type="dxa"/>
            <w:shd w:val="clear" w:color="auto" w:fill="auto"/>
          </w:tcPr>
          <w:p w:rsidR="00275265" w:rsidRPr="002266BE" w:rsidRDefault="00275265" w:rsidP="003F4B71">
            <w:pPr>
              <w:ind w:left="58" w:right="58"/>
              <w:rPr>
                <w:rFonts w:hint="cs"/>
                <w:rtl/>
              </w:rPr>
            </w:pPr>
            <w:r w:rsidRPr="002266BE">
              <w:rPr>
                <w:rFonts w:hint="cs"/>
                <w:rtl/>
              </w:rPr>
              <w:t>43</w:t>
            </w:r>
            <w:r>
              <w:rPr>
                <w:rFonts w:cs="Akhbar MT" w:hint="cs"/>
                <w:rtl/>
              </w:rPr>
              <w:t xml:space="preserve"> </w:t>
            </w:r>
            <w:r w:rsidRPr="002266BE">
              <w:rPr>
                <w:rFonts w:hint="cs"/>
                <w:rtl/>
              </w:rPr>
              <w:t>في المائة</w:t>
            </w:r>
          </w:p>
        </w:tc>
        <w:tc>
          <w:tcPr>
            <w:tcW w:w="1418" w:type="dxa"/>
            <w:shd w:val="clear" w:color="auto" w:fill="auto"/>
          </w:tcPr>
          <w:p w:rsidR="00275265" w:rsidRPr="002266BE" w:rsidRDefault="00275265" w:rsidP="003F4B71">
            <w:pPr>
              <w:ind w:left="58" w:right="58"/>
              <w:rPr>
                <w:rFonts w:hint="cs"/>
                <w:rtl/>
              </w:rPr>
            </w:pPr>
            <w:r w:rsidRPr="002266BE">
              <w:rPr>
                <w:rFonts w:hint="cs"/>
                <w:rtl/>
              </w:rPr>
              <w:t>39 في المائة</w:t>
            </w:r>
          </w:p>
        </w:tc>
        <w:tc>
          <w:tcPr>
            <w:tcW w:w="1442" w:type="dxa"/>
            <w:shd w:val="clear" w:color="auto" w:fill="auto"/>
          </w:tcPr>
          <w:p w:rsidR="00275265" w:rsidRPr="002266BE" w:rsidRDefault="00275265" w:rsidP="003F4B71">
            <w:pPr>
              <w:ind w:left="58" w:right="58"/>
              <w:rPr>
                <w:rFonts w:hint="cs"/>
                <w:rtl/>
              </w:rPr>
            </w:pPr>
            <w:r w:rsidRPr="002266BE">
              <w:rPr>
                <w:rFonts w:hint="cs"/>
                <w:rtl/>
              </w:rPr>
              <w:t>غير متوفر</w:t>
            </w:r>
          </w:p>
        </w:tc>
        <w:tc>
          <w:tcPr>
            <w:tcW w:w="2369" w:type="dxa"/>
            <w:shd w:val="clear" w:color="auto" w:fill="auto"/>
          </w:tcPr>
          <w:p w:rsidR="00275265" w:rsidRPr="002266BE" w:rsidRDefault="00275265" w:rsidP="003F4B71">
            <w:pPr>
              <w:ind w:left="58" w:right="58"/>
              <w:rPr>
                <w:rFonts w:hint="cs"/>
                <w:rtl/>
              </w:rPr>
            </w:pPr>
            <w:r w:rsidRPr="002266BE">
              <w:rPr>
                <w:rFonts w:hint="cs"/>
                <w:rtl/>
              </w:rPr>
              <w:t>63 في المائة</w:t>
            </w:r>
          </w:p>
        </w:tc>
        <w:tc>
          <w:tcPr>
            <w:tcW w:w="1339" w:type="dxa"/>
            <w:shd w:val="clear" w:color="auto" w:fill="auto"/>
          </w:tcPr>
          <w:p w:rsidR="00275265" w:rsidRPr="002266BE" w:rsidRDefault="00275265" w:rsidP="003F4B71">
            <w:pPr>
              <w:ind w:left="58" w:right="58"/>
              <w:rPr>
                <w:rFonts w:hint="cs"/>
                <w:rtl/>
              </w:rPr>
            </w:pPr>
            <w:r w:rsidRPr="002266BE">
              <w:rPr>
                <w:rFonts w:hint="cs"/>
                <w:rtl/>
              </w:rPr>
              <w:t>48 في المائة</w:t>
            </w:r>
          </w:p>
        </w:tc>
      </w:tr>
      <w:tr w:rsidR="00275265">
        <w:tblPrEx>
          <w:tblCellMar>
            <w:top w:w="0" w:type="dxa"/>
            <w:bottom w:w="0" w:type="dxa"/>
          </w:tblCellMar>
        </w:tblPrEx>
        <w:trPr>
          <w:jc w:val="center"/>
        </w:trPr>
        <w:tc>
          <w:tcPr>
            <w:tcW w:w="1641" w:type="dxa"/>
            <w:shd w:val="clear" w:color="auto" w:fill="auto"/>
          </w:tcPr>
          <w:p w:rsidR="00275265" w:rsidRPr="00376613" w:rsidRDefault="00275265" w:rsidP="003F4B71">
            <w:pPr>
              <w:ind w:left="58" w:right="58"/>
              <w:rPr>
                <w:rFonts w:hint="cs"/>
                <w:b/>
                <w:bCs/>
                <w:rtl/>
              </w:rPr>
            </w:pPr>
            <w:r w:rsidRPr="00376613">
              <w:rPr>
                <w:rFonts w:hint="cs"/>
                <w:b/>
                <w:bCs/>
                <w:rtl/>
              </w:rPr>
              <w:t>1999</w:t>
            </w:r>
          </w:p>
        </w:tc>
        <w:tc>
          <w:tcPr>
            <w:tcW w:w="1641" w:type="dxa"/>
            <w:shd w:val="clear" w:color="auto" w:fill="auto"/>
          </w:tcPr>
          <w:p w:rsidR="00275265" w:rsidRPr="002266BE" w:rsidRDefault="00275265" w:rsidP="003F4B71">
            <w:pPr>
              <w:ind w:left="58" w:right="58"/>
              <w:rPr>
                <w:rFonts w:hint="cs"/>
                <w:rtl/>
              </w:rPr>
            </w:pPr>
            <w:r w:rsidRPr="002266BE">
              <w:rPr>
                <w:rFonts w:hint="cs"/>
                <w:rtl/>
              </w:rPr>
              <w:t>44 في المائة</w:t>
            </w:r>
          </w:p>
        </w:tc>
        <w:tc>
          <w:tcPr>
            <w:tcW w:w="1418" w:type="dxa"/>
            <w:shd w:val="clear" w:color="auto" w:fill="auto"/>
          </w:tcPr>
          <w:p w:rsidR="00275265" w:rsidRPr="002266BE" w:rsidRDefault="00275265" w:rsidP="003F4B71">
            <w:pPr>
              <w:ind w:left="58" w:right="58"/>
              <w:rPr>
                <w:rFonts w:hint="cs"/>
                <w:rtl/>
              </w:rPr>
            </w:pPr>
            <w:r w:rsidRPr="002266BE">
              <w:rPr>
                <w:rFonts w:hint="cs"/>
                <w:rtl/>
              </w:rPr>
              <w:t>40 في المائة</w:t>
            </w:r>
          </w:p>
        </w:tc>
        <w:tc>
          <w:tcPr>
            <w:tcW w:w="1442" w:type="dxa"/>
            <w:shd w:val="clear" w:color="auto" w:fill="auto"/>
          </w:tcPr>
          <w:p w:rsidR="00275265" w:rsidRPr="002266BE" w:rsidRDefault="00275265" w:rsidP="003F4B71">
            <w:pPr>
              <w:ind w:left="58" w:right="58"/>
              <w:rPr>
                <w:rFonts w:hint="cs"/>
                <w:rtl/>
              </w:rPr>
            </w:pPr>
            <w:r w:rsidRPr="002266BE">
              <w:rPr>
                <w:rFonts w:hint="cs"/>
                <w:rtl/>
              </w:rPr>
              <w:t>غير متوفر</w:t>
            </w:r>
          </w:p>
        </w:tc>
        <w:tc>
          <w:tcPr>
            <w:tcW w:w="2369" w:type="dxa"/>
            <w:shd w:val="clear" w:color="auto" w:fill="auto"/>
          </w:tcPr>
          <w:p w:rsidR="00275265" w:rsidRPr="002266BE" w:rsidRDefault="00275265" w:rsidP="003F4B71">
            <w:pPr>
              <w:ind w:left="58" w:right="58"/>
              <w:rPr>
                <w:rFonts w:hint="cs"/>
                <w:rtl/>
              </w:rPr>
            </w:pPr>
            <w:r w:rsidRPr="002266BE">
              <w:rPr>
                <w:rFonts w:hint="cs"/>
                <w:rtl/>
              </w:rPr>
              <w:t>63 في المائة *</w:t>
            </w:r>
          </w:p>
        </w:tc>
        <w:tc>
          <w:tcPr>
            <w:tcW w:w="1339" w:type="dxa"/>
            <w:shd w:val="clear" w:color="auto" w:fill="auto"/>
          </w:tcPr>
          <w:p w:rsidR="00275265" w:rsidRPr="002266BE" w:rsidRDefault="00275265" w:rsidP="003F4B71">
            <w:pPr>
              <w:ind w:left="58" w:right="58"/>
              <w:rPr>
                <w:rFonts w:hint="cs"/>
                <w:rtl/>
              </w:rPr>
            </w:pPr>
            <w:r w:rsidRPr="002266BE">
              <w:rPr>
                <w:rFonts w:hint="cs"/>
                <w:rtl/>
              </w:rPr>
              <w:t>49 في المائة</w:t>
            </w:r>
          </w:p>
        </w:tc>
      </w:tr>
      <w:tr w:rsidR="00275265">
        <w:tblPrEx>
          <w:tblCellMar>
            <w:top w:w="0" w:type="dxa"/>
            <w:bottom w:w="0" w:type="dxa"/>
          </w:tblCellMar>
        </w:tblPrEx>
        <w:trPr>
          <w:jc w:val="center"/>
        </w:trPr>
        <w:tc>
          <w:tcPr>
            <w:tcW w:w="1641" w:type="dxa"/>
            <w:shd w:val="clear" w:color="auto" w:fill="auto"/>
          </w:tcPr>
          <w:p w:rsidR="00275265" w:rsidRPr="00376613" w:rsidRDefault="00275265" w:rsidP="003F4B71">
            <w:pPr>
              <w:ind w:left="58" w:right="58"/>
              <w:rPr>
                <w:rFonts w:hint="cs"/>
                <w:b/>
                <w:bCs/>
                <w:rtl/>
              </w:rPr>
            </w:pPr>
            <w:r w:rsidRPr="00376613">
              <w:rPr>
                <w:rFonts w:hint="cs"/>
                <w:b/>
                <w:bCs/>
                <w:rtl/>
              </w:rPr>
              <w:t>2000</w:t>
            </w:r>
          </w:p>
        </w:tc>
        <w:tc>
          <w:tcPr>
            <w:tcW w:w="1641" w:type="dxa"/>
            <w:shd w:val="clear" w:color="auto" w:fill="auto"/>
          </w:tcPr>
          <w:p w:rsidR="00275265" w:rsidRPr="002266BE" w:rsidRDefault="00275265" w:rsidP="003F4B71">
            <w:pPr>
              <w:ind w:left="58" w:right="58"/>
              <w:rPr>
                <w:rFonts w:hint="cs"/>
                <w:rtl/>
              </w:rPr>
            </w:pPr>
            <w:r w:rsidRPr="002266BE">
              <w:rPr>
                <w:rFonts w:hint="cs"/>
                <w:rtl/>
              </w:rPr>
              <w:t>54 في المائة</w:t>
            </w:r>
          </w:p>
        </w:tc>
        <w:tc>
          <w:tcPr>
            <w:tcW w:w="1418" w:type="dxa"/>
            <w:shd w:val="clear" w:color="auto" w:fill="auto"/>
          </w:tcPr>
          <w:p w:rsidR="00275265" w:rsidRPr="002266BE" w:rsidRDefault="00275265" w:rsidP="003F4B71">
            <w:pPr>
              <w:ind w:left="58" w:right="58"/>
              <w:rPr>
                <w:rFonts w:hint="cs"/>
                <w:rtl/>
              </w:rPr>
            </w:pPr>
            <w:r w:rsidRPr="002266BE">
              <w:rPr>
                <w:rFonts w:hint="cs"/>
                <w:rtl/>
              </w:rPr>
              <w:t>42 في المائة</w:t>
            </w:r>
          </w:p>
        </w:tc>
        <w:tc>
          <w:tcPr>
            <w:tcW w:w="1442" w:type="dxa"/>
            <w:shd w:val="clear" w:color="auto" w:fill="auto"/>
          </w:tcPr>
          <w:p w:rsidR="00275265" w:rsidRPr="002266BE" w:rsidRDefault="00275265" w:rsidP="003F4B71">
            <w:pPr>
              <w:ind w:left="58" w:right="58"/>
              <w:rPr>
                <w:rFonts w:hint="cs"/>
                <w:rtl/>
              </w:rPr>
            </w:pPr>
            <w:r w:rsidRPr="002266BE">
              <w:rPr>
                <w:rFonts w:hint="cs"/>
                <w:rtl/>
              </w:rPr>
              <w:t>غير متوفر</w:t>
            </w:r>
          </w:p>
        </w:tc>
        <w:tc>
          <w:tcPr>
            <w:tcW w:w="2369" w:type="dxa"/>
            <w:shd w:val="clear" w:color="auto" w:fill="auto"/>
          </w:tcPr>
          <w:p w:rsidR="00275265" w:rsidRPr="002266BE" w:rsidRDefault="00275265" w:rsidP="003F4B71">
            <w:pPr>
              <w:ind w:left="58" w:right="58"/>
              <w:rPr>
                <w:rFonts w:hint="cs"/>
                <w:rtl/>
              </w:rPr>
            </w:pPr>
            <w:r w:rsidRPr="002266BE">
              <w:rPr>
                <w:rFonts w:hint="cs"/>
                <w:rtl/>
              </w:rPr>
              <w:t>63 في المائة *</w:t>
            </w:r>
          </w:p>
        </w:tc>
        <w:tc>
          <w:tcPr>
            <w:tcW w:w="1339" w:type="dxa"/>
            <w:shd w:val="clear" w:color="auto" w:fill="auto"/>
          </w:tcPr>
          <w:p w:rsidR="00275265" w:rsidRPr="002266BE" w:rsidRDefault="00275265" w:rsidP="003F4B71">
            <w:pPr>
              <w:ind w:left="58" w:right="58"/>
              <w:rPr>
                <w:rFonts w:hint="cs"/>
                <w:rtl/>
              </w:rPr>
            </w:pPr>
            <w:r w:rsidRPr="002266BE">
              <w:rPr>
                <w:rFonts w:hint="cs"/>
                <w:rtl/>
              </w:rPr>
              <w:t>52 في المائة</w:t>
            </w:r>
          </w:p>
        </w:tc>
      </w:tr>
      <w:tr w:rsidR="00275265">
        <w:tblPrEx>
          <w:tblCellMar>
            <w:top w:w="0" w:type="dxa"/>
            <w:bottom w:w="0" w:type="dxa"/>
          </w:tblCellMar>
        </w:tblPrEx>
        <w:trPr>
          <w:jc w:val="center"/>
        </w:trPr>
        <w:tc>
          <w:tcPr>
            <w:tcW w:w="1641" w:type="dxa"/>
            <w:shd w:val="clear" w:color="auto" w:fill="auto"/>
          </w:tcPr>
          <w:p w:rsidR="00275265" w:rsidRPr="00376613" w:rsidRDefault="00275265" w:rsidP="003F4B71">
            <w:pPr>
              <w:ind w:left="58" w:right="58"/>
              <w:rPr>
                <w:rFonts w:hint="cs"/>
                <w:b/>
                <w:bCs/>
                <w:rtl/>
              </w:rPr>
            </w:pPr>
            <w:r w:rsidRPr="00376613">
              <w:rPr>
                <w:rFonts w:hint="cs"/>
                <w:b/>
                <w:bCs/>
                <w:rtl/>
              </w:rPr>
              <w:t>2001</w:t>
            </w:r>
          </w:p>
        </w:tc>
        <w:tc>
          <w:tcPr>
            <w:tcW w:w="1641" w:type="dxa"/>
            <w:shd w:val="clear" w:color="auto" w:fill="auto"/>
          </w:tcPr>
          <w:p w:rsidR="00275265" w:rsidRPr="002266BE" w:rsidRDefault="00275265" w:rsidP="003F4B71">
            <w:pPr>
              <w:ind w:left="58" w:right="58"/>
              <w:rPr>
                <w:rFonts w:hint="cs"/>
                <w:rtl/>
              </w:rPr>
            </w:pPr>
            <w:r w:rsidRPr="002266BE">
              <w:rPr>
                <w:rFonts w:hint="cs"/>
                <w:rtl/>
              </w:rPr>
              <w:t>41 في المائة</w:t>
            </w:r>
          </w:p>
        </w:tc>
        <w:tc>
          <w:tcPr>
            <w:tcW w:w="1418" w:type="dxa"/>
            <w:shd w:val="clear" w:color="auto" w:fill="auto"/>
          </w:tcPr>
          <w:p w:rsidR="00275265" w:rsidRPr="002266BE" w:rsidRDefault="00275265" w:rsidP="003F4B71">
            <w:pPr>
              <w:ind w:left="58" w:right="58"/>
              <w:rPr>
                <w:rFonts w:hint="cs"/>
                <w:rtl/>
              </w:rPr>
            </w:pPr>
            <w:r w:rsidRPr="002266BE">
              <w:rPr>
                <w:rFonts w:hint="cs"/>
                <w:rtl/>
              </w:rPr>
              <w:t>44 في المائة</w:t>
            </w:r>
          </w:p>
        </w:tc>
        <w:tc>
          <w:tcPr>
            <w:tcW w:w="1442" w:type="dxa"/>
            <w:shd w:val="clear" w:color="auto" w:fill="auto"/>
          </w:tcPr>
          <w:p w:rsidR="00275265" w:rsidRPr="002266BE" w:rsidRDefault="00275265" w:rsidP="003F4B71">
            <w:pPr>
              <w:ind w:left="58" w:right="58"/>
              <w:rPr>
                <w:rFonts w:hint="cs"/>
                <w:rtl/>
              </w:rPr>
            </w:pPr>
            <w:r w:rsidRPr="002266BE">
              <w:rPr>
                <w:rFonts w:hint="cs"/>
                <w:rtl/>
              </w:rPr>
              <w:t xml:space="preserve">75 </w:t>
            </w:r>
            <w:r>
              <w:rPr>
                <w:rFonts w:hint="cs"/>
                <w:rtl/>
              </w:rPr>
              <w:t>في المائة</w:t>
            </w:r>
          </w:p>
        </w:tc>
        <w:tc>
          <w:tcPr>
            <w:tcW w:w="2369" w:type="dxa"/>
            <w:shd w:val="clear" w:color="auto" w:fill="auto"/>
          </w:tcPr>
          <w:p w:rsidR="00275265" w:rsidRPr="002266BE" w:rsidRDefault="00275265" w:rsidP="003F4B71">
            <w:pPr>
              <w:ind w:left="58" w:right="58"/>
              <w:rPr>
                <w:rFonts w:hint="cs"/>
                <w:rtl/>
              </w:rPr>
            </w:pPr>
            <w:r w:rsidRPr="002266BE">
              <w:rPr>
                <w:rFonts w:hint="cs"/>
                <w:rtl/>
              </w:rPr>
              <w:t>67 في المائة</w:t>
            </w:r>
          </w:p>
        </w:tc>
        <w:tc>
          <w:tcPr>
            <w:tcW w:w="1339" w:type="dxa"/>
            <w:shd w:val="clear" w:color="auto" w:fill="auto"/>
          </w:tcPr>
          <w:p w:rsidR="00275265" w:rsidRPr="002266BE" w:rsidRDefault="00275265" w:rsidP="003F4B71">
            <w:pPr>
              <w:ind w:left="58" w:right="58"/>
              <w:rPr>
                <w:rFonts w:hint="cs"/>
                <w:rtl/>
              </w:rPr>
            </w:pPr>
            <w:r w:rsidRPr="002266BE">
              <w:rPr>
                <w:rFonts w:hint="cs"/>
                <w:rtl/>
              </w:rPr>
              <w:t>56 في المائة</w:t>
            </w:r>
          </w:p>
        </w:tc>
      </w:tr>
      <w:tr w:rsidR="00275265">
        <w:tblPrEx>
          <w:tblCellMar>
            <w:top w:w="0" w:type="dxa"/>
            <w:bottom w:w="0" w:type="dxa"/>
          </w:tblCellMar>
        </w:tblPrEx>
        <w:trPr>
          <w:jc w:val="center"/>
        </w:trPr>
        <w:tc>
          <w:tcPr>
            <w:tcW w:w="1641" w:type="dxa"/>
            <w:shd w:val="clear" w:color="auto" w:fill="auto"/>
          </w:tcPr>
          <w:p w:rsidR="00275265" w:rsidRPr="00376613" w:rsidRDefault="00275265" w:rsidP="003F4B71">
            <w:pPr>
              <w:ind w:left="58" w:right="58"/>
              <w:rPr>
                <w:rFonts w:hint="cs"/>
                <w:b/>
                <w:bCs/>
                <w:rtl/>
              </w:rPr>
            </w:pPr>
            <w:r w:rsidRPr="00376613">
              <w:rPr>
                <w:rFonts w:hint="cs"/>
                <w:b/>
                <w:bCs/>
                <w:rtl/>
              </w:rPr>
              <w:t>2002</w:t>
            </w:r>
          </w:p>
        </w:tc>
        <w:tc>
          <w:tcPr>
            <w:tcW w:w="1641" w:type="dxa"/>
            <w:shd w:val="clear" w:color="auto" w:fill="auto"/>
          </w:tcPr>
          <w:p w:rsidR="00275265" w:rsidRPr="002266BE" w:rsidRDefault="00275265" w:rsidP="003F4B71">
            <w:pPr>
              <w:ind w:left="58" w:right="58"/>
              <w:rPr>
                <w:rFonts w:hint="cs"/>
                <w:rtl/>
              </w:rPr>
            </w:pPr>
            <w:r w:rsidRPr="002266BE">
              <w:rPr>
                <w:rFonts w:hint="cs"/>
                <w:rtl/>
              </w:rPr>
              <w:t>35 في المائة</w:t>
            </w:r>
          </w:p>
        </w:tc>
        <w:tc>
          <w:tcPr>
            <w:tcW w:w="1418" w:type="dxa"/>
            <w:shd w:val="clear" w:color="auto" w:fill="auto"/>
          </w:tcPr>
          <w:p w:rsidR="00275265" w:rsidRPr="002266BE" w:rsidRDefault="00275265" w:rsidP="003F4B71">
            <w:pPr>
              <w:ind w:left="58" w:right="58"/>
              <w:rPr>
                <w:rFonts w:hint="cs"/>
                <w:rtl/>
              </w:rPr>
            </w:pPr>
            <w:r w:rsidRPr="002266BE">
              <w:rPr>
                <w:rFonts w:hint="cs"/>
                <w:rtl/>
              </w:rPr>
              <w:t>غير متوفر</w:t>
            </w:r>
          </w:p>
        </w:tc>
        <w:tc>
          <w:tcPr>
            <w:tcW w:w="1442" w:type="dxa"/>
            <w:shd w:val="clear" w:color="auto" w:fill="auto"/>
          </w:tcPr>
          <w:p w:rsidR="00275265" w:rsidRPr="002266BE" w:rsidRDefault="00275265" w:rsidP="003F4B71">
            <w:pPr>
              <w:ind w:left="58" w:right="58"/>
              <w:rPr>
                <w:rFonts w:hint="cs"/>
                <w:rtl/>
              </w:rPr>
            </w:pPr>
            <w:r w:rsidRPr="002266BE">
              <w:rPr>
                <w:rFonts w:hint="cs"/>
                <w:rtl/>
              </w:rPr>
              <w:t>غير متوفر</w:t>
            </w:r>
          </w:p>
        </w:tc>
        <w:tc>
          <w:tcPr>
            <w:tcW w:w="2369" w:type="dxa"/>
            <w:shd w:val="clear" w:color="auto" w:fill="auto"/>
          </w:tcPr>
          <w:p w:rsidR="00275265" w:rsidRPr="002266BE" w:rsidRDefault="00275265" w:rsidP="003F4B71">
            <w:pPr>
              <w:ind w:left="58" w:right="58"/>
              <w:rPr>
                <w:rFonts w:hint="cs"/>
                <w:rtl/>
              </w:rPr>
            </w:pPr>
            <w:r w:rsidRPr="002266BE">
              <w:rPr>
                <w:rFonts w:hint="cs"/>
                <w:rtl/>
              </w:rPr>
              <w:t>67 في المائة</w:t>
            </w:r>
          </w:p>
        </w:tc>
        <w:tc>
          <w:tcPr>
            <w:tcW w:w="1339" w:type="dxa"/>
            <w:shd w:val="clear" w:color="auto" w:fill="auto"/>
          </w:tcPr>
          <w:p w:rsidR="00275265" w:rsidRPr="002266BE" w:rsidRDefault="00275265" w:rsidP="003F4B71">
            <w:pPr>
              <w:ind w:left="58" w:right="58"/>
              <w:rPr>
                <w:rFonts w:hint="cs"/>
                <w:rtl/>
              </w:rPr>
            </w:pPr>
            <w:r w:rsidRPr="002266BE">
              <w:rPr>
                <w:rFonts w:hint="cs"/>
                <w:rtl/>
              </w:rPr>
              <w:t>51 في المائة</w:t>
            </w:r>
          </w:p>
        </w:tc>
      </w:tr>
    </w:tbl>
    <w:p w:rsidR="00275265" w:rsidRDefault="00275265" w:rsidP="00275265">
      <w:pPr>
        <w:pStyle w:val="SingleTxt"/>
        <w:rPr>
          <w:rFonts w:hint="cs"/>
          <w:rtl/>
        </w:rPr>
      </w:pPr>
      <w:r>
        <w:rPr>
          <w:rFonts w:hint="cs"/>
          <w:rtl/>
        </w:rPr>
        <w:t>*  قدم المكتب الإحصائي الوطني بيانات موحدة عن الفترة 1998-2000</w:t>
      </w:r>
    </w:p>
    <w:p w:rsidR="00275265" w:rsidRDefault="00275265" w:rsidP="00275265">
      <w:pPr>
        <w:pStyle w:val="SingleTxt"/>
        <w:rPr>
          <w:rFonts w:hint="cs"/>
          <w:rtl/>
        </w:rPr>
      </w:pPr>
    </w:p>
    <w:p w:rsidR="00275265" w:rsidRDefault="00275265" w:rsidP="00275265">
      <w:pPr>
        <w:pStyle w:val="SingleTxt"/>
        <w:rPr>
          <w:rFonts w:hint="cs"/>
          <w:rtl/>
        </w:rPr>
      </w:pPr>
      <w:r>
        <w:rPr>
          <w:rFonts w:hint="cs"/>
          <w:rtl/>
        </w:rPr>
        <w:t>الجدول ألف -10-1</w:t>
      </w:r>
    </w:p>
    <w:p w:rsidR="00275265" w:rsidRPr="00314196" w:rsidRDefault="00275265" w:rsidP="00275265">
      <w:pPr>
        <w:pStyle w:val="SingleTxt"/>
        <w:rPr>
          <w:rFonts w:hint="cs"/>
          <w:b/>
          <w:bCs/>
          <w:rtl/>
        </w:rPr>
      </w:pPr>
      <w:r w:rsidRPr="00314196">
        <w:rPr>
          <w:rFonts w:hint="cs"/>
          <w:b/>
          <w:bCs/>
          <w:rtl/>
        </w:rPr>
        <w:t>نسبة الطالبات والخريجات من المدارس العليا في السنة الأكاديمية 1999-2000:</w:t>
      </w:r>
    </w:p>
    <w:p w:rsidR="00275265" w:rsidRDefault="00275265" w:rsidP="00275265">
      <w:pPr>
        <w:pStyle w:val="SingleTxt"/>
        <w:spacing w:after="0" w:line="120" w:lineRule="exact"/>
        <w:rPr>
          <w:rFonts w:hint="cs"/>
          <w:sz w:val="10"/>
          <w:rtl/>
        </w:rPr>
      </w:pPr>
    </w:p>
    <w:p w:rsidR="00275265" w:rsidRPr="00314196" w:rsidRDefault="00275265" w:rsidP="00275265">
      <w:pPr>
        <w:pStyle w:val="SingleTxt"/>
        <w:spacing w:after="0" w:line="120" w:lineRule="exact"/>
        <w:rPr>
          <w:rFonts w:hint="cs"/>
          <w:sz w:val="10"/>
          <w:rtl/>
        </w:rPr>
      </w:pPr>
    </w:p>
    <w:tbl>
      <w:tblPr>
        <w:bidiVisual/>
        <w:tblW w:w="69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670"/>
        <w:gridCol w:w="1648"/>
        <w:gridCol w:w="1648"/>
      </w:tblGrid>
      <w:tr w:rsidR="00275265">
        <w:tblPrEx>
          <w:tblCellMar>
            <w:top w:w="0" w:type="dxa"/>
            <w:bottom w:w="0" w:type="dxa"/>
          </w:tblCellMar>
        </w:tblPrEx>
        <w:trPr>
          <w:jc w:val="center"/>
        </w:trPr>
        <w:tc>
          <w:tcPr>
            <w:tcW w:w="3670" w:type="dxa"/>
            <w:shd w:val="clear" w:color="auto" w:fill="auto"/>
            <w:tcMar>
              <w:left w:w="0" w:type="dxa"/>
              <w:right w:w="0" w:type="dxa"/>
            </w:tcMar>
          </w:tcPr>
          <w:p w:rsidR="00275265" w:rsidRPr="00376613" w:rsidRDefault="00275265" w:rsidP="003F4B71">
            <w:pPr>
              <w:ind w:left="43" w:right="43"/>
              <w:rPr>
                <w:rFonts w:hint="cs"/>
                <w:b/>
                <w:bCs/>
                <w:rtl/>
              </w:rPr>
            </w:pPr>
            <w:r w:rsidRPr="00376613">
              <w:rPr>
                <w:rFonts w:hint="cs"/>
                <w:b/>
                <w:bCs/>
                <w:rtl/>
              </w:rPr>
              <w:t>نوع المدارس العليا</w:t>
            </w:r>
          </w:p>
        </w:tc>
        <w:tc>
          <w:tcPr>
            <w:tcW w:w="1648" w:type="dxa"/>
            <w:shd w:val="clear" w:color="auto" w:fill="auto"/>
          </w:tcPr>
          <w:p w:rsidR="00275265" w:rsidRPr="00376613" w:rsidRDefault="00275265" w:rsidP="003F4B71">
            <w:pPr>
              <w:ind w:left="43" w:right="43"/>
              <w:rPr>
                <w:rFonts w:hint="cs"/>
                <w:b/>
                <w:bCs/>
                <w:rtl/>
              </w:rPr>
            </w:pPr>
            <w:r w:rsidRPr="00376613">
              <w:rPr>
                <w:rFonts w:hint="cs"/>
                <w:b/>
                <w:bCs/>
                <w:rtl/>
              </w:rPr>
              <w:t>نسبة الطالبات</w:t>
            </w:r>
          </w:p>
        </w:tc>
        <w:tc>
          <w:tcPr>
            <w:tcW w:w="1648" w:type="dxa"/>
            <w:shd w:val="clear" w:color="auto" w:fill="auto"/>
          </w:tcPr>
          <w:p w:rsidR="00275265" w:rsidRPr="00376613" w:rsidRDefault="00275265" w:rsidP="003F4B71">
            <w:pPr>
              <w:ind w:left="43" w:right="43"/>
              <w:rPr>
                <w:rFonts w:hint="cs"/>
                <w:b/>
                <w:bCs/>
                <w:rtl/>
              </w:rPr>
            </w:pPr>
            <w:r w:rsidRPr="00376613">
              <w:rPr>
                <w:rFonts w:hint="cs"/>
                <w:b/>
                <w:bCs/>
                <w:rtl/>
              </w:rPr>
              <w:t>نسبة الخريجات</w:t>
            </w:r>
          </w:p>
        </w:tc>
      </w:tr>
      <w:tr w:rsidR="00275265">
        <w:tblPrEx>
          <w:tblCellMar>
            <w:top w:w="0" w:type="dxa"/>
            <w:bottom w:w="0" w:type="dxa"/>
          </w:tblCellMar>
        </w:tblPrEx>
        <w:trPr>
          <w:jc w:val="center"/>
        </w:trPr>
        <w:tc>
          <w:tcPr>
            <w:tcW w:w="3670" w:type="dxa"/>
            <w:shd w:val="clear" w:color="auto" w:fill="auto"/>
          </w:tcPr>
          <w:p w:rsidR="00275265" w:rsidRDefault="00275265" w:rsidP="003F4B71">
            <w:pPr>
              <w:ind w:left="43" w:right="43"/>
              <w:rPr>
                <w:rFonts w:hint="cs"/>
                <w:rtl/>
              </w:rPr>
            </w:pPr>
            <w:r>
              <w:rPr>
                <w:rFonts w:hint="cs"/>
                <w:rtl/>
              </w:rPr>
              <w:t>الجامعات</w:t>
            </w:r>
          </w:p>
        </w:tc>
        <w:tc>
          <w:tcPr>
            <w:tcW w:w="1648" w:type="dxa"/>
            <w:shd w:val="clear" w:color="auto" w:fill="auto"/>
          </w:tcPr>
          <w:p w:rsidR="00275265" w:rsidRPr="002266BE" w:rsidRDefault="00275265" w:rsidP="003F4B71">
            <w:pPr>
              <w:ind w:left="43" w:right="43"/>
              <w:rPr>
                <w:rFonts w:hint="cs"/>
                <w:rtl/>
              </w:rPr>
            </w:pPr>
            <w:r w:rsidRPr="002266BE">
              <w:rPr>
                <w:rFonts w:hint="cs"/>
                <w:rtl/>
              </w:rPr>
              <w:t xml:space="preserve">65 </w:t>
            </w:r>
            <w:r>
              <w:rPr>
                <w:rFonts w:hint="cs"/>
                <w:rtl/>
              </w:rPr>
              <w:t>في المائة</w:t>
            </w:r>
          </w:p>
        </w:tc>
        <w:tc>
          <w:tcPr>
            <w:tcW w:w="1648" w:type="dxa"/>
            <w:shd w:val="clear" w:color="auto" w:fill="auto"/>
          </w:tcPr>
          <w:p w:rsidR="00275265" w:rsidRPr="002266BE" w:rsidRDefault="00275265" w:rsidP="003F4B71">
            <w:pPr>
              <w:ind w:left="43" w:right="43"/>
              <w:rPr>
                <w:rFonts w:hint="cs"/>
                <w:rtl/>
              </w:rPr>
            </w:pPr>
            <w:r w:rsidRPr="002266BE">
              <w:rPr>
                <w:rFonts w:hint="cs"/>
                <w:rtl/>
              </w:rPr>
              <w:t xml:space="preserve">72 </w:t>
            </w:r>
            <w:r>
              <w:rPr>
                <w:rFonts w:hint="cs"/>
                <w:rtl/>
              </w:rPr>
              <w:t>في المائة</w:t>
            </w:r>
          </w:p>
        </w:tc>
      </w:tr>
      <w:tr w:rsidR="00275265">
        <w:tblPrEx>
          <w:tblCellMar>
            <w:top w:w="0" w:type="dxa"/>
            <w:bottom w:w="0" w:type="dxa"/>
          </w:tblCellMar>
        </w:tblPrEx>
        <w:trPr>
          <w:jc w:val="center"/>
        </w:trPr>
        <w:tc>
          <w:tcPr>
            <w:tcW w:w="3670" w:type="dxa"/>
            <w:shd w:val="clear" w:color="auto" w:fill="auto"/>
          </w:tcPr>
          <w:p w:rsidR="00275265" w:rsidRDefault="00275265" w:rsidP="003F4B71">
            <w:pPr>
              <w:ind w:left="43" w:right="43"/>
              <w:rPr>
                <w:rFonts w:hint="cs"/>
                <w:rtl/>
              </w:rPr>
            </w:pPr>
            <w:r>
              <w:rPr>
                <w:rFonts w:hint="cs"/>
                <w:rtl/>
              </w:rPr>
              <w:t>الكليات الفنية العليا</w:t>
            </w:r>
          </w:p>
        </w:tc>
        <w:tc>
          <w:tcPr>
            <w:tcW w:w="1648" w:type="dxa"/>
            <w:shd w:val="clear" w:color="auto" w:fill="auto"/>
          </w:tcPr>
          <w:p w:rsidR="00275265" w:rsidRPr="002266BE" w:rsidRDefault="00275265" w:rsidP="003F4B71">
            <w:pPr>
              <w:ind w:left="43" w:right="43"/>
              <w:rPr>
                <w:rFonts w:hint="cs"/>
                <w:rtl/>
              </w:rPr>
            </w:pPr>
            <w:r w:rsidRPr="002266BE">
              <w:rPr>
                <w:rFonts w:hint="cs"/>
                <w:rtl/>
              </w:rPr>
              <w:t xml:space="preserve">31 </w:t>
            </w:r>
            <w:r>
              <w:rPr>
                <w:rFonts w:hint="cs"/>
                <w:rtl/>
              </w:rPr>
              <w:t>في المائة</w:t>
            </w:r>
          </w:p>
        </w:tc>
        <w:tc>
          <w:tcPr>
            <w:tcW w:w="1648" w:type="dxa"/>
            <w:shd w:val="clear" w:color="auto" w:fill="auto"/>
          </w:tcPr>
          <w:p w:rsidR="00275265" w:rsidRPr="002266BE" w:rsidRDefault="00275265" w:rsidP="003F4B71">
            <w:pPr>
              <w:ind w:left="43" w:right="43"/>
              <w:rPr>
                <w:rFonts w:hint="cs"/>
                <w:rtl/>
              </w:rPr>
            </w:pPr>
            <w:r w:rsidRPr="002266BE">
              <w:rPr>
                <w:rFonts w:hint="cs"/>
                <w:rtl/>
              </w:rPr>
              <w:t xml:space="preserve">37 </w:t>
            </w:r>
            <w:r>
              <w:rPr>
                <w:rFonts w:hint="cs"/>
                <w:rtl/>
              </w:rPr>
              <w:t>في المائة</w:t>
            </w:r>
          </w:p>
        </w:tc>
      </w:tr>
      <w:tr w:rsidR="00275265">
        <w:tblPrEx>
          <w:tblCellMar>
            <w:top w:w="0" w:type="dxa"/>
            <w:bottom w:w="0" w:type="dxa"/>
          </w:tblCellMar>
        </w:tblPrEx>
        <w:trPr>
          <w:jc w:val="center"/>
        </w:trPr>
        <w:tc>
          <w:tcPr>
            <w:tcW w:w="3670" w:type="dxa"/>
            <w:shd w:val="clear" w:color="auto" w:fill="auto"/>
          </w:tcPr>
          <w:p w:rsidR="00275265" w:rsidRDefault="00275265" w:rsidP="003F4B71">
            <w:pPr>
              <w:ind w:left="43" w:right="43"/>
              <w:rPr>
                <w:rFonts w:hint="cs"/>
                <w:rtl/>
              </w:rPr>
            </w:pPr>
            <w:r>
              <w:rPr>
                <w:rFonts w:hint="cs"/>
                <w:rtl/>
              </w:rPr>
              <w:t>الكليات الزراعية العليا</w:t>
            </w:r>
          </w:p>
        </w:tc>
        <w:tc>
          <w:tcPr>
            <w:tcW w:w="1648" w:type="dxa"/>
            <w:shd w:val="clear" w:color="auto" w:fill="auto"/>
          </w:tcPr>
          <w:p w:rsidR="00275265" w:rsidRPr="002266BE" w:rsidRDefault="00275265" w:rsidP="003F4B71">
            <w:pPr>
              <w:ind w:left="43" w:right="43"/>
              <w:rPr>
                <w:rFonts w:hint="cs"/>
                <w:rtl/>
              </w:rPr>
            </w:pPr>
            <w:r w:rsidRPr="002266BE">
              <w:rPr>
                <w:rFonts w:hint="cs"/>
                <w:rtl/>
              </w:rPr>
              <w:t xml:space="preserve">54 </w:t>
            </w:r>
            <w:r>
              <w:rPr>
                <w:rFonts w:hint="cs"/>
                <w:rtl/>
              </w:rPr>
              <w:t>في المائة</w:t>
            </w:r>
          </w:p>
        </w:tc>
        <w:tc>
          <w:tcPr>
            <w:tcW w:w="1648" w:type="dxa"/>
            <w:shd w:val="clear" w:color="auto" w:fill="auto"/>
          </w:tcPr>
          <w:p w:rsidR="00275265" w:rsidRPr="002266BE" w:rsidRDefault="00275265" w:rsidP="003F4B71">
            <w:pPr>
              <w:ind w:left="43" w:right="43"/>
              <w:rPr>
                <w:rFonts w:hint="cs"/>
                <w:rtl/>
              </w:rPr>
            </w:pPr>
            <w:r w:rsidRPr="002266BE">
              <w:rPr>
                <w:rFonts w:hint="cs"/>
                <w:rtl/>
              </w:rPr>
              <w:t xml:space="preserve">55 </w:t>
            </w:r>
            <w:r>
              <w:rPr>
                <w:rFonts w:hint="cs"/>
                <w:rtl/>
              </w:rPr>
              <w:t>في المائة</w:t>
            </w:r>
          </w:p>
        </w:tc>
      </w:tr>
      <w:tr w:rsidR="00275265">
        <w:tblPrEx>
          <w:tblCellMar>
            <w:top w:w="0" w:type="dxa"/>
            <w:bottom w:w="0" w:type="dxa"/>
          </w:tblCellMar>
        </w:tblPrEx>
        <w:trPr>
          <w:jc w:val="center"/>
        </w:trPr>
        <w:tc>
          <w:tcPr>
            <w:tcW w:w="3670" w:type="dxa"/>
            <w:shd w:val="clear" w:color="auto" w:fill="auto"/>
          </w:tcPr>
          <w:p w:rsidR="00275265" w:rsidRDefault="00275265" w:rsidP="003F4B71">
            <w:pPr>
              <w:ind w:left="43" w:right="43"/>
              <w:rPr>
                <w:rFonts w:hint="cs"/>
                <w:rtl/>
              </w:rPr>
            </w:pPr>
            <w:r>
              <w:rPr>
                <w:rFonts w:hint="cs"/>
                <w:rtl/>
              </w:rPr>
              <w:t>الكليات الاقتصادية العليا</w:t>
            </w:r>
          </w:p>
        </w:tc>
        <w:tc>
          <w:tcPr>
            <w:tcW w:w="1648" w:type="dxa"/>
            <w:shd w:val="clear" w:color="auto" w:fill="auto"/>
          </w:tcPr>
          <w:p w:rsidR="00275265" w:rsidRPr="002266BE" w:rsidRDefault="00275265" w:rsidP="003F4B71">
            <w:pPr>
              <w:ind w:left="43" w:right="43"/>
              <w:rPr>
                <w:rFonts w:hint="cs"/>
                <w:rtl/>
              </w:rPr>
            </w:pPr>
            <w:r w:rsidRPr="002266BE">
              <w:rPr>
                <w:rFonts w:hint="cs"/>
                <w:rtl/>
              </w:rPr>
              <w:t xml:space="preserve">61 </w:t>
            </w:r>
            <w:r>
              <w:rPr>
                <w:rFonts w:hint="cs"/>
                <w:rtl/>
              </w:rPr>
              <w:t>في المائة</w:t>
            </w:r>
          </w:p>
        </w:tc>
        <w:tc>
          <w:tcPr>
            <w:tcW w:w="1648" w:type="dxa"/>
            <w:shd w:val="clear" w:color="auto" w:fill="auto"/>
          </w:tcPr>
          <w:p w:rsidR="00275265" w:rsidRPr="002266BE" w:rsidRDefault="00275265" w:rsidP="003F4B71">
            <w:pPr>
              <w:ind w:left="43" w:right="43"/>
              <w:rPr>
                <w:rFonts w:hint="cs"/>
                <w:rtl/>
              </w:rPr>
            </w:pPr>
            <w:r w:rsidRPr="002266BE">
              <w:rPr>
                <w:rFonts w:hint="cs"/>
                <w:rtl/>
              </w:rPr>
              <w:t xml:space="preserve">68 </w:t>
            </w:r>
            <w:r>
              <w:rPr>
                <w:rFonts w:hint="cs"/>
                <w:rtl/>
              </w:rPr>
              <w:t>في المائة</w:t>
            </w:r>
          </w:p>
        </w:tc>
      </w:tr>
      <w:tr w:rsidR="00275265">
        <w:tblPrEx>
          <w:tblCellMar>
            <w:top w:w="0" w:type="dxa"/>
            <w:bottom w:w="0" w:type="dxa"/>
          </w:tblCellMar>
        </w:tblPrEx>
        <w:trPr>
          <w:jc w:val="center"/>
        </w:trPr>
        <w:tc>
          <w:tcPr>
            <w:tcW w:w="3670" w:type="dxa"/>
            <w:shd w:val="clear" w:color="auto" w:fill="auto"/>
          </w:tcPr>
          <w:p w:rsidR="00275265" w:rsidRDefault="00275265" w:rsidP="003F4B71">
            <w:pPr>
              <w:ind w:left="43" w:right="43"/>
              <w:rPr>
                <w:rFonts w:hint="cs"/>
                <w:rtl/>
              </w:rPr>
            </w:pPr>
            <w:r>
              <w:rPr>
                <w:rFonts w:hint="cs"/>
                <w:rtl/>
              </w:rPr>
              <w:t>الكليات التربوية العليا</w:t>
            </w:r>
          </w:p>
        </w:tc>
        <w:tc>
          <w:tcPr>
            <w:tcW w:w="1648" w:type="dxa"/>
            <w:shd w:val="clear" w:color="auto" w:fill="auto"/>
          </w:tcPr>
          <w:p w:rsidR="00275265" w:rsidRPr="002266BE" w:rsidRDefault="00275265" w:rsidP="003F4B71">
            <w:pPr>
              <w:ind w:left="43" w:right="43"/>
              <w:rPr>
                <w:rFonts w:hint="cs"/>
                <w:rtl/>
              </w:rPr>
            </w:pPr>
            <w:r w:rsidRPr="002266BE">
              <w:rPr>
                <w:rFonts w:hint="cs"/>
                <w:rtl/>
              </w:rPr>
              <w:t xml:space="preserve">73 </w:t>
            </w:r>
            <w:r>
              <w:rPr>
                <w:rFonts w:hint="cs"/>
                <w:rtl/>
              </w:rPr>
              <w:t>في المائة</w:t>
            </w:r>
          </w:p>
        </w:tc>
        <w:tc>
          <w:tcPr>
            <w:tcW w:w="1648" w:type="dxa"/>
            <w:shd w:val="clear" w:color="auto" w:fill="auto"/>
          </w:tcPr>
          <w:p w:rsidR="00275265" w:rsidRPr="002266BE" w:rsidRDefault="00275265" w:rsidP="003F4B71">
            <w:pPr>
              <w:ind w:left="43" w:right="43"/>
              <w:rPr>
                <w:rFonts w:hint="cs"/>
                <w:rtl/>
              </w:rPr>
            </w:pPr>
            <w:r w:rsidRPr="002266BE">
              <w:rPr>
                <w:rFonts w:hint="cs"/>
                <w:rtl/>
              </w:rPr>
              <w:t xml:space="preserve">82 </w:t>
            </w:r>
            <w:r>
              <w:rPr>
                <w:rFonts w:hint="cs"/>
                <w:rtl/>
              </w:rPr>
              <w:t>في المائة</w:t>
            </w:r>
          </w:p>
        </w:tc>
      </w:tr>
      <w:tr w:rsidR="00275265">
        <w:tblPrEx>
          <w:tblCellMar>
            <w:top w:w="0" w:type="dxa"/>
            <w:bottom w:w="0" w:type="dxa"/>
          </w:tblCellMar>
        </w:tblPrEx>
        <w:trPr>
          <w:jc w:val="center"/>
        </w:trPr>
        <w:tc>
          <w:tcPr>
            <w:tcW w:w="3670" w:type="dxa"/>
            <w:shd w:val="clear" w:color="auto" w:fill="auto"/>
          </w:tcPr>
          <w:p w:rsidR="00275265" w:rsidRDefault="00275265" w:rsidP="003F4B71">
            <w:pPr>
              <w:ind w:left="43" w:right="43"/>
              <w:rPr>
                <w:rFonts w:hint="cs"/>
                <w:rtl/>
              </w:rPr>
            </w:pPr>
            <w:r>
              <w:rPr>
                <w:rFonts w:hint="cs"/>
                <w:rtl/>
              </w:rPr>
              <w:t>الأكاديميات الطبية</w:t>
            </w:r>
          </w:p>
        </w:tc>
        <w:tc>
          <w:tcPr>
            <w:tcW w:w="1648" w:type="dxa"/>
            <w:shd w:val="clear" w:color="auto" w:fill="auto"/>
          </w:tcPr>
          <w:p w:rsidR="00275265" w:rsidRPr="002266BE" w:rsidRDefault="00275265" w:rsidP="003F4B71">
            <w:pPr>
              <w:ind w:left="43" w:right="43"/>
              <w:rPr>
                <w:rFonts w:hint="cs"/>
                <w:rtl/>
              </w:rPr>
            </w:pPr>
            <w:r w:rsidRPr="002266BE">
              <w:rPr>
                <w:rFonts w:hint="cs"/>
                <w:rtl/>
              </w:rPr>
              <w:t xml:space="preserve">70 </w:t>
            </w:r>
            <w:r>
              <w:rPr>
                <w:rFonts w:hint="cs"/>
                <w:rtl/>
              </w:rPr>
              <w:t>في المائة</w:t>
            </w:r>
          </w:p>
        </w:tc>
        <w:tc>
          <w:tcPr>
            <w:tcW w:w="1648" w:type="dxa"/>
            <w:shd w:val="clear" w:color="auto" w:fill="auto"/>
          </w:tcPr>
          <w:p w:rsidR="00275265" w:rsidRPr="002266BE" w:rsidRDefault="00275265" w:rsidP="003F4B71">
            <w:pPr>
              <w:ind w:left="43" w:right="43"/>
              <w:rPr>
                <w:rFonts w:hint="cs"/>
                <w:rtl/>
              </w:rPr>
            </w:pPr>
            <w:r w:rsidRPr="002266BE">
              <w:rPr>
                <w:rFonts w:hint="cs"/>
                <w:rtl/>
              </w:rPr>
              <w:t xml:space="preserve">70 </w:t>
            </w:r>
            <w:r>
              <w:rPr>
                <w:rFonts w:hint="cs"/>
                <w:rtl/>
              </w:rPr>
              <w:t>في المائة</w:t>
            </w:r>
          </w:p>
        </w:tc>
      </w:tr>
      <w:tr w:rsidR="00275265">
        <w:tblPrEx>
          <w:tblCellMar>
            <w:top w:w="0" w:type="dxa"/>
            <w:bottom w:w="0" w:type="dxa"/>
          </w:tblCellMar>
        </w:tblPrEx>
        <w:trPr>
          <w:jc w:val="center"/>
        </w:trPr>
        <w:tc>
          <w:tcPr>
            <w:tcW w:w="3670" w:type="dxa"/>
            <w:shd w:val="clear" w:color="auto" w:fill="auto"/>
          </w:tcPr>
          <w:p w:rsidR="00275265" w:rsidRDefault="00275265" w:rsidP="003F4B71">
            <w:pPr>
              <w:ind w:left="43" w:right="43"/>
              <w:rPr>
                <w:rFonts w:hint="cs"/>
                <w:rtl/>
              </w:rPr>
            </w:pPr>
            <w:r>
              <w:rPr>
                <w:rFonts w:hint="cs"/>
                <w:rtl/>
              </w:rPr>
              <w:t>الأكاديميات البحرية العليا</w:t>
            </w:r>
          </w:p>
        </w:tc>
        <w:tc>
          <w:tcPr>
            <w:tcW w:w="1648" w:type="dxa"/>
            <w:shd w:val="clear" w:color="auto" w:fill="auto"/>
          </w:tcPr>
          <w:p w:rsidR="00275265" w:rsidRPr="002266BE" w:rsidRDefault="00275265" w:rsidP="003F4B71">
            <w:pPr>
              <w:ind w:left="43" w:right="43"/>
              <w:rPr>
                <w:rFonts w:hint="cs"/>
                <w:rtl/>
              </w:rPr>
            </w:pPr>
            <w:r w:rsidRPr="002266BE">
              <w:rPr>
                <w:rFonts w:hint="cs"/>
                <w:rtl/>
              </w:rPr>
              <w:t xml:space="preserve">35 </w:t>
            </w:r>
            <w:r>
              <w:rPr>
                <w:rFonts w:hint="cs"/>
                <w:rtl/>
              </w:rPr>
              <w:t>في المائة</w:t>
            </w:r>
          </w:p>
        </w:tc>
        <w:tc>
          <w:tcPr>
            <w:tcW w:w="1648" w:type="dxa"/>
            <w:shd w:val="clear" w:color="auto" w:fill="auto"/>
          </w:tcPr>
          <w:p w:rsidR="00275265" w:rsidRPr="002266BE" w:rsidRDefault="00275265" w:rsidP="003F4B71">
            <w:pPr>
              <w:ind w:left="43" w:right="43"/>
              <w:rPr>
                <w:rFonts w:hint="cs"/>
                <w:rtl/>
              </w:rPr>
            </w:pPr>
            <w:r w:rsidRPr="002266BE">
              <w:rPr>
                <w:rFonts w:hint="cs"/>
                <w:rtl/>
              </w:rPr>
              <w:t xml:space="preserve">46 </w:t>
            </w:r>
            <w:r>
              <w:rPr>
                <w:rFonts w:hint="cs"/>
                <w:rtl/>
              </w:rPr>
              <w:t>في المائة</w:t>
            </w:r>
          </w:p>
        </w:tc>
      </w:tr>
      <w:tr w:rsidR="00275265">
        <w:tblPrEx>
          <w:tblCellMar>
            <w:top w:w="0" w:type="dxa"/>
            <w:bottom w:w="0" w:type="dxa"/>
          </w:tblCellMar>
        </w:tblPrEx>
        <w:trPr>
          <w:jc w:val="center"/>
        </w:trPr>
        <w:tc>
          <w:tcPr>
            <w:tcW w:w="3670" w:type="dxa"/>
            <w:shd w:val="clear" w:color="auto" w:fill="auto"/>
          </w:tcPr>
          <w:p w:rsidR="00275265" w:rsidRDefault="00275265" w:rsidP="003F4B71">
            <w:pPr>
              <w:ind w:left="43" w:right="43"/>
              <w:rPr>
                <w:rFonts w:hint="cs"/>
                <w:rtl/>
              </w:rPr>
            </w:pPr>
            <w:r>
              <w:rPr>
                <w:rFonts w:hint="cs"/>
                <w:rtl/>
              </w:rPr>
              <w:t>أكاديميات التربية البدنية</w:t>
            </w:r>
          </w:p>
        </w:tc>
        <w:tc>
          <w:tcPr>
            <w:tcW w:w="1648" w:type="dxa"/>
            <w:shd w:val="clear" w:color="auto" w:fill="auto"/>
          </w:tcPr>
          <w:p w:rsidR="00275265" w:rsidRPr="002266BE" w:rsidRDefault="00275265" w:rsidP="003F4B71">
            <w:pPr>
              <w:ind w:left="43" w:right="43"/>
              <w:rPr>
                <w:rFonts w:hint="cs"/>
                <w:rtl/>
              </w:rPr>
            </w:pPr>
            <w:r w:rsidRPr="002266BE">
              <w:rPr>
                <w:rFonts w:hint="cs"/>
                <w:rtl/>
              </w:rPr>
              <w:t xml:space="preserve">47 </w:t>
            </w:r>
            <w:r>
              <w:rPr>
                <w:rFonts w:hint="cs"/>
                <w:rtl/>
              </w:rPr>
              <w:t>في المائة</w:t>
            </w:r>
          </w:p>
        </w:tc>
        <w:tc>
          <w:tcPr>
            <w:tcW w:w="1648" w:type="dxa"/>
            <w:shd w:val="clear" w:color="auto" w:fill="auto"/>
          </w:tcPr>
          <w:p w:rsidR="00275265" w:rsidRPr="002266BE" w:rsidRDefault="00275265" w:rsidP="003F4B71">
            <w:pPr>
              <w:ind w:left="43" w:right="43"/>
              <w:rPr>
                <w:rFonts w:hint="cs"/>
                <w:rtl/>
              </w:rPr>
            </w:pPr>
            <w:r w:rsidRPr="002266BE">
              <w:rPr>
                <w:rFonts w:hint="cs"/>
                <w:rtl/>
              </w:rPr>
              <w:t xml:space="preserve">51 </w:t>
            </w:r>
            <w:r>
              <w:rPr>
                <w:rFonts w:hint="cs"/>
                <w:rtl/>
              </w:rPr>
              <w:t>في المائة</w:t>
            </w:r>
          </w:p>
        </w:tc>
      </w:tr>
      <w:tr w:rsidR="00275265">
        <w:tblPrEx>
          <w:tblCellMar>
            <w:top w:w="0" w:type="dxa"/>
            <w:bottom w:w="0" w:type="dxa"/>
          </w:tblCellMar>
        </w:tblPrEx>
        <w:trPr>
          <w:jc w:val="center"/>
        </w:trPr>
        <w:tc>
          <w:tcPr>
            <w:tcW w:w="3670" w:type="dxa"/>
            <w:shd w:val="clear" w:color="auto" w:fill="auto"/>
          </w:tcPr>
          <w:p w:rsidR="00275265" w:rsidRDefault="00275265" w:rsidP="003F4B71">
            <w:pPr>
              <w:ind w:left="43" w:right="43"/>
              <w:rPr>
                <w:rFonts w:hint="cs"/>
                <w:rtl/>
              </w:rPr>
            </w:pPr>
            <w:r>
              <w:rPr>
                <w:rFonts w:hint="cs"/>
                <w:rtl/>
              </w:rPr>
              <w:t>الكليات الفنية العليا</w:t>
            </w:r>
          </w:p>
        </w:tc>
        <w:tc>
          <w:tcPr>
            <w:tcW w:w="1648" w:type="dxa"/>
            <w:shd w:val="clear" w:color="auto" w:fill="auto"/>
          </w:tcPr>
          <w:p w:rsidR="00275265" w:rsidRPr="002266BE" w:rsidRDefault="00275265" w:rsidP="003F4B71">
            <w:pPr>
              <w:ind w:left="43" w:right="43"/>
              <w:rPr>
                <w:rFonts w:hint="cs"/>
                <w:rtl/>
              </w:rPr>
            </w:pPr>
            <w:r w:rsidRPr="002266BE">
              <w:rPr>
                <w:rFonts w:hint="cs"/>
                <w:rtl/>
              </w:rPr>
              <w:t xml:space="preserve">61 </w:t>
            </w:r>
            <w:r>
              <w:rPr>
                <w:rFonts w:hint="cs"/>
                <w:rtl/>
              </w:rPr>
              <w:t>في المائة</w:t>
            </w:r>
          </w:p>
        </w:tc>
        <w:tc>
          <w:tcPr>
            <w:tcW w:w="1648" w:type="dxa"/>
            <w:shd w:val="clear" w:color="auto" w:fill="auto"/>
          </w:tcPr>
          <w:p w:rsidR="00275265" w:rsidRPr="002266BE" w:rsidRDefault="00275265" w:rsidP="003F4B71">
            <w:pPr>
              <w:ind w:left="43" w:right="43"/>
              <w:rPr>
                <w:rFonts w:hint="cs"/>
                <w:rtl/>
              </w:rPr>
            </w:pPr>
            <w:r w:rsidRPr="002266BE">
              <w:rPr>
                <w:rFonts w:hint="cs"/>
                <w:rtl/>
              </w:rPr>
              <w:t xml:space="preserve">65 </w:t>
            </w:r>
            <w:r>
              <w:rPr>
                <w:rFonts w:hint="cs"/>
                <w:rtl/>
              </w:rPr>
              <w:t>في المائة</w:t>
            </w:r>
          </w:p>
        </w:tc>
      </w:tr>
      <w:tr w:rsidR="00275265">
        <w:tblPrEx>
          <w:tblCellMar>
            <w:top w:w="0" w:type="dxa"/>
            <w:bottom w:w="0" w:type="dxa"/>
          </w:tblCellMar>
        </w:tblPrEx>
        <w:trPr>
          <w:jc w:val="center"/>
        </w:trPr>
        <w:tc>
          <w:tcPr>
            <w:tcW w:w="3670" w:type="dxa"/>
            <w:shd w:val="clear" w:color="auto" w:fill="auto"/>
          </w:tcPr>
          <w:p w:rsidR="00275265" w:rsidRDefault="00275265" w:rsidP="003F4B71">
            <w:pPr>
              <w:ind w:left="43" w:right="43"/>
              <w:rPr>
                <w:rFonts w:hint="cs"/>
                <w:rtl/>
              </w:rPr>
            </w:pPr>
            <w:r>
              <w:rPr>
                <w:rFonts w:hint="cs"/>
                <w:rtl/>
              </w:rPr>
              <w:t>كليات اللاهوت العليا</w:t>
            </w:r>
          </w:p>
        </w:tc>
        <w:tc>
          <w:tcPr>
            <w:tcW w:w="1648" w:type="dxa"/>
            <w:shd w:val="clear" w:color="auto" w:fill="auto"/>
          </w:tcPr>
          <w:p w:rsidR="00275265" w:rsidRPr="002266BE" w:rsidRDefault="00275265" w:rsidP="003F4B71">
            <w:pPr>
              <w:ind w:left="43" w:right="43"/>
              <w:rPr>
                <w:rFonts w:hint="cs"/>
                <w:rtl/>
              </w:rPr>
            </w:pPr>
            <w:r w:rsidRPr="002266BE">
              <w:rPr>
                <w:rFonts w:hint="cs"/>
                <w:rtl/>
              </w:rPr>
              <w:t xml:space="preserve">58 </w:t>
            </w:r>
            <w:r>
              <w:rPr>
                <w:rFonts w:hint="cs"/>
                <w:rtl/>
              </w:rPr>
              <w:t>في المائة</w:t>
            </w:r>
          </w:p>
        </w:tc>
        <w:tc>
          <w:tcPr>
            <w:tcW w:w="1648" w:type="dxa"/>
            <w:shd w:val="clear" w:color="auto" w:fill="auto"/>
          </w:tcPr>
          <w:p w:rsidR="00275265" w:rsidRPr="002266BE" w:rsidRDefault="00275265" w:rsidP="003F4B71">
            <w:pPr>
              <w:ind w:left="43" w:right="43"/>
              <w:rPr>
                <w:rFonts w:hint="cs"/>
                <w:rtl/>
              </w:rPr>
            </w:pPr>
            <w:r w:rsidRPr="002266BE">
              <w:rPr>
                <w:rFonts w:hint="cs"/>
                <w:rtl/>
              </w:rPr>
              <w:t xml:space="preserve">46 </w:t>
            </w:r>
            <w:r>
              <w:rPr>
                <w:rFonts w:hint="cs"/>
                <w:rtl/>
              </w:rPr>
              <w:t>في المائة</w:t>
            </w:r>
          </w:p>
        </w:tc>
      </w:tr>
      <w:tr w:rsidR="00275265">
        <w:tblPrEx>
          <w:tblCellMar>
            <w:top w:w="0" w:type="dxa"/>
            <w:bottom w:w="0" w:type="dxa"/>
          </w:tblCellMar>
        </w:tblPrEx>
        <w:trPr>
          <w:jc w:val="center"/>
        </w:trPr>
        <w:tc>
          <w:tcPr>
            <w:tcW w:w="3670" w:type="dxa"/>
            <w:shd w:val="clear" w:color="auto" w:fill="auto"/>
          </w:tcPr>
          <w:p w:rsidR="00275265" w:rsidRDefault="00275265" w:rsidP="003F4B71">
            <w:pPr>
              <w:ind w:left="43" w:right="43"/>
              <w:rPr>
                <w:rFonts w:hint="cs"/>
                <w:rtl/>
              </w:rPr>
            </w:pPr>
            <w:r>
              <w:rPr>
                <w:rFonts w:hint="cs"/>
                <w:rtl/>
              </w:rPr>
              <w:t xml:space="preserve">كليات وزارة الدفاع </w:t>
            </w:r>
          </w:p>
        </w:tc>
        <w:tc>
          <w:tcPr>
            <w:tcW w:w="1648" w:type="dxa"/>
            <w:shd w:val="clear" w:color="auto" w:fill="auto"/>
          </w:tcPr>
          <w:p w:rsidR="00275265" w:rsidRPr="002266BE" w:rsidRDefault="00275265" w:rsidP="003F4B71">
            <w:pPr>
              <w:ind w:left="43" w:right="43"/>
              <w:rPr>
                <w:rFonts w:hint="cs"/>
                <w:rtl/>
              </w:rPr>
            </w:pPr>
            <w:r w:rsidRPr="002266BE">
              <w:rPr>
                <w:rFonts w:hint="cs"/>
                <w:rtl/>
              </w:rPr>
              <w:t xml:space="preserve">23 </w:t>
            </w:r>
            <w:r>
              <w:rPr>
                <w:rFonts w:hint="cs"/>
                <w:rtl/>
              </w:rPr>
              <w:t>في المائة</w:t>
            </w:r>
          </w:p>
        </w:tc>
        <w:tc>
          <w:tcPr>
            <w:tcW w:w="1648" w:type="dxa"/>
            <w:shd w:val="clear" w:color="auto" w:fill="auto"/>
          </w:tcPr>
          <w:p w:rsidR="00275265" w:rsidRPr="002266BE" w:rsidRDefault="00275265" w:rsidP="003F4B71">
            <w:pPr>
              <w:ind w:left="43" w:right="43"/>
              <w:rPr>
                <w:rFonts w:hint="cs"/>
                <w:rtl/>
              </w:rPr>
            </w:pPr>
            <w:r w:rsidRPr="002266BE">
              <w:rPr>
                <w:rFonts w:hint="cs"/>
                <w:rtl/>
              </w:rPr>
              <w:t xml:space="preserve">8 </w:t>
            </w:r>
            <w:r>
              <w:rPr>
                <w:rFonts w:hint="cs"/>
                <w:rtl/>
              </w:rPr>
              <w:t>في المائة</w:t>
            </w:r>
          </w:p>
        </w:tc>
      </w:tr>
      <w:tr w:rsidR="00275265">
        <w:tblPrEx>
          <w:tblCellMar>
            <w:top w:w="0" w:type="dxa"/>
            <w:bottom w:w="0" w:type="dxa"/>
          </w:tblCellMar>
        </w:tblPrEx>
        <w:trPr>
          <w:jc w:val="center"/>
        </w:trPr>
        <w:tc>
          <w:tcPr>
            <w:tcW w:w="3670" w:type="dxa"/>
            <w:shd w:val="clear" w:color="auto" w:fill="auto"/>
          </w:tcPr>
          <w:p w:rsidR="00275265" w:rsidRDefault="00275265" w:rsidP="003F4B71">
            <w:pPr>
              <w:ind w:left="43" w:right="43"/>
              <w:rPr>
                <w:rFonts w:hint="cs"/>
                <w:rtl/>
              </w:rPr>
            </w:pPr>
            <w:r>
              <w:rPr>
                <w:rFonts w:hint="cs"/>
                <w:rtl/>
              </w:rPr>
              <w:t>كليات وزارة الداخلية والشؤون الإدارية</w:t>
            </w:r>
          </w:p>
        </w:tc>
        <w:tc>
          <w:tcPr>
            <w:tcW w:w="1648" w:type="dxa"/>
            <w:shd w:val="clear" w:color="auto" w:fill="auto"/>
          </w:tcPr>
          <w:p w:rsidR="00275265" w:rsidRPr="002266BE" w:rsidRDefault="00275265" w:rsidP="003F4B71">
            <w:pPr>
              <w:ind w:left="43" w:right="43"/>
              <w:rPr>
                <w:rFonts w:hint="cs"/>
                <w:rtl/>
              </w:rPr>
            </w:pPr>
            <w:r w:rsidRPr="002266BE">
              <w:rPr>
                <w:rFonts w:hint="cs"/>
                <w:rtl/>
              </w:rPr>
              <w:t xml:space="preserve">8 </w:t>
            </w:r>
            <w:r>
              <w:rPr>
                <w:rFonts w:hint="cs"/>
                <w:rtl/>
              </w:rPr>
              <w:t>في المائة</w:t>
            </w:r>
          </w:p>
        </w:tc>
        <w:tc>
          <w:tcPr>
            <w:tcW w:w="1648" w:type="dxa"/>
            <w:shd w:val="clear" w:color="auto" w:fill="auto"/>
          </w:tcPr>
          <w:p w:rsidR="00275265" w:rsidRPr="002266BE" w:rsidRDefault="00275265" w:rsidP="003F4B71">
            <w:pPr>
              <w:ind w:left="43" w:right="43"/>
              <w:rPr>
                <w:rFonts w:hint="cs"/>
                <w:rtl/>
              </w:rPr>
            </w:pPr>
            <w:r w:rsidRPr="002266BE">
              <w:rPr>
                <w:rFonts w:hint="cs"/>
                <w:rtl/>
              </w:rPr>
              <w:t xml:space="preserve">8 </w:t>
            </w:r>
            <w:r>
              <w:rPr>
                <w:rFonts w:hint="cs"/>
                <w:rtl/>
              </w:rPr>
              <w:t>في المائة</w:t>
            </w:r>
          </w:p>
        </w:tc>
      </w:tr>
    </w:tbl>
    <w:p w:rsidR="00275265" w:rsidRDefault="00275265" w:rsidP="00275265">
      <w:pPr>
        <w:pStyle w:val="SingleTxt"/>
        <w:rPr>
          <w:rFonts w:hint="cs"/>
          <w:rtl/>
        </w:rPr>
      </w:pPr>
    </w:p>
    <w:p w:rsidR="00275265" w:rsidRDefault="00275265" w:rsidP="00275265">
      <w:pPr>
        <w:pStyle w:val="SingleTxt"/>
        <w:rPr>
          <w:rFonts w:hint="cs"/>
          <w:rtl/>
        </w:rPr>
      </w:pPr>
      <w:r>
        <w:rPr>
          <w:rFonts w:hint="cs"/>
          <w:rtl/>
        </w:rPr>
        <w:t>الجدول ألف -10-2</w:t>
      </w:r>
    </w:p>
    <w:p w:rsidR="00275265" w:rsidRDefault="00275265" w:rsidP="00275265">
      <w:pPr>
        <w:pStyle w:val="SingleTxt"/>
        <w:rPr>
          <w:rFonts w:hint="cs"/>
          <w:b/>
          <w:bCs/>
          <w:rtl/>
        </w:rPr>
      </w:pPr>
      <w:r>
        <w:rPr>
          <w:rFonts w:hint="cs"/>
          <w:b/>
          <w:bCs/>
          <w:rtl/>
        </w:rPr>
        <w:t>نسبة التلميذات في مختلف أنواع المدارس</w:t>
      </w:r>
    </w:p>
    <w:p w:rsidR="00275265" w:rsidRPr="005674F3" w:rsidRDefault="00275265" w:rsidP="00275265">
      <w:pPr>
        <w:pStyle w:val="SingleTxt"/>
        <w:spacing w:after="0" w:line="120" w:lineRule="exact"/>
        <w:rPr>
          <w:rFonts w:hint="cs"/>
          <w:b/>
          <w:bCs/>
          <w:sz w:val="10"/>
          <w:rtl/>
        </w:rPr>
      </w:pPr>
    </w:p>
    <w:p w:rsidR="00275265" w:rsidRPr="005674F3" w:rsidRDefault="00275265" w:rsidP="00275265">
      <w:pPr>
        <w:pStyle w:val="SingleTxt"/>
        <w:spacing w:after="0" w:line="120" w:lineRule="exact"/>
        <w:rPr>
          <w:rFonts w:hint="cs"/>
          <w:b/>
          <w:bCs/>
          <w:sz w:val="10"/>
          <w:rtl/>
        </w:rPr>
      </w:pPr>
    </w:p>
    <w:tbl>
      <w:tblPr>
        <w:bidiVisual/>
        <w:tblW w:w="9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82"/>
        <w:gridCol w:w="1648"/>
        <w:gridCol w:w="1648"/>
        <w:gridCol w:w="1648"/>
        <w:gridCol w:w="1545"/>
        <w:gridCol w:w="1622"/>
      </w:tblGrid>
      <w:tr w:rsidR="00275265">
        <w:tblPrEx>
          <w:tblCellMar>
            <w:top w:w="0" w:type="dxa"/>
            <w:bottom w:w="0" w:type="dxa"/>
          </w:tblCellMar>
        </w:tblPrEx>
        <w:trPr>
          <w:jc w:val="center"/>
        </w:trPr>
        <w:tc>
          <w:tcPr>
            <w:tcW w:w="1482" w:type="dxa"/>
            <w:shd w:val="clear" w:color="auto" w:fill="auto"/>
            <w:tcMar>
              <w:left w:w="0" w:type="dxa"/>
              <w:right w:w="0" w:type="dxa"/>
            </w:tcMar>
          </w:tcPr>
          <w:p w:rsidR="00275265" w:rsidRPr="009A42D9" w:rsidRDefault="00275265" w:rsidP="003F4B71">
            <w:pPr>
              <w:rPr>
                <w:rFonts w:hint="cs"/>
                <w:b/>
                <w:bCs/>
                <w:rtl/>
              </w:rPr>
            </w:pPr>
            <w:r w:rsidRPr="009A42D9">
              <w:rPr>
                <w:rFonts w:hint="cs"/>
                <w:b/>
                <w:bCs/>
                <w:rtl/>
              </w:rPr>
              <w:t>السنة</w:t>
            </w:r>
          </w:p>
        </w:tc>
        <w:tc>
          <w:tcPr>
            <w:tcW w:w="1648" w:type="dxa"/>
            <w:shd w:val="clear" w:color="auto" w:fill="auto"/>
          </w:tcPr>
          <w:p w:rsidR="00275265" w:rsidRPr="009A42D9" w:rsidRDefault="00275265" w:rsidP="003F4B71">
            <w:pPr>
              <w:ind w:left="29" w:right="29"/>
              <w:rPr>
                <w:rFonts w:hint="cs"/>
                <w:b/>
                <w:bCs/>
                <w:rtl/>
              </w:rPr>
            </w:pPr>
            <w:r w:rsidRPr="009A42D9">
              <w:rPr>
                <w:rFonts w:hint="cs"/>
                <w:b/>
                <w:bCs/>
                <w:rtl/>
              </w:rPr>
              <w:t>المدارس الابتدائية</w:t>
            </w:r>
          </w:p>
        </w:tc>
        <w:tc>
          <w:tcPr>
            <w:tcW w:w="1648" w:type="dxa"/>
            <w:shd w:val="clear" w:color="auto" w:fill="auto"/>
          </w:tcPr>
          <w:p w:rsidR="00275265" w:rsidRPr="009A42D9" w:rsidRDefault="00275265" w:rsidP="003F4B71">
            <w:pPr>
              <w:ind w:left="29" w:right="29"/>
              <w:rPr>
                <w:rFonts w:hint="cs"/>
                <w:b/>
                <w:bCs/>
                <w:rtl/>
              </w:rPr>
            </w:pPr>
            <w:r w:rsidRPr="009A42D9">
              <w:rPr>
                <w:rFonts w:hint="cs"/>
                <w:b/>
                <w:bCs/>
                <w:rtl/>
              </w:rPr>
              <w:t>المدارس الإعدادية</w:t>
            </w:r>
          </w:p>
        </w:tc>
        <w:tc>
          <w:tcPr>
            <w:tcW w:w="1648" w:type="dxa"/>
            <w:shd w:val="clear" w:color="auto" w:fill="auto"/>
          </w:tcPr>
          <w:p w:rsidR="00275265" w:rsidRPr="009A42D9" w:rsidRDefault="00275265" w:rsidP="003F4B71">
            <w:pPr>
              <w:ind w:left="29" w:right="29"/>
              <w:jc w:val="lowKashida"/>
              <w:rPr>
                <w:rFonts w:hint="cs"/>
                <w:b/>
                <w:bCs/>
                <w:rtl/>
              </w:rPr>
            </w:pPr>
            <w:r w:rsidRPr="009A42D9">
              <w:rPr>
                <w:rFonts w:hint="cs"/>
                <w:b/>
                <w:bCs/>
                <w:rtl/>
              </w:rPr>
              <w:t>المدارس الأساسية</w:t>
            </w:r>
          </w:p>
        </w:tc>
        <w:tc>
          <w:tcPr>
            <w:tcW w:w="1545" w:type="dxa"/>
            <w:shd w:val="clear" w:color="auto" w:fill="auto"/>
          </w:tcPr>
          <w:p w:rsidR="00275265" w:rsidRPr="009A42D9" w:rsidRDefault="00275265" w:rsidP="003F4B71">
            <w:pPr>
              <w:ind w:left="29" w:right="29"/>
              <w:jc w:val="left"/>
              <w:rPr>
                <w:rFonts w:hint="cs"/>
                <w:b/>
                <w:bCs/>
                <w:sz w:val="30"/>
                <w:rtl/>
              </w:rPr>
            </w:pPr>
            <w:r w:rsidRPr="009A42D9">
              <w:rPr>
                <w:rFonts w:hint="cs"/>
                <w:b/>
                <w:bCs/>
                <w:sz w:val="30"/>
                <w:rtl/>
              </w:rPr>
              <w:t>المدارس الثانوية العامة</w:t>
            </w:r>
          </w:p>
        </w:tc>
        <w:tc>
          <w:tcPr>
            <w:tcW w:w="1622" w:type="dxa"/>
            <w:shd w:val="clear" w:color="auto" w:fill="auto"/>
          </w:tcPr>
          <w:p w:rsidR="00275265" w:rsidRPr="009A42D9" w:rsidRDefault="00275265" w:rsidP="003F4B71">
            <w:pPr>
              <w:ind w:left="29" w:right="29"/>
              <w:jc w:val="left"/>
              <w:rPr>
                <w:rFonts w:hint="cs"/>
                <w:b/>
                <w:bCs/>
                <w:sz w:val="30"/>
                <w:rtl/>
              </w:rPr>
            </w:pPr>
            <w:r w:rsidRPr="009A42D9">
              <w:rPr>
                <w:rFonts w:hint="cs"/>
                <w:b/>
                <w:bCs/>
                <w:sz w:val="30"/>
                <w:rtl/>
              </w:rPr>
              <w:t>المدارس الثانوية للتدريب المهني</w:t>
            </w:r>
          </w:p>
        </w:tc>
      </w:tr>
      <w:tr w:rsidR="00275265">
        <w:tblPrEx>
          <w:tblCellMar>
            <w:top w:w="0" w:type="dxa"/>
            <w:bottom w:w="0" w:type="dxa"/>
          </w:tblCellMar>
        </w:tblPrEx>
        <w:trPr>
          <w:jc w:val="center"/>
        </w:trPr>
        <w:tc>
          <w:tcPr>
            <w:tcW w:w="1482" w:type="dxa"/>
            <w:shd w:val="clear" w:color="auto" w:fill="auto"/>
          </w:tcPr>
          <w:p w:rsidR="00275265" w:rsidRDefault="00275265" w:rsidP="003F4B71">
            <w:pPr>
              <w:rPr>
                <w:rFonts w:hint="cs"/>
                <w:rtl/>
              </w:rPr>
            </w:pPr>
            <w:r>
              <w:rPr>
                <w:rFonts w:hint="cs"/>
                <w:rtl/>
              </w:rPr>
              <w:t>1998/99</w:t>
            </w:r>
          </w:p>
        </w:tc>
        <w:tc>
          <w:tcPr>
            <w:tcW w:w="1648" w:type="dxa"/>
            <w:shd w:val="clear" w:color="auto" w:fill="auto"/>
          </w:tcPr>
          <w:p w:rsidR="00275265" w:rsidRPr="002266BE" w:rsidRDefault="00275265" w:rsidP="003F4B71">
            <w:pPr>
              <w:ind w:left="29" w:right="29"/>
              <w:rPr>
                <w:rFonts w:hint="cs"/>
                <w:rtl/>
              </w:rPr>
            </w:pPr>
            <w:r w:rsidRPr="002266BE">
              <w:rPr>
                <w:rFonts w:hint="cs"/>
                <w:rtl/>
              </w:rPr>
              <w:t xml:space="preserve">48.4 </w:t>
            </w:r>
            <w:r>
              <w:rPr>
                <w:rFonts w:hint="cs"/>
                <w:rtl/>
              </w:rPr>
              <w:t>في المائة</w:t>
            </w:r>
          </w:p>
        </w:tc>
        <w:tc>
          <w:tcPr>
            <w:tcW w:w="1648" w:type="dxa"/>
            <w:shd w:val="clear" w:color="auto" w:fill="auto"/>
          </w:tcPr>
          <w:p w:rsidR="00275265" w:rsidRPr="002266BE" w:rsidRDefault="00275265" w:rsidP="003F4B71">
            <w:pPr>
              <w:ind w:left="29" w:right="29"/>
              <w:rPr>
                <w:rFonts w:hint="cs"/>
                <w:rtl/>
              </w:rPr>
            </w:pPr>
            <w:r w:rsidRPr="002266BE">
              <w:rPr>
                <w:rFonts w:hint="cs"/>
                <w:rtl/>
              </w:rPr>
              <w:t>-</w:t>
            </w:r>
          </w:p>
        </w:tc>
        <w:tc>
          <w:tcPr>
            <w:tcW w:w="1648" w:type="dxa"/>
            <w:shd w:val="clear" w:color="auto" w:fill="auto"/>
          </w:tcPr>
          <w:p w:rsidR="00275265" w:rsidRPr="002266BE" w:rsidRDefault="00275265" w:rsidP="003F4B71">
            <w:pPr>
              <w:ind w:left="29" w:right="29"/>
              <w:rPr>
                <w:rFonts w:hint="cs"/>
                <w:rtl/>
              </w:rPr>
            </w:pPr>
            <w:r w:rsidRPr="002266BE">
              <w:rPr>
                <w:rFonts w:hint="cs"/>
                <w:rtl/>
              </w:rPr>
              <w:t xml:space="preserve">35.4 </w:t>
            </w:r>
            <w:r>
              <w:rPr>
                <w:rFonts w:hint="cs"/>
                <w:rtl/>
              </w:rPr>
              <w:t>في المائة</w:t>
            </w:r>
          </w:p>
        </w:tc>
        <w:tc>
          <w:tcPr>
            <w:tcW w:w="1545" w:type="dxa"/>
            <w:shd w:val="clear" w:color="auto" w:fill="auto"/>
          </w:tcPr>
          <w:p w:rsidR="00275265" w:rsidRPr="002266BE" w:rsidRDefault="00275265" w:rsidP="003F4B71">
            <w:pPr>
              <w:ind w:left="29" w:right="29"/>
              <w:rPr>
                <w:rFonts w:hint="cs"/>
                <w:rtl/>
              </w:rPr>
            </w:pPr>
            <w:r w:rsidRPr="002266BE">
              <w:rPr>
                <w:rFonts w:hint="cs"/>
                <w:rtl/>
              </w:rPr>
              <w:t xml:space="preserve">64.9 </w:t>
            </w:r>
            <w:r>
              <w:rPr>
                <w:rFonts w:hint="cs"/>
                <w:rtl/>
              </w:rPr>
              <w:t>في المائة</w:t>
            </w:r>
          </w:p>
        </w:tc>
        <w:tc>
          <w:tcPr>
            <w:tcW w:w="1622" w:type="dxa"/>
            <w:shd w:val="clear" w:color="auto" w:fill="auto"/>
          </w:tcPr>
          <w:p w:rsidR="00275265" w:rsidRPr="002266BE" w:rsidRDefault="00275265" w:rsidP="003F4B71">
            <w:pPr>
              <w:ind w:left="29" w:right="29"/>
              <w:rPr>
                <w:rFonts w:hint="cs"/>
                <w:rtl/>
              </w:rPr>
            </w:pPr>
            <w:r w:rsidRPr="002266BE">
              <w:rPr>
                <w:rFonts w:hint="cs"/>
                <w:rtl/>
              </w:rPr>
              <w:t xml:space="preserve">46.9 </w:t>
            </w:r>
            <w:r>
              <w:rPr>
                <w:rFonts w:hint="cs"/>
                <w:rtl/>
              </w:rPr>
              <w:t>في المائة</w:t>
            </w:r>
          </w:p>
        </w:tc>
      </w:tr>
      <w:tr w:rsidR="00275265">
        <w:tblPrEx>
          <w:tblCellMar>
            <w:top w:w="0" w:type="dxa"/>
            <w:bottom w:w="0" w:type="dxa"/>
          </w:tblCellMar>
        </w:tblPrEx>
        <w:trPr>
          <w:jc w:val="center"/>
        </w:trPr>
        <w:tc>
          <w:tcPr>
            <w:tcW w:w="1482" w:type="dxa"/>
            <w:shd w:val="clear" w:color="auto" w:fill="auto"/>
          </w:tcPr>
          <w:p w:rsidR="00275265" w:rsidRDefault="00275265" w:rsidP="003F4B71">
            <w:pPr>
              <w:rPr>
                <w:rFonts w:hint="cs"/>
                <w:rtl/>
              </w:rPr>
            </w:pPr>
            <w:r>
              <w:rPr>
                <w:rFonts w:hint="cs"/>
                <w:rtl/>
              </w:rPr>
              <w:t>1999/00</w:t>
            </w:r>
          </w:p>
        </w:tc>
        <w:tc>
          <w:tcPr>
            <w:tcW w:w="1648" w:type="dxa"/>
            <w:shd w:val="clear" w:color="auto" w:fill="auto"/>
          </w:tcPr>
          <w:p w:rsidR="00275265" w:rsidRPr="002266BE" w:rsidRDefault="00275265" w:rsidP="003F4B71">
            <w:pPr>
              <w:ind w:left="29" w:right="29"/>
              <w:rPr>
                <w:rFonts w:hint="cs"/>
                <w:rtl/>
              </w:rPr>
            </w:pPr>
            <w:r w:rsidRPr="002266BE">
              <w:rPr>
                <w:rFonts w:hint="cs"/>
                <w:rtl/>
              </w:rPr>
              <w:t xml:space="preserve">45.5 </w:t>
            </w:r>
            <w:r>
              <w:rPr>
                <w:rFonts w:hint="cs"/>
                <w:rtl/>
              </w:rPr>
              <w:t>في المائة</w:t>
            </w:r>
          </w:p>
        </w:tc>
        <w:tc>
          <w:tcPr>
            <w:tcW w:w="1648" w:type="dxa"/>
            <w:shd w:val="clear" w:color="auto" w:fill="auto"/>
          </w:tcPr>
          <w:p w:rsidR="00275265" w:rsidRPr="002266BE" w:rsidRDefault="00275265" w:rsidP="003F4B71">
            <w:pPr>
              <w:ind w:left="29" w:right="29"/>
              <w:rPr>
                <w:rFonts w:hint="cs"/>
                <w:rtl/>
              </w:rPr>
            </w:pPr>
            <w:r w:rsidRPr="002266BE">
              <w:rPr>
                <w:rFonts w:hint="cs"/>
                <w:rtl/>
              </w:rPr>
              <w:t xml:space="preserve">48.1 </w:t>
            </w:r>
            <w:r>
              <w:rPr>
                <w:rFonts w:hint="cs"/>
                <w:rtl/>
              </w:rPr>
              <w:t>في المائة</w:t>
            </w:r>
          </w:p>
        </w:tc>
        <w:tc>
          <w:tcPr>
            <w:tcW w:w="1648" w:type="dxa"/>
            <w:shd w:val="clear" w:color="auto" w:fill="auto"/>
          </w:tcPr>
          <w:p w:rsidR="00275265" w:rsidRPr="002266BE" w:rsidRDefault="00275265" w:rsidP="003F4B71">
            <w:pPr>
              <w:ind w:left="29" w:right="29"/>
              <w:rPr>
                <w:rFonts w:hint="cs"/>
                <w:rtl/>
              </w:rPr>
            </w:pPr>
            <w:r w:rsidRPr="002266BE">
              <w:rPr>
                <w:rFonts w:hint="cs"/>
                <w:rtl/>
              </w:rPr>
              <w:t xml:space="preserve">34.8 </w:t>
            </w:r>
            <w:r>
              <w:rPr>
                <w:rFonts w:hint="cs"/>
                <w:rtl/>
              </w:rPr>
              <w:t>في المائة</w:t>
            </w:r>
          </w:p>
        </w:tc>
        <w:tc>
          <w:tcPr>
            <w:tcW w:w="1545" w:type="dxa"/>
            <w:shd w:val="clear" w:color="auto" w:fill="auto"/>
          </w:tcPr>
          <w:p w:rsidR="00275265" w:rsidRPr="002266BE" w:rsidRDefault="00275265" w:rsidP="003F4B71">
            <w:pPr>
              <w:ind w:left="29" w:right="29"/>
              <w:rPr>
                <w:rFonts w:hint="cs"/>
                <w:rtl/>
              </w:rPr>
            </w:pPr>
            <w:r w:rsidRPr="002266BE">
              <w:rPr>
                <w:rFonts w:hint="cs"/>
                <w:rtl/>
              </w:rPr>
              <w:t xml:space="preserve">63.8 </w:t>
            </w:r>
            <w:r>
              <w:rPr>
                <w:rFonts w:hint="cs"/>
                <w:rtl/>
              </w:rPr>
              <w:t>في المائة</w:t>
            </w:r>
          </w:p>
        </w:tc>
        <w:tc>
          <w:tcPr>
            <w:tcW w:w="1622" w:type="dxa"/>
            <w:shd w:val="clear" w:color="auto" w:fill="auto"/>
          </w:tcPr>
          <w:p w:rsidR="00275265" w:rsidRPr="002266BE" w:rsidRDefault="00275265" w:rsidP="003F4B71">
            <w:pPr>
              <w:ind w:left="29" w:right="29"/>
              <w:rPr>
                <w:rFonts w:hint="cs"/>
                <w:rtl/>
              </w:rPr>
            </w:pPr>
            <w:r w:rsidRPr="002266BE">
              <w:rPr>
                <w:rFonts w:hint="cs"/>
                <w:rtl/>
              </w:rPr>
              <w:t xml:space="preserve">46.4 </w:t>
            </w:r>
            <w:r>
              <w:rPr>
                <w:rFonts w:hint="cs"/>
                <w:rtl/>
              </w:rPr>
              <w:t>في المائة</w:t>
            </w:r>
          </w:p>
        </w:tc>
      </w:tr>
      <w:tr w:rsidR="00275265">
        <w:tblPrEx>
          <w:tblCellMar>
            <w:top w:w="0" w:type="dxa"/>
            <w:bottom w:w="0" w:type="dxa"/>
          </w:tblCellMar>
        </w:tblPrEx>
        <w:trPr>
          <w:jc w:val="center"/>
        </w:trPr>
        <w:tc>
          <w:tcPr>
            <w:tcW w:w="1482" w:type="dxa"/>
            <w:shd w:val="clear" w:color="auto" w:fill="auto"/>
          </w:tcPr>
          <w:p w:rsidR="00275265" w:rsidRDefault="00275265" w:rsidP="003F4B71">
            <w:pPr>
              <w:rPr>
                <w:rFonts w:hint="cs"/>
                <w:rtl/>
              </w:rPr>
            </w:pPr>
            <w:r>
              <w:rPr>
                <w:rFonts w:hint="cs"/>
                <w:rtl/>
              </w:rPr>
              <w:t>2000/01</w:t>
            </w:r>
          </w:p>
        </w:tc>
        <w:tc>
          <w:tcPr>
            <w:tcW w:w="1648" w:type="dxa"/>
            <w:shd w:val="clear" w:color="auto" w:fill="auto"/>
          </w:tcPr>
          <w:p w:rsidR="00275265" w:rsidRPr="002266BE" w:rsidRDefault="00275265" w:rsidP="003F4B71">
            <w:pPr>
              <w:ind w:left="29" w:right="29"/>
              <w:rPr>
                <w:rFonts w:hint="cs"/>
                <w:rtl/>
              </w:rPr>
            </w:pPr>
            <w:r w:rsidRPr="002266BE">
              <w:rPr>
                <w:rFonts w:hint="cs"/>
                <w:rtl/>
              </w:rPr>
              <w:t xml:space="preserve">48.5 </w:t>
            </w:r>
            <w:r>
              <w:rPr>
                <w:rFonts w:hint="cs"/>
                <w:rtl/>
              </w:rPr>
              <w:t>في المائة</w:t>
            </w:r>
          </w:p>
        </w:tc>
        <w:tc>
          <w:tcPr>
            <w:tcW w:w="1648" w:type="dxa"/>
            <w:shd w:val="clear" w:color="auto" w:fill="auto"/>
          </w:tcPr>
          <w:p w:rsidR="00275265" w:rsidRPr="002266BE" w:rsidRDefault="00275265" w:rsidP="003F4B71">
            <w:pPr>
              <w:ind w:left="29" w:right="29"/>
              <w:rPr>
                <w:rFonts w:hint="cs"/>
                <w:rtl/>
              </w:rPr>
            </w:pPr>
            <w:r w:rsidRPr="002266BE">
              <w:rPr>
                <w:rFonts w:hint="cs"/>
                <w:rtl/>
              </w:rPr>
              <w:t xml:space="preserve">48.4 </w:t>
            </w:r>
            <w:r>
              <w:rPr>
                <w:rFonts w:hint="cs"/>
                <w:rtl/>
              </w:rPr>
              <w:t>في المائة</w:t>
            </w:r>
          </w:p>
        </w:tc>
        <w:tc>
          <w:tcPr>
            <w:tcW w:w="1648" w:type="dxa"/>
            <w:shd w:val="clear" w:color="auto" w:fill="auto"/>
          </w:tcPr>
          <w:p w:rsidR="00275265" w:rsidRPr="002266BE" w:rsidRDefault="00275265" w:rsidP="003F4B71">
            <w:pPr>
              <w:ind w:left="29" w:right="29"/>
              <w:rPr>
                <w:rFonts w:hint="cs"/>
                <w:rtl/>
              </w:rPr>
            </w:pPr>
            <w:r w:rsidRPr="002266BE">
              <w:rPr>
                <w:rFonts w:hint="cs"/>
                <w:rtl/>
              </w:rPr>
              <w:t xml:space="preserve">34.2 </w:t>
            </w:r>
            <w:r>
              <w:rPr>
                <w:rFonts w:hint="cs"/>
                <w:rtl/>
              </w:rPr>
              <w:t>في المائة</w:t>
            </w:r>
          </w:p>
        </w:tc>
        <w:tc>
          <w:tcPr>
            <w:tcW w:w="1545" w:type="dxa"/>
            <w:shd w:val="clear" w:color="auto" w:fill="auto"/>
          </w:tcPr>
          <w:p w:rsidR="00275265" w:rsidRPr="002266BE" w:rsidRDefault="00275265" w:rsidP="003F4B71">
            <w:pPr>
              <w:ind w:left="29" w:right="29"/>
              <w:rPr>
                <w:rFonts w:hint="cs"/>
                <w:rtl/>
              </w:rPr>
            </w:pPr>
            <w:r w:rsidRPr="002266BE">
              <w:rPr>
                <w:rFonts w:hint="cs"/>
                <w:rtl/>
              </w:rPr>
              <w:t xml:space="preserve">62.7 </w:t>
            </w:r>
            <w:r>
              <w:rPr>
                <w:rFonts w:hint="cs"/>
                <w:rtl/>
              </w:rPr>
              <w:t>في المائة</w:t>
            </w:r>
          </w:p>
        </w:tc>
        <w:tc>
          <w:tcPr>
            <w:tcW w:w="1622" w:type="dxa"/>
            <w:shd w:val="clear" w:color="auto" w:fill="auto"/>
          </w:tcPr>
          <w:p w:rsidR="00275265" w:rsidRPr="002266BE" w:rsidRDefault="00275265" w:rsidP="003F4B71">
            <w:pPr>
              <w:ind w:left="29" w:right="29"/>
              <w:rPr>
                <w:rFonts w:hint="cs"/>
                <w:rtl/>
              </w:rPr>
            </w:pPr>
            <w:r w:rsidRPr="002266BE">
              <w:rPr>
                <w:rFonts w:hint="cs"/>
                <w:rtl/>
              </w:rPr>
              <w:t xml:space="preserve">45.8 </w:t>
            </w:r>
            <w:r>
              <w:rPr>
                <w:rFonts w:hint="cs"/>
                <w:rtl/>
              </w:rPr>
              <w:t>في المائة</w:t>
            </w:r>
          </w:p>
        </w:tc>
      </w:tr>
      <w:tr w:rsidR="00275265">
        <w:tblPrEx>
          <w:tblCellMar>
            <w:top w:w="0" w:type="dxa"/>
            <w:bottom w:w="0" w:type="dxa"/>
          </w:tblCellMar>
        </w:tblPrEx>
        <w:trPr>
          <w:jc w:val="center"/>
        </w:trPr>
        <w:tc>
          <w:tcPr>
            <w:tcW w:w="1482" w:type="dxa"/>
            <w:shd w:val="clear" w:color="auto" w:fill="auto"/>
          </w:tcPr>
          <w:p w:rsidR="00275265" w:rsidRDefault="00275265" w:rsidP="003F4B71">
            <w:pPr>
              <w:rPr>
                <w:rFonts w:hint="cs"/>
                <w:rtl/>
              </w:rPr>
            </w:pPr>
            <w:r>
              <w:rPr>
                <w:rFonts w:hint="cs"/>
                <w:rtl/>
              </w:rPr>
              <w:t>2001/02</w:t>
            </w:r>
          </w:p>
        </w:tc>
        <w:tc>
          <w:tcPr>
            <w:tcW w:w="1648" w:type="dxa"/>
            <w:shd w:val="clear" w:color="auto" w:fill="auto"/>
          </w:tcPr>
          <w:p w:rsidR="00275265" w:rsidRPr="002266BE" w:rsidRDefault="00275265" w:rsidP="003F4B71">
            <w:pPr>
              <w:ind w:left="29" w:right="29"/>
              <w:rPr>
                <w:rFonts w:hint="cs"/>
                <w:rtl/>
              </w:rPr>
            </w:pPr>
            <w:r w:rsidRPr="002266BE">
              <w:rPr>
                <w:rFonts w:hint="cs"/>
                <w:rtl/>
              </w:rPr>
              <w:t xml:space="preserve">48.5 </w:t>
            </w:r>
            <w:r>
              <w:rPr>
                <w:rFonts w:hint="cs"/>
                <w:rtl/>
              </w:rPr>
              <w:t>في المائة</w:t>
            </w:r>
          </w:p>
        </w:tc>
        <w:tc>
          <w:tcPr>
            <w:tcW w:w="1648" w:type="dxa"/>
            <w:shd w:val="clear" w:color="auto" w:fill="auto"/>
          </w:tcPr>
          <w:p w:rsidR="00275265" w:rsidRPr="002266BE" w:rsidRDefault="00275265" w:rsidP="003F4B71">
            <w:pPr>
              <w:ind w:left="29" w:right="29"/>
              <w:rPr>
                <w:rFonts w:hint="cs"/>
                <w:rtl/>
              </w:rPr>
            </w:pPr>
            <w:r w:rsidRPr="002266BE">
              <w:rPr>
                <w:rFonts w:hint="cs"/>
                <w:rtl/>
              </w:rPr>
              <w:t xml:space="preserve">48.6 </w:t>
            </w:r>
            <w:r>
              <w:rPr>
                <w:rFonts w:hint="cs"/>
                <w:rtl/>
              </w:rPr>
              <w:t>في المائة</w:t>
            </w:r>
          </w:p>
        </w:tc>
        <w:tc>
          <w:tcPr>
            <w:tcW w:w="1648" w:type="dxa"/>
            <w:shd w:val="clear" w:color="auto" w:fill="auto"/>
          </w:tcPr>
          <w:p w:rsidR="00275265" w:rsidRPr="002266BE" w:rsidRDefault="00275265" w:rsidP="003F4B71">
            <w:pPr>
              <w:ind w:left="29" w:right="29"/>
              <w:rPr>
                <w:rFonts w:hint="cs"/>
                <w:rtl/>
              </w:rPr>
            </w:pPr>
            <w:r w:rsidRPr="002266BE">
              <w:rPr>
                <w:rFonts w:hint="cs"/>
                <w:rtl/>
              </w:rPr>
              <w:t xml:space="preserve">34.2 </w:t>
            </w:r>
            <w:r>
              <w:rPr>
                <w:rFonts w:hint="cs"/>
                <w:rtl/>
              </w:rPr>
              <w:t>في المائة</w:t>
            </w:r>
          </w:p>
        </w:tc>
        <w:tc>
          <w:tcPr>
            <w:tcW w:w="1545" w:type="dxa"/>
            <w:shd w:val="clear" w:color="auto" w:fill="auto"/>
          </w:tcPr>
          <w:p w:rsidR="00275265" w:rsidRPr="002266BE" w:rsidRDefault="00275265" w:rsidP="003F4B71">
            <w:pPr>
              <w:ind w:left="29" w:right="29"/>
              <w:rPr>
                <w:rFonts w:hint="cs"/>
                <w:rtl/>
              </w:rPr>
            </w:pPr>
            <w:r w:rsidRPr="002266BE">
              <w:rPr>
                <w:rFonts w:hint="cs"/>
                <w:rtl/>
              </w:rPr>
              <w:t xml:space="preserve">62.2 </w:t>
            </w:r>
            <w:r>
              <w:rPr>
                <w:rFonts w:hint="cs"/>
                <w:rtl/>
              </w:rPr>
              <w:t>في المائة</w:t>
            </w:r>
          </w:p>
        </w:tc>
        <w:tc>
          <w:tcPr>
            <w:tcW w:w="1622" w:type="dxa"/>
            <w:shd w:val="clear" w:color="auto" w:fill="auto"/>
          </w:tcPr>
          <w:p w:rsidR="00275265" w:rsidRPr="002266BE" w:rsidRDefault="00275265" w:rsidP="003F4B71">
            <w:pPr>
              <w:ind w:left="29" w:right="29"/>
              <w:rPr>
                <w:rFonts w:hint="cs"/>
                <w:rtl/>
              </w:rPr>
            </w:pPr>
            <w:r w:rsidRPr="002266BE">
              <w:rPr>
                <w:rFonts w:hint="cs"/>
                <w:rtl/>
              </w:rPr>
              <w:t xml:space="preserve">45.0 </w:t>
            </w:r>
            <w:r>
              <w:rPr>
                <w:rFonts w:hint="cs"/>
                <w:rtl/>
              </w:rPr>
              <w:t>في المائة</w:t>
            </w:r>
          </w:p>
        </w:tc>
      </w:tr>
    </w:tbl>
    <w:p w:rsidR="00275265" w:rsidRDefault="00275265" w:rsidP="00275265">
      <w:pPr>
        <w:pStyle w:val="SingleTxt"/>
        <w:rPr>
          <w:rFonts w:hint="cs"/>
          <w:rtl/>
        </w:rPr>
      </w:pPr>
    </w:p>
    <w:p w:rsidR="00275265" w:rsidRDefault="00275265" w:rsidP="00275265">
      <w:pPr>
        <w:pStyle w:val="SingleTxt"/>
        <w:rPr>
          <w:rFonts w:hint="cs"/>
          <w:rtl/>
        </w:rPr>
      </w:pPr>
    </w:p>
    <w:p w:rsidR="00275265" w:rsidRDefault="00275265" w:rsidP="00275265">
      <w:pPr>
        <w:pStyle w:val="SingleTxt"/>
        <w:rPr>
          <w:rFonts w:hint="cs"/>
          <w:rtl/>
        </w:rPr>
      </w:pPr>
    </w:p>
    <w:p w:rsidR="00275265" w:rsidRDefault="00275265" w:rsidP="00275265">
      <w:pPr>
        <w:pStyle w:val="SingleTxt"/>
        <w:rPr>
          <w:rFonts w:hint="cs"/>
          <w:rtl/>
        </w:rPr>
      </w:pPr>
      <w:r>
        <w:rPr>
          <w:rFonts w:hint="cs"/>
          <w:rtl/>
        </w:rPr>
        <w:t>الجدول ألف -11-1</w:t>
      </w:r>
    </w:p>
    <w:p w:rsidR="00275265" w:rsidRDefault="00275265" w:rsidP="00275265">
      <w:pPr>
        <w:pStyle w:val="SingleTxt"/>
        <w:rPr>
          <w:rFonts w:hint="cs"/>
          <w:b/>
          <w:bCs/>
          <w:rtl/>
        </w:rPr>
      </w:pPr>
      <w:r>
        <w:rPr>
          <w:rFonts w:hint="cs"/>
          <w:b/>
          <w:bCs/>
          <w:rtl/>
        </w:rPr>
        <w:t>نسبة أجر المرأة إلى أجر الرجل في المجموعات المهنية الرئيسية (بيانات تشرين الأول/ أكتوبر 1998 وتشرين الأول/أكتوبر 2002)</w:t>
      </w:r>
    </w:p>
    <w:tbl>
      <w:tblPr>
        <w:bidiVisual/>
        <w:tblW w:w="8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293"/>
        <w:gridCol w:w="1545"/>
        <w:gridCol w:w="1519"/>
      </w:tblGrid>
      <w:tr w:rsidR="00275265">
        <w:tblPrEx>
          <w:tblCellMar>
            <w:top w:w="0" w:type="dxa"/>
            <w:bottom w:w="0" w:type="dxa"/>
          </w:tblCellMar>
        </w:tblPrEx>
        <w:trPr>
          <w:jc w:val="center"/>
        </w:trPr>
        <w:tc>
          <w:tcPr>
            <w:tcW w:w="5293" w:type="dxa"/>
            <w:shd w:val="clear" w:color="auto" w:fill="auto"/>
            <w:tcMar>
              <w:left w:w="0" w:type="dxa"/>
              <w:right w:w="0" w:type="dxa"/>
            </w:tcMar>
          </w:tcPr>
          <w:p w:rsidR="00275265" w:rsidRPr="00B245B6" w:rsidRDefault="00275265" w:rsidP="003F4B71">
            <w:pPr>
              <w:spacing w:line="320" w:lineRule="exact"/>
              <w:ind w:left="29" w:right="29"/>
              <w:rPr>
                <w:rFonts w:hint="cs"/>
                <w:b/>
                <w:bCs/>
                <w:rtl/>
              </w:rPr>
            </w:pPr>
            <w:r w:rsidRPr="00B245B6">
              <w:rPr>
                <w:rFonts w:hint="cs"/>
                <w:b/>
                <w:bCs/>
                <w:rtl/>
              </w:rPr>
              <w:t>المجموعة المهنية</w:t>
            </w:r>
          </w:p>
        </w:tc>
        <w:tc>
          <w:tcPr>
            <w:tcW w:w="1545" w:type="dxa"/>
            <w:shd w:val="clear" w:color="auto" w:fill="auto"/>
          </w:tcPr>
          <w:p w:rsidR="00275265" w:rsidRPr="00B245B6" w:rsidRDefault="00275265" w:rsidP="003F4B71">
            <w:pPr>
              <w:spacing w:line="320" w:lineRule="exact"/>
              <w:ind w:left="29" w:right="29"/>
              <w:rPr>
                <w:rFonts w:hint="cs"/>
                <w:b/>
                <w:bCs/>
                <w:rtl/>
              </w:rPr>
            </w:pPr>
            <w:r w:rsidRPr="00B245B6">
              <w:rPr>
                <w:rFonts w:hint="cs"/>
                <w:b/>
                <w:bCs/>
                <w:rtl/>
              </w:rPr>
              <w:t>1998</w:t>
            </w:r>
          </w:p>
        </w:tc>
        <w:tc>
          <w:tcPr>
            <w:tcW w:w="1519" w:type="dxa"/>
            <w:shd w:val="clear" w:color="auto" w:fill="auto"/>
          </w:tcPr>
          <w:p w:rsidR="00275265" w:rsidRPr="00B245B6" w:rsidRDefault="00275265" w:rsidP="003F4B71">
            <w:pPr>
              <w:spacing w:line="320" w:lineRule="exact"/>
              <w:ind w:left="29" w:right="29"/>
              <w:rPr>
                <w:rFonts w:hint="cs"/>
                <w:b/>
                <w:bCs/>
                <w:rtl/>
              </w:rPr>
            </w:pPr>
            <w:r w:rsidRPr="00B245B6">
              <w:rPr>
                <w:rFonts w:hint="cs"/>
                <w:b/>
                <w:bCs/>
                <w:rtl/>
              </w:rPr>
              <w:t>2002</w:t>
            </w:r>
          </w:p>
        </w:tc>
      </w:tr>
      <w:tr w:rsidR="00275265">
        <w:tblPrEx>
          <w:tblCellMar>
            <w:top w:w="0" w:type="dxa"/>
            <w:bottom w:w="0" w:type="dxa"/>
          </w:tblCellMar>
        </w:tblPrEx>
        <w:trPr>
          <w:jc w:val="center"/>
        </w:trPr>
        <w:tc>
          <w:tcPr>
            <w:tcW w:w="5293" w:type="dxa"/>
            <w:shd w:val="clear" w:color="auto" w:fill="auto"/>
          </w:tcPr>
          <w:p w:rsidR="00275265" w:rsidRDefault="00275265" w:rsidP="003F4B71">
            <w:pPr>
              <w:spacing w:line="320" w:lineRule="exact"/>
              <w:ind w:left="29" w:right="29"/>
              <w:rPr>
                <w:rFonts w:hint="cs"/>
                <w:rtl/>
              </w:rPr>
            </w:pPr>
            <w:r>
              <w:rPr>
                <w:rFonts w:hint="cs"/>
                <w:rtl/>
              </w:rPr>
              <w:t>كبار موظفي ومديري الخدمة المدنية</w:t>
            </w:r>
          </w:p>
        </w:tc>
        <w:tc>
          <w:tcPr>
            <w:tcW w:w="1545" w:type="dxa"/>
            <w:shd w:val="clear" w:color="auto" w:fill="auto"/>
          </w:tcPr>
          <w:p w:rsidR="00275265" w:rsidRPr="002266BE" w:rsidRDefault="00275265" w:rsidP="003F4B71">
            <w:pPr>
              <w:spacing w:line="320" w:lineRule="exact"/>
              <w:ind w:left="29" w:right="29"/>
              <w:rPr>
                <w:rFonts w:hint="cs"/>
                <w:rtl/>
              </w:rPr>
            </w:pPr>
            <w:r w:rsidRPr="002266BE">
              <w:rPr>
                <w:rFonts w:hint="cs"/>
                <w:rtl/>
              </w:rPr>
              <w:t xml:space="preserve">75 </w:t>
            </w:r>
            <w:r>
              <w:rPr>
                <w:rFonts w:hint="cs"/>
                <w:rtl/>
              </w:rPr>
              <w:t>في المائة</w:t>
            </w:r>
          </w:p>
        </w:tc>
        <w:tc>
          <w:tcPr>
            <w:tcW w:w="1519" w:type="dxa"/>
            <w:shd w:val="clear" w:color="auto" w:fill="auto"/>
          </w:tcPr>
          <w:p w:rsidR="00275265" w:rsidRPr="002266BE" w:rsidRDefault="00275265" w:rsidP="003F4B71">
            <w:pPr>
              <w:spacing w:line="320" w:lineRule="exact"/>
              <w:ind w:left="29" w:right="29"/>
              <w:rPr>
                <w:rFonts w:hint="cs"/>
                <w:rtl/>
              </w:rPr>
            </w:pPr>
            <w:r w:rsidRPr="002266BE">
              <w:rPr>
                <w:rFonts w:hint="cs"/>
                <w:rtl/>
              </w:rPr>
              <w:t xml:space="preserve">72 </w:t>
            </w:r>
            <w:r>
              <w:rPr>
                <w:rFonts w:hint="cs"/>
                <w:rtl/>
              </w:rPr>
              <w:t>في المائة</w:t>
            </w:r>
          </w:p>
        </w:tc>
      </w:tr>
      <w:tr w:rsidR="00275265">
        <w:tblPrEx>
          <w:tblCellMar>
            <w:top w:w="0" w:type="dxa"/>
            <w:bottom w:w="0" w:type="dxa"/>
          </w:tblCellMar>
        </w:tblPrEx>
        <w:trPr>
          <w:jc w:val="center"/>
        </w:trPr>
        <w:tc>
          <w:tcPr>
            <w:tcW w:w="5293" w:type="dxa"/>
            <w:shd w:val="clear" w:color="auto" w:fill="auto"/>
          </w:tcPr>
          <w:p w:rsidR="00275265" w:rsidRDefault="00275265" w:rsidP="003F4B71">
            <w:pPr>
              <w:spacing w:line="320" w:lineRule="exact"/>
              <w:ind w:left="29" w:right="29"/>
              <w:rPr>
                <w:rFonts w:hint="cs"/>
                <w:rtl/>
              </w:rPr>
            </w:pPr>
            <w:r>
              <w:rPr>
                <w:rFonts w:hint="cs"/>
                <w:rtl/>
              </w:rPr>
              <w:t>الأخصائيون</w:t>
            </w:r>
          </w:p>
        </w:tc>
        <w:tc>
          <w:tcPr>
            <w:tcW w:w="1545" w:type="dxa"/>
            <w:shd w:val="clear" w:color="auto" w:fill="auto"/>
          </w:tcPr>
          <w:p w:rsidR="00275265" w:rsidRPr="002266BE" w:rsidRDefault="00275265" w:rsidP="003F4B71">
            <w:pPr>
              <w:spacing w:line="320" w:lineRule="exact"/>
              <w:ind w:left="29" w:right="29"/>
              <w:rPr>
                <w:rFonts w:hint="cs"/>
                <w:rtl/>
              </w:rPr>
            </w:pPr>
            <w:r w:rsidRPr="002266BE">
              <w:rPr>
                <w:rFonts w:hint="cs"/>
                <w:rtl/>
              </w:rPr>
              <w:t xml:space="preserve">72 </w:t>
            </w:r>
            <w:r>
              <w:rPr>
                <w:rFonts w:hint="cs"/>
                <w:rtl/>
              </w:rPr>
              <w:t>في المائة</w:t>
            </w:r>
          </w:p>
        </w:tc>
        <w:tc>
          <w:tcPr>
            <w:tcW w:w="1519" w:type="dxa"/>
            <w:shd w:val="clear" w:color="auto" w:fill="auto"/>
          </w:tcPr>
          <w:p w:rsidR="00275265" w:rsidRPr="002266BE" w:rsidRDefault="00275265" w:rsidP="003F4B71">
            <w:pPr>
              <w:spacing w:line="320" w:lineRule="exact"/>
              <w:ind w:left="29" w:right="29"/>
              <w:rPr>
                <w:rFonts w:hint="cs"/>
                <w:rtl/>
              </w:rPr>
            </w:pPr>
            <w:r w:rsidRPr="002266BE">
              <w:rPr>
                <w:rFonts w:hint="cs"/>
                <w:rtl/>
              </w:rPr>
              <w:t xml:space="preserve">75 </w:t>
            </w:r>
            <w:r>
              <w:rPr>
                <w:rFonts w:hint="cs"/>
                <w:rtl/>
              </w:rPr>
              <w:t>في المائة</w:t>
            </w:r>
          </w:p>
        </w:tc>
      </w:tr>
      <w:tr w:rsidR="00275265">
        <w:tblPrEx>
          <w:tblCellMar>
            <w:top w:w="0" w:type="dxa"/>
            <w:bottom w:w="0" w:type="dxa"/>
          </w:tblCellMar>
        </w:tblPrEx>
        <w:trPr>
          <w:jc w:val="center"/>
        </w:trPr>
        <w:tc>
          <w:tcPr>
            <w:tcW w:w="5293" w:type="dxa"/>
            <w:shd w:val="clear" w:color="auto" w:fill="auto"/>
          </w:tcPr>
          <w:p w:rsidR="00275265" w:rsidRDefault="00275265" w:rsidP="003F4B71">
            <w:pPr>
              <w:spacing w:line="320" w:lineRule="exact"/>
              <w:ind w:left="29" w:right="29"/>
              <w:rPr>
                <w:rFonts w:hint="cs"/>
                <w:rtl/>
              </w:rPr>
            </w:pPr>
            <w:r>
              <w:rPr>
                <w:rFonts w:hint="cs"/>
                <w:rtl/>
              </w:rPr>
              <w:t>الفنيون، وغيرهم من موظفي المرتبة المتوسطة</w:t>
            </w:r>
          </w:p>
        </w:tc>
        <w:tc>
          <w:tcPr>
            <w:tcW w:w="1545" w:type="dxa"/>
            <w:shd w:val="clear" w:color="auto" w:fill="auto"/>
          </w:tcPr>
          <w:p w:rsidR="00275265" w:rsidRPr="002266BE" w:rsidRDefault="00275265" w:rsidP="003F4B71">
            <w:pPr>
              <w:spacing w:line="320" w:lineRule="exact"/>
              <w:ind w:left="29" w:right="29"/>
              <w:rPr>
                <w:rFonts w:hint="cs"/>
                <w:rtl/>
              </w:rPr>
            </w:pPr>
            <w:r w:rsidRPr="002266BE">
              <w:rPr>
                <w:rFonts w:hint="cs"/>
                <w:rtl/>
              </w:rPr>
              <w:t xml:space="preserve">74 </w:t>
            </w:r>
            <w:r>
              <w:rPr>
                <w:rFonts w:hint="cs"/>
                <w:rtl/>
              </w:rPr>
              <w:t>في المائة</w:t>
            </w:r>
          </w:p>
        </w:tc>
        <w:tc>
          <w:tcPr>
            <w:tcW w:w="1519" w:type="dxa"/>
            <w:shd w:val="clear" w:color="auto" w:fill="auto"/>
          </w:tcPr>
          <w:p w:rsidR="00275265" w:rsidRPr="002266BE" w:rsidRDefault="00275265" w:rsidP="003F4B71">
            <w:pPr>
              <w:spacing w:line="320" w:lineRule="exact"/>
              <w:ind w:left="29" w:right="29"/>
              <w:rPr>
                <w:rFonts w:hint="cs"/>
                <w:rtl/>
              </w:rPr>
            </w:pPr>
            <w:r w:rsidRPr="002266BE">
              <w:rPr>
                <w:rFonts w:hint="cs"/>
                <w:rtl/>
              </w:rPr>
              <w:t xml:space="preserve">73 </w:t>
            </w:r>
            <w:r>
              <w:rPr>
                <w:rFonts w:hint="cs"/>
                <w:rtl/>
              </w:rPr>
              <w:t>في المائة</w:t>
            </w:r>
          </w:p>
        </w:tc>
      </w:tr>
      <w:tr w:rsidR="00275265">
        <w:tblPrEx>
          <w:tblCellMar>
            <w:top w:w="0" w:type="dxa"/>
            <w:bottom w:w="0" w:type="dxa"/>
          </w:tblCellMar>
        </w:tblPrEx>
        <w:trPr>
          <w:jc w:val="center"/>
        </w:trPr>
        <w:tc>
          <w:tcPr>
            <w:tcW w:w="5293" w:type="dxa"/>
            <w:shd w:val="clear" w:color="auto" w:fill="auto"/>
          </w:tcPr>
          <w:p w:rsidR="00275265" w:rsidRDefault="00275265" w:rsidP="003F4B71">
            <w:pPr>
              <w:spacing w:line="320" w:lineRule="exact"/>
              <w:ind w:left="29" w:right="29"/>
              <w:rPr>
                <w:rFonts w:hint="cs"/>
                <w:rtl/>
              </w:rPr>
            </w:pPr>
            <w:r>
              <w:rPr>
                <w:rFonts w:hint="cs"/>
                <w:rtl/>
              </w:rPr>
              <w:t>العاملون في المكاتب</w:t>
            </w:r>
          </w:p>
        </w:tc>
        <w:tc>
          <w:tcPr>
            <w:tcW w:w="1545" w:type="dxa"/>
            <w:shd w:val="clear" w:color="auto" w:fill="auto"/>
          </w:tcPr>
          <w:p w:rsidR="00275265" w:rsidRPr="002266BE" w:rsidRDefault="00275265" w:rsidP="003F4B71">
            <w:pPr>
              <w:spacing w:line="320" w:lineRule="exact"/>
              <w:ind w:left="29" w:right="29"/>
              <w:rPr>
                <w:rFonts w:hint="cs"/>
                <w:rtl/>
              </w:rPr>
            </w:pPr>
            <w:r w:rsidRPr="002266BE">
              <w:rPr>
                <w:rFonts w:hint="cs"/>
                <w:rtl/>
              </w:rPr>
              <w:t xml:space="preserve">94 </w:t>
            </w:r>
            <w:r>
              <w:rPr>
                <w:rFonts w:hint="cs"/>
                <w:rtl/>
              </w:rPr>
              <w:t>في المائة</w:t>
            </w:r>
          </w:p>
        </w:tc>
        <w:tc>
          <w:tcPr>
            <w:tcW w:w="1519" w:type="dxa"/>
            <w:shd w:val="clear" w:color="auto" w:fill="auto"/>
          </w:tcPr>
          <w:p w:rsidR="00275265" w:rsidRPr="002266BE" w:rsidRDefault="00275265" w:rsidP="003F4B71">
            <w:pPr>
              <w:spacing w:line="320" w:lineRule="exact"/>
              <w:ind w:left="29" w:right="29"/>
              <w:rPr>
                <w:rFonts w:hint="cs"/>
                <w:rtl/>
              </w:rPr>
            </w:pPr>
            <w:r w:rsidRPr="002266BE">
              <w:rPr>
                <w:rFonts w:hint="cs"/>
                <w:rtl/>
              </w:rPr>
              <w:t xml:space="preserve">101 </w:t>
            </w:r>
            <w:r>
              <w:rPr>
                <w:rFonts w:hint="cs"/>
                <w:rtl/>
              </w:rPr>
              <w:t>في المائة</w:t>
            </w:r>
          </w:p>
        </w:tc>
      </w:tr>
      <w:tr w:rsidR="00275265">
        <w:tblPrEx>
          <w:tblCellMar>
            <w:top w:w="0" w:type="dxa"/>
            <w:bottom w:w="0" w:type="dxa"/>
          </w:tblCellMar>
        </w:tblPrEx>
        <w:trPr>
          <w:jc w:val="center"/>
        </w:trPr>
        <w:tc>
          <w:tcPr>
            <w:tcW w:w="5293" w:type="dxa"/>
            <w:shd w:val="clear" w:color="auto" w:fill="auto"/>
          </w:tcPr>
          <w:p w:rsidR="00275265" w:rsidRDefault="00275265" w:rsidP="003F4B71">
            <w:pPr>
              <w:spacing w:line="320" w:lineRule="exact"/>
              <w:ind w:left="29" w:right="29"/>
              <w:rPr>
                <w:rFonts w:hint="cs"/>
                <w:rtl/>
              </w:rPr>
            </w:pPr>
            <w:r>
              <w:rPr>
                <w:rFonts w:hint="cs"/>
                <w:rtl/>
              </w:rPr>
              <w:t>موظفون يقدمون خدمات شخصية وكتبة في المحلات</w:t>
            </w:r>
          </w:p>
        </w:tc>
        <w:tc>
          <w:tcPr>
            <w:tcW w:w="1545" w:type="dxa"/>
            <w:shd w:val="clear" w:color="auto" w:fill="auto"/>
          </w:tcPr>
          <w:p w:rsidR="00275265" w:rsidRPr="002266BE" w:rsidRDefault="00275265" w:rsidP="003F4B71">
            <w:pPr>
              <w:spacing w:line="320" w:lineRule="exact"/>
              <w:ind w:left="29" w:right="29"/>
              <w:rPr>
                <w:rFonts w:hint="cs"/>
                <w:rtl/>
              </w:rPr>
            </w:pPr>
            <w:r w:rsidRPr="002266BE">
              <w:rPr>
                <w:rFonts w:hint="cs"/>
                <w:rtl/>
              </w:rPr>
              <w:t xml:space="preserve">75 </w:t>
            </w:r>
            <w:r>
              <w:rPr>
                <w:rFonts w:hint="cs"/>
                <w:rtl/>
              </w:rPr>
              <w:t>في المائة</w:t>
            </w:r>
          </w:p>
        </w:tc>
        <w:tc>
          <w:tcPr>
            <w:tcW w:w="1519" w:type="dxa"/>
            <w:shd w:val="clear" w:color="auto" w:fill="auto"/>
          </w:tcPr>
          <w:p w:rsidR="00275265" w:rsidRPr="002266BE" w:rsidRDefault="00275265" w:rsidP="003F4B71">
            <w:pPr>
              <w:spacing w:line="320" w:lineRule="exact"/>
              <w:ind w:left="29" w:right="29"/>
              <w:rPr>
                <w:rFonts w:hint="cs"/>
                <w:rtl/>
              </w:rPr>
            </w:pPr>
            <w:r w:rsidRPr="002266BE">
              <w:rPr>
                <w:rFonts w:hint="cs"/>
                <w:rtl/>
              </w:rPr>
              <w:t xml:space="preserve">85 </w:t>
            </w:r>
            <w:r>
              <w:rPr>
                <w:rFonts w:hint="cs"/>
                <w:rtl/>
              </w:rPr>
              <w:t>في المائة</w:t>
            </w:r>
          </w:p>
        </w:tc>
      </w:tr>
      <w:tr w:rsidR="00275265">
        <w:tblPrEx>
          <w:tblCellMar>
            <w:top w:w="0" w:type="dxa"/>
            <w:bottom w:w="0" w:type="dxa"/>
          </w:tblCellMar>
        </w:tblPrEx>
        <w:trPr>
          <w:jc w:val="center"/>
        </w:trPr>
        <w:tc>
          <w:tcPr>
            <w:tcW w:w="5293" w:type="dxa"/>
            <w:shd w:val="clear" w:color="auto" w:fill="auto"/>
          </w:tcPr>
          <w:p w:rsidR="00275265" w:rsidRDefault="00275265" w:rsidP="003F4B71">
            <w:pPr>
              <w:spacing w:line="320" w:lineRule="exact"/>
              <w:ind w:left="29" w:right="29"/>
              <w:rPr>
                <w:rFonts w:hint="cs"/>
                <w:rtl/>
              </w:rPr>
            </w:pPr>
            <w:r>
              <w:rPr>
                <w:rFonts w:hint="cs"/>
                <w:rtl/>
              </w:rPr>
              <w:t>المزارعون والعاملون في البساتين والأمناء على الغابات والصيادون</w:t>
            </w:r>
          </w:p>
        </w:tc>
        <w:tc>
          <w:tcPr>
            <w:tcW w:w="1545" w:type="dxa"/>
            <w:shd w:val="clear" w:color="auto" w:fill="auto"/>
          </w:tcPr>
          <w:p w:rsidR="00275265" w:rsidRPr="002266BE" w:rsidRDefault="00275265" w:rsidP="003F4B71">
            <w:pPr>
              <w:spacing w:line="320" w:lineRule="exact"/>
              <w:ind w:left="29" w:right="29"/>
              <w:rPr>
                <w:rFonts w:hint="cs"/>
                <w:rtl/>
              </w:rPr>
            </w:pPr>
            <w:r w:rsidRPr="002266BE">
              <w:rPr>
                <w:rFonts w:hint="cs"/>
                <w:rtl/>
              </w:rPr>
              <w:t xml:space="preserve">90 </w:t>
            </w:r>
            <w:r>
              <w:rPr>
                <w:rFonts w:hint="cs"/>
                <w:rtl/>
              </w:rPr>
              <w:t>في المائة</w:t>
            </w:r>
          </w:p>
        </w:tc>
        <w:tc>
          <w:tcPr>
            <w:tcW w:w="1519" w:type="dxa"/>
            <w:shd w:val="clear" w:color="auto" w:fill="auto"/>
          </w:tcPr>
          <w:p w:rsidR="00275265" w:rsidRPr="002266BE" w:rsidRDefault="00275265" w:rsidP="003F4B71">
            <w:pPr>
              <w:spacing w:line="320" w:lineRule="exact"/>
              <w:ind w:left="29" w:right="29"/>
              <w:rPr>
                <w:rFonts w:hint="cs"/>
                <w:rtl/>
              </w:rPr>
            </w:pPr>
            <w:r w:rsidRPr="002266BE">
              <w:rPr>
                <w:rFonts w:hint="cs"/>
                <w:rtl/>
              </w:rPr>
              <w:t xml:space="preserve">91 </w:t>
            </w:r>
            <w:r>
              <w:rPr>
                <w:rFonts w:hint="cs"/>
                <w:rtl/>
              </w:rPr>
              <w:t>في المائة</w:t>
            </w:r>
          </w:p>
        </w:tc>
      </w:tr>
      <w:tr w:rsidR="00275265">
        <w:tblPrEx>
          <w:tblCellMar>
            <w:top w:w="0" w:type="dxa"/>
            <w:bottom w:w="0" w:type="dxa"/>
          </w:tblCellMar>
        </w:tblPrEx>
        <w:trPr>
          <w:jc w:val="center"/>
        </w:trPr>
        <w:tc>
          <w:tcPr>
            <w:tcW w:w="5293" w:type="dxa"/>
            <w:shd w:val="clear" w:color="auto" w:fill="auto"/>
          </w:tcPr>
          <w:p w:rsidR="00275265" w:rsidRDefault="00275265" w:rsidP="003F4B71">
            <w:pPr>
              <w:spacing w:line="320" w:lineRule="exact"/>
              <w:ind w:left="29" w:right="29"/>
              <w:rPr>
                <w:rFonts w:hint="cs"/>
                <w:rtl/>
              </w:rPr>
            </w:pPr>
            <w:r>
              <w:rPr>
                <w:rFonts w:hint="cs"/>
                <w:rtl/>
              </w:rPr>
              <w:t>العمال الصناعيون والحرفيون</w:t>
            </w:r>
          </w:p>
        </w:tc>
        <w:tc>
          <w:tcPr>
            <w:tcW w:w="1545" w:type="dxa"/>
            <w:shd w:val="clear" w:color="auto" w:fill="auto"/>
          </w:tcPr>
          <w:p w:rsidR="00275265" w:rsidRPr="002266BE" w:rsidRDefault="00275265" w:rsidP="003F4B71">
            <w:pPr>
              <w:spacing w:line="320" w:lineRule="exact"/>
              <w:ind w:left="29" w:right="29"/>
              <w:rPr>
                <w:rFonts w:hint="cs"/>
                <w:rtl/>
              </w:rPr>
            </w:pPr>
            <w:r w:rsidRPr="002266BE">
              <w:rPr>
                <w:rFonts w:hint="cs"/>
                <w:rtl/>
              </w:rPr>
              <w:t xml:space="preserve">67 </w:t>
            </w:r>
            <w:r>
              <w:rPr>
                <w:rFonts w:hint="cs"/>
                <w:rtl/>
              </w:rPr>
              <w:t>في المائة</w:t>
            </w:r>
          </w:p>
        </w:tc>
        <w:tc>
          <w:tcPr>
            <w:tcW w:w="1519" w:type="dxa"/>
            <w:shd w:val="clear" w:color="auto" w:fill="auto"/>
          </w:tcPr>
          <w:p w:rsidR="00275265" w:rsidRPr="002266BE" w:rsidRDefault="00275265" w:rsidP="003F4B71">
            <w:pPr>
              <w:spacing w:line="320" w:lineRule="exact"/>
              <w:ind w:left="29" w:right="29"/>
              <w:rPr>
                <w:rFonts w:hint="cs"/>
                <w:rtl/>
              </w:rPr>
            </w:pPr>
            <w:r w:rsidRPr="002266BE">
              <w:rPr>
                <w:rFonts w:hint="cs"/>
                <w:rtl/>
              </w:rPr>
              <w:t xml:space="preserve">63 </w:t>
            </w:r>
            <w:r>
              <w:rPr>
                <w:rFonts w:hint="cs"/>
                <w:rtl/>
              </w:rPr>
              <w:t>في المائة</w:t>
            </w:r>
          </w:p>
        </w:tc>
      </w:tr>
      <w:tr w:rsidR="00275265">
        <w:tblPrEx>
          <w:tblCellMar>
            <w:top w:w="0" w:type="dxa"/>
            <w:bottom w:w="0" w:type="dxa"/>
          </w:tblCellMar>
        </w:tblPrEx>
        <w:trPr>
          <w:jc w:val="center"/>
        </w:trPr>
        <w:tc>
          <w:tcPr>
            <w:tcW w:w="5293" w:type="dxa"/>
            <w:shd w:val="clear" w:color="auto" w:fill="auto"/>
          </w:tcPr>
          <w:p w:rsidR="00275265" w:rsidRDefault="00275265" w:rsidP="003F4B71">
            <w:pPr>
              <w:spacing w:line="320" w:lineRule="exact"/>
              <w:ind w:left="29" w:right="29"/>
              <w:rPr>
                <w:rFonts w:hint="cs"/>
                <w:rtl/>
              </w:rPr>
            </w:pPr>
            <w:r>
              <w:rPr>
                <w:rFonts w:hint="cs"/>
                <w:rtl/>
              </w:rPr>
              <w:t>مشغلو الآلات والمعدات</w:t>
            </w:r>
          </w:p>
        </w:tc>
        <w:tc>
          <w:tcPr>
            <w:tcW w:w="1545" w:type="dxa"/>
            <w:shd w:val="clear" w:color="auto" w:fill="auto"/>
          </w:tcPr>
          <w:p w:rsidR="00275265" w:rsidRPr="002266BE" w:rsidRDefault="00275265" w:rsidP="003F4B71">
            <w:pPr>
              <w:spacing w:line="320" w:lineRule="exact"/>
              <w:ind w:left="29" w:right="29"/>
              <w:rPr>
                <w:rFonts w:hint="cs"/>
                <w:rtl/>
              </w:rPr>
            </w:pPr>
            <w:r w:rsidRPr="002266BE">
              <w:rPr>
                <w:rFonts w:hint="cs"/>
                <w:rtl/>
              </w:rPr>
              <w:t xml:space="preserve">85 </w:t>
            </w:r>
            <w:r>
              <w:rPr>
                <w:rFonts w:hint="cs"/>
                <w:rtl/>
              </w:rPr>
              <w:t>في المائة</w:t>
            </w:r>
          </w:p>
        </w:tc>
        <w:tc>
          <w:tcPr>
            <w:tcW w:w="1519" w:type="dxa"/>
            <w:shd w:val="clear" w:color="auto" w:fill="auto"/>
          </w:tcPr>
          <w:p w:rsidR="00275265" w:rsidRPr="002266BE" w:rsidRDefault="00275265" w:rsidP="003F4B71">
            <w:pPr>
              <w:spacing w:line="320" w:lineRule="exact"/>
              <w:ind w:left="29" w:right="29"/>
              <w:rPr>
                <w:rFonts w:hint="cs"/>
                <w:rtl/>
              </w:rPr>
            </w:pPr>
            <w:r w:rsidRPr="002266BE">
              <w:rPr>
                <w:rFonts w:hint="cs"/>
                <w:rtl/>
              </w:rPr>
              <w:t xml:space="preserve">84 </w:t>
            </w:r>
            <w:r>
              <w:rPr>
                <w:rFonts w:hint="cs"/>
                <w:rtl/>
              </w:rPr>
              <w:t>في المائة</w:t>
            </w:r>
          </w:p>
        </w:tc>
      </w:tr>
      <w:tr w:rsidR="00275265">
        <w:tblPrEx>
          <w:tblCellMar>
            <w:top w:w="0" w:type="dxa"/>
            <w:bottom w:w="0" w:type="dxa"/>
          </w:tblCellMar>
        </w:tblPrEx>
        <w:trPr>
          <w:jc w:val="center"/>
        </w:trPr>
        <w:tc>
          <w:tcPr>
            <w:tcW w:w="5293" w:type="dxa"/>
            <w:shd w:val="clear" w:color="auto" w:fill="auto"/>
          </w:tcPr>
          <w:p w:rsidR="00275265" w:rsidRDefault="00275265" w:rsidP="003F4B71">
            <w:pPr>
              <w:spacing w:line="320" w:lineRule="exact"/>
              <w:ind w:left="29" w:right="29"/>
              <w:rPr>
                <w:rFonts w:hint="cs"/>
                <w:rtl/>
              </w:rPr>
            </w:pPr>
            <w:r>
              <w:rPr>
                <w:rFonts w:hint="cs"/>
                <w:rtl/>
              </w:rPr>
              <w:t>العمال غير الماهرين</w:t>
            </w:r>
          </w:p>
        </w:tc>
        <w:tc>
          <w:tcPr>
            <w:tcW w:w="1545" w:type="dxa"/>
            <w:shd w:val="clear" w:color="auto" w:fill="auto"/>
          </w:tcPr>
          <w:p w:rsidR="00275265" w:rsidRPr="002266BE" w:rsidRDefault="00275265" w:rsidP="003F4B71">
            <w:pPr>
              <w:spacing w:line="320" w:lineRule="exact"/>
              <w:ind w:left="29" w:right="29"/>
              <w:rPr>
                <w:rFonts w:hint="cs"/>
                <w:rtl/>
              </w:rPr>
            </w:pPr>
            <w:r w:rsidRPr="002266BE">
              <w:rPr>
                <w:rFonts w:hint="cs"/>
                <w:rtl/>
              </w:rPr>
              <w:t xml:space="preserve">83 </w:t>
            </w:r>
            <w:r>
              <w:rPr>
                <w:rFonts w:hint="cs"/>
                <w:rtl/>
              </w:rPr>
              <w:t>في المائة</w:t>
            </w:r>
          </w:p>
        </w:tc>
        <w:tc>
          <w:tcPr>
            <w:tcW w:w="1519" w:type="dxa"/>
            <w:shd w:val="clear" w:color="auto" w:fill="auto"/>
          </w:tcPr>
          <w:p w:rsidR="00275265" w:rsidRPr="002266BE" w:rsidRDefault="00275265" w:rsidP="003F4B71">
            <w:pPr>
              <w:spacing w:line="320" w:lineRule="exact"/>
              <w:ind w:left="29" w:right="29"/>
              <w:rPr>
                <w:rFonts w:hint="cs"/>
                <w:rtl/>
              </w:rPr>
            </w:pPr>
            <w:r w:rsidRPr="002266BE">
              <w:rPr>
                <w:rFonts w:hint="cs"/>
                <w:rtl/>
              </w:rPr>
              <w:t xml:space="preserve">86 </w:t>
            </w:r>
            <w:r>
              <w:rPr>
                <w:rFonts w:hint="cs"/>
                <w:rtl/>
              </w:rPr>
              <w:t>في المائة</w:t>
            </w:r>
          </w:p>
        </w:tc>
      </w:tr>
    </w:tbl>
    <w:p w:rsidR="00275265" w:rsidRPr="00E8153A" w:rsidRDefault="00275265" w:rsidP="00275265">
      <w:pPr>
        <w:pStyle w:val="SingleTxt"/>
        <w:spacing w:after="0" w:line="120" w:lineRule="exact"/>
        <w:rPr>
          <w:rFonts w:hint="cs"/>
          <w:sz w:val="10"/>
          <w:rtl/>
        </w:rPr>
      </w:pPr>
    </w:p>
    <w:p w:rsidR="00275265" w:rsidRDefault="00275265" w:rsidP="00275265">
      <w:pPr>
        <w:pStyle w:val="SingleTxt"/>
        <w:rPr>
          <w:rFonts w:hint="cs"/>
          <w:rtl/>
        </w:rPr>
      </w:pPr>
      <w:r>
        <w:rPr>
          <w:rFonts w:hint="cs"/>
          <w:rtl/>
        </w:rPr>
        <w:t>الجدول ألف -11-2</w:t>
      </w:r>
    </w:p>
    <w:p w:rsidR="00275265" w:rsidRPr="009A42D9" w:rsidRDefault="003F4B71" w:rsidP="00275265">
      <w:pPr>
        <w:pStyle w:val="SingleTxt"/>
        <w:rPr>
          <w:rFonts w:hint="cs"/>
          <w:b/>
          <w:bCs/>
          <w:rtl/>
        </w:rPr>
      </w:pPr>
      <w:r>
        <w:rPr>
          <w:rFonts w:hint="cs"/>
          <w:b/>
          <w:bCs/>
          <w:rtl/>
        </w:rPr>
        <w:t>عدد الرجال والنساء العاملين في المجموعات المهنية الرئيسية في عام 2000 (بالآلاف)</w:t>
      </w:r>
    </w:p>
    <w:tbl>
      <w:tblPr>
        <w:bidiVisual/>
        <w:tblW w:w="80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164"/>
        <w:gridCol w:w="1545"/>
        <w:gridCol w:w="1390"/>
      </w:tblGrid>
      <w:tr w:rsidR="00275265">
        <w:tblPrEx>
          <w:tblCellMar>
            <w:top w:w="0" w:type="dxa"/>
            <w:bottom w:w="0" w:type="dxa"/>
          </w:tblCellMar>
        </w:tblPrEx>
        <w:trPr>
          <w:jc w:val="center"/>
        </w:trPr>
        <w:tc>
          <w:tcPr>
            <w:tcW w:w="5164" w:type="dxa"/>
            <w:shd w:val="clear" w:color="auto" w:fill="auto"/>
            <w:tcMar>
              <w:left w:w="0" w:type="dxa"/>
              <w:right w:w="0" w:type="dxa"/>
            </w:tcMar>
          </w:tcPr>
          <w:p w:rsidR="00275265" w:rsidRPr="00B245B6" w:rsidRDefault="00275265" w:rsidP="003F4B71">
            <w:pPr>
              <w:spacing w:line="340" w:lineRule="exact"/>
              <w:rPr>
                <w:rFonts w:hint="cs"/>
                <w:b/>
                <w:bCs/>
                <w:rtl/>
              </w:rPr>
            </w:pPr>
          </w:p>
        </w:tc>
        <w:tc>
          <w:tcPr>
            <w:tcW w:w="1545" w:type="dxa"/>
            <w:shd w:val="clear" w:color="auto" w:fill="auto"/>
          </w:tcPr>
          <w:p w:rsidR="00275265" w:rsidRPr="00B245B6" w:rsidRDefault="00275265" w:rsidP="003F4B71">
            <w:pPr>
              <w:spacing w:line="340" w:lineRule="exact"/>
              <w:rPr>
                <w:rFonts w:hint="cs"/>
                <w:b/>
                <w:bCs/>
                <w:rtl/>
              </w:rPr>
            </w:pPr>
            <w:r w:rsidRPr="00B245B6">
              <w:rPr>
                <w:rFonts w:hint="cs"/>
                <w:b/>
                <w:bCs/>
                <w:rtl/>
              </w:rPr>
              <w:t>الرجال</w:t>
            </w:r>
          </w:p>
        </w:tc>
        <w:tc>
          <w:tcPr>
            <w:tcW w:w="1390" w:type="dxa"/>
            <w:shd w:val="clear" w:color="auto" w:fill="auto"/>
          </w:tcPr>
          <w:p w:rsidR="00275265" w:rsidRPr="00B245B6" w:rsidRDefault="00275265" w:rsidP="003F4B71">
            <w:pPr>
              <w:spacing w:line="340" w:lineRule="exact"/>
              <w:rPr>
                <w:rFonts w:hint="cs"/>
                <w:b/>
                <w:bCs/>
                <w:rtl/>
              </w:rPr>
            </w:pPr>
            <w:r w:rsidRPr="00B245B6">
              <w:rPr>
                <w:rFonts w:hint="cs"/>
                <w:b/>
                <w:bCs/>
                <w:rtl/>
              </w:rPr>
              <w:t>النساء</w:t>
            </w:r>
          </w:p>
        </w:tc>
      </w:tr>
      <w:tr w:rsidR="00275265">
        <w:tblPrEx>
          <w:tblCellMar>
            <w:top w:w="0" w:type="dxa"/>
            <w:bottom w:w="0" w:type="dxa"/>
          </w:tblCellMar>
        </w:tblPrEx>
        <w:trPr>
          <w:jc w:val="center"/>
        </w:trPr>
        <w:tc>
          <w:tcPr>
            <w:tcW w:w="5164" w:type="dxa"/>
            <w:shd w:val="clear" w:color="auto" w:fill="auto"/>
            <w:tcMar>
              <w:left w:w="0" w:type="dxa"/>
              <w:right w:w="0" w:type="dxa"/>
            </w:tcMar>
          </w:tcPr>
          <w:p w:rsidR="00275265" w:rsidRPr="00B245B6" w:rsidRDefault="00275265" w:rsidP="003F4B71">
            <w:pPr>
              <w:spacing w:line="340" w:lineRule="exact"/>
              <w:rPr>
                <w:rFonts w:hint="cs"/>
                <w:b/>
                <w:bCs/>
                <w:rtl/>
              </w:rPr>
            </w:pPr>
            <w:r w:rsidRPr="00B245B6">
              <w:rPr>
                <w:rFonts w:hint="cs"/>
                <w:b/>
                <w:bCs/>
                <w:rtl/>
              </w:rPr>
              <w:t>المجموع</w:t>
            </w:r>
          </w:p>
        </w:tc>
        <w:tc>
          <w:tcPr>
            <w:tcW w:w="1545" w:type="dxa"/>
            <w:shd w:val="clear" w:color="auto" w:fill="auto"/>
          </w:tcPr>
          <w:p w:rsidR="00275265" w:rsidRPr="00B245B6" w:rsidRDefault="00275265" w:rsidP="003F4B71">
            <w:pPr>
              <w:spacing w:line="340" w:lineRule="exact"/>
              <w:rPr>
                <w:rFonts w:hint="cs"/>
                <w:b/>
                <w:bCs/>
                <w:rtl/>
              </w:rPr>
            </w:pPr>
            <w:r w:rsidRPr="00B245B6">
              <w:rPr>
                <w:rFonts w:hint="cs"/>
                <w:b/>
                <w:bCs/>
                <w:rtl/>
              </w:rPr>
              <w:t>682 6</w:t>
            </w:r>
          </w:p>
        </w:tc>
        <w:tc>
          <w:tcPr>
            <w:tcW w:w="1390" w:type="dxa"/>
            <w:shd w:val="clear" w:color="auto" w:fill="auto"/>
          </w:tcPr>
          <w:p w:rsidR="00275265" w:rsidRPr="00B245B6" w:rsidRDefault="00275265" w:rsidP="003F4B71">
            <w:pPr>
              <w:spacing w:line="340" w:lineRule="exact"/>
              <w:rPr>
                <w:rFonts w:hint="cs"/>
                <w:b/>
                <w:bCs/>
                <w:rtl/>
              </w:rPr>
            </w:pPr>
            <w:r w:rsidRPr="00B245B6">
              <w:rPr>
                <w:rFonts w:hint="cs"/>
                <w:b/>
                <w:bCs/>
                <w:rtl/>
              </w:rPr>
              <w:t>089 8</w:t>
            </w:r>
          </w:p>
        </w:tc>
      </w:tr>
      <w:tr w:rsidR="00275265">
        <w:tblPrEx>
          <w:tblCellMar>
            <w:top w:w="0" w:type="dxa"/>
            <w:bottom w:w="0" w:type="dxa"/>
          </w:tblCellMar>
        </w:tblPrEx>
        <w:trPr>
          <w:jc w:val="center"/>
        </w:trPr>
        <w:tc>
          <w:tcPr>
            <w:tcW w:w="5164" w:type="dxa"/>
            <w:shd w:val="clear" w:color="auto" w:fill="auto"/>
          </w:tcPr>
          <w:p w:rsidR="00275265" w:rsidRDefault="00275265" w:rsidP="003F4B71">
            <w:pPr>
              <w:spacing w:line="340" w:lineRule="exact"/>
              <w:rPr>
                <w:rFonts w:hint="cs"/>
                <w:rtl/>
              </w:rPr>
            </w:pPr>
            <w:r>
              <w:rPr>
                <w:rFonts w:hint="cs"/>
                <w:rtl/>
              </w:rPr>
              <w:t>كبار موظفي ومديري الخدمة المدنية</w:t>
            </w:r>
          </w:p>
        </w:tc>
        <w:tc>
          <w:tcPr>
            <w:tcW w:w="1545" w:type="dxa"/>
            <w:shd w:val="clear" w:color="auto" w:fill="auto"/>
          </w:tcPr>
          <w:p w:rsidR="00275265" w:rsidRDefault="00275265" w:rsidP="003F4B71">
            <w:pPr>
              <w:spacing w:line="340" w:lineRule="exact"/>
              <w:rPr>
                <w:rFonts w:hint="cs"/>
                <w:rtl/>
              </w:rPr>
            </w:pPr>
            <w:r>
              <w:rPr>
                <w:rFonts w:hint="cs"/>
                <w:rtl/>
              </w:rPr>
              <w:t>322</w:t>
            </w:r>
          </w:p>
        </w:tc>
        <w:tc>
          <w:tcPr>
            <w:tcW w:w="1390" w:type="dxa"/>
            <w:shd w:val="clear" w:color="auto" w:fill="auto"/>
          </w:tcPr>
          <w:p w:rsidR="00275265" w:rsidRDefault="00275265" w:rsidP="003F4B71">
            <w:pPr>
              <w:spacing w:line="340" w:lineRule="exact"/>
              <w:rPr>
                <w:rFonts w:hint="cs"/>
                <w:rtl/>
              </w:rPr>
            </w:pPr>
            <w:r>
              <w:rPr>
                <w:rFonts w:hint="cs"/>
                <w:rtl/>
              </w:rPr>
              <w:t>613</w:t>
            </w:r>
          </w:p>
        </w:tc>
      </w:tr>
      <w:tr w:rsidR="00275265">
        <w:tblPrEx>
          <w:tblCellMar>
            <w:top w:w="0" w:type="dxa"/>
            <w:bottom w:w="0" w:type="dxa"/>
          </w:tblCellMar>
        </w:tblPrEx>
        <w:trPr>
          <w:jc w:val="center"/>
        </w:trPr>
        <w:tc>
          <w:tcPr>
            <w:tcW w:w="5164" w:type="dxa"/>
            <w:shd w:val="clear" w:color="auto" w:fill="auto"/>
          </w:tcPr>
          <w:p w:rsidR="00275265" w:rsidRDefault="00275265" w:rsidP="003F4B71">
            <w:pPr>
              <w:spacing w:line="340" w:lineRule="exact"/>
              <w:rPr>
                <w:rFonts w:hint="cs"/>
                <w:rtl/>
              </w:rPr>
            </w:pPr>
            <w:r>
              <w:rPr>
                <w:rFonts w:hint="cs"/>
                <w:rtl/>
              </w:rPr>
              <w:t>الأخصائيون</w:t>
            </w:r>
          </w:p>
        </w:tc>
        <w:tc>
          <w:tcPr>
            <w:tcW w:w="1545" w:type="dxa"/>
            <w:shd w:val="clear" w:color="auto" w:fill="auto"/>
          </w:tcPr>
          <w:p w:rsidR="00275265" w:rsidRDefault="00275265" w:rsidP="003F4B71">
            <w:pPr>
              <w:spacing w:line="340" w:lineRule="exact"/>
              <w:rPr>
                <w:rFonts w:hint="cs"/>
                <w:rtl/>
              </w:rPr>
            </w:pPr>
            <w:r>
              <w:rPr>
                <w:rFonts w:hint="cs"/>
                <w:rtl/>
              </w:rPr>
              <w:t>912</w:t>
            </w:r>
          </w:p>
        </w:tc>
        <w:tc>
          <w:tcPr>
            <w:tcW w:w="1390" w:type="dxa"/>
            <w:shd w:val="clear" w:color="auto" w:fill="auto"/>
          </w:tcPr>
          <w:p w:rsidR="00275265" w:rsidRDefault="00275265" w:rsidP="003F4B71">
            <w:pPr>
              <w:spacing w:line="340" w:lineRule="exact"/>
              <w:rPr>
                <w:rFonts w:hint="cs"/>
                <w:rtl/>
              </w:rPr>
            </w:pPr>
            <w:r>
              <w:rPr>
                <w:rFonts w:hint="cs"/>
                <w:rtl/>
              </w:rPr>
              <w:t>488</w:t>
            </w:r>
          </w:p>
        </w:tc>
      </w:tr>
      <w:tr w:rsidR="00275265">
        <w:tblPrEx>
          <w:tblCellMar>
            <w:top w:w="0" w:type="dxa"/>
            <w:bottom w:w="0" w:type="dxa"/>
          </w:tblCellMar>
        </w:tblPrEx>
        <w:trPr>
          <w:jc w:val="center"/>
        </w:trPr>
        <w:tc>
          <w:tcPr>
            <w:tcW w:w="5164" w:type="dxa"/>
            <w:shd w:val="clear" w:color="auto" w:fill="auto"/>
          </w:tcPr>
          <w:p w:rsidR="00275265" w:rsidRDefault="00275265" w:rsidP="003F4B71">
            <w:pPr>
              <w:spacing w:line="340" w:lineRule="exact"/>
              <w:rPr>
                <w:rFonts w:hint="cs"/>
                <w:rtl/>
              </w:rPr>
            </w:pPr>
            <w:r>
              <w:rPr>
                <w:rFonts w:hint="cs"/>
                <w:rtl/>
              </w:rPr>
              <w:t>الفنيون، وغيرهم من موظفي المرتبة المتوسطة</w:t>
            </w:r>
          </w:p>
        </w:tc>
        <w:tc>
          <w:tcPr>
            <w:tcW w:w="1545" w:type="dxa"/>
            <w:shd w:val="clear" w:color="auto" w:fill="auto"/>
          </w:tcPr>
          <w:p w:rsidR="00275265" w:rsidRDefault="00275265" w:rsidP="003F4B71">
            <w:pPr>
              <w:spacing w:line="340" w:lineRule="exact"/>
              <w:rPr>
                <w:rFonts w:hint="cs"/>
                <w:rtl/>
              </w:rPr>
            </w:pPr>
            <w:r>
              <w:rPr>
                <w:rFonts w:hint="cs"/>
                <w:rtl/>
              </w:rPr>
              <w:t>013 1</w:t>
            </w:r>
          </w:p>
        </w:tc>
        <w:tc>
          <w:tcPr>
            <w:tcW w:w="1390" w:type="dxa"/>
            <w:shd w:val="clear" w:color="auto" w:fill="auto"/>
          </w:tcPr>
          <w:p w:rsidR="00275265" w:rsidRDefault="00275265" w:rsidP="003F4B71">
            <w:pPr>
              <w:spacing w:line="340" w:lineRule="exact"/>
              <w:rPr>
                <w:rFonts w:hint="cs"/>
                <w:rtl/>
              </w:rPr>
            </w:pPr>
            <w:r>
              <w:rPr>
                <w:rFonts w:hint="cs"/>
                <w:rtl/>
              </w:rPr>
              <w:t>635</w:t>
            </w:r>
          </w:p>
        </w:tc>
      </w:tr>
      <w:tr w:rsidR="00275265">
        <w:tblPrEx>
          <w:tblCellMar>
            <w:top w:w="0" w:type="dxa"/>
            <w:bottom w:w="0" w:type="dxa"/>
          </w:tblCellMar>
        </w:tblPrEx>
        <w:trPr>
          <w:jc w:val="center"/>
        </w:trPr>
        <w:tc>
          <w:tcPr>
            <w:tcW w:w="5164" w:type="dxa"/>
            <w:shd w:val="clear" w:color="auto" w:fill="auto"/>
          </w:tcPr>
          <w:p w:rsidR="00275265" w:rsidRDefault="00275265" w:rsidP="003F4B71">
            <w:pPr>
              <w:spacing w:line="340" w:lineRule="exact"/>
              <w:rPr>
                <w:rFonts w:hint="cs"/>
                <w:rtl/>
              </w:rPr>
            </w:pPr>
            <w:r>
              <w:rPr>
                <w:rFonts w:hint="cs"/>
                <w:rtl/>
              </w:rPr>
              <w:t>العاملون في المكاتب</w:t>
            </w:r>
          </w:p>
        </w:tc>
        <w:tc>
          <w:tcPr>
            <w:tcW w:w="1545" w:type="dxa"/>
            <w:shd w:val="clear" w:color="auto" w:fill="auto"/>
          </w:tcPr>
          <w:p w:rsidR="00275265" w:rsidRDefault="00275265" w:rsidP="003F4B71">
            <w:pPr>
              <w:spacing w:line="340" w:lineRule="exact"/>
              <w:rPr>
                <w:rFonts w:hint="cs"/>
                <w:rtl/>
              </w:rPr>
            </w:pPr>
            <w:r>
              <w:rPr>
                <w:rFonts w:hint="cs"/>
                <w:rtl/>
              </w:rPr>
              <w:t>771</w:t>
            </w:r>
          </w:p>
        </w:tc>
        <w:tc>
          <w:tcPr>
            <w:tcW w:w="1390" w:type="dxa"/>
            <w:shd w:val="clear" w:color="auto" w:fill="auto"/>
          </w:tcPr>
          <w:p w:rsidR="00275265" w:rsidRDefault="00275265" w:rsidP="003F4B71">
            <w:pPr>
              <w:spacing w:line="340" w:lineRule="exact"/>
              <w:rPr>
                <w:rFonts w:hint="cs"/>
                <w:rtl/>
              </w:rPr>
            </w:pPr>
            <w:r>
              <w:rPr>
                <w:rFonts w:hint="cs"/>
                <w:rtl/>
              </w:rPr>
              <w:t>256</w:t>
            </w:r>
          </w:p>
        </w:tc>
      </w:tr>
      <w:tr w:rsidR="00275265">
        <w:tblPrEx>
          <w:tblCellMar>
            <w:top w:w="0" w:type="dxa"/>
            <w:bottom w:w="0" w:type="dxa"/>
          </w:tblCellMar>
        </w:tblPrEx>
        <w:trPr>
          <w:jc w:val="center"/>
        </w:trPr>
        <w:tc>
          <w:tcPr>
            <w:tcW w:w="5164" w:type="dxa"/>
            <w:shd w:val="clear" w:color="auto" w:fill="auto"/>
          </w:tcPr>
          <w:p w:rsidR="00275265" w:rsidRDefault="00275265" w:rsidP="003F4B71">
            <w:pPr>
              <w:spacing w:line="340" w:lineRule="exact"/>
              <w:rPr>
                <w:rFonts w:hint="cs"/>
                <w:rtl/>
              </w:rPr>
            </w:pPr>
            <w:r>
              <w:rPr>
                <w:rFonts w:hint="cs"/>
                <w:rtl/>
              </w:rPr>
              <w:t>موظفون يقدمون خدمات شخصية وكتبة في المحلات</w:t>
            </w:r>
          </w:p>
        </w:tc>
        <w:tc>
          <w:tcPr>
            <w:tcW w:w="1545" w:type="dxa"/>
            <w:shd w:val="clear" w:color="auto" w:fill="auto"/>
          </w:tcPr>
          <w:p w:rsidR="00275265" w:rsidRDefault="00275265" w:rsidP="003F4B71">
            <w:pPr>
              <w:spacing w:line="340" w:lineRule="exact"/>
              <w:rPr>
                <w:rFonts w:hint="cs"/>
                <w:rtl/>
              </w:rPr>
            </w:pPr>
            <w:r>
              <w:rPr>
                <w:rFonts w:hint="cs"/>
                <w:rtl/>
              </w:rPr>
              <w:t>909</w:t>
            </w:r>
          </w:p>
        </w:tc>
        <w:tc>
          <w:tcPr>
            <w:tcW w:w="1390" w:type="dxa"/>
            <w:shd w:val="clear" w:color="auto" w:fill="auto"/>
          </w:tcPr>
          <w:p w:rsidR="00275265" w:rsidRDefault="00275265" w:rsidP="003F4B71">
            <w:pPr>
              <w:spacing w:line="340" w:lineRule="exact"/>
              <w:rPr>
                <w:rFonts w:hint="cs"/>
                <w:rtl/>
              </w:rPr>
            </w:pPr>
            <w:r>
              <w:rPr>
                <w:rFonts w:hint="cs"/>
                <w:rtl/>
              </w:rPr>
              <w:t>458</w:t>
            </w:r>
          </w:p>
        </w:tc>
      </w:tr>
      <w:tr w:rsidR="00275265">
        <w:tblPrEx>
          <w:tblCellMar>
            <w:top w:w="0" w:type="dxa"/>
            <w:bottom w:w="0" w:type="dxa"/>
          </w:tblCellMar>
        </w:tblPrEx>
        <w:trPr>
          <w:jc w:val="center"/>
        </w:trPr>
        <w:tc>
          <w:tcPr>
            <w:tcW w:w="5164" w:type="dxa"/>
            <w:shd w:val="clear" w:color="auto" w:fill="auto"/>
          </w:tcPr>
          <w:p w:rsidR="00275265" w:rsidRDefault="00275265" w:rsidP="003F4B71">
            <w:pPr>
              <w:spacing w:line="340" w:lineRule="exact"/>
              <w:rPr>
                <w:rFonts w:hint="cs"/>
                <w:rtl/>
              </w:rPr>
            </w:pPr>
            <w:r>
              <w:rPr>
                <w:rFonts w:hint="cs"/>
                <w:rtl/>
              </w:rPr>
              <w:t>المزارعون والعاملون في البساتين والأمناء على الغابات والصيادون</w:t>
            </w:r>
          </w:p>
        </w:tc>
        <w:tc>
          <w:tcPr>
            <w:tcW w:w="1545" w:type="dxa"/>
            <w:shd w:val="clear" w:color="auto" w:fill="auto"/>
          </w:tcPr>
          <w:p w:rsidR="00275265" w:rsidRDefault="00275265" w:rsidP="003F4B71">
            <w:pPr>
              <w:spacing w:line="340" w:lineRule="exact"/>
              <w:rPr>
                <w:rFonts w:hint="cs"/>
                <w:rtl/>
              </w:rPr>
            </w:pPr>
            <w:r>
              <w:rPr>
                <w:rFonts w:hint="cs"/>
                <w:rtl/>
              </w:rPr>
              <w:t>392 1</w:t>
            </w:r>
          </w:p>
        </w:tc>
        <w:tc>
          <w:tcPr>
            <w:tcW w:w="1390" w:type="dxa"/>
            <w:shd w:val="clear" w:color="auto" w:fill="auto"/>
          </w:tcPr>
          <w:p w:rsidR="00275265" w:rsidRDefault="00275265" w:rsidP="003F4B71">
            <w:pPr>
              <w:spacing w:line="340" w:lineRule="exact"/>
              <w:rPr>
                <w:rFonts w:hint="cs"/>
                <w:rtl/>
              </w:rPr>
            </w:pPr>
            <w:r>
              <w:rPr>
                <w:rFonts w:hint="cs"/>
                <w:rtl/>
              </w:rPr>
              <w:t>616 1</w:t>
            </w:r>
          </w:p>
        </w:tc>
      </w:tr>
      <w:tr w:rsidR="00275265">
        <w:tblPrEx>
          <w:tblCellMar>
            <w:top w:w="0" w:type="dxa"/>
            <w:bottom w:w="0" w:type="dxa"/>
          </w:tblCellMar>
        </w:tblPrEx>
        <w:trPr>
          <w:jc w:val="center"/>
        </w:trPr>
        <w:tc>
          <w:tcPr>
            <w:tcW w:w="5164" w:type="dxa"/>
            <w:shd w:val="clear" w:color="auto" w:fill="auto"/>
          </w:tcPr>
          <w:p w:rsidR="00275265" w:rsidRDefault="00275265" w:rsidP="003F4B71">
            <w:pPr>
              <w:spacing w:line="340" w:lineRule="exact"/>
              <w:rPr>
                <w:rFonts w:hint="cs"/>
                <w:rtl/>
              </w:rPr>
            </w:pPr>
            <w:r>
              <w:rPr>
                <w:rFonts w:hint="cs"/>
                <w:rtl/>
              </w:rPr>
              <w:t>العمال الصناعيون والحرفيون</w:t>
            </w:r>
          </w:p>
        </w:tc>
        <w:tc>
          <w:tcPr>
            <w:tcW w:w="1545" w:type="dxa"/>
            <w:shd w:val="clear" w:color="auto" w:fill="auto"/>
          </w:tcPr>
          <w:p w:rsidR="00275265" w:rsidRDefault="00275265" w:rsidP="003F4B71">
            <w:pPr>
              <w:spacing w:line="340" w:lineRule="exact"/>
              <w:rPr>
                <w:rFonts w:hint="cs"/>
                <w:rtl/>
              </w:rPr>
            </w:pPr>
            <w:r>
              <w:rPr>
                <w:rFonts w:hint="cs"/>
                <w:rtl/>
              </w:rPr>
              <w:t>532</w:t>
            </w:r>
          </w:p>
        </w:tc>
        <w:tc>
          <w:tcPr>
            <w:tcW w:w="1390" w:type="dxa"/>
            <w:shd w:val="clear" w:color="auto" w:fill="auto"/>
          </w:tcPr>
          <w:p w:rsidR="00275265" w:rsidRDefault="00275265" w:rsidP="003F4B71">
            <w:pPr>
              <w:spacing w:line="340" w:lineRule="exact"/>
              <w:rPr>
                <w:rFonts w:hint="cs"/>
                <w:rtl/>
              </w:rPr>
            </w:pPr>
            <w:r>
              <w:rPr>
                <w:rFonts w:hint="cs"/>
                <w:rtl/>
              </w:rPr>
              <w:t>386 2</w:t>
            </w:r>
          </w:p>
        </w:tc>
      </w:tr>
      <w:tr w:rsidR="00275265">
        <w:tblPrEx>
          <w:tblCellMar>
            <w:top w:w="0" w:type="dxa"/>
            <w:bottom w:w="0" w:type="dxa"/>
          </w:tblCellMar>
        </w:tblPrEx>
        <w:trPr>
          <w:jc w:val="center"/>
        </w:trPr>
        <w:tc>
          <w:tcPr>
            <w:tcW w:w="5164" w:type="dxa"/>
            <w:shd w:val="clear" w:color="auto" w:fill="auto"/>
          </w:tcPr>
          <w:p w:rsidR="00275265" w:rsidRDefault="00275265" w:rsidP="003F4B71">
            <w:pPr>
              <w:spacing w:line="340" w:lineRule="exact"/>
              <w:rPr>
                <w:rFonts w:hint="cs"/>
                <w:rtl/>
              </w:rPr>
            </w:pPr>
            <w:r>
              <w:rPr>
                <w:rFonts w:hint="cs"/>
                <w:rtl/>
              </w:rPr>
              <w:t>مشغلو الآلات والمعدات</w:t>
            </w:r>
          </w:p>
        </w:tc>
        <w:tc>
          <w:tcPr>
            <w:tcW w:w="1545" w:type="dxa"/>
            <w:shd w:val="clear" w:color="auto" w:fill="auto"/>
          </w:tcPr>
          <w:p w:rsidR="00275265" w:rsidRDefault="00275265" w:rsidP="003F4B71">
            <w:pPr>
              <w:spacing w:line="340" w:lineRule="exact"/>
              <w:rPr>
                <w:rFonts w:hint="cs"/>
                <w:rtl/>
              </w:rPr>
            </w:pPr>
            <w:r>
              <w:rPr>
                <w:rFonts w:hint="cs"/>
                <w:rtl/>
              </w:rPr>
              <w:t>152</w:t>
            </w:r>
          </w:p>
        </w:tc>
        <w:tc>
          <w:tcPr>
            <w:tcW w:w="1390" w:type="dxa"/>
            <w:shd w:val="clear" w:color="auto" w:fill="auto"/>
          </w:tcPr>
          <w:p w:rsidR="00275265" w:rsidRDefault="00275265" w:rsidP="003F4B71">
            <w:pPr>
              <w:spacing w:line="340" w:lineRule="exact"/>
              <w:rPr>
                <w:rFonts w:hint="cs"/>
                <w:rtl/>
              </w:rPr>
            </w:pPr>
            <w:r>
              <w:rPr>
                <w:rFonts w:hint="cs"/>
                <w:rtl/>
              </w:rPr>
              <w:t>009 1</w:t>
            </w:r>
          </w:p>
        </w:tc>
      </w:tr>
      <w:tr w:rsidR="00275265">
        <w:tblPrEx>
          <w:tblCellMar>
            <w:top w:w="0" w:type="dxa"/>
            <w:bottom w:w="0" w:type="dxa"/>
          </w:tblCellMar>
        </w:tblPrEx>
        <w:trPr>
          <w:jc w:val="center"/>
        </w:trPr>
        <w:tc>
          <w:tcPr>
            <w:tcW w:w="5164" w:type="dxa"/>
            <w:shd w:val="clear" w:color="auto" w:fill="auto"/>
          </w:tcPr>
          <w:p w:rsidR="00275265" w:rsidRDefault="00275265" w:rsidP="003F4B71">
            <w:pPr>
              <w:spacing w:line="340" w:lineRule="exact"/>
              <w:rPr>
                <w:rFonts w:hint="cs"/>
                <w:rtl/>
              </w:rPr>
            </w:pPr>
            <w:r>
              <w:rPr>
                <w:rFonts w:hint="cs"/>
                <w:rtl/>
              </w:rPr>
              <w:t>العمال غير الماهرين</w:t>
            </w:r>
          </w:p>
        </w:tc>
        <w:tc>
          <w:tcPr>
            <w:tcW w:w="1545" w:type="dxa"/>
            <w:shd w:val="clear" w:color="auto" w:fill="auto"/>
          </w:tcPr>
          <w:p w:rsidR="00275265" w:rsidRDefault="00275265" w:rsidP="003F4B71">
            <w:pPr>
              <w:spacing w:line="340" w:lineRule="exact"/>
              <w:rPr>
                <w:rFonts w:hint="cs"/>
                <w:rtl/>
              </w:rPr>
            </w:pPr>
            <w:r>
              <w:rPr>
                <w:rFonts w:hint="cs"/>
                <w:rtl/>
              </w:rPr>
              <w:t>681</w:t>
            </w:r>
          </w:p>
        </w:tc>
        <w:tc>
          <w:tcPr>
            <w:tcW w:w="1390" w:type="dxa"/>
            <w:shd w:val="clear" w:color="auto" w:fill="auto"/>
          </w:tcPr>
          <w:p w:rsidR="00275265" w:rsidRDefault="00275265" w:rsidP="003F4B71">
            <w:pPr>
              <w:spacing w:line="340" w:lineRule="exact"/>
              <w:rPr>
                <w:rFonts w:hint="cs"/>
                <w:rtl/>
              </w:rPr>
            </w:pPr>
            <w:r>
              <w:rPr>
                <w:rFonts w:hint="cs"/>
                <w:rtl/>
              </w:rPr>
              <w:t>578</w:t>
            </w:r>
          </w:p>
        </w:tc>
      </w:tr>
    </w:tbl>
    <w:p w:rsidR="00275265" w:rsidRPr="00E8153A" w:rsidRDefault="00275265" w:rsidP="00275265">
      <w:pPr>
        <w:pStyle w:val="SingleTxt"/>
        <w:spacing w:after="0" w:line="120" w:lineRule="exact"/>
        <w:rPr>
          <w:rFonts w:hint="cs"/>
          <w:sz w:val="10"/>
          <w:rtl/>
        </w:rPr>
      </w:pPr>
    </w:p>
    <w:p w:rsidR="00275265" w:rsidRDefault="00275265" w:rsidP="00275265">
      <w:pPr>
        <w:pStyle w:val="SingleTxt"/>
        <w:rPr>
          <w:rFonts w:hint="cs"/>
          <w:rtl/>
        </w:rPr>
      </w:pPr>
      <w:r>
        <w:rPr>
          <w:rFonts w:hint="cs"/>
          <w:rtl/>
        </w:rPr>
        <w:t>الجدول ألف -11-3</w:t>
      </w:r>
    </w:p>
    <w:p w:rsidR="00275265" w:rsidRPr="00E8153A" w:rsidRDefault="00275265" w:rsidP="00275265">
      <w:pPr>
        <w:pStyle w:val="SingleTxt"/>
        <w:rPr>
          <w:rFonts w:hint="cs"/>
          <w:b/>
          <w:bCs/>
          <w:sz w:val="28"/>
          <w:szCs w:val="28"/>
          <w:rtl/>
        </w:rPr>
      </w:pPr>
      <w:r w:rsidRPr="00E8153A">
        <w:rPr>
          <w:rFonts w:hint="cs"/>
          <w:b/>
          <w:bCs/>
          <w:sz w:val="28"/>
          <w:szCs w:val="28"/>
          <w:rtl/>
        </w:rPr>
        <w:t>النسبة المئوية للنساء اللاتي يزاولن مهنة في مختلف الفئات العمرية في عامي 1999 و 2001</w:t>
      </w:r>
    </w:p>
    <w:p w:rsidR="00275265" w:rsidRPr="00B245B6" w:rsidRDefault="00275265" w:rsidP="00275265">
      <w:pPr>
        <w:pStyle w:val="SingleTxt"/>
        <w:spacing w:after="0" w:line="120" w:lineRule="exact"/>
        <w:rPr>
          <w:rFonts w:hint="cs"/>
          <w:b/>
          <w:bCs/>
          <w:sz w:val="10"/>
          <w:rtl/>
        </w:rPr>
      </w:pPr>
    </w:p>
    <w:tbl>
      <w:tblPr>
        <w:bidiVisual/>
        <w:tblW w:w="98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07"/>
        <w:gridCol w:w="1407"/>
        <w:gridCol w:w="1407"/>
        <w:gridCol w:w="1407"/>
        <w:gridCol w:w="1407"/>
        <w:gridCol w:w="1407"/>
        <w:gridCol w:w="1407"/>
      </w:tblGrid>
      <w:tr w:rsidR="00275265">
        <w:tblPrEx>
          <w:tblCellMar>
            <w:top w:w="0" w:type="dxa"/>
            <w:bottom w:w="0" w:type="dxa"/>
          </w:tblCellMar>
        </w:tblPrEx>
        <w:trPr>
          <w:jc w:val="center"/>
        </w:trPr>
        <w:tc>
          <w:tcPr>
            <w:tcW w:w="1407" w:type="dxa"/>
            <w:shd w:val="clear" w:color="auto" w:fill="auto"/>
            <w:tcMar>
              <w:left w:w="0" w:type="dxa"/>
              <w:right w:w="0" w:type="dxa"/>
            </w:tcMar>
          </w:tcPr>
          <w:p w:rsidR="00275265" w:rsidRPr="00B245B6" w:rsidRDefault="00275265" w:rsidP="003F4B71">
            <w:pPr>
              <w:rPr>
                <w:rFonts w:hint="cs"/>
                <w:b/>
                <w:bCs/>
                <w:rtl/>
              </w:rPr>
            </w:pPr>
            <w:r w:rsidRPr="00B245B6">
              <w:rPr>
                <w:rFonts w:hint="cs"/>
                <w:b/>
                <w:bCs/>
                <w:rtl/>
              </w:rPr>
              <w:t>الفئات العمرية</w:t>
            </w:r>
          </w:p>
        </w:tc>
        <w:tc>
          <w:tcPr>
            <w:tcW w:w="1407" w:type="dxa"/>
            <w:shd w:val="clear" w:color="auto" w:fill="auto"/>
          </w:tcPr>
          <w:p w:rsidR="00275265" w:rsidRPr="00B245B6" w:rsidRDefault="00275265" w:rsidP="003F4B71">
            <w:pPr>
              <w:rPr>
                <w:rFonts w:hint="cs"/>
                <w:b/>
                <w:bCs/>
                <w:rtl/>
              </w:rPr>
            </w:pPr>
            <w:r w:rsidRPr="00B245B6">
              <w:rPr>
                <w:rFonts w:hint="cs"/>
                <w:b/>
                <w:bCs/>
                <w:rtl/>
              </w:rPr>
              <w:t>15-24</w:t>
            </w:r>
          </w:p>
        </w:tc>
        <w:tc>
          <w:tcPr>
            <w:tcW w:w="1407" w:type="dxa"/>
            <w:shd w:val="clear" w:color="auto" w:fill="auto"/>
          </w:tcPr>
          <w:p w:rsidR="00275265" w:rsidRPr="00B245B6" w:rsidRDefault="00275265" w:rsidP="003F4B71">
            <w:pPr>
              <w:rPr>
                <w:rFonts w:hint="cs"/>
                <w:b/>
                <w:bCs/>
                <w:rtl/>
              </w:rPr>
            </w:pPr>
            <w:r w:rsidRPr="00B245B6">
              <w:rPr>
                <w:rFonts w:hint="cs"/>
                <w:b/>
                <w:bCs/>
                <w:rtl/>
              </w:rPr>
              <w:t>25-34</w:t>
            </w:r>
          </w:p>
        </w:tc>
        <w:tc>
          <w:tcPr>
            <w:tcW w:w="1407" w:type="dxa"/>
            <w:shd w:val="clear" w:color="auto" w:fill="auto"/>
          </w:tcPr>
          <w:p w:rsidR="00275265" w:rsidRPr="00B245B6" w:rsidRDefault="00275265" w:rsidP="003F4B71">
            <w:pPr>
              <w:rPr>
                <w:rFonts w:hint="cs"/>
                <w:b/>
                <w:bCs/>
                <w:rtl/>
              </w:rPr>
            </w:pPr>
            <w:r w:rsidRPr="00B245B6">
              <w:rPr>
                <w:rFonts w:hint="cs"/>
                <w:b/>
                <w:bCs/>
                <w:rtl/>
              </w:rPr>
              <w:t>35-44</w:t>
            </w:r>
          </w:p>
        </w:tc>
        <w:tc>
          <w:tcPr>
            <w:tcW w:w="1407" w:type="dxa"/>
            <w:shd w:val="clear" w:color="auto" w:fill="auto"/>
          </w:tcPr>
          <w:p w:rsidR="00275265" w:rsidRPr="00B245B6" w:rsidRDefault="00275265" w:rsidP="003F4B71">
            <w:pPr>
              <w:rPr>
                <w:rFonts w:hint="cs"/>
                <w:b/>
                <w:bCs/>
                <w:rtl/>
              </w:rPr>
            </w:pPr>
            <w:r w:rsidRPr="00B245B6">
              <w:rPr>
                <w:rFonts w:hint="cs"/>
                <w:b/>
                <w:bCs/>
                <w:rtl/>
              </w:rPr>
              <w:t>45-54</w:t>
            </w:r>
          </w:p>
        </w:tc>
        <w:tc>
          <w:tcPr>
            <w:tcW w:w="1407" w:type="dxa"/>
            <w:shd w:val="clear" w:color="auto" w:fill="auto"/>
          </w:tcPr>
          <w:p w:rsidR="00275265" w:rsidRPr="00B245B6" w:rsidRDefault="00275265" w:rsidP="003F4B71">
            <w:pPr>
              <w:rPr>
                <w:rFonts w:hint="cs"/>
                <w:b/>
                <w:bCs/>
                <w:rtl/>
              </w:rPr>
            </w:pPr>
            <w:r w:rsidRPr="00B245B6">
              <w:rPr>
                <w:rFonts w:hint="cs"/>
                <w:b/>
                <w:bCs/>
                <w:rtl/>
              </w:rPr>
              <w:t>55-64</w:t>
            </w:r>
          </w:p>
        </w:tc>
        <w:tc>
          <w:tcPr>
            <w:tcW w:w="1407" w:type="dxa"/>
            <w:shd w:val="clear" w:color="auto" w:fill="auto"/>
          </w:tcPr>
          <w:p w:rsidR="00275265" w:rsidRPr="00B245B6" w:rsidRDefault="00275265" w:rsidP="003F4B71">
            <w:pPr>
              <w:rPr>
                <w:rFonts w:hint="cs"/>
                <w:b/>
                <w:bCs/>
                <w:rtl/>
              </w:rPr>
            </w:pPr>
            <w:r w:rsidRPr="00B245B6">
              <w:rPr>
                <w:rFonts w:hint="cs"/>
                <w:b/>
                <w:bCs/>
                <w:rtl/>
              </w:rPr>
              <w:t>65 وما فوق</w:t>
            </w:r>
          </w:p>
        </w:tc>
      </w:tr>
      <w:tr w:rsidR="00275265" w:rsidRPr="009A42D9">
        <w:tblPrEx>
          <w:tblCellMar>
            <w:top w:w="0" w:type="dxa"/>
            <w:bottom w:w="0" w:type="dxa"/>
          </w:tblCellMar>
        </w:tblPrEx>
        <w:trPr>
          <w:jc w:val="center"/>
        </w:trPr>
        <w:tc>
          <w:tcPr>
            <w:tcW w:w="1407" w:type="dxa"/>
            <w:shd w:val="clear" w:color="auto" w:fill="auto"/>
          </w:tcPr>
          <w:p w:rsidR="00275265" w:rsidRDefault="00275265" w:rsidP="003F4B71">
            <w:pPr>
              <w:rPr>
                <w:rFonts w:hint="cs"/>
                <w:rtl/>
              </w:rPr>
            </w:pPr>
            <w:r>
              <w:rPr>
                <w:rFonts w:hint="cs"/>
                <w:rtl/>
              </w:rPr>
              <w:t>1999</w:t>
            </w:r>
          </w:p>
        </w:tc>
        <w:tc>
          <w:tcPr>
            <w:tcW w:w="1407" w:type="dxa"/>
            <w:shd w:val="clear" w:color="auto" w:fill="auto"/>
          </w:tcPr>
          <w:p w:rsidR="00275265" w:rsidRPr="002266BE" w:rsidRDefault="00275265" w:rsidP="003F4B71">
            <w:pPr>
              <w:rPr>
                <w:rFonts w:hint="cs"/>
                <w:rtl/>
              </w:rPr>
            </w:pPr>
            <w:r w:rsidRPr="002266BE">
              <w:rPr>
                <w:rFonts w:hint="cs"/>
                <w:rtl/>
              </w:rPr>
              <w:t xml:space="preserve">45.8 </w:t>
            </w:r>
            <w:r>
              <w:rPr>
                <w:rFonts w:hint="cs"/>
                <w:rtl/>
              </w:rPr>
              <w:t>في المائة</w:t>
            </w:r>
          </w:p>
        </w:tc>
        <w:tc>
          <w:tcPr>
            <w:tcW w:w="1407" w:type="dxa"/>
            <w:shd w:val="clear" w:color="auto" w:fill="auto"/>
          </w:tcPr>
          <w:p w:rsidR="00275265" w:rsidRPr="002266BE" w:rsidRDefault="00275265" w:rsidP="003F4B71">
            <w:pPr>
              <w:rPr>
                <w:rFonts w:hint="cs"/>
                <w:rtl/>
              </w:rPr>
            </w:pPr>
            <w:r w:rsidRPr="002266BE">
              <w:rPr>
                <w:rFonts w:hint="cs"/>
                <w:rtl/>
              </w:rPr>
              <w:t xml:space="preserve">45.9 </w:t>
            </w:r>
            <w:r>
              <w:rPr>
                <w:rFonts w:hint="cs"/>
                <w:rtl/>
              </w:rPr>
              <w:t>في المائة</w:t>
            </w:r>
          </w:p>
        </w:tc>
        <w:tc>
          <w:tcPr>
            <w:tcW w:w="1407" w:type="dxa"/>
            <w:shd w:val="clear" w:color="auto" w:fill="auto"/>
          </w:tcPr>
          <w:p w:rsidR="00275265" w:rsidRPr="002266BE" w:rsidRDefault="00275265" w:rsidP="003F4B71">
            <w:pPr>
              <w:rPr>
                <w:rFonts w:hint="cs"/>
                <w:rtl/>
              </w:rPr>
            </w:pPr>
            <w:r w:rsidRPr="002266BE">
              <w:rPr>
                <w:rFonts w:hint="cs"/>
                <w:rtl/>
              </w:rPr>
              <w:t xml:space="preserve">43.7 </w:t>
            </w:r>
            <w:r>
              <w:rPr>
                <w:rFonts w:hint="cs"/>
                <w:rtl/>
              </w:rPr>
              <w:t>في المائة</w:t>
            </w:r>
          </w:p>
        </w:tc>
        <w:tc>
          <w:tcPr>
            <w:tcW w:w="1407" w:type="dxa"/>
            <w:shd w:val="clear" w:color="auto" w:fill="auto"/>
          </w:tcPr>
          <w:p w:rsidR="00275265" w:rsidRPr="002266BE" w:rsidRDefault="00275265" w:rsidP="003F4B71">
            <w:pPr>
              <w:rPr>
                <w:rFonts w:hint="cs"/>
                <w:rtl/>
              </w:rPr>
            </w:pPr>
            <w:r w:rsidRPr="002266BE">
              <w:rPr>
                <w:rFonts w:hint="cs"/>
                <w:rtl/>
              </w:rPr>
              <w:t xml:space="preserve">48.0 </w:t>
            </w:r>
            <w:r>
              <w:rPr>
                <w:rFonts w:hint="cs"/>
                <w:rtl/>
              </w:rPr>
              <w:t>في المائة</w:t>
            </w:r>
          </w:p>
        </w:tc>
        <w:tc>
          <w:tcPr>
            <w:tcW w:w="1407" w:type="dxa"/>
            <w:shd w:val="clear" w:color="auto" w:fill="auto"/>
          </w:tcPr>
          <w:p w:rsidR="00275265" w:rsidRPr="002266BE" w:rsidRDefault="00275265" w:rsidP="003F4B71">
            <w:pPr>
              <w:rPr>
                <w:rFonts w:hint="cs"/>
                <w:rtl/>
              </w:rPr>
            </w:pPr>
            <w:r w:rsidRPr="002266BE">
              <w:rPr>
                <w:rFonts w:hint="cs"/>
                <w:rtl/>
              </w:rPr>
              <w:t xml:space="preserve">39.8 </w:t>
            </w:r>
            <w:r>
              <w:rPr>
                <w:rFonts w:hint="cs"/>
                <w:rtl/>
              </w:rPr>
              <w:t>في المائة</w:t>
            </w:r>
          </w:p>
        </w:tc>
        <w:tc>
          <w:tcPr>
            <w:tcW w:w="1407" w:type="dxa"/>
            <w:shd w:val="clear" w:color="auto" w:fill="auto"/>
          </w:tcPr>
          <w:p w:rsidR="00275265" w:rsidRPr="002266BE" w:rsidRDefault="00275265" w:rsidP="003F4B71">
            <w:pPr>
              <w:rPr>
                <w:rFonts w:hint="cs"/>
                <w:rtl/>
              </w:rPr>
            </w:pPr>
            <w:r w:rsidRPr="002266BE">
              <w:rPr>
                <w:rFonts w:hint="cs"/>
                <w:rtl/>
              </w:rPr>
              <w:t xml:space="preserve">42.5 </w:t>
            </w:r>
            <w:r>
              <w:rPr>
                <w:rFonts w:hint="cs"/>
                <w:rtl/>
              </w:rPr>
              <w:t>في المائة</w:t>
            </w:r>
          </w:p>
        </w:tc>
      </w:tr>
      <w:tr w:rsidR="00275265" w:rsidRPr="009A42D9">
        <w:tblPrEx>
          <w:tblCellMar>
            <w:top w:w="0" w:type="dxa"/>
            <w:bottom w:w="0" w:type="dxa"/>
          </w:tblCellMar>
        </w:tblPrEx>
        <w:trPr>
          <w:jc w:val="center"/>
        </w:trPr>
        <w:tc>
          <w:tcPr>
            <w:tcW w:w="1407" w:type="dxa"/>
            <w:shd w:val="clear" w:color="auto" w:fill="auto"/>
          </w:tcPr>
          <w:p w:rsidR="00275265" w:rsidRDefault="00275265" w:rsidP="003F4B71">
            <w:pPr>
              <w:rPr>
                <w:rFonts w:hint="cs"/>
                <w:rtl/>
              </w:rPr>
            </w:pPr>
            <w:r>
              <w:rPr>
                <w:rFonts w:hint="cs"/>
                <w:rtl/>
              </w:rPr>
              <w:t>2001</w:t>
            </w:r>
          </w:p>
        </w:tc>
        <w:tc>
          <w:tcPr>
            <w:tcW w:w="1407" w:type="dxa"/>
            <w:shd w:val="clear" w:color="auto" w:fill="auto"/>
          </w:tcPr>
          <w:p w:rsidR="00275265" w:rsidRPr="002266BE" w:rsidRDefault="00275265" w:rsidP="003F4B71">
            <w:pPr>
              <w:rPr>
                <w:rFonts w:hint="cs"/>
                <w:rtl/>
              </w:rPr>
            </w:pPr>
            <w:r w:rsidRPr="002266BE">
              <w:rPr>
                <w:rFonts w:hint="cs"/>
                <w:rtl/>
              </w:rPr>
              <w:t xml:space="preserve">46.3 </w:t>
            </w:r>
            <w:r>
              <w:rPr>
                <w:rFonts w:hint="cs"/>
                <w:rtl/>
              </w:rPr>
              <w:t>في المائة</w:t>
            </w:r>
          </w:p>
        </w:tc>
        <w:tc>
          <w:tcPr>
            <w:tcW w:w="1407" w:type="dxa"/>
            <w:shd w:val="clear" w:color="auto" w:fill="auto"/>
          </w:tcPr>
          <w:p w:rsidR="00275265" w:rsidRPr="002266BE" w:rsidRDefault="00275265" w:rsidP="003F4B71">
            <w:pPr>
              <w:rPr>
                <w:rFonts w:hint="cs"/>
                <w:rtl/>
              </w:rPr>
            </w:pPr>
            <w:r w:rsidRPr="002266BE">
              <w:rPr>
                <w:rFonts w:hint="cs"/>
                <w:rtl/>
              </w:rPr>
              <w:t xml:space="preserve">46.6 </w:t>
            </w:r>
          </w:p>
        </w:tc>
        <w:tc>
          <w:tcPr>
            <w:tcW w:w="1407" w:type="dxa"/>
            <w:shd w:val="clear" w:color="auto" w:fill="auto"/>
          </w:tcPr>
          <w:p w:rsidR="00275265" w:rsidRPr="002266BE" w:rsidRDefault="00275265" w:rsidP="003F4B71">
            <w:pPr>
              <w:rPr>
                <w:rFonts w:hint="cs"/>
                <w:rtl/>
              </w:rPr>
            </w:pPr>
            <w:r w:rsidRPr="002266BE">
              <w:rPr>
                <w:rFonts w:hint="cs"/>
                <w:rtl/>
              </w:rPr>
              <w:t xml:space="preserve">47.7 </w:t>
            </w:r>
            <w:r>
              <w:rPr>
                <w:rFonts w:hint="cs"/>
                <w:rtl/>
              </w:rPr>
              <w:t>في المائة</w:t>
            </w:r>
          </w:p>
        </w:tc>
        <w:tc>
          <w:tcPr>
            <w:tcW w:w="1407" w:type="dxa"/>
            <w:shd w:val="clear" w:color="auto" w:fill="auto"/>
          </w:tcPr>
          <w:p w:rsidR="00275265" w:rsidRPr="002266BE" w:rsidRDefault="00275265" w:rsidP="003F4B71">
            <w:pPr>
              <w:rPr>
                <w:rFonts w:hint="cs"/>
                <w:rtl/>
              </w:rPr>
            </w:pPr>
            <w:r w:rsidRPr="002266BE">
              <w:rPr>
                <w:rFonts w:hint="cs"/>
                <w:rtl/>
              </w:rPr>
              <w:t xml:space="preserve">48.7 </w:t>
            </w:r>
            <w:r>
              <w:rPr>
                <w:rFonts w:hint="cs"/>
                <w:rtl/>
              </w:rPr>
              <w:t>في المائة</w:t>
            </w:r>
          </w:p>
        </w:tc>
        <w:tc>
          <w:tcPr>
            <w:tcW w:w="1407" w:type="dxa"/>
            <w:shd w:val="clear" w:color="auto" w:fill="auto"/>
          </w:tcPr>
          <w:p w:rsidR="00275265" w:rsidRPr="002266BE" w:rsidRDefault="00275265" w:rsidP="003F4B71">
            <w:pPr>
              <w:rPr>
                <w:rFonts w:hint="cs"/>
                <w:rtl/>
              </w:rPr>
            </w:pPr>
            <w:r w:rsidRPr="002266BE">
              <w:rPr>
                <w:rFonts w:hint="cs"/>
                <w:rtl/>
              </w:rPr>
              <w:t xml:space="preserve">41.0 </w:t>
            </w:r>
            <w:r>
              <w:rPr>
                <w:rFonts w:hint="cs"/>
                <w:rtl/>
              </w:rPr>
              <w:t>في المائة</w:t>
            </w:r>
          </w:p>
        </w:tc>
        <w:tc>
          <w:tcPr>
            <w:tcW w:w="1407" w:type="dxa"/>
            <w:shd w:val="clear" w:color="auto" w:fill="auto"/>
          </w:tcPr>
          <w:p w:rsidR="00275265" w:rsidRPr="002266BE" w:rsidRDefault="00275265" w:rsidP="003F4B71">
            <w:pPr>
              <w:rPr>
                <w:rFonts w:hint="cs"/>
                <w:rtl/>
              </w:rPr>
            </w:pPr>
            <w:r w:rsidRPr="002266BE">
              <w:rPr>
                <w:rFonts w:hint="cs"/>
                <w:rtl/>
              </w:rPr>
              <w:t xml:space="preserve">40.2 </w:t>
            </w:r>
            <w:r>
              <w:rPr>
                <w:rFonts w:hint="cs"/>
                <w:rtl/>
              </w:rPr>
              <w:t>في المائة</w:t>
            </w:r>
          </w:p>
        </w:tc>
      </w:tr>
    </w:tbl>
    <w:p w:rsidR="00275265" w:rsidRDefault="00275265" w:rsidP="00275265">
      <w:pPr>
        <w:pStyle w:val="SingleTxt"/>
        <w:rPr>
          <w:rFonts w:hint="cs"/>
          <w:rtl/>
        </w:rPr>
      </w:pPr>
      <w:r>
        <w:rPr>
          <w:rFonts w:hint="cs"/>
          <w:rtl/>
        </w:rPr>
        <w:t>الجدول ألف 12-1</w:t>
      </w:r>
    </w:p>
    <w:p w:rsidR="00275265" w:rsidRPr="00225980" w:rsidRDefault="003F4B71" w:rsidP="003F4B71">
      <w:pPr>
        <w:pStyle w:val="SingleTxt"/>
        <w:spacing w:line="300" w:lineRule="exact"/>
        <w:rPr>
          <w:rFonts w:hint="cs"/>
          <w:b/>
          <w:bCs/>
          <w:rtl/>
        </w:rPr>
      </w:pPr>
      <w:r>
        <w:rPr>
          <w:rFonts w:hint="cs"/>
          <w:b/>
          <w:bCs/>
          <w:rtl/>
        </w:rPr>
        <w:t>ال</w:t>
      </w:r>
      <w:r w:rsidR="00275265" w:rsidRPr="00225980">
        <w:rPr>
          <w:rFonts w:hint="cs"/>
          <w:b/>
          <w:bCs/>
          <w:rtl/>
        </w:rPr>
        <w:t xml:space="preserve">خدمات الصحية </w:t>
      </w:r>
      <w:r>
        <w:rPr>
          <w:rFonts w:hint="cs"/>
          <w:b/>
          <w:bCs/>
          <w:rtl/>
        </w:rPr>
        <w:t>المقدمة</w:t>
      </w:r>
      <w:r w:rsidR="00275265" w:rsidRPr="00225980">
        <w:rPr>
          <w:rFonts w:hint="cs"/>
          <w:b/>
          <w:bCs/>
          <w:rtl/>
        </w:rPr>
        <w:t xml:space="preserve"> في 31 كانون الأول/ديسمبر </w:t>
      </w:r>
    </w:p>
    <w:p w:rsidR="00275265" w:rsidRPr="000F5583" w:rsidRDefault="00275265" w:rsidP="00275265">
      <w:pPr>
        <w:pStyle w:val="SingleTxt"/>
        <w:spacing w:after="0" w:line="120" w:lineRule="exact"/>
        <w:rPr>
          <w:rFonts w:hint="cs"/>
          <w:sz w:val="10"/>
          <w:rtl/>
        </w:rPr>
      </w:pPr>
    </w:p>
    <w:tbl>
      <w:tblPr>
        <w:bidiVisual/>
        <w:tblW w:w="9373" w:type="dxa"/>
        <w:jc w:val="center"/>
        <w:tblInd w:w="304" w:type="dxa"/>
        <w:tblLayout w:type="fixed"/>
        <w:tblCellMar>
          <w:left w:w="0" w:type="dxa"/>
          <w:right w:w="0" w:type="dxa"/>
        </w:tblCellMar>
        <w:tblLook w:val="0000" w:firstRow="0" w:lastRow="0" w:firstColumn="0" w:lastColumn="0" w:noHBand="0" w:noVBand="0"/>
      </w:tblPr>
      <w:tblGrid>
        <w:gridCol w:w="338"/>
        <w:gridCol w:w="3437"/>
        <w:gridCol w:w="1339"/>
        <w:gridCol w:w="1236"/>
        <w:gridCol w:w="1337"/>
        <w:gridCol w:w="340"/>
        <w:gridCol w:w="1003"/>
        <w:gridCol w:w="343"/>
      </w:tblGrid>
      <w:tr w:rsidR="00275265">
        <w:tblPrEx>
          <w:tblCellMar>
            <w:top w:w="0" w:type="dxa"/>
            <w:bottom w:w="0" w:type="dxa"/>
          </w:tblCellMar>
        </w:tblPrEx>
        <w:trPr>
          <w:gridAfter w:val="1"/>
          <w:wAfter w:w="343" w:type="dxa"/>
          <w:trHeight w:val="147"/>
          <w:jc w:val="center"/>
        </w:trPr>
        <w:tc>
          <w:tcPr>
            <w:tcW w:w="3775" w:type="dxa"/>
            <w:gridSpan w:val="2"/>
            <w:tcBorders>
              <w:top w:val="single" w:sz="4" w:space="0" w:color="auto"/>
              <w:left w:val="single" w:sz="4" w:space="0" w:color="auto"/>
              <w:bottom w:val="single" w:sz="4" w:space="0" w:color="auto"/>
              <w:right w:val="single" w:sz="4" w:space="0" w:color="auto"/>
            </w:tcBorders>
            <w:shd w:val="clear" w:color="auto" w:fill="auto"/>
            <w:tcMar>
              <w:left w:w="0" w:type="dxa"/>
              <w:right w:w="0" w:type="dxa"/>
            </w:tcMar>
          </w:tcPr>
          <w:p w:rsidR="00275265" w:rsidRPr="006309A2" w:rsidRDefault="00275265" w:rsidP="003F4B71">
            <w:pPr>
              <w:spacing w:line="280" w:lineRule="exact"/>
              <w:ind w:left="72"/>
              <w:rPr>
                <w:rFonts w:hint="cs"/>
                <w:b/>
                <w:bCs/>
                <w:rtl/>
              </w:rPr>
            </w:pPr>
            <w:r w:rsidRPr="006309A2">
              <w:rPr>
                <w:rFonts w:hint="cs"/>
                <w:b/>
                <w:bCs/>
                <w:rtl/>
              </w:rPr>
              <w:t>البنود</w:t>
            </w:r>
          </w:p>
        </w:tc>
        <w:tc>
          <w:tcPr>
            <w:tcW w:w="1339" w:type="dxa"/>
            <w:tcBorders>
              <w:top w:val="single" w:sz="4" w:space="0" w:color="auto"/>
              <w:left w:val="single" w:sz="4" w:space="0" w:color="auto"/>
              <w:bottom w:val="single" w:sz="4" w:space="0" w:color="auto"/>
              <w:right w:val="single" w:sz="4" w:space="0" w:color="auto"/>
            </w:tcBorders>
            <w:shd w:val="clear" w:color="auto" w:fill="auto"/>
          </w:tcPr>
          <w:p w:rsidR="00275265" w:rsidRPr="006309A2" w:rsidRDefault="00275265" w:rsidP="003F4B71">
            <w:pPr>
              <w:spacing w:line="280" w:lineRule="exact"/>
              <w:ind w:left="72"/>
              <w:rPr>
                <w:rFonts w:hint="cs"/>
                <w:b/>
                <w:bCs/>
                <w:rtl/>
              </w:rPr>
            </w:pPr>
            <w:r w:rsidRPr="006309A2">
              <w:rPr>
                <w:rFonts w:hint="cs"/>
                <w:b/>
                <w:bCs/>
                <w:rtl/>
              </w:rPr>
              <w:t>1999</w:t>
            </w: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275265" w:rsidRPr="006309A2" w:rsidRDefault="00275265" w:rsidP="003F4B71">
            <w:pPr>
              <w:spacing w:line="280" w:lineRule="exact"/>
              <w:ind w:left="72"/>
              <w:rPr>
                <w:rFonts w:hint="cs"/>
                <w:b/>
                <w:bCs/>
                <w:rtl/>
              </w:rPr>
            </w:pPr>
            <w:r w:rsidRPr="006309A2">
              <w:rPr>
                <w:rFonts w:hint="cs"/>
                <w:b/>
                <w:bCs/>
                <w:rtl/>
              </w:rPr>
              <w:t>2000</w:t>
            </w: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275265" w:rsidRPr="006309A2" w:rsidRDefault="00275265" w:rsidP="003F4B71">
            <w:pPr>
              <w:spacing w:line="280" w:lineRule="exact"/>
              <w:ind w:left="72"/>
              <w:rPr>
                <w:rFonts w:hint="cs"/>
                <w:b/>
                <w:bCs/>
                <w:rtl/>
              </w:rPr>
            </w:pPr>
            <w:r w:rsidRPr="006309A2">
              <w:rPr>
                <w:rFonts w:hint="cs"/>
                <w:b/>
                <w:bCs/>
                <w:rtl/>
              </w:rPr>
              <w:t>2001</w:t>
            </w:r>
          </w:p>
        </w:tc>
        <w:tc>
          <w:tcPr>
            <w:tcW w:w="1343" w:type="dxa"/>
            <w:gridSpan w:val="2"/>
            <w:tcBorders>
              <w:top w:val="single" w:sz="4" w:space="0" w:color="auto"/>
              <w:left w:val="single" w:sz="4" w:space="0" w:color="auto"/>
              <w:bottom w:val="single" w:sz="4" w:space="0" w:color="auto"/>
              <w:right w:val="single" w:sz="4" w:space="0" w:color="auto"/>
            </w:tcBorders>
            <w:shd w:val="clear" w:color="auto" w:fill="auto"/>
          </w:tcPr>
          <w:p w:rsidR="00275265" w:rsidRPr="006309A2" w:rsidRDefault="00275265" w:rsidP="003F4B71">
            <w:pPr>
              <w:spacing w:line="280" w:lineRule="exact"/>
              <w:ind w:left="72"/>
              <w:rPr>
                <w:rFonts w:hint="cs"/>
                <w:b/>
                <w:bCs/>
                <w:rtl/>
              </w:rPr>
            </w:pPr>
            <w:r w:rsidRPr="006309A2">
              <w:rPr>
                <w:rFonts w:hint="cs"/>
                <w:b/>
                <w:bCs/>
                <w:rtl/>
              </w:rPr>
              <w:t>2002</w:t>
            </w:r>
          </w:p>
        </w:tc>
      </w:tr>
      <w:tr w:rsidR="00275265">
        <w:tblPrEx>
          <w:tblCellMar>
            <w:top w:w="0" w:type="dxa"/>
            <w:bottom w:w="0" w:type="dxa"/>
          </w:tblCellMar>
        </w:tblPrEx>
        <w:trPr>
          <w:gridBefore w:val="1"/>
          <w:wBefore w:w="338" w:type="dxa"/>
          <w:trHeight w:val="147"/>
          <w:jc w:val="center"/>
        </w:trPr>
        <w:tc>
          <w:tcPr>
            <w:tcW w:w="7689" w:type="dxa"/>
            <w:gridSpan w:val="5"/>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 xml:space="preserve">مؤسسات الرعاية الصحية </w:t>
            </w:r>
          </w:p>
        </w:tc>
        <w:tc>
          <w:tcPr>
            <w:tcW w:w="1346" w:type="dxa"/>
            <w:gridSpan w:val="2"/>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p>
        </w:tc>
      </w:tr>
      <w:tr w:rsidR="00275265">
        <w:tblPrEx>
          <w:tblCellMar>
            <w:top w:w="0" w:type="dxa"/>
            <w:bottom w:w="0" w:type="dxa"/>
          </w:tblCellMar>
        </w:tblPrEx>
        <w:trPr>
          <w:gridAfter w:val="1"/>
          <w:wAfter w:w="343" w:type="dxa"/>
          <w:trHeight w:val="147"/>
          <w:jc w:val="center"/>
        </w:trPr>
        <w:tc>
          <w:tcPr>
            <w:tcW w:w="3775" w:type="dxa"/>
            <w:gridSpan w:val="2"/>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(أ) العيادات</w:t>
            </w:r>
          </w:p>
        </w:tc>
        <w:tc>
          <w:tcPr>
            <w:tcW w:w="1339"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425 5</w:t>
            </w: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685 5</w:t>
            </w: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776 5</w:t>
            </w:r>
          </w:p>
        </w:tc>
        <w:tc>
          <w:tcPr>
            <w:tcW w:w="1343" w:type="dxa"/>
            <w:gridSpan w:val="2"/>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657 5</w:t>
            </w:r>
          </w:p>
        </w:tc>
      </w:tr>
      <w:tr w:rsidR="00275265">
        <w:tblPrEx>
          <w:tblCellMar>
            <w:top w:w="0" w:type="dxa"/>
            <w:bottom w:w="0" w:type="dxa"/>
          </w:tblCellMar>
        </w:tblPrEx>
        <w:trPr>
          <w:gridAfter w:val="1"/>
          <w:wAfter w:w="343" w:type="dxa"/>
          <w:trHeight w:val="147"/>
          <w:jc w:val="center"/>
        </w:trPr>
        <w:tc>
          <w:tcPr>
            <w:tcW w:w="3775" w:type="dxa"/>
            <w:gridSpan w:val="2"/>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60" w:lineRule="exact"/>
              <w:ind w:left="72"/>
              <w:rPr>
                <w:rFonts w:hint="cs"/>
                <w:rtl/>
              </w:rPr>
            </w:pPr>
            <w:r>
              <w:rPr>
                <w:rFonts w:hint="cs"/>
                <w:rtl/>
              </w:rPr>
              <w:t>(ب) المراكز الصحية</w:t>
            </w:r>
          </w:p>
        </w:tc>
        <w:tc>
          <w:tcPr>
            <w:tcW w:w="1339"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60" w:lineRule="exact"/>
              <w:ind w:left="72"/>
              <w:rPr>
                <w:rFonts w:hint="cs"/>
                <w:rtl/>
              </w:rPr>
            </w:pPr>
            <w:r>
              <w:rPr>
                <w:rFonts w:hint="cs"/>
                <w:rtl/>
              </w:rPr>
              <w:t>802 2</w:t>
            </w: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60" w:lineRule="exact"/>
              <w:ind w:left="72"/>
              <w:rPr>
                <w:rFonts w:hint="cs"/>
                <w:rtl/>
              </w:rPr>
            </w:pPr>
            <w:r>
              <w:rPr>
                <w:rFonts w:hint="cs"/>
                <w:rtl/>
              </w:rPr>
              <w:t>503 2</w:t>
            </w: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60" w:lineRule="exact"/>
              <w:ind w:left="72"/>
              <w:rPr>
                <w:rFonts w:hint="cs"/>
                <w:rtl/>
              </w:rPr>
            </w:pPr>
            <w:r>
              <w:rPr>
                <w:rFonts w:hint="cs"/>
                <w:rtl/>
              </w:rPr>
              <w:t>235 2</w:t>
            </w:r>
          </w:p>
        </w:tc>
        <w:tc>
          <w:tcPr>
            <w:tcW w:w="1343" w:type="dxa"/>
            <w:gridSpan w:val="2"/>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60" w:lineRule="exact"/>
              <w:ind w:left="72"/>
              <w:rPr>
                <w:rFonts w:hint="cs"/>
                <w:rtl/>
              </w:rPr>
            </w:pPr>
            <w:r>
              <w:rPr>
                <w:rFonts w:hint="cs"/>
                <w:rtl/>
              </w:rPr>
              <w:t>170 2</w:t>
            </w:r>
          </w:p>
        </w:tc>
      </w:tr>
      <w:tr w:rsidR="00275265">
        <w:tblPrEx>
          <w:tblCellMar>
            <w:top w:w="0" w:type="dxa"/>
            <w:bottom w:w="0" w:type="dxa"/>
          </w:tblCellMar>
        </w:tblPrEx>
        <w:trPr>
          <w:gridAfter w:val="1"/>
          <w:wAfter w:w="343" w:type="dxa"/>
          <w:trHeight w:val="147"/>
          <w:jc w:val="center"/>
        </w:trPr>
        <w:tc>
          <w:tcPr>
            <w:tcW w:w="3775" w:type="dxa"/>
            <w:gridSpan w:val="2"/>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 xml:space="preserve">(ج) الخدمات الطبية </w:t>
            </w:r>
          </w:p>
        </w:tc>
        <w:tc>
          <w:tcPr>
            <w:tcW w:w="1339"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509 2</w:t>
            </w: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080 5</w:t>
            </w: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419 6</w:t>
            </w:r>
          </w:p>
        </w:tc>
        <w:tc>
          <w:tcPr>
            <w:tcW w:w="1343" w:type="dxa"/>
            <w:gridSpan w:val="2"/>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004 7</w:t>
            </w:r>
          </w:p>
        </w:tc>
      </w:tr>
      <w:tr w:rsidR="00275265">
        <w:tblPrEx>
          <w:tblCellMar>
            <w:top w:w="0" w:type="dxa"/>
            <w:bottom w:w="0" w:type="dxa"/>
          </w:tblCellMar>
        </w:tblPrEx>
        <w:trPr>
          <w:gridAfter w:val="1"/>
          <w:wAfter w:w="343" w:type="dxa"/>
          <w:trHeight w:val="147"/>
          <w:jc w:val="center"/>
        </w:trPr>
        <w:tc>
          <w:tcPr>
            <w:tcW w:w="3775" w:type="dxa"/>
            <w:gridSpan w:val="2"/>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 في المدن</w:t>
            </w:r>
          </w:p>
        </w:tc>
        <w:tc>
          <w:tcPr>
            <w:tcW w:w="1339"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076 2</w:t>
            </w: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211 4</w:t>
            </w: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136 5</w:t>
            </w:r>
          </w:p>
        </w:tc>
        <w:tc>
          <w:tcPr>
            <w:tcW w:w="1343" w:type="dxa"/>
            <w:gridSpan w:val="2"/>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642 5</w:t>
            </w:r>
          </w:p>
        </w:tc>
      </w:tr>
      <w:tr w:rsidR="00275265">
        <w:tblPrEx>
          <w:tblCellMar>
            <w:top w:w="0" w:type="dxa"/>
            <w:bottom w:w="0" w:type="dxa"/>
          </w:tblCellMar>
        </w:tblPrEx>
        <w:trPr>
          <w:gridAfter w:val="1"/>
          <w:wAfter w:w="343" w:type="dxa"/>
          <w:trHeight w:val="147"/>
          <w:jc w:val="center"/>
        </w:trPr>
        <w:tc>
          <w:tcPr>
            <w:tcW w:w="3775" w:type="dxa"/>
            <w:gridSpan w:val="2"/>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 في المناطق الريفية</w:t>
            </w:r>
          </w:p>
        </w:tc>
        <w:tc>
          <w:tcPr>
            <w:tcW w:w="1339"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433</w:t>
            </w: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869</w:t>
            </w: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283 1</w:t>
            </w:r>
          </w:p>
        </w:tc>
        <w:tc>
          <w:tcPr>
            <w:tcW w:w="1343" w:type="dxa"/>
            <w:gridSpan w:val="2"/>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362 1</w:t>
            </w:r>
          </w:p>
        </w:tc>
      </w:tr>
      <w:tr w:rsidR="00275265">
        <w:tblPrEx>
          <w:tblCellMar>
            <w:top w:w="0" w:type="dxa"/>
            <w:bottom w:w="0" w:type="dxa"/>
          </w:tblCellMar>
        </w:tblPrEx>
        <w:trPr>
          <w:gridAfter w:val="1"/>
          <w:wAfter w:w="343" w:type="dxa"/>
          <w:trHeight w:val="147"/>
          <w:jc w:val="center"/>
        </w:trPr>
        <w:tc>
          <w:tcPr>
            <w:tcW w:w="3775" w:type="dxa"/>
            <w:gridSpan w:val="2"/>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300" w:lineRule="exact"/>
              <w:ind w:left="72"/>
              <w:rPr>
                <w:rFonts w:hint="cs"/>
                <w:rtl/>
              </w:rPr>
            </w:pPr>
            <w:r>
              <w:rPr>
                <w:rFonts w:hint="cs"/>
                <w:rtl/>
              </w:rPr>
              <w:t>(د) المستشفيات</w:t>
            </w:r>
          </w:p>
        </w:tc>
        <w:tc>
          <w:tcPr>
            <w:tcW w:w="1339"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300" w:lineRule="exact"/>
              <w:ind w:left="72"/>
              <w:rPr>
                <w:rFonts w:hint="cs"/>
                <w:rtl/>
              </w:rPr>
            </w:pPr>
            <w:r>
              <w:rPr>
                <w:rFonts w:hint="cs"/>
                <w:rtl/>
              </w:rPr>
              <w:t>715</w:t>
            </w: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300" w:lineRule="exact"/>
              <w:ind w:left="72"/>
              <w:rPr>
                <w:rFonts w:hint="cs"/>
                <w:rtl/>
              </w:rPr>
            </w:pPr>
            <w:r>
              <w:rPr>
                <w:rFonts w:hint="cs"/>
                <w:rtl/>
              </w:rPr>
              <w:t>716</w:t>
            </w: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300" w:lineRule="exact"/>
              <w:ind w:left="72"/>
              <w:rPr>
                <w:rFonts w:hint="cs"/>
                <w:rtl/>
              </w:rPr>
            </w:pPr>
          </w:p>
        </w:tc>
        <w:tc>
          <w:tcPr>
            <w:tcW w:w="1343" w:type="dxa"/>
            <w:gridSpan w:val="2"/>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300" w:lineRule="exact"/>
              <w:ind w:left="72"/>
              <w:rPr>
                <w:rFonts w:hint="cs"/>
                <w:rtl/>
              </w:rPr>
            </w:pPr>
            <w:r>
              <w:rPr>
                <w:rFonts w:hint="cs"/>
                <w:rtl/>
              </w:rPr>
              <w:t>739</w:t>
            </w:r>
          </w:p>
        </w:tc>
      </w:tr>
      <w:tr w:rsidR="00275265">
        <w:tblPrEx>
          <w:tblCellMar>
            <w:top w:w="0" w:type="dxa"/>
            <w:bottom w:w="0" w:type="dxa"/>
          </w:tblCellMar>
        </w:tblPrEx>
        <w:trPr>
          <w:gridAfter w:val="1"/>
          <w:wAfter w:w="343" w:type="dxa"/>
          <w:trHeight w:val="147"/>
          <w:jc w:val="center"/>
        </w:trPr>
        <w:tc>
          <w:tcPr>
            <w:tcW w:w="3775" w:type="dxa"/>
            <w:gridSpan w:val="2"/>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300" w:lineRule="exact"/>
              <w:ind w:left="72"/>
              <w:rPr>
                <w:rFonts w:hint="cs"/>
                <w:rtl/>
              </w:rPr>
            </w:pPr>
            <w:r>
              <w:rPr>
                <w:rFonts w:hint="cs"/>
                <w:rtl/>
              </w:rPr>
              <w:t>(هـ) المرافق</w:t>
            </w:r>
          </w:p>
        </w:tc>
        <w:tc>
          <w:tcPr>
            <w:tcW w:w="1339"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300" w:lineRule="exact"/>
              <w:ind w:left="72"/>
              <w:rPr>
                <w:rFonts w:hint="cs"/>
                <w:rtl/>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300" w:lineRule="exact"/>
              <w:ind w:left="72"/>
              <w:rPr>
                <w:rFonts w:hint="cs"/>
                <w:rtl/>
              </w:rPr>
            </w:pP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300" w:lineRule="exact"/>
              <w:ind w:left="72"/>
              <w:rPr>
                <w:rFonts w:hint="cs"/>
                <w:rtl/>
              </w:rPr>
            </w:pPr>
          </w:p>
        </w:tc>
        <w:tc>
          <w:tcPr>
            <w:tcW w:w="1343" w:type="dxa"/>
            <w:gridSpan w:val="2"/>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300" w:lineRule="exact"/>
              <w:ind w:left="72"/>
              <w:rPr>
                <w:rFonts w:hint="cs"/>
                <w:rtl/>
              </w:rPr>
            </w:pPr>
          </w:p>
        </w:tc>
      </w:tr>
      <w:tr w:rsidR="00275265">
        <w:tblPrEx>
          <w:tblCellMar>
            <w:top w:w="0" w:type="dxa"/>
            <w:bottom w:w="0" w:type="dxa"/>
          </w:tblCellMar>
        </w:tblPrEx>
        <w:trPr>
          <w:gridAfter w:val="1"/>
          <w:wAfter w:w="343" w:type="dxa"/>
          <w:trHeight w:val="147"/>
          <w:jc w:val="center"/>
        </w:trPr>
        <w:tc>
          <w:tcPr>
            <w:tcW w:w="3775" w:type="dxa"/>
            <w:gridSpan w:val="2"/>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 الرعاية الصحية</w:t>
            </w:r>
            <w:r w:rsidR="00233F4D">
              <w:rPr>
                <w:rFonts w:hint="cs"/>
                <w:rtl/>
              </w:rPr>
              <w:t xml:space="preserve"> - الطبية</w:t>
            </w:r>
          </w:p>
        </w:tc>
        <w:tc>
          <w:tcPr>
            <w:tcW w:w="1339"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95</w:t>
            </w: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126</w:t>
            </w: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p>
        </w:tc>
        <w:tc>
          <w:tcPr>
            <w:tcW w:w="1343" w:type="dxa"/>
            <w:gridSpan w:val="2"/>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174</w:t>
            </w:r>
          </w:p>
        </w:tc>
      </w:tr>
      <w:tr w:rsidR="00275265">
        <w:tblPrEx>
          <w:tblCellMar>
            <w:top w:w="0" w:type="dxa"/>
            <w:bottom w:w="0" w:type="dxa"/>
          </w:tblCellMar>
        </w:tblPrEx>
        <w:trPr>
          <w:gridAfter w:val="1"/>
          <w:wAfter w:w="343" w:type="dxa"/>
          <w:trHeight w:val="147"/>
          <w:jc w:val="center"/>
        </w:trPr>
        <w:tc>
          <w:tcPr>
            <w:tcW w:w="3775" w:type="dxa"/>
            <w:gridSpan w:val="2"/>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 الطبية - التعليمية</w:t>
            </w:r>
          </w:p>
        </w:tc>
        <w:tc>
          <w:tcPr>
            <w:tcW w:w="1339"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15</w:t>
            </w: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11</w:t>
            </w: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p>
        </w:tc>
        <w:tc>
          <w:tcPr>
            <w:tcW w:w="1343" w:type="dxa"/>
            <w:gridSpan w:val="2"/>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p>
        </w:tc>
      </w:tr>
      <w:tr w:rsidR="00275265">
        <w:tblPrEx>
          <w:tblCellMar>
            <w:top w:w="0" w:type="dxa"/>
            <w:bottom w:w="0" w:type="dxa"/>
          </w:tblCellMar>
        </w:tblPrEx>
        <w:trPr>
          <w:gridAfter w:val="1"/>
          <w:wAfter w:w="343" w:type="dxa"/>
          <w:trHeight w:val="147"/>
          <w:jc w:val="center"/>
        </w:trPr>
        <w:tc>
          <w:tcPr>
            <w:tcW w:w="3775" w:type="dxa"/>
            <w:gridSpan w:val="2"/>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 الرعاية التمريضية</w:t>
            </w:r>
          </w:p>
        </w:tc>
        <w:tc>
          <w:tcPr>
            <w:tcW w:w="1339"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20</w:t>
            </w: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49</w:t>
            </w: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p>
        </w:tc>
        <w:tc>
          <w:tcPr>
            <w:tcW w:w="1343" w:type="dxa"/>
            <w:gridSpan w:val="2"/>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100</w:t>
            </w:r>
          </w:p>
        </w:tc>
      </w:tr>
      <w:tr w:rsidR="00275265">
        <w:tblPrEx>
          <w:tblCellMar>
            <w:top w:w="0" w:type="dxa"/>
            <w:bottom w:w="0" w:type="dxa"/>
          </w:tblCellMar>
        </w:tblPrEx>
        <w:trPr>
          <w:gridAfter w:val="1"/>
          <w:wAfter w:w="343" w:type="dxa"/>
          <w:trHeight w:val="147"/>
          <w:jc w:val="center"/>
        </w:trPr>
        <w:tc>
          <w:tcPr>
            <w:tcW w:w="3775" w:type="dxa"/>
            <w:gridSpan w:val="2"/>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 المستوصفات</w:t>
            </w:r>
          </w:p>
        </w:tc>
        <w:tc>
          <w:tcPr>
            <w:tcW w:w="1339"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15</w:t>
            </w: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26</w:t>
            </w: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p>
        </w:tc>
        <w:tc>
          <w:tcPr>
            <w:tcW w:w="1343" w:type="dxa"/>
            <w:gridSpan w:val="2"/>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41</w:t>
            </w:r>
          </w:p>
        </w:tc>
      </w:tr>
      <w:tr w:rsidR="00275265">
        <w:tblPrEx>
          <w:tblCellMar>
            <w:top w:w="0" w:type="dxa"/>
            <w:bottom w:w="0" w:type="dxa"/>
          </w:tblCellMar>
        </w:tblPrEx>
        <w:trPr>
          <w:gridAfter w:val="1"/>
          <w:wAfter w:w="343" w:type="dxa"/>
          <w:trHeight w:val="147"/>
          <w:jc w:val="center"/>
        </w:trPr>
        <w:tc>
          <w:tcPr>
            <w:tcW w:w="3775"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tl/>
              </w:rPr>
            </w:pPr>
            <w:r>
              <w:rPr>
                <w:rFonts w:hint="cs"/>
                <w:rtl/>
              </w:rPr>
              <w:t>الصيدليات ومراكز الصيدلة</w:t>
            </w:r>
          </w:p>
          <w:p w:rsidR="00275265" w:rsidRDefault="00275265" w:rsidP="003F4B71">
            <w:pPr>
              <w:spacing w:line="280" w:lineRule="exact"/>
              <w:ind w:left="72"/>
              <w:rPr>
                <w:rFonts w:hint="cs"/>
                <w:rtl/>
              </w:rPr>
            </w:pPr>
            <w:r>
              <w:rPr>
                <w:rFonts w:hint="cs"/>
                <w:rtl/>
              </w:rPr>
              <w:t>(تشمل المناطق الريفية)</w:t>
            </w:r>
          </w:p>
        </w:tc>
        <w:tc>
          <w:tcPr>
            <w:tcW w:w="1339"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145 8</w:t>
            </w: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589 8</w:t>
            </w: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262 9</w:t>
            </w:r>
          </w:p>
        </w:tc>
        <w:tc>
          <w:tcPr>
            <w:tcW w:w="1343" w:type="dxa"/>
            <w:gridSpan w:val="2"/>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605 9</w:t>
            </w:r>
          </w:p>
        </w:tc>
      </w:tr>
      <w:tr w:rsidR="00275265">
        <w:tblPrEx>
          <w:tblCellMar>
            <w:top w:w="0" w:type="dxa"/>
            <w:bottom w:w="0" w:type="dxa"/>
          </w:tblCellMar>
        </w:tblPrEx>
        <w:trPr>
          <w:gridAfter w:val="1"/>
          <w:wAfter w:w="343" w:type="dxa"/>
          <w:trHeight w:val="147"/>
          <w:jc w:val="center"/>
        </w:trPr>
        <w:tc>
          <w:tcPr>
            <w:tcW w:w="3775" w:type="dxa"/>
            <w:gridSpan w:val="2"/>
            <w:vMerge/>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p>
        </w:tc>
        <w:tc>
          <w:tcPr>
            <w:tcW w:w="1339"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735 1</w:t>
            </w: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763 1</w:t>
            </w: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p>
        </w:tc>
        <w:tc>
          <w:tcPr>
            <w:tcW w:w="1343" w:type="dxa"/>
            <w:gridSpan w:val="2"/>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p>
        </w:tc>
      </w:tr>
      <w:tr w:rsidR="00275265">
        <w:tblPrEx>
          <w:tblCellMar>
            <w:top w:w="0" w:type="dxa"/>
            <w:bottom w:w="0" w:type="dxa"/>
          </w:tblCellMar>
        </w:tblPrEx>
        <w:trPr>
          <w:gridAfter w:val="1"/>
          <w:wAfter w:w="343" w:type="dxa"/>
          <w:trHeight w:val="147"/>
          <w:jc w:val="center"/>
        </w:trPr>
        <w:tc>
          <w:tcPr>
            <w:tcW w:w="9030" w:type="dxa"/>
            <w:gridSpan w:val="7"/>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300" w:lineRule="exact"/>
              <w:ind w:left="72"/>
              <w:rPr>
                <w:rFonts w:hint="cs"/>
                <w:rtl/>
              </w:rPr>
            </w:pPr>
            <w:r>
              <w:rPr>
                <w:rFonts w:hint="cs"/>
                <w:rtl/>
              </w:rPr>
              <w:t>العاملون الطبيون في الخدمات الصحية المدنية</w:t>
            </w:r>
          </w:p>
        </w:tc>
      </w:tr>
      <w:tr w:rsidR="00275265">
        <w:tblPrEx>
          <w:tblCellMar>
            <w:top w:w="0" w:type="dxa"/>
            <w:bottom w:w="0" w:type="dxa"/>
          </w:tblCellMar>
        </w:tblPrEx>
        <w:trPr>
          <w:gridAfter w:val="1"/>
          <w:wAfter w:w="343" w:type="dxa"/>
          <w:trHeight w:val="147"/>
          <w:jc w:val="center"/>
        </w:trPr>
        <w:tc>
          <w:tcPr>
            <w:tcW w:w="3775"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60" w:lineRule="exact"/>
              <w:ind w:left="72"/>
              <w:rPr>
                <w:rtl/>
              </w:rPr>
            </w:pPr>
            <w:r>
              <w:rPr>
                <w:rFonts w:hint="cs"/>
                <w:rtl/>
              </w:rPr>
              <w:t>(أ) الأطباء</w:t>
            </w:r>
          </w:p>
          <w:p w:rsidR="00275265" w:rsidRDefault="00275265" w:rsidP="003F4B71">
            <w:pPr>
              <w:spacing w:line="260" w:lineRule="exact"/>
              <w:ind w:left="72"/>
              <w:rPr>
                <w:rFonts w:hint="cs"/>
                <w:rtl/>
              </w:rPr>
            </w:pPr>
            <w:r>
              <w:rPr>
                <w:rFonts w:hint="cs"/>
                <w:rtl/>
              </w:rPr>
              <w:t>- بمن فيهم النساء</w:t>
            </w:r>
          </w:p>
        </w:tc>
        <w:tc>
          <w:tcPr>
            <w:tcW w:w="1339"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60" w:lineRule="exact"/>
              <w:ind w:left="72"/>
              <w:rPr>
                <w:rFonts w:hint="cs"/>
                <w:rtl/>
              </w:rPr>
            </w:pPr>
            <w:r>
              <w:rPr>
                <w:rFonts w:hint="cs"/>
                <w:rtl/>
              </w:rPr>
              <w:t>524 87</w:t>
            </w: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60" w:lineRule="exact"/>
              <w:ind w:left="72"/>
              <w:rPr>
                <w:rFonts w:hint="cs"/>
                <w:rtl/>
              </w:rPr>
            </w:pPr>
            <w:r>
              <w:rPr>
                <w:rFonts w:hint="cs"/>
                <w:rtl/>
              </w:rPr>
              <w:t>031 85</w:t>
            </w: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60" w:lineRule="exact"/>
              <w:ind w:left="72"/>
              <w:rPr>
                <w:rFonts w:hint="cs"/>
                <w:rtl/>
              </w:rPr>
            </w:pPr>
            <w:r>
              <w:rPr>
                <w:rFonts w:hint="cs"/>
                <w:rtl/>
              </w:rPr>
              <w:t>608 86</w:t>
            </w:r>
          </w:p>
        </w:tc>
        <w:tc>
          <w:tcPr>
            <w:tcW w:w="1343" w:type="dxa"/>
            <w:gridSpan w:val="2"/>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60" w:lineRule="exact"/>
              <w:ind w:left="72"/>
              <w:rPr>
                <w:rFonts w:hint="cs"/>
                <w:rtl/>
              </w:rPr>
            </w:pPr>
          </w:p>
        </w:tc>
      </w:tr>
      <w:tr w:rsidR="00275265">
        <w:tblPrEx>
          <w:tblCellMar>
            <w:top w:w="0" w:type="dxa"/>
            <w:bottom w:w="0" w:type="dxa"/>
          </w:tblCellMar>
        </w:tblPrEx>
        <w:trPr>
          <w:gridAfter w:val="1"/>
          <w:wAfter w:w="343" w:type="dxa"/>
          <w:trHeight w:val="147"/>
          <w:jc w:val="center"/>
        </w:trPr>
        <w:tc>
          <w:tcPr>
            <w:tcW w:w="3775" w:type="dxa"/>
            <w:gridSpan w:val="2"/>
            <w:vMerge/>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60" w:lineRule="exact"/>
              <w:ind w:left="72"/>
              <w:rPr>
                <w:rFonts w:hint="cs"/>
                <w:rtl/>
              </w:rPr>
            </w:pPr>
          </w:p>
        </w:tc>
        <w:tc>
          <w:tcPr>
            <w:tcW w:w="1339"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60" w:lineRule="exact"/>
              <w:ind w:left="72"/>
              <w:rPr>
                <w:rFonts w:hint="cs"/>
                <w:rtl/>
              </w:rPr>
            </w:pPr>
            <w:r>
              <w:rPr>
                <w:rFonts w:hint="cs"/>
                <w:rtl/>
              </w:rPr>
              <w:t>384 47</w:t>
            </w: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60" w:lineRule="exact"/>
              <w:ind w:left="72"/>
              <w:rPr>
                <w:rFonts w:hint="cs"/>
                <w:rtl/>
              </w:rPr>
            </w:pPr>
            <w:r>
              <w:rPr>
                <w:rFonts w:hint="cs"/>
                <w:rtl/>
              </w:rPr>
              <w:t>071 46</w:t>
            </w: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60" w:lineRule="exact"/>
              <w:ind w:left="72"/>
              <w:rPr>
                <w:rFonts w:hint="cs"/>
                <w:rtl/>
              </w:rPr>
            </w:pPr>
            <w:r>
              <w:rPr>
                <w:rFonts w:hint="cs"/>
                <w:rtl/>
              </w:rPr>
              <w:t>737 46</w:t>
            </w:r>
          </w:p>
        </w:tc>
        <w:tc>
          <w:tcPr>
            <w:tcW w:w="1343" w:type="dxa"/>
            <w:gridSpan w:val="2"/>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60" w:lineRule="exact"/>
              <w:ind w:left="72"/>
              <w:rPr>
                <w:rFonts w:hint="cs"/>
                <w:rtl/>
              </w:rPr>
            </w:pPr>
          </w:p>
        </w:tc>
      </w:tr>
      <w:tr w:rsidR="00275265">
        <w:tblPrEx>
          <w:tblCellMar>
            <w:top w:w="0" w:type="dxa"/>
            <w:bottom w:w="0" w:type="dxa"/>
          </w:tblCellMar>
        </w:tblPrEx>
        <w:trPr>
          <w:gridAfter w:val="1"/>
          <w:wAfter w:w="343" w:type="dxa"/>
          <w:trHeight w:val="147"/>
          <w:jc w:val="center"/>
        </w:trPr>
        <w:tc>
          <w:tcPr>
            <w:tcW w:w="3775"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60" w:lineRule="exact"/>
              <w:ind w:left="72"/>
              <w:rPr>
                <w:rtl/>
              </w:rPr>
            </w:pPr>
            <w:r>
              <w:rPr>
                <w:rFonts w:hint="cs"/>
                <w:rtl/>
              </w:rPr>
              <w:t>(ب) أطباء الأسنان</w:t>
            </w:r>
          </w:p>
          <w:p w:rsidR="00275265" w:rsidRDefault="00275265" w:rsidP="003F4B71">
            <w:pPr>
              <w:spacing w:line="260" w:lineRule="exact"/>
              <w:ind w:left="72"/>
              <w:rPr>
                <w:rFonts w:hint="cs"/>
                <w:rtl/>
              </w:rPr>
            </w:pPr>
            <w:r>
              <w:rPr>
                <w:rFonts w:hint="cs"/>
                <w:rtl/>
              </w:rPr>
              <w:t>- بمن فيهم النساء</w:t>
            </w:r>
          </w:p>
        </w:tc>
        <w:tc>
          <w:tcPr>
            <w:tcW w:w="1339"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60" w:lineRule="exact"/>
              <w:ind w:left="72"/>
              <w:rPr>
                <w:rFonts w:hint="cs"/>
                <w:rtl/>
              </w:rPr>
            </w:pPr>
            <w:r>
              <w:rPr>
                <w:rFonts w:hint="cs"/>
                <w:rtl/>
              </w:rPr>
              <w:t>260 13</w:t>
            </w: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60" w:lineRule="exact"/>
              <w:ind w:left="72"/>
              <w:rPr>
                <w:rFonts w:hint="cs"/>
                <w:rtl/>
              </w:rPr>
            </w:pPr>
            <w:r>
              <w:rPr>
                <w:rFonts w:hint="cs"/>
                <w:rtl/>
              </w:rPr>
              <w:t>758 11</w:t>
            </w: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60" w:lineRule="exact"/>
              <w:ind w:left="72"/>
              <w:rPr>
                <w:rFonts w:hint="cs"/>
                <w:rtl/>
              </w:rPr>
            </w:pPr>
            <w:r>
              <w:rPr>
                <w:rFonts w:hint="cs"/>
                <w:rtl/>
              </w:rPr>
              <w:t>124 10</w:t>
            </w:r>
          </w:p>
        </w:tc>
        <w:tc>
          <w:tcPr>
            <w:tcW w:w="1343" w:type="dxa"/>
            <w:gridSpan w:val="2"/>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60" w:lineRule="exact"/>
              <w:ind w:left="72"/>
              <w:rPr>
                <w:rFonts w:hint="cs"/>
                <w:rtl/>
              </w:rPr>
            </w:pPr>
          </w:p>
        </w:tc>
      </w:tr>
      <w:tr w:rsidR="00275265">
        <w:tblPrEx>
          <w:tblCellMar>
            <w:top w:w="0" w:type="dxa"/>
            <w:bottom w:w="0" w:type="dxa"/>
          </w:tblCellMar>
        </w:tblPrEx>
        <w:trPr>
          <w:gridAfter w:val="1"/>
          <w:wAfter w:w="343" w:type="dxa"/>
          <w:trHeight w:val="147"/>
          <w:jc w:val="center"/>
        </w:trPr>
        <w:tc>
          <w:tcPr>
            <w:tcW w:w="3775" w:type="dxa"/>
            <w:gridSpan w:val="2"/>
            <w:vMerge/>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60" w:lineRule="exact"/>
              <w:ind w:left="72"/>
              <w:rPr>
                <w:rFonts w:hint="cs"/>
                <w:rtl/>
              </w:rPr>
            </w:pPr>
          </w:p>
        </w:tc>
        <w:tc>
          <w:tcPr>
            <w:tcW w:w="1339"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60" w:lineRule="exact"/>
              <w:ind w:left="72"/>
              <w:rPr>
                <w:rFonts w:hint="cs"/>
                <w:rtl/>
              </w:rPr>
            </w:pPr>
            <w:r>
              <w:rPr>
                <w:rFonts w:hint="cs"/>
                <w:rtl/>
              </w:rPr>
              <w:t>275 10</w:t>
            </w: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60" w:lineRule="exact"/>
              <w:ind w:left="72"/>
              <w:rPr>
                <w:rFonts w:hint="cs"/>
                <w:rtl/>
              </w:rPr>
            </w:pPr>
            <w:r>
              <w:rPr>
                <w:rFonts w:hint="cs"/>
                <w:rtl/>
              </w:rPr>
              <w:t>911 8</w:t>
            </w: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60" w:lineRule="exact"/>
              <w:ind w:left="72"/>
              <w:rPr>
                <w:rFonts w:hint="cs"/>
                <w:rtl/>
              </w:rPr>
            </w:pPr>
            <w:r>
              <w:rPr>
                <w:rFonts w:hint="cs"/>
                <w:rtl/>
              </w:rPr>
              <w:t>617 7</w:t>
            </w:r>
          </w:p>
        </w:tc>
        <w:tc>
          <w:tcPr>
            <w:tcW w:w="1343" w:type="dxa"/>
            <w:gridSpan w:val="2"/>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60" w:lineRule="exact"/>
              <w:ind w:left="72"/>
              <w:rPr>
                <w:rFonts w:hint="cs"/>
                <w:rtl/>
              </w:rPr>
            </w:pPr>
          </w:p>
        </w:tc>
      </w:tr>
      <w:tr w:rsidR="00275265">
        <w:tblPrEx>
          <w:tblCellMar>
            <w:top w:w="0" w:type="dxa"/>
            <w:bottom w:w="0" w:type="dxa"/>
          </w:tblCellMar>
        </w:tblPrEx>
        <w:trPr>
          <w:gridAfter w:val="1"/>
          <w:wAfter w:w="343" w:type="dxa"/>
          <w:trHeight w:val="147"/>
          <w:jc w:val="center"/>
        </w:trPr>
        <w:tc>
          <w:tcPr>
            <w:tcW w:w="3775"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tl/>
              </w:rPr>
            </w:pPr>
            <w:r>
              <w:rPr>
                <w:rFonts w:hint="cs"/>
                <w:rtl/>
              </w:rPr>
              <w:t xml:space="preserve">(ج) الأخصائيون </w:t>
            </w:r>
          </w:p>
          <w:p w:rsidR="00275265" w:rsidRDefault="00275265" w:rsidP="003F4B71">
            <w:pPr>
              <w:spacing w:line="280" w:lineRule="exact"/>
              <w:ind w:left="72"/>
              <w:rPr>
                <w:rtl/>
              </w:rPr>
            </w:pPr>
            <w:r>
              <w:rPr>
                <w:rFonts w:hint="cs"/>
                <w:rtl/>
              </w:rPr>
              <w:t>- في طب الأطفال</w:t>
            </w:r>
          </w:p>
          <w:p w:rsidR="00275265" w:rsidRDefault="00275265" w:rsidP="003F4B71">
            <w:pPr>
              <w:spacing w:line="280" w:lineRule="exact"/>
              <w:ind w:left="72"/>
              <w:rPr>
                <w:rFonts w:hint="cs"/>
                <w:rtl/>
              </w:rPr>
            </w:pPr>
            <w:r>
              <w:rPr>
                <w:rFonts w:hint="cs"/>
                <w:rtl/>
              </w:rPr>
              <w:t>- في أمراض النساء والولادة</w:t>
            </w:r>
          </w:p>
        </w:tc>
        <w:tc>
          <w:tcPr>
            <w:tcW w:w="1339"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p>
        </w:tc>
        <w:tc>
          <w:tcPr>
            <w:tcW w:w="1343" w:type="dxa"/>
            <w:gridSpan w:val="2"/>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p>
        </w:tc>
      </w:tr>
      <w:tr w:rsidR="00275265">
        <w:tblPrEx>
          <w:tblCellMar>
            <w:top w:w="0" w:type="dxa"/>
            <w:bottom w:w="0" w:type="dxa"/>
          </w:tblCellMar>
        </w:tblPrEx>
        <w:trPr>
          <w:gridAfter w:val="1"/>
          <w:wAfter w:w="343" w:type="dxa"/>
          <w:trHeight w:val="147"/>
          <w:jc w:val="center"/>
        </w:trPr>
        <w:tc>
          <w:tcPr>
            <w:tcW w:w="3775" w:type="dxa"/>
            <w:gridSpan w:val="2"/>
            <w:vMerge/>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p>
        </w:tc>
        <w:tc>
          <w:tcPr>
            <w:tcW w:w="1339"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717 8</w:t>
            </w: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238 8</w:t>
            </w: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775 3</w:t>
            </w:r>
          </w:p>
        </w:tc>
        <w:tc>
          <w:tcPr>
            <w:tcW w:w="1343" w:type="dxa"/>
            <w:gridSpan w:val="2"/>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p>
        </w:tc>
      </w:tr>
      <w:tr w:rsidR="00275265">
        <w:tblPrEx>
          <w:tblCellMar>
            <w:top w:w="0" w:type="dxa"/>
            <w:bottom w:w="0" w:type="dxa"/>
          </w:tblCellMar>
        </w:tblPrEx>
        <w:trPr>
          <w:gridAfter w:val="1"/>
          <w:wAfter w:w="343" w:type="dxa"/>
          <w:trHeight w:val="147"/>
          <w:jc w:val="center"/>
        </w:trPr>
        <w:tc>
          <w:tcPr>
            <w:tcW w:w="3775" w:type="dxa"/>
            <w:gridSpan w:val="2"/>
            <w:vMerge/>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p>
        </w:tc>
        <w:tc>
          <w:tcPr>
            <w:tcW w:w="1339"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962 5</w:t>
            </w: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861 5</w:t>
            </w: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179 4</w:t>
            </w:r>
          </w:p>
        </w:tc>
        <w:tc>
          <w:tcPr>
            <w:tcW w:w="1343" w:type="dxa"/>
            <w:gridSpan w:val="2"/>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p>
        </w:tc>
      </w:tr>
      <w:tr w:rsidR="00275265">
        <w:tblPrEx>
          <w:tblCellMar>
            <w:top w:w="0" w:type="dxa"/>
            <w:bottom w:w="0" w:type="dxa"/>
          </w:tblCellMar>
        </w:tblPrEx>
        <w:trPr>
          <w:gridAfter w:val="1"/>
          <w:wAfter w:w="343" w:type="dxa"/>
          <w:trHeight w:val="147"/>
          <w:jc w:val="center"/>
        </w:trPr>
        <w:tc>
          <w:tcPr>
            <w:tcW w:w="3775" w:type="dxa"/>
            <w:gridSpan w:val="2"/>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(د) المساعدون الطبيون</w:t>
            </w:r>
          </w:p>
        </w:tc>
        <w:tc>
          <w:tcPr>
            <w:tcW w:w="1339"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501</w:t>
            </w: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374</w:t>
            </w: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294</w:t>
            </w:r>
          </w:p>
        </w:tc>
        <w:tc>
          <w:tcPr>
            <w:tcW w:w="1343" w:type="dxa"/>
            <w:gridSpan w:val="2"/>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p>
        </w:tc>
      </w:tr>
      <w:tr w:rsidR="00275265">
        <w:tblPrEx>
          <w:tblCellMar>
            <w:top w:w="0" w:type="dxa"/>
            <w:bottom w:w="0" w:type="dxa"/>
          </w:tblCellMar>
        </w:tblPrEx>
        <w:trPr>
          <w:gridAfter w:val="1"/>
          <w:wAfter w:w="343" w:type="dxa"/>
          <w:trHeight w:val="147"/>
          <w:jc w:val="center"/>
        </w:trPr>
        <w:tc>
          <w:tcPr>
            <w:tcW w:w="3775"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275265" w:rsidRDefault="00233F4D" w:rsidP="003F4B71">
            <w:pPr>
              <w:spacing w:line="280" w:lineRule="exact"/>
              <w:ind w:left="72"/>
              <w:rPr>
                <w:rtl/>
              </w:rPr>
            </w:pPr>
            <w:r>
              <w:rPr>
                <w:rFonts w:hint="cs"/>
                <w:rtl/>
              </w:rPr>
              <w:t>(هـ) الصيادلة</w:t>
            </w:r>
          </w:p>
          <w:p w:rsidR="00275265" w:rsidRDefault="00275265" w:rsidP="003F4B71">
            <w:pPr>
              <w:spacing w:line="280" w:lineRule="exact"/>
              <w:ind w:left="72"/>
              <w:rPr>
                <w:rFonts w:hint="cs"/>
                <w:rtl/>
              </w:rPr>
            </w:pPr>
            <w:r>
              <w:rPr>
                <w:rFonts w:hint="cs"/>
                <w:rtl/>
              </w:rPr>
              <w:t>- بمن فيهم النساء</w:t>
            </w:r>
          </w:p>
        </w:tc>
        <w:tc>
          <w:tcPr>
            <w:tcW w:w="1339"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857 21</w:t>
            </w: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161 22</w:t>
            </w: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774 23</w:t>
            </w:r>
          </w:p>
        </w:tc>
        <w:tc>
          <w:tcPr>
            <w:tcW w:w="1343" w:type="dxa"/>
            <w:gridSpan w:val="2"/>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p>
        </w:tc>
      </w:tr>
      <w:tr w:rsidR="00275265">
        <w:tblPrEx>
          <w:tblCellMar>
            <w:top w:w="0" w:type="dxa"/>
            <w:bottom w:w="0" w:type="dxa"/>
          </w:tblCellMar>
        </w:tblPrEx>
        <w:trPr>
          <w:gridAfter w:val="1"/>
          <w:wAfter w:w="343" w:type="dxa"/>
          <w:trHeight w:val="147"/>
          <w:jc w:val="center"/>
        </w:trPr>
        <w:tc>
          <w:tcPr>
            <w:tcW w:w="3775" w:type="dxa"/>
            <w:gridSpan w:val="2"/>
            <w:vMerge/>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p>
        </w:tc>
        <w:tc>
          <w:tcPr>
            <w:tcW w:w="1339"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258 19</w:t>
            </w: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510 19</w:t>
            </w: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512 20</w:t>
            </w:r>
          </w:p>
        </w:tc>
        <w:tc>
          <w:tcPr>
            <w:tcW w:w="1343" w:type="dxa"/>
            <w:gridSpan w:val="2"/>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p>
        </w:tc>
      </w:tr>
      <w:tr w:rsidR="00275265">
        <w:tblPrEx>
          <w:tblCellMar>
            <w:top w:w="0" w:type="dxa"/>
            <w:bottom w:w="0" w:type="dxa"/>
          </w:tblCellMar>
        </w:tblPrEx>
        <w:trPr>
          <w:gridAfter w:val="1"/>
          <w:wAfter w:w="343" w:type="dxa"/>
          <w:trHeight w:val="305"/>
          <w:jc w:val="center"/>
        </w:trPr>
        <w:tc>
          <w:tcPr>
            <w:tcW w:w="3775" w:type="dxa"/>
            <w:gridSpan w:val="2"/>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(و) الممرضات</w:t>
            </w:r>
          </w:p>
        </w:tc>
        <w:tc>
          <w:tcPr>
            <w:tcW w:w="1339"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153 197</w:t>
            </w: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632 189</w:t>
            </w: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491 186</w:t>
            </w:r>
          </w:p>
        </w:tc>
        <w:tc>
          <w:tcPr>
            <w:tcW w:w="1343" w:type="dxa"/>
            <w:gridSpan w:val="2"/>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p>
        </w:tc>
      </w:tr>
      <w:tr w:rsidR="00275265">
        <w:tblPrEx>
          <w:tblCellMar>
            <w:top w:w="0" w:type="dxa"/>
            <w:bottom w:w="0" w:type="dxa"/>
          </w:tblCellMar>
        </w:tblPrEx>
        <w:trPr>
          <w:gridAfter w:val="1"/>
          <w:wAfter w:w="343" w:type="dxa"/>
          <w:trHeight w:val="305"/>
          <w:jc w:val="center"/>
        </w:trPr>
        <w:tc>
          <w:tcPr>
            <w:tcW w:w="3775" w:type="dxa"/>
            <w:gridSpan w:val="2"/>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(ز) القابلات</w:t>
            </w:r>
          </w:p>
        </w:tc>
        <w:tc>
          <w:tcPr>
            <w:tcW w:w="1339"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683 22</w:t>
            </w: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997 21</w:t>
            </w: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r>
              <w:rPr>
                <w:rFonts w:hint="cs"/>
                <w:rtl/>
              </w:rPr>
              <w:t>997 21</w:t>
            </w:r>
          </w:p>
        </w:tc>
        <w:tc>
          <w:tcPr>
            <w:tcW w:w="1343" w:type="dxa"/>
            <w:gridSpan w:val="2"/>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280" w:lineRule="exact"/>
              <w:ind w:left="72"/>
              <w:rPr>
                <w:rFonts w:hint="cs"/>
                <w:rtl/>
              </w:rPr>
            </w:pPr>
          </w:p>
        </w:tc>
      </w:tr>
      <w:tr w:rsidR="00275265">
        <w:tblPrEx>
          <w:tblCellMar>
            <w:top w:w="0" w:type="dxa"/>
            <w:bottom w:w="0" w:type="dxa"/>
          </w:tblCellMar>
        </w:tblPrEx>
        <w:trPr>
          <w:gridAfter w:val="1"/>
          <w:wAfter w:w="343" w:type="dxa"/>
          <w:trHeight w:val="305"/>
          <w:jc w:val="center"/>
        </w:trPr>
        <w:tc>
          <w:tcPr>
            <w:tcW w:w="9030" w:type="dxa"/>
            <w:gridSpan w:val="7"/>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300" w:lineRule="exact"/>
              <w:ind w:left="72"/>
              <w:rPr>
                <w:rFonts w:hint="cs"/>
                <w:rtl/>
              </w:rPr>
            </w:pPr>
            <w:r>
              <w:rPr>
                <w:rFonts w:hint="cs"/>
                <w:rtl/>
              </w:rPr>
              <w:t>المشاورات</w:t>
            </w:r>
            <w:r w:rsidR="00233F4D">
              <w:rPr>
                <w:rFonts w:hint="cs"/>
                <w:rtl/>
              </w:rPr>
              <w:t xml:space="preserve"> (بالآلاف فيما عدا النقطة هـ</w:t>
            </w:r>
          </w:p>
        </w:tc>
      </w:tr>
      <w:tr w:rsidR="00275265">
        <w:tblPrEx>
          <w:tblCellMar>
            <w:top w:w="0" w:type="dxa"/>
            <w:bottom w:w="0" w:type="dxa"/>
          </w:tblCellMar>
        </w:tblPrEx>
        <w:trPr>
          <w:gridAfter w:val="1"/>
          <w:wAfter w:w="343" w:type="dxa"/>
          <w:trHeight w:val="341"/>
          <w:jc w:val="center"/>
        </w:trPr>
        <w:tc>
          <w:tcPr>
            <w:tcW w:w="3775" w:type="dxa"/>
            <w:gridSpan w:val="2"/>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300" w:lineRule="exact"/>
              <w:ind w:left="72"/>
              <w:rPr>
                <w:rFonts w:hint="cs"/>
                <w:rtl/>
              </w:rPr>
            </w:pPr>
            <w:r>
              <w:rPr>
                <w:rFonts w:hint="cs"/>
                <w:rtl/>
              </w:rPr>
              <w:t>(أ) المجموع</w:t>
            </w:r>
          </w:p>
        </w:tc>
        <w:tc>
          <w:tcPr>
            <w:tcW w:w="1339"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300" w:lineRule="exact"/>
              <w:ind w:left="72"/>
              <w:rPr>
                <w:rFonts w:hint="cs"/>
                <w:rtl/>
              </w:rPr>
            </w:pPr>
            <w:r>
              <w:rPr>
                <w:rFonts w:hint="cs"/>
                <w:rtl/>
              </w:rPr>
              <w:t>683 206</w:t>
            </w: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300" w:lineRule="exact"/>
              <w:ind w:left="72"/>
              <w:rPr>
                <w:rFonts w:hint="cs"/>
                <w:rtl/>
              </w:rPr>
            </w:pPr>
            <w:r>
              <w:rPr>
                <w:rFonts w:hint="cs"/>
                <w:rtl/>
              </w:rPr>
              <w:t>085 209</w:t>
            </w: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300" w:lineRule="exact"/>
              <w:ind w:left="72"/>
              <w:rPr>
                <w:rFonts w:hint="cs"/>
                <w:rtl/>
              </w:rPr>
            </w:pPr>
            <w:r>
              <w:rPr>
                <w:rFonts w:hint="cs"/>
                <w:rtl/>
              </w:rPr>
              <w:t>820 234</w:t>
            </w:r>
          </w:p>
        </w:tc>
        <w:tc>
          <w:tcPr>
            <w:tcW w:w="1343" w:type="dxa"/>
            <w:gridSpan w:val="2"/>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300" w:lineRule="exact"/>
              <w:ind w:left="72"/>
              <w:rPr>
                <w:rFonts w:hint="cs"/>
                <w:rtl/>
              </w:rPr>
            </w:pPr>
            <w:r>
              <w:rPr>
                <w:rFonts w:hint="cs"/>
                <w:rtl/>
              </w:rPr>
              <w:t>933 238</w:t>
            </w:r>
          </w:p>
        </w:tc>
      </w:tr>
      <w:tr w:rsidR="00275265">
        <w:tblPrEx>
          <w:tblCellMar>
            <w:top w:w="0" w:type="dxa"/>
            <w:bottom w:w="0" w:type="dxa"/>
          </w:tblCellMar>
        </w:tblPrEx>
        <w:trPr>
          <w:gridAfter w:val="1"/>
          <w:wAfter w:w="343" w:type="dxa"/>
          <w:trHeight w:val="305"/>
          <w:jc w:val="center"/>
        </w:trPr>
        <w:tc>
          <w:tcPr>
            <w:tcW w:w="3775" w:type="dxa"/>
            <w:gridSpan w:val="2"/>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300" w:lineRule="exact"/>
              <w:ind w:left="72"/>
              <w:rPr>
                <w:rFonts w:hint="cs"/>
                <w:rtl/>
              </w:rPr>
            </w:pPr>
            <w:r>
              <w:rPr>
                <w:rFonts w:hint="cs"/>
                <w:rtl/>
              </w:rPr>
              <w:t>(ب) للنساء (في عيادات أمراض النساء)</w:t>
            </w:r>
          </w:p>
        </w:tc>
        <w:tc>
          <w:tcPr>
            <w:tcW w:w="1339"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300" w:lineRule="exact"/>
              <w:ind w:left="72"/>
              <w:rPr>
                <w:rFonts w:hint="cs"/>
                <w:rtl/>
              </w:rPr>
            </w:pPr>
            <w:r>
              <w:rPr>
                <w:rFonts w:hint="cs"/>
                <w:rtl/>
              </w:rPr>
              <w:t>242 6</w:t>
            </w: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300" w:lineRule="exact"/>
              <w:ind w:left="72"/>
              <w:rPr>
                <w:rFonts w:hint="cs"/>
                <w:rtl/>
              </w:rPr>
            </w:pPr>
            <w:r>
              <w:rPr>
                <w:rFonts w:hint="cs"/>
                <w:rtl/>
              </w:rPr>
              <w:t>228 3</w:t>
            </w: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300" w:lineRule="exact"/>
              <w:ind w:left="72"/>
              <w:rPr>
                <w:rFonts w:hint="cs"/>
                <w:rtl/>
              </w:rPr>
            </w:pPr>
          </w:p>
        </w:tc>
        <w:tc>
          <w:tcPr>
            <w:tcW w:w="1343" w:type="dxa"/>
            <w:gridSpan w:val="2"/>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300" w:lineRule="exact"/>
              <w:ind w:left="72"/>
              <w:rPr>
                <w:rFonts w:hint="cs"/>
                <w:rtl/>
              </w:rPr>
            </w:pPr>
          </w:p>
        </w:tc>
      </w:tr>
      <w:tr w:rsidR="00275265">
        <w:tblPrEx>
          <w:tblCellMar>
            <w:top w:w="0" w:type="dxa"/>
            <w:bottom w:w="0" w:type="dxa"/>
          </w:tblCellMar>
        </w:tblPrEx>
        <w:trPr>
          <w:gridAfter w:val="1"/>
          <w:wAfter w:w="343" w:type="dxa"/>
          <w:trHeight w:val="305"/>
          <w:jc w:val="center"/>
        </w:trPr>
        <w:tc>
          <w:tcPr>
            <w:tcW w:w="3775" w:type="dxa"/>
            <w:gridSpan w:val="2"/>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300" w:lineRule="exact"/>
              <w:ind w:left="72"/>
              <w:rPr>
                <w:rFonts w:hint="cs"/>
                <w:rtl/>
              </w:rPr>
            </w:pPr>
            <w:r>
              <w:rPr>
                <w:rFonts w:hint="cs"/>
                <w:rtl/>
              </w:rPr>
              <w:t>(ج) للأطفال (في عيادات الأطفال)</w:t>
            </w:r>
          </w:p>
        </w:tc>
        <w:tc>
          <w:tcPr>
            <w:tcW w:w="1339"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300" w:lineRule="exact"/>
              <w:ind w:left="72"/>
              <w:rPr>
                <w:rFonts w:hint="cs"/>
                <w:rtl/>
              </w:rPr>
            </w:pPr>
            <w:r>
              <w:rPr>
                <w:rFonts w:hint="cs"/>
                <w:rtl/>
              </w:rPr>
              <w:t>627 25</w:t>
            </w: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300" w:lineRule="exact"/>
              <w:ind w:left="72"/>
              <w:rPr>
                <w:rFonts w:hint="cs"/>
                <w:rtl/>
              </w:rPr>
            </w:pPr>
            <w:r>
              <w:rPr>
                <w:rFonts w:hint="cs"/>
                <w:rtl/>
              </w:rPr>
              <w:t>654 17</w:t>
            </w: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300" w:lineRule="exact"/>
              <w:ind w:left="72"/>
              <w:rPr>
                <w:rFonts w:hint="cs"/>
                <w:rtl/>
              </w:rPr>
            </w:pPr>
          </w:p>
        </w:tc>
        <w:tc>
          <w:tcPr>
            <w:tcW w:w="1343" w:type="dxa"/>
            <w:gridSpan w:val="2"/>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300" w:lineRule="exact"/>
              <w:ind w:left="72"/>
              <w:rPr>
                <w:rFonts w:hint="cs"/>
                <w:rtl/>
              </w:rPr>
            </w:pPr>
          </w:p>
        </w:tc>
      </w:tr>
      <w:tr w:rsidR="00275265">
        <w:tblPrEx>
          <w:tblCellMar>
            <w:top w:w="0" w:type="dxa"/>
            <w:bottom w:w="0" w:type="dxa"/>
          </w:tblCellMar>
        </w:tblPrEx>
        <w:trPr>
          <w:gridAfter w:val="1"/>
          <w:wAfter w:w="343" w:type="dxa"/>
          <w:trHeight w:val="305"/>
          <w:jc w:val="center"/>
        </w:trPr>
        <w:tc>
          <w:tcPr>
            <w:tcW w:w="3775" w:type="dxa"/>
            <w:gridSpan w:val="2"/>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300" w:lineRule="exact"/>
              <w:ind w:left="72"/>
              <w:rPr>
                <w:rFonts w:hint="cs"/>
                <w:rtl/>
              </w:rPr>
            </w:pPr>
            <w:r>
              <w:rPr>
                <w:rFonts w:hint="cs"/>
                <w:rtl/>
              </w:rPr>
              <w:t>(د) في الريف</w:t>
            </w:r>
          </w:p>
        </w:tc>
        <w:tc>
          <w:tcPr>
            <w:tcW w:w="1339"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300" w:lineRule="exact"/>
              <w:ind w:left="72"/>
              <w:rPr>
                <w:rFonts w:hint="cs"/>
                <w:rtl/>
              </w:rPr>
            </w:pPr>
            <w:r>
              <w:rPr>
                <w:rFonts w:hint="cs"/>
                <w:rtl/>
              </w:rPr>
              <w:t>647 31</w:t>
            </w: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300" w:lineRule="exact"/>
              <w:ind w:left="72"/>
              <w:rPr>
                <w:rFonts w:hint="cs"/>
                <w:rtl/>
              </w:rPr>
            </w:pPr>
            <w:r>
              <w:rPr>
                <w:rFonts w:hint="cs"/>
                <w:rtl/>
              </w:rPr>
              <w:t>355 32</w:t>
            </w: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300" w:lineRule="exact"/>
              <w:ind w:left="72"/>
              <w:rPr>
                <w:rFonts w:hint="cs"/>
                <w:rtl/>
              </w:rPr>
            </w:pPr>
            <w:r>
              <w:rPr>
                <w:rFonts w:hint="cs"/>
                <w:rtl/>
              </w:rPr>
              <w:t>408 34</w:t>
            </w:r>
          </w:p>
        </w:tc>
        <w:tc>
          <w:tcPr>
            <w:tcW w:w="1343" w:type="dxa"/>
            <w:gridSpan w:val="2"/>
            <w:tcBorders>
              <w:top w:val="single" w:sz="4" w:space="0" w:color="auto"/>
              <w:left w:val="single" w:sz="4" w:space="0" w:color="auto"/>
              <w:bottom w:val="single" w:sz="4" w:space="0" w:color="auto"/>
              <w:right w:val="single" w:sz="4" w:space="0" w:color="auto"/>
            </w:tcBorders>
            <w:shd w:val="clear" w:color="auto" w:fill="auto"/>
          </w:tcPr>
          <w:p w:rsidR="00275265" w:rsidRDefault="00275265" w:rsidP="003F4B71">
            <w:pPr>
              <w:spacing w:line="300" w:lineRule="exact"/>
              <w:ind w:left="72"/>
              <w:rPr>
                <w:rFonts w:hint="cs"/>
                <w:rtl/>
              </w:rPr>
            </w:pPr>
          </w:p>
        </w:tc>
      </w:tr>
      <w:tr w:rsidR="00275265">
        <w:tblPrEx>
          <w:tblCellMar>
            <w:top w:w="0" w:type="dxa"/>
            <w:bottom w:w="0" w:type="dxa"/>
          </w:tblCellMar>
        </w:tblPrEx>
        <w:trPr>
          <w:gridAfter w:val="1"/>
          <w:wAfter w:w="343" w:type="dxa"/>
          <w:trHeight w:val="305"/>
          <w:jc w:val="center"/>
        </w:trPr>
        <w:tc>
          <w:tcPr>
            <w:tcW w:w="3775" w:type="dxa"/>
            <w:gridSpan w:val="2"/>
            <w:tcBorders>
              <w:top w:val="single" w:sz="4" w:space="0" w:color="auto"/>
              <w:left w:val="single" w:sz="4" w:space="0" w:color="auto"/>
              <w:bottom w:val="single" w:sz="4" w:space="0" w:color="auto"/>
            </w:tcBorders>
            <w:shd w:val="clear" w:color="auto" w:fill="auto"/>
          </w:tcPr>
          <w:p w:rsidR="00275265" w:rsidRDefault="00275265" w:rsidP="003F4B71">
            <w:pPr>
              <w:spacing w:line="300" w:lineRule="exact"/>
              <w:ind w:left="72"/>
              <w:rPr>
                <w:rFonts w:hint="cs"/>
                <w:rtl/>
              </w:rPr>
            </w:pPr>
            <w:r>
              <w:rPr>
                <w:rFonts w:hint="cs"/>
                <w:rtl/>
              </w:rPr>
              <w:t>(هـ) عن كل فرد</w:t>
            </w:r>
          </w:p>
        </w:tc>
        <w:tc>
          <w:tcPr>
            <w:tcW w:w="1339" w:type="dxa"/>
            <w:tcBorders>
              <w:top w:val="single" w:sz="4" w:space="0" w:color="auto"/>
              <w:bottom w:val="single" w:sz="4" w:space="0" w:color="auto"/>
            </w:tcBorders>
            <w:shd w:val="clear" w:color="auto" w:fill="auto"/>
          </w:tcPr>
          <w:p w:rsidR="00275265" w:rsidRDefault="00275265" w:rsidP="003F4B71">
            <w:pPr>
              <w:spacing w:line="300" w:lineRule="exact"/>
              <w:ind w:left="72"/>
              <w:rPr>
                <w:rFonts w:hint="cs"/>
                <w:rtl/>
              </w:rPr>
            </w:pPr>
            <w:r>
              <w:rPr>
                <w:rFonts w:hint="cs"/>
                <w:rtl/>
              </w:rPr>
              <w:t>5.3</w:t>
            </w:r>
          </w:p>
        </w:tc>
        <w:tc>
          <w:tcPr>
            <w:tcW w:w="1236" w:type="dxa"/>
            <w:tcBorders>
              <w:top w:val="single" w:sz="4" w:space="0" w:color="auto"/>
              <w:bottom w:val="single" w:sz="4" w:space="0" w:color="auto"/>
            </w:tcBorders>
            <w:shd w:val="clear" w:color="auto" w:fill="auto"/>
          </w:tcPr>
          <w:p w:rsidR="00275265" w:rsidRDefault="00275265" w:rsidP="003F4B71">
            <w:pPr>
              <w:spacing w:line="300" w:lineRule="exact"/>
              <w:ind w:left="72"/>
              <w:rPr>
                <w:rFonts w:hint="cs"/>
                <w:rtl/>
              </w:rPr>
            </w:pPr>
            <w:r>
              <w:rPr>
                <w:rFonts w:hint="cs"/>
                <w:rtl/>
              </w:rPr>
              <w:t>5.4</w:t>
            </w:r>
          </w:p>
        </w:tc>
        <w:tc>
          <w:tcPr>
            <w:tcW w:w="1337" w:type="dxa"/>
            <w:tcBorders>
              <w:top w:val="single" w:sz="4" w:space="0" w:color="auto"/>
              <w:bottom w:val="single" w:sz="4" w:space="0" w:color="auto"/>
              <w:right w:val="single" w:sz="4" w:space="0" w:color="auto"/>
            </w:tcBorders>
            <w:shd w:val="clear" w:color="auto" w:fill="auto"/>
          </w:tcPr>
          <w:p w:rsidR="00275265" w:rsidRDefault="00275265" w:rsidP="003F4B71">
            <w:pPr>
              <w:spacing w:line="300" w:lineRule="exact"/>
              <w:ind w:left="72"/>
              <w:rPr>
                <w:rFonts w:hint="cs"/>
                <w:rtl/>
              </w:rPr>
            </w:pPr>
            <w:r>
              <w:rPr>
                <w:rFonts w:hint="cs"/>
                <w:rtl/>
              </w:rPr>
              <w:t>6.1</w:t>
            </w:r>
          </w:p>
        </w:tc>
        <w:tc>
          <w:tcPr>
            <w:tcW w:w="1343" w:type="dxa"/>
            <w:gridSpan w:val="2"/>
            <w:tcBorders>
              <w:top w:val="single" w:sz="4" w:space="0" w:color="auto"/>
              <w:bottom w:val="single" w:sz="4" w:space="0" w:color="auto"/>
              <w:right w:val="single" w:sz="4" w:space="0" w:color="auto"/>
            </w:tcBorders>
            <w:shd w:val="clear" w:color="auto" w:fill="auto"/>
          </w:tcPr>
          <w:p w:rsidR="00275265" w:rsidRDefault="00275265" w:rsidP="003F4B71">
            <w:pPr>
              <w:spacing w:line="300" w:lineRule="exact"/>
              <w:ind w:left="72"/>
              <w:rPr>
                <w:rFonts w:hint="cs"/>
                <w:rtl/>
              </w:rPr>
            </w:pPr>
          </w:p>
        </w:tc>
      </w:tr>
    </w:tbl>
    <w:p w:rsidR="00275265" w:rsidRPr="0078540B" w:rsidRDefault="00275265" w:rsidP="00275265">
      <w:pPr>
        <w:pStyle w:val="SingleTxt"/>
        <w:spacing w:after="0" w:line="120" w:lineRule="exact"/>
        <w:rPr>
          <w:rFonts w:hint="cs"/>
          <w:sz w:val="10"/>
          <w:szCs w:val="28"/>
          <w:rtl/>
        </w:rPr>
      </w:pPr>
    </w:p>
    <w:p w:rsidR="00275265" w:rsidRPr="00277077" w:rsidRDefault="00233F4D" w:rsidP="00275265">
      <w:pPr>
        <w:pStyle w:val="SingleTxt"/>
        <w:rPr>
          <w:rFonts w:hint="cs"/>
          <w:rtl/>
        </w:rPr>
      </w:pPr>
      <w:r w:rsidRPr="00277077">
        <w:rPr>
          <w:rFonts w:hint="cs"/>
          <w:rtl/>
        </w:rPr>
        <w:t>تدل الفراغات على عدم توفر بيانات.</w:t>
      </w:r>
    </w:p>
    <w:p w:rsidR="00275265" w:rsidRDefault="00275265" w:rsidP="00275265">
      <w:pPr>
        <w:pStyle w:val="SingleTxt"/>
        <w:rPr>
          <w:rFonts w:hint="cs"/>
          <w:b/>
          <w:bCs/>
          <w:rtl/>
        </w:rPr>
      </w:pPr>
    </w:p>
    <w:p w:rsidR="00275265" w:rsidRPr="00A330F1" w:rsidRDefault="00275265" w:rsidP="00275265">
      <w:pPr>
        <w:pStyle w:val="SingleTxt"/>
        <w:rPr>
          <w:rFonts w:hint="cs"/>
          <w:rtl/>
        </w:rPr>
      </w:pPr>
      <w:r w:rsidRPr="00A330F1">
        <w:rPr>
          <w:rFonts w:hint="cs"/>
          <w:rtl/>
        </w:rPr>
        <w:t>الجدول ألف -12-2</w:t>
      </w:r>
    </w:p>
    <w:p w:rsidR="00275265" w:rsidRDefault="00275265" w:rsidP="00275265">
      <w:pPr>
        <w:pStyle w:val="SingleTxt"/>
        <w:rPr>
          <w:rFonts w:hint="cs"/>
          <w:b/>
          <w:bCs/>
          <w:rtl/>
        </w:rPr>
      </w:pPr>
      <w:r>
        <w:rPr>
          <w:rFonts w:hint="cs"/>
          <w:b/>
          <w:bCs/>
          <w:rtl/>
        </w:rPr>
        <w:t>عدد عمليات الإجهاض</w:t>
      </w:r>
    </w:p>
    <w:p w:rsidR="00275265" w:rsidRDefault="00275265" w:rsidP="00275265">
      <w:pPr>
        <w:pStyle w:val="SingleTxt"/>
        <w:spacing w:after="0" w:line="120" w:lineRule="exact"/>
        <w:rPr>
          <w:rFonts w:hint="cs"/>
          <w:b/>
          <w:bCs/>
          <w:sz w:val="10"/>
          <w:rtl/>
        </w:rPr>
      </w:pPr>
    </w:p>
    <w:p w:rsidR="00275265" w:rsidRPr="005F0C39" w:rsidRDefault="00275265" w:rsidP="00275265">
      <w:pPr>
        <w:pStyle w:val="SingleTxt"/>
        <w:spacing w:after="0" w:line="120" w:lineRule="exact"/>
        <w:rPr>
          <w:rFonts w:hint="cs"/>
          <w:b/>
          <w:bCs/>
          <w:sz w:val="10"/>
          <w:rtl/>
        </w:rPr>
      </w:pPr>
    </w:p>
    <w:tbl>
      <w:tblPr>
        <w:bidiVisual/>
        <w:tblW w:w="7109" w:type="dxa"/>
        <w:jc w:val="center"/>
        <w:tblInd w:w="1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991"/>
        <w:gridCol w:w="1616"/>
        <w:gridCol w:w="1854"/>
        <w:gridCol w:w="1648"/>
      </w:tblGrid>
      <w:tr w:rsidR="00275265">
        <w:tblPrEx>
          <w:tblCellMar>
            <w:top w:w="0" w:type="dxa"/>
            <w:bottom w:w="0" w:type="dxa"/>
          </w:tblCellMar>
        </w:tblPrEx>
        <w:trPr>
          <w:jc w:val="center"/>
        </w:trPr>
        <w:tc>
          <w:tcPr>
            <w:tcW w:w="1991" w:type="dxa"/>
            <w:shd w:val="clear" w:color="auto" w:fill="auto"/>
            <w:tcMar>
              <w:left w:w="0" w:type="dxa"/>
              <w:right w:w="0" w:type="dxa"/>
            </w:tcMar>
          </w:tcPr>
          <w:p w:rsidR="00275265" w:rsidRPr="005F0C39" w:rsidRDefault="00275265" w:rsidP="003F4B71">
            <w:pPr>
              <w:rPr>
                <w:rFonts w:hint="cs"/>
                <w:b/>
                <w:bCs/>
                <w:rtl/>
              </w:rPr>
            </w:pPr>
            <w:r w:rsidRPr="005F0C39">
              <w:rPr>
                <w:rFonts w:hint="cs"/>
                <w:b/>
                <w:bCs/>
                <w:rtl/>
              </w:rPr>
              <w:t>السنة</w:t>
            </w:r>
          </w:p>
        </w:tc>
        <w:tc>
          <w:tcPr>
            <w:tcW w:w="1616" w:type="dxa"/>
            <w:shd w:val="clear" w:color="auto" w:fill="auto"/>
          </w:tcPr>
          <w:p w:rsidR="00275265" w:rsidRPr="005F0C39" w:rsidRDefault="00275265" w:rsidP="00233F4D">
            <w:pPr>
              <w:jc w:val="left"/>
              <w:rPr>
                <w:rFonts w:hint="cs"/>
                <w:b/>
                <w:bCs/>
                <w:rtl/>
              </w:rPr>
            </w:pPr>
            <w:r w:rsidRPr="005F0C39">
              <w:rPr>
                <w:rFonts w:hint="cs"/>
                <w:b/>
                <w:bCs/>
                <w:rtl/>
              </w:rPr>
              <w:t>الولادات الحية</w:t>
            </w:r>
          </w:p>
        </w:tc>
        <w:tc>
          <w:tcPr>
            <w:tcW w:w="1854" w:type="dxa"/>
            <w:shd w:val="clear" w:color="auto" w:fill="auto"/>
          </w:tcPr>
          <w:p w:rsidR="00275265" w:rsidRPr="005F0C39" w:rsidRDefault="00275265" w:rsidP="00233F4D">
            <w:pPr>
              <w:jc w:val="left"/>
              <w:rPr>
                <w:rFonts w:hint="cs"/>
                <w:b/>
                <w:bCs/>
                <w:rtl/>
              </w:rPr>
            </w:pPr>
            <w:r w:rsidRPr="005F0C39">
              <w:rPr>
                <w:rFonts w:hint="cs"/>
                <w:b/>
                <w:bCs/>
                <w:rtl/>
              </w:rPr>
              <w:t>عمليات الإجهاض</w:t>
            </w:r>
          </w:p>
        </w:tc>
        <w:tc>
          <w:tcPr>
            <w:tcW w:w="1648" w:type="dxa"/>
            <w:shd w:val="clear" w:color="auto" w:fill="auto"/>
          </w:tcPr>
          <w:p w:rsidR="00275265" w:rsidRPr="005F0C39" w:rsidRDefault="00275265" w:rsidP="00233F4D">
            <w:pPr>
              <w:jc w:val="left"/>
              <w:rPr>
                <w:rFonts w:hint="cs"/>
                <w:b/>
                <w:bCs/>
                <w:rtl/>
              </w:rPr>
            </w:pPr>
            <w:r w:rsidRPr="005F0C39">
              <w:rPr>
                <w:rFonts w:hint="cs"/>
                <w:b/>
                <w:bCs/>
                <w:rtl/>
              </w:rPr>
              <w:t>حالات الإجهاض العفوي</w:t>
            </w:r>
          </w:p>
        </w:tc>
      </w:tr>
      <w:tr w:rsidR="00275265">
        <w:tblPrEx>
          <w:tblCellMar>
            <w:top w:w="0" w:type="dxa"/>
            <w:bottom w:w="0" w:type="dxa"/>
          </w:tblCellMar>
        </w:tblPrEx>
        <w:trPr>
          <w:jc w:val="center"/>
        </w:trPr>
        <w:tc>
          <w:tcPr>
            <w:tcW w:w="1991" w:type="dxa"/>
            <w:shd w:val="clear" w:color="auto" w:fill="auto"/>
          </w:tcPr>
          <w:p w:rsidR="00275265" w:rsidRPr="00B6719A" w:rsidRDefault="00275265" w:rsidP="003F4B71">
            <w:pPr>
              <w:rPr>
                <w:rFonts w:hint="cs"/>
                <w:b/>
                <w:bCs/>
                <w:rtl/>
              </w:rPr>
            </w:pPr>
            <w:r w:rsidRPr="00B6719A">
              <w:rPr>
                <w:rFonts w:hint="cs"/>
                <w:b/>
                <w:bCs/>
                <w:rtl/>
              </w:rPr>
              <w:t>1999</w:t>
            </w:r>
          </w:p>
        </w:tc>
        <w:tc>
          <w:tcPr>
            <w:tcW w:w="1616" w:type="dxa"/>
            <w:shd w:val="clear" w:color="auto" w:fill="auto"/>
          </w:tcPr>
          <w:p w:rsidR="00275265" w:rsidRDefault="00275265" w:rsidP="003F4B71">
            <w:pPr>
              <w:rPr>
                <w:rFonts w:hint="cs"/>
                <w:rtl/>
              </w:rPr>
            </w:pPr>
            <w:r>
              <w:rPr>
                <w:rFonts w:hint="cs"/>
                <w:rtl/>
              </w:rPr>
              <w:t>000 382</w:t>
            </w:r>
          </w:p>
        </w:tc>
        <w:tc>
          <w:tcPr>
            <w:tcW w:w="1854" w:type="dxa"/>
            <w:shd w:val="clear" w:color="auto" w:fill="auto"/>
          </w:tcPr>
          <w:p w:rsidR="00275265" w:rsidRDefault="00275265" w:rsidP="003F4B71">
            <w:pPr>
              <w:rPr>
                <w:rFonts w:hint="cs"/>
                <w:rtl/>
              </w:rPr>
            </w:pPr>
            <w:r>
              <w:rPr>
                <w:rFonts w:hint="cs"/>
                <w:rtl/>
              </w:rPr>
              <w:t>151</w:t>
            </w:r>
          </w:p>
        </w:tc>
        <w:tc>
          <w:tcPr>
            <w:tcW w:w="1648" w:type="dxa"/>
            <w:shd w:val="clear" w:color="auto" w:fill="auto"/>
          </w:tcPr>
          <w:p w:rsidR="00275265" w:rsidRDefault="00275265" w:rsidP="003F4B71">
            <w:pPr>
              <w:rPr>
                <w:rFonts w:hint="cs"/>
                <w:rtl/>
              </w:rPr>
            </w:pPr>
            <w:r>
              <w:rPr>
                <w:rFonts w:hint="cs"/>
                <w:rtl/>
              </w:rPr>
              <w:t>568 41</w:t>
            </w:r>
          </w:p>
        </w:tc>
      </w:tr>
      <w:tr w:rsidR="00275265">
        <w:tblPrEx>
          <w:tblCellMar>
            <w:top w:w="0" w:type="dxa"/>
            <w:bottom w:w="0" w:type="dxa"/>
          </w:tblCellMar>
        </w:tblPrEx>
        <w:trPr>
          <w:jc w:val="center"/>
        </w:trPr>
        <w:tc>
          <w:tcPr>
            <w:tcW w:w="1991" w:type="dxa"/>
            <w:shd w:val="clear" w:color="auto" w:fill="auto"/>
          </w:tcPr>
          <w:p w:rsidR="00275265" w:rsidRPr="00B6719A" w:rsidRDefault="00275265" w:rsidP="003F4B71">
            <w:pPr>
              <w:rPr>
                <w:rFonts w:hint="cs"/>
                <w:b/>
                <w:bCs/>
                <w:rtl/>
              </w:rPr>
            </w:pPr>
            <w:r w:rsidRPr="00B6719A">
              <w:rPr>
                <w:rFonts w:hint="cs"/>
                <w:b/>
                <w:bCs/>
                <w:rtl/>
              </w:rPr>
              <w:t>2000</w:t>
            </w:r>
          </w:p>
        </w:tc>
        <w:tc>
          <w:tcPr>
            <w:tcW w:w="1616" w:type="dxa"/>
            <w:shd w:val="clear" w:color="auto" w:fill="auto"/>
          </w:tcPr>
          <w:p w:rsidR="00275265" w:rsidRDefault="00275265" w:rsidP="003F4B71">
            <w:pPr>
              <w:rPr>
                <w:rFonts w:hint="cs"/>
                <w:rtl/>
              </w:rPr>
            </w:pPr>
            <w:r>
              <w:rPr>
                <w:rFonts w:hint="cs"/>
                <w:rtl/>
              </w:rPr>
              <w:t>300 378</w:t>
            </w:r>
          </w:p>
        </w:tc>
        <w:tc>
          <w:tcPr>
            <w:tcW w:w="1854" w:type="dxa"/>
            <w:shd w:val="clear" w:color="auto" w:fill="auto"/>
          </w:tcPr>
          <w:p w:rsidR="00275265" w:rsidRDefault="00275265" w:rsidP="003F4B71">
            <w:pPr>
              <w:rPr>
                <w:rFonts w:hint="cs"/>
                <w:rtl/>
              </w:rPr>
            </w:pPr>
            <w:r>
              <w:rPr>
                <w:rFonts w:hint="cs"/>
                <w:rtl/>
              </w:rPr>
              <w:t>138</w:t>
            </w:r>
          </w:p>
        </w:tc>
        <w:tc>
          <w:tcPr>
            <w:tcW w:w="1648" w:type="dxa"/>
            <w:shd w:val="clear" w:color="auto" w:fill="auto"/>
          </w:tcPr>
          <w:p w:rsidR="00275265" w:rsidRDefault="00275265" w:rsidP="003F4B71">
            <w:pPr>
              <w:rPr>
                <w:rFonts w:hint="cs"/>
                <w:rtl/>
              </w:rPr>
            </w:pPr>
            <w:r>
              <w:rPr>
                <w:rFonts w:hint="cs"/>
                <w:rtl/>
              </w:rPr>
              <w:t>007 41</w:t>
            </w:r>
          </w:p>
        </w:tc>
      </w:tr>
      <w:tr w:rsidR="00275265">
        <w:tblPrEx>
          <w:tblCellMar>
            <w:top w:w="0" w:type="dxa"/>
            <w:bottom w:w="0" w:type="dxa"/>
          </w:tblCellMar>
        </w:tblPrEx>
        <w:trPr>
          <w:jc w:val="center"/>
        </w:trPr>
        <w:tc>
          <w:tcPr>
            <w:tcW w:w="1991" w:type="dxa"/>
            <w:shd w:val="clear" w:color="auto" w:fill="auto"/>
          </w:tcPr>
          <w:p w:rsidR="00275265" w:rsidRPr="00B6719A" w:rsidRDefault="00275265" w:rsidP="003F4B71">
            <w:pPr>
              <w:rPr>
                <w:rFonts w:hint="cs"/>
                <w:b/>
                <w:bCs/>
                <w:rtl/>
              </w:rPr>
            </w:pPr>
            <w:r w:rsidRPr="00B6719A">
              <w:rPr>
                <w:rFonts w:hint="cs"/>
                <w:b/>
                <w:bCs/>
                <w:rtl/>
              </w:rPr>
              <w:t>2001</w:t>
            </w:r>
          </w:p>
        </w:tc>
        <w:tc>
          <w:tcPr>
            <w:tcW w:w="1616" w:type="dxa"/>
            <w:shd w:val="clear" w:color="auto" w:fill="auto"/>
          </w:tcPr>
          <w:p w:rsidR="00275265" w:rsidRDefault="00275265" w:rsidP="003F4B71">
            <w:pPr>
              <w:rPr>
                <w:rFonts w:hint="cs"/>
                <w:rtl/>
              </w:rPr>
            </w:pPr>
            <w:r>
              <w:rPr>
                <w:rFonts w:hint="cs"/>
                <w:rtl/>
              </w:rPr>
              <w:t>200 368</w:t>
            </w:r>
          </w:p>
        </w:tc>
        <w:tc>
          <w:tcPr>
            <w:tcW w:w="1854" w:type="dxa"/>
            <w:shd w:val="clear" w:color="auto" w:fill="auto"/>
          </w:tcPr>
          <w:p w:rsidR="00275265" w:rsidRDefault="00275265" w:rsidP="003F4B71">
            <w:pPr>
              <w:rPr>
                <w:rFonts w:hint="cs"/>
                <w:rtl/>
              </w:rPr>
            </w:pPr>
            <w:r>
              <w:rPr>
                <w:rFonts w:hint="cs"/>
                <w:rtl/>
              </w:rPr>
              <w:t>124</w:t>
            </w:r>
          </w:p>
        </w:tc>
        <w:tc>
          <w:tcPr>
            <w:tcW w:w="1648" w:type="dxa"/>
            <w:shd w:val="clear" w:color="auto" w:fill="auto"/>
          </w:tcPr>
          <w:p w:rsidR="00275265" w:rsidRDefault="00275265" w:rsidP="003F4B71">
            <w:pPr>
              <w:rPr>
                <w:rFonts w:hint="cs"/>
                <w:rtl/>
              </w:rPr>
            </w:pPr>
            <w:r>
              <w:rPr>
                <w:rFonts w:hint="cs"/>
                <w:rtl/>
              </w:rPr>
              <w:t>559 40</w:t>
            </w:r>
          </w:p>
        </w:tc>
      </w:tr>
      <w:tr w:rsidR="00275265">
        <w:tblPrEx>
          <w:tblCellMar>
            <w:top w:w="0" w:type="dxa"/>
            <w:bottom w:w="0" w:type="dxa"/>
          </w:tblCellMar>
        </w:tblPrEx>
        <w:trPr>
          <w:jc w:val="center"/>
        </w:trPr>
        <w:tc>
          <w:tcPr>
            <w:tcW w:w="1991" w:type="dxa"/>
            <w:shd w:val="clear" w:color="auto" w:fill="auto"/>
          </w:tcPr>
          <w:p w:rsidR="00275265" w:rsidRPr="00B6719A" w:rsidRDefault="00275265" w:rsidP="003F4B71">
            <w:pPr>
              <w:rPr>
                <w:rFonts w:hint="cs"/>
                <w:b/>
                <w:bCs/>
                <w:rtl/>
              </w:rPr>
            </w:pPr>
            <w:r w:rsidRPr="00B6719A">
              <w:rPr>
                <w:rFonts w:hint="cs"/>
                <w:b/>
                <w:bCs/>
                <w:rtl/>
              </w:rPr>
              <w:t>2002</w:t>
            </w:r>
          </w:p>
        </w:tc>
        <w:tc>
          <w:tcPr>
            <w:tcW w:w="1616" w:type="dxa"/>
            <w:shd w:val="clear" w:color="auto" w:fill="auto"/>
          </w:tcPr>
          <w:p w:rsidR="00275265" w:rsidRDefault="00275265" w:rsidP="003F4B71">
            <w:pPr>
              <w:rPr>
                <w:rFonts w:hint="cs"/>
                <w:rtl/>
              </w:rPr>
            </w:pPr>
            <w:r>
              <w:rPr>
                <w:rFonts w:hint="cs"/>
                <w:rtl/>
              </w:rPr>
              <w:t>800 353</w:t>
            </w:r>
          </w:p>
        </w:tc>
        <w:tc>
          <w:tcPr>
            <w:tcW w:w="1854" w:type="dxa"/>
            <w:shd w:val="clear" w:color="auto" w:fill="auto"/>
          </w:tcPr>
          <w:p w:rsidR="00275265" w:rsidRDefault="00275265" w:rsidP="003F4B71">
            <w:pPr>
              <w:rPr>
                <w:rFonts w:hint="cs"/>
                <w:rtl/>
              </w:rPr>
            </w:pPr>
            <w:r>
              <w:rPr>
                <w:rFonts w:hint="cs"/>
                <w:rtl/>
              </w:rPr>
              <w:t>159</w:t>
            </w:r>
          </w:p>
        </w:tc>
        <w:tc>
          <w:tcPr>
            <w:tcW w:w="1648" w:type="dxa"/>
            <w:shd w:val="clear" w:color="auto" w:fill="auto"/>
          </w:tcPr>
          <w:p w:rsidR="00275265" w:rsidRDefault="00275265" w:rsidP="003F4B71">
            <w:pPr>
              <w:rPr>
                <w:rFonts w:hint="cs"/>
                <w:rtl/>
              </w:rPr>
            </w:pPr>
            <w:r>
              <w:rPr>
                <w:rFonts w:hint="cs"/>
                <w:rtl/>
              </w:rPr>
              <w:t>707 41</w:t>
            </w:r>
          </w:p>
        </w:tc>
      </w:tr>
    </w:tbl>
    <w:p w:rsidR="00275265" w:rsidRDefault="00275265" w:rsidP="00275265">
      <w:pPr>
        <w:pStyle w:val="SingleTxt"/>
        <w:rPr>
          <w:rFonts w:hint="cs"/>
          <w:b/>
          <w:bCs/>
          <w:rtl/>
        </w:rPr>
      </w:pPr>
    </w:p>
    <w:p w:rsidR="00275265" w:rsidRDefault="00275265" w:rsidP="00275265">
      <w:pPr>
        <w:pStyle w:val="SingleTxt"/>
        <w:rPr>
          <w:rFonts w:hint="cs"/>
          <w:b/>
          <w:bCs/>
          <w:rtl/>
        </w:rPr>
      </w:pPr>
    </w:p>
    <w:p w:rsidR="009C102D" w:rsidRDefault="009C102D" w:rsidP="00275265">
      <w:pPr>
        <w:pStyle w:val="SingleTxt"/>
        <w:rPr>
          <w:rFonts w:hint="cs"/>
          <w:b/>
          <w:bCs/>
          <w:rtl/>
        </w:rPr>
      </w:pPr>
    </w:p>
    <w:p w:rsidR="009C102D" w:rsidRDefault="009C102D" w:rsidP="00275265">
      <w:pPr>
        <w:pStyle w:val="SingleTxt"/>
        <w:rPr>
          <w:rFonts w:hint="cs"/>
          <w:b/>
          <w:bCs/>
          <w:rtl/>
        </w:rPr>
      </w:pPr>
    </w:p>
    <w:p w:rsidR="00275265" w:rsidRPr="00A330F1" w:rsidRDefault="00275265" w:rsidP="00275265">
      <w:pPr>
        <w:pStyle w:val="SingleTxt"/>
        <w:rPr>
          <w:rFonts w:hint="cs"/>
          <w:rtl/>
        </w:rPr>
      </w:pPr>
      <w:r w:rsidRPr="00A330F1">
        <w:rPr>
          <w:rFonts w:hint="cs"/>
          <w:rtl/>
        </w:rPr>
        <w:t>الجدول ألف -12-3</w:t>
      </w:r>
    </w:p>
    <w:p w:rsidR="00275265" w:rsidRDefault="00275265" w:rsidP="00275265">
      <w:pPr>
        <w:pStyle w:val="SingleTxt"/>
        <w:rPr>
          <w:rFonts w:hint="cs"/>
          <w:b/>
          <w:bCs/>
          <w:rtl/>
        </w:rPr>
      </w:pPr>
      <w:r>
        <w:rPr>
          <w:rFonts w:hint="cs"/>
          <w:b/>
          <w:bCs/>
          <w:rtl/>
        </w:rPr>
        <w:t xml:space="preserve">الجرائم المرتكبة في إطار قانون تنظيم الأسرة </w:t>
      </w:r>
    </w:p>
    <w:p w:rsidR="00275265" w:rsidRPr="00A330F1" w:rsidRDefault="00275265" w:rsidP="00275265">
      <w:pPr>
        <w:pStyle w:val="SingleTxt"/>
        <w:spacing w:after="0" w:line="120" w:lineRule="exact"/>
        <w:rPr>
          <w:rFonts w:hint="cs"/>
          <w:b/>
          <w:bCs/>
          <w:sz w:val="10"/>
          <w:rtl/>
        </w:rPr>
      </w:pPr>
    </w:p>
    <w:tbl>
      <w:tblPr>
        <w:bidiVisual/>
        <w:tblW w:w="98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10"/>
        <w:gridCol w:w="1339"/>
        <w:gridCol w:w="1272"/>
        <w:gridCol w:w="1407"/>
        <w:gridCol w:w="1407"/>
        <w:gridCol w:w="1270"/>
        <w:gridCol w:w="1544"/>
      </w:tblGrid>
      <w:tr w:rsidR="00275265">
        <w:tblPrEx>
          <w:tblCellMar>
            <w:top w:w="0" w:type="dxa"/>
            <w:bottom w:w="0" w:type="dxa"/>
          </w:tblCellMar>
        </w:tblPrEx>
        <w:trPr>
          <w:jc w:val="center"/>
        </w:trPr>
        <w:tc>
          <w:tcPr>
            <w:tcW w:w="1610" w:type="dxa"/>
            <w:shd w:val="clear" w:color="auto" w:fill="auto"/>
            <w:tcMar>
              <w:left w:w="0" w:type="dxa"/>
              <w:right w:w="0" w:type="dxa"/>
            </w:tcMar>
          </w:tcPr>
          <w:p w:rsidR="00275265" w:rsidRPr="005F0C39" w:rsidRDefault="00275265" w:rsidP="003F4B71">
            <w:pPr>
              <w:ind w:left="29" w:right="29"/>
              <w:jc w:val="left"/>
              <w:rPr>
                <w:rFonts w:hint="cs"/>
                <w:b/>
                <w:bCs/>
                <w:rtl/>
              </w:rPr>
            </w:pPr>
            <w:r w:rsidRPr="005F0C39">
              <w:rPr>
                <w:rFonts w:hint="cs"/>
                <w:b/>
                <w:bCs/>
                <w:rtl/>
              </w:rPr>
              <w:t>السنة</w:t>
            </w:r>
          </w:p>
        </w:tc>
        <w:tc>
          <w:tcPr>
            <w:tcW w:w="1339" w:type="dxa"/>
            <w:shd w:val="clear" w:color="auto" w:fill="auto"/>
          </w:tcPr>
          <w:p w:rsidR="00275265" w:rsidRPr="005F0C39" w:rsidRDefault="00275265" w:rsidP="003F4B71">
            <w:pPr>
              <w:ind w:left="29" w:right="29"/>
              <w:jc w:val="left"/>
              <w:rPr>
                <w:rFonts w:hint="cs"/>
                <w:b/>
                <w:bCs/>
                <w:rtl/>
              </w:rPr>
            </w:pPr>
            <w:r w:rsidRPr="005F0C39">
              <w:rPr>
                <w:rFonts w:hint="cs"/>
                <w:b/>
                <w:bCs/>
                <w:rtl/>
              </w:rPr>
              <w:t>قتل الوليد</w:t>
            </w:r>
          </w:p>
        </w:tc>
        <w:tc>
          <w:tcPr>
            <w:tcW w:w="1272" w:type="dxa"/>
            <w:shd w:val="clear" w:color="auto" w:fill="auto"/>
          </w:tcPr>
          <w:p w:rsidR="00275265" w:rsidRPr="005F0C39" w:rsidRDefault="00275265" w:rsidP="003F4B71">
            <w:pPr>
              <w:ind w:left="29" w:right="29"/>
              <w:jc w:val="left"/>
              <w:rPr>
                <w:rFonts w:hint="cs"/>
                <w:b/>
                <w:bCs/>
                <w:rtl/>
              </w:rPr>
            </w:pPr>
            <w:r w:rsidRPr="005F0C39">
              <w:rPr>
                <w:rFonts w:hint="cs"/>
                <w:b/>
                <w:bCs/>
                <w:rtl/>
              </w:rPr>
              <w:t>التخلي عن الوليد</w:t>
            </w:r>
          </w:p>
        </w:tc>
        <w:tc>
          <w:tcPr>
            <w:tcW w:w="1407" w:type="dxa"/>
            <w:shd w:val="clear" w:color="auto" w:fill="auto"/>
          </w:tcPr>
          <w:p w:rsidR="00275265" w:rsidRPr="005F0C39" w:rsidRDefault="00275265" w:rsidP="003F4B71">
            <w:pPr>
              <w:ind w:left="29" w:right="29"/>
              <w:jc w:val="left"/>
              <w:rPr>
                <w:rFonts w:hint="cs"/>
                <w:b/>
                <w:bCs/>
                <w:rtl/>
              </w:rPr>
            </w:pPr>
            <w:r w:rsidRPr="005F0C39">
              <w:rPr>
                <w:rFonts w:hint="cs"/>
                <w:b/>
                <w:bCs/>
                <w:rtl/>
              </w:rPr>
              <w:t>التخلي الذي يؤدي إلى الوفاة</w:t>
            </w:r>
          </w:p>
        </w:tc>
        <w:tc>
          <w:tcPr>
            <w:tcW w:w="1407" w:type="dxa"/>
            <w:shd w:val="clear" w:color="auto" w:fill="auto"/>
          </w:tcPr>
          <w:p w:rsidR="00275265" w:rsidRPr="005F0C39" w:rsidRDefault="00275265" w:rsidP="003F4B71">
            <w:pPr>
              <w:ind w:left="29" w:right="29"/>
              <w:jc w:val="left"/>
              <w:rPr>
                <w:rFonts w:hint="cs"/>
                <w:b/>
                <w:bCs/>
                <w:rtl/>
              </w:rPr>
            </w:pPr>
            <w:r w:rsidRPr="005F0C39">
              <w:rPr>
                <w:rFonts w:hint="cs"/>
                <w:b/>
                <w:bCs/>
                <w:rtl/>
              </w:rPr>
              <w:t>الإجهاض بموافقة المرأة</w:t>
            </w:r>
          </w:p>
        </w:tc>
        <w:tc>
          <w:tcPr>
            <w:tcW w:w="1270" w:type="dxa"/>
            <w:shd w:val="clear" w:color="auto" w:fill="auto"/>
          </w:tcPr>
          <w:p w:rsidR="00275265" w:rsidRPr="005F0C39" w:rsidRDefault="00275265" w:rsidP="003F4B71">
            <w:pPr>
              <w:ind w:left="29" w:right="29"/>
              <w:jc w:val="left"/>
              <w:rPr>
                <w:rFonts w:hint="cs"/>
                <w:b/>
                <w:bCs/>
                <w:rtl/>
              </w:rPr>
            </w:pPr>
            <w:r w:rsidRPr="005F0C39">
              <w:rPr>
                <w:rFonts w:hint="cs"/>
                <w:b/>
                <w:bCs/>
                <w:rtl/>
              </w:rPr>
              <w:t>الإجهاض ضد رغبة المرأة</w:t>
            </w:r>
          </w:p>
        </w:tc>
        <w:tc>
          <w:tcPr>
            <w:tcW w:w="1544" w:type="dxa"/>
            <w:shd w:val="clear" w:color="auto" w:fill="auto"/>
          </w:tcPr>
          <w:p w:rsidR="00275265" w:rsidRPr="005F0C39" w:rsidRDefault="00275265" w:rsidP="003F4B71">
            <w:pPr>
              <w:ind w:left="29" w:right="29"/>
              <w:jc w:val="left"/>
              <w:rPr>
                <w:rFonts w:hint="cs"/>
                <w:b/>
                <w:bCs/>
                <w:rtl/>
              </w:rPr>
            </w:pPr>
            <w:r w:rsidRPr="005F0C39">
              <w:rPr>
                <w:rFonts w:hint="cs"/>
                <w:b/>
                <w:bCs/>
                <w:rtl/>
              </w:rPr>
              <w:t>دعاوى معروضة على المحكمة</w:t>
            </w:r>
          </w:p>
        </w:tc>
      </w:tr>
      <w:tr w:rsidR="00275265">
        <w:tblPrEx>
          <w:tblCellMar>
            <w:top w:w="0" w:type="dxa"/>
            <w:bottom w:w="0" w:type="dxa"/>
          </w:tblCellMar>
        </w:tblPrEx>
        <w:trPr>
          <w:jc w:val="center"/>
        </w:trPr>
        <w:tc>
          <w:tcPr>
            <w:tcW w:w="1610" w:type="dxa"/>
            <w:shd w:val="clear" w:color="auto" w:fill="auto"/>
          </w:tcPr>
          <w:p w:rsidR="00275265" w:rsidRPr="00B6719A" w:rsidRDefault="00275265" w:rsidP="003F4B71">
            <w:pPr>
              <w:ind w:left="29" w:right="29"/>
              <w:rPr>
                <w:rFonts w:hint="cs"/>
                <w:b/>
                <w:bCs/>
                <w:rtl/>
              </w:rPr>
            </w:pPr>
            <w:r w:rsidRPr="00B6719A">
              <w:rPr>
                <w:rFonts w:hint="cs"/>
                <w:b/>
                <w:bCs/>
                <w:rtl/>
              </w:rPr>
              <w:t>1999</w:t>
            </w:r>
          </w:p>
        </w:tc>
        <w:tc>
          <w:tcPr>
            <w:tcW w:w="1339" w:type="dxa"/>
            <w:shd w:val="clear" w:color="auto" w:fill="auto"/>
          </w:tcPr>
          <w:p w:rsidR="00275265" w:rsidRDefault="00275265" w:rsidP="003F4B71">
            <w:pPr>
              <w:ind w:left="29" w:right="29"/>
              <w:rPr>
                <w:rFonts w:hint="cs"/>
                <w:rtl/>
              </w:rPr>
            </w:pPr>
            <w:r>
              <w:rPr>
                <w:rFonts w:hint="cs"/>
                <w:rtl/>
              </w:rPr>
              <w:t>31</w:t>
            </w:r>
          </w:p>
        </w:tc>
        <w:tc>
          <w:tcPr>
            <w:tcW w:w="1272" w:type="dxa"/>
            <w:shd w:val="clear" w:color="auto" w:fill="auto"/>
          </w:tcPr>
          <w:p w:rsidR="00275265" w:rsidRDefault="00275265" w:rsidP="003F4B71">
            <w:pPr>
              <w:ind w:left="29" w:right="29"/>
              <w:rPr>
                <w:rFonts w:hint="cs"/>
                <w:rtl/>
              </w:rPr>
            </w:pPr>
            <w:r>
              <w:rPr>
                <w:rFonts w:hint="cs"/>
                <w:rtl/>
              </w:rPr>
              <w:t>46</w:t>
            </w:r>
          </w:p>
        </w:tc>
        <w:tc>
          <w:tcPr>
            <w:tcW w:w="1407" w:type="dxa"/>
            <w:shd w:val="clear" w:color="auto" w:fill="auto"/>
          </w:tcPr>
          <w:p w:rsidR="00275265" w:rsidRDefault="00275265" w:rsidP="003F4B71">
            <w:pPr>
              <w:ind w:left="29" w:right="29"/>
              <w:rPr>
                <w:rFonts w:hint="cs"/>
                <w:rtl/>
              </w:rPr>
            </w:pPr>
            <w:r>
              <w:rPr>
                <w:rFonts w:hint="cs"/>
                <w:rtl/>
              </w:rPr>
              <w:t>1</w:t>
            </w:r>
          </w:p>
        </w:tc>
        <w:tc>
          <w:tcPr>
            <w:tcW w:w="1407" w:type="dxa"/>
            <w:shd w:val="clear" w:color="auto" w:fill="auto"/>
          </w:tcPr>
          <w:p w:rsidR="00275265" w:rsidRDefault="00275265" w:rsidP="003F4B71">
            <w:pPr>
              <w:ind w:left="29" w:right="29"/>
              <w:rPr>
                <w:rFonts w:hint="cs"/>
                <w:rtl/>
              </w:rPr>
            </w:pPr>
            <w:r>
              <w:rPr>
                <w:rFonts w:hint="cs"/>
                <w:rtl/>
              </w:rPr>
              <w:t>95</w:t>
            </w:r>
          </w:p>
        </w:tc>
        <w:tc>
          <w:tcPr>
            <w:tcW w:w="1270" w:type="dxa"/>
            <w:shd w:val="clear" w:color="auto" w:fill="auto"/>
          </w:tcPr>
          <w:p w:rsidR="00275265" w:rsidRDefault="00275265" w:rsidP="003F4B71">
            <w:pPr>
              <w:ind w:left="29" w:right="29"/>
              <w:rPr>
                <w:rFonts w:hint="cs"/>
                <w:rtl/>
              </w:rPr>
            </w:pPr>
            <w:r>
              <w:rPr>
                <w:rFonts w:hint="cs"/>
                <w:rtl/>
              </w:rPr>
              <w:t>4</w:t>
            </w:r>
          </w:p>
        </w:tc>
        <w:tc>
          <w:tcPr>
            <w:tcW w:w="1544" w:type="dxa"/>
            <w:shd w:val="clear" w:color="auto" w:fill="auto"/>
          </w:tcPr>
          <w:p w:rsidR="00275265" w:rsidRDefault="00275265" w:rsidP="003F4B71">
            <w:pPr>
              <w:ind w:left="29" w:right="29"/>
              <w:rPr>
                <w:rFonts w:hint="cs"/>
                <w:rtl/>
              </w:rPr>
            </w:pPr>
            <w:r>
              <w:rPr>
                <w:rFonts w:hint="cs"/>
                <w:rtl/>
              </w:rPr>
              <w:t>62</w:t>
            </w:r>
          </w:p>
        </w:tc>
      </w:tr>
      <w:tr w:rsidR="00275265">
        <w:tblPrEx>
          <w:tblCellMar>
            <w:top w:w="0" w:type="dxa"/>
            <w:bottom w:w="0" w:type="dxa"/>
          </w:tblCellMar>
        </w:tblPrEx>
        <w:trPr>
          <w:jc w:val="center"/>
        </w:trPr>
        <w:tc>
          <w:tcPr>
            <w:tcW w:w="1610" w:type="dxa"/>
            <w:shd w:val="clear" w:color="auto" w:fill="auto"/>
          </w:tcPr>
          <w:p w:rsidR="00275265" w:rsidRPr="00B6719A" w:rsidRDefault="00275265" w:rsidP="003F4B71">
            <w:pPr>
              <w:ind w:left="29" w:right="29"/>
              <w:rPr>
                <w:rFonts w:hint="cs"/>
                <w:b/>
                <w:bCs/>
                <w:rtl/>
              </w:rPr>
            </w:pPr>
            <w:r w:rsidRPr="00B6719A">
              <w:rPr>
                <w:rFonts w:hint="cs"/>
                <w:b/>
                <w:bCs/>
                <w:rtl/>
              </w:rPr>
              <w:t>2000</w:t>
            </w:r>
          </w:p>
        </w:tc>
        <w:tc>
          <w:tcPr>
            <w:tcW w:w="1339" w:type="dxa"/>
            <w:shd w:val="clear" w:color="auto" w:fill="auto"/>
          </w:tcPr>
          <w:p w:rsidR="00275265" w:rsidRDefault="00275265" w:rsidP="003F4B71">
            <w:pPr>
              <w:ind w:left="29" w:right="29"/>
              <w:rPr>
                <w:rFonts w:hint="cs"/>
                <w:rtl/>
              </w:rPr>
            </w:pPr>
            <w:r>
              <w:rPr>
                <w:rFonts w:hint="cs"/>
                <w:rtl/>
              </w:rPr>
              <w:t>47</w:t>
            </w:r>
          </w:p>
        </w:tc>
        <w:tc>
          <w:tcPr>
            <w:tcW w:w="1272" w:type="dxa"/>
            <w:shd w:val="clear" w:color="auto" w:fill="auto"/>
          </w:tcPr>
          <w:p w:rsidR="00275265" w:rsidRDefault="00275265" w:rsidP="003F4B71">
            <w:pPr>
              <w:ind w:left="29" w:right="29"/>
              <w:rPr>
                <w:rFonts w:hint="cs"/>
                <w:rtl/>
              </w:rPr>
            </w:pPr>
            <w:r>
              <w:rPr>
                <w:rFonts w:hint="cs"/>
                <w:rtl/>
              </w:rPr>
              <w:t>71</w:t>
            </w:r>
          </w:p>
        </w:tc>
        <w:tc>
          <w:tcPr>
            <w:tcW w:w="1407" w:type="dxa"/>
            <w:shd w:val="clear" w:color="auto" w:fill="auto"/>
          </w:tcPr>
          <w:p w:rsidR="00275265" w:rsidRDefault="00275265" w:rsidP="003F4B71">
            <w:pPr>
              <w:ind w:left="29" w:right="29"/>
              <w:rPr>
                <w:rFonts w:hint="cs"/>
                <w:rtl/>
              </w:rPr>
            </w:pPr>
            <w:r>
              <w:rPr>
                <w:rFonts w:hint="cs"/>
                <w:rtl/>
              </w:rPr>
              <w:t>صفر</w:t>
            </w:r>
          </w:p>
        </w:tc>
        <w:tc>
          <w:tcPr>
            <w:tcW w:w="1407" w:type="dxa"/>
            <w:shd w:val="clear" w:color="auto" w:fill="auto"/>
          </w:tcPr>
          <w:p w:rsidR="00275265" w:rsidRDefault="00275265" w:rsidP="003F4B71">
            <w:pPr>
              <w:ind w:left="29" w:right="29"/>
              <w:rPr>
                <w:rFonts w:hint="cs"/>
                <w:rtl/>
              </w:rPr>
            </w:pPr>
            <w:r>
              <w:rPr>
                <w:rFonts w:hint="cs"/>
                <w:rtl/>
              </w:rPr>
              <w:t>20</w:t>
            </w:r>
          </w:p>
        </w:tc>
        <w:tc>
          <w:tcPr>
            <w:tcW w:w="1270" w:type="dxa"/>
            <w:shd w:val="clear" w:color="auto" w:fill="auto"/>
          </w:tcPr>
          <w:p w:rsidR="00275265" w:rsidRDefault="00275265" w:rsidP="003F4B71">
            <w:pPr>
              <w:ind w:left="29" w:right="29"/>
              <w:rPr>
                <w:rFonts w:hint="cs"/>
                <w:rtl/>
              </w:rPr>
            </w:pPr>
            <w:r>
              <w:rPr>
                <w:rFonts w:hint="cs"/>
                <w:rtl/>
              </w:rPr>
              <w:t>10</w:t>
            </w:r>
          </w:p>
        </w:tc>
        <w:tc>
          <w:tcPr>
            <w:tcW w:w="1544" w:type="dxa"/>
            <w:shd w:val="clear" w:color="auto" w:fill="auto"/>
          </w:tcPr>
          <w:p w:rsidR="00275265" w:rsidRDefault="00275265" w:rsidP="003F4B71">
            <w:pPr>
              <w:ind w:left="29" w:right="29"/>
              <w:rPr>
                <w:rFonts w:hint="cs"/>
                <w:rtl/>
              </w:rPr>
            </w:pPr>
            <w:r>
              <w:rPr>
                <w:rFonts w:hint="cs"/>
                <w:rtl/>
              </w:rPr>
              <w:t>83</w:t>
            </w:r>
          </w:p>
        </w:tc>
      </w:tr>
      <w:tr w:rsidR="00275265">
        <w:tblPrEx>
          <w:tblCellMar>
            <w:top w:w="0" w:type="dxa"/>
            <w:bottom w:w="0" w:type="dxa"/>
          </w:tblCellMar>
        </w:tblPrEx>
        <w:trPr>
          <w:jc w:val="center"/>
        </w:trPr>
        <w:tc>
          <w:tcPr>
            <w:tcW w:w="1610" w:type="dxa"/>
            <w:shd w:val="clear" w:color="auto" w:fill="auto"/>
          </w:tcPr>
          <w:p w:rsidR="00275265" w:rsidRPr="00B6719A" w:rsidRDefault="00275265" w:rsidP="003F4B71">
            <w:pPr>
              <w:ind w:left="29" w:right="29"/>
              <w:rPr>
                <w:rFonts w:hint="cs"/>
                <w:b/>
                <w:bCs/>
                <w:rtl/>
              </w:rPr>
            </w:pPr>
            <w:r w:rsidRPr="00B6719A">
              <w:rPr>
                <w:rFonts w:hint="cs"/>
                <w:b/>
                <w:bCs/>
                <w:rtl/>
              </w:rPr>
              <w:t>2001</w:t>
            </w:r>
          </w:p>
        </w:tc>
        <w:tc>
          <w:tcPr>
            <w:tcW w:w="1339" w:type="dxa"/>
            <w:shd w:val="clear" w:color="auto" w:fill="auto"/>
          </w:tcPr>
          <w:p w:rsidR="00275265" w:rsidRDefault="00275265" w:rsidP="003F4B71">
            <w:pPr>
              <w:ind w:left="29" w:right="29"/>
              <w:rPr>
                <w:rFonts w:hint="cs"/>
                <w:rtl/>
              </w:rPr>
            </w:pPr>
            <w:r>
              <w:rPr>
                <w:rFonts w:hint="cs"/>
                <w:rtl/>
              </w:rPr>
              <w:t>26</w:t>
            </w:r>
          </w:p>
        </w:tc>
        <w:tc>
          <w:tcPr>
            <w:tcW w:w="1272" w:type="dxa"/>
            <w:shd w:val="clear" w:color="auto" w:fill="auto"/>
          </w:tcPr>
          <w:p w:rsidR="00275265" w:rsidRDefault="00275265" w:rsidP="003F4B71">
            <w:pPr>
              <w:ind w:left="29" w:right="29"/>
              <w:rPr>
                <w:rFonts w:hint="cs"/>
                <w:rtl/>
              </w:rPr>
            </w:pPr>
            <w:r>
              <w:rPr>
                <w:rFonts w:hint="cs"/>
                <w:rtl/>
              </w:rPr>
              <w:t>76</w:t>
            </w:r>
          </w:p>
        </w:tc>
        <w:tc>
          <w:tcPr>
            <w:tcW w:w="1407" w:type="dxa"/>
            <w:shd w:val="clear" w:color="auto" w:fill="auto"/>
          </w:tcPr>
          <w:p w:rsidR="00275265" w:rsidRDefault="00275265" w:rsidP="003F4B71">
            <w:pPr>
              <w:ind w:left="29" w:right="29"/>
              <w:rPr>
                <w:rFonts w:hint="cs"/>
                <w:rtl/>
              </w:rPr>
            </w:pPr>
            <w:r>
              <w:rPr>
                <w:rFonts w:hint="cs"/>
                <w:rtl/>
              </w:rPr>
              <w:t>صفر</w:t>
            </w:r>
          </w:p>
        </w:tc>
        <w:tc>
          <w:tcPr>
            <w:tcW w:w="1407" w:type="dxa"/>
            <w:shd w:val="clear" w:color="auto" w:fill="auto"/>
          </w:tcPr>
          <w:p w:rsidR="00275265" w:rsidRDefault="00275265" w:rsidP="003F4B71">
            <w:pPr>
              <w:ind w:left="29" w:right="29"/>
              <w:rPr>
                <w:rFonts w:hint="cs"/>
                <w:rtl/>
              </w:rPr>
            </w:pPr>
            <w:r>
              <w:rPr>
                <w:rFonts w:hint="cs"/>
                <w:rtl/>
              </w:rPr>
              <w:t>17</w:t>
            </w:r>
          </w:p>
        </w:tc>
        <w:tc>
          <w:tcPr>
            <w:tcW w:w="1270" w:type="dxa"/>
            <w:shd w:val="clear" w:color="auto" w:fill="auto"/>
          </w:tcPr>
          <w:p w:rsidR="00275265" w:rsidRDefault="00275265" w:rsidP="003F4B71">
            <w:pPr>
              <w:ind w:left="29" w:right="29"/>
              <w:rPr>
                <w:rFonts w:hint="cs"/>
                <w:rtl/>
              </w:rPr>
            </w:pPr>
            <w:r>
              <w:rPr>
                <w:rFonts w:hint="cs"/>
                <w:rtl/>
              </w:rPr>
              <w:t>4</w:t>
            </w:r>
          </w:p>
        </w:tc>
        <w:tc>
          <w:tcPr>
            <w:tcW w:w="1544" w:type="dxa"/>
            <w:shd w:val="clear" w:color="auto" w:fill="auto"/>
          </w:tcPr>
          <w:p w:rsidR="00275265" w:rsidRDefault="00275265" w:rsidP="003F4B71">
            <w:pPr>
              <w:ind w:left="29" w:right="29"/>
              <w:rPr>
                <w:rFonts w:hint="cs"/>
                <w:rtl/>
              </w:rPr>
            </w:pPr>
            <w:r>
              <w:rPr>
                <w:rFonts w:hint="cs"/>
                <w:rtl/>
              </w:rPr>
              <w:t>60</w:t>
            </w:r>
          </w:p>
        </w:tc>
      </w:tr>
      <w:tr w:rsidR="00275265">
        <w:tblPrEx>
          <w:tblCellMar>
            <w:top w:w="0" w:type="dxa"/>
            <w:bottom w:w="0" w:type="dxa"/>
          </w:tblCellMar>
        </w:tblPrEx>
        <w:trPr>
          <w:jc w:val="center"/>
        </w:trPr>
        <w:tc>
          <w:tcPr>
            <w:tcW w:w="1610" w:type="dxa"/>
            <w:shd w:val="clear" w:color="auto" w:fill="auto"/>
          </w:tcPr>
          <w:p w:rsidR="00275265" w:rsidRPr="00B6719A" w:rsidRDefault="00275265" w:rsidP="003F4B71">
            <w:pPr>
              <w:ind w:left="29" w:right="29"/>
              <w:rPr>
                <w:rFonts w:hint="cs"/>
                <w:b/>
                <w:bCs/>
                <w:rtl/>
              </w:rPr>
            </w:pPr>
            <w:r w:rsidRPr="00B6719A">
              <w:rPr>
                <w:rFonts w:hint="cs"/>
                <w:b/>
                <w:bCs/>
                <w:rtl/>
              </w:rPr>
              <w:t>2002</w:t>
            </w:r>
          </w:p>
        </w:tc>
        <w:tc>
          <w:tcPr>
            <w:tcW w:w="1339" w:type="dxa"/>
            <w:shd w:val="clear" w:color="auto" w:fill="auto"/>
          </w:tcPr>
          <w:p w:rsidR="00275265" w:rsidRDefault="00275265" w:rsidP="003F4B71">
            <w:pPr>
              <w:ind w:left="29" w:right="29"/>
              <w:rPr>
                <w:rFonts w:hint="cs"/>
                <w:rtl/>
              </w:rPr>
            </w:pPr>
            <w:r>
              <w:rPr>
                <w:rFonts w:hint="cs"/>
                <w:rtl/>
              </w:rPr>
              <w:t>28</w:t>
            </w:r>
          </w:p>
        </w:tc>
        <w:tc>
          <w:tcPr>
            <w:tcW w:w="1272" w:type="dxa"/>
            <w:shd w:val="clear" w:color="auto" w:fill="auto"/>
          </w:tcPr>
          <w:p w:rsidR="00275265" w:rsidRDefault="00275265" w:rsidP="003F4B71">
            <w:pPr>
              <w:ind w:left="29" w:right="29"/>
              <w:rPr>
                <w:rFonts w:hint="cs"/>
                <w:rtl/>
              </w:rPr>
            </w:pPr>
            <w:r>
              <w:rPr>
                <w:rFonts w:hint="cs"/>
                <w:rtl/>
              </w:rPr>
              <w:t>63</w:t>
            </w:r>
          </w:p>
        </w:tc>
        <w:tc>
          <w:tcPr>
            <w:tcW w:w="1407" w:type="dxa"/>
            <w:shd w:val="clear" w:color="auto" w:fill="auto"/>
          </w:tcPr>
          <w:p w:rsidR="00275265" w:rsidRDefault="00275265" w:rsidP="003F4B71">
            <w:pPr>
              <w:ind w:left="29" w:right="29"/>
              <w:rPr>
                <w:rFonts w:hint="cs"/>
                <w:rtl/>
              </w:rPr>
            </w:pPr>
            <w:r>
              <w:rPr>
                <w:rFonts w:hint="cs"/>
                <w:rtl/>
              </w:rPr>
              <w:t>3</w:t>
            </w:r>
          </w:p>
        </w:tc>
        <w:tc>
          <w:tcPr>
            <w:tcW w:w="1407" w:type="dxa"/>
            <w:shd w:val="clear" w:color="auto" w:fill="auto"/>
          </w:tcPr>
          <w:p w:rsidR="00275265" w:rsidRDefault="00275265" w:rsidP="003F4B71">
            <w:pPr>
              <w:ind w:left="29" w:right="29"/>
              <w:rPr>
                <w:rFonts w:hint="cs"/>
                <w:rtl/>
              </w:rPr>
            </w:pPr>
            <w:r>
              <w:rPr>
                <w:rFonts w:hint="cs"/>
                <w:rtl/>
              </w:rPr>
              <w:t>200*</w:t>
            </w:r>
          </w:p>
        </w:tc>
        <w:tc>
          <w:tcPr>
            <w:tcW w:w="1270" w:type="dxa"/>
            <w:shd w:val="clear" w:color="auto" w:fill="auto"/>
          </w:tcPr>
          <w:p w:rsidR="00275265" w:rsidRDefault="00275265" w:rsidP="003F4B71">
            <w:pPr>
              <w:ind w:left="29" w:right="29"/>
              <w:rPr>
                <w:rFonts w:hint="cs"/>
                <w:rtl/>
              </w:rPr>
            </w:pPr>
            <w:r>
              <w:rPr>
                <w:rFonts w:hint="cs"/>
                <w:rtl/>
              </w:rPr>
              <w:t>10</w:t>
            </w:r>
          </w:p>
        </w:tc>
        <w:tc>
          <w:tcPr>
            <w:tcW w:w="1544" w:type="dxa"/>
            <w:shd w:val="clear" w:color="auto" w:fill="auto"/>
          </w:tcPr>
          <w:p w:rsidR="00275265" w:rsidRDefault="00275265" w:rsidP="003F4B71">
            <w:pPr>
              <w:ind w:left="29" w:right="29"/>
              <w:rPr>
                <w:rFonts w:hint="cs"/>
                <w:rtl/>
              </w:rPr>
            </w:pPr>
            <w:r>
              <w:rPr>
                <w:rFonts w:hint="cs"/>
                <w:rtl/>
              </w:rPr>
              <w:t>69</w:t>
            </w:r>
          </w:p>
        </w:tc>
      </w:tr>
    </w:tbl>
    <w:p w:rsidR="00275265" w:rsidRDefault="00275265" w:rsidP="00275265">
      <w:pPr>
        <w:pStyle w:val="SingleTxt"/>
        <w:rPr>
          <w:rFonts w:hint="cs"/>
          <w:rtl/>
        </w:rPr>
      </w:pPr>
      <w:r w:rsidRPr="00A330F1">
        <w:rPr>
          <w:rFonts w:hint="cs"/>
          <w:rtl/>
        </w:rPr>
        <w:t xml:space="preserve">*  إحدى </w:t>
      </w:r>
      <w:r>
        <w:rPr>
          <w:rFonts w:hint="cs"/>
          <w:rtl/>
        </w:rPr>
        <w:t>الحالات التي وقعت في جنوب بولندا تتعلق بـ 190 عملية إجهاض.</w:t>
      </w:r>
    </w:p>
    <w:p w:rsidR="00275265" w:rsidRDefault="00275265" w:rsidP="00275265">
      <w:pPr>
        <w:pStyle w:val="SingleTxt"/>
        <w:rPr>
          <w:rFonts w:hint="cs"/>
          <w:rtl/>
        </w:rPr>
      </w:pPr>
    </w:p>
    <w:p w:rsidR="00275265" w:rsidRDefault="00275265" w:rsidP="00275265">
      <w:pPr>
        <w:pStyle w:val="SingleTxt"/>
        <w:rPr>
          <w:rFonts w:hint="cs"/>
          <w:rtl/>
        </w:rPr>
      </w:pPr>
    </w:p>
    <w:p w:rsidR="00F14C47" w:rsidRDefault="00F14C47" w:rsidP="00275265">
      <w:pPr>
        <w:pStyle w:val="SingleTxt"/>
        <w:rPr>
          <w:rFonts w:hint="cs"/>
          <w:rtl/>
        </w:rPr>
      </w:pPr>
    </w:p>
    <w:p w:rsidR="00F14C47" w:rsidRDefault="00F14C47" w:rsidP="00275265">
      <w:pPr>
        <w:pStyle w:val="SingleTxt"/>
        <w:rPr>
          <w:rFonts w:hint="cs"/>
          <w:rtl/>
        </w:rPr>
      </w:pPr>
    </w:p>
    <w:p w:rsidR="00275265" w:rsidRDefault="00275265" w:rsidP="00275265">
      <w:pPr>
        <w:pStyle w:val="SingleTxt"/>
        <w:rPr>
          <w:rFonts w:hint="cs"/>
          <w:rtl/>
        </w:rPr>
      </w:pPr>
      <w:r>
        <w:rPr>
          <w:rFonts w:hint="cs"/>
          <w:rtl/>
        </w:rPr>
        <w:t>الجدول ألف -14-1</w:t>
      </w:r>
    </w:p>
    <w:p w:rsidR="00275265" w:rsidRPr="005F0C39" w:rsidRDefault="00275265" w:rsidP="00275265">
      <w:pPr>
        <w:pStyle w:val="SingleTxt"/>
        <w:rPr>
          <w:rFonts w:hint="cs"/>
          <w:b/>
          <w:bCs/>
          <w:rtl/>
        </w:rPr>
      </w:pPr>
      <w:r w:rsidRPr="005F0C39">
        <w:rPr>
          <w:rFonts w:hint="cs"/>
          <w:b/>
          <w:bCs/>
          <w:rtl/>
        </w:rPr>
        <w:t>وضع ا</w:t>
      </w:r>
      <w:r w:rsidR="00233F4D">
        <w:rPr>
          <w:rFonts w:hint="cs"/>
          <w:b/>
          <w:bCs/>
          <w:rtl/>
        </w:rPr>
        <w:t>ل</w:t>
      </w:r>
      <w:r w:rsidRPr="005F0C39">
        <w:rPr>
          <w:rFonts w:hint="cs"/>
          <w:b/>
          <w:bCs/>
          <w:rtl/>
        </w:rPr>
        <w:t>مرأة الريفية في سوق العمل (الفصل الثالث من عام 2002)</w:t>
      </w:r>
    </w:p>
    <w:p w:rsidR="00275265" w:rsidRPr="00A330F1" w:rsidRDefault="00275265" w:rsidP="00275265">
      <w:pPr>
        <w:pStyle w:val="SingleTxt"/>
        <w:spacing w:after="0" w:line="120" w:lineRule="exact"/>
        <w:rPr>
          <w:rFonts w:hint="cs"/>
          <w:sz w:val="10"/>
          <w:rtl/>
        </w:rPr>
      </w:pPr>
    </w:p>
    <w:tbl>
      <w:tblPr>
        <w:bidiVisual/>
        <w:tblW w:w="8820" w:type="dxa"/>
        <w:jc w:val="center"/>
        <w:tblLayout w:type="fixed"/>
        <w:tblCellMar>
          <w:left w:w="0" w:type="dxa"/>
          <w:right w:w="0" w:type="dxa"/>
        </w:tblCellMar>
        <w:tblLook w:val="0000" w:firstRow="0" w:lastRow="0" w:firstColumn="0" w:lastColumn="0" w:noHBand="0" w:noVBand="0"/>
      </w:tblPr>
      <w:tblGrid>
        <w:gridCol w:w="2846"/>
        <w:gridCol w:w="1648"/>
        <w:gridCol w:w="1416"/>
        <w:gridCol w:w="1365"/>
        <w:gridCol w:w="1545"/>
      </w:tblGrid>
      <w:tr w:rsidR="00275265">
        <w:tblPrEx>
          <w:tblCellMar>
            <w:top w:w="0" w:type="dxa"/>
            <w:bottom w:w="0" w:type="dxa"/>
          </w:tblCellMar>
        </w:tblPrEx>
        <w:trPr>
          <w:jc w:val="center"/>
        </w:trPr>
        <w:tc>
          <w:tcPr>
            <w:tcW w:w="4494" w:type="dxa"/>
            <w:gridSpan w:val="2"/>
            <w:tcBorders>
              <w:top w:val="single" w:sz="4" w:space="0" w:color="auto"/>
              <w:left w:val="single" w:sz="4" w:space="0" w:color="auto"/>
              <w:bottom w:val="single" w:sz="4" w:space="0" w:color="auto"/>
              <w:right w:val="single" w:sz="4" w:space="0" w:color="auto"/>
            </w:tcBorders>
            <w:shd w:val="clear" w:color="auto" w:fill="auto"/>
            <w:tcMar>
              <w:left w:w="0" w:type="dxa"/>
              <w:right w:w="0" w:type="dxa"/>
            </w:tcMar>
          </w:tcPr>
          <w:p w:rsidR="00275265" w:rsidRPr="005F0C39" w:rsidRDefault="00275265" w:rsidP="003F4B71">
            <w:pPr>
              <w:rPr>
                <w:rFonts w:hint="cs"/>
                <w:b/>
                <w:bCs/>
                <w:rtl/>
              </w:rPr>
            </w:pPr>
            <w:r w:rsidRPr="005F0C39">
              <w:rPr>
                <w:rFonts w:hint="cs"/>
                <w:b/>
                <w:bCs/>
                <w:rtl/>
              </w:rPr>
              <w:t>البنود</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275265" w:rsidRPr="005F0C39" w:rsidRDefault="00275265" w:rsidP="003F4B71">
            <w:pPr>
              <w:rPr>
                <w:rFonts w:hint="cs"/>
                <w:b/>
                <w:bCs/>
                <w:rtl/>
              </w:rPr>
            </w:pPr>
            <w:r w:rsidRPr="005F0C39">
              <w:rPr>
                <w:rFonts w:hint="cs"/>
                <w:b/>
                <w:bCs/>
                <w:rtl/>
              </w:rPr>
              <w:t>النشاط المهني</w:t>
            </w:r>
          </w:p>
        </w:tc>
        <w:tc>
          <w:tcPr>
            <w:tcW w:w="1365" w:type="dxa"/>
            <w:tcBorders>
              <w:top w:val="single" w:sz="4" w:space="0" w:color="auto"/>
              <w:left w:val="single" w:sz="4" w:space="0" w:color="auto"/>
              <w:bottom w:val="single" w:sz="4" w:space="0" w:color="auto"/>
              <w:right w:val="single" w:sz="4" w:space="0" w:color="auto"/>
            </w:tcBorders>
            <w:shd w:val="clear" w:color="auto" w:fill="auto"/>
          </w:tcPr>
          <w:p w:rsidR="00275265" w:rsidRPr="005F0C39" w:rsidRDefault="00275265" w:rsidP="003F4B71">
            <w:pPr>
              <w:rPr>
                <w:rFonts w:hint="cs"/>
                <w:b/>
                <w:bCs/>
                <w:rtl/>
              </w:rPr>
            </w:pPr>
            <w:r w:rsidRPr="005F0C39">
              <w:rPr>
                <w:rFonts w:hint="cs"/>
                <w:b/>
                <w:bCs/>
                <w:rtl/>
              </w:rPr>
              <w:t>العمالة</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275265" w:rsidRPr="005F0C39" w:rsidRDefault="00275265" w:rsidP="003F4B71">
            <w:pPr>
              <w:rPr>
                <w:rFonts w:hint="cs"/>
                <w:b/>
                <w:bCs/>
                <w:rtl/>
              </w:rPr>
            </w:pPr>
            <w:r w:rsidRPr="005F0C39">
              <w:rPr>
                <w:rFonts w:hint="cs"/>
                <w:b/>
                <w:bCs/>
                <w:rtl/>
              </w:rPr>
              <w:t>البطالة</w:t>
            </w:r>
          </w:p>
        </w:tc>
      </w:tr>
      <w:tr w:rsidR="00275265">
        <w:tblPrEx>
          <w:tblCellMar>
            <w:top w:w="0" w:type="dxa"/>
            <w:bottom w:w="0" w:type="dxa"/>
          </w:tblCellMar>
        </w:tblPrEx>
        <w:trPr>
          <w:jc w:val="center"/>
        </w:trPr>
        <w:tc>
          <w:tcPr>
            <w:tcW w:w="2846" w:type="dxa"/>
            <w:tcBorders>
              <w:top w:val="single" w:sz="4" w:space="0" w:color="auto"/>
              <w:left w:val="single" w:sz="4" w:space="0" w:color="auto"/>
            </w:tcBorders>
            <w:shd w:val="clear" w:color="auto" w:fill="auto"/>
          </w:tcPr>
          <w:p w:rsidR="00275265" w:rsidRDefault="00275265" w:rsidP="003F4B71">
            <w:pPr>
              <w:rPr>
                <w:rFonts w:hint="cs"/>
                <w:rtl/>
              </w:rPr>
            </w:pPr>
            <w:r>
              <w:rPr>
                <w:rFonts w:hint="cs"/>
                <w:rtl/>
              </w:rPr>
              <w:t>سكان بولندا</w:t>
            </w:r>
          </w:p>
        </w:tc>
        <w:tc>
          <w:tcPr>
            <w:tcW w:w="1648" w:type="dxa"/>
            <w:tcBorders>
              <w:top w:val="single" w:sz="4" w:space="0" w:color="auto"/>
              <w:right w:val="single" w:sz="4" w:space="0" w:color="auto"/>
            </w:tcBorders>
            <w:shd w:val="clear" w:color="auto" w:fill="auto"/>
          </w:tcPr>
          <w:p w:rsidR="00275265" w:rsidRDefault="00275265" w:rsidP="003F4B71">
            <w:pPr>
              <w:rPr>
                <w:rFonts w:hint="cs"/>
                <w:rtl/>
              </w:rPr>
            </w:pPr>
            <w:r>
              <w:rPr>
                <w:rFonts w:hint="cs"/>
                <w:rtl/>
              </w:rPr>
              <w:t>المجموع</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275265" w:rsidRPr="002266BE" w:rsidRDefault="00275265" w:rsidP="003F4B71">
            <w:pPr>
              <w:rPr>
                <w:rFonts w:hint="cs"/>
                <w:rtl/>
              </w:rPr>
            </w:pPr>
            <w:r w:rsidRPr="002266BE">
              <w:rPr>
                <w:rFonts w:hint="cs"/>
                <w:rtl/>
              </w:rPr>
              <w:t xml:space="preserve">55.6 </w:t>
            </w:r>
            <w:r>
              <w:rPr>
                <w:rFonts w:hint="cs"/>
                <w:rtl/>
              </w:rPr>
              <w:t>في المائة</w:t>
            </w:r>
          </w:p>
        </w:tc>
        <w:tc>
          <w:tcPr>
            <w:tcW w:w="1365" w:type="dxa"/>
            <w:tcBorders>
              <w:top w:val="single" w:sz="4" w:space="0" w:color="auto"/>
              <w:left w:val="single" w:sz="4" w:space="0" w:color="auto"/>
              <w:bottom w:val="single" w:sz="4" w:space="0" w:color="auto"/>
              <w:right w:val="single" w:sz="4" w:space="0" w:color="auto"/>
            </w:tcBorders>
            <w:shd w:val="clear" w:color="auto" w:fill="auto"/>
          </w:tcPr>
          <w:p w:rsidR="00275265" w:rsidRPr="002266BE" w:rsidRDefault="00275265" w:rsidP="003F4B71">
            <w:pPr>
              <w:rPr>
                <w:rFonts w:hint="cs"/>
                <w:rtl/>
              </w:rPr>
            </w:pPr>
            <w:r w:rsidRPr="002266BE">
              <w:rPr>
                <w:rFonts w:hint="cs"/>
                <w:rtl/>
              </w:rPr>
              <w:t xml:space="preserve">44.6 </w:t>
            </w:r>
            <w:r>
              <w:rPr>
                <w:rFonts w:hint="cs"/>
                <w:rtl/>
              </w:rPr>
              <w:t>في المائة</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275265" w:rsidRPr="002266BE" w:rsidRDefault="00275265" w:rsidP="003F4B71">
            <w:pPr>
              <w:rPr>
                <w:rFonts w:hint="cs"/>
                <w:rtl/>
              </w:rPr>
            </w:pPr>
            <w:r w:rsidRPr="002266BE">
              <w:rPr>
                <w:rFonts w:hint="cs"/>
                <w:rtl/>
              </w:rPr>
              <w:t xml:space="preserve">19.8 </w:t>
            </w:r>
            <w:r>
              <w:rPr>
                <w:rFonts w:hint="cs"/>
                <w:rtl/>
              </w:rPr>
              <w:t>في المائة</w:t>
            </w:r>
          </w:p>
        </w:tc>
      </w:tr>
      <w:tr w:rsidR="00275265">
        <w:tblPrEx>
          <w:tblCellMar>
            <w:top w:w="0" w:type="dxa"/>
            <w:bottom w:w="0" w:type="dxa"/>
          </w:tblCellMar>
        </w:tblPrEx>
        <w:trPr>
          <w:jc w:val="center"/>
        </w:trPr>
        <w:tc>
          <w:tcPr>
            <w:tcW w:w="2846" w:type="dxa"/>
            <w:tcBorders>
              <w:left w:val="single" w:sz="4" w:space="0" w:color="auto"/>
            </w:tcBorders>
            <w:shd w:val="clear" w:color="auto" w:fill="auto"/>
          </w:tcPr>
          <w:p w:rsidR="00275265" w:rsidRDefault="00275265" w:rsidP="003F4B71">
            <w:pPr>
              <w:rPr>
                <w:rFonts w:hint="cs"/>
                <w:rtl/>
              </w:rPr>
            </w:pPr>
          </w:p>
        </w:tc>
        <w:tc>
          <w:tcPr>
            <w:tcW w:w="1648" w:type="dxa"/>
            <w:tcBorders>
              <w:right w:val="single" w:sz="4" w:space="0" w:color="auto"/>
            </w:tcBorders>
            <w:shd w:val="clear" w:color="auto" w:fill="auto"/>
          </w:tcPr>
          <w:p w:rsidR="00275265" w:rsidRDefault="00275265" w:rsidP="003F4B71">
            <w:pPr>
              <w:rPr>
                <w:rFonts w:hint="cs"/>
                <w:rtl/>
              </w:rPr>
            </w:pPr>
            <w:r>
              <w:rPr>
                <w:rFonts w:hint="cs"/>
                <w:rtl/>
              </w:rPr>
              <w:t>الرجال</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275265" w:rsidRPr="002266BE" w:rsidRDefault="00275265" w:rsidP="003F4B71">
            <w:pPr>
              <w:rPr>
                <w:rFonts w:hint="cs"/>
                <w:rtl/>
              </w:rPr>
            </w:pPr>
            <w:r w:rsidRPr="002266BE">
              <w:rPr>
                <w:rFonts w:hint="cs"/>
                <w:rtl/>
              </w:rPr>
              <w:t xml:space="preserve">63.0 </w:t>
            </w:r>
            <w:r>
              <w:rPr>
                <w:rFonts w:hint="cs"/>
                <w:rtl/>
              </w:rPr>
              <w:t>في المائة</w:t>
            </w:r>
          </w:p>
        </w:tc>
        <w:tc>
          <w:tcPr>
            <w:tcW w:w="1365" w:type="dxa"/>
            <w:tcBorders>
              <w:top w:val="single" w:sz="4" w:space="0" w:color="auto"/>
              <w:left w:val="single" w:sz="4" w:space="0" w:color="auto"/>
              <w:bottom w:val="single" w:sz="4" w:space="0" w:color="auto"/>
              <w:right w:val="single" w:sz="4" w:space="0" w:color="auto"/>
            </w:tcBorders>
            <w:shd w:val="clear" w:color="auto" w:fill="auto"/>
          </w:tcPr>
          <w:p w:rsidR="00275265" w:rsidRPr="002266BE" w:rsidRDefault="00275265" w:rsidP="003F4B71">
            <w:pPr>
              <w:rPr>
                <w:rFonts w:hint="cs"/>
                <w:rtl/>
              </w:rPr>
            </w:pPr>
            <w:r w:rsidRPr="002266BE">
              <w:rPr>
                <w:rFonts w:hint="cs"/>
                <w:rtl/>
              </w:rPr>
              <w:t xml:space="preserve">51.3 </w:t>
            </w:r>
            <w:r>
              <w:rPr>
                <w:rFonts w:hint="cs"/>
                <w:rtl/>
              </w:rPr>
              <w:t>في المائة</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275265" w:rsidRPr="002266BE" w:rsidRDefault="00275265" w:rsidP="003F4B71">
            <w:pPr>
              <w:rPr>
                <w:rFonts w:hint="cs"/>
                <w:rtl/>
              </w:rPr>
            </w:pPr>
            <w:r w:rsidRPr="002266BE">
              <w:rPr>
                <w:rFonts w:hint="cs"/>
                <w:rtl/>
              </w:rPr>
              <w:t xml:space="preserve">18.6 </w:t>
            </w:r>
            <w:r>
              <w:rPr>
                <w:rFonts w:hint="cs"/>
                <w:rtl/>
              </w:rPr>
              <w:t>في المائة</w:t>
            </w:r>
          </w:p>
        </w:tc>
      </w:tr>
      <w:tr w:rsidR="00275265">
        <w:tblPrEx>
          <w:tblCellMar>
            <w:top w:w="0" w:type="dxa"/>
            <w:bottom w:w="0" w:type="dxa"/>
          </w:tblCellMar>
        </w:tblPrEx>
        <w:trPr>
          <w:jc w:val="center"/>
        </w:trPr>
        <w:tc>
          <w:tcPr>
            <w:tcW w:w="2846" w:type="dxa"/>
            <w:tcBorders>
              <w:left w:val="single" w:sz="4" w:space="0" w:color="auto"/>
              <w:bottom w:val="single" w:sz="4" w:space="0" w:color="auto"/>
            </w:tcBorders>
            <w:shd w:val="clear" w:color="auto" w:fill="auto"/>
          </w:tcPr>
          <w:p w:rsidR="00275265" w:rsidRDefault="00275265" w:rsidP="003F4B71">
            <w:pPr>
              <w:rPr>
                <w:rFonts w:hint="cs"/>
                <w:rtl/>
              </w:rPr>
            </w:pPr>
          </w:p>
        </w:tc>
        <w:tc>
          <w:tcPr>
            <w:tcW w:w="1648" w:type="dxa"/>
            <w:tcBorders>
              <w:bottom w:val="single" w:sz="4" w:space="0" w:color="auto"/>
              <w:right w:val="single" w:sz="4" w:space="0" w:color="auto"/>
            </w:tcBorders>
            <w:shd w:val="clear" w:color="auto" w:fill="auto"/>
          </w:tcPr>
          <w:p w:rsidR="00275265" w:rsidRDefault="00275265" w:rsidP="003F4B71">
            <w:pPr>
              <w:rPr>
                <w:rFonts w:hint="cs"/>
                <w:rtl/>
              </w:rPr>
            </w:pPr>
            <w:r>
              <w:rPr>
                <w:rFonts w:hint="cs"/>
                <w:rtl/>
              </w:rPr>
              <w:t>النساء</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275265" w:rsidRPr="002266BE" w:rsidRDefault="00275265" w:rsidP="003F4B71">
            <w:pPr>
              <w:rPr>
                <w:rFonts w:hint="cs"/>
                <w:rtl/>
              </w:rPr>
            </w:pPr>
            <w:r w:rsidRPr="002266BE">
              <w:rPr>
                <w:rFonts w:hint="cs"/>
                <w:rtl/>
              </w:rPr>
              <w:t xml:space="preserve">48.9 </w:t>
            </w:r>
            <w:r>
              <w:rPr>
                <w:rFonts w:hint="cs"/>
                <w:rtl/>
              </w:rPr>
              <w:t>في المائة</w:t>
            </w:r>
          </w:p>
        </w:tc>
        <w:tc>
          <w:tcPr>
            <w:tcW w:w="1365" w:type="dxa"/>
            <w:tcBorders>
              <w:top w:val="single" w:sz="4" w:space="0" w:color="auto"/>
              <w:left w:val="single" w:sz="4" w:space="0" w:color="auto"/>
              <w:bottom w:val="single" w:sz="4" w:space="0" w:color="auto"/>
              <w:right w:val="single" w:sz="4" w:space="0" w:color="auto"/>
            </w:tcBorders>
            <w:shd w:val="clear" w:color="auto" w:fill="auto"/>
          </w:tcPr>
          <w:p w:rsidR="00275265" w:rsidRPr="002266BE" w:rsidRDefault="00275265" w:rsidP="003F4B71">
            <w:pPr>
              <w:rPr>
                <w:rFonts w:hint="cs"/>
                <w:rtl/>
              </w:rPr>
            </w:pPr>
            <w:r w:rsidRPr="002266BE">
              <w:rPr>
                <w:rFonts w:hint="cs"/>
                <w:rtl/>
              </w:rPr>
              <w:t xml:space="preserve">38.5 </w:t>
            </w:r>
            <w:r>
              <w:rPr>
                <w:rFonts w:hint="cs"/>
                <w:rtl/>
              </w:rPr>
              <w:t>في المائة</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275265" w:rsidRPr="002266BE" w:rsidRDefault="00275265" w:rsidP="003F4B71">
            <w:pPr>
              <w:rPr>
                <w:rFonts w:hint="cs"/>
                <w:rtl/>
              </w:rPr>
            </w:pPr>
            <w:r w:rsidRPr="002266BE">
              <w:rPr>
                <w:rFonts w:hint="cs"/>
                <w:rtl/>
              </w:rPr>
              <w:t xml:space="preserve">21.3 </w:t>
            </w:r>
            <w:r>
              <w:rPr>
                <w:rFonts w:hint="cs"/>
                <w:rtl/>
              </w:rPr>
              <w:t>في المائة</w:t>
            </w:r>
          </w:p>
        </w:tc>
      </w:tr>
      <w:tr w:rsidR="00275265">
        <w:tblPrEx>
          <w:tblCellMar>
            <w:top w:w="0" w:type="dxa"/>
            <w:bottom w:w="0" w:type="dxa"/>
          </w:tblCellMar>
        </w:tblPrEx>
        <w:trPr>
          <w:jc w:val="center"/>
        </w:trPr>
        <w:tc>
          <w:tcPr>
            <w:tcW w:w="2846" w:type="dxa"/>
            <w:tcBorders>
              <w:top w:val="single" w:sz="4" w:space="0" w:color="auto"/>
              <w:left w:val="single" w:sz="4" w:space="0" w:color="auto"/>
            </w:tcBorders>
            <w:shd w:val="clear" w:color="auto" w:fill="auto"/>
          </w:tcPr>
          <w:p w:rsidR="00275265" w:rsidRDefault="00275265" w:rsidP="003F4B71">
            <w:pPr>
              <w:rPr>
                <w:rFonts w:hint="cs"/>
                <w:rtl/>
              </w:rPr>
            </w:pPr>
            <w:r>
              <w:rPr>
                <w:rFonts w:hint="cs"/>
                <w:rtl/>
              </w:rPr>
              <w:t>سكان الريف</w:t>
            </w:r>
          </w:p>
        </w:tc>
        <w:tc>
          <w:tcPr>
            <w:tcW w:w="1648" w:type="dxa"/>
            <w:tcBorders>
              <w:top w:val="single" w:sz="4" w:space="0" w:color="auto"/>
              <w:right w:val="single" w:sz="4" w:space="0" w:color="auto"/>
            </w:tcBorders>
            <w:shd w:val="clear" w:color="auto" w:fill="auto"/>
          </w:tcPr>
          <w:p w:rsidR="00275265" w:rsidRDefault="00275265" w:rsidP="003F4B71">
            <w:pPr>
              <w:rPr>
                <w:rFonts w:hint="cs"/>
                <w:rtl/>
              </w:rPr>
            </w:pPr>
            <w:r>
              <w:rPr>
                <w:rFonts w:hint="cs"/>
                <w:rtl/>
              </w:rPr>
              <w:t>المجموع</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275265" w:rsidRPr="002266BE" w:rsidRDefault="00275265" w:rsidP="003F4B71">
            <w:pPr>
              <w:rPr>
                <w:rFonts w:hint="cs"/>
                <w:rtl/>
              </w:rPr>
            </w:pPr>
            <w:r w:rsidRPr="002266BE">
              <w:rPr>
                <w:rFonts w:hint="cs"/>
                <w:rtl/>
              </w:rPr>
              <w:t xml:space="preserve">57.3 </w:t>
            </w:r>
            <w:r>
              <w:rPr>
                <w:rFonts w:hint="cs"/>
                <w:rtl/>
              </w:rPr>
              <w:t>في المائة</w:t>
            </w:r>
          </w:p>
        </w:tc>
        <w:tc>
          <w:tcPr>
            <w:tcW w:w="1365" w:type="dxa"/>
            <w:tcBorders>
              <w:top w:val="single" w:sz="4" w:space="0" w:color="auto"/>
              <w:left w:val="single" w:sz="4" w:space="0" w:color="auto"/>
              <w:bottom w:val="single" w:sz="4" w:space="0" w:color="auto"/>
              <w:right w:val="single" w:sz="4" w:space="0" w:color="auto"/>
            </w:tcBorders>
            <w:shd w:val="clear" w:color="auto" w:fill="auto"/>
          </w:tcPr>
          <w:p w:rsidR="00275265" w:rsidRPr="002266BE" w:rsidRDefault="00275265" w:rsidP="003F4B71">
            <w:pPr>
              <w:rPr>
                <w:rFonts w:hint="cs"/>
                <w:rtl/>
              </w:rPr>
            </w:pPr>
            <w:r w:rsidRPr="002266BE">
              <w:rPr>
                <w:rFonts w:hint="cs"/>
                <w:rtl/>
              </w:rPr>
              <w:t xml:space="preserve">47.4 </w:t>
            </w:r>
            <w:r>
              <w:rPr>
                <w:rFonts w:hint="cs"/>
                <w:rtl/>
              </w:rPr>
              <w:t>في المائة</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275265" w:rsidRPr="002266BE" w:rsidRDefault="00275265" w:rsidP="003F4B71">
            <w:pPr>
              <w:rPr>
                <w:rFonts w:hint="cs"/>
                <w:rtl/>
              </w:rPr>
            </w:pPr>
            <w:r w:rsidRPr="002266BE">
              <w:rPr>
                <w:rFonts w:hint="cs"/>
                <w:rtl/>
              </w:rPr>
              <w:t xml:space="preserve">17.2 </w:t>
            </w:r>
            <w:r>
              <w:rPr>
                <w:rFonts w:hint="cs"/>
                <w:rtl/>
              </w:rPr>
              <w:t>في المائة</w:t>
            </w:r>
          </w:p>
        </w:tc>
      </w:tr>
      <w:tr w:rsidR="00275265">
        <w:tblPrEx>
          <w:tblCellMar>
            <w:top w:w="0" w:type="dxa"/>
            <w:bottom w:w="0" w:type="dxa"/>
          </w:tblCellMar>
        </w:tblPrEx>
        <w:trPr>
          <w:jc w:val="center"/>
        </w:trPr>
        <w:tc>
          <w:tcPr>
            <w:tcW w:w="2846" w:type="dxa"/>
            <w:tcBorders>
              <w:left w:val="single" w:sz="4" w:space="0" w:color="auto"/>
            </w:tcBorders>
            <w:shd w:val="clear" w:color="auto" w:fill="auto"/>
          </w:tcPr>
          <w:p w:rsidR="00275265" w:rsidRDefault="00275265" w:rsidP="003F4B71">
            <w:pPr>
              <w:rPr>
                <w:rFonts w:hint="cs"/>
                <w:rtl/>
              </w:rPr>
            </w:pPr>
          </w:p>
        </w:tc>
        <w:tc>
          <w:tcPr>
            <w:tcW w:w="1648" w:type="dxa"/>
            <w:tcBorders>
              <w:right w:val="single" w:sz="4" w:space="0" w:color="auto"/>
            </w:tcBorders>
            <w:shd w:val="clear" w:color="auto" w:fill="auto"/>
          </w:tcPr>
          <w:p w:rsidR="00275265" w:rsidRDefault="00275265" w:rsidP="003F4B71">
            <w:pPr>
              <w:rPr>
                <w:rFonts w:hint="cs"/>
                <w:rtl/>
              </w:rPr>
            </w:pPr>
            <w:r>
              <w:rPr>
                <w:rFonts w:hint="cs"/>
                <w:rtl/>
              </w:rPr>
              <w:t>الرجال</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275265" w:rsidRPr="002266BE" w:rsidRDefault="00275265" w:rsidP="003F4B71">
            <w:pPr>
              <w:rPr>
                <w:rFonts w:hint="cs"/>
                <w:rtl/>
              </w:rPr>
            </w:pPr>
            <w:r w:rsidRPr="002266BE">
              <w:rPr>
                <w:rFonts w:hint="cs"/>
                <w:rtl/>
              </w:rPr>
              <w:t xml:space="preserve">65.1 </w:t>
            </w:r>
            <w:r>
              <w:rPr>
                <w:rFonts w:hint="cs"/>
                <w:rtl/>
              </w:rPr>
              <w:t>في المائة</w:t>
            </w:r>
          </w:p>
        </w:tc>
        <w:tc>
          <w:tcPr>
            <w:tcW w:w="1365" w:type="dxa"/>
            <w:tcBorders>
              <w:top w:val="single" w:sz="4" w:space="0" w:color="auto"/>
              <w:left w:val="single" w:sz="4" w:space="0" w:color="auto"/>
              <w:bottom w:val="single" w:sz="4" w:space="0" w:color="auto"/>
              <w:right w:val="single" w:sz="4" w:space="0" w:color="auto"/>
            </w:tcBorders>
            <w:shd w:val="clear" w:color="auto" w:fill="auto"/>
          </w:tcPr>
          <w:p w:rsidR="00275265" w:rsidRPr="002266BE" w:rsidRDefault="00275265" w:rsidP="003F4B71">
            <w:pPr>
              <w:rPr>
                <w:rFonts w:hint="cs"/>
                <w:rtl/>
              </w:rPr>
            </w:pPr>
            <w:r w:rsidRPr="002266BE">
              <w:rPr>
                <w:rFonts w:hint="cs"/>
                <w:rtl/>
              </w:rPr>
              <w:t xml:space="preserve">55.0 </w:t>
            </w:r>
            <w:r>
              <w:rPr>
                <w:rFonts w:hint="cs"/>
                <w:rtl/>
              </w:rPr>
              <w:t>في المائة</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275265" w:rsidRPr="002266BE" w:rsidRDefault="00275265" w:rsidP="003F4B71">
            <w:pPr>
              <w:rPr>
                <w:rFonts w:hint="cs"/>
                <w:rtl/>
              </w:rPr>
            </w:pPr>
            <w:r w:rsidRPr="002266BE">
              <w:rPr>
                <w:rFonts w:hint="cs"/>
                <w:rtl/>
              </w:rPr>
              <w:t xml:space="preserve">15.5 </w:t>
            </w:r>
            <w:r>
              <w:rPr>
                <w:rFonts w:hint="cs"/>
                <w:rtl/>
              </w:rPr>
              <w:t>في المائة</w:t>
            </w:r>
          </w:p>
        </w:tc>
      </w:tr>
      <w:tr w:rsidR="00275265">
        <w:tblPrEx>
          <w:tblCellMar>
            <w:top w:w="0" w:type="dxa"/>
            <w:bottom w:w="0" w:type="dxa"/>
          </w:tblCellMar>
        </w:tblPrEx>
        <w:trPr>
          <w:jc w:val="center"/>
        </w:trPr>
        <w:tc>
          <w:tcPr>
            <w:tcW w:w="2846" w:type="dxa"/>
            <w:tcBorders>
              <w:left w:val="single" w:sz="4" w:space="0" w:color="auto"/>
              <w:bottom w:val="single" w:sz="4" w:space="0" w:color="auto"/>
            </w:tcBorders>
            <w:shd w:val="clear" w:color="auto" w:fill="auto"/>
          </w:tcPr>
          <w:p w:rsidR="00275265" w:rsidRDefault="00275265" w:rsidP="003F4B71">
            <w:pPr>
              <w:rPr>
                <w:rFonts w:hint="cs"/>
                <w:rtl/>
              </w:rPr>
            </w:pPr>
          </w:p>
        </w:tc>
        <w:tc>
          <w:tcPr>
            <w:tcW w:w="1648" w:type="dxa"/>
            <w:tcBorders>
              <w:bottom w:val="single" w:sz="4" w:space="0" w:color="auto"/>
              <w:right w:val="single" w:sz="4" w:space="0" w:color="auto"/>
            </w:tcBorders>
            <w:shd w:val="clear" w:color="auto" w:fill="auto"/>
          </w:tcPr>
          <w:p w:rsidR="00275265" w:rsidRDefault="00275265" w:rsidP="003F4B71">
            <w:pPr>
              <w:rPr>
                <w:rFonts w:hint="cs"/>
                <w:rtl/>
              </w:rPr>
            </w:pPr>
            <w:r>
              <w:rPr>
                <w:rFonts w:hint="cs"/>
                <w:rtl/>
              </w:rPr>
              <w:t>النساء</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275265" w:rsidRPr="002266BE" w:rsidRDefault="00275265" w:rsidP="003F4B71">
            <w:pPr>
              <w:rPr>
                <w:rFonts w:hint="cs"/>
                <w:rtl/>
              </w:rPr>
            </w:pPr>
            <w:r w:rsidRPr="002266BE">
              <w:rPr>
                <w:rFonts w:hint="cs"/>
                <w:rtl/>
              </w:rPr>
              <w:t xml:space="preserve">49.6 </w:t>
            </w:r>
            <w:r>
              <w:rPr>
                <w:rFonts w:hint="cs"/>
                <w:rtl/>
              </w:rPr>
              <w:t>في المائة</w:t>
            </w:r>
          </w:p>
        </w:tc>
        <w:tc>
          <w:tcPr>
            <w:tcW w:w="1365" w:type="dxa"/>
            <w:tcBorders>
              <w:top w:val="single" w:sz="4" w:space="0" w:color="auto"/>
              <w:left w:val="single" w:sz="4" w:space="0" w:color="auto"/>
              <w:bottom w:val="single" w:sz="4" w:space="0" w:color="auto"/>
              <w:right w:val="single" w:sz="4" w:space="0" w:color="auto"/>
            </w:tcBorders>
            <w:shd w:val="clear" w:color="auto" w:fill="auto"/>
          </w:tcPr>
          <w:p w:rsidR="00275265" w:rsidRPr="002266BE" w:rsidRDefault="00275265" w:rsidP="003F4B71">
            <w:pPr>
              <w:rPr>
                <w:rFonts w:hint="cs"/>
                <w:rtl/>
              </w:rPr>
            </w:pPr>
            <w:r w:rsidRPr="002266BE">
              <w:rPr>
                <w:rFonts w:hint="cs"/>
                <w:rtl/>
              </w:rPr>
              <w:t xml:space="preserve">40.0 </w:t>
            </w:r>
            <w:r>
              <w:rPr>
                <w:rFonts w:hint="cs"/>
                <w:rtl/>
              </w:rPr>
              <w:t>في المائة</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275265" w:rsidRPr="002266BE" w:rsidRDefault="00275265" w:rsidP="003F4B71">
            <w:pPr>
              <w:rPr>
                <w:rFonts w:hint="cs"/>
                <w:rtl/>
              </w:rPr>
            </w:pPr>
            <w:r w:rsidRPr="002266BE">
              <w:rPr>
                <w:rFonts w:hint="cs"/>
                <w:rtl/>
              </w:rPr>
              <w:t xml:space="preserve">19.2 </w:t>
            </w:r>
            <w:r>
              <w:rPr>
                <w:rFonts w:hint="cs"/>
                <w:rtl/>
              </w:rPr>
              <w:t>في المائة</w:t>
            </w:r>
          </w:p>
        </w:tc>
      </w:tr>
      <w:tr w:rsidR="00275265">
        <w:tblPrEx>
          <w:tblCellMar>
            <w:top w:w="0" w:type="dxa"/>
            <w:bottom w:w="0" w:type="dxa"/>
          </w:tblCellMar>
        </w:tblPrEx>
        <w:trPr>
          <w:jc w:val="center"/>
        </w:trPr>
        <w:tc>
          <w:tcPr>
            <w:tcW w:w="2846" w:type="dxa"/>
            <w:tcBorders>
              <w:top w:val="single" w:sz="4" w:space="0" w:color="auto"/>
              <w:left w:val="single" w:sz="4" w:space="0" w:color="auto"/>
            </w:tcBorders>
            <w:shd w:val="clear" w:color="auto" w:fill="auto"/>
          </w:tcPr>
          <w:p w:rsidR="00275265" w:rsidRDefault="00275265" w:rsidP="003F4B71">
            <w:pPr>
              <w:rPr>
                <w:rFonts w:hint="cs"/>
                <w:rtl/>
              </w:rPr>
            </w:pPr>
            <w:r>
              <w:rPr>
                <w:rFonts w:hint="cs"/>
                <w:rtl/>
              </w:rPr>
              <w:t>سكان الريف المرتبطون بمزرعة</w:t>
            </w:r>
          </w:p>
        </w:tc>
        <w:tc>
          <w:tcPr>
            <w:tcW w:w="1648" w:type="dxa"/>
            <w:tcBorders>
              <w:top w:val="single" w:sz="4" w:space="0" w:color="auto"/>
              <w:right w:val="single" w:sz="4" w:space="0" w:color="auto"/>
            </w:tcBorders>
            <w:shd w:val="clear" w:color="auto" w:fill="auto"/>
          </w:tcPr>
          <w:p w:rsidR="00275265" w:rsidRDefault="00275265" w:rsidP="003F4B71">
            <w:pPr>
              <w:rPr>
                <w:rFonts w:hint="cs"/>
                <w:rtl/>
              </w:rPr>
            </w:pPr>
            <w:r>
              <w:rPr>
                <w:rFonts w:hint="cs"/>
                <w:rtl/>
              </w:rPr>
              <w:t>المجموع</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275265" w:rsidRPr="002266BE" w:rsidRDefault="00275265" w:rsidP="003F4B71">
            <w:pPr>
              <w:rPr>
                <w:rFonts w:hint="cs"/>
                <w:rtl/>
              </w:rPr>
            </w:pPr>
            <w:r w:rsidRPr="002266BE">
              <w:rPr>
                <w:rFonts w:hint="cs"/>
                <w:rtl/>
              </w:rPr>
              <w:t xml:space="preserve">65.9 </w:t>
            </w:r>
            <w:r>
              <w:rPr>
                <w:rFonts w:hint="cs"/>
                <w:rtl/>
              </w:rPr>
              <w:t>في المائة</w:t>
            </w:r>
          </w:p>
        </w:tc>
        <w:tc>
          <w:tcPr>
            <w:tcW w:w="1365" w:type="dxa"/>
            <w:tcBorders>
              <w:top w:val="single" w:sz="4" w:space="0" w:color="auto"/>
              <w:left w:val="single" w:sz="4" w:space="0" w:color="auto"/>
              <w:bottom w:val="single" w:sz="4" w:space="0" w:color="auto"/>
              <w:right w:val="single" w:sz="4" w:space="0" w:color="auto"/>
            </w:tcBorders>
            <w:shd w:val="clear" w:color="auto" w:fill="auto"/>
          </w:tcPr>
          <w:p w:rsidR="00275265" w:rsidRPr="002266BE" w:rsidRDefault="00275265" w:rsidP="003F4B71">
            <w:pPr>
              <w:rPr>
                <w:rFonts w:hint="cs"/>
                <w:rtl/>
              </w:rPr>
            </w:pPr>
            <w:r w:rsidRPr="002266BE">
              <w:rPr>
                <w:rFonts w:hint="cs"/>
                <w:rtl/>
              </w:rPr>
              <w:t xml:space="preserve">59.1 </w:t>
            </w:r>
            <w:r>
              <w:rPr>
                <w:rFonts w:hint="cs"/>
                <w:rtl/>
              </w:rPr>
              <w:t>في المائة</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275265" w:rsidRPr="002266BE" w:rsidRDefault="00275265" w:rsidP="003F4B71">
            <w:pPr>
              <w:rPr>
                <w:rFonts w:hint="cs"/>
                <w:rtl/>
              </w:rPr>
            </w:pPr>
            <w:r w:rsidRPr="002266BE">
              <w:rPr>
                <w:rFonts w:hint="cs"/>
                <w:rtl/>
              </w:rPr>
              <w:t xml:space="preserve">10.4 </w:t>
            </w:r>
            <w:r>
              <w:rPr>
                <w:rFonts w:hint="cs"/>
                <w:rtl/>
              </w:rPr>
              <w:t>في المائة</w:t>
            </w:r>
          </w:p>
        </w:tc>
      </w:tr>
      <w:tr w:rsidR="00275265">
        <w:tblPrEx>
          <w:tblCellMar>
            <w:top w:w="0" w:type="dxa"/>
            <w:bottom w:w="0" w:type="dxa"/>
          </w:tblCellMar>
        </w:tblPrEx>
        <w:trPr>
          <w:jc w:val="center"/>
        </w:trPr>
        <w:tc>
          <w:tcPr>
            <w:tcW w:w="2846" w:type="dxa"/>
            <w:tcBorders>
              <w:left w:val="single" w:sz="4" w:space="0" w:color="auto"/>
            </w:tcBorders>
            <w:shd w:val="clear" w:color="auto" w:fill="auto"/>
          </w:tcPr>
          <w:p w:rsidR="00275265" w:rsidRDefault="00275265" w:rsidP="003F4B71">
            <w:pPr>
              <w:rPr>
                <w:rFonts w:hint="cs"/>
                <w:rtl/>
              </w:rPr>
            </w:pPr>
          </w:p>
        </w:tc>
        <w:tc>
          <w:tcPr>
            <w:tcW w:w="1648" w:type="dxa"/>
            <w:tcBorders>
              <w:right w:val="single" w:sz="4" w:space="0" w:color="auto"/>
            </w:tcBorders>
            <w:shd w:val="clear" w:color="auto" w:fill="auto"/>
          </w:tcPr>
          <w:p w:rsidR="00275265" w:rsidRDefault="00275265" w:rsidP="003F4B71">
            <w:pPr>
              <w:rPr>
                <w:rFonts w:hint="cs"/>
                <w:rtl/>
              </w:rPr>
            </w:pPr>
            <w:r>
              <w:rPr>
                <w:rFonts w:hint="cs"/>
                <w:rtl/>
              </w:rPr>
              <w:t>الرجال</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275265" w:rsidRPr="002266BE" w:rsidRDefault="00275265" w:rsidP="003F4B71">
            <w:pPr>
              <w:rPr>
                <w:rFonts w:hint="cs"/>
                <w:rtl/>
              </w:rPr>
            </w:pPr>
            <w:r w:rsidRPr="002266BE">
              <w:rPr>
                <w:rFonts w:hint="cs"/>
                <w:rtl/>
              </w:rPr>
              <w:t xml:space="preserve">72.1 </w:t>
            </w:r>
            <w:r>
              <w:rPr>
                <w:rFonts w:hint="cs"/>
                <w:rtl/>
              </w:rPr>
              <w:t>في المائة</w:t>
            </w:r>
          </w:p>
        </w:tc>
        <w:tc>
          <w:tcPr>
            <w:tcW w:w="1365" w:type="dxa"/>
            <w:tcBorders>
              <w:top w:val="single" w:sz="4" w:space="0" w:color="auto"/>
              <w:left w:val="single" w:sz="4" w:space="0" w:color="auto"/>
              <w:bottom w:val="single" w:sz="4" w:space="0" w:color="auto"/>
              <w:right w:val="single" w:sz="4" w:space="0" w:color="auto"/>
            </w:tcBorders>
            <w:shd w:val="clear" w:color="auto" w:fill="auto"/>
          </w:tcPr>
          <w:p w:rsidR="00275265" w:rsidRPr="002266BE" w:rsidRDefault="00275265" w:rsidP="003F4B71">
            <w:pPr>
              <w:rPr>
                <w:rFonts w:hint="cs"/>
                <w:rtl/>
              </w:rPr>
            </w:pPr>
            <w:r w:rsidRPr="002266BE">
              <w:rPr>
                <w:rFonts w:hint="cs"/>
                <w:rtl/>
              </w:rPr>
              <w:t xml:space="preserve">65.6 </w:t>
            </w:r>
            <w:r>
              <w:rPr>
                <w:rFonts w:hint="cs"/>
                <w:rtl/>
              </w:rPr>
              <w:t>في المائة</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275265" w:rsidRPr="002266BE" w:rsidRDefault="00275265" w:rsidP="003F4B71">
            <w:pPr>
              <w:rPr>
                <w:rFonts w:hint="cs"/>
                <w:rtl/>
              </w:rPr>
            </w:pPr>
            <w:r w:rsidRPr="002266BE">
              <w:rPr>
                <w:rFonts w:hint="cs"/>
                <w:rtl/>
              </w:rPr>
              <w:t xml:space="preserve">9.1 </w:t>
            </w:r>
            <w:r>
              <w:rPr>
                <w:rFonts w:hint="cs"/>
                <w:rtl/>
              </w:rPr>
              <w:t>في المائة</w:t>
            </w:r>
          </w:p>
        </w:tc>
      </w:tr>
      <w:tr w:rsidR="00275265">
        <w:tblPrEx>
          <w:tblCellMar>
            <w:top w:w="0" w:type="dxa"/>
            <w:bottom w:w="0" w:type="dxa"/>
          </w:tblCellMar>
        </w:tblPrEx>
        <w:trPr>
          <w:jc w:val="center"/>
        </w:trPr>
        <w:tc>
          <w:tcPr>
            <w:tcW w:w="2846" w:type="dxa"/>
            <w:tcBorders>
              <w:left w:val="single" w:sz="4" w:space="0" w:color="auto"/>
              <w:bottom w:val="single" w:sz="4" w:space="0" w:color="auto"/>
            </w:tcBorders>
            <w:shd w:val="clear" w:color="auto" w:fill="auto"/>
          </w:tcPr>
          <w:p w:rsidR="00275265" w:rsidRDefault="00275265" w:rsidP="003F4B71">
            <w:pPr>
              <w:rPr>
                <w:rFonts w:hint="cs"/>
                <w:rtl/>
              </w:rPr>
            </w:pPr>
          </w:p>
        </w:tc>
        <w:tc>
          <w:tcPr>
            <w:tcW w:w="1648" w:type="dxa"/>
            <w:tcBorders>
              <w:bottom w:val="single" w:sz="4" w:space="0" w:color="auto"/>
              <w:right w:val="single" w:sz="4" w:space="0" w:color="auto"/>
            </w:tcBorders>
            <w:shd w:val="clear" w:color="auto" w:fill="auto"/>
          </w:tcPr>
          <w:p w:rsidR="00275265" w:rsidRDefault="00275265" w:rsidP="003F4B71">
            <w:pPr>
              <w:rPr>
                <w:rFonts w:hint="cs"/>
                <w:rtl/>
              </w:rPr>
            </w:pPr>
            <w:r>
              <w:rPr>
                <w:rFonts w:hint="cs"/>
                <w:rtl/>
              </w:rPr>
              <w:t>النساء</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275265" w:rsidRPr="002266BE" w:rsidRDefault="00275265" w:rsidP="003F4B71">
            <w:pPr>
              <w:rPr>
                <w:rFonts w:hint="cs"/>
                <w:rtl/>
              </w:rPr>
            </w:pPr>
            <w:r w:rsidRPr="002266BE">
              <w:rPr>
                <w:rFonts w:hint="cs"/>
                <w:rtl/>
              </w:rPr>
              <w:t xml:space="preserve">59.4 </w:t>
            </w:r>
            <w:r>
              <w:rPr>
                <w:rFonts w:hint="cs"/>
                <w:rtl/>
              </w:rPr>
              <w:t>في المائة</w:t>
            </w:r>
          </w:p>
        </w:tc>
        <w:tc>
          <w:tcPr>
            <w:tcW w:w="1365" w:type="dxa"/>
            <w:tcBorders>
              <w:top w:val="single" w:sz="4" w:space="0" w:color="auto"/>
              <w:left w:val="single" w:sz="4" w:space="0" w:color="auto"/>
              <w:bottom w:val="single" w:sz="4" w:space="0" w:color="auto"/>
              <w:right w:val="single" w:sz="4" w:space="0" w:color="auto"/>
            </w:tcBorders>
            <w:shd w:val="clear" w:color="auto" w:fill="auto"/>
          </w:tcPr>
          <w:p w:rsidR="00275265" w:rsidRPr="002266BE" w:rsidRDefault="00275265" w:rsidP="003F4B71">
            <w:pPr>
              <w:rPr>
                <w:rFonts w:hint="cs"/>
                <w:rtl/>
              </w:rPr>
            </w:pPr>
            <w:r w:rsidRPr="002266BE">
              <w:rPr>
                <w:rFonts w:hint="cs"/>
                <w:rtl/>
              </w:rPr>
              <w:t xml:space="preserve">52.3 </w:t>
            </w:r>
            <w:r>
              <w:rPr>
                <w:rFonts w:hint="cs"/>
                <w:rtl/>
              </w:rPr>
              <w:t>في المائة</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275265" w:rsidRPr="002266BE" w:rsidRDefault="00275265" w:rsidP="003F4B71">
            <w:pPr>
              <w:rPr>
                <w:rFonts w:hint="cs"/>
                <w:rtl/>
              </w:rPr>
            </w:pPr>
            <w:r w:rsidRPr="002266BE">
              <w:rPr>
                <w:rFonts w:hint="cs"/>
                <w:rtl/>
              </w:rPr>
              <w:t xml:space="preserve">12.0 </w:t>
            </w:r>
            <w:r>
              <w:rPr>
                <w:rFonts w:hint="cs"/>
                <w:rtl/>
              </w:rPr>
              <w:t>في المائة</w:t>
            </w:r>
          </w:p>
        </w:tc>
      </w:tr>
      <w:tr w:rsidR="00275265">
        <w:tblPrEx>
          <w:tblCellMar>
            <w:top w:w="0" w:type="dxa"/>
            <w:bottom w:w="0" w:type="dxa"/>
          </w:tblCellMar>
        </w:tblPrEx>
        <w:trPr>
          <w:jc w:val="center"/>
        </w:trPr>
        <w:tc>
          <w:tcPr>
            <w:tcW w:w="2846" w:type="dxa"/>
            <w:tcBorders>
              <w:top w:val="single" w:sz="4" w:space="0" w:color="auto"/>
              <w:left w:val="single" w:sz="4" w:space="0" w:color="auto"/>
            </w:tcBorders>
            <w:shd w:val="clear" w:color="auto" w:fill="auto"/>
          </w:tcPr>
          <w:p w:rsidR="00275265" w:rsidRDefault="00275265" w:rsidP="003F4B71">
            <w:pPr>
              <w:rPr>
                <w:rFonts w:hint="cs"/>
                <w:rtl/>
              </w:rPr>
            </w:pPr>
            <w:r>
              <w:rPr>
                <w:rFonts w:hint="cs"/>
                <w:rtl/>
              </w:rPr>
              <w:t>سكان الريف غير المرتبطين بمزرعة</w:t>
            </w:r>
          </w:p>
        </w:tc>
        <w:tc>
          <w:tcPr>
            <w:tcW w:w="1648" w:type="dxa"/>
            <w:tcBorders>
              <w:top w:val="single" w:sz="4" w:space="0" w:color="auto"/>
              <w:right w:val="single" w:sz="4" w:space="0" w:color="auto"/>
            </w:tcBorders>
            <w:shd w:val="clear" w:color="auto" w:fill="auto"/>
          </w:tcPr>
          <w:p w:rsidR="00275265" w:rsidRDefault="00275265" w:rsidP="003F4B71">
            <w:pPr>
              <w:rPr>
                <w:rFonts w:hint="cs"/>
                <w:rtl/>
              </w:rPr>
            </w:pPr>
            <w:r>
              <w:rPr>
                <w:rFonts w:hint="cs"/>
                <w:rtl/>
              </w:rPr>
              <w:t>المجموع</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275265" w:rsidRPr="002266BE" w:rsidRDefault="00275265" w:rsidP="003F4B71">
            <w:pPr>
              <w:rPr>
                <w:rFonts w:hint="cs"/>
                <w:rtl/>
              </w:rPr>
            </w:pPr>
            <w:r w:rsidRPr="002266BE">
              <w:rPr>
                <w:rFonts w:hint="cs"/>
                <w:rtl/>
              </w:rPr>
              <w:t xml:space="preserve">46.5 </w:t>
            </w:r>
            <w:r>
              <w:rPr>
                <w:rFonts w:hint="cs"/>
                <w:rtl/>
              </w:rPr>
              <w:t>في المائة</w:t>
            </w:r>
          </w:p>
        </w:tc>
        <w:tc>
          <w:tcPr>
            <w:tcW w:w="1365" w:type="dxa"/>
            <w:tcBorders>
              <w:top w:val="single" w:sz="4" w:space="0" w:color="auto"/>
              <w:left w:val="single" w:sz="4" w:space="0" w:color="auto"/>
              <w:bottom w:val="single" w:sz="4" w:space="0" w:color="auto"/>
              <w:right w:val="single" w:sz="4" w:space="0" w:color="auto"/>
            </w:tcBorders>
            <w:shd w:val="clear" w:color="auto" w:fill="auto"/>
          </w:tcPr>
          <w:p w:rsidR="00275265" w:rsidRPr="002266BE" w:rsidRDefault="00275265" w:rsidP="003F4B71">
            <w:pPr>
              <w:rPr>
                <w:rFonts w:hint="cs"/>
                <w:rtl/>
              </w:rPr>
            </w:pPr>
            <w:r w:rsidRPr="002266BE">
              <w:rPr>
                <w:rFonts w:hint="cs"/>
                <w:rtl/>
              </w:rPr>
              <w:t xml:space="preserve">33.0 </w:t>
            </w:r>
            <w:r>
              <w:rPr>
                <w:rFonts w:hint="cs"/>
                <w:rtl/>
              </w:rPr>
              <w:t>في المائة</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275265" w:rsidRPr="002266BE" w:rsidRDefault="00275265" w:rsidP="003F4B71">
            <w:pPr>
              <w:rPr>
                <w:rFonts w:hint="cs"/>
                <w:rtl/>
              </w:rPr>
            </w:pPr>
            <w:r w:rsidRPr="002266BE">
              <w:rPr>
                <w:rFonts w:hint="cs"/>
                <w:rtl/>
              </w:rPr>
              <w:t xml:space="preserve">29.1 </w:t>
            </w:r>
            <w:r>
              <w:rPr>
                <w:rFonts w:hint="cs"/>
                <w:rtl/>
              </w:rPr>
              <w:t>في المائة</w:t>
            </w:r>
          </w:p>
        </w:tc>
      </w:tr>
      <w:tr w:rsidR="00275265">
        <w:tblPrEx>
          <w:tblCellMar>
            <w:top w:w="0" w:type="dxa"/>
            <w:bottom w:w="0" w:type="dxa"/>
          </w:tblCellMar>
        </w:tblPrEx>
        <w:trPr>
          <w:jc w:val="center"/>
        </w:trPr>
        <w:tc>
          <w:tcPr>
            <w:tcW w:w="2846" w:type="dxa"/>
            <w:tcBorders>
              <w:left w:val="single" w:sz="4" w:space="0" w:color="auto"/>
            </w:tcBorders>
            <w:shd w:val="clear" w:color="auto" w:fill="auto"/>
          </w:tcPr>
          <w:p w:rsidR="00275265" w:rsidRDefault="00275265" w:rsidP="003F4B71">
            <w:pPr>
              <w:rPr>
                <w:rFonts w:hint="cs"/>
                <w:rtl/>
              </w:rPr>
            </w:pPr>
          </w:p>
        </w:tc>
        <w:tc>
          <w:tcPr>
            <w:tcW w:w="1648" w:type="dxa"/>
            <w:tcBorders>
              <w:right w:val="single" w:sz="4" w:space="0" w:color="auto"/>
            </w:tcBorders>
            <w:shd w:val="clear" w:color="auto" w:fill="auto"/>
          </w:tcPr>
          <w:p w:rsidR="00275265" w:rsidRDefault="00275265" w:rsidP="003F4B71">
            <w:pPr>
              <w:rPr>
                <w:rFonts w:hint="cs"/>
                <w:rtl/>
              </w:rPr>
            </w:pPr>
            <w:r>
              <w:rPr>
                <w:rFonts w:hint="cs"/>
                <w:rtl/>
              </w:rPr>
              <w:t>الرجال</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275265" w:rsidRPr="002266BE" w:rsidRDefault="00275265" w:rsidP="003F4B71">
            <w:pPr>
              <w:rPr>
                <w:rFonts w:hint="cs"/>
                <w:rtl/>
              </w:rPr>
            </w:pPr>
            <w:r w:rsidRPr="002266BE">
              <w:rPr>
                <w:rFonts w:hint="cs"/>
                <w:rtl/>
              </w:rPr>
              <w:t xml:space="preserve">55.8 </w:t>
            </w:r>
            <w:r>
              <w:rPr>
                <w:rFonts w:hint="cs"/>
                <w:rtl/>
              </w:rPr>
              <w:t>في المائة</w:t>
            </w:r>
          </w:p>
        </w:tc>
        <w:tc>
          <w:tcPr>
            <w:tcW w:w="1365" w:type="dxa"/>
            <w:tcBorders>
              <w:top w:val="single" w:sz="4" w:space="0" w:color="auto"/>
              <w:left w:val="single" w:sz="4" w:space="0" w:color="auto"/>
              <w:bottom w:val="single" w:sz="4" w:space="0" w:color="auto"/>
              <w:right w:val="single" w:sz="4" w:space="0" w:color="auto"/>
            </w:tcBorders>
            <w:shd w:val="clear" w:color="auto" w:fill="auto"/>
          </w:tcPr>
          <w:p w:rsidR="00275265" w:rsidRPr="002266BE" w:rsidRDefault="00275265" w:rsidP="003F4B71">
            <w:pPr>
              <w:rPr>
                <w:rFonts w:hint="cs"/>
                <w:rtl/>
              </w:rPr>
            </w:pPr>
            <w:r w:rsidRPr="002266BE">
              <w:rPr>
                <w:rFonts w:hint="cs"/>
                <w:rtl/>
              </w:rPr>
              <w:t xml:space="preserve">40.9 </w:t>
            </w:r>
            <w:r>
              <w:rPr>
                <w:rFonts w:hint="cs"/>
                <w:rtl/>
              </w:rPr>
              <w:t>في المائة</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275265" w:rsidRPr="002266BE" w:rsidRDefault="00275265" w:rsidP="003F4B71">
            <w:pPr>
              <w:rPr>
                <w:rFonts w:hint="cs"/>
                <w:rtl/>
              </w:rPr>
            </w:pPr>
            <w:r w:rsidRPr="002266BE">
              <w:rPr>
                <w:rFonts w:hint="cs"/>
                <w:rtl/>
              </w:rPr>
              <w:t xml:space="preserve">26.6 </w:t>
            </w:r>
            <w:r>
              <w:rPr>
                <w:rFonts w:hint="cs"/>
                <w:rtl/>
              </w:rPr>
              <w:t>في المائة</w:t>
            </w:r>
          </w:p>
        </w:tc>
      </w:tr>
      <w:tr w:rsidR="00275265">
        <w:tblPrEx>
          <w:tblCellMar>
            <w:top w:w="0" w:type="dxa"/>
            <w:bottom w:w="0" w:type="dxa"/>
          </w:tblCellMar>
        </w:tblPrEx>
        <w:trPr>
          <w:jc w:val="center"/>
        </w:trPr>
        <w:tc>
          <w:tcPr>
            <w:tcW w:w="2846" w:type="dxa"/>
            <w:tcBorders>
              <w:left w:val="single" w:sz="4" w:space="0" w:color="auto"/>
              <w:bottom w:val="single" w:sz="4" w:space="0" w:color="auto"/>
            </w:tcBorders>
            <w:shd w:val="clear" w:color="auto" w:fill="auto"/>
          </w:tcPr>
          <w:p w:rsidR="00275265" w:rsidRDefault="00275265" w:rsidP="003F4B71">
            <w:pPr>
              <w:rPr>
                <w:rFonts w:hint="cs"/>
                <w:rtl/>
              </w:rPr>
            </w:pPr>
          </w:p>
        </w:tc>
        <w:tc>
          <w:tcPr>
            <w:tcW w:w="1648" w:type="dxa"/>
            <w:tcBorders>
              <w:bottom w:val="single" w:sz="4" w:space="0" w:color="auto"/>
              <w:right w:val="single" w:sz="4" w:space="0" w:color="auto"/>
            </w:tcBorders>
            <w:shd w:val="clear" w:color="auto" w:fill="auto"/>
          </w:tcPr>
          <w:p w:rsidR="00275265" w:rsidRDefault="00275265" w:rsidP="003F4B71">
            <w:pPr>
              <w:rPr>
                <w:rFonts w:hint="cs"/>
                <w:rtl/>
              </w:rPr>
            </w:pPr>
            <w:r>
              <w:rPr>
                <w:rFonts w:hint="cs"/>
                <w:rtl/>
              </w:rPr>
              <w:t>النساء</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275265" w:rsidRPr="002266BE" w:rsidRDefault="00275265" w:rsidP="003F4B71">
            <w:pPr>
              <w:rPr>
                <w:rFonts w:hint="cs"/>
                <w:rtl/>
              </w:rPr>
            </w:pPr>
            <w:r w:rsidRPr="002266BE">
              <w:rPr>
                <w:rFonts w:hint="cs"/>
                <w:rtl/>
              </w:rPr>
              <w:t xml:space="preserve">38.3 </w:t>
            </w:r>
            <w:r>
              <w:rPr>
                <w:rFonts w:hint="cs"/>
                <w:rtl/>
              </w:rPr>
              <w:t>في المائة</w:t>
            </w:r>
          </w:p>
        </w:tc>
        <w:tc>
          <w:tcPr>
            <w:tcW w:w="1365" w:type="dxa"/>
            <w:tcBorders>
              <w:top w:val="single" w:sz="4" w:space="0" w:color="auto"/>
              <w:left w:val="single" w:sz="4" w:space="0" w:color="auto"/>
              <w:bottom w:val="single" w:sz="4" w:space="0" w:color="auto"/>
              <w:right w:val="single" w:sz="4" w:space="0" w:color="auto"/>
            </w:tcBorders>
            <w:shd w:val="clear" w:color="auto" w:fill="auto"/>
          </w:tcPr>
          <w:p w:rsidR="00275265" w:rsidRPr="002266BE" w:rsidRDefault="00275265" w:rsidP="003F4B71">
            <w:pPr>
              <w:rPr>
                <w:rFonts w:hint="cs"/>
                <w:rtl/>
              </w:rPr>
            </w:pPr>
            <w:r w:rsidRPr="002266BE">
              <w:rPr>
                <w:rFonts w:hint="cs"/>
                <w:rtl/>
              </w:rPr>
              <w:t xml:space="preserve">25.9 </w:t>
            </w:r>
            <w:r>
              <w:rPr>
                <w:rFonts w:hint="cs"/>
                <w:rtl/>
              </w:rPr>
              <w:t>في المائة</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275265" w:rsidRPr="002266BE" w:rsidRDefault="00275265" w:rsidP="003F4B71">
            <w:pPr>
              <w:rPr>
                <w:rFonts w:hint="cs"/>
                <w:rtl/>
              </w:rPr>
            </w:pPr>
            <w:r w:rsidRPr="002266BE">
              <w:rPr>
                <w:rFonts w:hint="cs"/>
                <w:rtl/>
              </w:rPr>
              <w:t xml:space="preserve">32.3 </w:t>
            </w:r>
            <w:r>
              <w:rPr>
                <w:rFonts w:hint="cs"/>
                <w:rtl/>
              </w:rPr>
              <w:t>في المائة</w:t>
            </w:r>
          </w:p>
        </w:tc>
      </w:tr>
    </w:tbl>
    <w:p w:rsidR="00275265" w:rsidRDefault="00275265" w:rsidP="00275265">
      <w:pPr>
        <w:pStyle w:val="SingleTxt"/>
        <w:rPr>
          <w:rFonts w:hint="cs"/>
          <w:rtl/>
        </w:rPr>
      </w:pPr>
    </w:p>
    <w:p w:rsidR="00275265" w:rsidRDefault="00275265" w:rsidP="00275265">
      <w:pPr>
        <w:pStyle w:val="SingleTxt"/>
        <w:rPr>
          <w:rFonts w:hint="cs"/>
          <w:rtl/>
        </w:rPr>
      </w:pPr>
      <w:r>
        <w:rPr>
          <w:rFonts w:hint="cs"/>
          <w:rtl/>
        </w:rPr>
        <w:t>الجدول ألف -14-2</w:t>
      </w:r>
    </w:p>
    <w:p w:rsidR="00275265" w:rsidRPr="001971A5" w:rsidRDefault="00275265" w:rsidP="00275265">
      <w:pPr>
        <w:pStyle w:val="SingleTxt"/>
        <w:rPr>
          <w:rFonts w:hint="cs"/>
          <w:b/>
          <w:bCs/>
          <w:rtl/>
        </w:rPr>
      </w:pPr>
      <w:r>
        <w:rPr>
          <w:rFonts w:hint="cs"/>
          <w:b/>
          <w:bCs/>
          <w:rtl/>
        </w:rPr>
        <w:t xml:space="preserve">الأشخاص الذين يعيشون في بيوت مستقلة في عام 2002 </w:t>
      </w:r>
    </w:p>
    <w:p w:rsidR="00275265" w:rsidRPr="001971A5" w:rsidRDefault="00275265" w:rsidP="00275265">
      <w:pPr>
        <w:pStyle w:val="SingleTxt"/>
        <w:spacing w:after="0" w:line="120" w:lineRule="exact"/>
        <w:rPr>
          <w:rFonts w:hint="cs"/>
          <w:sz w:val="10"/>
          <w:rtl/>
        </w:rPr>
      </w:pPr>
    </w:p>
    <w:tbl>
      <w:tblPr>
        <w:bidiVisual/>
        <w:tblW w:w="9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67"/>
        <w:gridCol w:w="1236"/>
        <w:gridCol w:w="1339"/>
        <w:gridCol w:w="1339"/>
        <w:gridCol w:w="1570"/>
        <w:gridCol w:w="1339"/>
        <w:gridCol w:w="1803"/>
      </w:tblGrid>
      <w:tr w:rsidR="00275265">
        <w:tblPrEx>
          <w:tblCellMar>
            <w:top w:w="0" w:type="dxa"/>
            <w:bottom w:w="0" w:type="dxa"/>
          </w:tblCellMar>
        </w:tblPrEx>
        <w:trPr>
          <w:jc w:val="center"/>
        </w:trPr>
        <w:tc>
          <w:tcPr>
            <w:tcW w:w="967" w:type="dxa"/>
            <w:shd w:val="clear" w:color="auto" w:fill="auto"/>
            <w:tcMar>
              <w:left w:w="0" w:type="dxa"/>
              <w:right w:w="0" w:type="dxa"/>
            </w:tcMar>
          </w:tcPr>
          <w:p w:rsidR="00275265" w:rsidRDefault="00275265" w:rsidP="003F4B71">
            <w:pPr>
              <w:rPr>
                <w:rFonts w:hint="cs"/>
                <w:rtl/>
              </w:rPr>
            </w:pPr>
          </w:p>
        </w:tc>
        <w:tc>
          <w:tcPr>
            <w:tcW w:w="8626" w:type="dxa"/>
            <w:gridSpan w:val="6"/>
            <w:shd w:val="clear" w:color="auto" w:fill="auto"/>
          </w:tcPr>
          <w:p w:rsidR="00275265" w:rsidRPr="00460CDB" w:rsidRDefault="00275265" w:rsidP="003F4B71">
            <w:pPr>
              <w:jc w:val="center"/>
              <w:rPr>
                <w:rFonts w:hint="cs"/>
                <w:b/>
                <w:bCs/>
                <w:rtl/>
              </w:rPr>
            </w:pPr>
            <w:r w:rsidRPr="00460CDB">
              <w:rPr>
                <w:rFonts w:hint="cs"/>
                <w:b/>
                <w:bCs/>
                <w:rtl/>
              </w:rPr>
              <w:t>مجموع الأشخاص</w:t>
            </w:r>
            <w:r w:rsidR="00233F4D">
              <w:rPr>
                <w:rFonts w:hint="cs"/>
                <w:b/>
                <w:bCs/>
                <w:rtl/>
              </w:rPr>
              <w:t xml:space="preserve"> الذين يعيشون </w:t>
            </w:r>
            <w:r w:rsidRPr="00460CDB">
              <w:rPr>
                <w:rFonts w:hint="cs"/>
                <w:b/>
                <w:bCs/>
                <w:rtl/>
              </w:rPr>
              <w:t>في بيوت</w:t>
            </w:r>
          </w:p>
        </w:tc>
      </w:tr>
      <w:tr w:rsidR="00275265">
        <w:tblPrEx>
          <w:tblCellMar>
            <w:top w:w="0" w:type="dxa"/>
            <w:bottom w:w="0" w:type="dxa"/>
          </w:tblCellMar>
        </w:tblPrEx>
        <w:trPr>
          <w:jc w:val="center"/>
        </w:trPr>
        <w:tc>
          <w:tcPr>
            <w:tcW w:w="967" w:type="dxa"/>
            <w:shd w:val="clear" w:color="auto" w:fill="auto"/>
          </w:tcPr>
          <w:p w:rsidR="00275265" w:rsidRDefault="00275265" w:rsidP="003F4B71">
            <w:pPr>
              <w:rPr>
                <w:rFonts w:hint="cs"/>
                <w:rtl/>
              </w:rPr>
            </w:pPr>
          </w:p>
        </w:tc>
        <w:tc>
          <w:tcPr>
            <w:tcW w:w="1236" w:type="dxa"/>
            <w:shd w:val="clear" w:color="auto" w:fill="auto"/>
          </w:tcPr>
          <w:p w:rsidR="00275265" w:rsidRPr="00460CDB" w:rsidRDefault="00275265" w:rsidP="003F4B71">
            <w:pPr>
              <w:rPr>
                <w:rFonts w:hint="cs"/>
                <w:b/>
                <w:bCs/>
                <w:rtl/>
              </w:rPr>
            </w:pPr>
            <w:r w:rsidRPr="00460CDB">
              <w:rPr>
                <w:rFonts w:hint="cs"/>
                <w:b/>
                <w:bCs/>
                <w:rtl/>
              </w:rPr>
              <w:t>جيد جدا</w:t>
            </w:r>
          </w:p>
        </w:tc>
        <w:tc>
          <w:tcPr>
            <w:tcW w:w="1339" w:type="dxa"/>
            <w:shd w:val="clear" w:color="auto" w:fill="auto"/>
          </w:tcPr>
          <w:p w:rsidR="00275265" w:rsidRPr="00460CDB" w:rsidRDefault="00275265" w:rsidP="003F4B71">
            <w:pPr>
              <w:rPr>
                <w:rFonts w:hint="cs"/>
                <w:b/>
                <w:bCs/>
                <w:rtl/>
              </w:rPr>
            </w:pPr>
            <w:r w:rsidRPr="00460CDB">
              <w:rPr>
                <w:rFonts w:hint="cs"/>
                <w:b/>
                <w:bCs/>
                <w:rtl/>
              </w:rPr>
              <w:t>جيد</w:t>
            </w:r>
          </w:p>
        </w:tc>
        <w:tc>
          <w:tcPr>
            <w:tcW w:w="1339" w:type="dxa"/>
            <w:shd w:val="clear" w:color="auto" w:fill="auto"/>
          </w:tcPr>
          <w:p w:rsidR="00275265" w:rsidRPr="00460CDB" w:rsidRDefault="00275265" w:rsidP="003F4B71">
            <w:pPr>
              <w:rPr>
                <w:rFonts w:hint="cs"/>
                <w:b/>
                <w:bCs/>
                <w:rtl/>
              </w:rPr>
            </w:pPr>
            <w:r w:rsidRPr="00460CDB">
              <w:rPr>
                <w:rFonts w:hint="cs"/>
                <w:b/>
                <w:bCs/>
                <w:rtl/>
              </w:rPr>
              <w:t>مقبول</w:t>
            </w:r>
          </w:p>
        </w:tc>
        <w:tc>
          <w:tcPr>
            <w:tcW w:w="1570" w:type="dxa"/>
            <w:shd w:val="clear" w:color="auto" w:fill="auto"/>
          </w:tcPr>
          <w:p w:rsidR="00275265" w:rsidRPr="00460CDB" w:rsidRDefault="00275265" w:rsidP="003F4B71">
            <w:pPr>
              <w:rPr>
                <w:rFonts w:hint="cs"/>
                <w:b/>
                <w:bCs/>
                <w:rtl/>
              </w:rPr>
            </w:pPr>
            <w:r w:rsidRPr="00460CDB">
              <w:rPr>
                <w:rFonts w:hint="cs"/>
                <w:b/>
                <w:bCs/>
                <w:rtl/>
              </w:rPr>
              <w:t>رديء</w:t>
            </w:r>
          </w:p>
        </w:tc>
        <w:tc>
          <w:tcPr>
            <w:tcW w:w="3142" w:type="dxa"/>
            <w:gridSpan w:val="2"/>
            <w:shd w:val="clear" w:color="auto" w:fill="auto"/>
          </w:tcPr>
          <w:p w:rsidR="00275265" w:rsidRPr="00460CDB" w:rsidRDefault="00275265" w:rsidP="003F4B71">
            <w:pPr>
              <w:jc w:val="center"/>
              <w:rPr>
                <w:rFonts w:hint="cs"/>
                <w:b/>
                <w:bCs/>
                <w:rtl/>
              </w:rPr>
            </w:pPr>
            <w:r w:rsidRPr="00460CDB">
              <w:rPr>
                <w:rFonts w:hint="cs"/>
                <w:b/>
                <w:bCs/>
                <w:rtl/>
              </w:rPr>
              <w:t>رديء جدا</w:t>
            </w:r>
          </w:p>
        </w:tc>
      </w:tr>
      <w:tr w:rsidR="00275265">
        <w:tblPrEx>
          <w:tblCellMar>
            <w:top w:w="0" w:type="dxa"/>
            <w:bottom w:w="0" w:type="dxa"/>
          </w:tblCellMar>
        </w:tblPrEx>
        <w:trPr>
          <w:jc w:val="center"/>
        </w:trPr>
        <w:tc>
          <w:tcPr>
            <w:tcW w:w="967" w:type="dxa"/>
            <w:shd w:val="clear" w:color="auto" w:fill="auto"/>
          </w:tcPr>
          <w:p w:rsidR="00275265" w:rsidRDefault="00275265" w:rsidP="003F4B71">
            <w:pPr>
              <w:rPr>
                <w:rFonts w:hint="cs"/>
                <w:rtl/>
              </w:rPr>
            </w:pPr>
          </w:p>
        </w:tc>
        <w:tc>
          <w:tcPr>
            <w:tcW w:w="1236" w:type="dxa"/>
            <w:shd w:val="clear" w:color="auto" w:fill="auto"/>
          </w:tcPr>
          <w:p w:rsidR="00275265" w:rsidRDefault="00275265" w:rsidP="003F4B71">
            <w:pPr>
              <w:rPr>
                <w:rFonts w:hint="cs"/>
                <w:rtl/>
              </w:rPr>
            </w:pPr>
          </w:p>
        </w:tc>
        <w:tc>
          <w:tcPr>
            <w:tcW w:w="1339" w:type="dxa"/>
            <w:shd w:val="clear" w:color="auto" w:fill="auto"/>
          </w:tcPr>
          <w:p w:rsidR="00275265" w:rsidRDefault="00275265" w:rsidP="003F4B71">
            <w:pPr>
              <w:rPr>
                <w:rFonts w:hint="cs"/>
                <w:rtl/>
              </w:rPr>
            </w:pPr>
          </w:p>
        </w:tc>
        <w:tc>
          <w:tcPr>
            <w:tcW w:w="1339" w:type="dxa"/>
            <w:shd w:val="clear" w:color="auto" w:fill="auto"/>
          </w:tcPr>
          <w:p w:rsidR="00275265" w:rsidRDefault="00275265" w:rsidP="003F4B71">
            <w:pPr>
              <w:rPr>
                <w:rFonts w:hint="cs"/>
                <w:rtl/>
              </w:rPr>
            </w:pPr>
          </w:p>
        </w:tc>
        <w:tc>
          <w:tcPr>
            <w:tcW w:w="1570" w:type="dxa"/>
            <w:shd w:val="clear" w:color="auto" w:fill="auto"/>
          </w:tcPr>
          <w:p w:rsidR="00275265" w:rsidRDefault="00275265" w:rsidP="003F4B71">
            <w:pPr>
              <w:rPr>
                <w:rFonts w:hint="cs"/>
                <w:rtl/>
              </w:rPr>
            </w:pPr>
          </w:p>
        </w:tc>
        <w:tc>
          <w:tcPr>
            <w:tcW w:w="1339" w:type="dxa"/>
            <w:shd w:val="clear" w:color="auto" w:fill="auto"/>
          </w:tcPr>
          <w:p w:rsidR="00275265" w:rsidRDefault="00275265" w:rsidP="003F4B71">
            <w:pPr>
              <w:rPr>
                <w:rFonts w:hint="cs"/>
                <w:rtl/>
              </w:rPr>
            </w:pPr>
          </w:p>
        </w:tc>
        <w:tc>
          <w:tcPr>
            <w:tcW w:w="1803" w:type="dxa"/>
            <w:shd w:val="clear" w:color="auto" w:fill="auto"/>
          </w:tcPr>
          <w:p w:rsidR="00275265" w:rsidRDefault="00275265" w:rsidP="003F4B71">
            <w:pPr>
              <w:jc w:val="lowKashida"/>
              <w:rPr>
                <w:rFonts w:hint="cs"/>
                <w:rtl/>
              </w:rPr>
            </w:pPr>
            <w:r>
              <w:rPr>
                <w:rFonts w:hint="cs"/>
                <w:rtl/>
              </w:rPr>
              <w:t>بسبب الكثافة المفرطة</w:t>
            </w:r>
          </w:p>
        </w:tc>
      </w:tr>
      <w:tr w:rsidR="00275265">
        <w:tblPrEx>
          <w:tblCellMar>
            <w:top w:w="0" w:type="dxa"/>
            <w:bottom w:w="0" w:type="dxa"/>
          </w:tblCellMar>
        </w:tblPrEx>
        <w:trPr>
          <w:jc w:val="center"/>
        </w:trPr>
        <w:tc>
          <w:tcPr>
            <w:tcW w:w="967" w:type="dxa"/>
            <w:shd w:val="clear" w:color="auto" w:fill="auto"/>
          </w:tcPr>
          <w:p w:rsidR="00275265" w:rsidRPr="001971A5" w:rsidRDefault="00275265" w:rsidP="003F4B71">
            <w:pPr>
              <w:rPr>
                <w:rFonts w:hint="cs"/>
                <w:b/>
                <w:bCs/>
                <w:rtl/>
              </w:rPr>
            </w:pPr>
            <w:r w:rsidRPr="001971A5">
              <w:rPr>
                <w:rFonts w:hint="cs"/>
                <w:b/>
                <w:bCs/>
                <w:rtl/>
              </w:rPr>
              <w:t>المتوسط</w:t>
            </w:r>
          </w:p>
        </w:tc>
        <w:tc>
          <w:tcPr>
            <w:tcW w:w="1236" w:type="dxa"/>
            <w:shd w:val="clear" w:color="auto" w:fill="auto"/>
          </w:tcPr>
          <w:p w:rsidR="00275265" w:rsidRPr="002266BE" w:rsidRDefault="00275265" w:rsidP="003F4B71">
            <w:pPr>
              <w:rPr>
                <w:rFonts w:hint="cs"/>
                <w:b/>
                <w:bCs/>
                <w:rtl/>
              </w:rPr>
            </w:pPr>
            <w:r w:rsidRPr="002266BE">
              <w:rPr>
                <w:rFonts w:hint="cs"/>
                <w:b/>
                <w:bCs/>
                <w:rtl/>
              </w:rPr>
              <w:t xml:space="preserve">8.6 </w:t>
            </w:r>
            <w:r>
              <w:rPr>
                <w:rFonts w:hint="cs"/>
                <w:b/>
                <w:bCs/>
                <w:rtl/>
              </w:rPr>
              <w:t>في المائة</w:t>
            </w:r>
          </w:p>
        </w:tc>
        <w:tc>
          <w:tcPr>
            <w:tcW w:w="1339" w:type="dxa"/>
            <w:shd w:val="clear" w:color="auto" w:fill="auto"/>
          </w:tcPr>
          <w:p w:rsidR="00275265" w:rsidRPr="002266BE" w:rsidRDefault="00275265" w:rsidP="003F4B71">
            <w:pPr>
              <w:rPr>
                <w:rFonts w:hint="cs"/>
                <w:b/>
                <w:bCs/>
                <w:rtl/>
              </w:rPr>
            </w:pPr>
            <w:r w:rsidRPr="002266BE">
              <w:rPr>
                <w:rFonts w:hint="cs"/>
                <w:b/>
                <w:bCs/>
                <w:rtl/>
              </w:rPr>
              <w:t xml:space="preserve">25.0 </w:t>
            </w:r>
            <w:r>
              <w:rPr>
                <w:rFonts w:hint="cs"/>
                <w:b/>
                <w:bCs/>
                <w:rtl/>
              </w:rPr>
              <w:t>في المائة</w:t>
            </w:r>
          </w:p>
        </w:tc>
        <w:tc>
          <w:tcPr>
            <w:tcW w:w="1339" w:type="dxa"/>
            <w:shd w:val="clear" w:color="auto" w:fill="auto"/>
          </w:tcPr>
          <w:p w:rsidR="00275265" w:rsidRPr="002266BE" w:rsidRDefault="00275265" w:rsidP="003F4B71">
            <w:pPr>
              <w:rPr>
                <w:rFonts w:hint="cs"/>
                <w:b/>
                <w:bCs/>
                <w:rtl/>
              </w:rPr>
            </w:pPr>
            <w:r w:rsidRPr="002266BE">
              <w:rPr>
                <w:rFonts w:hint="cs"/>
                <w:b/>
                <w:bCs/>
                <w:rtl/>
              </w:rPr>
              <w:t xml:space="preserve">30.5 </w:t>
            </w:r>
            <w:r>
              <w:rPr>
                <w:rFonts w:hint="cs"/>
                <w:b/>
                <w:bCs/>
                <w:rtl/>
              </w:rPr>
              <w:t>في المائة</w:t>
            </w:r>
          </w:p>
        </w:tc>
        <w:tc>
          <w:tcPr>
            <w:tcW w:w="1570" w:type="dxa"/>
            <w:shd w:val="clear" w:color="auto" w:fill="auto"/>
          </w:tcPr>
          <w:p w:rsidR="00275265" w:rsidRPr="002266BE" w:rsidRDefault="00275265" w:rsidP="003F4B71">
            <w:pPr>
              <w:rPr>
                <w:rFonts w:hint="cs"/>
                <w:b/>
                <w:bCs/>
                <w:rtl/>
              </w:rPr>
            </w:pPr>
            <w:r w:rsidRPr="002266BE">
              <w:rPr>
                <w:rFonts w:hint="cs"/>
                <w:b/>
                <w:bCs/>
                <w:rtl/>
              </w:rPr>
              <w:t xml:space="preserve">23.3 </w:t>
            </w:r>
            <w:r>
              <w:rPr>
                <w:rFonts w:hint="cs"/>
                <w:b/>
                <w:bCs/>
                <w:rtl/>
              </w:rPr>
              <w:t>في المائة</w:t>
            </w:r>
          </w:p>
        </w:tc>
        <w:tc>
          <w:tcPr>
            <w:tcW w:w="1339" w:type="dxa"/>
            <w:shd w:val="clear" w:color="auto" w:fill="auto"/>
          </w:tcPr>
          <w:p w:rsidR="00275265" w:rsidRPr="002266BE" w:rsidRDefault="00275265" w:rsidP="003F4B71">
            <w:pPr>
              <w:rPr>
                <w:rFonts w:hint="cs"/>
                <w:b/>
                <w:bCs/>
                <w:rtl/>
              </w:rPr>
            </w:pPr>
            <w:r w:rsidRPr="002266BE">
              <w:rPr>
                <w:rFonts w:hint="cs"/>
                <w:b/>
                <w:bCs/>
                <w:rtl/>
              </w:rPr>
              <w:t xml:space="preserve">12.2 </w:t>
            </w:r>
            <w:r>
              <w:rPr>
                <w:rFonts w:hint="cs"/>
                <w:b/>
                <w:bCs/>
                <w:rtl/>
              </w:rPr>
              <w:t>في المائة</w:t>
            </w:r>
          </w:p>
        </w:tc>
        <w:tc>
          <w:tcPr>
            <w:tcW w:w="1803" w:type="dxa"/>
            <w:shd w:val="clear" w:color="auto" w:fill="auto"/>
          </w:tcPr>
          <w:p w:rsidR="00275265" w:rsidRPr="002266BE" w:rsidRDefault="00275265" w:rsidP="003F4B71">
            <w:pPr>
              <w:rPr>
                <w:rFonts w:hint="cs"/>
                <w:b/>
                <w:bCs/>
                <w:rtl/>
              </w:rPr>
            </w:pPr>
            <w:r w:rsidRPr="002266BE">
              <w:rPr>
                <w:rFonts w:hint="cs"/>
                <w:b/>
                <w:bCs/>
                <w:rtl/>
              </w:rPr>
              <w:t xml:space="preserve">(8.7 </w:t>
            </w:r>
            <w:r>
              <w:rPr>
                <w:rFonts w:hint="cs"/>
                <w:b/>
                <w:bCs/>
                <w:rtl/>
              </w:rPr>
              <w:t>في المائة</w:t>
            </w:r>
            <w:r w:rsidRPr="002266BE">
              <w:rPr>
                <w:rFonts w:hint="cs"/>
                <w:b/>
                <w:bCs/>
                <w:rtl/>
              </w:rPr>
              <w:t>)</w:t>
            </w:r>
          </w:p>
        </w:tc>
      </w:tr>
      <w:tr w:rsidR="00275265">
        <w:tblPrEx>
          <w:tblCellMar>
            <w:top w:w="0" w:type="dxa"/>
            <w:bottom w:w="0" w:type="dxa"/>
          </w:tblCellMar>
        </w:tblPrEx>
        <w:trPr>
          <w:jc w:val="center"/>
        </w:trPr>
        <w:tc>
          <w:tcPr>
            <w:tcW w:w="967" w:type="dxa"/>
            <w:shd w:val="clear" w:color="auto" w:fill="auto"/>
          </w:tcPr>
          <w:p w:rsidR="00275265" w:rsidRDefault="00275265" w:rsidP="003F4B71">
            <w:pPr>
              <w:rPr>
                <w:rFonts w:hint="cs"/>
                <w:rtl/>
              </w:rPr>
            </w:pPr>
            <w:r>
              <w:rPr>
                <w:rFonts w:hint="cs"/>
                <w:rtl/>
              </w:rPr>
              <w:t>المدن</w:t>
            </w:r>
          </w:p>
        </w:tc>
        <w:tc>
          <w:tcPr>
            <w:tcW w:w="1236" w:type="dxa"/>
            <w:shd w:val="clear" w:color="auto" w:fill="auto"/>
          </w:tcPr>
          <w:p w:rsidR="00275265" w:rsidRPr="002266BE" w:rsidRDefault="00275265" w:rsidP="003F4B71">
            <w:pPr>
              <w:rPr>
                <w:rFonts w:hint="cs"/>
                <w:rtl/>
              </w:rPr>
            </w:pPr>
            <w:r w:rsidRPr="002266BE">
              <w:rPr>
                <w:rFonts w:hint="cs"/>
                <w:rtl/>
              </w:rPr>
              <w:t xml:space="preserve">11.9 </w:t>
            </w:r>
            <w:r>
              <w:rPr>
                <w:rFonts w:hint="cs"/>
                <w:rtl/>
              </w:rPr>
              <w:t>في المائة</w:t>
            </w:r>
          </w:p>
        </w:tc>
        <w:tc>
          <w:tcPr>
            <w:tcW w:w="1339" w:type="dxa"/>
            <w:shd w:val="clear" w:color="auto" w:fill="auto"/>
          </w:tcPr>
          <w:p w:rsidR="00275265" w:rsidRPr="002266BE" w:rsidRDefault="00275265" w:rsidP="003F4B71">
            <w:pPr>
              <w:rPr>
                <w:rFonts w:hint="cs"/>
                <w:rtl/>
              </w:rPr>
            </w:pPr>
            <w:r w:rsidRPr="002266BE">
              <w:rPr>
                <w:rFonts w:hint="cs"/>
                <w:rtl/>
              </w:rPr>
              <w:t xml:space="preserve">26.5 </w:t>
            </w:r>
            <w:r>
              <w:rPr>
                <w:rFonts w:hint="cs"/>
                <w:rtl/>
              </w:rPr>
              <w:t>في المائة</w:t>
            </w:r>
          </w:p>
        </w:tc>
        <w:tc>
          <w:tcPr>
            <w:tcW w:w="1339" w:type="dxa"/>
            <w:shd w:val="clear" w:color="auto" w:fill="auto"/>
          </w:tcPr>
          <w:p w:rsidR="00275265" w:rsidRPr="002266BE" w:rsidRDefault="00275265" w:rsidP="003F4B71">
            <w:pPr>
              <w:rPr>
                <w:rFonts w:hint="cs"/>
                <w:rtl/>
              </w:rPr>
            </w:pPr>
            <w:r w:rsidRPr="002266BE">
              <w:rPr>
                <w:rFonts w:hint="cs"/>
                <w:rtl/>
              </w:rPr>
              <w:t xml:space="preserve">31.7 </w:t>
            </w:r>
            <w:r>
              <w:rPr>
                <w:rFonts w:hint="cs"/>
                <w:rtl/>
              </w:rPr>
              <w:t>في المائة</w:t>
            </w:r>
          </w:p>
        </w:tc>
        <w:tc>
          <w:tcPr>
            <w:tcW w:w="1570" w:type="dxa"/>
            <w:shd w:val="clear" w:color="auto" w:fill="auto"/>
          </w:tcPr>
          <w:p w:rsidR="00275265" w:rsidRPr="002266BE" w:rsidRDefault="00275265" w:rsidP="003F4B71">
            <w:pPr>
              <w:rPr>
                <w:rFonts w:hint="cs"/>
                <w:rtl/>
              </w:rPr>
            </w:pPr>
            <w:r w:rsidRPr="002266BE">
              <w:rPr>
                <w:rFonts w:hint="cs"/>
                <w:rtl/>
              </w:rPr>
              <w:t xml:space="preserve">21.2 </w:t>
            </w:r>
            <w:r>
              <w:rPr>
                <w:rFonts w:hint="cs"/>
                <w:rtl/>
              </w:rPr>
              <w:t>في المائة</w:t>
            </w:r>
          </w:p>
        </w:tc>
        <w:tc>
          <w:tcPr>
            <w:tcW w:w="1339" w:type="dxa"/>
            <w:shd w:val="clear" w:color="auto" w:fill="auto"/>
          </w:tcPr>
          <w:p w:rsidR="00275265" w:rsidRPr="002266BE" w:rsidRDefault="00275265" w:rsidP="003F4B71">
            <w:pPr>
              <w:rPr>
                <w:rFonts w:hint="cs"/>
                <w:rtl/>
              </w:rPr>
            </w:pPr>
            <w:r w:rsidRPr="002266BE">
              <w:rPr>
                <w:rFonts w:hint="cs"/>
                <w:rtl/>
              </w:rPr>
              <w:t xml:space="preserve">8.4 </w:t>
            </w:r>
            <w:r>
              <w:rPr>
                <w:rFonts w:hint="cs"/>
                <w:rtl/>
              </w:rPr>
              <w:t>في المائة</w:t>
            </w:r>
          </w:p>
        </w:tc>
        <w:tc>
          <w:tcPr>
            <w:tcW w:w="1803" w:type="dxa"/>
            <w:shd w:val="clear" w:color="auto" w:fill="auto"/>
          </w:tcPr>
          <w:p w:rsidR="00275265" w:rsidRPr="002266BE" w:rsidRDefault="00275265" w:rsidP="003F4B71">
            <w:pPr>
              <w:rPr>
                <w:rFonts w:hint="cs"/>
                <w:rtl/>
              </w:rPr>
            </w:pPr>
            <w:r w:rsidRPr="002266BE">
              <w:rPr>
                <w:rFonts w:hint="cs"/>
                <w:rtl/>
              </w:rPr>
              <w:t xml:space="preserve">(7.4 </w:t>
            </w:r>
            <w:r>
              <w:rPr>
                <w:rFonts w:hint="cs"/>
                <w:rtl/>
              </w:rPr>
              <w:t>في المائة</w:t>
            </w:r>
            <w:r w:rsidRPr="002266BE">
              <w:rPr>
                <w:rFonts w:hint="cs"/>
                <w:rtl/>
              </w:rPr>
              <w:t>)</w:t>
            </w:r>
          </w:p>
        </w:tc>
      </w:tr>
      <w:tr w:rsidR="00275265">
        <w:tblPrEx>
          <w:tblCellMar>
            <w:top w:w="0" w:type="dxa"/>
            <w:bottom w:w="0" w:type="dxa"/>
          </w:tblCellMar>
        </w:tblPrEx>
        <w:trPr>
          <w:jc w:val="center"/>
        </w:trPr>
        <w:tc>
          <w:tcPr>
            <w:tcW w:w="967" w:type="dxa"/>
            <w:shd w:val="clear" w:color="auto" w:fill="auto"/>
          </w:tcPr>
          <w:p w:rsidR="00275265" w:rsidRDefault="00275265" w:rsidP="003F4B71">
            <w:pPr>
              <w:rPr>
                <w:rFonts w:hint="cs"/>
                <w:rtl/>
              </w:rPr>
            </w:pPr>
            <w:r>
              <w:rPr>
                <w:rFonts w:hint="cs"/>
                <w:rtl/>
              </w:rPr>
              <w:t>الريف</w:t>
            </w:r>
          </w:p>
        </w:tc>
        <w:tc>
          <w:tcPr>
            <w:tcW w:w="1236" w:type="dxa"/>
            <w:shd w:val="clear" w:color="auto" w:fill="auto"/>
          </w:tcPr>
          <w:p w:rsidR="00275265" w:rsidRPr="002266BE" w:rsidRDefault="00275265" w:rsidP="003F4B71">
            <w:pPr>
              <w:rPr>
                <w:rFonts w:hint="cs"/>
                <w:rtl/>
              </w:rPr>
            </w:pPr>
            <w:r w:rsidRPr="002266BE">
              <w:rPr>
                <w:rFonts w:hint="cs"/>
                <w:rtl/>
              </w:rPr>
              <w:t xml:space="preserve">3.2 </w:t>
            </w:r>
            <w:r>
              <w:rPr>
                <w:rFonts w:hint="cs"/>
                <w:rtl/>
              </w:rPr>
              <w:t>في المائة</w:t>
            </w:r>
          </w:p>
        </w:tc>
        <w:tc>
          <w:tcPr>
            <w:tcW w:w="1339" w:type="dxa"/>
            <w:shd w:val="clear" w:color="auto" w:fill="auto"/>
          </w:tcPr>
          <w:p w:rsidR="00275265" w:rsidRPr="002266BE" w:rsidRDefault="00275265" w:rsidP="003F4B71">
            <w:pPr>
              <w:rPr>
                <w:rFonts w:hint="cs"/>
                <w:rtl/>
              </w:rPr>
            </w:pPr>
            <w:r w:rsidRPr="002266BE">
              <w:rPr>
                <w:rFonts w:hint="cs"/>
                <w:rtl/>
              </w:rPr>
              <w:t xml:space="preserve">22.6 </w:t>
            </w:r>
            <w:r>
              <w:rPr>
                <w:rFonts w:hint="cs"/>
                <w:rtl/>
              </w:rPr>
              <w:t>في المائة</w:t>
            </w:r>
          </w:p>
        </w:tc>
        <w:tc>
          <w:tcPr>
            <w:tcW w:w="1339" w:type="dxa"/>
            <w:shd w:val="clear" w:color="auto" w:fill="auto"/>
          </w:tcPr>
          <w:p w:rsidR="00275265" w:rsidRPr="002266BE" w:rsidRDefault="00275265" w:rsidP="003F4B71">
            <w:pPr>
              <w:rPr>
                <w:rFonts w:hint="cs"/>
                <w:rtl/>
              </w:rPr>
            </w:pPr>
            <w:r w:rsidRPr="002266BE">
              <w:rPr>
                <w:rFonts w:hint="cs"/>
                <w:rtl/>
              </w:rPr>
              <w:t xml:space="preserve">28.7 </w:t>
            </w:r>
            <w:r>
              <w:rPr>
                <w:rFonts w:hint="cs"/>
                <w:rtl/>
              </w:rPr>
              <w:t>في المائة</w:t>
            </w:r>
          </w:p>
        </w:tc>
        <w:tc>
          <w:tcPr>
            <w:tcW w:w="1570" w:type="dxa"/>
            <w:shd w:val="clear" w:color="auto" w:fill="auto"/>
          </w:tcPr>
          <w:p w:rsidR="00275265" w:rsidRPr="002266BE" w:rsidRDefault="00275265" w:rsidP="003F4B71">
            <w:pPr>
              <w:rPr>
                <w:rFonts w:hint="cs"/>
                <w:rtl/>
              </w:rPr>
            </w:pPr>
            <w:r w:rsidRPr="002266BE">
              <w:rPr>
                <w:rFonts w:hint="cs"/>
                <w:rtl/>
              </w:rPr>
              <w:t xml:space="preserve">26.7 </w:t>
            </w:r>
            <w:r>
              <w:rPr>
                <w:rFonts w:hint="cs"/>
                <w:rtl/>
              </w:rPr>
              <w:t>في المائة</w:t>
            </w:r>
          </w:p>
        </w:tc>
        <w:tc>
          <w:tcPr>
            <w:tcW w:w="1339" w:type="dxa"/>
            <w:shd w:val="clear" w:color="auto" w:fill="auto"/>
          </w:tcPr>
          <w:p w:rsidR="00275265" w:rsidRPr="002266BE" w:rsidRDefault="00275265" w:rsidP="003F4B71">
            <w:pPr>
              <w:rPr>
                <w:rFonts w:hint="cs"/>
                <w:rtl/>
              </w:rPr>
            </w:pPr>
            <w:r w:rsidRPr="002266BE">
              <w:rPr>
                <w:rFonts w:hint="cs"/>
                <w:rtl/>
              </w:rPr>
              <w:t xml:space="preserve">18.4 </w:t>
            </w:r>
            <w:r>
              <w:rPr>
                <w:rFonts w:hint="cs"/>
                <w:rtl/>
              </w:rPr>
              <w:t>في المائة</w:t>
            </w:r>
          </w:p>
        </w:tc>
        <w:tc>
          <w:tcPr>
            <w:tcW w:w="1803" w:type="dxa"/>
            <w:shd w:val="clear" w:color="auto" w:fill="auto"/>
          </w:tcPr>
          <w:p w:rsidR="00275265" w:rsidRPr="002266BE" w:rsidRDefault="00275265" w:rsidP="003F4B71">
            <w:pPr>
              <w:rPr>
                <w:rFonts w:hint="cs"/>
                <w:rtl/>
              </w:rPr>
            </w:pPr>
            <w:r w:rsidRPr="002266BE">
              <w:rPr>
                <w:rFonts w:hint="cs"/>
                <w:rtl/>
              </w:rPr>
              <w:t>(10.7</w:t>
            </w:r>
            <w:r>
              <w:rPr>
                <w:rFonts w:hint="cs"/>
                <w:rtl/>
              </w:rPr>
              <w:t>في المائة</w:t>
            </w:r>
            <w:r w:rsidRPr="002266BE">
              <w:rPr>
                <w:rFonts w:hint="cs"/>
                <w:rtl/>
              </w:rPr>
              <w:t>)</w:t>
            </w:r>
          </w:p>
        </w:tc>
      </w:tr>
    </w:tbl>
    <w:p w:rsidR="00275265" w:rsidRDefault="00275265" w:rsidP="00275265">
      <w:pPr>
        <w:pStyle w:val="SingleTxt"/>
        <w:rPr>
          <w:rFonts w:hint="cs"/>
          <w:rtl/>
        </w:rPr>
      </w:pPr>
    </w:p>
    <w:p w:rsidR="00275265" w:rsidRDefault="00275265" w:rsidP="00275265">
      <w:pPr>
        <w:pStyle w:val="SingleTxt"/>
        <w:rPr>
          <w:rFonts w:hint="cs"/>
          <w:rtl/>
        </w:rPr>
      </w:pPr>
    </w:p>
    <w:p w:rsidR="00233F4D" w:rsidRDefault="00233F4D" w:rsidP="00275265">
      <w:pPr>
        <w:pStyle w:val="SingleTxt"/>
        <w:rPr>
          <w:rFonts w:hint="cs"/>
          <w:rtl/>
        </w:rPr>
      </w:pPr>
    </w:p>
    <w:p w:rsidR="00275265" w:rsidRDefault="00275265" w:rsidP="00275265">
      <w:pPr>
        <w:pStyle w:val="SingleTxt"/>
        <w:rPr>
          <w:rFonts w:hint="cs"/>
          <w:rtl/>
        </w:rPr>
      </w:pPr>
      <w:r>
        <w:rPr>
          <w:rFonts w:hint="cs"/>
          <w:rtl/>
        </w:rPr>
        <w:t>الجدول ألف -14-3</w:t>
      </w:r>
    </w:p>
    <w:p w:rsidR="00275265" w:rsidRPr="001971A5" w:rsidRDefault="00275265" w:rsidP="00275265">
      <w:pPr>
        <w:pStyle w:val="SingleTxt"/>
        <w:rPr>
          <w:rFonts w:hint="cs"/>
          <w:b/>
          <w:bCs/>
          <w:rtl/>
        </w:rPr>
      </w:pPr>
      <w:r>
        <w:rPr>
          <w:rFonts w:hint="cs"/>
          <w:b/>
          <w:bCs/>
          <w:rtl/>
        </w:rPr>
        <w:t>النساء اللاتي يعملن مستشارات في الحكومات الذاتية المحلية</w:t>
      </w:r>
    </w:p>
    <w:p w:rsidR="00275265" w:rsidRPr="001971A5" w:rsidRDefault="00275265" w:rsidP="00275265">
      <w:pPr>
        <w:pStyle w:val="SingleTxt"/>
        <w:spacing w:after="0" w:line="120" w:lineRule="exact"/>
        <w:rPr>
          <w:rFonts w:hint="cs"/>
          <w:b/>
          <w:bCs/>
          <w:sz w:val="10"/>
          <w:rtl/>
        </w:rPr>
      </w:pPr>
    </w:p>
    <w:tbl>
      <w:tblPr>
        <w:bidiVisual/>
        <w:tblW w:w="9077" w:type="dxa"/>
        <w:jc w:val="center"/>
        <w:tblInd w:w="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89"/>
        <w:gridCol w:w="1289"/>
        <w:gridCol w:w="681"/>
        <w:gridCol w:w="2409"/>
        <w:gridCol w:w="1442"/>
        <w:gridCol w:w="1467"/>
      </w:tblGrid>
      <w:tr w:rsidR="00275265">
        <w:tblPrEx>
          <w:tblCellMar>
            <w:top w:w="0" w:type="dxa"/>
            <w:bottom w:w="0" w:type="dxa"/>
          </w:tblCellMar>
        </w:tblPrEx>
        <w:trPr>
          <w:jc w:val="center"/>
        </w:trPr>
        <w:tc>
          <w:tcPr>
            <w:tcW w:w="1789" w:type="dxa"/>
            <w:shd w:val="clear" w:color="auto" w:fill="auto"/>
            <w:tcMar>
              <w:left w:w="0" w:type="dxa"/>
              <w:right w:w="0" w:type="dxa"/>
            </w:tcMar>
          </w:tcPr>
          <w:p w:rsidR="00275265" w:rsidRPr="00A53000" w:rsidRDefault="00275265" w:rsidP="003F4B71">
            <w:pPr>
              <w:rPr>
                <w:rFonts w:hint="cs"/>
                <w:b/>
                <w:bCs/>
                <w:rtl/>
              </w:rPr>
            </w:pPr>
            <w:r w:rsidRPr="00A53000">
              <w:rPr>
                <w:rFonts w:hint="cs"/>
                <w:b/>
                <w:bCs/>
                <w:rtl/>
              </w:rPr>
              <w:t>البنود</w:t>
            </w:r>
          </w:p>
        </w:tc>
        <w:tc>
          <w:tcPr>
            <w:tcW w:w="7288" w:type="dxa"/>
            <w:gridSpan w:val="5"/>
            <w:shd w:val="clear" w:color="auto" w:fill="auto"/>
          </w:tcPr>
          <w:p w:rsidR="00275265" w:rsidRPr="00A53000" w:rsidRDefault="00275265" w:rsidP="003F4B71">
            <w:pPr>
              <w:jc w:val="center"/>
              <w:rPr>
                <w:rFonts w:hint="cs"/>
                <w:b/>
                <w:bCs/>
                <w:rtl/>
              </w:rPr>
            </w:pPr>
            <w:r w:rsidRPr="00A53000">
              <w:rPr>
                <w:rFonts w:hint="cs"/>
                <w:b/>
                <w:bCs/>
                <w:rtl/>
              </w:rPr>
              <w:t>المستشار</w:t>
            </w:r>
            <w:r w:rsidR="00C64C2A">
              <w:rPr>
                <w:rFonts w:hint="cs"/>
                <w:b/>
                <w:bCs/>
                <w:rtl/>
              </w:rPr>
              <w:t>ي</w:t>
            </w:r>
            <w:r w:rsidRPr="00A53000">
              <w:rPr>
                <w:rFonts w:hint="cs"/>
                <w:b/>
                <w:bCs/>
                <w:rtl/>
              </w:rPr>
              <w:t>ات</w:t>
            </w:r>
          </w:p>
        </w:tc>
      </w:tr>
      <w:tr w:rsidR="00275265">
        <w:tblPrEx>
          <w:tblCellMar>
            <w:top w:w="0" w:type="dxa"/>
            <w:bottom w:w="0" w:type="dxa"/>
          </w:tblCellMar>
        </w:tblPrEx>
        <w:trPr>
          <w:jc w:val="center"/>
        </w:trPr>
        <w:tc>
          <w:tcPr>
            <w:tcW w:w="1789" w:type="dxa"/>
            <w:shd w:val="clear" w:color="auto" w:fill="auto"/>
          </w:tcPr>
          <w:p w:rsidR="00275265" w:rsidRPr="00A53000" w:rsidRDefault="00275265" w:rsidP="003F4B71">
            <w:pPr>
              <w:ind w:left="29" w:right="29"/>
              <w:rPr>
                <w:rFonts w:hint="cs"/>
                <w:b/>
                <w:bCs/>
                <w:rtl/>
              </w:rPr>
            </w:pPr>
          </w:p>
        </w:tc>
        <w:tc>
          <w:tcPr>
            <w:tcW w:w="1289" w:type="dxa"/>
            <w:shd w:val="clear" w:color="auto" w:fill="auto"/>
          </w:tcPr>
          <w:p w:rsidR="00275265" w:rsidRPr="00A53000" w:rsidRDefault="00275265" w:rsidP="003F4B71">
            <w:pPr>
              <w:ind w:left="29" w:right="29"/>
              <w:jc w:val="left"/>
              <w:rPr>
                <w:rFonts w:hint="cs"/>
                <w:b/>
                <w:bCs/>
                <w:rtl/>
              </w:rPr>
            </w:pPr>
            <w:r w:rsidRPr="00A53000">
              <w:rPr>
                <w:rFonts w:hint="cs"/>
                <w:b/>
                <w:bCs/>
                <w:rtl/>
              </w:rPr>
              <w:t>المجالس المحلية</w:t>
            </w:r>
          </w:p>
        </w:tc>
        <w:tc>
          <w:tcPr>
            <w:tcW w:w="3090" w:type="dxa"/>
            <w:gridSpan w:val="2"/>
            <w:shd w:val="clear" w:color="auto" w:fill="auto"/>
          </w:tcPr>
          <w:p w:rsidR="00275265" w:rsidRPr="00A53000" w:rsidRDefault="00275265" w:rsidP="003F4B71">
            <w:pPr>
              <w:ind w:left="29" w:right="29"/>
              <w:jc w:val="left"/>
              <w:rPr>
                <w:rFonts w:hint="cs"/>
                <w:b/>
                <w:bCs/>
                <w:rtl/>
              </w:rPr>
            </w:pPr>
            <w:r w:rsidRPr="00A53000">
              <w:rPr>
                <w:rFonts w:hint="cs"/>
                <w:b/>
                <w:bCs/>
                <w:rtl/>
              </w:rPr>
              <w:t xml:space="preserve">مجالس المدن ذات </w:t>
            </w:r>
            <w:r w:rsidR="00C64C2A">
              <w:rPr>
                <w:rFonts w:hint="cs"/>
                <w:b/>
                <w:bCs/>
                <w:rtl/>
              </w:rPr>
              <w:t>ال</w:t>
            </w:r>
            <w:r w:rsidRPr="00A53000">
              <w:rPr>
                <w:rFonts w:hint="cs"/>
                <w:b/>
                <w:bCs/>
                <w:rtl/>
              </w:rPr>
              <w:t xml:space="preserve">مركز </w:t>
            </w:r>
            <w:r w:rsidR="00C64C2A">
              <w:rPr>
                <w:rFonts w:hint="cs"/>
                <w:b/>
                <w:bCs/>
                <w:rtl/>
              </w:rPr>
              <w:t>الإقليمي</w:t>
            </w:r>
          </w:p>
        </w:tc>
        <w:tc>
          <w:tcPr>
            <w:tcW w:w="1442" w:type="dxa"/>
            <w:shd w:val="clear" w:color="auto" w:fill="auto"/>
          </w:tcPr>
          <w:p w:rsidR="00275265" w:rsidRPr="00A53000" w:rsidRDefault="00275265" w:rsidP="003F4B71">
            <w:pPr>
              <w:ind w:left="29" w:right="29"/>
              <w:jc w:val="left"/>
              <w:rPr>
                <w:rFonts w:hint="cs"/>
                <w:b/>
                <w:bCs/>
                <w:rtl/>
              </w:rPr>
            </w:pPr>
            <w:r w:rsidRPr="00A53000">
              <w:rPr>
                <w:rFonts w:hint="cs"/>
                <w:b/>
                <w:bCs/>
                <w:rtl/>
              </w:rPr>
              <w:t>مجالس الم</w:t>
            </w:r>
            <w:r w:rsidR="00C64C2A">
              <w:rPr>
                <w:rFonts w:hint="cs"/>
                <w:b/>
                <w:bCs/>
                <w:rtl/>
              </w:rPr>
              <w:t>قاطعات</w:t>
            </w:r>
          </w:p>
        </w:tc>
        <w:tc>
          <w:tcPr>
            <w:tcW w:w="1467" w:type="dxa"/>
            <w:shd w:val="clear" w:color="auto" w:fill="auto"/>
          </w:tcPr>
          <w:p w:rsidR="00275265" w:rsidRPr="00A53000" w:rsidRDefault="00275265" w:rsidP="003F4B71">
            <w:pPr>
              <w:ind w:left="29" w:right="29"/>
              <w:jc w:val="left"/>
              <w:rPr>
                <w:rFonts w:hint="cs"/>
                <w:b/>
                <w:bCs/>
                <w:rtl/>
              </w:rPr>
            </w:pPr>
            <w:r w:rsidRPr="00A53000">
              <w:rPr>
                <w:rFonts w:hint="cs"/>
                <w:b/>
                <w:bCs/>
                <w:rtl/>
              </w:rPr>
              <w:t xml:space="preserve">جمعيات </w:t>
            </w:r>
            <w:r w:rsidR="00C64C2A">
              <w:rPr>
                <w:rFonts w:hint="cs"/>
                <w:b/>
                <w:bCs/>
                <w:rtl/>
              </w:rPr>
              <w:t>المناطق</w:t>
            </w:r>
          </w:p>
        </w:tc>
      </w:tr>
      <w:tr w:rsidR="00275265">
        <w:tblPrEx>
          <w:tblCellMar>
            <w:top w:w="0" w:type="dxa"/>
            <w:bottom w:w="0" w:type="dxa"/>
          </w:tblCellMar>
        </w:tblPrEx>
        <w:trPr>
          <w:jc w:val="center"/>
        </w:trPr>
        <w:tc>
          <w:tcPr>
            <w:tcW w:w="9077" w:type="dxa"/>
            <w:gridSpan w:val="6"/>
            <w:shd w:val="clear" w:color="auto" w:fill="auto"/>
          </w:tcPr>
          <w:p w:rsidR="00275265" w:rsidRPr="001971A5" w:rsidRDefault="00275265" w:rsidP="003F4B71">
            <w:pPr>
              <w:ind w:left="29" w:right="29"/>
              <w:jc w:val="center"/>
              <w:rPr>
                <w:rFonts w:hint="cs"/>
                <w:i/>
                <w:iCs/>
                <w:rtl/>
              </w:rPr>
            </w:pPr>
            <w:r w:rsidRPr="001971A5">
              <w:rPr>
                <w:rFonts w:hint="cs"/>
                <w:i/>
                <w:iCs/>
                <w:rtl/>
              </w:rPr>
              <w:t>الحالة في يوم الانتخابات المؤرخ 11 تشرين الأول/أكتوبر 1998</w:t>
            </w:r>
          </w:p>
        </w:tc>
      </w:tr>
      <w:tr w:rsidR="00275265">
        <w:tblPrEx>
          <w:tblCellMar>
            <w:top w:w="0" w:type="dxa"/>
            <w:bottom w:w="0" w:type="dxa"/>
          </w:tblCellMar>
        </w:tblPrEx>
        <w:trPr>
          <w:jc w:val="center"/>
        </w:trPr>
        <w:tc>
          <w:tcPr>
            <w:tcW w:w="1789" w:type="dxa"/>
            <w:shd w:val="clear" w:color="auto" w:fill="auto"/>
          </w:tcPr>
          <w:p w:rsidR="00275265" w:rsidRDefault="00275265" w:rsidP="003F4B71">
            <w:pPr>
              <w:ind w:left="29" w:right="29"/>
              <w:rPr>
                <w:rFonts w:hint="cs"/>
                <w:rtl/>
              </w:rPr>
            </w:pPr>
            <w:r>
              <w:rPr>
                <w:rFonts w:hint="cs"/>
                <w:rtl/>
              </w:rPr>
              <w:t>النساء</w:t>
            </w:r>
          </w:p>
        </w:tc>
        <w:tc>
          <w:tcPr>
            <w:tcW w:w="1970" w:type="dxa"/>
            <w:gridSpan w:val="2"/>
            <w:shd w:val="clear" w:color="auto" w:fill="auto"/>
          </w:tcPr>
          <w:p w:rsidR="00275265" w:rsidRPr="002266BE" w:rsidRDefault="00275265" w:rsidP="003F4B71">
            <w:pPr>
              <w:ind w:left="29" w:right="29"/>
              <w:rPr>
                <w:rFonts w:hint="cs"/>
                <w:rtl/>
              </w:rPr>
            </w:pPr>
            <w:r w:rsidRPr="002266BE">
              <w:rPr>
                <w:rFonts w:hint="cs"/>
                <w:rtl/>
              </w:rPr>
              <w:t xml:space="preserve">15.7 </w:t>
            </w:r>
            <w:r>
              <w:rPr>
                <w:rFonts w:hint="cs"/>
                <w:rtl/>
              </w:rPr>
              <w:t>في المائة</w:t>
            </w:r>
          </w:p>
        </w:tc>
        <w:tc>
          <w:tcPr>
            <w:tcW w:w="2409" w:type="dxa"/>
            <w:shd w:val="clear" w:color="auto" w:fill="auto"/>
          </w:tcPr>
          <w:p w:rsidR="00275265" w:rsidRPr="002266BE" w:rsidRDefault="00275265" w:rsidP="003F4B71">
            <w:pPr>
              <w:ind w:left="29" w:right="29"/>
              <w:rPr>
                <w:rFonts w:hint="cs"/>
                <w:rtl/>
              </w:rPr>
            </w:pPr>
            <w:r w:rsidRPr="002266BE">
              <w:rPr>
                <w:rFonts w:hint="cs"/>
                <w:rtl/>
              </w:rPr>
              <w:t xml:space="preserve">19.9 </w:t>
            </w:r>
            <w:r>
              <w:rPr>
                <w:rFonts w:hint="cs"/>
                <w:rtl/>
              </w:rPr>
              <w:t>في المائة</w:t>
            </w:r>
          </w:p>
        </w:tc>
        <w:tc>
          <w:tcPr>
            <w:tcW w:w="1442" w:type="dxa"/>
            <w:shd w:val="clear" w:color="auto" w:fill="auto"/>
          </w:tcPr>
          <w:p w:rsidR="00275265" w:rsidRPr="002266BE" w:rsidRDefault="00275265" w:rsidP="003F4B71">
            <w:pPr>
              <w:ind w:left="29" w:right="29"/>
              <w:rPr>
                <w:rFonts w:hint="cs"/>
                <w:rtl/>
              </w:rPr>
            </w:pPr>
            <w:r w:rsidRPr="002266BE">
              <w:rPr>
                <w:rFonts w:hint="cs"/>
                <w:rtl/>
              </w:rPr>
              <w:t xml:space="preserve">14.9 </w:t>
            </w:r>
            <w:r>
              <w:rPr>
                <w:rFonts w:hint="cs"/>
                <w:rtl/>
              </w:rPr>
              <w:t>في المائة</w:t>
            </w:r>
          </w:p>
        </w:tc>
        <w:tc>
          <w:tcPr>
            <w:tcW w:w="1467" w:type="dxa"/>
            <w:shd w:val="clear" w:color="auto" w:fill="auto"/>
          </w:tcPr>
          <w:p w:rsidR="00275265" w:rsidRPr="002266BE" w:rsidRDefault="00275265" w:rsidP="003F4B71">
            <w:pPr>
              <w:ind w:left="29" w:right="29"/>
              <w:rPr>
                <w:rFonts w:hint="cs"/>
                <w:rtl/>
              </w:rPr>
            </w:pPr>
            <w:r w:rsidRPr="002266BE">
              <w:rPr>
                <w:rFonts w:hint="cs"/>
                <w:rtl/>
              </w:rPr>
              <w:t xml:space="preserve">10.9 </w:t>
            </w:r>
            <w:r>
              <w:rPr>
                <w:rFonts w:hint="cs"/>
                <w:rtl/>
              </w:rPr>
              <w:t>في المائة</w:t>
            </w:r>
          </w:p>
        </w:tc>
      </w:tr>
      <w:tr w:rsidR="00275265">
        <w:tblPrEx>
          <w:tblCellMar>
            <w:top w:w="0" w:type="dxa"/>
            <w:bottom w:w="0" w:type="dxa"/>
          </w:tblCellMar>
        </w:tblPrEx>
        <w:trPr>
          <w:jc w:val="center"/>
        </w:trPr>
        <w:tc>
          <w:tcPr>
            <w:tcW w:w="9077" w:type="dxa"/>
            <w:gridSpan w:val="6"/>
            <w:shd w:val="clear" w:color="auto" w:fill="auto"/>
          </w:tcPr>
          <w:p w:rsidR="00275265" w:rsidRPr="00A53000" w:rsidRDefault="00275265" w:rsidP="003F4B71">
            <w:pPr>
              <w:ind w:left="29" w:right="29"/>
              <w:jc w:val="center"/>
              <w:rPr>
                <w:rFonts w:hint="cs"/>
                <w:i/>
                <w:iCs/>
                <w:rtl/>
              </w:rPr>
            </w:pPr>
            <w:r w:rsidRPr="00A53000">
              <w:rPr>
                <w:rFonts w:hint="cs"/>
                <w:i/>
                <w:iCs/>
                <w:rtl/>
              </w:rPr>
              <w:t>الحالة في 31 كانون الأول/ديسمبر 2001</w:t>
            </w:r>
          </w:p>
        </w:tc>
      </w:tr>
      <w:tr w:rsidR="00275265">
        <w:tblPrEx>
          <w:tblCellMar>
            <w:top w:w="0" w:type="dxa"/>
            <w:bottom w:w="0" w:type="dxa"/>
          </w:tblCellMar>
        </w:tblPrEx>
        <w:trPr>
          <w:jc w:val="center"/>
        </w:trPr>
        <w:tc>
          <w:tcPr>
            <w:tcW w:w="1789" w:type="dxa"/>
            <w:shd w:val="clear" w:color="auto" w:fill="auto"/>
          </w:tcPr>
          <w:p w:rsidR="00275265" w:rsidRDefault="00275265" w:rsidP="003F4B71">
            <w:pPr>
              <w:ind w:left="29" w:right="29"/>
              <w:rPr>
                <w:rFonts w:hint="cs"/>
                <w:rtl/>
              </w:rPr>
            </w:pPr>
            <w:r>
              <w:rPr>
                <w:rFonts w:hint="cs"/>
                <w:rtl/>
              </w:rPr>
              <w:t>النساء</w:t>
            </w:r>
          </w:p>
        </w:tc>
        <w:tc>
          <w:tcPr>
            <w:tcW w:w="1970" w:type="dxa"/>
            <w:gridSpan w:val="2"/>
            <w:shd w:val="clear" w:color="auto" w:fill="auto"/>
          </w:tcPr>
          <w:p w:rsidR="00275265" w:rsidRPr="002266BE" w:rsidRDefault="00275265" w:rsidP="003F4B71">
            <w:pPr>
              <w:ind w:left="29" w:right="29"/>
              <w:rPr>
                <w:rFonts w:hint="cs"/>
                <w:rtl/>
              </w:rPr>
            </w:pPr>
            <w:r w:rsidRPr="002266BE">
              <w:rPr>
                <w:rFonts w:hint="cs"/>
                <w:rtl/>
              </w:rPr>
              <w:t xml:space="preserve">15.9 </w:t>
            </w:r>
            <w:r>
              <w:rPr>
                <w:rFonts w:hint="cs"/>
                <w:rtl/>
              </w:rPr>
              <w:t>في المائة</w:t>
            </w:r>
          </w:p>
        </w:tc>
        <w:tc>
          <w:tcPr>
            <w:tcW w:w="2409" w:type="dxa"/>
            <w:shd w:val="clear" w:color="auto" w:fill="auto"/>
          </w:tcPr>
          <w:p w:rsidR="00275265" w:rsidRPr="002266BE" w:rsidRDefault="00275265" w:rsidP="003F4B71">
            <w:pPr>
              <w:ind w:left="29" w:right="29"/>
              <w:rPr>
                <w:rFonts w:hint="cs"/>
                <w:rtl/>
              </w:rPr>
            </w:pPr>
            <w:r w:rsidRPr="002266BE">
              <w:rPr>
                <w:rFonts w:hint="cs"/>
                <w:rtl/>
              </w:rPr>
              <w:t xml:space="preserve">20.1 </w:t>
            </w:r>
            <w:r>
              <w:rPr>
                <w:rFonts w:hint="cs"/>
                <w:rtl/>
              </w:rPr>
              <w:t>في المائة</w:t>
            </w:r>
          </w:p>
        </w:tc>
        <w:tc>
          <w:tcPr>
            <w:tcW w:w="1442" w:type="dxa"/>
            <w:shd w:val="clear" w:color="auto" w:fill="auto"/>
          </w:tcPr>
          <w:p w:rsidR="00275265" w:rsidRPr="002266BE" w:rsidRDefault="00275265" w:rsidP="003F4B71">
            <w:pPr>
              <w:ind w:left="29" w:right="29"/>
              <w:rPr>
                <w:rFonts w:hint="cs"/>
                <w:rtl/>
              </w:rPr>
            </w:pPr>
            <w:r w:rsidRPr="002266BE">
              <w:rPr>
                <w:rFonts w:hint="cs"/>
                <w:rtl/>
              </w:rPr>
              <w:t xml:space="preserve">15.0 </w:t>
            </w:r>
            <w:r>
              <w:rPr>
                <w:rFonts w:hint="cs"/>
                <w:rtl/>
              </w:rPr>
              <w:t>في المائة</w:t>
            </w:r>
          </w:p>
        </w:tc>
        <w:tc>
          <w:tcPr>
            <w:tcW w:w="1467" w:type="dxa"/>
            <w:shd w:val="clear" w:color="auto" w:fill="auto"/>
          </w:tcPr>
          <w:p w:rsidR="00275265" w:rsidRPr="002266BE" w:rsidRDefault="00275265" w:rsidP="003F4B71">
            <w:pPr>
              <w:ind w:left="29" w:right="29"/>
              <w:rPr>
                <w:rFonts w:hint="cs"/>
                <w:rtl/>
              </w:rPr>
            </w:pPr>
            <w:r w:rsidRPr="002266BE">
              <w:rPr>
                <w:rFonts w:hint="cs"/>
                <w:rtl/>
              </w:rPr>
              <w:t xml:space="preserve">11.5 </w:t>
            </w:r>
            <w:r>
              <w:rPr>
                <w:rFonts w:hint="cs"/>
                <w:rtl/>
              </w:rPr>
              <w:t>في المائة</w:t>
            </w:r>
          </w:p>
        </w:tc>
      </w:tr>
    </w:tbl>
    <w:p w:rsidR="00275265" w:rsidRPr="001971A5" w:rsidRDefault="00275265" w:rsidP="00275265">
      <w:pPr>
        <w:pStyle w:val="SingleTxt"/>
        <w:rPr>
          <w:rFonts w:hint="cs"/>
          <w:b/>
          <w:bCs/>
          <w:rtl/>
        </w:rPr>
      </w:pPr>
    </w:p>
    <w:p w:rsidR="00275265" w:rsidRDefault="00275265" w:rsidP="00275265">
      <w:pPr>
        <w:pStyle w:val="SingleTxt"/>
        <w:rPr>
          <w:rFonts w:hint="cs"/>
          <w:rtl/>
        </w:rPr>
      </w:pPr>
      <w:r>
        <w:rPr>
          <w:rFonts w:hint="cs"/>
          <w:rtl/>
        </w:rPr>
        <w:t>الجدول ألف -14-4</w:t>
      </w:r>
    </w:p>
    <w:p w:rsidR="00275265" w:rsidRPr="001971A5" w:rsidRDefault="00275265" w:rsidP="00275265">
      <w:pPr>
        <w:pStyle w:val="SingleTxt"/>
        <w:rPr>
          <w:rFonts w:hint="cs"/>
          <w:b/>
          <w:bCs/>
          <w:rtl/>
        </w:rPr>
      </w:pPr>
      <w:r>
        <w:rPr>
          <w:rFonts w:hint="cs"/>
          <w:b/>
          <w:bCs/>
          <w:rtl/>
        </w:rPr>
        <w:t>سكان الريف الذين بلغوا</w:t>
      </w:r>
      <w:r w:rsidR="00C64C2A">
        <w:rPr>
          <w:rFonts w:hint="cs"/>
          <w:b/>
          <w:bCs/>
          <w:rtl/>
        </w:rPr>
        <w:t xml:space="preserve"> سن</w:t>
      </w:r>
      <w:r>
        <w:rPr>
          <w:rFonts w:hint="cs"/>
          <w:b/>
          <w:bCs/>
          <w:rtl/>
        </w:rPr>
        <w:t xml:space="preserve"> 13 سنة فما فوق ويعملون في المزارع، موزعين بحسب الجنس ومستوى التعليم في عام 2002 </w:t>
      </w:r>
    </w:p>
    <w:p w:rsidR="00275265" w:rsidRPr="001971A5" w:rsidRDefault="00275265" w:rsidP="00275265">
      <w:pPr>
        <w:pStyle w:val="SingleTxt"/>
        <w:spacing w:after="0" w:line="120" w:lineRule="exact"/>
        <w:rPr>
          <w:rFonts w:hint="cs"/>
          <w:sz w:val="10"/>
          <w:rtl/>
        </w:rPr>
      </w:pPr>
    </w:p>
    <w:tbl>
      <w:tblPr>
        <w:bidiVisual/>
        <w:tblW w:w="8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949"/>
        <w:gridCol w:w="1545"/>
        <w:gridCol w:w="1416"/>
        <w:gridCol w:w="1365"/>
        <w:gridCol w:w="1545"/>
      </w:tblGrid>
      <w:tr w:rsidR="00275265">
        <w:tblPrEx>
          <w:tblCellMar>
            <w:top w:w="0" w:type="dxa"/>
            <w:bottom w:w="0" w:type="dxa"/>
          </w:tblCellMar>
        </w:tblPrEx>
        <w:trPr>
          <w:jc w:val="center"/>
        </w:trPr>
        <w:tc>
          <w:tcPr>
            <w:tcW w:w="2949" w:type="dxa"/>
            <w:shd w:val="clear" w:color="auto" w:fill="auto"/>
            <w:tcMar>
              <w:left w:w="0" w:type="dxa"/>
              <w:right w:w="0" w:type="dxa"/>
            </w:tcMar>
          </w:tcPr>
          <w:p w:rsidR="00275265" w:rsidRPr="005F0C39" w:rsidRDefault="00275265" w:rsidP="003F4B71">
            <w:pPr>
              <w:ind w:left="29" w:right="29"/>
              <w:rPr>
                <w:rFonts w:hint="cs"/>
                <w:b/>
                <w:bCs/>
                <w:rtl/>
              </w:rPr>
            </w:pPr>
            <w:r w:rsidRPr="005F0C39">
              <w:rPr>
                <w:rFonts w:hint="cs"/>
                <w:b/>
                <w:bCs/>
                <w:rtl/>
              </w:rPr>
              <w:t>البنود</w:t>
            </w:r>
          </w:p>
        </w:tc>
        <w:tc>
          <w:tcPr>
            <w:tcW w:w="2961" w:type="dxa"/>
            <w:gridSpan w:val="2"/>
            <w:shd w:val="clear" w:color="auto" w:fill="auto"/>
          </w:tcPr>
          <w:p w:rsidR="00275265" w:rsidRPr="005F0C39" w:rsidRDefault="00275265" w:rsidP="003F4B71">
            <w:pPr>
              <w:ind w:left="29" w:right="29"/>
              <w:jc w:val="center"/>
              <w:rPr>
                <w:rFonts w:hint="cs"/>
                <w:b/>
                <w:bCs/>
                <w:rtl/>
              </w:rPr>
            </w:pPr>
            <w:r w:rsidRPr="005F0C39">
              <w:rPr>
                <w:rFonts w:hint="cs"/>
                <w:b/>
                <w:bCs/>
                <w:rtl/>
              </w:rPr>
              <w:t>المجموع</w:t>
            </w:r>
          </w:p>
        </w:tc>
        <w:tc>
          <w:tcPr>
            <w:tcW w:w="2910" w:type="dxa"/>
            <w:gridSpan w:val="2"/>
            <w:shd w:val="clear" w:color="auto" w:fill="auto"/>
          </w:tcPr>
          <w:p w:rsidR="00275265" w:rsidRPr="005F0C39" w:rsidRDefault="00275265" w:rsidP="003F4B71">
            <w:pPr>
              <w:ind w:left="29" w:right="29"/>
              <w:jc w:val="center"/>
              <w:rPr>
                <w:rFonts w:hint="cs"/>
                <w:b/>
                <w:bCs/>
                <w:rtl/>
              </w:rPr>
            </w:pPr>
            <w:r w:rsidRPr="005F0C39">
              <w:rPr>
                <w:rFonts w:hint="cs"/>
                <w:b/>
                <w:bCs/>
                <w:rtl/>
              </w:rPr>
              <w:t>الريف</w:t>
            </w:r>
          </w:p>
        </w:tc>
      </w:tr>
      <w:tr w:rsidR="00275265">
        <w:tblPrEx>
          <w:tblCellMar>
            <w:top w:w="0" w:type="dxa"/>
            <w:bottom w:w="0" w:type="dxa"/>
          </w:tblCellMar>
        </w:tblPrEx>
        <w:trPr>
          <w:jc w:val="center"/>
        </w:trPr>
        <w:tc>
          <w:tcPr>
            <w:tcW w:w="2949" w:type="dxa"/>
            <w:shd w:val="clear" w:color="auto" w:fill="auto"/>
          </w:tcPr>
          <w:p w:rsidR="00275265" w:rsidRPr="005F0C39" w:rsidRDefault="00275265" w:rsidP="003F4B71">
            <w:pPr>
              <w:ind w:left="29" w:right="29"/>
              <w:rPr>
                <w:rFonts w:hint="cs"/>
                <w:b/>
                <w:bCs/>
                <w:rtl/>
              </w:rPr>
            </w:pPr>
          </w:p>
        </w:tc>
        <w:tc>
          <w:tcPr>
            <w:tcW w:w="1545" w:type="dxa"/>
            <w:shd w:val="clear" w:color="auto" w:fill="auto"/>
          </w:tcPr>
          <w:p w:rsidR="00275265" w:rsidRPr="005F0C39" w:rsidRDefault="00275265" w:rsidP="003F4B71">
            <w:pPr>
              <w:ind w:left="29" w:right="29"/>
              <w:rPr>
                <w:rFonts w:hint="cs"/>
                <w:b/>
                <w:bCs/>
                <w:rtl/>
              </w:rPr>
            </w:pPr>
            <w:r w:rsidRPr="005F0C39">
              <w:rPr>
                <w:rFonts w:hint="cs"/>
                <w:b/>
                <w:bCs/>
                <w:rtl/>
              </w:rPr>
              <w:t>الرجال</w:t>
            </w:r>
          </w:p>
        </w:tc>
        <w:tc>
          <w:tcPr>
            <w:tcW w:w="1416" w:type="dxa"/>
            <w:shd w:val="clear" w:color="auto" w:fill="auto"/>
          </w:tcPr>
          <w:p w:rsidR="00275265" w:rsidRPr="005F0C39" w:rsidRDefault="00275265" w:rsidP="003F4B71">
            <w:pPr>
              <w:ind w:left="29" w:right="29"/>
              <w:rPr>
                <w:rFonts w:hint="cs"/>
                <w:b/>
                <w:bCs/>
                <w:rtl/>
              </w:rPr>
            </w:pPr>
            <w:r w:rsidRPr="005F0C39">
              <w:rPr>
                <w:rFonts w:hint="cs"/>
                <w:b/>
                <w:bCs/>
                <w:rtl/>
              </w:rPr>
              <w:t>النساء</w:t>
            </w:r>
          </w:p>
        </w:tc>
        <w:tc>
          <w:tcPr>
            <w:tcW w:w="1365" w:type="dxa"/>
            <w:shd w:val="clear" w:color="auto" w:fill="auto"/>
          </w:tcPr>
          <w:p w:rsidR="00275265" w:rsidRPr="005F0C39" w:rsidRDefault="00275265" w:rsidP="003F4B71">
            <w:pPr>
              <w:ind w:left="29" w:right="29"/>
              <w:rPr>
                <w:rFonts w:hint="cs"/>
                <w:b/>
                <w:bCs/>
                <w:rtl/>
              </w:rPr>
            </w:pPr>
            <w:r w:rsidRPr="005F0C39">
              <w:rPr>
                <w:rFonts w:hint="cs"/>
                <w:b/>
                <w:bCs/>
                <w:rtl/>
              </w:rPr>
              <w:t>الرجال</w:t>
            </w:r>
          </w:p>
        </w:tc>
        <w:tc>
          <w:tcPr>
            <w:tcW w:w="1545" w:type="dxa"/>
            <w:shd w:val="clear" w:color="auto" w:fill="auto"/>
          </w:tcPr>
          <w:p w:rsidR="00275265" w:rsidRPr="005F0C39" w:rsidRDefault="00275265" w:rsidP="003F4B71">
            <w:pPr>
              <w:ind w:left="29" w:right="29"/>
              <w:rPr>
                <w:rFonts w:hint="cs"/>
                <w:b/>
                <w:bCs/>
                <w:rtl/>
              </w:rPr>
            </w:pPr>
            <w:r w:rsidRPr="005F0C39">
              <w:rPr>
                <w:rFonts w:hint="cs"/>
                <w:b/>
                <w:bCs/>
                <w:rtl/>
              </w:rPr>
              <w:t>النساء</w:t>
            </w:r>
          </w:p>
        </w:tc>
      </w:tr>
      <w:tr w:rsidR="00275265">
        <w:tblPrEx>
          <w:tblCellMar>
            <w:top w:w="0" w:type="dxa"/>
            <w:bottom w:w="0" w:type="dxa"/>
          </w:tblCellMar>
        </w:tblPrEx>
        <w:trPr>
          <w:jc w:val="center"/>
        </w:trPr>
        <w:tc>
          <w:tcPr>
            <w:tcW w:w="2949" w:type="dxa"/>
            <w:shd w:val="clear" w:color="auto" w:fill="auto"/>
          </w:tcPr>
          <w:p w:rsidR="00275265" w:rsidRDefault="00275265" w:rsidP="003F4B71">
            <w:pPr>
              <w:ind w:left="29" w:right="29"/>
              <w:rPr>
                <w:rFonts w:hint="cs"/>
                <w:rtl/>
              </w:rPr>
            </w:pPr>
            <w:r>
              <w:rPr>
                <w:rFonts w:hint="cs"/>
                <w:rtl/>
              </w:rPr>
              <w:t>المجموع بالآلاف</w:t>
            </w:r>
          </w:p>
        </w:tc>
        <w:tc>
          <w:tcPr>
            <w:tcW w:w="1545" w:type="dxa"/>
            <w:shd w:val="clear" w:color="auto" w:fill="auto"/>
          </w:tcPr>
          <w:p w:rsidR="00275265" w:rsidRDefault="00275265" w:rsidP="003F4B71">
            <w:pPr>
              <w:ind w:left="29" w:right="29"/>
              <w:rPr>
                <w:rFonts w:hint="cs"/>
                <w:rtl/>
              </w:rPr>
            </w:pPr>
            <w:r>
              <w:rPr>
                <w:rFonts w:hint="cs"/>
                <w:rtl/>
              </w:rPr>
              <w:t>133.1 3</w:t>
            </w:r>
          </w:p>
        </w:tc>
        <w:tc>
          <w:tcPr>
            <w:tcW w:w="1416" w:type="dxa"/>
            <w:shd w:val="clear" w:color="auto" w:fill="auto"/>
          </w:tcPr>
          <w:p w:rsidR="00275265" w:rsidRDefault="00275265" w:rsidP="003F4B71">
            <w:pPr>
              <w:ind w:left="29" w:right="29"/>
              <w:rPr>
                <w:rFonts w:hint="cs"/>
                <w:rtl/>
              </w:rPr>
            </w:pPr>
            <w:r>
              <w:rPr>
                <w:rFonts w:hint="cs"/>
                <w:rtl/>
              </w:rPr>
              <w:t>025.3 3</w:t>
            </w:r>
          </w:p>
        </w:tc>
        <w:tc>
          <w:tcPr>
            <w:tcW w:w="1365" w:type="dxa"/>
            <w:shd w:val="clear" w:color="auto" w:fill="auto"/>
          </w:tcPr>
          <w:p w:rsidR="00275265" w:rsidRDefault="00275265" w:rsidP="003F4B71">
            <w:pPr>
              <w:ind w:left="29" w:right="29"/>
              <w:rPr>
                <w:rFonts w:hint="cs"/>
                <w:rtl/>
              </w:rPr>
            </w:pPr>
            <w:r>
              <w:rPr>
                <w:rFonts w:hint="cs"/>
                <w:rtl/>
              </w:rPr>
              <w:t>716.5 2</w:t>
            </w:r>
          </w:p>
        </w:tc>
        <w:tc>
          <w:tcPr>
            <w:tcW w:w="1545" w:type="dxa"/>
            <w:shd w:val="clear" w:color="auto" w:fill="auto"/>
          </w:tcPr>
          <w:p w:rsidR="00275265" w:rsidRDefault="00275265" w:rsidP="003F4B71">
            <w:pPr>
              <w:ind w:left="29" w:right="29"/>
              <w:rPr>
                <w:rFonts w:hint="cs"/>
                <w:rtl/>
              </w:rPr>
            </w:pPr>
            <w:r>
              <w:rPr>
                <w:rFonts w:hint="cs"/>
                <w:rtl/>
              </w:rPr>
              <w:t>608.4 2</w:t>
            </w:r>
          </w:p>
        </w:tc>
      </w:tr>
      <w:tr w:rsidR="00275265">
        <w:tblPrEx>
          <w:tblCellMar>
            <w:top w:w="0" w:type="dxa"/>
            <w:bottom w:w="0" w:type="dxa"/>
          </w:tblCellMar>
        </w:tblPrEx>
        <w:trPr>
          <w:jc w:val="center"/>
        </w:trPr>
        <w:tc>
          <w:tcPr>
            <w:tcW w:w="8820" w:type="dxa"/>
            <w:gridSpan w:val="5"/>
            <w:shd w:val="clear" w:color="auto" w:fill="auto"/>
          </w:tcPr>
          <w:p w:rsidR="00275265" w:rsidRDefault="00275265" w:rsidP="003F4B71">
            <w:pPr>
              <w:ind w:left="29" w:right="29"/>
              <w:jc w:val="center"/>
              <w:rPr>
                <w:rFonts w:hint="cs"/>
                <w:rtl/>
              </w:rPr>
            </w:pPr>
            <w:r>
              <w:rPr>
                <w:rFonts w:hint="cs"/>
                <w:rtl/>
              </w:rPr>
              <w:t>النسب المئوية</w:t>
            </w:r>
          </w:p>
        </w:tc>
      </w:tr>
      <w:tr w:rsidR="00275265">
        <w:tblPrEx>
          <w:tblCellMar>
            <w:top w:w="0" w:type="dxa"/>
            <w:bottom w:w="0" w:type="dxa"/>
          </w:tblCellMar>
        </w:tblPrEx>
        <w:trPr>
          <w:jc w:val="center"/>
        </w:trPr>
        <w:tc>
          <w:tcPr>
            <w:tcW w:w="2949" w:type="dxa"/>
            <w:shd w:val="clear" w:color="auto" w:fill="auto"/>
          </w:tcPr>
          <w:p w:rsidR="00275265" w:rsidRDefault="00275265" w:rsidP="003F4B71">
            <w:pPr>
              <w:ind w:left="29" w:right="29"/>
              <w:rPr>
                <w:rFonts w:hint="cs"/>
                <w:rtl/>
              </w:rPr>
            </w:pPr>
            <w:r>
              <w:rPr>
                <w:rFonts w:hint="cs"/>
                <w:rtl/>
              </w:rPr>
              <w:t>مرحلة التعليم العالي</w:t>
            </w:r>
          </w:p>
        </w:tc>
        <w:tc>
          <w:tcPr>
            <w:tcW w:w="1545" w:type="dxa"/>
            <w:shd w:val="clear" w:color="auto" w:fill="auto"/>
          </w:tcPr>
          <w:p w:rsidR="00275265" w:rsidRPr="002266BE" w:rsidRDefault="00275265" w:rsidP="003F4B71">
            <w:pPr>
              <w:ind w:left="29" w:right="29"/>
              <w:rPr>
                <w:rFonts w:hint="cs"/>
                <w:rtl/>
              </w:rPr>
            </w:pPr>
            <w:r w:rsidRPr="002266BE">
              <w:rPr>
                <w:rFonts w:hint="cs"/>
                <w:rtl/>
              </w:rPr>
              <w:t xml:space="preserve">3.6 </w:t>
            </w:r>
            <w:r>
              <w:rPr>
                <w:rFonts w:hint="cs"/>
                <w:rtl/>
              </w:rPr>
              <w:t>في المائة</w:t>
            </w:r>
          </w:p>
        </w:tc>
        <w:tc>
          <w:tcPr>
            <w:tcW w:w="1416" w:type="dxa"/>
            <w:shd w:val="clear" w:color="auto" w:fill="auto"/>
          </w:tcPr>
          <w:p w:rsidR="00275265" w:rsidRPr="002266BE" w:rsidRDefault="00275265" w:rsidP="003F4B71">
            <w:pPr>
              <w:ind w:left="29" w:right="29"/>
              <w:rPr>
                <w:rFonts w:hint="cs"/>
                <w:rtl/>
              </w:rPr>
            </w:pPr>
            <w:r w:rsidRPr="002266BE">
              <w:rPr>
                <w:rFonts w:hint="cs"/>
                <w:rtl/>
              </w:rPr>
              <w:t xml:space="preserve">5.1 </w:t>
            </w:r>
            <w:r>
              <w:rPr>
                <w:rFonts w:hint="cs"/>
                <w:rtl/>
              </w:rPr>
              <w:t>في المائة</w:t>
            </w:r>
          </w:p>
        </w:tc>
        <w:tc>
          <w:tcPr>
            <w:tcW w:w="1365" w:type="dxa"/>
            <w:shd w:val="clear" w:color="auto" w:fill="auto"/>
          </w:tcPr>
          <w:p w:rsidR="00275265" w:rsidRPr="002266BE" w:rsidRDefault="00275265" w:rsidP="003F4B71">
            <w:pPr>
              <w:ind w:left="29" w:right="29"/>
              <w:rPr>
                <w:rFonts w:hint="cs"/>
                <w:rtl/>
              </w:rPr>
            </w:pPr>
            <w:r w:rsidRPr="002266BE">
              <w:rPr>
                <w:rFonts w:hint="cs"/>
                <w:rtl/>
              </w:rPr>
              <w:t xml:space="preserve">2.3 </w:t>
            </w:r>
            <w:r>
              <w:rPr>
                <w:rFonts w:hint="cs"/>
                <w:rtl/>
              </w:rPr>
              <w:t>في المائة</w:t>
            </w:r>
          </w:p>
        </w:tc>
        <w:tc>
          <w:tcPr>
            <w:tcW w:w="1545" w:type="dxa"/>
            <w:shd w:val="clear" w:color="auto" w:fill="auto"/>
          </w:tcPr>
          <w:p w:rsidR="00275265" w:rsidRPr="002266BE" w:rsidRDefault="00275265" w:rsidP="003F4B71">
            <w:pPr>
              <w:ind w:left="29" w:right="29"/>
              <w:rPr>
                <w:rFonts w:hint="cs"/>
                <w:rtl/>
              </w:rPr>
            </w:pPr>
            <w:r w:rsidRPr="002266BE">
              <w:rPr>
                <w:rFonts w:hint="cs"/>
                <w:rtl/>
              </w:rPr>
              <w:t xml:space="preserve">3.7 </w:t>
            </w:r>
            <w:r>
              <w:rPr>
                <w:rFonts w:hint="cs"/>
                <w:rtl/>
              </w:rPr>
              <w:t>في المائة</w:t>
            </w:r>
          </w:p>
        </w:tc>
      </w:tr>
      <w:tr w:rsidR="00275265">
        <w:tblPrEx>
          <w:tblCellMar>
            <w:top w:w="0" w:type="dxa"/>
            <w:bottom w:w="0" w:type="dxa"/>
          </w:tblCellMar>
        </w:tblPrEx>
        <w:trPr>
          <w:jc w:val="center"/>
        </w:trPr>
        <w:tc>
          <w:tcPr>
            <w:tcW w:w="2949" w:type="dxa"/>
            <w:shd w:val="clear" w:color="auto" w:fill="auto"/>
          </w:tcPr>
          <w:p w:rsidR="00275265" w:rsidRDefault="00275265" w:rsidP="003F4B71">
            <w:pPr>
              <w:ind w:left="29" w:right="29"/>
              <w:rPr>
                <w:rFonts w:hint="cs"/>
                <w:rtl/>
              </w:rPr>
            </w:pPr>
            <w:r>
              <w:rPr>
                <w:rFonts w:hint="cs"/>
                <w:rtl/>
              </w:rPr>
              <w:t>مرحلة ما بعد التعليم الثانوي</w:t>
            </w:r>
          </w:p>
        </w:tc>
        <w:tc>
          <w:tcPr>
            <w:tcW w:w="1545" w:type="dxa"/>
            <w:shd w:val="clear" w:color="auto" w:fill="auto"/>
          </w:tcPr>
          <w:p w:rsidR="00275265" w:rsidRPr="002266BE" w:rsidRDefault="00275265" w:rsidP="003F4B71">
            <w:pPr>
              <w:ind w:left="29" w:right="29"/>
              <w:rPr>
                <w:rFonts w:hint="cs"/>
                <w:rtl/>
              </w:rPr>
            </w:pPr>
            <w:r w:rsidRPr="002266BE">
              <w:rPr>
                <w:rFonts w:hint="cs"/>
                <w:rtl/>
              </w:rPr>
              <w:t xml:space="preserve">0.9 </w:t>
            </w:r>
            <w:r>
              <w:rPr>
                <w:rFonts w:hint="cs"/>
                <w:rtl/>
              </w:rPr>
              <w:t>في المائة</w:t>
            </w:r>
          </w:p>
        </w:tc>
        <w:tc>
          <w:tcPr>
            <w:tcW w:w="1416" w:type="dxa"/>
            <w:shd w:val="clear" w:color="auto" w:fill="auto"/>
          </w:tcPr>
          <w:p w:rsidR="00275265" w:rsidRPr="002266BE" w:rsidRDefault="00275265" w:rsidP="003F4B71">
            <w:pPr>
              <w:ind w:left="29" w:right="29"/>
              <w:rPr>
                <w:rFonts w:hint="cs"/>
                <w:rtl/>
              </w:rPr>
            </w:pPr>
            <w:r w:rsidRPr="002266BE">
              <w:rPr>
                <w:rFonts w:hint="cs"/>
                <w:rtl/>
              </w:rPr>
              <w:t xml:space="preserve">3.1 </w:t>
            </w:r>
            <w:r>
              <w:rPr>
                <w:rFonts w:hint="cs"/>
                <w:rtl/>
              </w:rPr>
              <w:t>في المائة</w:t>
            </w:r>
          </w:p>
        </w:tc>
        <w:tc>
          <w:tcPr>
            <w:tcW w:w="1365" w:type="dxa"/>
            <w:shd w:val="clear" w:color="auto" w:fill="auto"/>
          </w:tcPr>
          <w:p w:rsidR="00275265" w:rsidRPr="002266BE" w:rsidRDefault="00275265" w:rsidP="003F4B71">
            <w:pPr>
              <w:ind w:left="29" w:right="29"/>
              <w:rPr>
                <w:rFonts w:hint="cs"/>
                <w:rtl/>
              </w:rPr>
            </w:pPr>
            <w:r w:rsidRPr="002266BE">
              <w:rPr>
                <w:rFonts w:hint="cs"/>
                <w:rtl/>
              </w:rPr>
              <w:t xml:space="preserve">0.8 </w:t>
            </w:r>
            <w:r>
              <w:rPr>
                <w:rFonts w:hint="cs"/>
                <w:rtl/>
              </w:rPr>
              <w:t>في المائة</w:t>
            </w:r>
          </w:p>
        </w:tc>
        <w:tc>
          <w:tcPr>
            <w:tcW w:w="1545" w:type="dxa"/>
            <w:shd w:val="clear" w:color="auto" w:fill="auto"/>
          </w:tcPr>
          <w:p w:rsidR="00275265" w:rsidRPr="002266BE" w:rsidRDefault="00275265" w:rsidP="003F4B71">
            <w:pPr>
              <w:ind w:left="29" w:right="29"/>
              <w:rPr>
                <w:rFonts w:hint="cs"/>
                <w:rtl/>
              </w:rPr>
            </w:pPr>
            <w:r w:rsidRPr="002266BE">
              <w:rPr>
                <w:rFonts w:hint="cs"/>
                <w:rtl/>
              </w:rPr>
              <w:t xml:space="preserve">2.6 </w:t>
            </w:r>
            <w:r>
              <w:rPr>
                <w:rFonts w:hint="cs"/>
                <w:rtl/>
              </w:rPr>
              <w:t>في المائة</w:t>
            </w:r>
          </w:p>
        </w:tc>
      </w:tr>
      <w:tr w:rsidR="00275265">
        <w:tblPrEx>
          <w:tblCellMar>
            <w:top w:w="0" w:type="dxa"/>
            <w:bottom w:w="0" w:type="dxa"/>
          </w:tblCellMar>
        </w:tblPrEx>
        <w:trPr>
          <w:jc w:val="center"/>
        </w:trPr>
        <w:tc>
          <w:tcPr>
            <w:tcW w:w="2949" w:type="dxa"/>
            <w:shd w:val="clear" w:color="auto" w:fill="auto"/>
          </w:tcPr>
          <w:p w:rsidR="00275265" w:rsidRDefault="00275265" w:rsidP="003F4B71">
            <w:pPr>
              <w:ind w:left="29" w:right="29"/>
              <w:rPr>
                <w:rFonts w:hint="cs"/>
                <w:rtl/>
              </w:rPr>
            </w:pPr>
            <w:r>
              <w:rPr>
                <w:rFonts w:hint="cs"/>
                <w:rtl/>
              </w:rPr>
              <w:t>مرحلة التعليم الثانوي - المجموع</w:t>
            </w:r>
          </w:p>
        </w:tc>
        <w:tc>
          <w:tcPr>
            <w:tcW w:w="1545" w:type="dxa"/>
            <w:shd w:val="clear" w:color="auto" w:fill="auto"/>
          </w:tcPr>
          <w:p w:rsidR="00275265" w:rsidRPr="002266BE" w:rsidRDefault="00275265" w:rsidP="003F4B71">
            <w:pPr>
              <w:ind w:left="29" w:right="29"/>
              <w:rPr>
                <w:rFonts w:hint="cs"/>
                <w:rtl/>
              </w:rPr>
            </w:pPr>
            <w:r w:rsidRPr="002266BE">
              <w:rPr>
                <w:rFonts w:hint="cs"/>
                <w:rtl/>
              </w:rPr>
              <w:t xml:space="preserve">53.4 </w:t>
            </w:r>
            <w:r>
              <w:rPr>
                <w:rFonts w:hint="cs"/>
                <w:rtl/>
              </w:rPr>
              <w:t>في المائة</w:t>
            </w:r>
          </w:p>
        </w:tc>
        <w:tc>
          <w:tcPr>
            <w:tcW w:w="1416" w:type="dxa"/>
            <w:shd w:val="clear" w:color="auto" w:fill="auto"/>
          </w:tcPr>
          <w:p w:rsidR="00275265" w:rsidRPr="002266BE" w:rsidRDefault="00275265" w:rsidP="003F4B71">
            <w:pPr>
              <w:ind w:left="29" w:right="29"/>
              <w:rPr>
                <w:rFonts w:hint="cs"/>
                <w:rtl/>
              </w:rPr>
            </w:pPr>
            <w:r w:rsidRPr="002266BE">
              <w:rPr>
                <w:rFonts w:hint="cs"/>
                <w:rtl/>
              </w:rPr>
              <w:t xml:space="preserve">44.5 </w:t>
            </w:r>
            <w:r>
              <w:rPr>
                <w:rFonts w:hint="cs"/>
                <w:rtl/>
              </w:rPr>
              <w:t>في المائة</w:t>
            </w:r>
          </w:p>
        </w:tc>
        <w:tc>
          <w:tcPr>
            <w:tcW w:w="1365" w:type="dxa"/>
            <w:shd w:val="clear" w:color="auto" w:fill="auto"/>
          </w:tcPr>
          <w:p w:rsidR="00275265" w:rsidRPr="002266BE" w:rsidRDefault="00275265" w:rsidP="003F4B71">
            <w:pPr>
              <w:ind w:left="29" w:right="29"/>
              <w:rPr>
                <w:rFonts w:hint="cs"/>
                <w:rtl/>
              </w:rPr>
            </w:pPr>
            <w:r w:rsidRPr="002266BE">
              <w:rPr>
                <w:rFonts w:hint="cs"/>
                <w:rtl/>
              </w:rPr>
              <w:t xml:space="preserve">52.6 </w:t>
            </w:r>
            <w:r>
              <w:rPr>
                <w:rFonts w:hint="cs"/>
                <w:rtl/>
              </w:rPr>
              <w:t>في المائة</w:t>
            </w:r>
          </w:p>
        </w:tc>
        <w:tc>
          <w:tcPr>
            <w:tcW w:w="1545" w:type="dxa"/>
            <w:shd w:val="clear" w:color="auto" w:fill="auto"/>
          </w:tcPr>
          <w:p w:rsidR="00275265" w:rsidRPr="002266BE" w:rsidRDefault="00275265" w:rsidP="003F4B71">
            <w:pPr>
              <w:ind w:left="29" w:right="29"/>
              <w:rPr>
                <w:rFonts w:hint="cs"/>
                <w:rtl/>
              </w:rPr>
            </w:pPr>
            <w:r w:rsidRPr="002266BE">
              <w:rPr>
                <w:rFonts w:hint="cs"/>
                <w:rtl/>
              </w:rPr>
              <w:t xml:space="preserve">43.6 </w:t>
            </w:r>
            <w:r>
              <w:rPr>
                <w:rFonts w:hint="cs"/>
                <w:rtl/>
              </w:rPr>
              <w:t>في المائة</w:t>
            </w:r>
          </w:p>
        </w:tc>
      </w:tr>
      <w:tr w:rsidR="00275265">
        <w:tblPrEx>
          <w:tblCellMar>
            <w:top w:w="0" w:type="dxa"/>
            <w:bottom w:w="0" w:type="dxa"/>
          </w:tblCellMar>
        </w:tblPrEx>
        <w:trPr>
          <w:jc w:val="center"/>
        </w:trPr>
        <w:tc>
          <w:tcPr>
            <w:tcW w:w="2949" w:type="dxa"/>
            <w:shd w:val="clear" w:color="auto" w:fill="auto"/>
          </w:tcPr>
          <w:p w:rsidR="00275265" w:rsidRDefault="00275265" w:rsidP="003F4B71">
            <w:pPr>
              <w:ind w:left="29" w:right="29"/>
              <w:rPr>
                <w:rFonts w:hint="cs"/>
                <w:rtl/>
              </w:rPr>
            </w:pPr>
            <w:r>
              <w:rPr>
                <w:rFonts w:hint="cs"/>
                <w:rtl/>
              </w:rPr>
              <w:t>مرحلة التدريب المهني</w:t>
            </w:r>
          </w:p>
        </w:tc>
        <w:tc>
          <w:tcPr>
            <w:tcW w:w="1545" w:type="dxa"/>
            <w:shd w:val="clear" w:color="auto" w:fill="auto"/>
          </w:tcPr>
          <w:p w:rsidR="00275265" w:rsidRPr="002266BE" w:rsidRDefault="00275265" w:rsidP="003F4B71">
            <w:pPr>
              <w:ind w:left="29" w:right="29"/>
              <w:rPr>
                <w:rFonts w:hint="cs"/>
                <w:rtl/>
              </w:rPr>
            </w:pPr>
            <w:r w:rsidRPr="002266BE">
              <w:rPr>
                <w:rFonts w:hint="cs"/>
                <w:rtl/>
              </w:rPr>
              <w:t xml:space="preserve">16.2 </w:t>
            </w:r>
            <w:r>
              <w:rPr>
                <w:rFonts w:hint="cs"/>
                <w:rtl/>
              </w:rPr>
              <w:t>في المائة</w:t>
            </w:r>
          </w:p>
        </w:tc>
        <w:tc>
          <w:tcPr>
            <w:tcW w:w="1416" w:type="dxa"/>
            <w:shd w:val="clear" w:color="auto" w:fill="auto"/>
          </w:tcPr>
          <w:p w:rsidR="00275265" w:rsidRPr="002266BE" w:rsidRDefault="00275265" w:rsidP="003F4B71">
            <w:pPr>
              <w:ind w:left="29" w:right="29"/>
              <w:rPr>
                <w:rFonts w:hint="cs"/>
                <w:rtl/>
              </w:rPr>
            </w:pPr>
            <w:r w:rsidRPr="002266BE">
              <w:rPr>
                <w:rFonts w:hint="cs"/>
                <w:rtl/>
              </w:rPr>
              <w:t xml:space="preserve">17.0 </w:t>
            </w:r>
            <w:r>
              <w:rPr>
                <w:rFonts w:hint="cs"/>
                <w:rtl/>
              </w:rPr>
              <w:t>في المائة</w:t>
            </w:r>
          </w:p>
        </w:tc>
        <w:tc>
          <w:tcPr>
            <w:tcW w:w="1365" w:type="dxa"/>
            <w:shd w:val="clear" w:color="auto" w:fill="auto"/>
          </w:tcPr>
          <w:p w:rsidR="00275265" w:rsidRPr="002266BE" w:rsidRDefault="00275265" w:rsidP="003F4B71">
            <w:pPr>
              <w:ind w:left="29" w:right="29"/>
              <w:rPr>
                <w:rFonts w:hint="cs"/>
                <w:rtl/>
              </w:rPr>
            </w:pPr>
            <w:r w:rsidRPr="002266BE">
              <w:rPr>
                <w:rFonts w:hint="cs"/>
                <w:rtl/>
              </w:rPr>
              <w:t xml:space="preserve">14.7 </w:t>
            </w:r>
            <w:r>
              <w:rPr>
                <w:rFonts w:hint="cs"/>
                <w:rtl/>
              </w:rPr>
              <w:t>في المائة</w:t>
            </w:r>
          </w:p>
        </w:tc>
        <w:tc>
          <w:tcPr>
            <w:tcW w:w="1545" w:type="dxa"/>
            <w:shd w:val="clear" w:color="auto" w:fill="auto"/>
          </w:tcPr>
          <w:p w:rsidR="00275265" w:rsidRPr="002266BE" w:rsidRDefault="00275265" w:rsidP="003F4B71">
            <w:pPr>
              <w:ind w:left="29" w:right="29"/>
              <w:rPr>
                <w:rFonts w:hint="cs"/>
                <w:rtl/>
              </w:rPr>
            </w:pPr>
            <w:r w:rsidRPr="002266BE">
              <w:rPr>
                <w:rFonts w:hint="cs"/>
                <w:rtl/>
              </w:rPr>
              <w:t xml:space="preserve">16.1 </w:t>
            </w:r>
            <w:r>
              <w:rPr>
                <w:rFonts w:hint="cs"/>
                <w:rtl/>
              </w:rPr>
              <w:t>في المائة</w:t>
            </w:r>
          </w:p>
        </w:tc>
      </w:tr>
      <w:tr w:rsidR="00275265">
        <w:tblPrEx>
          <w:tblCellMar>
            <w:top w:w="0" w:type="dxa"/>
            <w:bottom w:w="0" w:type="dxa"/>
          </w:tblCellMar>
        </w:tblPrEx>
        <w:trPr>
          <w:jc w:val="center"/>
        </w:trPr>
        <w:tc>
          <w:tcPr>
            <w:tcW w:w="2949" w:type="dxa"/>
            <w:shd w:val="clear" w:color="auto" w:fill="auto"/>
          </w:tcPr>
          <w:p w:rsidR="00275265" w:rsidRDefault="00C64C2A" w:rsidP="003F4B71">
            <w:pPr>
              <w:ind w:left="29" w:right="29"/>
              <w:rPr>
                <w:rFonts w:hint="cs"/>
                <w:rtl/>
              </w:rPr>
            </w:pPr>
            <w:r>
              <w:rPr>
                <w:rFonts w:hint="cs"/>
                <w:rtl/>
              </w:rPr>
              <w:t>ال</w:t>
            </w:r>
            <w:r w:rsidR="00275265">
              <w:rPr>
                <w:rFonts w:hint="cs"/>
                <w:rtl/>
              </w:rPr>
              <w:t xml:space="preserve">تعليم </w:t>
            </w:r>
            <w:r>
              <w:rPr>
                <w:rFonts w:hint="cs"/>
                <w:rtl/>
              </w:rPr>
              <w:t>ال</w:t>
            </w:r>
            <w:r w:rsidR="00275265">
              <w:rPr>
                <w:rFonts w:hint="cs"/>
                <w:rtl/>
              </w:rPr>
              <w:t>عام</w:t>
            </w:r>
          </w:p>
        </w:tc>
        <w:tc>
          <w:tcPr>
            <w:tcW w:w="1545" w:type="dxa"/>
            <w:shd w:val="clear" w:color="auto" w:fill="auto"/>
          </w:tcPr>
          <w:p w:rsidR="00275265" w:rsidRPr="002266BE" w:rsidRDefault="00275265" w:rsidP="003F4B71">
            <w:pPr>
              <w:ind w:left="29" w:right="29"/>
              <w:rPr>
                <w:rFonts w:hint="cs"/>
                <w:rtl/>
              </w:rPr>
            </w:pPr>
            <w:r w:rsidRPr="002266BE">
              <w:rPr>
                <w:rFonts w:hint="cs"/>
                <w:rtl/>
              </w:rPr>
              <w:t xml:space="preserve">2.6 </w:t>
            </w:r>
            <w:r>
              <w:rPr>
                <w:rFonts w:hint="cs"/>
                <w:rtl/>
              </w:rPr>
              <w:t>في المائة</w:t>
            </w:r>
          </w:p>
        </w:tc>
        <w:tc>
          <w:tcPr>
            <w:tcW w:w="1416" w:type="dxa"/>
            <w:shd w:val="clear" w:color="auto" w:fill="auto"/>
          </w:tcPr>
          <w:p w:rsidR="00275265" w:rsidRPr="002266BE" w:rsidRDefault="00275265" w:rsidP="003F4B71">
            <w:pPr>
              <w:ind w:left="29" w:right="29"/>
              <w:rPr>
                <w:rFonts w:hint="cs"/>
                <w:rtl/>
              </w:rPr>
            </w:pPr>
            <w:r w:rsidRPr="002266BE">
              <w:rPr>
                <w:rFonts w:hint="cs"/>
                <w:rtl/>
              </w:rPr>
              <w:t xml:space="preserve">6.9 </w:t>
            </w:r>
            <w:r>
              <w:rPr>
                <w:rFonts w:hint="cs"/>
                <w:rtl/>
              </w:rPr>
              <w:t>في المائة</w:t>
            </w:r>
          </w:p>
        </w:tc>
        <w:tc>
          <w:tcPr>
            <w:tcW w:w="1365" w:type="dxa"/>
            <w:shd w:val="clear" w:color="auto" w:fill="auto"/>
          </w:tcPr>
          <w:p w:rsidR="00275265" w:rsidRPr="002266BE" w:rsidRDefault="00275265" w:rsidP="003F4B71">
            <w:pPr>
              <w:ind w:left="29" w:right="29"/>
              <w:rPr>
                <w:rFonts w:hint="cs"/>
                <w:rtl/>
              </w:rPr>
            </w:pPr>
            <w:r w:rsidRPr="002266BE">
              <w:rPr>
                <w:rFonts w:hint="cs"/>
                <w:rtl/>
              </w:rPr>
              <w:t xml:space="preserve">2.0 </w:t>
            </w:r>
            <w:r>
              <w:rPr>
                <w:rFonts w:hint="cs"/>
                <w:rtl/>
              </w:rPr>
              <w:t>في المائة</w:t>
            </w:r>
          </w:p>
        </w:tc>
        <w:tc>
          <w:tcPr>
            <w:tcW w:w="1545" w:type="dxa"/>
            <w:shd w:val="clear" w:color="auto" w:fill="auto"/>
          </w:tcPr>
          <w:p w:rsidR="00275265" w:rsidRPr="002266BE" w:rsidRDefault="00275265" w:rsidP="003F4B71">
            <w:pPr>
              <w:ind w:left="29" w:right="29"/>
              <w:rPr>
                <w:rFonts w:hint="cs"/>
                <w:rtl/>
              </w:rPr>
            </w:pPr>
            <w:r w:rsidRPr="002266BE">
              <w:rPr>
                <w:rFonts w:hint="cs"/>
                <w:rtl/>
              </w:rPr>
              <w:t xml:space="preserve">5.8 </w:t>
            </w:r>
            <w:r>
              <w:rPr>
                <w:rFonts w:hint="cs"/>
                <w:rtl/>
              </w:rPr>
              <w:t>في المائة</w:t>
            </w:r>
          </w:p>
        </w:tc>
      </w:tr>
      <w:tr w:rsidR="00275265">
        <w:tblPrEx>
          <w:tblCellMar>
            <w:top w:w="0" w:type="dxa"/>
            <w:bottom w:w="0" w:type="dxa"/>
          </w:tblCellMar>
        </w:tblPrEx>
        <w:trPr>
          <w:jc w:val="center"/>
        </w:trPr>
        <w:tc>
          <w:tcPr>
            <w:tcW w:w="2949" w:type="dxa"/>
            <w:shd w:val="clear" w:color="auto" w:fill="auto"/>
          </w:tcPr>
          <w:p w:rsidR="00275265" w:rsidRDefault="00C64C2A" w:rsidP="003F4B71">
            <w:pPr>
              <w:ind w:left="29" w:right="29"/>
              <w:rPr>
                <w:rFonts w:hint="cs"/>
                <w:rtl/>
              </w:rPr>
            </w:pPr>
            <w:r>
              <w:rPr>
                <w:rFonts w:hint="cs"/>
                <w:rtl/>
              </w:rPr>
              <w:t>ال</w:t>
            </w:r>
            <w:r w:rsidR="00275265">
              <w:rPr>
                <w:rFonts w:hint="cs"/>
                <w:rtl/>
              </w:rPr>
              <w:t xml:space="preserve">تدريب </w:t>
            </w:r>
            <w:r>
              <w:rPr>
                <w:rFonts w:hint="cs"/>
                <w:rtl/>
              </w:rPr>
              <w:t>ال</w:t>
            </w:r>
            <w:r w:rsidR="00275265">
              <w:rPr>
                <w:rFonts w:hint="cs"/>
                <w:rtl/>
              </w:rPr>
              <w:t xml:space="preserve">مهني </w:t>
            </w:r>
            <w:r>
              <w:rPr>
                <w:rFonts w:hint="cs"/>
                <w:rtl/>
              </w:rPr>
              <w:t>ال</w:t>
            </w:r>
            <w:r w:rsidR="00275265">
              <w:rPr>
                <w:rFonts w:hint="cs"/>
                <w:rtl/>
              </w:rPr>
              <w:t>أساسي</w:t>
            </w:r>
          </w:p>
        </w:tc>
        <w:tc>
          <w:tcPr>
            <w:tcW w:w="1545" w:type="dxa"/>
            <w:shd w:val="clear" w:color="auto" w:fill="auto"/>
          </w:tcPr>
          <w:p w:rsidR="00275265" w:rsidRPr="002266BE" w:rsidRDefault="00275265" w:rsidP="003F4B71">
            <w:pPr>
              <w:ind w:left="29" w:right="29"/>
              <w:rPr>
                <w:rFonts w:hint="cs"/>
                <w:rtl/>
              </w:rPr>
            </w:pPr>
            <w:r w:rsidRPr="002266BE">
              <w:rPr>
                <w:rFonts w:hint="cs"/>
                <w:rtl/>
              </w:rPr>
              <w:t xml:space="preserve">34.7 </w:t>
            </w:r>
            <w:r>
              <w:rPr>
                <w:rFonts w:hint="cs"/>
                <w:rtl/>
              </w:rPr>
              <w:t>في المائة</w:t>
            </w:r>
          </w:p>
        </w:tc>
        <w:tc>
          <w:tcPr>
            <w:tcW w:w="1416" w:type="dxa"/>
            <w:shd w:val="clear" w:color="auto" w:fill="auto"/>
          </w:tcPr>
          <w:p w:rsidR="00275265" w:rsidRPr="002266BE" w:rsidRDefault="00275265" w:rsidP="003F4B71">
            <w:pPr>
              <w:ind w:left="29" w:right="29"/>
              <w:rPr>
                <w:rFonts w:hint="cs"/>
                <w:rtl/>
              </w:rPr>
            </w:pPr>
            <w:r w:rsidRPr="002266BE">
              <w:rPr>
                <w:rFonts w:hint="cs"/>
                <w:rtl/>
              </w:rPr>
              <w:t xml:space="preserve">20.6 </w:t>
            </w:r>
            <w:r>
              <w:rPr>
                <w:rFonts w:hint="cs"/>
                <w:rtl/>
              </w:rPr>
              <w:t>في المائة</w:t>
            </w:r>
          </w:p>
        </w:tc>
        <w:tc>
          <w:tcPr>
            <w:tcW w:w="1365" w:type="dxa"/>
            <w:shd w:val="clear" w:color="auto" w:fill="auto"/>
          </w:tcPr>
          <w:p w:rsidR="00275265" w:rsidRPr="002266BE" w:rsidRDefault="00275265" w:rsidP="003F4B71">
            <w:pPr>
              <w:ind w:left="29" w:right="29"/>
              <w:rPr>
                <w:rFonts w:hint="cs"/>
                <w:rtl/>
              </w:rPr>
            </w:pPr>
            <w:r w:rsidRPr="002266BE">
              <w:rPr>
                <w:rFonts w:hint="cs"/>
                <w:rtl/>
              </w:rPr>
              <w:t xml:space="preserve">35.9 </w:t>
            </w:r>
            <w:r>
              <w:rPr>
                <w:rFonts w:hint="cs"/>
                <w:rtl/>
              </w:rPr>
              <w:t>في المائة</w:t>
            </w:r>
          </w:p>
        </w:tc>
        <w:tc>
          <w:tcPr>
            <w:tcW w:w="1545" w:type="dxa"/>
            <w:shd w:val="clear" w:color="auto" w:fill="auto"/>
          </w:tcPr>
          <w:p w:rsidR="00275265" w:rsidRPr="002266BE" w:rsidRDefault="00275265" w:rsidP="003F4B71">
            <w:pPr>
              <w:ind w:left="29" w:right="29"/>
              <w:rPr>
                <w:rFonts w:hint="cs"/>
                <w:rtl/>
              </w:rPr>
            </w:pPr>
            <w:r w:rsidRPr="002266BE">
              <w:rPr>
                <w:rFonts w:hint="cs"/>
                <w:rtl/>
              </w:rPr>
              <w:t xml:space="preserve">21.6 </w:t>
            </w:r>
            <w:r>
              <w:rPr>
                <w:rFonts w:hint="cs"/>
                <w:rtl/>
              </w:rPr>
              <w:t>في المائة</w:t>
            </w:r>
          </w:p>
        </w:tc>
      </w:tr>
      <w:tr w:rsidR="00275265">
        <w:tblPrEx>
          <w:tblCellMar>
            <w:top w:w="0" w:type="dxa"/>
            <w:bottom w:w="0" w:type="dxa"/>
          </w:tblCellMar>
        </w:tblPrEx>
        <w:trPr>
          <w:jc w:val="center"/>
        </w:trPr>
        <w:tc>
          <w:tcPr>
            <w:tcW w:w="2949" w:type="dxa"/>
            <w:shd w:val="clear" w:color="auto" w:fill="auto"/>
          </w:tcPr>
          <w:p w:rsidR="00275265" w:rsidRDefault="00275265" w:rsidP="003F4B71">
            <w:pPr>
              <w:ind w:left="29" w:right="29"/>
              <w:rPr>
                <w:rFonts w:hint="cs"/>
                <w:rtl/>
              </w:rPr>
            </w:pPr>
            <w:r>
              <w:rPr>
                <w:rFonts w:hint="cs"/>
                <w:rtl/>
              </w:rPr>
              <w:t>إكمال مرحلة التعليم الابتدائي</w:t>
            </w:r>
          </w:p>
        </w:tc>
        <w:tc>
          <w:tcPr>
            <w:tcW w:w="1545" w:type="dxa"/>
            <w:shd w:val="clear" w:color="auto" w:fill="auto"/>
          </w:tcPr>
          <w:p w:rsidR="00275265" w:rsidRPr="002266BE" w:rsidRDefault="00275265" w:rsidP="003F4B71">
            <w:pPr>
              <w:ind w:left="29" w:right="29"/>
              <w:rPr>
                <w:rFonts w:hint="cs"/>
                <w:rtl/>
              </w:rPr>
            </w:pPr>
            <w:r w:rsidRPr="002266BE">
              <w:rPr>
                <w:rFonts w:hint="cs"/>
                <w:rtl/>
              </w:rPr>
              <w:t xml:space="preserve">37.7 </w:t>
            </w:r>
            <w:r>
              <w:rPr>
                <w:rFonts w:hint="cs"/>
                <w:rtl/>
              </w:rPr>
              <w:t>في المائة</w:t>
            </w:r>
          </w:p>
        </w:tc>
        <w:tc>
          <w:tcPr>
            <w:tcW w:w="1416" w:type="dxa"/>
            <w:shd w:val="clear" w:color="auto" w:fill="auto"/>
          </w:tcPr>
          <w:p w:rsidR="00275265" w:rsidRPr="002266BE" w:rsidRDefault="00275265" w:rsidP="003F4B71">
            <w:pPr>
              <w:ind w:left="29" w:right="29"/>
              <w:rPr>
                <w:rFonts w:hint="cs"/>
                <w:rtl/>
              </w:rPr>
            </w:pPr>
            <w:r w:rsidRPr="002266BE">
              <w:rPr>
                <w:rFonts w:hint="cs"/>
                <w:rtl/>
              </w:rPr>
              <w:t xml:space="preserve">40.9 </w:t>
            </w:r>
            <w:r>
              <w:rPr>
                <w:rFonts w:hint="cs"/>
                <w:rtl/>
              </w:rPr>
              <w:t>في المائة</w:t>
            </w:r>
          </w:p>
        </w:tc>
        <w:tc>
          <w:tcPr>
            <w:tcW w:w="1365" w:type="dxa"/>
            <w:shd w:val="clear" w:color="auto" w:fill="auto"/>
          </w:tcPr>
          <w:p w:rsidR="00275265" w:rsidRPr="002266BE" w:rsidRDefault="00275265" w:rsidP="003F4B71">
            <w:pPr>
              <w:ind w:left="29" w:right="29"/>
              <w:rPr>
                <w:rFonts w:hint="cs"/>
                <w:rtl/>
              </w:rPr>
            </w:pPr>
            <w:r w:rsidRPr="002266BE">
              <w:rPr>
                <w:rFonts w:hint="cs"/>
                <w:rtl/>
              </w:rPr>
              <w:t xml:space="preserve">39.8 </w:t>
            </w:r>
            <w:r>
              <w:rPr>
                <w:rFonts w:hint="cs"/>
                <w:rtl/>
              </w:rPr>
              <w:t>في المائة</w:t>
            </w:r>
          </w:p>
        </w:tc>
        <w:tc>
          <w:tcPr>
            <w:tcW w:w="1545" w:type="dxa"/>
            <w:shd w:val="clear" w:color="auto" w:fill="auto"/>
          </w:tcPr>
          <w:p w:rsidR="00275265" w:rsidRPr="002266BE" w:rsidRDefault="00275265" w:rsidP="003F4B71">
            <w:pPr>
              <w:ind w:left="29" w:right="29"/>
              <w:rPr>
                <w:rFonts w:hint="cs"/>
                <w:rtl/>
              </w:rPr>
            </w:pPr>
            <w:r w:rsidRPr="002266BE">
              <w:rPr>
                <w:rFonts w:hint="cs"/>
                <w:rtl/>
              </w:rPr>
              <w:t xml:space="preserve">43.2 </w:t>
            </w:r>
            <w:r>
              <w:rPr>
                <w:rFonts w:hint="cs"/>
                <w:rtl/>
              </w:rPr>
              <w:t>في المائة</w:t>
            </w:r>
          </w:p>
        </w:tc>
      </w:tr>
      <w:tr w:rsidR="00275265">
        <w:tblPrEx>
          <w:tblCellMar>
            <w:top w:w="0" w:type="dxa"/>
            <w:bottom w:w="0" w:type="dxa"/>
          </w:tblCellMar>
        </w:tblPrEx>
        <w:trPr>
          <w:jc w:val="center"/>
        </w:trPr>
        <w:tc>
          <w:tcPr>
            <w:tcW w:w="2949" w:type="dxa"/>
            <w:shd w:val="clear" w:color="auto" w:fill="auto"/>
          </w:tcPr>
          <w:p w:rsidR="00275265" w:rsidRDefault="00275265" w:rsidP="003F4B71">
            <w:pPr>
              <w:ind w:left="29" w:right="29"/>
              <w:rPr>
                <w:rFonts w:hint="cs"/>
                <w:rtl/>
              </w:rPr>
            </w:pPr>
            <w:r>
              <w:rPr>
                <w:rFonts w:hint="cs"/>
                <w:rtl/>
              </w:rPr>
              <w:t>عدم إكمال التعليم الابتدائي أو عدم الالتحاق بالمدارس</w:t>
            </w:r>
          </w:p>
        </w:tc>
        <w:tc>
          <w:tcPr>
            <w:tcW w:w="1545" w:type="dxa"/>
            <w:shd w:val="clear" w:color="auto" w:fill="auto"/>
          </w:tcPr>
          <w:p w:rsidR="00275265" w:rsidRPr="002266BE" w:rsidRDefault="00275265" w:rsidP="003F4B71">
            <w:pPr>
              <w:ind w:left="29" w:right="29"/>
              <w:rPr>
                <w:rFonts w:hint="cs"/>
                <w:rtl/>
              </w:rPr>
            </w:pPr>
            <w:r w:rsidRPr="002266BE">
              <w:rPr>
                <w:rFonts w:hint="cs"/>
                <w:rtl/>
              </w:rPr>
              <w:t xml:space="preserve">4.0 </w:t>
            </w:r>
            <w:r>
              <w:rPr>
                <w:rFonts w:hint="cs"/>
                <w:rtl/>
              </w:rPr>
              <w:t>في المائة</w:t>
            </w:r>
          </w:p>
        </w:tc>
        <w:tc>
          <w:tcPr>
            <w:tcW w:w="1416" w:type="dxa"/>
            <w:shd w:val="clear" w:color="auto" w:fill="auto"/>
          </w:tcPr>
          <w:p w:rsidR="00275265" w:rsidRPr="002266BE" w:rsidRDefault="00275265" w:rsidP="003F4B71">
            <w:pPr>
              <w:ind w:left="29" w:right="29"/>
              <w:rPr>
                <w:rFonts w:hint="cs"/>
                <w:rtl/>
              </w:rPr>
            </w:pPr>
            <w:r w:rsidRPr="002266BE">
              <w:rPr>
                <w:rFonts w:hint="cs"/>
                <w:rtl/>
              </w:rPr>
              <w:t xml:space="preserve">6.1 </w:t>
            </w:r>
            <w:r>
              <w:rPr>
                <w:rFonts w:hint="cs"/>
                <w:rtl/>
              </w:rPr>
              <w:t>في المائة</w:t>
            </w:r>
          </w:p>
        </w:tc>
        <w:tc>
          <w:tcPr>
            <w:tcW w:w="1365" w:type="dxa"/>
            <w:shd w:val="clear" w:color="auto" w:fill="auto"/>
          </w:tcPr>
          <w:p w:rsidR="00275265" w:rsidRPr="002266BE" w:rsidRDefault="00275265" w:rsidP="003F4B71">
            <w:pPr>
              <w:ind w:left="29" w:right="29"/>
              <w:rPr>
                <w:rFonts w:hint="cs"/>
                <w:rtl/>
              </w:rPr>
            </w:pPr>
            <w:r w:rsidRPr="002266BE">
              <w:rPr>
                <w:rFonts w:hint="cs"/>
                <w:rtl/>
              </w:rPr>
              <w:t xml:space="preserve">4.2 </w:t>
            </w:r>
            <w:r>
              <w:rPr>
                <w:rFonts w:hint="cs"/>
                <w:rtl/>
              </w:rPr>
              <w:t>في المائة</w:t>
            </w:r>
          </w:p>
        </w:tc>
        <w:tc>
          <w:tcPr>
            <w:tcW w:w="1545" w:type="dxa"/>
            <w:shd w:val="clear" w:color="auto" w:fill="auto"/>
          </w:tcPr>
          <w:p w:rsidR="00275265" w:rsidRPr="002266BE" w:rsidRDefault="00275265" w:rsidP="003F4B71">
            <w:pPr>
              <w:ind w:left="29" w:right="29"/>
              <w:rPr>
                <w:rFonts w:hint="cs"/>
                <w:rtl/>
              </w:rPr>
            </w:pPr>
            <w:r w:rsidRPr="002266BE">
              <w:rPr>
                <w:rFonts w:hint="cs"/>
                <w:rtl/>
              </w:rPr>
              <w:t xml:space="preserve">6.6 </w:t>
            </w:r>
            <w:r>
              <w:rPr>
                <w:rFonts w:hint="cs"/>
                <w:rtl/>
              </w:rPr>
              <w:t>في المائة</w:t>
            </w:r>
          </w:p>
        </w:tc>
      </w:tr>
      <w:tr w:rsidR="00275265">
        <w:tblPrEx>
          <w:tblCellMar>
            <w:top w:w="0" w:type="dxa"/>
            <w:bottom w:w="0" w:type="dxa"/>
          </w:tblCellMar>
        </w:tblPrEx>
        <w:trPr>
          <w:jc w:val="center"/>
        </w:trPr>
        <w:tc>
          <w:tcPr>
            <w:tcW w:w="2949" w:type="dxa"/>
            <w:shd w:val="clear" w:color="auto" w:fill="auto"/>
          </w:tcPr>
          <w:p w:rsidR="00275265" w:rsidRDefault="00275265" w:rsidP="003F4B71">
            <w:pPr>
              <w:ind w:left="29" w:right="29"/>
              <w:rPr>
                <w:rFonts w:hint="cs"/>
                <w:rtl/>
              </w:rPr>
            </w:pPr>
            <w:r>
              <w:rPr>
                <w:rFonts w:hint="cs"/>
                <w:rtl/>
              </w:rPr>
              <w:t xml:space="preserve">بيانات غير متوفرة </w:t>
            </w:r>
          </w:p>
        </w:tc>
        <w:tc>
          <w:tcPr>
            <w:tcW w:w="1545" w:type="dxa"/>
            <w:shd w:val="clear" w:color="auto" w:fill="auto"/>
          </w:tcPr>
          <w:p w:rsidR="00275265" w:rsidRPr="002266BE" w:rsidRDefault="00275265" w:rsidP="003F4B71">
            <w:pPr>
              <w:ind w:left="29" w:right="29"/>
              <w:rPr>
                <w:rFonts w:hint="cs"/>
                <w:rtl/>
              </w:rPr>
            </w:pPr>
            <w:r w:rsidRPr="002266BE">
              <w:rPr>
                <w:rFonts w:hint="cs"/>
                <w:rtl/>
              </w:rPr>
              <w:t xml:space="preserve">0.3 </w:t>
            </w:r>
            <w:r>
              <w:rPr>
                <w:rFonts w:hint="cs"/>
                <w:rtl/>
              </w:rPr>
              <w:t>في المائة</w:t>
            </w:r>
          </w:p>
        </w:tc>
        <w:tc>
          <w:tcPr>
            <w:tcW w:w="1416" w:type="dxa"/>
            <w:shd w:val="clear" w:color="auto" w:fill="auto"/>
          </w:tcPr>
          <w:p w:rsidR="00275265" w:rsidRPr="002266BE" w:rsidRDefault="00275265" w:rsidP="003F4B71">
            <w:pPr>
              <w:ind w:left="29" w:right="29"/>
              <w:rPr>
                <w:rFonts w:hint="cs"/>
                <w:rtl/>
              </w:rPr>
            </w:pPr>
            <w:r w:rsidRPr="002266BE">
              <w:rPr>
                <w:rFonts w:hint="cs"/>
                <w:rtl/>
              </w:rPr>
              <w:t xml:space="preserve">0.3 </w:t>
            </w:r>
            <w:r>
              <w:rPr>
                <w:rFonts w:hint="cs"/>
                <w:rtl/>
              </w:rPr>
              <w:t>في المائة</w:t>
            </w:r>
          </w:p>
        </w:tc>
        <w:tc>
          <w:tcPr>
            <w:tcW w:w="1365" w:type="dxa"/>
            <w:shd w:val="clear" w:color="auto" w:fill="auto"/>
          </w:tcPr>
          <w:p w:rsidR="00275265" w:rsidRPr="002266BE" w:rsidRDefault="00275265" w:rsidP="003F4B71">
            <w:pPr>
              <w:ind w:left="29" w:right="29"/>
              <w:rPr>
                <w:rFonts w:hint="cs"/>
                <w:rtl/>
              </w:rPr>
            </w:pPr>
            <w:r w:rsidRPr="002266BE">
              <w:rPr>
                <w:rFonts w:hint="cs"/>
                <w:rtl/>
              </w:rPr>
              <w:t xml:space="preserve">0.3 </w:t>
            </w:r>
            <w:r>
              <w:rPr>
                <w:rFonts w:hint="cs"/>
                <w:rtl/>
              </w:rPr>
              <w:t>في المائة</w:t>
            </w:r>
          </w:p>
        </w:tc>
        <w:tc>
          <w:tcPr>
            <w:tcW w:w="1545" w:type="dxa"/>
            <w:shd w:val="clear" w:color="auto" w:fill="auto"/>
          </w:tcPr>
          <w:p w:rsidR="00275265" w:rsidRPr="002266BE" w:rsidRDefault="00275265" w:rsidP="003F4B71">
            <w:pPr>
              <w:ind w:left="29" w:right="29"/>
              <w:rPr>
                <w:rFonts w:hint="cs"/>
                <w:rtl/>
              </w:rPr>
            </w:pPr>
            <w:r w:rsidRPr="002266BE">
              <w:rPr>
                <w:rFonts w:hint="cs"/>
                <w:rtl/>
              </w:rPr>
              <w:t xml:space="preserve">0.3 </w:t>
            </w:r>
            <w:r>
              <w:rPr>
                <w:rFonts w:hint="cs"/>
                <w:rtl/>
              </w:rPr>
              <w:t>في المائة</w:t>
            </w:r>
          </w:p>
        </w:tc>
      </w:tr>
    </w:tbl>
    <w:p w:rsidR="00275265" w:rsidRDefault="00275265" w:rsidP="00275265">
      <w:pPr>
        <w:pStyle w:val="SingleTxt"/>
        <w:rPr>
          <w:rFonts w:hint="cs"/>
          <w:rtl/>
        </w:rPr>
      </w:pPr>
    </w:p>
    <w:p w:rsidR="00275265" w:rsidRDefault="00275265" w:rsidP="00275265">
      <w:pPr>
        <w:pStyle w:val="SingleTxt"/>
        <w:rPr>
          <w:rFonts w:hint="cs"/>
          <w:rtl/>
        </w:rPr>
      </w:pPr>
      <w:r>
        <w:rPr>
          <w:rFonts w:hint="cs"/>
          <w:rtl/>
        </w:rPr>
        <w:t>الجدول ألف -14-5</w:t>
      </w:r>
    </w:p>
    <w:p w:rsidR="00275265" w:rsidRPr="001971A5" w:rsidRDefault="00275265" w:rsidP="00275265">
      <w:pPr>
        <w:pStyle w:val="SingleTxt"/>
        <w:rPr>
          <w:rFonts w:hint="cs"/>
          <w:b/>
          <w:bCs/>
          <w:rtl/>
        </w:rPr>
      </w:pPr>
      <w:r>
        <w:rPr>
          <w:rFonts w:hint="cs"/>
          <w:b/>
          <w:bCs/>
          <w:rtl/>
        </w:rPr>
        <w:t>العمر المتوقع للنساء ومعدل الوفيات بين النساء في عام 2001</w:t>
      </w:r>
    </w:p>
    <w:p w:rsidR="00275265" w:rsidRDefault="00275265" w:rsidP="00275265">
      <w:pPr>
        <w:pStyle w:val="SingleTxt"/>
        <w:spacing w:after="0" w:line="120" w:lineRule="exact"/>
        <w:rPr>
          <w:rFonts w:hint="cs"/>
          <w:sz w:val="10"/>
          <w:rtl/>
        </w:rPr>
      </w:pPr>
    </w:p>
    <w:p w:rsidR="00275265" w:rsidRPr="00C40410" w:rsidRDefault="00275265" w:rsidP="00275265">
      <w:pPr>
        <w:pStyle w:val="SingleTxt"/>
        <w:spacing w:after="0" w:line="120" w:lineRule="exact"/>
        <w:rPr>
          <w:rFonts w:hint="cs"/>
          <w:sz w:val="10"/>
          <w:rtl/>
        </w:rPr>
      </w:pPr>
    </w:p>
    <w:tbl>
      <w:tblPr>
        <w:bidiVisual/>
        <w:tblW w:w="7680" w:type="dxa"/>
        <w:jc w:val="center"/>
        <w:tblInd w:w="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548"/>
        <w:gridCol w:w="2763"/>
        <w:gridCol w:w="2369"/>
      </w:tblGrid>
      <w:tr w:rsidR="00275265">
        <w:tblPrEx>
          <w:tblCellMar>
            <w:top w:w="0" w:type="dxa"/>
            <w:bottom w:w="0" w:type="dxa"/>
          </w:tblCellMar>
        </w:tblPrEx>
        <w:trPr>
          <w:jc w:val="center"/>
        </w:trPr>
        <w:tc>
          <w:tcPr>
            <w:tcW w:w="2548" w:type="dxa"/>
            <w:shd w:val="clear" w:color="auto" w:fill="auto"/>
            <w:tcMar>
              <w:left w:w="0" w:type="dxa"/>
              <w:right w:w="0" w:type="dxa"/>
            </w:tcMar>
          </w:tcPr>
          <w:p w:rsidR="00275265" w:rsidRPr="00C40410" w:rsidRDefault="00275265" w:rsidP="003F4B71">
            <w:pPr>
              <w:jc w:val="center"/>
              <w:rPr>
                <w:rFonts w:hint="cs"/>
                <w:b/>
                <w:bCs/>
                <w:rtl/>
              </w:rPr>
            </w:pPr>
            <w:r w:rsidRPr="00C40410">
              <w:rPr>
                <w:rFonts w:hint="cs"/>
                <w:b/>
                <w:bCs/>
                <w:rtl/>
              </w:rPr>
              <w:t>السنة</w:t>
            </w:r>
          </w:p>
        </w:tc>
        <w:tc>
          <w:tcPr>
            <w:tcW w:w="2763" w:type="dxa"/>
            <w:shd w:val="clear" w:color="auto" w:fill="auto"/>
          </w:tcPr>
          <w:p w:rsidR="00275265" w:rsidRPr="00C40410" w:rsidRDefault="00275265" w:rsidP="003F4B71">
            <w:pPr>
              <w:jc w:val="center"/>
              <w:rPr>
                <w:rFonts w:hint="cs"/>
                <w:b/>
                <w:bCs/>
                <w:rtl/>
              </w:rPr>
            </w:pPr>
            <w:r w:rsidRPr="00C40410">
              <w:rPr>
                <w:rFonts w:hint="cs"/>
                <w:b/>
                <w:bCs/>
                <w:rtl/>
              </w:rPr>
              <w:t>الريف</w:t>
            </w:r>
          </w:p>
        </w:tc>
        <w:tc>
          <w:tcPr>
            <w:tcW w:w="2369" w:type="dxa"/>
            <w:shd w:val="clear" w:color="auto" w:fill="auto"/>
          </w:tcPr>
          <w:p w:rsidR="00275265" w:rsidRPr="00C40410" w:rsidRDefault="00275265" w:rsidP="003F4B71">
            <w:pPr>
              <w:jc w:val="center"/>
              <w:rPr>
                <w:rFonts w:hint="cs"/>
                <w:b/>
                <w:bCs/>
                <w:rtl/>
              </w:rPr>
            </w:pPr>
            <w:r w:rsidRPr="00C40410">
              <w:rPr>
                <w:rFonts w:hint="cs"/>
                <w:b/>
                <w:bCs/>
                <w:rtl/>
              </w:rPr>
              <w:t>المدن</w:t>
            </w:r>
          </w:p>
        </w:tc>
      </w:tr>
      <w:tr w:rsidR="00275265">
        <w:tblPrEx>
          <w:tblCellMar>
            <w:top w:w="0" w:type="dxa"/>
            <w:bottom w:w="0" w:type="dxa"/>
          </w:tblCellMar>
        </w:tblPrEx>
        <w:trPr>
          <w:jc w:val="center"/>
        </w:trPr>
        <w:tc>
          <w:tcPr>
            <w:tcW w:w="7680" w:type="dxa"/>
            <w:gridSpan w:val="3"/>
            <w:shd w:val="clear" w:color="auto" w:fill="auto"/>
          </w:tcPr>
          <w:p w:rsidR="00275265" w:rsidRDefault="00275265" w:rsidP="003F4B71">
            <w:pPr>
              <w:jc w:val="center"/>
              <w:rPr>
                <w:rFonts w:hint="cs"/>
                <w:rtl/>
              </w:rPr>
            </w:pPr>
            <w:r>
              <w:rPr>
                <w:rFonts w:hint="cs"/>
                <w:rtl/>
              </w:rPr>
              <w:t>معدل الوفيات بين النساء - عن كل ألف</w:t>
            </w:r>
          </w:p>
        </w:tc>
      </w:tr>
      <w:tr w:rsidR="00275265">
        <w:tblPrEx>
          <w:tblCellMar>
            <w:top w:w="0" w:type="dxa"/>
            <w:bottom w:w="0" w:type="dxa"/>
          </w:tblCellMar>
        </w:tblPrEx>
        <w:trPr>
          <w:jc w:val="center"/>
        </w:trPr>
        <w:tc>
          <w:tcPr>
            <w:tcW w:w="2548" w:type="dxa"/>
            <w:shd w:val="clear" w:color="auto" w:fill="auto"/>
          </w:tcPr>
          <w:p w:rsidR="00275265" w:rsidRPr="005F0C39" w:rsidRDefault="00275265" w:rsidP="003F4B71">
            <w:pPr>
              <w:rPr>
                <w:rFonts w:hint="cs"/>
                <w:b/>
                <w:bCs/>
                <w:rtl/>
              </w:rPr>
            </w:pPr>
            <w:r w:rsidRPr="005F0C39">
              <w:rPr>
                <w:rFonts w:hint="cs"/>
                <w:b/>
                <w:bCs/>
                <w:rtl/>
              </w:rPr>
              <w:t>2001</w:t>
            </w:r>
          </w:p>
        </w:tc>
        <w:tc>
          <w:tcPr>
            <w:tcW w:w="2763" w:type="dxa"/>
            <w:shd w:val="clear" w:color="auto" w:fill="auto"/>
          </w:tcPr>
          <w:p w:rsidR="00275265" w:rsidRPr="00C40410" w:rsidRDefault="00275265" w:rsidP="003F4B71">
            <w:pPr>
              <w:rPr>
                <w:rFonts w:hint="cs"/>
                <w:rtl/>
              </w:rPr>
            </w:pPr>
            <w:r>
              <w:rPr>
                <w:rFonts w:hint="cs"/>
                <w:rtl/>
              </w:rPr>
              <w:t>9.10</w:t>
            </w:r>
          </w:p>
        </w:tc>
        <w:tc>
          <w:tcPr>
            <w:tcW w:w="2369" w:type="dxa"/>
            <w:shd w:val="clear" w:color="auto" w:fill="auto"/>
          </w:tcPr>
          <w:p w:rsidR="00275265" w:rsidRPr="007230E9" w:rsidRDefault="00275265" w:rsidP="003F4B71">
            <w:pPr>
              <w:rPr>
                <w:rFonts w:hint="cs"/>
                <w:rtl/>
              </w:rPr>
            </w:pPr>
            <w:r w:rsidRPr="007230E9">
              <w:rPr>
                <w:rFonts w:hint="cs"/>
                <w:rtl/>
              </w:rPr>
              <w:t>8.25</w:t>
            </w:r>
          </w:p>
        </w:tc>
      </w:tr>
      <w:tr w:rsidR="00275265">
        <w:tblPrEx>
          <w:tblCellMar>
            <w:top w:w="0" w:type="dxa"/>
            <w:bottom w:w="0" w:type="dxa"/>
          </w:tblCellMar>
        </w:tblPrEx>
        <w:trPr>
          <w:jc w:val="center"/>
        </w:trPr>
        <w:tc>
          <w:tcPr>
            <w:tcW w:w="7680" w:type="dxa"/>
            <w:gridSpan w:val="3"/>
            <w:shd w:val="clear" w:color="auto" w:fill="auto"/>
          </w:tcPr>
          <w:p w:rsidR="00275265" w:rsidRDefault="00275265" w:rsidP="003F4B71">
            <w:pPr>
              <w:jc w:val="center"/>
              <w:rPr>
                <w:rFonts w:hint="cs"/>
                <w:rtl/>
              </w:rPr>
            </w:pPr>
            <w:r>
              <w:rPr>
                <w:rFonts w:hint="cs"/>
                <w:rtl/>
              </w:rPr>
              <w:t xml:space="preserve">معدل الوفيات بين النساء أثناء فترة الحمل </w:t>
            </w:r>
            <w:r w:rsidR="00C64C2A">
              <w:rPr>
                <w:rFonts w:hint="cs"/>
                <w:rtl/>
              </w:rPr>
              <w:t>و</w:t>
            </w:r>
            <w:r>
              <w:rPr>
                <w:rFonts w:hint="cs"/>
                <w:rtl/>
              </w:rPr>
              <w:t xml:space="preserve">الولادة </w:t>
            </w:r>
            <w:r w:rsidR="00C64C2A">
              <w:rPr>
                <w:rFonts w:hint="cs"/>
                <w:rtl/>
              </w:rPr>
              <w:t>و</w:t>
            </w:r>
            <w:r>
              <w:rPr>
                <w:rFonts w:hint="cs"/>
                <w:rtl/>
              </w:rPr>
              <w:t>النفاس - عن كل 000 100</w:t>
            </w:r>
          </w:p>
        </w:tc>
      </w:tr>
      <w:tr w:rsidR="00275265">
        <w:tblPrEx>
          <w:tblCellMar>
            <w:top w:w="0" w:type="dxa"/>
            <w:bottom w:w="0" w:type="dxa"/>
          </w:tblCellMar>
        </w:tblPrEx>
        <w:trPr>
          <w:jc w:val="center"/>
        </w:trPr>
        <w:tc>
          <w:tcPr>
            <w:tcW w:w="2548" w:type="dxa"/>
            <w:shd w:val="clear" w:color="auto" w:fill="auto"/>
          </w:tcPr>
          <w:p w:rsidR="00275265" w:rsidRPr="005F0C39" w:rsidRDefault="00275265" w:rsidP="003F4B71">
            <w:pPr>
              <w:rPr>
                <w:rFonts w:hint="cs"/>
                <w:b/>
                <w:bCs/>
                <w:rtl/>
              </w:rPr>
            </w:pPr>
            <w:r w:rsidRPr="005F0C39">
              <w:rPr>
                <w:rFonts w:hint="cs"/>
                <w:b/>
                <w:bCs/>
                <w:rtl/>
              </w:rPr>
              <w:t>2000</w:t>
            </w:r>
          </w:p>
        </w:tc>
        <w:tc>
          <w:tcPr>
            <w:tcW w:w="2763" w:type="dxa"/>
            <w:shd w:val="clear" w:color="auto" w:fill="auto"/>
          </w:tcPr>
          <w:p w:rsidR="00275265" w:rsidRPr="00C40410" w:rsidRDefault="00275265" w:rsidP="003F4B71">
            <w:pPr>
              <w:rPr>
                <w:rFonts w:hint="cs"/>
                <w:rtl/>
              </w:rPr>
            </w:pPr>
            <w:r w:rsidRPr="00C40410">
              <w:rPr>
                <w:rFonts w:hint="cs"/>
                <w:rtl/>
              </w:rPr>
              <w:t>0.1</w:t>
            </w:r>
          </w:p>
        </w:tc>
        <w:tc>
          <w:tcPr>
            <w:tcW w:w="2369" w:type="dxa"/>
            <w:shd w:val="clear" w:color="auto" w:fill="auto"/>
          </w:tcPr>
          <w:p w:rsidR="00275265" w:rsidRPr="00C40410" w:rsidRDefault="00275265" w:rsidP="003F4B71">
            <w:pPr>
              <w:rPr>
                <w:rFonts w:hint="cs"/>
                <w:rtl/>
              </w:rPr>
            </w:pPr>
            <w:r w:rsidRPr="00C40410">
              <w:rPr>
                <w:rFonts w:hint="cs"/>
                <w:rtl/>
              </w:rPr>
              <w:t>0.1</w:t>
            </w:r>
          </w:p>
        </w:tc>
      </w:tr>
      <w:tr w:rsidR="00275265">
        <w:tblPrEx>
          <w:tblCellMar>
            <w:top w:w="0" w:type="dxa"/>
            <w:bottom w:w="0" w:type="dxa"/>
          </w:tblCellMar>
        </w:tblPrEx>
        <w:trPr>
          <w:jc w:val="center"/>
        </w:trPr>
        <w:tc>
          <w:tcPr>
            <w:tcW w:w="7680" w:type="dxa"/>
            <w:gridSpan w:val="3"/>
            <w:shd w:val="clear" w:color="auto" w:fill="auto"/>
          </w:tcPr>
          <w:p w:rsidR="00275265" w:rsidRDefault="00275265" w:rsidP="003F4B71">
            <w:pPr>
              <w:jc w:val="center"/>
              <w:rPr>
                <w:rFonts w:hint="cs"/>
                <w:rtl/>
              </w:rPr>
            </w:pPr>
            <w:r>
              <w:rPr>
                <w:rFonts w:hint="cs"/>
                <w:rtl/>
              </w:rPr>
              <w:t>متوسط العمر المتوقع - السنوات</w:t>
            </w:r>
          </w:p>
        </w:tc>
      </w:tr>
      <w:tr w:rsidR="00275265">
        <w:tblPrEx>
          <w:tblCellMar>
            <w:top w:w="0" w:type="dxa"/>
            <w:bottom w:w="0" w:type="dxa"/>
          </w:tblCellMar>
        </w:tblPrEx>
        <w:trPr>
          <w:jc w:val="center"/>
        </w:trPr>
        <w:tc>
          <w:tcPr>
            <w:tcW w:w="2548" w:type="dxa"/>
            <w:shd w:val="clear" w:color="auto" w:fill="auto"/>
          </w:tcPr>
          <w:p w:rsidR="00275265" w:rsidRPr="005F0C39" w:rsidRDefault="00275265" w:rsidP="003F4B71">
            <w:pPr>
              <w:rPr>
                <w:rFonts w:hint="cs"/>
                <w:b/>
                <w:bCs/>
                <w:rtl/>
              </w:rPr>
            </w:pPr>
            <w:r w:rsidRPr="005F0C39">
              <w:rPr>
                <w:rFonts w:hint="cs"/>
                <w:b/>
                <w:bCs/>
                <w:rtl/>
              </w:rPr>
              <w:t>2001</w:t>
            </w:r>
          </w:p>
        </w:tc>
        <w:tc>
          <w:tcPr>
            <w:tcW w:w="2763" w:type="dxa"/>
            <w:shd w:val="clear" w:color="auto" w:fill="auto"/>
          </w:tcPr>
          <w:p w:rsidR="00275265" w:rsidRPr="00C40410" w:rsidRDefault="00275265" w:rsidP="003F4B71">
            <w:pPr>
              <w:rPr>
                <w:rFonts w:hint="cs"/>
                <w:rtl/>
              </w:rPr>
            </w:pPr>
            <w:r w:rsidRPr="00C40410">
              <w:rPr>
                <w:rFonts w:hint="cs"/>
                <w:rtl/>
              </w:rPr>
              <w:t>78.72</w:t>
            </w:r>
          </w:p>
        </w:tc>
        <w:tc>
          <w:tcPr>
            <w:tcW w:w="2369" w:type="dxa"/>
            <w:shd w:val="clear" w:color="auto" w:fill="auto"/>
          </w:tcPr>
          <w:p w:rsidR="00275265" w:rsidRPr="00C40410" w:rsidRDefault="00275265" w:rsidP="003F4B71">
            <w:pPr>
              <w:rPr>
                <w:rFonts w:hint="cs"/>
                <w:rtl/>
              </w:rPr>
            </w:pPr>
            <w:r w:rsidRPr="00C40410">
              <w:rPr>
                <w:rFonts w:hint="cs"/>
                <w:rtl/>
              </w:rPr>
              <w:t>78.20</w:t>
            </w:r>
          </w:p>
        </w:tc>
      </w:tr>
    </w:tbl>
    <w:p w:rsidR="00275265" w:rsidRDefault="00275265" w:rsidP="00275265">
      <w:pPr>
        <w:pStyle w:val="SingleTxt"/>
        <w:rPr>
          <w:rFonts w:hint="cs"/>
          <w:rtl/>
        </w:rPr>
      </w:pPr>
    </w:p>
    <w:p w:rsidR="00275265" w:rsidRDefault="00275265" w:rsidP="00275265">
      <w:pPr>
        <w:pStyle w:val="SingleTxt"/>
        <w:rPr>
          <w:rFonts w:hint="cs"/>
          <w:rtl/>
        </w:rPr>
      </w:pPr>
    </w:p>
    <w:p w:rsidR="00275265" w:rsidRDefault="00275265" w:rsidP="00275265">
      <w:pPr>
        <w:pStyle w:val="SingleTxt"/>
        <w:rPr>
          <w:rFonts w:hint="cs"/>
          <w:rtl/>
        </w:rPr>
      </w:pPr>
      <w:r>
        <w:rPr>
          <w:rFonts w:hint="cs"/>
          <w:rtl/>
        </w:rPr>
        <w:t>الجدول ألف -14-6</w:t>
      </w:r>
    </w:p>
    <w:p w:rsidR="00275265" w:rsidRDefault="00275265" w:rsidP="00275265">
      <w:pPr>
        <w:pStyle w:val="SingleTxt"/>
        <w:rPr>
          <w:rFonts w:hint="cs"/>
          <w:b/>
          <w:bCs/>
          <w:rtl/>
        </w:rPr>
      </w:pPr>
      <w:r>
        <w:rPr>
          <w:rFonts w:hint="cs"/>
          <w:b/>
          <w:bCs/>
          <w:rtl/>
        </w:rPr>
        <w:t xml:space="preserve">معدل الوفيات بين الرضّع عن كل 000 100 ولادة في عام 2001 </w:t>
      </w:r>
    </w:p>
    <w:p w:rsidR="00275265" w:rsidRDefault="00275265" w:rsidP="00275265">
      <w:pPr>
        <w:pStyle w:val="SingleTxt"/>
        <w:spacing w:after="0" w:line="120" w:lineRule="exact"/>
        <w:rPr>
          <w:rFonts w:hint="cs"/>
          <w:b/>
          <w:bCs/>
          <w:sz w:val="10"/>
          <w:rtl/>
        </w:rPr>
      </w:pPr>
    </w:p>
    <w:p w:rsidR="00275265" w:rsidRPr="005F0C39" w:rsidRDefault="00275265" w:rsidP="00275265">
      <w:pPr>
        <w:pStyle w:val="SingleTxt"/>
        <w:spacing w:after="0" w:line="120" w:lineRule="exact"/>
        <w:rPr>
          <w:rFonts w:hint="cs"/>
          <w:b/>
          <w:bCs/>
          <w:sz w:val="10"/>
          <w:rtl/>
        </w:rPr>
      </w:pPr>
    </w:p>
    <w:tbl>
      <w:tblPr>
        <w:bidiVisual/>
        <w:tblW w:w="4756" w:type="dxa"/>
        <w:jc w:val="center"/>
        <w:tblInd w:w="25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884"/>
        <w:gridCol w:w="1872"/>
      </w:tblGrid>
      <w:tr w:rsidR="00275265">
        <w:tblPrEx>
          <w:tblCellMar>
            <w:top w:w="0" w:type="dxa"/>
            <w:bottom w:w="0" w:type="dxa"/>
          </w:tblCellMar>
        </w:tblPrEx>
        <w:trPr>
          <w:jc w:val="center"/>
        </w:trPr>
        <w:tc>
          <w:tcPr>
            <w:tcW w:w="2884" w:type="dxa"/>
            <w:shd w:val="clear" w:color="auto" w:fill="auto"/>
            <w:tcMar>
              <w:left w:w="0" w:type="dxa"/>
              <w:right w:w="0" w:type="dxa"/>
            </w:tcMar>
          </w:tcPr>
          <w:p w:rsidR="00275265" w:rsidRPr="005F0C39" w:rsidRDefault="00275265" w:rsidP="003F4B71">
            <w:pPr>
              <w:rPr>
                <w:rFonts w:hint="cs"/>
                <w:b/>
                <w:bCs/>
                <w:rtl/>
              </w:rPr>
            </w:pPr>
            <w:r w:rsidRPr="005F0C39">
              <w:rPr>
                <w:rFonts w:hint="cs"/>
                <w:b/>
                <w:bCs/>
                <w:rtl/>
              </w:rPr>
              <w:t>البنود</w:t>
            </w:r>
          </w:p>
        </w:tc>
        <w:tc>
          <w:tcPr>
            <w:tcW w:w="1872" w:type="dxa"/>
            <w:shd w:val="clear" w:color="auto" w:fill="auto"/>
          </w:tcPr>
          <w:p w:rsidR="00275265" w:rsidRPr="005F0C39" w:rsidRDefault="00275265" w:rsidP="003F4B71">
            <w:pPr>
              <w:rPr>
                <w:rFonts w:hint="cs"/>
                <w:b/>
                <w:bCs/>
                <w:rtl/>
              </w:rPr>
            </w:pPr>
            <w:r w:rsidRPr="005F0C39">
              <w:rPr>
                <w:rFonts w:hint="cs"/>
                <w:b/>
                <w:bCs/>
                <w:rtl/>
              </w:rPr>
              <w:t>2001</w:t>
            </w:r>
          </w:p>
        </w:tc>
      </w:tr>
      <w:tr w:rsidR="00275265">
        <w:tblPrEx>
          <w:tblCellMar>
            <w:top w:w="0" w:type="dxa"/>
            <w:bottom w:w="0" w:type="dxa"/>
          </w:tblCellMar>
        </w:tblPrEx>
        <w:trPr>
          <w:jc w:val="center"/>
        </w:trPr>
        <w:tc>
          <w:tcPr>
            <w:tcW w:w="2884" w:type="dxa"/>
            <w:shd w:val="clear" w:color="auto" w:fill="auto"/>
          </w:tcPr>
          <w:p w:rsidR="00275265" w:rsidRDefault="00275265" w:rsidP="003F4B71">
            <w:pPr>
              <w:rPr>
                <w:rFonts w:hint="cs"/>
                <w:rtl/>
              </w:rPr>
            </w:pPr>
            <w:r>
              <w:rPr>
                <w:rFonts w:hint="cs"/>
                <w:rtl/>
              </w:rPr>
              <w:t>المدن</w:t>
            </w:r>
          </w:p>
        </w:tc>
        <w:tc>
          <w:tcPr>
            <w:tcW w:w="1872" w:type="dxa"/>
            <w:shd w:val="clear" w:color="auto" w:fill="auto"/>
          </w:tcPr>
          <w:p w:rsidR="00275265" w:rsidRDefault="00275265" w:rsidP="003F4B71">
            <w:pPr>
              <w:rPr>
                <w:rFonts w:hint="cs"/>
                <w:rtl/>
              </w:rPr>
            </w:pPr>
            <w:r>
              <w:rPr>
                <w:rFonts w:hint="cs"/>
                <w:rtl/>
              </w:rPr>
              <w:t>766</w:t>
            </w:r>
          </w:p>
        </w:tc>
      </w:tr>
      <w:tr w:rsidR="00275265">
        <w:tblPrEx>
          <w:tblCellMar>
            <w:top w:w="0" w:type="dxa"/>
            <w:bottom w:w="0" w:type="dxa"/>
          </w:tblCellMar>
        </w:tblPrEx>
        <w:trPr>
          <w:jc w:val="center"/>
        </w:trPr>
        <w:tc>
          <w:tcPr>
            <w:tcW w:w="2884" w:type="dxa"/>
            <w:shd w:val="clear" w:color="auto" w:fill="auto"/>
          </w:tcPr>
          <w:p w:rsidR="00275265" w:rsidRDefault="00275265" w:rsidP="003F4B71">
            <w:pPr>
              <w:rPr>
                <w:rFonts w:hint="cs"/>
                <w:rtl/>
              </w:rPr>
            </w:pPr>
            <w:r>
              <w:rPr>
                <w:rFonts w:hint="cs"/>
                <w:rtl/>
              </w:rPr>
              <w:t>الريف</w:t>
            </w:r>
          </w:p>
        </w:tc>
        <w:tc>
          <w:tcPr>
            <w:tcW w:w="1872" w:type="dxa"/>
            <w:shd w:val="clear" w:color="auto" w:fill="auto"/>
          </w:tcPr>
          <w:p w:rsidR="00275265" w:rsidRDefault="00275265" w:rsidP="003F4B71">
            <w:pPr>
              <w:rPr>
                <w:rFonts w:hint="cs"/>
                <w:rtl/>
              </w:rPr>
            </w:pPr>
            <w:r>
              <w:rPr>
                <w:rFonts w:hint="cs"/>
                <w:rtl/>
              </w:rPr>
              <w:t>768</w:t>
            </w:r>
          </w:p>
        </w:tc>
      </w:tr>
      <w:tr w:rsidR="00275265">
        <w:tblPrEx>
          <w:tblCellMar>
            <w:top w:w="0" w:type="dxa"/>
            <w:bottom w:w="0" w:type="dxa"/>
          </w:tblCellMar>
        </w:tblPrEx>
        <w:trPr>
          <w:jc w:val="center"/>
        </w:trPr>
        <w:tc>
          <w:tcPr>
            <w:tcW w:w="2884" w:type="dxa"/>
            <w:shd w:val="clear" w:color="auto" w:fill="auto"/>
          </w:tcPr>
          <w:p w:rsidR="00275265" w:rsidRDefault="00275265" w:rsidP="003F4B71">
            <w:pPr>
              <w:rPr>
                <w:rFonts w:hint="cs"/>
                <w:rtl/>
              </w:rPr>
            </w:pPr>
            <w:r>
              <w:rPr>
                <w:rFonts w:hint="cs"/>
                <w:rtl/>
              </w:rPr>
              <w:t>المتوسط</w:t>
            </w:r>
          </w:p>
        </w:tc>
        <w:tc>
          <w:tcPr>
            <w:tcW w:w="1872" w:type="dxa"/>
            <w:shd w:val="clear" w:color="auto" w:fill="auto"/>
          </w:tcPr>
          <w:p w:rsidR="00275265" w:rsidRDefault="00275265" w:rsidP="003F4B71">
            <w:pPr>
              <w:rPr>
                <w:rFonts w:hint="cs"/>
                <w:rtl/>
              </w:rPr>
            </w:pPr>
            <w:r>
              <w:rPr>
                <w:rFonts w:hint="cs"/>
                <w:rtl/>
              </w:rPr>
              <w:t>767</w:t>
            </w:r>
          </w:p>
        </w:tc>
      </w:tr>
    </w:tbl>
    <w:p w:rsidR="00275265" w:rsidRPr="005F0C39" w:rsidRDefault="00275265" w:rsidP="00275265">
      <w:pPr>
        <w:pStyle w:val="SingleTxt"/>
        <w:rPr>
          <w:rFonts w:hint="cs"/>
          <w:b/>
          <w:bCs/>
          <w:rtl/>
        </w:rPr>
      </w:pPr>
    </w:p>
    <w:p w:rsidR="00DB5B3C" w:rsidRPr="00224819" w:rsidRDefault="00224819" w:rsidP="00224819">
      <w:pPr>
        <w:pStyle w:val="SingleTxt"/>
        <w:spacing w:after="0" w:line="240" w:lineRule="auto"/>
        <w:rPr>
          <w:rFonts w:hint="cs"/>
          <w:rtl/>
        </w:rPr>
      </w:pPr>
      <w:r>
        <w:rPr>
          <w:rFonts w:hint="cs"/>
          <w:noProof/>
          <w:w w:val="100"/>
          <w:rtl/>
        </w:rPr>
        <w:pict>
          <v:line id="_x0000_s2052" style="position:absolute;left:0;text-align:left;z-index:2" from="206.6pt,24pt" to="278.6pt,24pt" strokeweight=".25pt">
            <w10:wrap anchorx="page"/>
          </v:line>
        </w:pict>
      </w:r>
    </w:p>
    <w:sectPr w:rsidR="00DB5B3C" w:rsidRPr="00224819" w:rsidSect="0031401C">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3-10T15:43:00Z" w:initials="Start">
    <w:p w:rsidR="005F657A" w:rsidRDefault="005F657A">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NO&gt;&gt;N0467224A&lt;&lt;ODS JOB NO</w:t>
      </w:r>
      <w:r>
        <w:rPr>
          <w:rtl/>
        </w:rPr>
        <w:t>&gt;&gt;</w:t>
      </w:r>
    </w:p>
    <w:p w:rsidR="005F657A" w:rsidRDefault="005F657A">
      <w:pPr>
        <w:pStyle w:val="CommentText"/>
        <w:rPr>
          <w:rtl/>
        </w:rPr>
      </w:pPr>
      <w:r>
        <w:rPr>
          <w:rtl/>
        </w:rPr>
        <w:t>&lt;&lt;</w:t>
      </w:r>
      <w:r>
        <w:t>ODS DOC SYMBOL1&gt;&gt;CEDAW/C/POL/6&lt;&lt;ODS DOC SYMBOL1</w:t>
      </w:r>
      <w:r>
        <w:rPr>
          <w:rtl/>
        </w:rPr>
        <w:t>&gt;&gt;</w:t>
      </w:r>
    </w:p>
    <w:p w:rsidR="005F657A" w:rsidRDefault="005F657A" w:rsidP="005F657A">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1E53" w:rsidRDefault="001A1E53">
      <w:r>
        <w:separator/>
      </w:r>
    </w:p>
  </w:endnote>
  <w:endnote w:type="continuationSeparator" w:id="0">
    <w:p w:rsidR="001A1E53" w:rsidRDefault="001A1E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75B3F">
      <w:tblPrEx>
        <w:tblCellMar>
          <w:top w:w="0" w:type="dxa"/>
          <w:bottom w:w="0" w:type="dxa"/>
        </w:tblCellMar>
      </w:tblPrEx>
      <w:tc>
        <w:tcPr>
          <w:tcW w:w="5033" w:type="dxa"/>
          <w:shd w:val="clear" w:color="auto" w:fill="auto"/>
        </w:tcPr>
        <w:p w:rsidR="00175B3F" w:rsidRPr="0031401C" w:rsidRDefault="00175B3F" w:rsidP="0031401C">
          <w:pPr>
            <w:pStyle w:val="Footer"/>
            <w:jc w:val="right"/>
            <w:rPr>
              <w:w w:val="103"/>
            </w:rPr>
          </w:pPr>
          <w:r>
            <w:rPr>
              <w:w w:val="103"/>
            </w:rPr>
            <w:fldChar w:fldCharType="begin"/>
          </w:r>
          <w:r>
            <w:rPr>
              <w:w w:val="103"/>
            </w:rPr>
            <w:instrText xml:space="preserve"> PAGE  \* MERGEFORMAT </w:instrText>
          </w:r>
          <w:r>
            <w:rPr>
              <w:w w:val="103"/>
            </w:rPr>
            <w:fldChar w:fldCharType="separate"/>
          </w:r>
          <w:r w:rsidR="005F657A">
            <w:rPr>
              <w:w w:val="103"/>
            </w:rPr>
            <w:t>80</w:t>
          </w:r>
          <w:r>
            <w:rPr>
              <w:w w:val="103"/>
            </w:rPr>
            <w:fldChar w:fldCharType="end"/>
          </w:r>
        </w:p>
      </w:tc>
      <w:tc>
        <w:tcPr>
          <w:tcW w:w="5033" w:type="dxa"/>
          <w:shd w:val="clear" w:color="auto" w:fill="auto"/>
        </w:tcPr>
        <w:p w:rsidR="00175B3F" w:rsidRPr="0031401C" w:rsidRDefault="00175B3F" w:rsidP="0031401C">
          <w:pPr>
            <w:pStyle w:val="Footer"/>
            <w:rPr>
              <w:b w:val="0"/>
              <w:w w:val="103"/>
            </w:rPr>
          </w:pPr>
          <w:r>
            <w:rPr>
              <w:b w:val="0"/>
              <w:w w:val="103"/>
            </w:rPr>
            <w:t>04-67224</w:t>
          </w:r>
        </w:p>
      </w:tc>
    </w:tr>
  </w:tbl>
  <w:p w:rsidR="00175B3F" w:rsidRPr="0031401C" w:rsidRDefault="00175B3F" w:rsidP="0031401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75B3F">
      <w:tblPrEx>
        <w:tblCellMar>
          <w:top w:w="0" w:type="dxa"/>
          <w:bottom w:w="0" w:type="dxa"/>
        </w:tblCellMar>
      </w:tblPrEx>
      <w:tc>
        <w:tcPr>
          <w:tcW w:w="5033" w:type="dxa"/>
          <w:shd w:val="clear" w:color="auto" w:fill="auto"/>
        </w:tcPr>
        <w:p w:rsidR="00175B3F" w:rsidRPr="0031401C" w:rsidRDefault="00175B3F" w:rsidP="0031401C">
          <w:pPr>
            <w:pStyle w:val="Footer"/>
            <w:jc w:val="right"/>
            <w:rPr>
              <w:b w:val="0"/>
              <w:w w:val="103"/>
            </w:rPr>
          </w:pPr>
          <w:r>
            <w:rPr>
              <w:b w:val="0"/>
              <w:w w:val="103"/>
            </w:rPr>
            <w:t>04-67224</w:t>
          </w:r>
        </w:p>
      </w:tc>
      <w:tc>
        <w:tcPr>
          <w:tcW w:w="5033" w:type="dxa"/>
          <w:shd w:val="clear" w:color="auto" w:fill="auto"/>
        </w:tcPr>
        <w:p w:rsidR="00175B3F" w:rsidRPr="0031401C" w:rsidRDefault="00175B3F" w:rsidP="0031401C">
          <w:pPr>
            <w:pStyle w:val="Footer"/>
            <w:rPr>
              <w:w w:val="103"/>
            </w:rPr>
          </w:pPr>
          <w:r>
            <w:rPr>
              <w:w w:val="103"/>
            </w:rPr>
            <w:fldChar w:fldCharType="begin"/>
          </w:r>
          <w:r>
            <w:rPr>
              <w:w w:val="103"/>
            </w:rPr>
            <w:instrText xml:space="preserve"> PAGE  \* MERGEFORMAT </w:instrText>
          </w:r>
          <w:r>
            <w:rPr>
              <w:w w:val="103"/>
            </w:rPr>
            <w:fldChar w:fldCharType="separate"/>
          </w:r>
          <w:r w:rsidR="005F657A">
            <w:rPr>
              <w:w w:val="103"/>
            </w:rPr>
            <w:t>81</w:t>
          </w:r>
          <w:r>
            <w:rPr>
              <w:w w:val="103"/>
            </w:rPr>
            <w:fldChar w:fldCharType="end"/>
          </w:r>
        </w:p>
      </w:tc>
    </w:tr>
  </w:tbl>
  <w:p w:rsidR="00175B3F" w:rsidRPr="0031401C" w:rsidRDefault="00175B3F" w:rsidP="0031401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B3F" w:rsidRDefault="00175B3F">
    <w:pPr>
      <w:pStyle w:val="Footer"/>
    </w:pPr>
  </w:p>
  <w:p w:rsidR="00175B3F" w:rsidRDefault="00626104" w:rsidP="00626104">
    <w:pPr>
      <w:pStyle w:val="Footer"/>
      <w:jc w:val="right"/>
      <w:rPr>
        <w:rFonts w:cs="Times New Roman"/>
        <w:b w:val="0"/>
        <w:w w:val="103"/>
        <w:sz w:val="20"/>
      </w:rPr>
    </w:pPr>
    <w:r>
      <w:rPr>
        <w:rFonts w:cs="Times New Roman"/>
        <w:b w:val="0"/>
        <w:w w:val="103"/>
        <w:sz w:val="20"/>
      </w:rPr>
      <w:t>100305</w:t>
    </w:r>
    <w:r w:rsidR="00175B3F">
      <w:rPr>
        <w:rFonts w:cs="Times New Roman"/>
        <w:b w:val="0"/>
        <w:w w:val="103"/>
        <w:sz w:val="20"/>
      </w:rPr>
      <w:t xml:space="preserve">    </w:t>
    </w:r>
    <w:r>
      <w:rPr>
        <w:rFonts w:cs="Times New Roman"/>
        <w:b w:val="0"/>
        <w:w w:val="103"/>
        <w:sz w:val="20"/>
      </w:rPr>
      <w:t>1003</w:t>
    </w:r>
    <w:r w:rsidR="00175B3F">
      <w:rPr>
        <w:rFonts w:cs="Times New Roman"/>
        <w:b w:val="0"/>
        <w:w w:val="103"/>
        <w:sz w:val="20"/>
      </w:rPr>
      <w:t>05    04-67224 (A)</w:t>
    </w:r>
  </w:p>
  <w:p w:rsidR="00175B3F" w:rsidRPr="0031401C" w:rsidRDefault="00175B3F" w:rsidP="0031401C">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*0467224*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1E53" w:rsidRPr="00DB5B3C" w:rsidRDefault="001A1E53" w:rsidP="00DB5B3C">
      <w:pPr>
        <w:pStyle w:val="Footer"/>
        <w:bidi/>
        <w:spacing w:after="80"/>
        <w:ind w:left="792"/>
        <w:rPr>
          <w:sz w:val="16"/>
        </w:rPr>
      </w:pPr>
      <w:r w:rsidRPr="00DB5B3C">
        <w:rPr>
          <w:sz w:val="16"/>
          <w:rtl/>
        </w:rPr>
        <w:t>__________</w:t>
      </w:r>
    </w:p>
  </w:footnote>
  <w:footnote w:type="continuationSeparator" w:id="0">
    <w:p w:rsidR="001A1E53" w:rsidRPr="00DB5B3C" w:rsidRDefault="001A1E53" w:rsidP="00DB5B3C">
      <w:pPr>
        <w:pStyle w:val="Footer"/>
        <w:spacing w:after="80"/>
        <w:ind w:left="792"/>
        <w:rPr>
          <w:sz w:val="16"/>
        </w:rPr>
      </w:pPr>
      <w:r w:rsidRPr="00DB5B3C">
        <w:rPr>
          <w:sz w:val="16"/>
        </w:rPr>
        <w:t>__________</w:t>
      </w:r>
    </w:p>
  </w:footnote>
  <w:footnote w:id="1">
    <w:p w:rsidR="00175B3F" w:rsidRPr="00562F3B" w:rsidRDefault="00175B3F" w:rsidP="00562F3B">
      <w:pPr>
        <w:pStyle w:val="FootnoteText"/>
        <w:tabs>
          <w:tab w:val="clear" w:pos="418"/>
          <w:tab w:val="right" w:pos="1195"/>
          <w:tab w:val="left" w:pos="1267"/>
          <w:tab w:val="left" w:pos="1656"/>
          <w:tab w:val="left" w:pos="2088"/>
        </w:tabs>
        <w:spacing w:after="80"/>
        <w:ind w:left="1267" w:right="1267" w:hanging="547"/>
        <w:jc w:val="lowKashida"/>
        <w:rPr>
          <w:rFonts w:hint="cs"/>
          <w:w w:val="103"/>
        </w:rPr>
      </w:pPr>
      <w:r>
        <w:rPr>
          <w:rtl/>
        </w:rPr>
        <w:tab/>
      </w:r>
      <w:r w:rsidRPr="00562F3B">
        <w:rPr>
          <w:w w:val="103"/>
          <w:rtl/>
        </w:rPr>
        <w:t>(</w:t>
      </w:r>
      <w:r w:rsidRPr="00562F3B">
        <w:rPr>
          <w:rStyle w:val="FootnoteReference"/>
          <w:spacing w:val="0"/>
          <w:w w:val="103"/>
          <w:vertAlign w:val="baseline"/>
          <w:rtl/>
        </w:rPr>
        <w:footnoteRef/>
      </w:r>
      <w:r w:rsidRPr="00562F3B">
        <w:rPr>
          <w:w w:val="103"/>
          <w:rtl/>
        </w:rPr>
        <w:t>)</w:t>
      </w:r>
      <w:r w:rsidRPr="00562F3B">
        <w:rPr>
          <w:w w:val="103"/>
          <w:rtl/>
        </w:rPr>
        <w:tab/>
      </w:r>
      <w:r>
        <w:rPr>
          <w:rFonts w:hint="cs"/>
          <w:w w:val="103"/>
          <w:rtl/>
        </w:rPr>
        <w:t xml:space="preserve">الأمر الصادر عن مجلس الوزراء بتاريخ 9 شباط/فبراير 2001 يتعلق بالمفوضة الحكومية المعنية بشؤون الأسرة. </w:t>
      </w:r>
    </w:p>
  </w:footnote>
  <w:footnote w:id="2">
    <w:p w:rsidR="00175B3F" w:rsidRPr="00D249F4" w:rsidRDefault="00175B3F" w:rsidP="0055674E">
      <w:pPr>
        <w:pStyle w:val="FootnoteText"/>
        <w:tabs>
          <w:tab w:val="clear" w:pos="418"/>
          <w:tab w:val="right" w:pos="1195"/>
          <w:tab w:val="left" w:pos="1267"/>
          <w:tab w:val="left" w:pos="1656"/>
          <w:tab w:val="left" w:pos="2088"/>
        </w:tabs>
        <w:spacing w:after="80"/>
        <w:ind w:left="1267" w:right="1267" w:hanging="547"/>
        <w:jc w:val="lowKashida"/>
        <w:rPr>
          <w:rFonts w:hint="cs"/>
          <w:w w:val="103"/>
        </w:rPr>
      </w:pPr>
      <w:r>
        <w:rPr>
          <w:rtl/>
        </w:rPr>
        <w:tab/>
      </w:r>
      <w:r w:rsidRPr="00D249F4">
        <w:rPr>
          <w:w w:val="103"/>
          <w:rtl/>
        </w:rPr>
        <w:t>(</w:t>
      </w:r>
      <w:r w:rsidRPr="00D249F4">
        <w:rPr>
          <w:rStyle w:val="FootnoteReference"/>
          <w:spacing w:val="0"/>
          <w:w w:val="103"/>
          <w:vertAlign w:val="baseline"/>
          <w:rtl/>
        </w:rPr>
        <w:footnoteRef/>
      </w:r>
      <w:r w:rsidRPr="00D249F4">
        <w:rPr>
          <w:w w:val="103"/>
          <w:rtl/>
        </w:rPr>
        <w:t>)</w:t>
      </w:r>
      <w:r w:rsidRPr="00D249F4">
        <w:rPr>
          <w:w w:val="103"/>
          <w:rtl/>
        </w:rPr>
        <w:tab/>
      </w:r>
      <w:r>
        <w:rPr>
          <w:rFonts w:hint="cs"/>
          <w:w w:val="103"/>
          <w:rtl/>
        </w:rPr>
        <w:t>في سياق المشاكل المتصلة بغياب الضحايا أثناء إجراءات المحكمة، ينبغي إيلاء أهمية خاصة للتعديل الذي أدخل على قانون الإجراءات الجنائية (بدأ نفاذ الفقرة 1 من المادة 177 في 1 تموز/يوليه 2003) ويسمح عن طريق اللجوء إلى الوسائل التقنية. وفي مثل هذه الحالات أيضا، تتوفر إمكانية طلب المساعدة القانونية.</w:t>
      </w:r>
    </w:p>
  </w:footnote>
  <w:footnote w:id="3">
    <w:p w:rsidR="00175B3F" w:rsidRPr="0020122C" w:rsidRDefault="00175B3F" w:rsidP="0020122C">
      <w:pPr>
        <w:pStyle w:val="FootnoteText"/>
        <w:tabs>
          <w:tab w:val="clear" w:pos="418"/>
          <w:tab w:val="right" w:pos="1195"/>
          <w:tab w:val="left" w:pos="1267"/>
          <w:tab w:val="left" w:pos="1656"/>
          <w:tab w:val="left" w:pos="2088"/>
        </w:tabs>
        <w:spacing w:after="80"/>
        <w:ind w:left="1267" w:right="1267" w:hanging="547"/>
        <w:jc w:val="lowKashida"/>
        <w:rPr>
          <w:rFonts w:hint="cs"/>
          <w:w w:val="103"/>
        </w:rPr>
      </w:pPr>
      <w:r>
        <w:rPr>
          <w:rtl/>
        </w:rPr>
        <w:tab/>
      </w:r>
      <w:r w:rsidRPr="0020122C">
        <w:rPr>
          <w:w w:val="103"/>
          <w:rtl/>
        </w:rPr>
        <w:t>(</w:t>
      </w:r>
      <w:r w:rsidRPr="0020122C">
        <w:rPr>
          <w:rStyle w:val="FootnoteReference"/>
          <w:spacing w:val="0"/>
          <w:w w:val="103"/>
          <w:vertAlign w:val="baseline"/>
          <w:rtl/>
        </w:rPr>
        <w:footnoteRef/>
      </w:r>
      <w:r w:rsidRPr="0020122C">
        <w:rPr>
          <w:w w:val="103"/>
          <w:rtl/>
        </w:rPr>
        <w:t>)</w:t>
      </w:r>
      <w:r w:rsidRPr="0020122C">
        <w:rPr>
          <w:w w:val="103"/>
          <w:rtl/>
        </w:rPr>
        <w:tab/>
      </w:r>
      <w:r>
        <w:rPr>
          <w:rFonts w:hint="cs"/>
          <w:w w:val="103"/>
          <w:rtl/>
        </w:rPr>
        <w:t>القانون المؤرخ 18 تموز/يوليه 1974 عن صندوق النفقة، جريدة القوانين رقم 27، البند 157 مع التغييرات اللاحقة، الفقرة 1 من المادة 4.</w:t>
      </w:r>
    </w:p>
  </w:footnote>
  <w:footnote w:id="4">
    <w:p w:rsidR="00175B3F" w:rsidRPr="00E44CC3" w:rsidRDefault="00175B3F" w:rsidP="00E44CC3">
      <w:pPr>
        <w:pStyle w:val="FootnoteText"/>
        <w:tabs>
          <w:tab w:val="clear" w:pos="418"/>
          <w:tab w:val="right" w:pos="1195"/>
          <w:tab w:val="left" w:pos="1267"/>
          <w:tab w:val="left" w:pos="1656"/>
          <w:tab w:val="left" w:pos="2088"/>
        </w:tabs>
        <w:spacing w:after="80"/>
        <w:ind w:left="1267" w:right="1267" w:hanging="547"/>
        <w:jc w:val="lowKashida"/>
        <w:rPr>
          <w:rFonts w:hint="cs"/>
          <w:w w:val="103"/>
        </w:rPr>
      </w:pPr>
      <w:r>
        <w:rPr>
          <w:rtl/>
        </w:rPr>
        <w:tab/>
      </w:r>
      <w:r w:rsidRPr="00E44CC3">
        <w:rPr>
          <w:w w:val="103"/>
          <w:rtl/>
        </w:rPr>
        <w:t>(</w:t>
      </w:r>
      <w:r w:rsidRPr="00E44CC3">
        <w:rPr>
          <w:rStyle w:val="FootnoteReference"/>
          <w:spacing w:val="0"/>
          <w:w w:val="103"/>
          <w:vertAlign w:val="baseline"/>
          <w:rtl/>
        </w:rPr>
        <w:footnoteRef/>
      </w:r>
      <w:r w:rsidRPr="00E44CC3">
        <w:rPr>
          <w:w w:val="103"/>
          <w:rtl/>
        </w:rPr>
        <w:t>)</w:t>
      </w:r>
      <w:r w:rsidRPr="00E44CC3">
        <w:rPr>
          <w:w w:val="103"/>
          <w:rtl/>
        </w:rPr>
        <w:tab/>
      </w:r>
      <w:r>
        <w:rPr>
          <w:rFonts w:hint="cs"/>
          <w:w w:val="103"/>
          <w:rtl/>
        </w:rPr>
        <w:t>القانون المؤرخ 21 حزيران/يونيه 2001 عن حماية المستأجرين، موارد مجلس النواب في مجال الإسكان وتعديل القانون المدني، جريدة القوانين رقم 71، البند 733، المادة 14، الفقرة 4.</w:t>
      </w:r>
    </w:p>
  </w:footnote>
  <w:footnote w:id="5">
    <w:p w:rsidR="00175B3F" w:rsidRPr="002202D0" w:rsidRDefault="00175B3F" w:rsidP="002202D0">
      <w:pPr>
        <w:pStyle w:val="FootnoteText"/>
        <w:tabs>
          <w:tab w:val="clear" w:pos="418"/>
          <w:tab w:val="right" w:pos="1195"/>
          <w:tab w:val="left" w:pos="1267"/>
          <w:tab w:val="left" w:pos="1656"/>
          <w:tab w:val="left" w:pos="2088"/>
        </w:tabs>
        <w:spacing w:after="80"/>
        <w:ind w:left="1267" w:right="1267" w:hanging="547"/>
        <w:jc w:val="lowKashida"/>
        <w:rPr>
          <w:rFonts w:hint="cs"/>
          <w:w w:val="103"/>
        </w:rPr>
      </w:pPr>
      <w:r>
        <w:rPr>
          <w:rtl/>
        </w:rPr>
        <w:tab/>
      </w:r>
      <w:r w:rsidRPr="002202D0">
        <w:rPr>
          <w:w w:val="103"/>
          <w:rtl/>
        </w:rPr>
        <w:t>(</w:t>
      </w:r>
      <w:r w:rsidRPr="002202D0">
        <w:rPr>
          <w:rStyle w:val="FootnoteReference"/>
          <w:spacing w:val="0"/>
          <w:w w:val="103"/>
          <w:vertAlign w:val="baseline"/>
          <w:rtl/>
        </w:rPr>
        <w:footnoteRef/>
      </w:r>
      <w:r w:rsidRPr="002202D0">
        <w:rPr>
          <w:w w:val="103"/>
          <w:rtl/>
        </w:rPr>
        <w:t>)</w:t>
      </w:r>
      <w:r w:rsidRPr="002202D0">
        <w:rPr>
          <w:w w:val="103"/>
          <w:rtl/>
        </w:rPr>
        <w:tab/>
      </w:r>
      <w:r>
        <w:rPr>
          <w:rFonts w:hint="cs"/>
          <w:w w:val="103"/>
          <w:rtl/>
        </w:rPr>
        <w:t xml:space="preserve">مكتب الإحصاءات المركزي يعرّف في دراسته عن النشاط الاقتصادي للسكان الشخص الذي يقوم بأعماله التجارية ولا يوظف آخرين. </w:t>
      </w:r>
    </w:p>
  </w:footnote>
  <w:footnote w:id="6">
    <w:p w:rsidR="00175B3F" w:rsidRPr="002202D0" w:rsidRDefault="00175B3F" w:rsidP="002202D0">
      <w:pPr>
        <w:pStyle w:val="FootnoteText"/>
        <w:tabs>
          <w:tab w:val="clear" w:pos="418"/>
          <w:tab w:val="right" w:pos="1195"/>
          <w:tab w:val="left" w:pos="1267"/>
          <w:tab w:val="left" w:pos="1656"/>
          <w:tab w:val="left" w:pos="2088"/>
        </w:tabs>
        <w:spacing w:after="80"/>
        <w:ind w:left="1267" w:right="1267" w:hanging="547"/>
        <w:jc w:val="lowKashida"/>
        <w:rPr>
          <w:rFonts w:hint="cs"/>
          <w:w w:val="103"/>
        </w:rPr>
      </w:pPr>
      <w:r>
        <w:rPr>
          <w:rtl/>
        </w:rPr>
        <w:tab/>
      </w:r>
      <w:r w:rsidRPr="002202D0">
        <w:rPr>
          <w:w w:val="103"/>
          <w:rtl/>
        </w:rPr>
        <w:t>(</w:t>
      </w:r>
      <w:r w:rsidRPr="002202D0">
        <w:rPr>
          <w:rStyle w:val="FootnoteReference"/>
          <w:spacing w:val="0"/>
          <w:w w:val="103"/>
          <w:vertAlign w:val="baseline"/>
          <w:rtl/>
        </w:rPr>
        <w:footnoteRef/>
      </w:r>
      <w:r w:rsidRPr="002202D0">
        <w:rPr>
          <w:w w:val="103"/>
          <w:rtl/>
        </w:rPr>
        <w:t>)</w:t>
      </w:r>
      <w:r w:rsidRPr="002202D0">
        <w:rPr>
          <w:w w:val="103"/>
          <w:rtl/>
        </w:rPr>
        <w:tab/>
      </w:r>
      <w:r>
        <w:rPr>
          <w:rFonts w:hint="cs"/>
          <w:w w:val="103"/>
          <w:rtl/>
        </w:rPr>
        <w:t>مكتب الإحصاءات المركزي يعرّف في دراسته عن النشاط الاقتصادي للسكان رب العمل على أنه الشخص الذي يقوم بنشاطه التجاري ويوظف ما لا يقل عن عامل واحد.</w:t>
      </w:r>
    </w:p>
  </w:footnote>
  <w:footnote w:id="7">
    <w:p w:rsidR="00175B3F" w:rsidRPr="00DB7002" w:rsidRDefault="00175B3F" w:rsidP="00DB7002">
      <w:pPr>
        <w:pStyle w:val="FootnoteText"/>
        <w:tabs>
          <w:tab w:val="clear" w:pos="418"/>
          <w:tab w:val="right" w:pos="1195"/>
          <w:tab w:val="left" w:pos="1267"/>
          <w:tab w:val="left" w:pos="1656"/>
          <w:tab w:val="left" w:pos="2088"/>
        </w:tabs>
        <w:spacing w:after="80"/>
        <w:ind w:left="1267" w:right="1267" w:hanging="547"/>
        <w:jc w:val="lowKashida"/>
        <w:rPr>
          <w:rFonts w:hint="cs"/>
          <w:w w:val="103"/>
        </w:rPr>
      </w:pPr>
      <w:r>
        <w:rPr>
          <w:rtl/>
        </w:rPr>
        <w:tab/>
      </w:r>
      <w:r w:rsidRPr="00DB7002">
        <w:rPr>
          <w:w w:val="103"/>
          <w:rtl/>
        </w:rPr>
        <w:t>(</w:t>
      </w:r>
      <w:r w:rsidRPr="00DB7002">
        <w:rPr>
          <w:rStyle w:val="FootnoteReference"/>
          <w:spacing w:val="0"/>
          <w:w w:val="103"/>
          <w:vertAlign w:val="baseline"/>
          <w:rtl/>
        </w:rPr>
        <w:footnoteRef/>
      </w:r>
      <w:r w:rsidRPr="00DB7002">
        <w:rPr>
          <w:w w:val="103"/>
          <w:rtl/>
        </w:rPr>
        <w:t>)</w:t>
      </w:r>
      <w:r w:rsidRPr="00DB7002">
        <w:rPr>
          <w:w w:val="103"/>
          <w:rtl/>
        </w:rPr>
        <w:tab/>
      </w:r>
      <w:r>
        <w:rPr>
          <w:rFonts w:hint="cs"/>
          <w:w w:val="103"/>
          <w:rtl/>
        </w:rPr>
        <w:t>انخفض نصيب المرأة في قطاع الخدمات من 50 في المائة إلى أقل من 40 في المائة.</w:t>
      </w:r>
    </w:p>
  </w:footnote>
  <w:footnote w:id="8">
    <w:p w:rsidR="00175B3F" w:rsidRPr="00DB7002" w:rsidRDefault="00175B3F" w:rsidP="00D07817">
      <w:pPr>
        <w:pStyle w:val="FootnoteText"/>
        <w:tabs>
          <w:tab w:val="clear" w:pos="418"/>
          <w:tab w:val="right" w:pos="1195"/>
          <w:tab w:val="left" w:pos="1267"/>
          <w:tab w:val="left" w:pos="1656"/>
          <w:tab w:val="left" w:pos="2088"/>
        </w:tabs>
        <w:spacing w:after="80"/>
        <w:ind w:left="1267" w:right="1267" w:hanging="547"/>
        <w:jc w:val="lowKashida"/>
        <w:rPr>
          <w:rFonts w:hint="cs"/>
          <w:w w:val="103"/>
        </w:rPr>
      </w:pPr>
      <w:r>
        <w:rPr>
          <w:rtl/>
        </w:rPr>
        <w:tab/>
      </w:r>
      <w:r w:rsidRPr="00DB7002">
        <w:rPr>
          <w:w w:val="103"/>
          <w:rtl/>
        </w:rPr>
        <w:t>(</w:t>
      </w:r>
      <w:r w:rsidRPr="00DB7002">
        <w:rPr>
          <w:rStyle w:val="FootnoteReference"/>
          <w:spacing w:val="0"/>
          <w:w w:val="103"/>
          <w:vertAlign w:val="baseline"/>
          <w:rtl/>
        </w:rPr>
        <w:footnoteRef/>
      </w:r>
      <w:r w:rsidRPr="00DB7002">
        <w:rPr>
          <w:w w:val="103"/>
          <w:rtl/>
        </w:rPr>
        <w:t>)</w:t>
      </w:r>
      <w:r w:rsidRPr="00DB7002">
        <w:rPr>
          <w:w w:val="103"/>
          <w:rtl/>
        </w:rPr>
        <w:tab/>
      </w:r>
      <w:r>
        <w:rPr>
          <w:rFonts w:hint="cs"/>
          <w:w w:val="103"/>
          <w:rtl/>
        </w:rPr>
        <w:t xml:space="preserve">عدد الرجال عادة أقل من عدد النساء اللاتي يفتحن عيادات طبية خاصة (في مجال طب الأسنان، وأمراض النساء، وأمراض العيون، وأمراض الجلد، وطب الأطفال)، ويؤسسن شركات تقدم خدمات التمريض، وملاجئ للعجزة الذين يبقون طريحي الفراش وللمرضى المصابين بأمراض غير قابلة للعلاج، ومراكز الإرشاد (في مجال علاج مشاكل النطق والمشاكل النفسية). </w:t>
      </w:r>
    </w:p>
  </w:footnote>
  <w:footnote w:id="9">
    <w:p w:rsidR="00175B3F" w:rsidRPr="005C3FB1" w:rsidRDefault="00175B3F" w:rsidP="005C3FB1">
      <w:pPr>
        <w:pStyle w:val="FootnoteText"/>
        <w:tabs>
          <w:tab w:val="clear" w:pos="418"/>
          <w:tab w:val="right" w:pos="1195"/>
          <w:tab w:val="left" w:pos="1267"/>
          <w:tab w:val="left" w:pos="1656"/>
          <w:tab w:val="left" w:pos="2088"/>
        </w:tabs>
        <w:spacing w:after="80"/>
        <w:ind w:left="1267" w:right="1267" w:hanging="547"/>
        <w:jc w:val="lowKashida"/>
        <w:rPr>
          <w:rFonts w:hint="cs"/>
          <w:w w:val="103"/>
        </w:rPr>
      </w:pPr>
      <w:r>
        <w:rPr>
          <w:rtl/>
        </w:rPr>
        <w:tab/>
      </w:r>
      <w:r w:rsidRPr="005C3FB1">
        <w:rPr>
          <w:w w:val="103"/>
          <w:rtl/>
        </w:rPr>
        <w:t>(</w:t>
      </w:r>
      <w:r w:rsidRPr="005C3FB1">
        <w:rPr>
          <w:rStyle w:val="FootnoteReference"/>
          <w:spacing w:val="0"/>
          <w:w w:val="103"/>
          <w:vertAlign w:val="baseline"/>
          <w:rtl/>
        </w:rPr>
        <w:footnoteRef/>
      </w:r>
      <w:r w:rsidRPr="005C3FB1">
        <w:rPr>
          <w:w w:val="103"/>
          <w:rtl/>
        </w:rPr>
        <w:t>)</w:t>
      </w:r>
      <w:r w:rsidRPr="005C3FB1">
        <w:rPr>
          <w:w w:val="103"/>
          <w:rtl/>
        </w:rPr>
        <w:tab/>
      </w:r>
      <w:r>
        <w:rPr>
          <w:rFonts w:hint="cs"/>
          <w:w w:val="103"/>
          <w:rtl/>
        </w:rPr>
        <w:t>أنشأ صندوق المشاريع البولندي الأمريكي الصندوق المصغر في عام 1994 لدعم المشاريع التجارية الصغيرة في بولندا.</w:t>
      </w:r>
    </w:p>
  </w:footnote>
  <w:footnote w:id="10">
    <w:p w:rsidR="00175B3F" w:rsidRPr="008C4F86" w:rsidRDefault="00175B3F" w:rsidP="008C4F86">
      <w:pPr>
        <w:pStyle w:val="FootnoteText"/>
        <w:tabs>
          <w:tab w:val="clear" w:pos="418"/>
          <w:tab w:val="right" w:pos="1195"/>
          <w:tab w:val="left" w:pos="1267"/>
          <w:tab w:val="left" w:pos="1656"/>
          <w:tab w:val="left" w:pos="2088"/>
        </w:tabs>
        <w:spacing w:after="80"/>
        <w:ind w:left="1267" w:right="1267" w:hanging="547"/>
        <w:jc w:val="lowKashida"/>
        <w:rPr>
          <w:rFonts w:hint="cs"/>
          <w:w w:val="103"/>
        </w:rPr>
      </w:pPr>
      <w:r>
        <w:rPr>
          <w:rtl/>
        </w:rPr>
        <w:tab/>
      </w:r>
      <w:r w:rsidRPr="008C4F86">
        <w:rPr>
          <w:w w:val="103"/>
          <w:rtl/>
        </w:rPr>
        <w:t>(</w:t>
      </w:r>
      <w:r w:rsidRPr="008C4F86">
        <w:rPr>
          <w:rStyle w:val="FootnoteReference"/>
          <w:spacing w:val="0"/>
          <w:w w:val="103"/>
          <w:vertAlign w:val="baseline"/>
          <w:rtl/>
        </w:rPr>
        <w:footnoteRef/>
      </w:r>
      <w:r w:rsidRPr="008C4F86">
        <w:rPr>
          <w:w w:val="103"/>
          <w:rtl/>
        </w:rPr>
        <w:t>)</w:t>
      </w:r>
      <w:r w:rsidRPr="008C4F86">
        <w:rPr>
          <w:w w:val="103"/>
          <w:rtl/>
        </w:rPr>
        <w:tab/>
      </w:r>
      <w:r>
        <w:rPr>
          <w:rFonts w:hint="cs"/>
          <w:w w:val="103"/>
          <w:rtl/>
        </w:rPr>
        <w:t>أفاد مكتب المعلومات الائتمانية أن المرأة كانت في عام 2003 تحتفظ بـ 74 في المائة من جميع حسابات الائتمانات، ولا يمثل ذلك عدد الأشخاص الذين تمنح لهم الائتمانات.</w:t>
      </w:r>
    </w:p>
  </w:footnote>
  <w:footnote w:id="11">
    <w:p w:rsidR="00175B3F" w:rsidRPr="008C4F86" w:rsidRDefault="00175B3F" w:rsidP="008C4F86">
      <w:pPr>
        <w:pStyle w:val="FootnoteText"/>
        <w:tabs>
          <w:tab w:val="clear" w:pos="418"/>
          <w:tab w:val="right" w:pos="1195"/>
          <w:tab w:val="left" w:pos="1267"/>
          <w:tab w:val="left" w:pos="1656"/>
          <w:tab w:val="left" w:pos="2088"/>
        </w:tabs>
        <w:spacing w:after="80"/>
        <w:ind w:left="1267" w:right="1267" w:hanging="547"/>
        <w:jc w:val="lowKashida"/>
        <w:rPr>
          <w:rFonts w:hint="cs"/>
          <w:w w:val="103"/>
        </w:rPr>
      </w:pPr>
      <w:r>
        <w:rPr>
          <w:rtl/>
        </w:rPr>
        <w:tab/>
      </w:r>
      <w:r w:rsidRPr="008C4F86">
        <w:rPr>
          <w:w w:val="103"/>
          <w:rtl/>
        </w:rPr>
        <w:t>(</w:t>
      </w:r>
      <w:r w:rsidRPr="008C4F86">
        <w:rPr>
          <w:rStyle w:val="FootnoteReference"/>
          <w:spacing w:val="0"/>
          <w:w w:val="103"/>
          <w:vertAlign w:val="baseline"/>
          <w:rtl/>
        </w:rPr>
        <w:footnoteRef/>
      </w:r>
      <w:r w:rsidRPr="008C4F86">
        <w:rPr>
          <w:w w:val="103"/>
          <w:rtl/>
        </w:rPr>
        <w:t>)</w:t>
      </w:r>
      <w:r w:rsidRPr="008C4F86">
        <w:rPr>
          <w:w w:val="103"/>
          <w:rtl/>
        </w:rPr>
        <w:tab/>
      </w:r>
      <w:r>
        <w:rPr>
          <w:rFonts w:hint="cs"/>
          <w:w w:val="103"/>
          <w:rtl/>
        </w:rPr>
        <w:t>المزرعة الخاصة تعني المزرعة التي تبلغ مساحتها ما لا يقل عن 0.1هكتار من الأرض الصالحة للزراعة، ويملكها أو يستخدمها شخص طبيعي أو مجموعة من الأشخاص.</w:t>
      </w:r>
    </w:p>
  </w:footnote>
  <w:footnote w:id="12">
    <w:p w:rsidR="00175B3F" w:rsidRPr="00D4702D" w:rsidRDefault="00175B3F" w:rsidP="00D4702D">
      <w:pPr>
        <w:pStyle w:val="FootnoteText"/>
        <w:tabs>
          <w:tab w:val="clear" w:pos="418"/>
          <w:tab w:val="right" w:pos="1195"/>
          <w:tab w:val="left" w:pos="1267"/>
          <w:tab w:val="left" w:pos="1656"/>
          <w:tab w:val="left" w:pos="2088"/>
        </w:tabs>
        <w:spacing w:after="80"/>
        <w:ind w:left="1267" w:right="1267" w:hanging="547"/>
        <w:jc w:val="lowKashida"/>
        <w:rPr>
          <w:rFonts w:hint="cs"/>
          <w:w w:val="103"/>
        </w:rPr>
      </w:pPr>
      <w:r>
        <w:rPr>
          <w:rtl/>
        </w:rPr>
        <w:tab/>
      </w:r>
      <w:r w:rsidRPr="00D4702D">
        <w:rPr>
          <w:w w:val="103"/>
          <w:rtl/>
        </w:rPr>
        <w:t>(</w:t>
      </w:r>
      <w:r w:rsidRPr="00D4702D">
        <w:rPr>
          <w:rStyle w:val="FootnoteReference"/>
          <w:spacing w:val="0"/>
          <w:w w:val="103"/>
          <w:vertAlign w:val="baseline"/>
          <w:rtl/>
        </w:rPr>
        <w:footnoteRef/>
      </w:r>
      <w:r w:rsidRPr="00D4702D">
        <w:rPr>
          <w:w w:val="103"/>
          <w:rtl/>
        </w:rPr>
        <w:t>)</w:t>
      </w:r>
      <w:r w:rsidRPr="00D4702D">
        <w:rPr>
          <w:w w:val="103"/>
          <w:rtl/>
        </w:rPr>
        <w:tab/>
      </w:r>
      <w:r>
        <w:rPr>
          <w:rFonts w:hint="cs"/>
          <w:w w:val="103"/>
          <w:rtl/>
        </w:rPr>
        <w:t>أجري الإحصاء الزراعي السابق في عام 1996.</w:t>
      </w:r>
    </w:p>
  </w:footnote>
  <w:footnote w:id="13">
    <w:p w:rsidR="00175B3F" w:rsidRPr="00D4702D" w:rsidRDefault="00175B3F" w:rsidP="00BE39AA">
      <w:pPr>
        <w:pStyle w:val="FootnoteText"/>
        <w:tabs>
          <w:tab w:val="clear" w:pos="418"/>
          <w:tab w:val="right" w:pos="1195"/>
          <w:tab w:val="left" w:pos="1267"/>
          <w:tab w:val="left" w:pos="1656"/>
          <w:tab w:val="left" w:pos="2088"/>
        </w:tabs>
        <w:spacing w:after="80"/>
        <w:ind w:left="1267" w:right="1267" w:hanging="547"/>
        <w:jc w:val="lowKashida"/>
        <w:rPr>
          <w:rFonts w:hint="cs"/>
          <w:w w:val="103"/>
        </w:rPr>
      </w:pPr>
      <w:r>
        <w:rPr>
          <w:rtl/>
        </w:rPr>
        <w:tab/>
      </w:r>
      <w:r w:rsidRPr="00D4702D">
        <w:rPr>
          <w:w w:val="103"/>
          <w:rtl/>
        </w:rPr>
        <w:t>(</w:t>
      </w:r>
      <w:r w:rsidRPr="00D4702D">
        <w:rPr>
          <w:rStyle w:val="FootnoteReference"/>
          <w:spacing w:val="0"/>
          <w:w w:val="103"/>
          <w:vertAlign w:val="baseline"/>
          <w:rtl/>
        </w:rPr>
        <w:footnoteRef/>
      </w:r>
      <w:r w:rsidRPr="00D4702D">
        <w:rPr>
          <w:w w:val="103"/>
          <w:rtl/>
        </w:rPr>
        <w:t>)</w:t>
      </w:r>
      <w:r w:rsidRPr="00D4702D">
        <w:rPr>
          <w:w w:val="103"/>
          <w:rtl/>
        </w:rPr>
        <w:tab/>
      </w:r>
      <w:r>
        <w:rPr>
          <w:rFonts w:hint="cs"/>
          <w:w w:val="103"/>
          <w:rtl/>
        </w:rPr>
        <w:t>الأشخاص الذين يشتغلون في المزارع الخاصة يُعرّفون بأنهم أشخاص طبيعيون أو مجموعة من الأشخاص الطبيعيين الذين يستخدمون بالفعل الأرض بغض النظر عما إذا كانوا يملكونها أو يستأجرونها، أو يحملون ألقابا أخرى، وبغض النظر عما إذا كانت الأرض تقع في إحدى الأقاليم أو في عدة أقاليم.</w:t>
      </w:r>
    </w:p>
  </w:footnote>
  <w:footnote w:id="14">
    <w:p w:rsidR="00175B3F" w:rsidRPr="00D4702D" w:rsidRDefault="00175B3F" w:rsidP="00F4345B">
      <w:pPr>
        <w:pStyle w:val="FootnoteText"/>
        <w:tabs>
          <w:tab w:val="clear" w:pos="418"/>
          <w:tab w:val="right" w:pos="1195"/>
          <w:tab w:val="left" w:pos="1267"/>
          <w:tab w:val="left" w:pos="1656"/>
          <w:tab w:val="left" w:pos="2088"/>
        </w:tabs>
        <w:spacing w:after="80"/>
        <w:ind w:left="1267" w:right="1267" w:hanging="547"/>
        <w:jc w:val="lowKashida"/>
        <w:rPr>
          <w:rFonts w:hint="cs"/>
          <w:w w:val="103"/>
        </w:rPr>
      </w:pPr>
      <w:r>
        <w:rPr>
          <w:rtl/>
        </w:rPr>
        <w:tab/>
      </w:r>
      <w:r w:rsidRPr="00D4702D">
        <w:rPr>
          <w:w w:val="103"/>
          <w:rtl/>
        </w:rPr>
        <w:t>(</w:t>
      </w:r>
      <w:r w:rsidRPr="00D4702D">
        <w:rPr>
          <w:rStyle w:val="FootnoteReference"/>
          <w:spacing w:val="0"/>
          <w:w w:val="103"/>
          <w:vertAlign w:val="baseline"/>
          <w:rtl/>
        </w:rPr>
        <w:footnoteRef/>
      </w:r>
      <w:r w:rsidRPr="00D4702D">
        <w:rPr>
          <w:w w:val="103"/>
          <w:rtl/>
        </w:rPr>
        <w:t>)</w:t>
      </w:r>
      <w:r w:rsidRPr="00D4702D">
        <w:rPr>
          <w:w w:val="103"/>
          <w:rtl/>
        </w:rPr>
        <w:tab/>
      </w:r>
      <w:r>
        <w:rPr>
          <w:rFonts w:hint="cs"/>
          <w:w w:val="103"/>
          <w:rtl/>
        </w:rPr>
        <w:t xml:space="preserve">الأسرة المعيشية للشخص الذي يشتغل في المزرعة (والذي يملك الماشية) يُعرّف بأنه الشخص أو مجموعة من الأشخاص الذين يعيشون ويعتمدون على أنفسهم في الحصول على رزقهم، إذا كان بينهم شخص يدير المزرعة الخاصة (أو يملك الماشية). </w:t>
      </w:r>
    </w:p>
  </w:footnote>
  <w:footnote w:id="15">
    <w:p w:rsidR="00175B3F" w:rsidRPr="00DB5B3C" w:rsidRDefault="00175B3F" w:rsidP="009079C0">
      <w:pPr>
        <w:pStyle w:val="FootnoteText"/>
        <w:tabs>
          <w:tab w:val="clear" w:pos="418"/>
          <w:tab w:val="right" w:pos="1195"/>
          <w:tab w:val="left" w:pos="1267"/>
          <w:tab w:val="left" w:pos="1656"/>
          <w:tab w:val="left" w:pos="2088"/>
        </w:tabs>
        <w:spacing w:after="80"/>
        <w:ind w:left="1267" w:right="1267" w:hanging="547"/>
        <w:jc w:val="lowKashida"/>
        <w:rPr>
          <w:rFonts w:hint="cs"/>
          <w:w w:val="103"/>
        </w:rPr>
      </w:pPr>
      <w:r>
        <w:rPr>
          <w:rtl/>
        </w:rPr>
        <w:tab/>
      </w:r>
      <w:r w:rsidRPr="00DB5B3C">
        <w:rPr>
          <w:w w:val="103"/>
          <w:rtl/>
        </w:rPr>
        <w:t>(</w:t>
      </w:r>
      <w:r w:rsidRPr="00DB5B3C">
        <w:rPr>
          <w:rStyle w:val="FootnoteReference"/>
          <w:spacing w:val="0"/>
          <w:w w:val="103"/>
          <w:vertAlign w:val="baseline"/>
          <w:rtl/>
        </w:rPr>
        <w:footnoteRef/>
      </w:r>
      <w:r w:rsidRPr="00DB5B3C">
        <w:rPr>
          <w:w w:val="103"/>
          <w:rtl/>
        </w:rPr>
        <w:t>)</w:t>
      </w:r>
      <w:r w:rsidRPr="00DB5B3C">
        <w:rPr>
          <w:w w:val="103"/>
          <w:rtl/>
        </w:rPr>
        <w:tab/>
      </w:r>
      <w:r>
        <w:rPr>
          <w:rFonts w:hint="cs"/>
          <w:w w:val="103"/>
          <w:rtl/>
        </w:rPr>
        <w:t>وفقا للمنهجية المطبقة خلال تعداد السكان لعام 2002، تم تمييز العائلات داخل الأسر المعيشية. وتُعرّف العائلة بأنها مؤلفة من زوجين أو شريكين في المعاشرة بدون أطفال أو بطفل واحد أو أكثر، أو معيل واحد لطفل واحد أو أكثر. ونظر تعداد سكان عام 2002 أيضا في العائلات التي تعيش في مساكن جماعية.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B3F" w:rsidRPr="0031401C" w:rsidRDefault="00175B3F" w:rsidP="0031401C">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175B3F">
                  <w:tblPrEx>
                    <w:tblCellMar>
                      <w:top w:w="0" w:type="dxa"/>
                      <w:bottom w:w="0" w:type="dxa"/>
                    </w:tblCellMar>
                  </w:tblPrEx>
                  <w:trPr>
                    <w:trHeight w:hRule="exact" w:val="864"/>
                    <w:jc w:val="center"/>
                  </w:trPr>
                  <w:tc>
                    <w:tcPr>
                      <w:tcW w:w="4932" w:type="dxa"/>
                      <w:shd w:val="clear" w:color="auto" w:fill="auto"/>
                      <w:vAlign w:val="bottom"/>
                    </w:tcPr>
                    <w:p w:rsidR="00175B3F" w:rsidRDefault="00175B3F" w:rsidP="0031401C">
                      <w:pPr>
                        <w:pStyle w:val="Header"/>
                        <w:bidi/>
                        <w:jc w:val="right"/>
                      </w:pPr>
                    </w:p>
                  </w:tc>
                  <w:tc>
                    <w:tcPr>
                      <w:tcW w:w="4933" w:type="dxa"/>
                      <w:shd w:val="clear" w:color="auto" w:fill="auto"/>
                      <w:vAlign w:val="bottom"/>
                    </w:tcPr>
                    <w:p w:rsidR="00175B3F" w:rsidRPr="0031401C" w:rsidRDefault="00175B3F" w:rsidP="0031401C">
                      <w:pPr>
                        <w:pStyle w:val="Header"/>
                        <w:spacing w:after="80"/>
                        <w:jc w:val="right"/>
                        <w:rPr>
                          <w:rFonts w:hint="cs"/>
                          <w:w w:val="103"/>
                          <w:rtl/>
                        </w:rPr>
                      </w:pPr>
                      <w:r>
                        <w:rPr>
                          <w:w w:val="103"/>
                        </w:rPr>
                        <w:t>CEDAW/C/POL/6</w:t>
                      </w:r>
                    </w:p>
                  </w:tc>
                </w:tr>
              </w:tbl>
              <w:p w:rsidR="00175B3F" w:rsidRDefault="00175B3F" w:rsidP="0031401C">
                <w:pPr>
                  <w:bidi w:val="0"/>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B3F" w:rsidRPr="0031401C" w:rsidRDefault="00175B3F" w:rsidP="0031401C">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175B3F">
                  <w:tblPrEx>
                    <w:tblCellMar>
                      <w:top w:w="0" w:type="dxa"/>
                      <w:bottom w:w="0" w:type="dxa"/>
                    </w:tblCellMar>
                  </w:tblPrEx>
                  <w:trPr>
                    <w:trHeight w:hRule="exact" w:val="864"/>
                    <w:jc w:val="center"/>
                  </w:trPr>
                  <w:tc>
                    <w:tcPr>
                      <w:tcW w:w="4932" w:type="dxa"/>
                      <w:shd w:val="clear" w:color="auto" w:fill="auto"/>
                      <w:vAlign w:val="bottom"/>
                    </w:tcPr>
                    <w:p w:rsidR="00175B3F" w:rsidRPr="0031401C" w:rsidRDefault="00175B3F" w:rsidP="0031401C">
                      <w:pPr>
                        <w:pStyle w:val="Header"/>
                        <w:spacing w:after="80"/>
                        <w:rPr>
                          <w:rFonts w:hint="cs"/>
                          <w:w w:val="103"/>
                          <w:rtl/>
                        </w:rPr>
                      </w:pPr>
                      <w:r>
                        <w:rPr>
                          <w:w w:val="103"/>
                        </w:rPr>
                        <w:t>CEDAW/C/POL/6</w:t>
                      </w:r>
                    </w:p>
                  </w:tc>
                  <w:tc>
                    <w:tcPr>
                      <w:tcW w:w="4933" w:type="dxa"/>
                      <w:shd w:val="clear" w:color="auto" w:fill="auto"/>
                      <w:vAlign w:val="bottom"/>
                    </w:tcPr>
                    <w:p w:rsidR="00175B3F" w:rsidRDefault="00175B3F" w:rsidP="0031401C">
                      <w:pPr>
                        <w:pStyle w:val="Header"/>
                      </w:pPr>
                    </w:p>
                  </w:tc>
                </w:tr>
              </w:tbl>
              <w:p w:rsidR="00175B3F" w:rsidRDefault="00175B3F" w:rsidP="0031401C">
                <w:pPr>
                  <w:bidi w:val="0"/>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75B3F">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75B3F" w:rsidRDefault="00175B3F" w:rsidP="0031401C">
          <w:pPr>
            <w:pStyle w:val="Header"/>
            <w:spacing w:after="120"/>
          </w:pPr>
        </w:p>
      </w:tc>
      <w:tc>
        <w:tcPr>
          <w:tcW w:w="1786" w:type="dxa"/>
          <w:tcBorders>
            <w:bottom w:val="single" w:sz="4" w:space="0" w:color="auto"/>
          </w:tcBorders>
          <w:shd w:val="clear" w:color="auto" w:fill="auto"/>
          <w:vAlign w:val="bottom"/>
        </w:tcPr>
        <w:p w:rsidR="00175B3F" w:rsidRPr="0031401C" w:rsidRDefault="00175B3F" w:rsidP="0031401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75B3F" w:rsidRDefault="00175B3F" w:rsidP="0031401C">
          <w:pPr>
            <w:pStyle w:val="Header"/>
            <w:spacing w:after="120"/>
          </w:pPr>
        </w:p>
      </w:tc>
      <w:tc>
        <w:tcPr>
          <w:tcW w:w="6523" w:type="dxa"/>
          <w:gridSpan w:val="3"/>
          <w:tcBorders>
            <w:bottom w:val="single" w:sz="4" w:space="0" w:color="auto"/>
          </w:tcBorders>
          <w:shd w:val="clear" w:color="auto" w:fill="auto"/>
          <w:vAlign w:val="bottom"/>
        </w:tcPr>
        <w:p w:rsidR="00175B3F" w:rsidRPr="0031401C" w:rsidRDefault="00175B3F" w:rsidP="0031401C">
          <w:pPr>
            <w:spacing w:line="380" w:lineRule="exact"/>
            <w:jc w:val="right"/>
          </w:pPr>
          <w:r>
            <w:rPr>
              <w:sz w:val="40"/>
            </w:rPr>
            <w:t>CEDAW</w:t>
          </w:r>
          <w:r>
            <w:t>/C/POL/6</w:t>
          </w:r>
        </w:p>
      </w:tc>
    </w:tr>
    <w:tr w:rsidR="00175B3F" w:rsidRPr="0031401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75B3F" w:rsidRDefault="00175B3F" w:rsidP="0031401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75B3F" w:rsidRPr="0031401C" w:rsidRDefault="00175B3F" w:rsidP="0031401C">
          <w:pPr>
            <w:pStyle w:val="Header"/>
            <w:spacing w:before="109"/>
            <w:jc w:val="right"/>
          </w:pPr>
        </w:p>
      </w:tc>
      <w:tc>
        <w:tcPr>
          <w:tcW w:w="5227" w:type="dxa"/>
          <w:gridSpan w:val="3"/>
          <w:tcBorders>
            <w:top w:val="single" w:sz="4" w:space="0" w:color="auto"/>
            <w:bottom w:val="single" w:sz="12" w:space="0" w:color="auto"/>
          </w:tcBorders>
          <w:shd w:val="clear" w:color="auto" w:fill="auto"/>
        </w:tcPr>
        <w:p w:rsidR="00175B3F" w:rsidRPr="0031401C" w:rsidRDefault="00175B3F" w:rsidP="0031401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175B3F" w:rsidRPr="0031401C" w:rsidRDefault="00175B3F" w:rsidP="0031401C">
          <w:pPr>
            <w:pStyle w:val="Header"/>
            <w:spacing w:before="109"/>
          </w:pPr>
        </w:p>
      </w:tc>
      <w:tc>
        <w:tcPr>
          <w:tcW w:w="3100" w:type="dxa"/>
          <w:gridSpan w:val="2"/>
          <w:tcBorders>
            <w:top w:val="single" w:sz="4" w:space="0" w:color="auto"/>
            <w:bottom w:val="single" w:sz="12" w:space="0" w:color="auto"/>
          </w:tcBorders>
          <w:shd w:val="clear" w:color="auto" w:fill="auto"/>
        </w:tcPr>
        <w:p w:rsidR="00175B3F" w:rsidRDefault="00175B3F" w:rsidP="0031401C">
          <w:pPr>
            <w:bidi w:val="0"/>
            <w:spacing w:before="240" w:line="240" w:lineRule="exact"/>
          </w:pPr>
          <w:r>
            <w:t>Distr</w:t>
          </w:r>
          <w:r>
            <w:rPr>
              <w:rtl/>
            </w:rPr>
            <w:t xml:space="preserve"> :.</w:t>
          </w:r>
          <w:r>
            <w:t>General</w:t>
          </w:r>
        </w:p>
        <w:p w:rsidR="00175B3F" w:rsidRDefault="00175B3F" w:rsidP="0031401C">
          <w:pPr>
            <w:bidi w:val="0"/>
            <w:spacing w:line="240" w:lineRule="exact"/>
            <w:jc w:val="left"/>
          </w:pPr>
          <w:smartTag w:uri="urn:schemas-microsoft-com:office:smarttags" w:element="date">
            <w:smartTagPr>
              <w:attr w:name="Year" w:val="2004"/>
              <w:attr w:name="Day" w:val="13"/>
              <w:attr w:name="Month" w:val="12"/>
            </w:smartTagPr>
            <w:r>
              <w:t>13 December 2004</w:t>
            </w:r>
          </w:smartTag>
        </w:p>
        <w:p w:rsidR="00175B3F" w:rsidRDefault="00175B3F" w:rsidP="0031401C">
          <w:pPr>
            <w:bidi w:val="0"/>
            <w:spacing w:line="240" w:lineRule="exact"/>
            <w:jc w:val="left"/>
          </w:pPr>
          <w:r>
            <w:t>Arabic</w:t>
          </w:r>
        </w:p>
        <w:p w:rsidR="00175B3F" w:rsidRPr="0031401C" w:rsidRDefault="00175B3F" w:rsidP="0031401C">
          <w:pPr>
            <w:bidi w:val="0"/>
            <w:spacing w:line="240" w:lineRule="exact"/>
            <w:jc w:val="left"/>
          </w:pPr>
          <w:r>
            <w:t>Original: English</w:t>
          </w:r>
        </w:p>
      </w:tc>
    </w:tr>
  </w:tbl>
  <w:p w:rsidR="00175B3F" w:rsidRPr="0031401C" w:rsidRDefault="00175B3F" w:rsidP="0031401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4/02/2005 04:357 م"/>
    <w:docVar w:name="DocCategory" w:val="Doc"/>
    <w:docVar w:name="DocType" w:val="Final"/>
    <w:docVar w:name="JobNo" w:val="0467224A"/>
    <w:docVar w:name="OandT" w:val=" "/>
    <w:docVar w:name="Symbol1" w:val="CEDAW/C/POL/6"/>
    <w:docVar w:name="Symbol2" w:val="-"/>
  </w:docVars>
  <w:rsids>
    <w:rsidRoot w:val="00CD3849"/>
    <w:rsid w:val="00004849"/>
    <w:rsid w:val="0001641D"/>
    <w:rsid w:val="00037E82"/>
    <w:rsid w:val="00037F27"/>
    <w:rsid w:val="000422C3"/>
    <w:rsid w:val="00042425"/>
    <w:rsid w:val="00045896"/>
    <w:rsid w:val="000514B1"/>
    <w:rsid w:val="00063873"/>
    <w:rsid w:val="0006648F"/>
    <w:rsid w:val="00087310"/>
    <w:rsid w:val="0009732C"/>
    <w:rsid w:val="000B32F0"/>
    <w:rsid w:val="000D2CEC"/>
    <w:rsid w:val="000D46AF"/>
    <w:rsid w:val="000E628A"/>
    <w:rsid w:val="000F4E9A"/>
    <w:rsid w:val="00101EE8"/>
    <w:rsid w:val="0011472E"/>
    <w:rsid w:val="00117532"/>
    <w:rsid w:val="001224EC"/>
    <w:rsid w:val="001255EB"/>
    <w:rsid w:val="00134CD8"/>
    <w:rsid w:val="001519A9"/>
    <w:rsid w:val="001640F3"/>
    <w:rsid w:val="00175B3F"/>
    <w:rsid w:val="00187351"/>
    <w:rsid w:val="00187870"/>
    <w:rsid w:val="00194168"/>
    <w:rsid w:val="00196574"/>
    <w:rsid w:val="00197924"/>
    <w:rsid w:val="001A1E53"/>
    <w:rsid w:val="001A2A16"/>
    <w:rsid w:val="001B4C88"/>
    <w:rsid w:val="001C5E28"/>
    <w:rsid w:val="001D1102"/>
    <w:rsid w:val="001E79FA"/>
    <w:rsid w:val="001F1DDA"/>
    <w:rsid w:val="0020122C"/>
    <w:rsid w:val="0020712E"/>
    <w:rsid w:val="00211F53"/>
    <w:rsid w:val="0021335B"/>
    <w:rsid w:val="0021371A"/>
    <w:rsid w:val="00215646"/>
    <w:rsid w:val="00217798"/>
    <w:rsid w:val="002202D0"/>
    <w:rsid w:val="00224819"/>
    <w:rsid w:val="00233F4D"/>
    <w:rsid w:val="00241441"/>
    <w:rsid w:val="002416C5"/>
    <w:rsid w:val="0024199C"/>
    <w:rsid w:val="00255C76"/>
    <w:rsid w:val="00266F59"/>
    <w:rsid w:val="002702AA"/>
    <w:rsid w:val="00270C07"/>
    <w:rsid w:val="00272B6C"/>
    <w:rsid w:val="00275265"/>
    <w:rsid w:val="00276103"/>
    <w:rsid w:val="00277077"/>
    <w:rsid w:val="0028217F"/>
    <w:rsid w:val="00284A64"/>
    <w:rsid w:val="00290F2F"/>
    <w:rsid w:val="002937DA"/>
    <w:rsid w:val="00296E8F"/>
    <w:rsid w:val="002A057E"/>
    <w:rsid w:val="002C1691"/>
    <w:rsid w:val="002C2AF2"/>
    <w:rsid w:val="002C4E1B"/>
    <w:rsid w:val="002E6169"/>
    <w:rsid w:val="00312162"/>
    <w:rsid w:val="0031401C"/>
    <w:rsid w:val="00320EDF"/>
    <w:rsid w:val="00322499"/>
    <w:rsid w:val="003224B1"/>
    <w:rsid w:val="00323A2D"/>
    <w:rsid w:val="00335D1C"/>
    <w:rsid w:val="003501D5"/>
    <w:rsid w:val="00356808"/>
    <w:rsid w:val="00367ADD"/>
    <w:rsid w:val="00371AC4"/>
    <w:rsid w:val="00382A58"/>
    <w:rsid w:val="00382D9C"/>
    <w:rsid w:val="00387EE9"/>
    <w:rsid w:val="00394F2E"/>
    <w:rsid w:val="003A1F32"/>
    <w:rsid w:val="003A65ED"/>
    <w:rsid w:val="003B32B4"/>
    <w:rsid w:val="003B48ED"/>
    <w:rsid w:val="003B5C2A"/>
    <w:rsid w:val="003C451F"/>
    <w:rsid w:val="003D4612"/>
    <w:rsid w:val="003E459A"/>
    <w:rsid w:val="003F4B71"/>
    <w:rsid w:val="003F4B8C"/>
    <w:rsid w:val="004005BE"/>
    <w:rsid w:val="00401BDF"/>
    <w:rsid w:val="00405A7C"/>
    <w:rsid w:val="00411BBD"/>
    <w:rsid w:val="0041384D"/>
    <w:rsid w:val="00415922"/>
    <w:rsid w:val="00423BD7"/>
    <w:rsid w:val="0042757D"/>
    <w:rsid w:val="00434207"/>
    <w:rsid w:val="00435B2E"/>
    <w:rsid w:val="0043617C"/>
    <w:rsid w:val="00437C14"/>
    <w:rsid w:val="004527C9"/>
    <w:rsid w:val="00453069"/>
    <w:rsid w:val="004675D7"/>
    <w:rsid w:val="00476E88"/>
    <w:rsid w:val="0049248E"/>
    <w:rsid w:val="00494EE2"/>
    <w:rsid w:val="00496E83"/>
    <w:rsid w:val="004A2886"/>
    <w:rsid w:val="004A3380"/>
    <w:rsid w:val="004A5CDE"/>
    <w:rsid w:val="004B14A0"/>
    <w:rsid w:val="004B3119"/>
    <w:rsid w:val="004B505E"/>
    <w:rsid w:val="004C5EFE"/>
    <w:rsid w:val="004D3695"/>
    <w:rsid w:val="004F1402"/>
    <w:rsid w:val="004F1D91"/>
    <w:rsid w:val="004F3907"/>
    <w:rsid w:val="004F77E9"/>
    <w:rsid w:val="00503520"/>
    <w:rsid w:val="0050659B"/>
    <w:rsid w:val="005152B6"/>
    <w:rsid w:val="00521CCB"/>
    <w:rsid w:val="00524A2E"/>
    <w:rsid w:val="005279DE"/>
    <w:rsid w:val="00527F1F"/>
    <w:rsid w:val="00534772"/>
    <w:rsid w:val="00537FCD"/>
    <w:rsid w:val="00540B70"/>
    <w:rsid w:val="00545F76"/>
    <w:rsid w:val="005510B5"/>
    <w:rsid w:val="005548C5"/>
    <w:rsid w:val="0055674E"/>
    <w:rsid w:val="00556882"/>
    <w:rsid w:val="00561811"/>
    <w:rsid w:val="00561E43"/>
    <w:rsid w:val="00562F3B"/>
    <w:rsid w:val="005760EF"/>
    <w:rsid w:val="005838F5"/>
    <w:rsid w:val="005845C1"/>
    <w:rsid w:val="00591B45"/>
    <w:rsid w:val="005A6DF1"/>
    <w:rsid w:val="005B3A9A"/>
    <w:rsid w:val="005B58DE"/>
    <w:rsid w:val="005C3FB1"/>
    <w:rsid w:val="005C71B6"/>
    <w:rsid w:val="005D3D7A"/>
    <w:rsid w:val="005E1ACE"/>
    <w:rsid w:val="005F0E4B"/>
    <w:rsid w:val="005F657A"/>
    <w:rsid w:val="005F710E"/>
    <w:rsid w:val="00601C1C"/>
    <w:rsid w:val="0061566D"/>
    <w:rsid w:val="00616E82"/>
    <w:rsid w:val="006218A3"/>
    <w:rsid w:val="00622B72"/>
    <w:rsid w:val="00626104"/>
    <w:rsid w:val="00652DF1"/>
    <w:rsid w:val="006564CE"/>
    <w:rsid w:val="006619F6"/>
    <w:rsid w:val="00663E44"/>
    <w:rsid w:val="00663F64"/>
    <w:rsid w:val="006775E0"/>
    <w:rsid w:val="00685404"/>
    <w:rsid w:val="00696B7A"/>
    <w:rsid w:val="006A105E"/>
    <w:rsid w:val="006A6512"/>
    <w:rsid w:val="006B24E8"/>
    <w:rsid w:val="006B7C87"/>
    <w:rsid w:val="006C38EE"/>
    <w:rsid w:val="006C61B5"/>
    <w:rsid w:val="006C775D"/>
    <w:rsid w:val="006D081F"/>
    <w:rsid w:val="006D5588"/>
    <w:rsid w:val="006E1ED9"/>
    <w:rsid w:val="006F15E8"/>
    <w:rsid w:val="006F5C59"/>
    <w:rsid w:val="007069F2"/>
    <w:rsid w:val="007119E4"/>
    <w:rsid w:val="00715240"/>
    <w:rsid w:val="0071531E"/>
    <w:rsid w:val="0071645B"/>
    <w:rsid w:val="00716E9D"/>
    <w:rsid w:val="00724DA6"/>
    <w:rsid w:val="00725EC6"/>
    <w:rsid w:val="00731A1E"/>
    <w:rsid w:val="00741D29"/>
    <w:rsid w:val="0074390F"/>
    <w:rsid w:val="00743A97"/>
    <w:rsid w:val="00747B9E"/>
    <w:rsid w:val="0075046B"/>
    <w:rsid w:val="00750D5C"/>
    <w:rsid w:val="007525FA"/>
    <w:rsid w:val="007626B4"/>
    <w:rsid w:val="0076391A"/>
    <w:rsid w:val="00765A7A"/>
    <w:rsid w:val="00774FF0"/>
    <w:rsid w:val="00783D0F"/>
    <w:rsid w:val="0079046D"/>
    <w:rsid w:val="0079613D"/>
    <w:rsid w:val="0079753A"/>
    <w:rsid w:val="007A1F81"/>
    <w:rsid w:val="007A3582"/>
    <w:rsid w:val="007A6DD9"/>
    <w:rsid w:val="007C004D"/>
    <w:rsid w:val="007C767B"/>
    <w:rsid w:val="007D4845"/>
    <w:rsid w:val="0081284F"/>
    <w:rsid w:val="00814843"/>
    <w:rsid w:val="00822DF5"/>
    <w:rsid w:val="00823C73"/>
    <w:rsid w:val="00830E32"/>
    <w:rsid w:val="00831187"/>
    <w:rsid w:val="00837025"/>
    <w:rsid w:val="00850BAF"/>
    <w:rsid w:val="00854FD3"/>
    <w:rsid w:val="0085626C"/>
    <w:rsid w:val="00873AF9"/>
    <w:rsid w:val="008777EE"/>
    <w:rsid w:val="00891427"/>
    <w:rsid w:val="008A0F25"/>
    <w:rsid w:val="008B039E"/>
    <w:rsid w:val="008B132B"/>
    <w:rsid w:val="008B6DE2"/>
    <w:rsid w:val="008C4F86"/>
    <w:rsid w:val="008C66BD"/>
    <w:rsid w:val="008C71E4"/>
    <w:rsid w:val="008C78D3"/>
    <w:rsid w:val="008D06D8"/>
    <w:rsid w:val="008D1C04"/>
    <w:rsid w:val="008E1814"/>
    <w:rsid w:val="008F04A0"/>
    <w:rsid w:val="008F64A7"/>
    <w:rsid w:val="008F76AB"/>
    <w:rsid w:val="0090012B"/>
    <w:rsid w:val="009025EC"/>
    <w:rsid w:val="009079C0"/>
    <w:rsid w:val="0092663F"/>
    <w:rsid w:val="0093688E"/>
    <w:rsid w:val="00941ABB"/>
    <w:rsid w:val="00946312"/>
    <w:rsid w:val="009532D8"/>
    <w:rsid w:val="00966DE2"/>
    <w:rsid w:val="00967468"/>
    <w:rsid w:val="00970BAD"/>
    <w:rsid w:val="009829B7"/>
    <w:rsid w:val="009927C0"/>
    <w:rsid w:val="009A27F2"/>
    <w:rsid w:val="009C102D"/>
    <w:rsid w:val="009C15F4"/>
    <w:rsid w:val="009D1164"/>
    <w:rsid w:val="009D1370"/>
    <w:rsid w:val="009D16A8"/>
    <w:rsid w:val="009D245F"/>
    <w:rsid w:val="009D6000"/>
    <w:rsid w:val="009D62A3"/>
    <w:rsid w:val="009E2A1F"/>
    <w:rsid w:val="009E3379"/>
    <w:rsid w:val="009E4764"/>
    <w:rsid w:val="009E4CF5"/>
    <w:rsid w:val="009F4DC1"/>
    <w:rsid w:val="009F5CB8"/>
    <w:rsid w:val="00A01291"/>
    <w:rsid w:val="00A03AB4"/>
    <w:rsid w:val="00A30C28"/>
    <w:rsid w:val="00A3197B"/>
    <w:rsid w:val="00A41A11"/>
    <w:rsid w:val="00A43E74"/>
    <w:rsid w:val="00A56505"/>
    <w:rsid w:val="00A7045C"/>
    <w:rsid w:val="00A71AE5"/>
    <w:rsid w:val="00A77A39"/>
    <w:rsid w:val="00A80AEC"/>
    <w:rsid w:val="00A86866"/>
    <w:rsid w:val="00A9079E"/>
    <w:rsid w:val="00A90C57"/>
    <w:rsid w:val="00AA1C43"/>
    <w:rsid w:val="00AA1E16"/>
    <w:rsid w:val="00AB3BDB"/>
    <w:rsid w:val="00AC002C"/>
    <w:rsid w:val="00AC151F"/>
    <w:rsid w:val="00AC4636"/>
    <w:rsid w:val="00AC6CDD"/>
    <w:rsid w:val="00AD275B"/>
    <w:rsid w:val="00AD3469"/>
    <w:rsid w:val="00AD38D0"/>
    <w:rsid w:val="00AE108C"/>
    <w:rsid w:val="00AE1778"/>
    <w:rsid w:val="00AF1A53"/>
    <w:rsid w:val="00AF7AC7"/>
    <w:rsid w:val="00B00085"/>
    <w:rsid w:val="00B05ADC"/>
    <w:rsid w:val="00B10AD6"/>
    <w:rsid w:val="00B13FDC"/>
    <w:rsid w:val="00B25170"/>
    <w:rsid w:val="00B416C8"/>
    <w:rsid w:val="00B6118D"/>
    <w:rsid w:val="00B944CD"/>
    <w:rsid w:val="00B9478B"/>
    <w:rsid w:val="00B95560"/>
    <w:rsid w:val="00BA01BA"/>
    <w:rsid w:val="00BA0937"/>
    <w:rsid w:val="00BA18D8"/>
    <w:rsid w:val="00BA5E8E"/>
    <w:rsid w:val="00BA7FAB"/>
    <w:rsid w:val="00BC1793"/>
    <w:rsid w:val="00BC2F4C"/>
    <w:rsid w:val="00BC4A05"/>
    <w:rsid w:val="00BD769D"/>
    <w:rsid w:val="00BE39AA"/>
    <w:rsid w:val="00BF0B15"/>
    <w:rsid w:val="00BF61F1"/>
    <w:rsid w:val="00C020E9"/>
    <w:rsid w:val="00C12CBB"/>
    <w:rsid w:val="00C20B46"/>
    <w:rsid w:val="00C25A2D"/>
    <w:rsid w:val="00C260F8"/>
    <w:rsid w:val="00C30FF7"/>
    <w:rsid w:val="00C3398C"/>
    <w:rsid w:val="00C351E5"/>
    <w:rsid w:val="00C43FBE"/>
    <w:rsid w:val="00C449C6"/>
    <w:rsid w:val="00C52E04"/>
    <w:rsid w:val="00C564B0"/>
    <w:rsid w:val="00C62CAB"/>
    <w:rsid w:val="00C64C2A"/>
    <w:rsid w:val="00C746C7"/>
    <w:rsid w:val="00C77946"/>
    <w:rsid w:val="00C814A5"/>
    <w:rsid w:val="00C907B8"/>
    <w:rsid w:val="00C92658"/>
    <w:rsid w:val="00C96573"/>
    <w:rsid w:val="00CA0EA8"/>
    <w:rsid w:val="00CD0BB8"/>
    <w:rsid w:val="00CD3849"/>
    <w:rsid w:val="00CD557A"/>
    <w:rsid w:val="00CE00F8"/>
    <w:rsid w:val="00CE3279"/>
    <w:rsid w:val="00CE4349"/>
    <w:rsid w:val="00CF2913"/>
    <w:rsid w:val="00CF540A"/>
    <w:rsid w:val="00CF7384"/>
    <w:rsid w:val="00D052FE"/>
    <w:rsid w:val="00D07817"/>
    <w:rsid w:val="00D2343D"/>
    <w:rsid w:val="00D249F4"/>
    <w:rsid w:val="00D27CFC"/>
    <w:rsid w:val="00D30EAE"/>
    <w:rsid w:val="00D318F1"/>
    <w:rsid w:val="00D37DF2"/>
    <w:rsid w:val="00D40B0E"/>
    <w:rsid w:val="00D40DA3"/>
    <w:rsid w:val="00D464D7"/>
    <w:rsid w:val="00D4702D"/>
    <w:rsid w:val="00D474A4"/>
    <w:rsid w:val="00D74009"/>
    <w:rsid w:val="00D8685F"/>
    <w:rsid w:val="00D9110D"/>
    <w:rsid w:val="00D93F9B"/>
    <w:rsid w:val="00DA23C6"/>
    <w:rsid w:val="00DA66B7"/>
    <w:rsid w:val="00DB0865"/>
    <w:rsid w:val="00DB5B3C"/>
    <w:rsid w:val="00DB7002"/>
    <w:rsid w:val="00DB752C"/>
    <w:rsid w:val="00DD48EE"/>
    <w:rsid w:val="00DE2507"/>
    <w:rsid w:val="00DE5433"/>
    <w:rsid w:val="00DF12EE"/>
    <w:rsid w:val="00DF1A95"/>
    <w:rsid w:val="00DF5F38"/>
    <w:rsid w:val="00E00609"/>
    <w:rsid w:val="00E06D79"/>
    <w:rsid w:val="00E16101"/>
    <w:rsid w:val="00E23336"/>
    <w:rsid w:val="00E268A5"/>
    <w:rsid w:val="00E27123"/>
    <w:rsid w:val="00E30A94"/>
    <w:rsid w:val="00E32B52"/>
    <w:rsid w:val="00E34F6D"/>
    <w:rsid w:val="00E44CC3"/>
    <w:rsid w:val="00E47EB8"/>
    <w:rsid w:val="00E5288A"/>
    <w:rsid w:val="00E56688"/>
    <w:rsid w:val="00E84BD5"/>
    <w:rsid w:val="00E86660"/>
    <w:rsid w:val="00E9114A"/>
    <w:rsid w:val="00E94A64"/>
    <w:rsid w:val="00EA3BE6"/>
    <w:rsid w:val="00EA489C"/>
    <w:rsid w:val="00EB0CA7"/>
    <w:rsid w:val="00EB4992"/>
    <w:rsid w:val="00EB558B"/>
    <w:rsid w:val="00EC1A52"/>
    <w:rsid w:val="00ED259D"/>
    <w:rsid w:val="00EF059E"/>
    <w:rsid w:val="00EF2E52"/>
    <w:rsid w:val="00F1242A"/>
    <w:rsid w:val="00F14C47"/>
    <w:rsid w:val="00F317A6"/>
    <w:rsid w:val="00F32E4A"/>
    <w:rsid w:val="00F36D8C"/>
    <w:rsid w:val="00F4345B"/>
    <w:rsid w:val="00F4552E"/>
    <w:rsid w:val="00F558B6"/>
    <w:rsid w:val="00F629CC"/>
    <w:rsid w:val="00F63644"/>
    <w:rsid w:val="00F842AC"/>
    <w:rsid w:val="00F8732B"/>
    <w:rsid w:val="00F93545"/>
    <w:rsid w:val="00F957BD"/>
    <w:rsid w:val="00F96FBA"/>
    <w:rsid w:val="00FA55E7"/>
    <w:rsid w:val="00FB331A"/>
    <w:rsid w:val="00FB4E06"/>
    <w:rsid w:val="00FC3483"/>
    <w:rsid w:val="00FC4D68"/>
    <w:rsid w:val="00FD2ADA"/>
    <w:rsid w:val="00FE707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1401C"/>
    <w:rPr>
      <w:szCs w:val="20"/>
    </w:rPr>
  </w:style>
  <w:style w:type="paragraph" w:styleId="CommentSubject">
    <w:name w:val="annotation subject"/>
    <w:basedOn w:val="CommentText"/>
    <w:next w:val="CommentText"/>
    <w:semiHidden/>
    <w:rsid w:val="003140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36</TotalTime>
  <Pages>1</Pages>
  <Words>21667</Words>
  <Characters>123503</Characters>
  <Application>Microsoft Office Word</Application>
  <DocSecurity>4</DocSecurity>
  <Lines>1029</Lines>
  <Paragraphs>289</Paragraphs>
  <ScaleCrop>false</ScaleCrop>
  <HeadingPairs>
    <vt:vector size="2" baseType="variant">
      <vt:variant>
        <vt:lpstr>Title</vt:lpstr>
      </vt:variant>
      <vt:variant>
        <vt:i4>1</vt:i4>
      </vt:variant>
    </vt:vector>
  </HeadingPairs>
  <TitlesOfParts>
    <vt:vector size="1" baseType="lpstr">
      <vt:lpstr>Normal.dot</vt:lpstr>
    </vt:vector>
  </TitlesOfParts>
  <Company>ITSD</Company>
  <LinksUpToDate>false</LinksUpToDate>
  <CharactersWithSpaces>144881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Kamil Jourieh</dc:creator>
  <cp:keywords/>
  <dc:description/>
  <cp:lastModifiedBy>ATPU</cp:lastModifiedBy>
  <cp:revision>6</cp:revision>
  <cp:lastPrinted>2005-03-10T13:08:00Z</cp:lastPrinted>
  <dcterms:created xsi:type="dcterms:W3CDTF">2005-02-28T16:47:00Z</dcterms:created>
  <dcterms:modified xsi:type="dcterms:W3CDTF">2005-03-10T13:43:00Z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0467224</vt:lpwstr>
  </property>
  <property fmtid="{D5CDD505-2E9C-101B-9397-08002B2CF9AE}" pid="3" name="Symbol1">
    <vt:lpwstr>CEDAW/C/POL/6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