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C5415" w14:paraId="129574A8" w14:textId="77777777" w:rsidTr="00C01462">
        <w:trPr>
          <w:cantSplit/>
          <w:trHeight w:hRule="exact" w:val="851"/>
        </w:trPr>
        <w:tc>
          <w:tcPr>
            <w:tcW w:w="1276" w:type="dxa"/>
            <w:tcBorders>
              <w:bottom w:val="single" w:sz="4" w:space="0" w:color="auto"/>
            </w:tcBorders>
            <w:vAlign w:val="bottom"/>
          </w:tcPr>
          <w:p w14:paraId="1C4FD5BB" w14:textId="77777777" w:rsidR="00307688" w:rsidRPr="007C5415" w:rsidRDefault="00307688" w:rsidP="007233F9">
            <w:pPr>
              <w:pStyle w:val="SingleTxtG"/>
            </w:pPr>
          </w:p>
        </w:tc>
        <w:tc>
          <w:tcPr>
            <w:tcW w:w="2268" w:type="dxa"/>
            <w:tcBorders>
              <w:bottom w:val="single" w:sz="4" w:space="0" w:color="auto"/>
            </w:tcBorders>
            <w:vAlign w:val="bottom"/>
          </w:tcPr>
          <w:p w14:paraId="3DC72D5E" w14:textId="77777777" w:rsidR="00307688" w:rsidRPr="007C5415" w:rsidRDefault="00307688" w:rsidP="00C01462">
            <w:pPr>
              <w:spacing w:after="80" w:line="300" w:lineRule="exact"/>
              <w:rPr>
                <w:b/>
                <w:sz w:val="24"/>
                <w:szCs w:val="24"/>
              </w:rPr>
            </w:pPr>
            <w:r w:rsidRPr="007C5415">
              <w:rPr>
                <w:sz w:val="28"/>
                <w:szCs w:val="28"/>
              </w:rPr>
              <w:t>United Nations</w:t>
            </w:r>
          </w:p>
        </w:tc>
        <w:tc>
          <w:tcPr>
            <w:tcW w:w="6095" w:type="dxa"/>
            <w:gridSpan w:val="2"/>
            <w:tcBorders>
              <w:bottom w:val="single" w:sz="4" w:space="0" w:color="auto"/>
            </w:tcBorders>
            <w:vAlign w:val="bottom"/>
          </w:tcPr>
          <w:p w14:paraId="1D243F19" w14:textId="77777777" w:rsidR="00307688" w:rsidRPr="007C5415" w:rsidRDefault="00487175" w:rsidP="00487175">
            <w:pPr>
              <w:suppressAutoHyphens w:val="0"/>
              <w:spacing w:after="20"/>
              <w:jc w:val="right"/>
            </w:pPr>
            <w:r w:rsidRPr="007C5415">
              <w:rPr>
                <w:sz w:val="40"/>
              </w:rPr>
              <w:t>CERD</w:t>
            </w:r>
            <w:r w:rsidRPr="007C5415">
              <w:t>/C/TKM/Q/12-13</w:t>
            </w:r>
          </w:p>
        </w:tc>
      </w:tr>
      <w:tr w:rsidR="00307688" w:rsidRPr="007C5415" w14:paraId="3680DA29" w14:textId="77777777" w:rsidTr="00C01462">
        <w:trPr>
          <w:cantSplit/>
          <w:trHeight w:hRule="exact" w:val="2835"/>
        </w:trPr>
        <w:tc>
          <w:tcPr>
            <w:tcW w:w="1276" w:type="dxa"/>
            <w:tcBorders>
              <w:top w:val="single" w:sz="4" w:space="0" w:color="auto"/>
              <w:bottom w:val="single" w:sz="12" w:space="0" w:color="auto"/>
            </w:tcBorders>
          </w:tcPr>
          <w:p w14:paraId="0AA90AF4" w14:textId="77777777" w:rsidR="00307688" w:rsidRPr="007C5415" w:rsidRDefault="00307688" w:rsidP="00C01462">
            <w:pPr>
              <w:spacing w:before="120"/>
              <w:jc w:val="center"/>
            </w:pPr>
            <w:r w:rsidRPr="007C5415">
              <w:rPr>
                <w:noProof/>
                <w:lang w:eastAsia="fr-CH"/>
              </w:rPr>
              <w:drawing>
                <wp:inline distT="0" distB="0" distL="0" distR="0" wp14:anchorId="6EB34E02" wp14:editId="6FC48EF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15F5C8" w14:textId="77777777" w:rsidR="00307688" w:rsidRPr="007C5415" w:rsidRDefault="00307688" w:rsidP="00C01462">
            <w:pPr>
              <w:spacing w:before="120" w:line="380" w:lineRule="exact"/>
              <w:rPr>
                <w:b/>
                <w:sz w:val="34"/>
                <w:szCs w:val="40"/>
              </w:rPr>
            </w:pPr>
            <w:r w:rsidRPr="007C5415">
              <w:rPr>
                <w:b/>
                <w:sz w:val="34"/>
                <w:szCs w:val="40"/>
              </w:rPr>
              <w:t>International Convention on</w:t>
            </w:r>
            <w:r w:rsidRPr="007C5415">
              <w:rPr>
                <w:b/>
                <w:sz w:val="34"/>
                <w:szCs w:val="40"/>
              </w:rPr>
              <w:br/>
              <w:t>the Elimination of All Forms</w:t>
            </w:r>
            <w:r w:rsidRPr="007C5415">
              <w:rPr>
                <w:b/>
                <w:sz w:val="34"/>
                <w:szCs w:val="40"/>
              </w:rPr>
              <w:br/>
              <w:t>of Racial Discrimination</w:t>
            </w:r>
          </w:p>
          <w:p w14:paraId="6F82A38A" w14:textId="77777777" w:rsidR="00307688" w:rsidRPr="007C5415" w:rsidRDefault="00307688" w:rsidP="00C01462">
            <w:pPr>
              <w:spacing w:before="120" w:line="420" w:lineRule="exact"/>
            </w:pPr>
          </w:p>
        </w:tc>
        <w:tc>
          <w:tcPr>
            <w:tcW w:w="2835" w:type="dxa"/>
            <w:tcBorders>
              <w:top w:val="single" w:sz="4" w:space="0" w:color="auto"/>
              <w:bottom w:val="single" w:sz="12" w:space="0" w:color="auto"/>
            </w:tcBorders>
          </w:tcPr>
          <w:p w14:paraId="01C8D395" w14:textId="656C6B15" w:rsidR="00307688" w:rsidRPr="007C5415" w:rsidRDefault="00487175" w:rsidP="00487175">
            <w:pPr>
              <w:spacing w:before="240"/>
            </w:pPr>
            <w:r w:rsidRPr="007C5415">
              <w:t>Distr.: General</w:t>
            </w:r>
          </w:p>
          <w:p w14:paraId="1069A4B8" w14:textId="4485C5C6" w:rsidR="00487175" w:rsidRPr="007C5415" w:rsidRDefault="00487175" w:rsidP="00487175">
            <w:pPr>
              <w:suppressAutoHyphens w:val="0"/>
            </w:pPr>
            <w:r w:rsidRPr="007C5415">
              <w:t>23 June 2023</w:t>
            </w:r>
          </w:p>
          <w:p w14:paraId="3FE0D30E" w14:textId="77777777" w:rsidR="00487175" w:rsidRPr="007C5415" w:rsidRDefault="00487175" w:rsidP="00487175">
            <w:pPr>
              <w:suppressAutoHyphens w:val="0"/>
            </w:pPr>
          </w:p>
          <w:p w14:paraId="7AFC9595" w14:textId="77777777" w:rsidR="00487175" w:rsidRPr="007C5415" w:rsidRDefault="00487175" w:rsidP="00487175">
            <w:pPr>
              <w:suppressAutoHyphens w:val="0"/>
            </w:pPr>
            <w:r w:rsidRPr="007C5415">
              <w:t>Original: English</w:t>
            </w:r>
          </w:p>
          <w:p w14:paraId="2F0D9103" w14:textId="4C9F0469" w:rsidR="00487175" w:rsidRPr="007C5415" w:rsidRDefault="00487175" w:rsidP="00487175">
            <w:pPr>
              <w:suppressAutoHyphens w:val="0"/>
            </w:pPr>
            <w:r w:rsidRPr="007C5415">
              <w:t>English, French, Russian and Spanish only</w:t>
            </w:r>
          </w:p>
        </w:tc>
      </w:tr>
    </w:tbl>
    <w:p w14:paraId="11A8EE22" w14:textId="77777777" w:rsidR="00487175" w:rsidRPr="007C5415" w:rsidRDefault="00487175" w:rsidP="00487175">
      <w:pPr>
        <w:spacing w:before="120"/>
        <w:rPr>
          <w:b/>
          <w:bCs/>
          <w:color w:val="000000" w:themeColor="text1"/>
          <w:sz w:val="24"/>
          <w:szCs w:val="24"/>
        </w:rPr>
      </w:pPr>
      <w:r w:rsidRPr="007C5415">
        <w:rPr>
          <w:b/>
          <w:bCs/>
          <w:color w:val="000000" w:themeColor="text1"/>
          <w:sz w:val="24"/>
          <w:szCs w:val="24"/>
        </w:rPr>
        <w:t>Committee on the Elimination of Racial Discrimination</w:t>
      </w:r>
    </w:p>
    <w:p w14:paraId="18C455CC" w14:textId="77777777" w:rsidR="00487175" w:rsidRPr="007C5415" w:rsidRDefault="00487175" w:rsidP="00487175">
      <w:pPr>
        <w:rPr>
          <w:b/>
          <w:bCs/>
          <w:color w:val="000000" w:themeColor="text1"/>
        </w:rPr>
      </w:pPr>
      <w:r w:rsidRPr="007C5415">
        <w:rPr>
          <w:b/>
          <w:bCs/>
          <w:color w:val="000000" w:themeColor="text1"/>
        </w:rPr>
        <w:t>110th session</w:t>
      </w:r>
      <w:r w:rsidRPr="007C5415">
        <w:rPr>
          <w:b/>
          <w:bCs/>
          <w:color w:val="000000" w:themeColor="text1"/>
        </w:rPr>
        <w:tab/>
      </w:r>
    </w:p>
    <w:p w14:paraId="3F1C4139" w14:textId="77777777" w:rsidR="00487175" w:rsidRPr="007C5415" w:rsidRDefault="00487175" w:rsidP="00487175">
      <w:pPr>
        <w:rPr>
          <w:color w:val="000000" w:themeColor="text1"/>
        </w:rPr>
      </w:pPr>
      <w:r w:rsidRPr="007C5415">
        <w:rPr>
          <w:color w:val="000000" w:themeColor="text1"/>
        </w:rPr>
        <w:t>7</w:t>
      </w:r>
      <w:r w:rsidRPr="007C5415">
        <w:rPr>
          <w:color w:val="000000" w:themeColor="text1"/>
        </w:rPr>
        <w:sym w:font="Symbol" w:char="F02D"/>
      </w:r>
      <w:r w:rsidRPr="007C5415">
        <w:rPr>
          <w:color w:val="000000" w:themeColor="text1"/>
        </w:rPr>
        <w:t>31 August 2023</w:t>
      </w:r>
    </w:p>
    <w:p w14:paraId="39FEFC30" w14:textId="77777777" w:rsidR="00487175" w:rsidRPr="007C5415" w:rsidRDefault="00487175" w:rsidP="00487175">
      <w:pPr>
        <w:rPr>
          <w:color w:val="000000" w:themeColor="text1"/>
        </w:rPr>
      </w:pPr>
      <w:r w:rsidRPr="007C5415">
        <w:rPr>
          <w:color w:val="000000" w:themeColor="text1"/>
        </w:rPr>
        <w:t>Item 4 of the provisional agenda</w:t>
      </w:r>
    </w:p>
    <w:p w14:paraId="39F91CAE" w14:textId="0953F9CD" w:rsidR="00487175" w:rsidRPr="007C5415" w:rsidRDefault="00487175" w:rsidP="009B15D2">
      <w:pPr>
        <w:rPr>
          <w:b/>
          <w:bCs/>
          <w:color w:val="000000" w:themeColor="text1"/>
        </w:rPr>
      </w:pPr>
      <w:r w:rsidRPr="007C5415">
        <w:rPr>
          <w:b/>
          <w:bCs/>
          <w:color w:val="000000" w:themeColor="text1"/>
        </w:rPr>
        <w:t>Consideration of reports, comments and information submitted</w:t>
      </w:r>
      <w:r w:rsidR="009B15D2" w:rsidRPr="007C5415">
        <w:rPr>
          <w:b/>
          <w:bCs/>
          <w:color w:val="000000" w:themeColor="text1"/>
        </w:rPr>
        <w:br/>
      </w:r>
      <w:r w:rsidRPr="007C5415">
        <w:rPr>
          <w:b/>
          <w:bCs/>
          <w:color w:val="000000" w:themeColor="text1"/>
        </w:rPr>
        <w:t>by States parties under article 9 of the Convention</w:t>
      </w:r>
    </w:p>
    <w:p w14:paraId="24CE07E5" w14:textId="77777777" w:rsidR="00487175" w:rsidRPr="007C5415" w:rsidRDefault="00487175" w:rsidP="00487175">
      <w:pPr>
        <w:pStyle w:val="HChG"/>
      </w:pPr>
      <w:r w:rsidRPr="007C5415">
        <w:tab/>
      </w:r>
      <w:r w:rsidRPr="007C5415">
        <w:tab/>
        <w:t>List of themes in relation to the combined twelfth and thirteenth periodic reports of Turkmenistan</w:t>
      </w:r>
    </w:p>
    <w:p w14:paraId="0F119703" w14:textId="0CA326EB" w:rsidR="00487175" w:rsidRPr="007C5415" w:rsidRDefault="00487175" w:rsidP="00487175">
      <w:pPr>
        <w:pStyle w:val="H1G"/>
        <w:rPr>
          <w:rFonts w:eastAsia="SimSun"/>
          <w:lang w:eastAsia="en-GB"/>
        </w:rPr>
      </w:pPr>
      <w:r w:rsidRPr="007C5415">
        <w:tab/>
      </w:r>
      <w:r w:rsidRPr="007C5415">
        <w:tab/>
        <w:t>Note by the Country Rapporteur</w:t>
      </w:r>
    </w:p>
    <w:p w14:paraId="30DB181F" w14:textId="7FAD8DE7" w:rsidR="00487175" w:rsidRPr="007C5415" w:rsidRDefault="00487175" w:rsidP="00487175">
      <w:pPr>
        <w:pStyle w:val="SingleTxtG"/>
      </w:pPr>
      <w:r w:rsidRPr="007C5415">
        <w:t>1.</w:t>
      </w:r>
      <w:r w:rsidRPr="007C5415">
        <w:tab/>
        <w:t>The Committee on the Elimination of Racial Discrimination decided at its seventy-sixth session</w:t>
      </w:r>
      <w:r w:rsidRPr="007C5415">
        <w:rPr>
          <w:rStyle w:val="FootnoteReference"/>
        </w:rPr>
        <w:footnoteReference w:id="1"/>
      </w:r>
      <w:r w:rsidRPr="007C5415">
        <w:t xml:space="preserve"> that the Country Rapporteur would send to the State party concerned a short list of themes with a view to guiding and focusing the dialogue between the State party</w:t>
      </w:r>
      <w:r w:rsidR="00466B41" w:rsidRPr="007C5415">
        <w:t>’</w:t>
      </w:r>
      <w:r w:rsidRPr="007C5415">
        <w:t>s delegation and the Committee during the consideration of the State party</w:t>
      </w:r>
      <w:r w:rsidR="00466B41" w:rsidRPr="007C5415">
        <w:t>’</w:t>
      </w:r>
      <w:r w:rsidRPr="007C5415">
        <w:t xml:space="preserve">s report. The present document contains a list of such themes. It is not an exhaustive list; other issues may also be raised </w:t>
      </w:r>
      <w:proofErr w:type="gramStart"/>
      <w:r w:rsidRPr="007C5415">
        <w:t>in the course of</w:t>
      </w:r>
      <w:proofErr w:type="gramEnd"/>
      <w:r w:rsidRPr="007C5415">
        <w:t xml:space="preserve"> the dialogue. No written replies are required.</w:t>
      </w:r>
    </w:p>
    <w:p w14:paraId="6039226B" w14:textId="77777777" w:rsidR="00487175" w:rsidRPr="007C5415" w:rsidRDefault="00487175" w:rsidP="00487175">
      <w:pPr>
        <w:pStyle w:val="H23G"/>
        <w:rPr>
          <w:rFonts w:eastAsiaTheme="minorHAnsi"/>
        </w:rPr>
      </w:pPr>
      <w:r w:rsidRPr="007C5415">
        <w:rPr>
          <w:rFonts w:eastAsiaTheme="minorHAnsi"/>
        </w:rPr>
        <w:tab/>
      </w:r>
      <w:r w:rsidRPr="007C5415">
        <w:rPr>
          <w:rFonts w:eastAsiaTheme="minorHAnsi"/>
        </w:rPr>
        <w:tab/>
        <w:t>Statistics</w:t>
      </w:r>
    </w:p>
    <w:p w14:paraId="0AEA55D1" w14:textId="77777777" w:rsidR="00487175" w:rsidRPr="007C5415" w:rsidRDefault="00487175" w:rsidP="00487175">
      <w:pPr>
        <w:pStyle w:val="SingleTxtG"/>
      </w:pPr>
      <w:r w:rsidRPr="007C5415">
        <w:t>2.</w:t>
      </w:r>
      <w:r w:rsidRPr="007C5415">
        <w:tab/>
      </w:r>
      <w:proofErr w:type="gramStart"/>
      <w:r w:rsidRPr="007C5415">
        <w:t>On the basis of</w:t>
      </w:r>
      <w:proofErr w:type="gramEnd"/>
      <w:r w:rsidRPr="007C5415">
        <w:t xml:space="preserve"> the 2022 national population and housing census, updated statistics on the demographic composition of the population, based on self-identification and disaggregated by ethnic origin, including </w:t>
      </w:r>
      <w:proofErr w:type="spellStart"/>
      <w:r w:rsidRPr="007C5415">
        <w:t>Luli</w:t>
      </w:r>
      <w:proofErr w:type="spellEnd"/>
      <w:r w:rsidRPr="007C5415">
        <w:t>/Roma people. Updated statistics on refugees, asylum-</w:t>
      </w:r>
      <w:proofErr w:type="gramStart"/>
      <w:r w:rsidRPr="007C5415">
        <w:t>seekers</w:t>
      </w:r>
      <w:proofErr w:type="gramEnd"/>
      <w:r w:rsidRPr="007C5415">
        <w:t xml:space="preserve"> and stateless persons. Economic and social indicators for various groups living in the territory of the State party, disaggregated by national or ethnic origin, gender and age, particularly </w:t>
      </w:r>
      <w:proofErr w:type="gramStart"/>
      <w:r w:rsidRPr="007C5415">
        <w:t>with regard to</w:t>
      </w:r>
      <w:proofErr w:type="gramEnd"/>
      <w:r w:rsidRPr="007C5415">
        <w:t xml:space="preserve"> minority groups, in the light of the 2022 national population and housing census.</w:t>
      </w:r>
      <w:r w:rsidRPr="007C5415">
        <w:rPr>
          <w:rStyle w:val="FootnoteReference"/>
        </w:rPr>
        <w:footnoteReference w:id="2"/>
      </w:r>
      <w:r w:rsidRPr="007C5415">
        <w:t xml:space="preserve"> </w:t>
      </w:r>
    </w:p>
    <w:p w14:paraId="5AEAD877" w14:textId="77777777" w:rsidR="00487175" w:rsidRPr="007C5415" w:rsidRDefault="00487175" w:rsidP="00487175">
      <w:pPr>
        <w:pStyle w:val="H23G"/>
      </w:pPr>
      <w:r w:rsidRPr="007C5415">
        <w:tab/>
      </w:r>
      <w:r w:rsidRPr="007C5415">
        <w:tab/>
        <w:t xml:space="preserve">The Convention in domestic law and the institutional and policy framework for its implementation (arts. 1, 2, 4, 5, 6 and 7) </w:t>
      </w:r>
    </w:p>
    <w:p w14:paraId="7E7F2724" w14:textId="77777777" w:rsidR="00487175" w:rsidRPr="007C5415" w:rsidRDefault="00487175" w:rsidP="00487175">
      <w:pPr>
        <w:pStyle w:val="SingleTxtG"/>
      </w:pPr>
      <w:r w:rsidRPr="007C5415">
        <w:t>3.</w:t>
      </w:r>
      <w:r w:rsidRPr="007C5415">
        <w:tab/>
        <w:t xml:space="preserve">Steps taken to develop and adopt a comprehensive anti-discrimination law that includes a definition of direct and indirect discrimination. Measures to adopt a comprehensive strategy and a national action plan to combat racism, racial </w:t>
      </w:r>
      <w:proofErr w:type="gramStart"/>
      <w:r w:rsidRPr="007C5415">
        <w:t>discrimination</w:t>
      </w:r>
      <w:proofErr w:type="gramEnd"/>
      <w:r w:rsidRPr="007C5415">
        <w:t xml:space="preserve"> and intolerance.</w:t>
      </w:r>
      <w:r w:rsidRPr="007C5415">
        <w:rPr>
          <w:rStyle w:val="FootnoteReference"/>
        </w:rPr>
        <w:footnoteReference w:id="3"/>
      </w:r>
      <w:r w:rsidRPr="007C5415">
        <w:t xml:space="preserve"> Information on the adoption and implementation of special measures for the purpose of securing adequate advancement of disadvantaged minority groups in conformity with articles 1 (4) and 2 (2) of the Convention.</w:t>
      </w:r>
      <w:r w:rsidRPr="007C5415">
        <w:rPr>
          <w:rStyle w:val="FootnoteReference"/>
        </w:rPr>
        <w:footnoteReference w:id="4"/>
      </w:r>
    </w:p>
    <w:p w14:paraId="6F0D8F14" w14:textId="33786B8B" w:rsidR="00487175" w:rsidRPr="007C5415" w:rsidRDefault="00487175" w:rsidP="00487175">
      <w:pPr>
        <w:pStyle w:val="SingleTxtG"/>
      </w:pPr>
      <w:r w:rsidRPr="007C5415">
        <w:t>4.</w:t>
      </w:r>
      <w:r w:rsidRPr="007C5415">
        <w:tab/>
        <w:t xml:space="preserve">Information on measures taken to raise awareness among civil servants, law enforcement officials and judicial authorities about the prohibition of racial discrimination </w:t>
      </w:r>
      <w:r w:rsidRPr="007C5415">
        <w:lastRenderedPageBreak/>
        <w:t>and of remedies available for victims, including the effectiveness and impact of those measures.</w:t>
      </w:r>
      <w:r w:rsidRPr="007C5415">
        <w:rPr>
          <w:rStyle w:val="FootnoteReference"/>
        </w:rPr>
        <w:footnoteReference w:id="5"/>
      </w:r>
    </w:p>
    <w:p w14:paraId="7636EDF8" w14:textId="77777777" w:rsidR="00487175" w:rsidRPr="007C5415" w:rsidRDefault="00487175" w:rsidP="00487175">
      <w:pPr>
        <w:pStyle w:val="SingleTxtG"/>
      </w:pPr>
      <w:r w:rsidRPr="007C5415">
        <w:t>5.</w:t>
      </w:r>
      <w:r w:rsidRPr="007C5415">
        <w:tab/>
        <w:t>Updated statistics and details on complaints registered before courts or any other national institution for acts of racial discrimination, racist hate speech and racist hate crimes, including those perpetrated over the Internet and through media outlets, and on the number of investigations, prosecutions and convictions of perpetrators, if any.</w:t>
      </w:r>
      <w:r w:rsidRPr="007C5415">
        <w:rPr>
          <w:rStyle w:val="FootnoteReference"/>
        </w:rPr>
        <w:footnoteReference w:id="6"/>
      </w:r>
      <w:r w:rsidRPr="007C5415">
        <w:t xml:space="preserve"> Measures taken to examine the reasons behind the absence of complaints and legal actions relating to racial discrimination between 2016 and 2019 and updated information on the domestic application of the Convention.</w:t>
      </w:r>
      <w:r w:rsidRPr="007C5415">
        <w:rPr>
          <w:rStyle w:val="FootnoteReference"/>
        </w:rPr>
        <w:footnoteReference w:id="7"/>
      </w:r>
    </w:p>
    <w:p w14:paraId="34543F1A" w14:textId="77777777" w:rsidR="00487175" w:rsidRPr="007C5415" w:rsidRDefault="00487175" w:rsidP="00487175">
      <w:pPr>
        <w:pStyle w:val="H23G"/>
      </w:pPr>
      <w:r w:rsidRPr="007C5415">
        <w:tab/>
      </w:r>
      <w:r w:rsidRPr="007C5415">
        <w:tab/>
        <w:t xml:space="preserve">Independence of the judiciary (arts. 5 and 6) </w:t>
      </w:r>
    </w:p>
    <w:p w14:paraId="1F05939A" w14:textId="77777777" w:rsidR="00487175" w:rsidRPr="007C5415" w:rsidRDefault="00487175" w:rsidP="00487175">
      <w:pPr>
        <w:pStyle w:val="SingleTxtG"/>
      </w:pPr>
      <w:r w:rsidRPr="007C5415">
        <w:t>6.</w:t>
      </w:r>
      <w:r w:rsidRPr="007C5415">
        <w:tab/>
        <w:t>Updated information on the measures to guarantee the full independence and impartiality of the judiciary in line with the Basic Principles on the Independence of the Judiciary.</w:t>
      </w:r>
      <w:r w:rsidRPr="007C5415">
        <w:rPr>
          <w:rStyle w:val="FootnoteReference"/>
        </w:rPr>
        <w:footnoteReference w:id="8"/>
      </w:r>
    </w:p>
    <w:p w14:paraId="33FC358A" w14:textId="77777777" w:rsidR="00487175" w:rsidRPr="007C5415" w:rsidRDefault="00487175" w:rsidP="00487175">
      <w:pPr>
        <w:pStyle w:val="H23G"/>
      </w:pPr>
      <w:r w:rsidRPr="007C5415">
        <w:tab/>
      </w:r>
      <w:r w:rsidRPr="007C5415">
        <w:tab/>
        <w:t>National human rights institution (art. 2)</w:t>
      </w:r>
    </w:p>
    <w:p w14:paraId="6D9ECA9E" w14:textId="77777777" w:rsidR="00487175" w:rsidRPr="007C5415" w:rsidRDefault="00487175" w:rsidP="00487175">
      <w:pPr>
        <w:pStyle w:val="SingleTxtG"/>
      </w:pPr>
      <w:r w:rsidRPr="007C5415">
        <w:t>7.</w:t>
      </w:r>
      <w:r w:rsidRPr="007C5415">
        <w:tab/>
        <w:t>Information on measures to strengthen the mandate of the Office of the Ombudsperson to effectively promote human rights and monitor progress in the implementation of the Convention in an independent and transparent manner, while ensuring that the Office has adequate financial and human resources to carry out its mandate.</w:t>
      </w:r>
      <w:r w:rsidRPr="007C5415">
        <w:rPr>
          <w:rStyle w:val="FootnoteReference"/>
        </w:rPr>
        <w:footnoteReference w:id="9"/>
      </w:r>
      <w:r w:rsidRPr="007C5415">
        <w:t xml:space="preserve"> Information on the mandate of the Office of the Ombudsperson to investigate racial discrimination complaints.</w:t>
      </w:r>
    </w:p>
    <w:p w14:paraId="7FD00748" w14:textId="77777777" w:rsidR="00487175" w:rsidRPr="007C5415" w:rsidRDefault="00487175" w:rsidP="00487175">
      <w:pPr>
        <w:pStyle w:val="H23G"/>
      </w:pPr>
      <w:r w:rsidRPr="007C5415">
        <w:tab/>
      </w:r>
      <w:r w:rsidRPr="007C5415">
        <w:tab/>
        <w:t>Racist hate speech, incitement to racial hatred and racist hate crimes (arts. 2, 4 and 6)</w:t>
      </w:r>
    </w:p>
    <w:p w14:paraId="6AB446F8" w14:textId="77777777" w:rsidR="00487175" w:rsidRPr="007C5415" w:rsidRDefault="00487175" w:rsidP="00487175">
      <w:pPr>
        <w:pStyle w:val="SingleTxtG"/>
      </w:pPr>
      <w:r w:rsidRPr="007C5415">
        <w:t>8.</w:t>
      </w:r>
      <w:r w:rsidRPr="007C5415">
        <w:tab/>
        <w:t xml:space="preserve">Measures taken to amend the provisions of the Criminal Code, and other relevant legislation by the Mejlis, on racist hate speech, incitement to racial hatred and racist hate crimes, in line with article 4 of the Convention. Measures taken to ensure that provisions of the Criminal Code and other measures to combat hate speech are not used in a manner that leads to unnecessary or disproportionate interference with freedom of expression or with freedom of peaceful assembly and association in respect of the activities of civil society organizations, human rights </w:t>
      </w:r>
      <w:proofErr w:type="gramStart"/>
      <w:r w:rsidRPr="007C5415">
        <w:t>defenders</w:t>
      </w:r>
      <w:proofErr w:type="gramEnd"/>
      <w:r w:rsidRPr="007C5415">
        <w:t xml:space="preserve"> and journalists, in particular for those concerned with the rights of ethnic minorities.</w:t>
      </w:r>
      <w:r w:rsidRPr="007C5415">
        <w:rPr>
          <w:rStyle w:val="FootnoteReference"/>
        </w:rPr>
        <w:footnoteReference w:id="10"/>
      </w:r>
      <w:r w:rsidRPr="007C5415">
        <w:t xml:space="preserve"> </w:t>
      </w:r>
    </w:p>
    <w:p w14:paraId="21139500" w14:textId="6902F4F9" w:rsidR="00487175" w:rsidRPr="007C5415" w:rsidRDefault="00487175" w:rsidP="00487175">
      <w:pPr>
        <w:pStyle w:val="SingleTxtG"/>
      </w:pPr>
      <w:r w:rsidRPr="007C5415">
        <w:t>9.</w:t>
      </w:r>
      <w:r w:rsidRPr="007C5415">
        <w:tab/>
        <w:t>Information on measures to effectively investigate, prosecute and combat racist hate speech and to punish perpetrators.</w:t>
      </w:r>
      <w:r w:rsidRPr="007C5415">
        <w:rPr>
          <w:rStyle w:val="FootnoteReference"/>
        </w:rPr>
        <w:footnoteReference w:id="11"/>
      </w:r>
    </w:p>
    <w:p w14:paraId="0747F2FA" w14:textId="317CF470" w:rsidR="00487175" w:rsidRPr="007C5415" w:rsidRDefault="00487175" w:rsidP="00487175">
      <w:pPr>
        <w:pStyle w:val="H23G"/>
      </w:pPr>
      <w:r w:rsidRPr="007C5415">
        <w:tab/>
      </w:r>
      <w:r w:rsidRPr="007C5415">
        <w:tab/>
        <w:t>Civil society organizations (art. 5)</w:t>
      </w:r>
    </w:p>
    <w:p w14:paraId="6E41095B" w14:textId="77777777" w:rsidR="00487175" w:rsidRPr="007C5415" w:rsidRDefault="00487175" w:rsidP="00487175">
      <w:pPr>
        <w:pStyle w:val="SingleTxtG"/>
      </w:pPr>
      <w:r w:rsidRPr="007C5415">
        <w:t>10.</w:t>
      </w:r>
      <w:r w:rsidRPr="007C5415">
        <w:tab/>
        <w:t xml:space="preserve">Information on registered civil society organizations, </w:t>
      </w:r>
      <w:proofErr w:type="gramStart"/>
      <w:r w:rsidRPr="007C5415">
        <w:t>in particular those</w:t>
      </w:r>
      <w:proofErr w:type="gramEnd"/>
      <w:r w:rsidRPr="007C5415">
        <w:t xml:space="preserve"> concerned with the rights of ethnic groups.</w:t>
      </w:r>
      <w:r w:rsidRPr="007C5415">
        <w:rPr>
          <w:rStyle w:val="FootnoteReference"/>
        </w:rPr>
        <w:footnoteReference w:id="12"/>
      </w:r>
      <w:r w:rsidRPr="007C5415">
        <w:t xml:space="preserve"> Measures taken to ensure that civil society organizations, human rights defenders and journalists, including those concerned with the rights of ethnic minorities, are able to carry out their work effectively and without intimidation. </w:t>
      </w:r>
    </w:p>
    <w:p w14:paraId="5010CC2A" w14:textId="77777777" w:rsidR="00487175" w:rsidRPr="007C5415" w:rsidRDefault="00487175" w:rsidP="00487175">
      <w:pPr>
        <w:pStyle w:val="H23G"/>
      </w:pPr>
      <w:r w:rsidRPr="007C5415">
        <w:tab/>
      </w:r>
      <w:r w:rsidRPr="007C5415">
        <w:tab/>
        <w:t>Situation of ethnic minorities (arts. 2, 5 and 7)</w:t>
      </w:r>
    </w:p>
    <w:p w14:paraId="2F753483" w14:textId="77777777" w:rsidR="00487175" w:rsidRPr="007C5415" w:rsidRDefault="00487175" w:rsidP="00487175">
      <w:pPr>
        <w:pStyle w:val="SingleTxtG"/>
      </w:pPr>
      <w:r w:rsidRPr="007C5415">
        <w:t>11.</w:t>
      </w:r>
      <w:r w:rsidRPr="007C5415">
        <w:tab/>
        <w:t>Measures taken to ensure the access of members of ethnic minorities to education at all levels in their mother tongue, including the establishment of schools and the publication of school textbooks in minority languages.</w:t>
      </w:r>
      <w:r w:rsidRPr="007C5415">
        <w:rPr>
          <w:rStyle w:val="FootnoteReference"/>
        </w:rPr>
        <w:footnoteReference w:id="13"/>
      </w:r>
      <w:r w:rsidRPr="007C5415">
        <w:t xml:space="preserve"> </w:t>
      </w:r>
    </w:p>
    <w:p w14:paraId="3E6C437B" w14:textId="77777777" w:rsidR="00487175" w:rsidRPr="007C5415" w:rsidRDefault="00487175" w:rsidP="00487175">
      <w:pPr>
        <w:pStyle w:val="SingleTxtG"/>
      </w:pPr>
      <w:r w:rsidRPr="007C5415">
        <w:lastRenderedPageBreak/>
        <w:t>12.</w:t>
      </w:r>
      <w:r w:rsidRPr="007C5415">
        <w:tab/>
        <w:t xml:space="preserve">Measures to ensure the effective participation and representation of members of ethnic minorities in public and political life, particularly in State institutions, the </w:t>
      </w:r>
      <w:proofErr w:type="gramStart"/>
      <w:r w:rsidRPr="007C5415">
        <w:t>police</w:t>
      </w:r>
      <w:proofErr w:type="gramEnd"/>
      <w:r w:rsidRPr="007C5415">
        <w:t xml:space="preserve"> and the judiciary, and to ensure their enjoyment of economic, social and cultural rights, including through the adoption and implementation of special measures.</w:t>
      </w:r>
      <w:r w:rsidRPr="007C5415">
        <w:rPr>
          <w:rStyle w:val="FootnoteReference"/>
        </w:rPr>
        <w:footnoteReference w:id="14"/>
      </w:r>
    </w:p>
    <w:p w14:paraId="5A65A0DF" w14:textId="77777777" w:rsidR="00487175" w:rsidRPr="007C5415" w:rsidRDefault="00487175" w:rsidP="00487175">
      <w:pPr>
        <w:pStyle w:val="SingleTxtG"/>
      </w:pPr>
      <w:r w:rsidRPr="007C5415">
        <w:t>13.</w:t>
      </w:r>
      <w:r w:rsidRPr="007C5415">
        <w:tab/>
        <w:t xml:space="preserve">Updated information on measures taken to protect the rights of minorities, including their right to freedom of thought, </w:t>
      </w:r>
      <w:proofErr w:type="gramStart"/>
      <w:r w:rsidRPr="007C5415">
        <w:t>conscience</w:t>
      </w:r>
      <w:proofErr w:type="gramEnd"/>
      <w:r w:rsidRPr="007C5415">
        <w:t xml:space="preserve"> and religion, without any discrimination on the grounds of race, colour, descent or national or ethnic origin, as well as on the impact of the implementation of the Freedom of Religion and Religious Organizations Act of 2016.</w:t>
      </w:r>
      <w:r w:rsidRPr="007C5415">
        <w:rPr>
          <w:rStyle w:val="FootnoteReference"/>
        </w:rPr>
        <w:footnoteReference w:id="15"/>
      </w:r>
      <w:r w:rsidRPr="007C5415">
        <w:t xml:space="preserve"> </w:t>
      </w:r>
    </w:p>
    <w:p w14:paraId="07D96707" w14:textId="21BA2975" w:rsidR="00487175" w:rsidRPr="007C5415" w:rsidRDefault="009B15D2" w:rsidP="009B15D2">
      <w:pPr>
        <w:pStyle w:val="H23G"/>
      </w:pPr>
      <w:r w:rsidRPr="007C5415">
        <w:tab/>
      </w:r>
      <w:r w:rsidRPr="007C5415">
        <w:tab/>
      </w:r>
      <w:r w:rsidR="00487175" w:rsidRPr="007C5415">
        <w:t xml:space="preserve">Situation of non-citizens, including asylum-seekers, </w:t>
      </w:r>
      <w:proofErr w:type="gramStart"/>
      <w:r w:rsidR="00487175" w:rsidRPr="007C5415">
        <w:t>refugees</w:t>
      </w:r>
      <w:proofErr w:type="gramEnd"/>
      <w:r w:rsidR="00487175" w:rsidRPr="007C5415">
        <w:t xml:space="preserve"> and stateless persons (arts. 2 and 5)</w:t>
      </w:r>
    </w:p>
    <w:p w14:paraId="3A522D1E" w14:textId="77777777" w:rsidR="00487175" w:rsidRPr="007C5415" w:rsidRDefault="00487175" w:rsidP="00487175">
      <w:pPr>
        <w:pStyle w:val="SingleTxtG"/>
      </w:pPr>
      <w:r w:rsidRPr="007C5415">
        <w:t>14.</w:t>
      </w:r>
      <w:r w:rsidRPr="007C5415">
        <w:tab/>
        <w:t>Updated information on the legislative and policy frameworks on asylum-seekers and refugees, including updated information on measures to prevent refoulement of asylum-seekers.</w:t>
      </w:r>
      <w:r w:rsidRPr="007C5415">
        <w:rPr>
          <w:rStyle w:val="FootnoteReference"/>
        </w:rPr>
        <w:footnoteReference w:id="16"/>
      </w:r>
      <w:r w:rsidRPr="007C5415">
        <w:t xml:space="preserve"> Additional information on the implementation of the Refugees Act of 2017 and its impact.</w:t>
      </w:r>
    </w:p>
    <w:p w14:paraId="7D99ACDD" w14:textId="77777777" w:rsidR="00487175" w:rsidRPr="007C5415" w:rsidRDefault="00487175" w:rsidP="00487175">
      <w:pPr>
        <w:pStyle w:val="SingleTxtG"/>
      </w:pPr>
      <w:r w:rsidRPr="007C5415">
        <w:t>15.</w:t>
      </w:r>
      <w:r w:rsidRPr="007C5415">
        <w:tab/>
        <w:t>Updated and detailed information on measures to prevent and protect individuals from statelessness, including information on the procedure for determining statelessness and on measures to address obstacles to birth registration, in the light of the National Plan of Action to End Statelessness for the period 2018–2024.</w:t>
      </w:r>
      <w:r w:rsidRPr="007C5415">
        <w:rPr>
          <w:rStyle w:val="FootnoteReference"/>
        </w:rPr>
        <w:footnoteReference w:id="17"/>
      </w:r>
      <w:r w:rsidRPr="007C5415">
        <w:t xml:space="preserve"> </w:t>
      </w:r>
    </w:p>
    <w:p w14:paraId="0B8999BE" w14:textId="7DD52CE4" w:rsidR="00487175" w:rsidRPr="007C5415" w:rsidRDefault="00487175" w:rsidP="00487175">
      <w:pPr>
        <w:pStyle w:val="SingleTxtG"/>
      </w:pPr>
      <w:r w:rsidRPr="007C5415">
        <w:t>16.</w:t>
      </w:r>
      <w:r w:rsidRPr="007C5415">
        <w:tab/>
        <w:t xml:space="preserve">Measures to ensure the access of non-citizens to education, employment, </w:t>
      </w:r>
      <w:proofErr w:type="gramStart"/>
      <w:r w:rsidRPr="007C5415">
        <w:t>housing</w:t>
      </w:r>
      <w:proofErr w:type="gramEnd"/>
      <w:r w:rsidRPr="007C5415">
        <w:t xml:space="preserve"> and health services, without discrimination. Information on measures to ensure that families will be able to obtain visas.</w:t>
      </w:r>
      <w:r w:rsidRPr="007C5415">
        <w:rPr>
          <w:rStyle w:val="FootnoteReference"/>
        </w:rPr>
        <w:footnoteReference w:id="18"/>
      </w:r>
    </w:p>
    <w:p w14:paraId="38DBC073" w14:textId="77777777" w:rsidR="00487175" w:rsidRPr="007C5415" w:rsidRDefault="00487175" w:rsidP="00487175">
      <w:pPr>
        <w:pStyle w:val="H23G"/>
      </w:pPr>
      <w:r w:rsidRPr="007C5415">
        <w:tab/>
      </w:r>
      <w:r w:rsidRPr="007C5415">
        <w:tab/>
        <w:t>Human rights education to combat prejudice and intolerance (art. 7)</w:t>
      </w:r>
    </w:p>
    <w:p w14:paraId="6172DEFB" w14:textId="37FE5326" w:rsidR="00487175" w:rsidRPr="007C5415" w:rsidRDefault="00487175" w:rsidP="00487175">
      <w:pPr>
        <w:pStyle w:val="SingleTxtG"/>
      </w:pPr>
      <w:r w:rsidRPr="007C5415">
        <w:t>17.</w:t>
      </w:r>
      <w:r w:rsidRPr="007C5415">
        <w:tab/>
        <w:t xml:space="preserve">Information on measures to promote human rights education, including on ways to combat racial discrimination in all school curricula, university programmes and teacher training programmes, and on measures to raise awareness among the </w:t>
      </w:r>
      <w:proofErr w:type="gramStart"/>
      <w:r w:rsidRPr="007C5415">
        <w:t>general public</w:t>
      </w:r>
      <w:proofErr w:type="gramEnd"/>
      <w:r w:rsidRPr="007C5415">
        <w:t xml:space="preserve">, civil servants, law enforcement officials and judicial authorities on the importance of cultural diversity, tolerance and inter-ethnic understanding. </w:t>
      </w:r>
    </w:p>
    <w:p w14:paraId="32C89B31" w14:textId="1078B60C" w:rsidR="00487175" w:rsidRPr="007C5415" w:rsidRDefault="00487175" w:rsidP="00487175">
      <w:pPr>
        <w:spacing w:before="240"/>
        <w:jc w:val="center"/>
        <w:rPr>
          <w:u w:val="single"/>
        </w:rPr>
      </w:pPr>
      <w:r w:rsidRPr="007C5415">
        <w:rPr>
          <w:u w:val="single"/>
        </w:rPr>
        <w:tab/>
      </w:r>
      <w:r w:rsidRPr="007C5415">
        <w:rPr>
          <w:u w:val="single"/>
        </w:rPr>
        <w:tab/>
      </w:r>
      <w:r w:rsidRPr="007C5415">
        <w:rPr>
          <w:u w:val="single"/>
        </w:rPr>
        <w:tab/>
      </w:r>
    </w:p>
    <w:sectPr w:rsidR="00487175" w:rsidRPr="007C541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598F5" w14:textId="77777777" w:rsidR="0002753B" w:rsidRPr="00A0297D" w:rsidRDefault="0002753B" w:rsidP="00A0297D">
      <w:pPr>
        <w:pStyle w:val="Footer"/>
      </w:pPr>
    </w:p>
  </w:endnote>
  <w:endnote w:type="continuationSeparator" w:id="0">
    <w:p w14:paraId="04D81962" w14:textId="77777777" w:rsidR="0002753B" w:rsidRPr="00A0297D" w:rsidRDefault="0002753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2B47" w14:textId="77777777" w:rsidR="00487175" w:rsidRDefault="00487175" w:rsidP="00487175">
    <w:pPr>
      <w:pStyle w:val="Footer"/>
      <w:tabs>
        <w:tab w:val="right" w:pos="9638"/>
      </w:tabs>
    </w:pPr>
    <w:r w:rsidRPr="00487175">
      <w:rPr>
        <w:b/>
        <w:bCs/>
        <w:sz w:val="18"/>
      </w:rPr>
      <w:fldChar w:fldCharType="begin"/>
    </w:r>
    <w:r w:rsidRPr="00487175">
      <w:rPr>
        <w:b/>
        <w:bCs/>
        <w:sz w:val="18"/>
      </w:rPr>
      <w:instrText xml:space="preserve"> PAGE  \* MERGEFORMAT </w:instrText>
    </w:r>
    <w:r w:rsidRPr="00487175">
      <w:rPr>
        <w:b/>
        <w:bCs/>
        <w:sz w:val="18"/>
      </w:rPr>
      <w:fldChar w:fldCharType="separate"/>
    </w:r>
    <w:r w:rsidRPr="00487175">
      <w:rPr>
        <w:b/>
        <w:bCs/>
        <w:noProof/>
        <w:sz w:val="18"/>
      </w:rPr>
      <w:t>2</w:t>
    </w:r>
    <w:r w:rsidRPr="00487175">
      <w:rPr>
        <w:b/>
        <w:bCs/>
        <w:sz w:val="18"/>
      </w:rPr>
      <w:fldChar w:fldCharType="end"/>
    </w:r>
    <w:r>
      <w:tab/>
      <w:t>GE.23-11308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FF283" w14:textId="77777777" w:rsidR="00487175" w:rsidRDefault="00487175" w:rsidP="00487175">
    <w:pPr>
      <w:pStyle w:val="Footer"/>
      <w:tabs>
        <w:tab w:val="right" w:pos="9638"/>
      </w:tabs>
    </w:pPr>
    <w:r>
      <w:t>GE.23-11308</w:t>
    </w:r>
    <w:r>
      <w:tab/>
    </w:r>
    <w:r w:rsidRPr="00487175">
      <w:rPr>
        <w:b/>
        <w:bCs/>
        <w:sz w:val="18"/>
      </w:rPr>
      <w:fldChar w:fldCharType="begin"/>
    </w:r>
    <w:r w:rsidRPr="00487175">
      <w:rPr>
        <w:b/>
        <w:bCs/>
        <w:sz w:val="18"/>
      </w:rPr>
      <w:instrText xml:space="preserve"> PAGE  \* MERGEFORMAT </w:instrText>
    </w:r>
    <w:r w:rsidRPr="00487175">
      <w:rPr>
        <w:b/>
        <w:bCs/>
        <w:sz w:val="18"/>
      </w:rPr>
      <w:fldChar w:fldCharType="separate"/>
    </w:r>
    <w:r w:rsidRPr="00487175">
      <w:rPr>
        <w:b/>
        <w:bCs/>
        <w:noProof/>
        <w:sz w:val="18"/>
      </w:rPr>
      <w:t>3</w:t>
    </w:r>
    <w:r w:rsidRPr="004871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1E8CA" w14:textId="77777777" w:rsidR="00487175" w:rsidRDefault="00487175">
    <w:pPr>
      <w:pStyle w:val="Footer"/>
      <w:rPr>
        <w:sz w:val="20"/>
      </w:rPr>
    </w:pPr>
    <w:r w:rsidRPr="0027112F">
      <w:rPr>
        <w:noProof/>
        <w:lang w:val="en-US"/>
      </w:rPr>
      <w:drawing>
        <wp:anchor distT="0" distB="0" distL="114300" distR="114300" simplePos="0" relativeHeight="251659264" behindDoc="0" locked="1" layoutInCell="1" allowOverlap="1" wp14:anchorId="0DA04CA6" wp14:editId="59A935C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1C8DE2" w14:textId="67A80298" w:rsidR="00487175" w:rsidRPr="00487175" w:rsidRDefault="00487175" w:rsidP="00487175">
    <w:pPr>
      <w:pStyle w:val="Footer"/>
      <w:tabs>
        <w:tab w:val="right" w:pos="7370"/>
      </w:tabs>
      <w:rPr>
        <w:sz w:val="20"/>
      </w:rPr>
    </w:pPr>
    <w:r>
      <w:rPr>
        <w:sz w:val="20"/>
      </w:rPr>
      <w:t>GE.23-</w:t>
    </w:r>
    <w:proofErr w:type="gramStart"/>
    <w:r>
      <w:rPr>
        <w:sz w:val="20"/>
      </w:rPr>
      <w:t>11308  (</w:t>
    </w:r>
    <w:proofErr w:type="gramEnd"/>
    <w:r>
      <w:rPr>
        <w:sz w:val="20"/>
      </w:rPr>
      <w:t>E)</w:t>
    </w:r>
    <w:r>
      <w:rPr>
        <w:noProof/>
        <w:sz w:val="20"/>
      </w:rPr>
      <w:drawing>
        <wp:anchor distT="0" distB="0" distL="114300" distR="114300" simplePos="0" relativeHeight="251660288" behindDoc="0" locked="0" layoutInCell="1" allowOverlap="1" wp14:anchorId="4B80D2FB" wp14:editId="282AD02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6B41">
      <w:rPr>
        <w:sz w:val="20"/>
      </w:rPr>
      <w:t xml:space="preserve">    230623    230623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FA137" w14:textId="77777777" w:rsidR="0002753B" w:rsidRPr="00A0297D" w:rsidRDefault="0002753B" w:rsidP="00A0297D">
      <w:pPr>
        <w:tabs>
          <w:tab w:val="right" w:pos="2155"/>
        </w:tabs>
        <w:spacing w:after="80" w:line="240" w:lineRule="auto"/>
        <w:ind w:left="680"/>
      </w:pPr>
      <w:r>
        <w:rPr>
          <w:u w:val="single"/>
        </w:rPr>
        <w:tab/>
      </w:r>
    </w:p>
  </w:footnote>
  <w:footnote w:type="continuationSeparator" w:id="0">
    <w:p w14:paraId="2B59B4D1" w14:textId="77777777" w:rsidR="0002753B" w:rsidRPr="00A0297D" w:rsidRDefault="0002753B" w:rsidP="00A0297D">
      <w:pPr>
        <w:tabs>
          <w:tab w:val="right" w:pos="2155"/>
        </w:tabs>
        <w:spacing w:after="80" w:line="240" w:lineRule="auto"/>
        <w:ind w:left="680"/>
      </w:pPr>
      <w:r>
        <w:rPr>
          <w:u w:val="single"/>
        </w:rPr>
        <w:tab/>
      </w:r>
    </w:p>
  </w:footnote>
  <w:footnote w:id="1">
    <w:p w14:paraId="0EE12FE8" w14:textId="1E6ED163" w:rsidR="00487175" w:rsidRPr="00EC4868" w:rsidRDefault="00487175" w:rsidP="00487175">
      <w:pPr>
        <w:pStyle w:val="FootnoteText"/>
        <w:rPr>
          <w:lang w:val="es-DO"/>
        </w:rPr>
      </w:pPr>
      <w:r>
        <w:rPr>
          <w:lang w:val="es-DO"/>
        </w:rPr>
        <w:tab/>
      </w:r>
      <w:r w:rsidRPr="00487175">
        <w:rPr>
          <w:rStyle w:val="FootnoteReference"/>
        </w:rPr>
        <w:footnoteRef/>
      </w:r>
      <w:r>
        <w:rPr>
          <w:lang w:val="es-DO"/>
        </w:rPr>
        <w:tab/>
      </w:r>
      <w:hyperlink r:id="rId1" w:history="1">
        <w:r w:rsidR="00466B41">
          <w:rPr>
            <w:rStyle w:val="Hyperlink"/>
            <w:lang w:val="es-DO"/>
          </w:rPr>
          <w:t>A/65/18</w:t>
        </w:r>
      </w:hyperlink>
      <w:r w:rsidRPr="00EC4868">
        <w:rPr>
          <w:lang w:val="es-DO"/>
        </w:rPr>
        <w:t>, para. 85.</w:t>
      </w:r>
    </w:p>
  </w:footnote>
  <w:footnote w:id="2">
    <w:p w14:paraId="6FF7A042" w14:textId="3D9FB262" w:rsidR="00487175" w:rsidRPr="00A3095E" w:rsidRDefault="00487175" w:rsidP="00487175">
      <w:pPr>
        <w:pStyle w:val="FootnoteText"/>
      </w:pPr>
      <w:r w:rsidRPr="00EC4868">
        <w:rPr>
          <w:lang w:val="es-DO"/>
        </w:rPr>
        <w:tab/>
      </w:r>
      <w:r w:rsidRPr="00487175">
        <w:rPr>
          <w:rStyle w:val="FootnoteReference"/>
        </w:rPr>
        <w:footnoteRef/>
      </w:r>
      <w:r w:rsidRPr="00466B41">
        <w:rPr>
          <w:lang w:val="en-US"/>
        </w:rPr>
        <w:tab/>
      </w:r>
      <w:hyperlink r:id="rId2" w:history="1">
        <w:r w:rsidR="00466B41">
          <w:rPr>
            <w:rStyle w:val="Hyperlink"/>
            <w:lang w:val="en-US"/>
          </w:rPr>
          <w:t>CERD/C/TKM/CO/8-11</w:t>
        </w:r>
      </w:hyperlink>
      <w:r w:rsidRPr="00466B41">
        <w:rPr>
          <w:lang w:val="en-US"/>
        </w:rPr>
        <w:t xml:space="preserve">, para. </w:t>
      </w:r>
      <w:r w:rsidRPr="00A3095E">
        <w:t xml:space="preserve">5; and </w:t>
      </w:r>
      <w:bookmarkStart w:id="0" w:name="_Hlk136418081"/>
      <w:r w:rsidR="00466B41">
        <w:fldChar w:fldCharType="begin"/>
      </w:r>
      <w:r w:rsidR="00466B41">
        <w:instrText xml:space="preserve"> HYPERLINK "http://undocs.org/en/CERD/C/TKM/12-13" </w:instrText>
      </w:r>
      <w:r w:rsidR="00466B41">
        <w:fldChar w:fldCharType="separate"/>
      </w:r>
      <w:r w:rsidR="00466B41">
        <w:rPr>
          <w:rStyle w:val="Hyperlink"/>
        </w:rPr>
        <w:t>CERD/C/TKM/12-13</w:t>
      </w:r>
      <w:r w:rsidR="00466B41">
        <w:fldChar w:fldCharType="end"/>
      </w:r>
      <w:r w:rsidRPr="00A3095E">
        <w:t>, paras. 11–22.</w:t>
      </w:r>
      <w:bookmarkEnd w:id="0"/>
    </w:p>
  </w:footnote>
  <w:footnote w:id="3">
    <w:p w14:paraId="09CC0109" w14:textId="3501E578" w:rsidR="00487175" w:rsidRPr="0073112C" w:rsidRDefault="00487175" w:rsidP="00487175">
      <w:pPr>
        <w:pStyle w:val="FootnoteText"/>
        <w:rPr>
          <w:lang w:val="en-US"/>
        </w:rPr>
      </w:pPr>
      <w:r>
        <w:tab/>
      </w:r>
      <w:r w:rsidRPr="00487175">
        <w:rPr>
          <w:rStyle w:val="FootnoteReference"/>
        </w:rPr>
        <w:footnoteRef/>
      </w:r>
      <w:r>
        <w:tab/>
      </w:r>
      <w:hyperlink r:id="rId3" w:history="1">
        <w:r w:rsidR="00466B41">
          <w:rPr>
            <w:rStyle w:val="Hyperlink"/>
          </w:rPr>
          <w:t>CERD/C/TKM/CO/8-11</w:t>
        </w:r>
      </w:hyperlink>
      <w:r w:rsidRPr="0073112C">
        <w:t xml:space="preserve">, para. </w:t>
      </w:r>
      <w:r>
        <w:t>7</w:t>
      </w:r>
      <w:r>
        <w:rPr>
          <w:lang w:val="en-US"/>
        </w:rPr>
        <w:t xml:space="preserve">; and </w:t>
      </w:r>
      <w:hyperlink r:id="rId4" w:history="1">
        <w:r w:rsidR="00466B41">
          <w:rPr>
            <w:rStyle w:val="Hyperlink"/>
            <w:lang w:val="en-US"/>
          </w:rPr>
          <w:t>CERD/C/TKM/12-13</w:t>
        </w:r>
      </w:hyperlink>
      <w:r w:rsidRPr="0073112C">
        <w:rPr>
          <w:lang w:val="en-US"/>
        </w:rPr>
        <w:t xml:space="preserve">, paras. </w:t>
      </w:r>
      <w:r>
        <w:rPr>
          <w:lang w:val="en-US"/>
        </w:rPr>
        <w:t>23–27</w:t>
      </w:r>
      <w:r w:rsidRPr="0073112C">
        <w:rPr>
          <w:lang w:val="en-US"/>
        </w:rPr>
        <w:t>.</w:t>
      </w:r>
    </w:p>
  </w:footnote>
  <w:footnote w:id="4">
    <w:p w14:paraId="72506FE3" w14:textId="75339887" w:rsidR="00487175" w:rsidRPr="00B31F42" w:rsidRDefault="00487175" w:rsidP="00487175">
      <w:pPr>
        <w:pStyle w:val="FootnoteText"/>
      </w:pPr>
      <w:r>
        <w:tab/>
      </w:r>
      <w:r w:rsidRPr="00487175">
        <w:rPr>
          <w:rStyle w:val="FootnoteReference"/>
        </w:rPr>
        <w:footnoteRef/>
      </w:r>
      <w:r>
        <w:tab/>
      </w:r>
      <w:hyperlink r:id="rId5" w:history="1">
        <w:r w:rsidR="00466B41">
          <w:rPr>
            <w:rStyle w:val="Hyperlink"/>
          </w:rPr>
          <w:t>CERD/C/TKM/CO/8-11</w:t>
        </w:r>
      </w:hyperlink>
      <w:r w:rsidRPr="009900DE">
        <w:t>, para. 15.</w:t>
      </w:r>
    </w:p>
  </w:footnote>
  <w:footnote w:id="5">
    <w:p w14:paraId="12E14B75" w14:textId="11C573B5" w:rsidR="00487175" w:rsidRPr="00A32A46" w:rsidRDefault="00487175" w:rsidP="00487175">
      <w:pPr>
        <w:pStyle w:val="FootnoteText"/>
        <w:rPr>
          <w:lang w:val="en-US"/>
        </w:rPr>
      </w:pPr>
      <w:r>
        <w:tab/>
      </w:r>
      <w:r w:rsidRPr="00487175">
        <w:rPr>
          <w:rStyle w:val="FootnoteReference"/>
        </w:rPr>
        <w:footnoteRef/>
      </w:r>
      <w:r>
        <w:tab/>
      </w:r>
      <w:hyperlink r:id="rId6" w:history="1">
        <w:r w:rsidR="00466B41">
          <w:rPr>
            <w:rStyle w:val="Hyperlink"/>
          </w:rPr>
          <w:t>CERD/C/TKM/CO/8-11</w:t>
        </w:r>
      </w:hyperlink>
      <w:r w:rsidRPr="00A32A46">
        <w:t xml:space="preserve">, para. </w:t>
      </w:r>
      <w:r>
        <w:t>25</w:t>
      </w:r>
      <w:r w:rsidRPr="00A32A46">
        <w:t xml:space="preserve">; and </w:t>
      </w:r>
      <w:hyperlink r:id="rId7" w:history="1">
        <w:r w:rsidR="00466B41">
          <w:rPr>
            <w:rStyle w:val="Hyperlink"/>
          </w:rPr>
          <w:t>CERD/C/TKM/12-13</w:t>
        </w:r>
      </w:hyperlink>
      <w:r w:rsidRPr="00A32A46">
        <w:t>, para</w:t>
      </w:r>
      <w:r>
        <w:t>s</w:t>
      </w:r>
      <w:r w:rsidRPr="00A32A46">
        <w:t xml:space="preserve">. </w:t>
      </w:r>
      <w:r>
        <w:t>163 and 176–194.</w:t>
      </w:r>
    </w:p>
  </w:footnote>
  <w:footnote w:id="6">
    <w:p w14:paraId="681881DF" w14:textId="1E263472" w:rsidR="00487175" w:rsidRPr="004F2397" w:rsidRDefault="00487175" w:rsidP="00487175">
      <w:pPr>
        <w:pStyle w:val="FootnoteText"/>
        <w:rPr>
          <w:lang w:val="en-US"/>
        </w:rPr>
      </w:pPr>
      <w:r>
        <w:tab/>
      </w:r>
      <w:r w:rsidRPr="00487175">
        <w:rPr>
          <w:rStyle w:val="FootnoteReference"/>
        </w:rPr>
        <w:footnoteRef/>
      </w:r>
      <w:r>
        <w:tab/>
      </w:r>
      <w:hyperlink r:id="rId8" w:history="1">
        <w:r w:rsidR="00466B41">
          <w:rPr>
            <w:rStyle w:val="Hyperlink"/>
          </w:rPr>
          <w:t>CERD/C/TKM/CO/8-11</w:t>
        </w:r>
      </w:hyperlink>
      <w:r w:rsidRPr="004F2397">
        <w:t xml:space="preserve">, para. </w:t>
      </w:r>
      <w:r>
        <w:t>21</w:t>
      </w:r>
      <w:r w:rsidRPr="004F2397">
        <w:t xml:space="preserve">; and </w:t>
      </w:r>
      <w:hyperlink r:id="rId9" w:history="1">
        <w:r w:rsidR="00466B41">
          <w:rPr>
            <w:rStyle w:val="Hyperlink"/>
          </w:rPr>
          <w:t>CERD/C/TKM/12-13</w:t>
        </w:r>
      </w:hyperlink>
      <w:r w:rsidRPr="004F2397">
        <w:t xml:space="preserve">, paras. </w:t>
      </w:r>
      <w:r>
        <w:t>164–167</w:t>
      </w:r>
      <w:r w:rsidRPr="004F2397">
        <w:t>.</w:t>
      </w:r>
    </w:p>
  </w:footnote>
  <w:footnote w:id="7">
    <w:p w14:paraId="0F3B34F6" w14:textId="48DEED16" w:rsidR="00487175" w:rsidRPr="00FB3F53" w:rsidRDefault="00487175" w:rsidP="00487175">
      <w:pPr>
        <w:pStyle w:val="FootnoteText"/>
        <w:rPr>
          <w:lang w:val="en-US"/>
        </w:rPr>
      </w:pPr>
      <w:r>
        <w:tab/>
      </w:r>
      <w:r w:rsidRPr="00487175">
        <w:rPr>
          <w:rStyle w:val="FootnoteReference"/>
        </w:rPr>
        <w:footnoteRef/>
      </w:r>
      <w:bookmarkStart w:id="1" w:name="_Hlk136421798"/>
      <w:r>
        <w:tab/>
      </w:r>
      <w:hyperlink r:id="rId10" w:history="1">
        <w:r w:rsidR="00466B41">
          <w:rPr>
            <w:rStyle w:val="Hyperlink"/>
          </w:rPr>
          <w:t>CERD/C/TKM/CO/8-11</w:t>
        </w:r>
      </w:hyperlink>
      <w:r w:rsidRPr="00FB3F53">
        <w:t>, para. 21</w:t>
      </w:r>
      <w:bookmarkEnd w:id="1"/>
      <w:r w:rsidRPr="00FB3F53">
        <w:t xml:space="preserve">; and </w:t>
      </w:r>
      <w:hyperlink r:id="rId11" w:history="1">
        <w:r w:rsidR="00466B41">
          <w:rPr>
            <w:rStyle w:val="Hyperlink"/>
          </w:rPr>
          <w:t>CERD/C/TKM/12-13</w:t>
        </w:r>
      </w:hyperlink>
      <w:r w:rsidRPr="00FB3F53">
        <w:t>, paras. 16</w:t>
      </w:r>
      <w:r>
        <w:t>3</w:t>
      </w:r>
      <w:r w:rsidRPr="00FB3F53">
        <w:t>–16</w:t>
      </w:r>
      <w:r>
        <w:t>8.</w:t>
      </w:r>
    </w:p>
  </w:footnote>
  <w:footnote w:id="8">
    <w:p w14:paraId="6D6B78E3" w14:textId="089F1294" w:rsidR="00487175" w:rsidRPr="000836F5" w:rsidRDefault="00487175" w:rsidP="00487175">
      <w:pPr>
        <w:pStyle w:val="FootnoteText"/>
      </w:pPr>
      <w:r>
        <w:tab/>
      </w:r>
      <w:r w:rsidRPr="00487175">
        <w:rPr>
          <w:rStyle w:val="FootnoteReference"/>
        </w:rPr>
        <w:footnoteRef/>
      </w:r>
      <w:r>
        <w:tab/>
      </w:r>
      <w:hyperlink r:id="rId12" w:history="1">
        <w:r w:rsidR="00466B41">
          <w:rPr>
            <w:rStyle w:val="Hyperlink"/>
          </w:rPr>
          <w:t>CERD/C/TKM/CO/8-11</w:t>
        </w:r>
      </w:hyperlink>
      <w:r w:rsidRPr="000836F5">
        <w:t>, para. 2</w:t>
      </w:r>
      <w:r>
        <w:t>3</w:t>
      </w:r>
      <w:r w:rsidRPr="000836F5">
        <w:t>; a</w:t>
      </w:r>
      <w:r w:rsidRPr="008459EC">
        <w:t xml:space="preserve">nd </w:t>
      </w:r>
      <w:hyperlink r:id="rId13" w:history="1">
        <w:r w:rsidR="00466B41">
          <w:rPr>
            <w:rStyle w:val="Hyperlink"/>
          </w:rPr>
          <w:t>CERD/C/TKM/12-13</w:t>
        </w:r>
      </w:hyperlink>
      <w:r w:rsidRPr="008459EC">
        <w:t>, paras. 169–175.</w:t>
      </w:r>
    </w:p>
  </w:footnote>
  <w:footnote w:id="9">
    <w:p w14:paraId="4F098D28" w14:textId="0155B227" w:rsidR="00487175" w:rsidRPr="0044225A" w:rsidRDefault="00487175" w:rsidP="00487175">
      <w:pPr>
        <w:pStyle w:val="FootnoteText"/>
        <w:rPr>
          <w:lang w:val="en-US"/>
        </w:rPr>
      </w:pPr>
      <w:r>
        <w:tab/>
      </w:r>
      <w:r w:rsidRPr="00487175">
        <w:rPr>
          <w:rStyle w:val="FootnoteReference"/>
        </w:rPr>
        <w:footnoteRef/>
      </w:r>
      <w:r>
        <w:tab/>
      </w:r>
      <w:hyperlink r:id="rId14" w:history="1">
        <w:r w:rsidR="00466B41">
          <w:rPr>
            <w:rStyle w:val="Hyperlink"/>
          </w:rPr>
          <w:t>CERD/C/TKM/CO/8-11</w:t>
        </w:r>
      </w:hyperlink>
      <w:r w:rsidRPr="00C66252">
        <w:t xml:space="preserve">, para. </w:t>
      </w:r>
      <w:r>
        <w:t>11</w:t>
      </w:r>
      <w:r w:rsidRPr="00C66252">
        <w:t xml:space="preserve">; and </w:t>
      </w:r>
      <w:hyperlink r:id="rId15" w:history="1">
        <w:r w:rsidR="00466B41">
          <w:rPr>
            <w:rStyle w:val="Hyperlink"/>
          </w:rPr>
          <w:t>CERD/C/TKM/12-13</w:t>
        </w:r>
      </w:hyperlink>
      <w:r w:rsidRPr="0044225A">
        <w:t xml:space="preserve">, paras. 33–68. </w:t>
      </w:r>
    </w:p>
  </w:footnote>
  <w:footnote w:id="10">
    <w:p w14:paraId="3C791890" w14:textId="55A8D05F" w:rsidR="00487175" w:rsidRPr="00AF62B5" w:rsidRDefault="00487175" w:rsidP="00487175">
      <w:pPr>
        <w:pStyle w:val="FootnoteText"/>
        <w:rPr>
          <w:lang w:val="en-US"/>
        </w:rPr>
      </w:pPr>
      <w:r w:rsidRPr="0044225A">
        <w:tab/>
      </w:r>
      <w:r w:rsidRPr="00487175">
        <w:rPr>
          <w:rStyle w:val="FootnoteReference"/>
        </w:rPr>
        <w:footnoteRef/>
      </w:r>
      <w:r w:rsidRPr="0044225A">
        <w:tab/>
      </w:r>
      <w:hyperlink r:id="rId16" w:history="1">
        <w:r w:rsidR="00466B41">
          <w:rPr>
            <w:rStyle w:val="Hyperlink"/>
          </w:rPr>
          <w:t>CERD/C/TKM/CO/8-11</w:t>
        </w:r>
      </w:hyperlink>
      <w:r w:rsidRPr="0044225A">
        <w:t xml:space="preserve">, para. 9; and </w:t>
      </w:r>
      <w:hyperlink r:id="rId17" w:history="1">
        <w:r w:rsidR="00466B41">
          <w:rPr>
            <w:rStyle w:val="Hyperlink"/>
          </w:rPr>
          <w:t>CERD/C/TKM/12-13</w:t>
        </w:r>
      </w:hyperlink>
      <w:r w:rsidRPr="0044225A">
        <w:t>, paras. 28–32.</w:t>
      </w:r>
    </w:p>
  </w:footnote>
  <w:footnote w:id="11">
    <w:p w14:paraId="0CB02EC6" w14:textId="4285640A" w:rsidR="00487175" w:rsidRPr="005A2672" w:rsidRDefault="00487175" w:rsidP="00487175">
      <w:pPr>
        <w:pStyle w:val="FootnoteText"/>
        <w:rPr>
          <w:lang w:val="en-US"/>
        </w:rPr>
      </w:pPr>
      <w:r>
        <w:tab/>
      </w:r>
      <w:r w:rsidRPr="00487175">
        <w:rPr>
          <w:rStyle w:val="FootnoteReference"/>
        </w:rPr>
        <w:footnoteRef/>
      </w:r>
      <w:r>
        <w:tab/>
      </w:r>
      <w:hyperlink r:id="rId18" w:history="1">
        <w:r w:rsidR="00466B41">
          <w:rPr>
            <w:rStyle w:val="Hyperlink"/>
          </w:rPr>
          <w:t>CERD/C/TKM/CO/8-11</w:t>
        </w:r>
      </w:hyperlink>
      <w:r w:rsidRPr="005A2672">
        <w:t>, para. 9</w:t>
      </w:r>
      <w:r>
        <w:t xml:space="preserve">. </w:t>
      </w:r>
    </w:p>
  </w:footnote>
  <w:footnote w:id="12">
    <w:p w14:paraId="5DFF08F7" w14:textId="46ECB392" w:rsidR="00487175" w:rsidRPr="00F70589" w:rsidRDefault="00487175" w:rsidP="00487175">
      <w:pPr>
        <w:pStyle w:val="FootnoteText"/>
        <w:rPr>
          <w:lang w:val="en-US"/>
        </w:rPr>
      </w:pPr>
      <w:r>
        <w:tab/>
      </w:r>
      <w:r w:rsidRPr="00487175">
        <w:rPr>
          <w:rStyle w:val="FootnoteReference"/>
        </w:rPr>
        <w:footnoteRef/>
      </w:r>
      <w:r>
        <w:tab/>
        <w:t>Ibid.</w:t>
      </w:r>
      <w:r w:rsidRPr="00F70589">
        <w:t>, para. 2</w:t>
      </w:r>
      <w:r>
        <w:t>9</w:t>
      </w:r>
      <w:r w:rsidRPr="00F70589">
        <w:t xml:space="preserve">; and </w:t>
      </w:r>
      <w:hyperlink r:id="rId19" w:history="1">
        <w:r w:rsidR="00466B41">
          <w:rPr>
            <w:rStyle w:val="Hyperlink"/>
          </w:rPr>
          <w:t>CERD/C/TKM/12-13</w:t>
        </w:r>
      </w:hyperlink>
      <w:r w:rsidRPr="00F70589">
        <w:t>, para. 1</w:t>
      </w:r>
      <w:r>
        <w:t>99</w:t>
      </w:r>
      <w:r w:rsidRPr="00F70589">
        <w:t>.</w:t>
      </w:r>
    </w:p>
  </w:footnote>
  <w:footnote w:id="13">
    <w:p w14:paraId="1C07DDEC" w14:textId="51F5B595" w:rsidR="00487175" w:rsidRPr="00BC7378" w:rsidRDefault="00487175" w:rsidP="00487175">
      <w:pPr>
        <w:pStyle w:val="FootnoteText"/>
        <w:rPr>
          <w:lang w:val="en-US"/>
        </w:rPr>
      </w:pPr>
      <w:r>
        <w:tab/>
      </w:r>
      <w:r w:rsidRPr="00487175">
        <w:rPr>
          <w:rStyle w:val="FootnoteReference"/>
        </w:rPr>
        <w:footnoteRef/>
      </w:r>
      <w:r>
        <w:tab/>
      </w:r>
      <w:hyperlink r:id="rId20" w:history="1">
        <w:r w:rsidR="00466B41">
          <w:rPr>
            <w:rStyle w:val="Hyperlink"/>
          </w:rPr>
          <w:t>CERD/C/TKM/CO/8-11</w:t>
        </w:r>
      </w:hyperlink>
      <w:r w:rsidRPr="00BC7378">
        <w:t xml:space="preserve">, para. </w:t>
      </w:r>
      <w:r>
        <w:t>15</w:t>
      </w:r>
      <w:r w:rsidRPr="00BC7378">
        <w:t xml:space="preserve">; and </w:t>
      </w:r>
      <w:hyperlink r:id="rId21" w:history="1">
        <w:r w:rsidR="00466B41">
          <w:rPr>
            <w:rStyle w:val="Hyperlink"/>
          </w:rPr>
          <w:t>CERD/C/TKM/12-13</w:t>
        </w:r>
      </w:hyperlink>
      <w:r w:rsidRPr="00BC7378">
        <w:t xml:space="preserve">, paras. </w:t>
      </w:r>
      <w:r>
        <w:t>104</w:t>
      </w:r>
      <w:r w:rsidRPr="00BC7378">
        <w:t>–</w:t>
      </w:r>
      <w:r>
        <w:t>112.</w:t>
      </w:r>
    </w:p>
  </w:footnote>
  <w:footnote w:id="14">
    <w:p w14:paraId="74D979AD" w14:textId="7EEE2C79" w:rsidR="00487175" w:rsidRPr="00AA07CB" w:rsidRDefault="00487175" w:rsidP="00487175">
      <w:pPr>
        <w:pStyle w:val="FootnoteText"/>
        <w:rPr>
          <w:lang w:val="en-US"/>
        </w:rPr>
      </w:pPr>
      <w:r>
        <w:tab/>
      </w:r>
      <w:r w:rsidRPr="00487175">
        <w:rPr>
          <w:rStyle w:val="FootnoteReference"/>
        </w:rPr>
        <w:footnoteRef/>
      </w:r>
      <w:r>
        <w:tab/>
      </w:r>
      <w:hyperlink r:id="rId22" w:history="1">
        <w:r w:rsidR="00466B41" w:rsidRPr="00466B41">
          <w:rPr>
            <w:rStyle w:val="Hyperlink"/>
          </w:rPr>
          <w:t>CERD/C/TKM/CO/8-11</w:t>
        </w:r>
      </w:hyperlink>
      <w:r w:rsidRPr="00BC7378">
        <w:t xml:space="preserve">, para. 15; and </w:t>
      </w:r>
      <w:hyperlink r:id="rId23" w:history="1">
        <w:r w:rsidR="00466B41">
          <w:rPr>
            <w:rStyle w:val="Hyperlink"/>
          </w:rPr>
          <w:t>CERD/C/TKM/12-13</w:t>
        </w:r>
      </w:hyperlink>
      <w:r w:rsidRPr="00AA07CB">
        <w:t>, paras. 113–13</w:t>
      </w:r>
      <w:r>
        <w:t>3</w:t>
      </w:r>
      <w:r w:rsidRPr="00AA07CB">
        <w:t xml:space="preserve"> and 145–151.</w:t>
      </w:r>
    </w:p>
  </w:footnote>
  <w:footnote w:id="15">
    <w:p w14:paraId="561DE4F9" w14:textId="6517E679" w:rsidR="00487175" w:rsidRPr="00F77E28" w:rsidRDefault="00487175" w:rsidP="00487175">
      <w:pPr>
        <w:pStyle w:val="FootnoteText"/>
        <w:rPr>
          <w:lang w:val="en-US"/>
        </w:rPr>
      </w:pPr>
      <w:r w:rsidRPr="00AA07CB">
        <w:tab/>
      </w:r>
      <w:r w:rsidRPr="00487175">
        <w:rPr>
          <w:rStyle w:val="FootnoteReference"/>
        </w:rPr>
        <w:footnoteRef/>
      </w:r>
      <w:r w:rsidRPr="00AA07CB">
        <w:tab/>
      </w:r>
      <w:hyperlink r:id="rId24" w:history="1">
        <w:r w:rsidR="00466B41">
          <w:rPr>
            <w:rStyle w:val="Hyperlink"/>
          </w:rPr>
          <w:t>CERD/C/TKM/CO/8-11</w:t>
        </w:r>
      </w:hyperlink>
      <w:r w:rsidRPr="00AA07CB">
        <w:t xml:space="preserve">, para. 13; and </w:t>
      </w:r>
      <w:hyperlink r:id="rId25" w:history="1">
        <w:r w:rsidR="00466B41">
          <w:rPr>
            <w:rStyle w:val="Hyperlink"/>
          </w:rPr>
          <w:t>CERD/C/TKM/12-13</w:t>
        </w:r>
      </w:hyperlink>
      <w:r w:rsidRPr="00AA07CB">
        <w:t>, paras. 69–103.</w:t>
      </w:r>
    </w:p>
  </w:footnote>
  <w:footnote w:id="16">
    <w:p w14:paraId="53E5F980" w14:textId="6AA07F0B" w:rsidR="00487175" w:rsidRPr="00A40125" w:rsidRDefault="00487175" w:rsidP="00487175">
      <w:pPr>
        <w:pStyle w:val="FootnoteText"/>
        <w:rPr>
          <w:lang w:val="en-US"/>
        </w:rPr>
      </w:pPr>
      <w:r>
        <w:tab/>
      </w:r>
      <w:r w:rsidRPr="00487175">
        <w:rPr>
          <w:rStyle w:val="FootnoteReference"/>
        </w:rPr>
        <w:footnoteRef/>
      </w:r>
      <w:r>
        <w:tab/>
      </w:r>
      <w:hyperlink r:id="rId26" w:history="1">
        <w:r w:rsidR="00466B41">
          <w:rPr>
            <w:rStyle w:val="Hyperlink"/>
          </w:rPr>
          <w:t>CERD/C/TKM/CO/8-11</w:t>
        </w:r>
      </w:hyperlink>
      <w:r w:rsidRPr="00A40125">
        <w:t xml:space="preserve">, para. 17; and </w:t>
      </w:r>
      <w:hyperlink r:id="rId27" w:history="1">
        <w:r w:rsidR="00466B41">
          <w:rPr>
            <w:rStyle w:val="Hyperlink"/>
          </w:rPr>
          <w:t>CERD/C/TKM/12-13</w:t>
        </w:r>
      </w:hyperlink>
      <w:r w:rsidRPr="00A40125">
        <w:t>, paras. 1</w:t>
      </w:r>
      <w:r>
        <w:t>52</w:t>
      </w:r>
      <w:r w:rsidRPr="00A40125">
        <w:t>–15</w:t>
      </w:r>
      <w:r>
        <w:t>3 and 148</w:t>
      </w:r>
      <w:r>
        <w:sym w:font="Symbol" w:char="F02D"/>
      </w:r>
      <w:r>
        <w:t>151.</w:t>
      </w:r>
    </w:p>
  </w:footnote>
  <w:footnote w:id="17">
    <w:p w14:paraId="38A1838F" w14:textId="12B0BE92" w:rsidR="00487175" w:rsidRPr="00721100" w:rsidRDefault="00487175" w:rsidP="00487175">
      <w:pPr>
        <w:pStyle w:val="FootnoteText"/>
        <w:rPr>
          <w:lang w:val="en-US"/>
        </w:rPr>
      </w:pPr>
      <w:r>
        <w:tab/>
      </w:r>
      <w:r w:rsidRPr="00487175">
        <w:rPr>
          <w:rStyle w:val="FootnoteReference"/>
        </w:rPr>
        <w:footnoteRef/>
      </w:r>
      <w:r>
        <w:tab/>
      </w:r>
      <w:hyperlink r:id="rId28" w:history="1">
        <w:r w:rsidR="00466B41">
          <w:rPr>
            <w:rStyle w:val="Hyperlink"/>
          </w:rPr>
          <w:t>CERD/C/TKM/CO/8-11</w:t>
        </w:r>
      </w:hyperlink>
      <w:r w:rsidRPr="00721100">
        <w:t>, para. 1</w:t>
      </w:r>
      <w:r>
        <w:t>9</w:t>
      </w:r>
      <w:r w:rsidRPr="00721100">
        <w:t xml:space="preserve">; and </w:t>
      </w:r>
      <w:hyperlink r:id="rId29" w:history="1">
        <w:r w:rsidR="00466B41">
          <w:rPr>
            <w:rStyle w:val="Hyperlink"/>
          </w:rPr>
          <w:t>CERD/C/TKM/12-13</w:t>
        </w:r>
      </w:hyperlink>
      <w:r w:rsidRPr="00721100">
        <w:t>, paras. 15</w:t>
      </w:r>
      <w:r>
        <w:t>4</w:t>
      </w:r>
      <w:r w:rsidRPr="00721100">
        <w:t>–1</w:t>
      </w:r>
      <w:r>
        <w:t xml:space="preserve">62. </w:t>
      </w:r>
    </w:p>
  </w:footnote>
  <w:footnote w:id="18">
    <w:p w14:paraId="2740D98C" w14:textId="3ED8FAD2" w:rsidR="00487175" w:rsidRPr="00F12049" w:rsidRDefault="00487175" w:rsidP="00487175">
      <w:pPr>
        <w:pStyle w:val="FootnoteText"/>
        <w:rPr>
          <w:lang w:val="en-US"/>
        </w:rPr>
      </w:pPr>
      <w:r>
        <w:tab/>
      </w:r>
      <w:r w:rsidRPr="00487175">
        <w:rPr>
          <w:rStyle w:val="FootnoteReference"/>
        </w:rPr>
        <w:footnoteRef/>
      </w:r>
      <w:r>
        <w:tab/>
      </w:r>
      <w:hyperlink r:id="rId30" w:history="1">
        <w:r w:rsidR="00466B41">
          <w:rPr>
            <w:rStyle w:val="Hyperlink"/>
          </w:rPr>
          <w:t>CERD/C/TKM/CO/8-11</w:t>
        </w:r>
      </w:hyperlink>
      <w:r w:rsidRPr="00F12049">
        <w:t>, para. 1</w:t>
      </w:r>
      <w:r>
        <w:t>7</w:t>
      </w:r>
      <w:r w:rsidRPr="00F12049">
        <w:t xml:space="preserve">; and </w:t>
      </w:r>
      <w:hyperlink r:id="rId31" w:history="1">
        <w:r w:rsidR="00466B41">
          <w:rPr>
            <w:rStyle w:val="Hyperlink"/>
          </w:rPr>
          <w:t>CERD/C/TKM/12-13</w:t>
        </w:r>
      </w:hyperlink>
      <w:r w:rsidRPr="00F12049">
        <w:t xml:space="preserve">, paras. </w:t>
      </w:r>
      <w:r>
        <w:t>139</w:t>
      </w:r>
      <w:r w:rsidRPr="00F12049">
        <w:t>–1</w:t>
      </w:r>
      <w:r>
        <w:t>51</w:t>
      </w:r>
      <w:r w:rsidRPr="00F120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263B6" w14:textId="77777777" w:rsidR="00487175" w:rsidRDefault="00487175" w:rsidP="00487175">
    <w:pPr>
      <w:pStyle w:val="Header"/>
    </w:pPr>
    <w:r>
      <w:t>CERD/C/TKM/Q/12-13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39E4" w14:textId="77777777" w:rsidR="00487175" w:rsidRDefault="00487175" w:rsidP="00487175">
    <w:pPr>
      <w:pStyle w:val="Header"/>
      <w:jc w:val="right"/>
    </w:pPr>
    <w:r>
      <w:t>CERD/C/TKM/Q/12-13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2985914">
    <w:abstractNumId w:val="3"/>
  </w:num>
  <w:num w:numId="2" w16cid:durableId="9720858">
    <w:abstractNumId w:val="2"/>
  </w:num>
  <w:num w:numId="3" w16cid:durableId="1664358932">
    <w:abstractNumId w:val="0"/>
  </w:num>
  <w:num w:numId="4" w16cid:durableId="1089814393">
    <w:abstractNumId w:val="4"/>
  </w:num>
  <w:num w:numId="5" w16cid:durableId="910042831">
    <w:abstractNumId w:val="5"/>
  </w:num>
  <w:num w:numId="6" w16cid:durableId="377240891">
    <w:abstractNumId w:val="6"/>
  </w:num>
  <w:num w:numId="7" w16cid:durableId="824006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s-DO"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53B"/>
    <w:rsid w:val="00021C97"/>
    <w:rsid w:val="0002753B"/>
    <w:rsid w:val="00046E92"/>
    <w:rsid w:val="001C3218"/>
    <w:rsid w:val="00247E2C"/>
    <w:rsid w:val="002D6C53"/>
    <w:rsid w:val="002F5595"/>
    <w:rsid w:val="00307688"/>
    <w:rsid w:val="00334F6A"/>
    <w:rsid w:val="00342AC8"/>
    <w:rsid w:val="003B4550"/>
    <w:rsid w:val="00461253"/>
    <w:rsid w:val="00466B41"/>
    <w:rsid w:val="00487175"/>
    <w:rsid w:val="005042C2"/>
    <w:rsid w:val="00557F19"/>
    <w:rsid w:val="00671529"/>
    <w:rsid w:val="007233F9"/>
    <w:rsid w:val="007268F9"/>
    <w:rsid w:val="00735147"/>
    <w:rsid w:val="007C52B0"/>
    <w:rsid w:val="007C5415"/>
    <w:rsid w:val="00883988"/>
    <w:rsid w:val="008E0F96"/>
    <w:rsid w:val="009411B4"/>
    <w:rsid w:val="009B15D2"/>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11680"/>
  <w15:docId w15:val="{D3737F14-2521-4C98-AAC4-B9C9A954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466B41"/>
    <w:rPr>
      <w:color w:val="0000FF" w:themeColor="hyperlink"/>
    </w:rPr>
  </w:style>
  <w:style w:type="character" w:styleId="UnresolvedMention">
    <w:name w:val="Unresolved Mention"/>
    <w:basedOn w:val="DefaultParagraphFont"/>
    <w:uiPriority w:val="99"/>
    <w:semiHidden/>
    <w:unhideWhenUsed/>
    <w:rsid w:val="00466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TKM/CO/8-11" TargetMode="External"/><Relationship Id="rId13" Type="http://schemas.openxmlformats.org/officeDocument/2006/relationships/hyperlink" Target="http://undocs.org/en/CERD/C/TKM/12-13" TargetMode="External"/><Relationship Id="rId18" Type="http://schemas.openxmlformats.org/officeDocument/2006/relationships/hyperlink" Target="http://undocs.org/en/CERD/C/TKM/CO/8-11" TargetMode="External"/><Relationship Id="rId26" Type="http://schemas.openxmlformats.org/officeDocument/2006/relationships/hyperlink" Target="http://undocs.org/en/CERD/C/TKM/CO/8-11" TargetMode="External"/><Relationship Id="rId3" Type="http://schemas.openxmlformats.org/officeDocument/2006/relationships/hyperlink" Target="http://undocs.org/en/CERD/C/TKM/CO/8-11" TargetMode="External"/><Relationship Id="rId21" Type="http://schemas.openxmlformats.org/officeDocument/2006/relationships/hyperlink" Target="http://undocs.org/en/CERD/C/TKM/12-13" TargetMode="External"/><Relationship Id="rId7" Type="http://schemas.openxmlformats.org/officeDocument/2006/relationships/hyperlink" Target="http://undocs.org/en/CERD/C/TKM/12-13" TargetMode="External"/><Relationship Id="rId12" Type="http://schemas.openxmlformats.org/officeDocument/2006/relationships/hyperlink" Target="http://undocs.org/en/CERD/C/TKM/CO/8-11" TargetMode="External"/><Relationship Id="rId17" Type="http://schemas.openxmlformats.org/officeDocument/2006/relationships/hyperlink" Target="http://undocs.org/en/CERD/C/TKM/12-13" TargetMode="External"/><Relationship Id="rId25" Type="http://schemas.openxmlformats.org/officeDocument/2006/relationships/hyperlink" Target="http://undocs.org/en/CERD/C/TKM/12-13" TargetMode="External"/><Relationship Id="rId2" Type="http://schemas.openxmlformats.org/officeDocument/2006/relationships/hyperlink" Target="http://undocs.org/en/CERD/C/TKM/CO/8-11" TargetMode="External"/><Relationship Id="rId16" Type="http://schemas.openxmlformats.org/officeDocument/2006/relationships/hyperlink" Target="http://undocs.org/en/CERD/C/TKM/CO/8-11" TargetMode="External"/><Relationship Id="rId20" Type="http://schemas.openxmlformats.org/officeDocument/2006/relationships/hyperlink" Target="http://undocs.org/en/CERD/C/TKM/CO/8-11" TargetMode="External"/><Relationship Id="rId29" Type="http://schemas.openxmlformats.org/officeDocument/2006/relationships/hyperlink" Target="http://undocs.org/en/CERD/C/TKM/12-13" TargetMode="External"/><Relationship Id="rId1" Type="http://schemas.openxmlformats.org/officeDocument/2006/relationships/hyperlink" Target="http://undocs.org/en/A/65/18" TargetMode="External"/><Relationship Id="rId6" Type="http://schemas.openxmlformats.org/officeDocument/2006/relationships/hyperlink" Target="http://undocs.org/en/CERD/C/TKM/CO/8-11" TargetMode="External"/><Relationship Id="rId11" Type="http://schemas.openxmlformats.org/officeDocument/2006/relationships/hyperlink" Target="http://undocs.org/en/CERD/C/TKM/12-13" TargetMode="External"/><Relationship Id="rId24" Type="http://schemas.openxmlformats.org/officeDocument/2006/relationships/hyperlink" Target="http://undocs.org/en/CERD/C/TKM/CO/8-11" TargetMode="External"/><Relationship Id="rId5" Type="http://schemas.openxmlformats.org/officeDocument/2006/relationships/hyperlink" Target="http://undocs.org/en/CERD/C/TKM/CO/8-11" TargetMode="External"/><Relationship Id="rId15" Type="http://schemas.openxmlformats.org/officeDocument/2006/relationships/hyperlink" Target="http://undocs.org/en/CERD/C/TKM/12-13" TargetMode="External"/><Relationship Id="rId23" Type="http://schemas.openxmlformats.org/officeDocument/2006/relationships/hyperlink" Target="http://undocs.org/en/CERD/C/TKM/12-13" TargetMode="External"/><Relationship Id="rId28" Type="http://schemas.openxmlformats.org/officeDocument/2006/relationships/hyperlink" Target="http://undocs.org/en/CERD/C/TKM/CO/8-11" TargetMode="External"/><Relationship Id="rId10" Type="http://schemas.openxmlformats.org/officeDocument/2006/relationships/hyperlink" Target="http://undocs.org/en/CERD/C/TKM/CO/8-11" TargetMode="External"/><Relationship Id="rId19" Type="http://schemas.openxmlformats.org/officeDocument/2006/relationships/hyperlink" Target="http://undocs.org/en/CERD/C/TKM/12-13" TargetMode="External"/><Relationship Id="rId31" Type="http://schemas.openxmlformats.org/officeDocument/2006/relationships/hyperlink" Target="http://undocs.org/en/CERD/C/TKM/12-13" TargetMode="External"/><Relationship Id="rId4" Type="http://schemas.openxmlformats.org/officeDocument/2006/relationships/hyperlink" Target="http://undocs.org/en/CERD/C/TKM/12-13" TargetMode="External"/><Relationship Id="rId9" Type="http://schemas.openxmlformats.org/officeDocument/2006/relationships/hyperlink" Target="http://undocs.org/en/CERD/C/TKM/12-13" TargetMode="External"/><Relationship Id="rId14" Type="http://schemas.openxmlformats.org/officeDocument/2006/relationships/hyperlink" Target="http://undocs.org/en/CERD/C/TKM/CO/8-11" TargetMode="External"/><Relationship Id="rId22" Type="http://schemas.openxmlformats.org/officeDocument/2006/relationships/hyperlink" Target="http://undocs.org/en/CERD/C/TKM/CO/8-11" TargetMode="External"/><Relationship Id="rId27" Type="http://schemas.openxmlformats.org/officeDocument/2006/relationships/hyperlink" Target="http://undocs.org/en/CERD/C/TKM/12-13" TargetMode="External"/><Relationship Id="rId30" Type="http://schemas.openxmlformats.org/officeDocument/2006/relationships/hyperlink" Target="http://undocs.org/en/CERD/C/TKM/CO/8-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1102</Words>
  <Characters>6352</Characters>
  <Application>Microsoft Office Word</Application>
  <DocSecurity>0</DocSecurity>
  <Lines>114</Lines>
  <Paragraphs>40</Paragraphs>
  <ScaleCrop>false</ScaleCrop>
  <HeadingPairs>
    <vt:vector size="2" baseType="variant">
      <vt:variant>
        <vt:lpstr>Title</vt:lpstr>
      </vt:variant>
      <vt:variant>
        <vt:i4>1</vt:i4>
      </vt:variant>
    </vt:vector>
  </HeadingPairs>
  <TitlesOfParts>
    <vt:vector size="1" baseType="lpstr">
      <vt:lpstr>CERD/C/TKM/Q/12-13</vt:lpstr>
    </vt:vector>
  </TitlesOfParts>
  <Company>DCM</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CERD/C/TKM/Q/12-13</dc:title>
  <dc:subject>2311308</dc:subject>
  <dc:creator>dm</dc:creator>
  <cp:keywords/>
  <dc:description/>
  <cp:lastModifiedBy>Don Canete Martin</cp:lastModifiedBy>
  <cp:revision>2</cp:revision>
  <dcterms:created xsi:type="dcterms:W3CDTF">2023-06-23T07:43:00Z</dcterms:created>
  <dcterms:modified xsi:type="dcterms:W3CDTF">2023-06-23T07:43:00Z</dcterms:modified>
</cp:coreProperties>
</file>