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142" w:rsidRDefault="00A37142" w:rsidP="00A37142">
      <w:pPr>
        <w:pStyle w:val="Release"/>
        <w:spacing w:line="60" w:lineRule="exact"/>
        <w:rPr>
          <w:sz w:val="6"/>
        </w:rPr>
        <w:sectPr w:rsidR="00A37142" w:rsidSect="00A3714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A37142">
      <w:pPr>
        <w:pStyle w:val="Release"/>
        <w:spacing w:line="60" w:lineRule="exact"/>
        <w:rPr>
          <w:sz w:val="6"/>
        </w:rPr>
      </w:pPr>
    </w:p>
    <w:p w:rsidR="00D977B9" w:rsidRPr="009F751C" w:rsidRDefault="00D977B9" w:rsidP="00D977B9">
      <w:pPr>
        <w:spacing w:before="120"/>
        <w:rPr>
          <w:rFonts w:eastAsia="SimHei" w:hint="eastAsia"/>
          <w:sz w:val="24"/>
          <w:szCs w:val="24"/>
        </w:rPr>
      </w:pPr>
      <w:r w:rsidRPr="009F751C">
        <w:rPr>
          <w:rFonts w:eastAsia="SimHei" w:hint="eastAsia"/>
          <w:sz w:val="24"/>
          <w:szCs w:val="24"/>
        </w:rPr>
        <w:t>消除对妇女歧视委员会</w:t>
      </w:r>
    </w:p>
    <w:p w:rsidR="00D977B9" w:rsidRPr="00D977B9" w:rsidRDefault="00D977B9" w:rsidP="00D977B9">
      <w:pPr>
        <w:pStyle w:val="HCh"/>
        <w:spacing w:line="120" w:lineRule="exact"/>
        <w:rPr>
          <w:rFonts w:hint="eastAsia"/>
          <w:sz w:val="10"/>
        </w:rPr>
      </w:pPr>
    </w:p>
    <w:p w:rsidR="00D977B9" w:rsidRPr="00D977B9" w:rsidRDefault="00D977B9" w:rsidP="00D977B9">
      <w:pPr>
        <w:pStyle w:val="HCh"/>
        <w:spacing w:line="120" w:lineRule="exact"/>
        <w:rPr>
          <w:rFonts w:hint="eastAsia"/>
          <w:sz w:val="10"/>
        </w:rPr>
      </w:pPr>
    </w:p>
    <w:p w:rsidR="00D977B9" w:rsidRPr="00D977B9" w:rsidRDefault="00D977B9" w:rsidP="00D977B9">
      <w:pPr>
        <w:pStyle w:val="HCh"/>
        <w:spacing w:line="120" w:lineRule="exact"/>
        <w:rPr>
          <w:rFonts w:hint="eastAsia"/>
          <w:sz w:val="10"/>
        </w:rPr>
      </w:pPr>
      <w:bookmarkStart w:id="1" w:name="TmpSave"/>
      <w:bookmarkEnd w:id="1"/>
    </w:p>
    <w:p w:rsidR="00D977B9" w:rsidRPr="009F751C" w:rsidRDefault="00D977B9" w:rsidP="00D977B9">
      <w:pPr>
        <w:pStyle w:val="HCh"/>
        <w:tabs>
          <w:tab w:val="clear" w:pos="431"/>
          <w:tab w:val="left" w:pos="1288"/>
        </w:tabs>
        <w:rPr>
          <w:rFonts w:hint="eastAsia"/>
        </w:rPr>
      </w:pPr>
      <w:r>
        <w:rPr>
          <w:rFonts w:hint="eastAsia"/>
        </w:rPr>
        <w:tab/>
      </w:r>
      <w:r w:rsidRPr="009F751C">
        <w:rPr>
          <w:rFonts w:hint="eastAsia"/>
        </w:rPr>
        <w:tab/>
      </w:r>
      <w:bookmarkStart w:id="2" w:name="_Toc350338302"/>
      <w:bookmarkStart w:id="3" w:name="_Toc350338323"/>
      <w:r w:rsidRPr="009F751C">
        <w:rPr>
          <w:rFonts w:hint="eastAsia"/>
        </w:rPr>
        <w:t>审议缔约国根据《公约》第</w:t>
      </w:r>
      <w:r w:rsidRPr="00792395">
        <w:rPr>
          <w:rFonts w:hint="eastAsia"/>
          <w:b/>
        </w:rPr>
        <w:t>18</w:t>
      </w:r>
      <w:r w:rsidRPr="009F751C">
        <w:rPr>
          <w:rFonts w:hint="eastAsia"/>
        </w:rPr>
        <w:t>条提交的报告</w:t>
      </w:r>
      <w:bookmarkEnd w:id="2"/>
      <w:bookmarkEnd w:id="3"/>
    </w:p>
    <w:p w:rsidR="00D977B9" w:rsidRPr="00D977B9" w:rsidRDefault="00D977B9" w:rsidP="00D977B9">
      <w:pPr>
        <w:pStyle w:val="HChGC"/>
        <w:tabs>
          <w:tab w:val="left" w:pos="1288"/>
        </w:tabs>
        <w:spacing w:before="0" w:after="0" w:line="120" w:lineRule="exact"/>
        <w:rPr>
          <w:rFonts w:hint="eastAsia"/>
          <w:sz w:val="10"/>
        </w:rPr>
      </w:pPr>
    </w:p>
    <w:p w:rsidR="00D977B9" w:rsidRPr="00D977B9" w:rsidRDefault="00D977B9" w:rsidP="00D977B9">
      <w:pPr>
        <w:pStyle w:val="HChGC"/>
        <w:tabs>
          <w:tab w:val="left" w:pos="1288"/>
        </w:tabs>
        <w:spacing w:before="0" w:after="0" w:line="120" w:lineRule="exact"/>
        <w:rPr>
          <w:rFonts w:hint="eastAsia"/>
          <w:sz w:val="10"/>
        </w:rPr>
      </w:pPr>
    </w:p>
    <w:p w:rsidR="00D977B9" w:rsidRPr="009F751C" w:rsidRDefault="00D977B9" w:rsidP="00D977B9">
      <w:pPr>
        <w:pStyle w:val="H1"/>
        <w:tabs>
          <w:tab w:val="clear" w:pos="431"/>
          <w:tab w:val="left" w:pos="1288"/>
        </w:tabs>
        <w:rPr>
          <w:rFonts w:hint="eastAsia"/>
        </w:rPr>
      </w:pPr>
      <w:r>
        <w:rPr>
          <w:rFonts w:hint="eastAsia"/>
        </w:rPr>
        <w:tab/>
      </w:r>
      <w:r w:rsidRPr="009F751C">
        <w:rPr>
          <w:rFonts w:hint="eastAsia"/>
        </w:rPr>
        <w:t>缔约国应于</w:t>
      </w:r>
      <w:r w:rsidRPr="009F751C">
        <w:rPr>
          <w:rFonts w:hint="eastAsia"/>
          <w:b/>
        </w:rPr>
        <w:t>2015</w:t>
      </w:r>
      <w:r w:rsidRPr="009F751C">
        <w:rPr>
          <w:rFonts w:hint="eastAsia"/>
        </w:rPr>
        <w:t>年提交的第四至第七次合并定期报告</w:t>
      </w:r>
    </w:p>
    <w:p w:rsidR="00D977B9" w:rsidRPr="00D977B9" w:rsidRDefault="00D977B9" w:rsidP="00D977B9">
      <w:pPr>
        <w:pStyle w:val="HCh"/>
        <w:tabs>
          <w:tab w:val="clear" w:pos="431"/>
          <w:tab w:val="left" w:pos="1288"/>
        </w:tabs>
        <w:spacing w:line="120" w:lineRule="exact"/>
        <w:rPr>
          <w:rFonts w:hint="eastAsia"/>
          <w:sz w:val="10"/>
        </w:rPr>
      </w:pPr>
    </w:p>
    <w:p w:rsidR="00D977B9" w:rsidRPr="00D977B9" w:rsidRDefault="00D977B9" w:rsidP="00D977B9">
      <w:pPr>
        <w:pStyle w:val="HCh"/>
        <w:tabs>
          <w:tab w:val="clear" w:pos="431"/>
          <w:tab w:val="left" w:pos="1288"/>
        </w:tabs>
        <w:spacing w:line="120" w:lineRule="exact"/>
        <w:rPr>
          <w:rFonts w:hint="eastAsia"/>
          <w:sz w:val="10"/>
        </w:rPr>
      </w:pPr>
    </w:p>
    <w:p w:rsidR="00D977B9" w:rsidRPr="009F751C" w:rsidRDefault="00D977B9" w:rsidP="00D977B9">
      <w:pPr>
        <w:pStyle w:val="HCh"/>
        <w:tabs>
          <w:tab w:val="clear" w:pos="431"/>
          <w:tab w:val="left" w:pos="1288"/>
        </w:tabs>
        <w:rPr>
          <w:rFonts w:hint="eastAsia"/>
        </w:rPr>
      </w:pPr>
      <w:r w:rsidRPr="009F751C">
        <w:rPr>
          <w:rFonts w:hint="eastAsia"/>
        </w:rPr>
        <w:tab/>
      </w:r>
      <w:r w:rsidRPr="009F751C">
        <w:rPr>
          <w:rFonts w:hint="eastAsia"/>
        </w:rPr>
        <w:tab/>
        <w:t>特立尼达和多巴哥</w:t>
      </w:r>
      <w:r w:rsidRPr="00D977B9">
        <w:rPr>
          <w:rStyle w:val="FootnoteReference"/>
          <w:position w:val="6"/>
          <w:sz w:val="21"/>
          <w:szCs w:val="34"/>
        </w:rPr>
        <w:footnoteReference w:customMarkFollows="1" w:id="1"/>
        <w:t>*</w:t>
      </w:r>
    </w:p>
    <w:p w:rsidR="00D977B9" w:rsidRPr="00D977B9" w:rsidRDefault="00D977B9" w:rsidP="00D977B9">
      <w:pPr>
        <w:pStyle w:val="SingleTxtGC"/>
        <w:spacing w:after="0" w:line="120" w:lineRule="exact"/>
        <w:jc w:val="right"/>
        <w:rPr>
          <w:sz w:val="10"/>
        </w:rPr>
      </w:pPr>
    </w:p>
    <w:p w:rsidR="00D977B9" w:rsidRPr="00D977B9" w:rsidRDefault="00D977B9" w:rsidP="00D977B9">
      <w:pPr>
        <w:pStyle w:val="SingleTxtGC"/>
        <w:spacing w:after="0" w:line="120" w:lineRule="exact"/>
        <w:jc w:val="right"/>
        <w:rPr>
          <w:sz w:val="10"/>
        </w:rPr>
      </w:pPr>
    </w:p>
    <w:p w:rsidR="00D977B9" w:rsidRPr="009F751C" w:rsidRDefault="00D977B9" w:rsidP="00D977B9">
      <w:pPr>
        <w:pStyle w:val="SingleTxtGC"/>
        <w:jc w:val="right"/>
      </w:pPr>
      <w:r>
        <w:t>[</w:t>
      </w:r>
      <w:r>
        <w:rPr>
          <w:rFonts w:hint="eastAsia"/>
        </w:rPr>
        <w:t>收到日期：</w:t>
      </w:r>
      <w:smartTag w:uri="urn:schemas-microsoft-com:office:smarttags" w:element="chsdate">
        <w:smartTagPr>
          <w:attr w:name="Year" w:val="2015"/>
          <w:attr w:name="Month" w:val="1"/>
          <w:attr w:name="Day" w:val="11"/>
          <w:attr w:name="IsLunarDate" w:val="False"/>
          <w:attr w:name="IsROCDate" w:val="False"/>
        </w:smartTagPr>
        <w:r>
          <w:t>2015</w:t>
        </w:r>
        <w:r>
          <w:rPr>
            <w:rFonts w:hint="eastAsia"/>
          </w:rPr>
          <w:t>年</w:t>
        </w:r>
        <w:r>
          <w:t>1</w:t>
        </w:r>
        <w:r>
          <w:rPr>
            <w:rFonts w:hint="eastAsia"/>
          </w:rPr>
          <w:t>月</w:t>
        </w:r>
        <w:r>
          <w:t>11</w:t>
        </w:r>
        <w:r>
          <w:rPr>
            <w:rFonts w:hint="eastAsia"/>
          </w:rPr>
          <w:t>日</w:t>
        </w:r>
      </w:smartTag>
      <w:r>
        <w:t>]</w:t>
      </w:r>
    </w:p>
    <w:p w:rsidR="00D977B9" w:rsidRPr="009F751C" w:rsidRDefault="00D977B9" w:rsidP="00D977B9">
      <w:pPr>
        <w:spacing w:before="360" w:after="240"/>
        <w:rPr>
          <w:rFonts w:hint="eastAsia"/>
          <w:sz w:val="28"/>
          <w:szCs w:val="28"/>
        </w:rPr>
      </w:pPr>
      <w:r w:rsidRPr="009F751C">
        <w:br w:type="page"/>
      </w:r>
      <w:r w:rsidRPr="009F751C">
        <w:rPr>
          <w:rFonts w:hint="eastAsia"/>
          <w:sz w:val="28"/>
          <w:szCs w:val="28"/>
        </w:rPr>
        <w:t>目录</w:t>
      </w:r>
    </w:p>
    <w:tbl>
      <w:tblPr>
        <w:tblW w:w="9528" w:type="dxa"/>
        <w:tblLayout w:type="fixed"/>
        <w:tblCellMar>
          <w:left w:w="0" w:type="dxa"/>
          <w:right w:w="0" w:type="dxa"/>
        </w:tblCellMar>
        <w:tblLook w:val="0000"/>
      </w:tblPr>
      <w:tblGrid>
        <w:gridCol w:w="1020"/>
        <w:gridCol w:w="7038"/>
        <w:gridCol w:w="957"/>
        <w:gridCol w:w="513"/>
      </w:tblGrid>
      <w:tr w:rsidR="00D977B9" w:rsidRPr="009F751C" w:rsidTr="00420E23">
        <w:trPr>
          <w:trHeight w:val="139"/>
        </w:trPr>
        <w:tc>
          <w:tcPr>
            <w:tcW w:w="1020" w:type="dxa"/>
          </w:tcPr>
          <w:p w:rsidR="00D977B9" w:rsidRPr="009F751C" w:rsidRDefault="00D977B9" w:rsidP="00420E23">
            <w:pPr>
              <w:spacing w:after="120" w:line="240" w:lineRule="auto"/>
              <w:jc w:val="right"/>
              <w:rPr>
                <w:i/>
                <w:sz w:val="14"/>
              </w:rPr>
            </w:pPr>
          </w:p>
        </w:tc>
        <w:tc>
          <w:tcPr>
            <w:tcW w:w="7038" w:type="dxa"/>
          </w:tcPr>
          <w:p w:rsidR="00D977B9" w:rsidRPr="009F751C" w:rsidRDefault="00D977B9" w:rsidP="00420E23">
            <w:pPr>
              <w:spacing w:after="120" w:line="240" w:lineRule="auto"/>
              <w:rPr>
                <w:i/>
                <w:sz w:val="14"/>
              </w:rPr>
            </w:pPr>
          </w:p>
        </w:tc>
        <w:tc>
          <w:tcPr>
            <w:tcW w:w="957" w:type="dxa"/>
          </w:tcPr>
          <w:p w:rsidR="00D977B9" w:rsidRPr="009F751C" w:rsidRDefault="00D977B9" w:rsidP="00420E23">
            <w:pPr>
              <w:spacing w:after="120" w:line="240" w:lineRule="auto"/>
              <w:jc w:val="right"/>
              <w:rPr>
                <w:i/>
                <w:sz w:val="14"/>
              </w:rPr>
            </w:pPr>
          </w:p>
        </w:tc>
        <w:tc>
          <w:tcPr>
            <w:tcW w:w="513" w:type="dxa"/>
          </w:tcPr>
          <w:p w:rsidR="00D977B9" w:rsidRPr="009F751C" w:rsidRDefault="00D977B9" w:rsidP="00420E23">
            <w:pPr>
              <w:spacing w:after="120"/>
              <w:jc w:val="right"/>
              <w:rPr>
                <w:rFonts w:eastAsia="KaiTi_GB2312" w:hint="eastAsia"/>
                <w:sz w:val="18"/>
                <w:szCs w:val="18"/>
              </w:rPr>
            </w:pPr>
            <w:r w:rsidRPr="009F751C">
              <w:rPr>
                <w:rFonts w:eastAsia="KaiTi_GB2312" w:hint="eastAsia"/>
                <w:sz w:val="18"/>
                <w:szCs w:val="18"/>
              </w:rPr>
              <w:t>页次</w:t>
            </w:r>
          </w:p>
        </w:tc>
      </w:tr>
      <w:tr w:rsidR="00D977B9" w:rsidRPr="009F751C" w:rsidTr="00420E23">
        <w:trPr>
          <w:trHeight w:val="139"/>
        </w:trPr>
        <w:tc>
          <w:tcPr>
            <w:tcW w:w="9015" w:type="dxa"/>
            <w:gridSpan w:val="3"/>
          </w:tcPr>
          <w:p w:rsidR="00D977B9" w:rsidRPr="009F751C" w:rsidRDefault="00D977B9" w:rsidP="00420E23">
            <w:pPr>
              <w:tabs>
                <w:tab w:val="clear" w:pos="431"/>
                <w:tab w:val="right" w:leader="dot" w:pos="9214"/>
              </w:tabs>
              <w:spacing w:after="120"/>
              <w:ind w:left="1296"/>
              <w:rPr>
                <w:spacing w:val="60"/>
                <w:sz w:val="17"/>
              </w:rPr>
            </w:pPr>
            <w:r w:rsidRPr="009F751C">
              <w:rPr>
                <w:rFonts w:hint="eastAsia"/>
              </w:rPr>
              <w:t>缩略语表</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sidRPr="009F751C">
              <w:t>4</w:t>
            </w:r>
          </w:p>
        </w:tc>
      </w:tr>
      <w:tr w:rsidR="00D977B9" w:rsidRPr="009F751C" w:rsidTr="00420E23">
        <w:trPr>
          <w:trHeight w:val="139"/>
        </w:trPr>
        <w:tc>
          <w:tcPr>
            <w:tcW w:w="9015" w:type="dxa"/>
            <w:gridSpan w:val="3"/>
          </w:tcPr>
          <w:p w:rsidR="00D977B9" w:rsidRPr="009F751C" w:rsidRDefault="00D977B9" w:rsidP="00420E23">
            <w:pPr>
              <w:tabs>
                <w:tab w:val="right" w:pos="1080"/>
                <w:tab w:val="left" w:pos="1296"/>
                <w:tab w:val="left" w:pos="1728"/>
                <w:tab w:val="right" w:leader="dot" w:pos="9214"/>
                <w:tab w:val="right" w:leader="dot" w:pos="9360"/>
              </w:tabs>
              <w:spacing w:after="120"/>
              <w:ind w:left="1296"/>
              <w:rPr>
                <w:spacing w:val="60"/>
                <w:sz w:val="17"/>
              </w:rPr>
            </w:pPr>
            <w:r w:rsidRPr="009F751C">
              <w:rPr>
                <w:rFonts w:hint="eastAsia"/>
              </w:rPr>
              <w:t>导言</w:t>
            </w:r>
            <w:r w:rsidRPr="009F751C">
              <w:rPr>
                <w:spacing w:val="60"/>
                <w:sz w:val="17"/>
              </w:rPr>
              <w:tab/>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5</w:t>
            </w:r>
          </w:p>
        </w:tc>
      </w:tr>
      <w:tr w:rsidR="00D977B9" w:rsidRPr="009F751C" w:rsidTr="00420E23">
        <w:trPr>
          <w:trHeight w:val="139"/>
        </w:trPr>
        <w:tc>
          <w:tcPr>
            <w:tcW w:w="9015" w:type="dxa"/>
            <w:gridSpan w:val="3"/>
          </w:tcPr>
          <w:p w:rsidR="00D977B9" w:rsidRPr="009F751C" w:rsidRDefault="00D977B9" w:rsidP="00420E23">
            <w:pPr>
              <w:tabs>
                <w:tab w:val="right" w:pos="1080"/>
                <w:tab w:val="left" w:pos="1296"/>
                <w:tab w:val="left" w:pos="1728"/>
                <w:tab w:val="left" w:pos="2160"/>
                <w:tab w:val="right" w:leader="dot" w:pos="9214"/>
                <w:tab w:val="right" w:leader="dot" w:pos="9360"/>
              </w:tabs>
              <w:spacing w:after="120"/>
              <w:ind w:left="1296"/>
              <w:rPr>
                <w:spacing w:val="60"/>
                <w:sz w:val="17"/>
              </w:rPr>
            </w:pPr>
            <w:r w:rsidRPr="009F751C">
              <w:rPr>
                <w:rFonts w:hint="eastAsia"/>
              </w:rPr>
              <w:t>第一部分：概况</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5</w:t>
            </w:r>
          </w:p>
        </w:tc>
      </w:tr>
      <w:tr w:rsidR="00D977B9" w:rsidRPr="009F751C" w:rsidTr="00420E23">
        <w:trPr>
          <w:trHeight w:val="139"/>
        </w:trPr>
        <w:tc>
          <w:tcPr>
            <w:tcW w:w="9015" w:type="dxa"/>
            <w:gridSpan w:val="3"/>
          </w:tcPr>
          <w:p w:rsidR="00D977B9" w:rsidRPr="009F751C" w:rsidRDefault="00D977B9" w:rsidP="00420E23">
            <w:pPr>
              <w:tabs>
                <w:tab w:val="clear" w:pos="431"/>
                <w:tab w:val="left" w:pos="1701"/>
                <w:tab w:val="right" w:leader="dot" w:pos="9214"/>
              </w:tabs>
              <w:spacing w:after="120"/>
              <w:ind w:left="1296"/>
              <w:rPr>
                <w:spacing w:val="60"/>
                <w:sz w:val="17"/>
              </w:rPr>
            </w:pPr>
            <w:r w:rsidRPr="009F751C">
              <w:tab/>
            </w:r>
            <w:r w:rsidRPr="009F751C">
              <w:rPr>
                <w:rFonts w:hint="eastAsia"/>
              </w:rPr>
              <w:t>土地和人口</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5</w:t>
            </w:r>
          </w:p>
        </w:tc>
      </w:tr>
      <w:tr w:rsidR="00D977B9" w:rsidRPr="009F751C" w:rsidTr="00420E23">
        <w:trPr>
          <w:trHeight w:val="139"/>
        </w:trPr>
        <w:tc>
          <w:tcPr>
            <w:tcW w:w="9015" w:type="dxa"/>
            <w:gridSpan w:val="3"/>
          </w:tcPr>
          <w:p w:rsidR="00D977B9" w:rsidRPr="009F751C" w:rsidRDefault="00D977B9" w:rsidP="00420E23">
            <w:pPr>
              <w:tabs>
                <w:tab w:val="right" w:pos="1080"/>
                <w:tab w:val="left" w:pos="1296"/>
                <w:tab w:val="left" w:pos="1728"/>
                <w:tab w:val="left" w:pos="2160"/>
                <w:tab w:val="left" w:pos="2592"/>
                <w:tab w:val="left" w:pos="3024"/>
                <w:tab w:val="right" w:leader="dot" w:pos="9214"/>
                <w:tab w:val="right" w:leader="dot" w:pos="9360"/>
              </w:tabs>
              <w:spacing w:after="120"/>
              <w:ind w:left="1296"/>
              <w:rPr>
                <w:spacing w:val="60"/>
                <w:sz w:val="17"/>
              </w:rPr>
            </w:pPr>
            <w:r w:rsidRPr="009F751C">
              <w:tab/>
            </w:r>
            <w:r w:rsidRPr="009F751C">
              <w:rPr>
                <w:rFonts w:hint="eastAsia"/>
              </w:rPr>
              <w:t>司法和政治概况</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6</w:t>
            </w:r>
          </w:p>
        </w:tc>
      </w:tr>
      <w:tr w:rsidR="00D977B9" w:rsidRPr="009F751C" w:rsidTr="00420E23">
        <w:trPr>
          <w:trHeight w:val="139"/>
        </w:trPr>
        <w:tc>
          <w:tcPr>
            <w:tcW w:w="9015" w:type="dxa"/>
            <w:gridSpan w:val="3"/>
          </w:tcPr>
          <w:p w:rsidR="00D977B9" w:rsidRPr="009F751C" w:rsidRDefault="00D977B9" w:rsidP="00420E23">
            <w:pPr>
              <w:tabs>
                <w:tab w:val="right" w:pos="1080"/>
                <w:tab w:val="left" w:pos="1296"/>
                <w:tab w:val="left" w:pos="1728"/>
                <w:tab w:val="left" w:pos="2160"/>
                <w:tab w:val="right" w:leader="dot" w:pos="9214"/>
                <w:tab w:val="right" w:leader="dot" w:pos="9360"/>
              </w:tabs>
              <w:spacing w:after="120"/>
              <w:ind w:left="1296"/>
              <w:rPr>
                <w:spacing w:val="60"/>
                <w:sz w:val="17"/>
              </w:rPr>
            </w:pPr>
            <w:r w:rsidRPr="009F751C">
              <w:tab/>
            </w:r>
            <w:r w:rsidRPr="009F751C">
              <w:rPr>
                <w:rFonts w:hint="eastAsia"/>
              </w:rPr>
              <w:t>经济</w:t>
            </w:r>
            <w:r w:rsidRPr="009F751C">
              <w:rPr>
                <w:spacing w:val="60"/>
                <w:sz w:val="17"/>
              </w:rPr>
              <w:tab/>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sidRPr="009F751C">
              <w:t>7</w:t>
            </w:r>
          </w:p>
        </w:tc>
      </w:tr>
      <w:tr w:rsidR="00D977B9" w:rsidRPr="009F751C" w:rsidTr="00420E23">
        <w:trPr>
          <w:trHeight w:val="139"/>
        </w:trPr>
        <w:tc>
          <w:tcPr>
            <w:tcW w:w="9015" w:type="dxa"/>
            <w:gridSpan w:val="3"/>
          </w:tcPr>
          <w:p w:rsidR="00D977B9" w:rsidRPr="009F751C" w:rsidRDefault="00D977B9" w:rsidP="00420E23">
            <w:pPr>
              <w:tabs>
                <w:tab w:val="right" w:pos="1080"/>
                <w:tab w:val="left" w:pos="1296"/>
                <w:tab w:val="left" w:pos="1728"/>
                <w:tab w:val="left" w:pos="2160"/>
                <w:tab w:val="right" w:leader="dot" w:pos="9214"/>
                <w:tab w:val="right" w:leader="dot" w:pos="9360"/>
              </w:tabs>
              <w:spacing w:after="120"/>
              <w:ind w:left="1296"/>
              <w:rPr>
                <w:spacing w:val="60"/>
                <w:sz w:val="17"/>
              </w:rPr>
            </w:pPr>
            <w:r w:rsidRPr="009F751C">
              <w:tab/>
            </w:r>
            <w:r w:rsidRPr="009F751C">
              <w:rPr>
                <w:rFonts w:hint="eastAsia"/>
              </w:rPr>
              <w:t>保护人权的一般框架</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7</w:t>
            </w:r>
          </w:p>
        </w:tc>
      </w:tr>
      <w:tr w:rsidR="00D977B9" w:rsidRPr="009F751C" w:rsidTr="00420E23">
        <w:trPr>
          <w:trHeight w:val="139"/>
        </w:trPr>
        <w:tc>
          <w:tcPr>
            <w:tcW w:w="9015" w:type="dxa"/>
            <w:gridSpan w:val="3"/>
          </w:tcPr>
          <w:p w:rsidR="00D977B9" w:rsidRPr="009F751C" w:rsidRDefault="00D977B9" w:rsidP="00420E23">
            <w:pPr>
              <w:tabs>
                <w:tab w:val="right" w:pos="1080"/>
                <w:tab w:val="left" w:pos="1296"/>
                <w:tab w:val="left" w:pos="1728"/>
                <w:tab w:val="right" w:leader="dot" w:pos="9214"/>
                <w:tab w:val="right" w:leader="dot" w:pos="9360"/>
              </w:tabs>
              <w:spacing w:after="120"/>
              <w:ind w:left="1296"/>
              <w:rPr>
                <w:spacing w:val="60"/>
                <w:sz w:val="17"/>
              </w:rPr>
            </w:pPr>
            <w:r w:rsidRPr="009F751C">
              <w:tab/>
            </w:r>
            <w:r w:rsidRPr="009F751C">
              <w:rPr>
                <w:rFonts w:hint="eastAsia"/>
              </w:rPr>
              <w:t>妇女地位</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sidRPr="009F751C">
              <w:t>9</w:t>
            </w:r>
          </w:p>
        </w:tc>
      </w:tr>
      <w:tr w:rsidR="00D977B9" w:rsidRPr="009F751C" w:rsidTr="00420E23">
        <w:trPr>
          <w:trHeight w:val="426"/>
        </w:trPr>
        <w:tc>
          <w:tcPr>
            <w:tcW w:w="9015" w:type="dxa"/>
            <w:gridSpan w:val="3"/>
          </w:tcPr>
          <w:p w:rsidR="00D977B9" w:rsidRPr="009F751C" w:rsidRDefault="00D977B9" w:rsidP="00420E23">
            <w:pPr>
              <w:tabs>
                <w:tab w:val="clear" w:pos="431"/>
                <w:tab w:val="right" w:leader="dot" w:pos="9214"/>
              </w:tabs>
              <w:spacing w:after="120"/>
              <w:ind w:left="1296"/>
              <w:rPr>
                <w:spacing w:val="60"/>
                <w:sz w:val="17"/>
              </w:rPr>
            </w:pPr>
            <w:r w:rsidRPr="00A4004F">
              <w:rPr>
                <w:rFonts w:hint="eastAsia"/>
              </w:rPr>
              <w:t>第二部分：对消除对妇女歧视委员会对于特立尼达和多巴哥政府初次、第二次和第三次合并定期报告的结论意见的答复</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sidRPr="009F751C">
              <w:t>12</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1</w:t>
            </w:r>
            <w:r w:rsidRPr="009F751C">
              <w:rPr>
                <w:rFonts w:hint="eastAsia"/>
              </w:rPr>
              <w:t>：将第</w:t>
            </w:r>
            <w:r w:rsidRPr="009F751C">
              <w:t>1</w:t>
            </w:r>
            <w:r w:rsidRPr="009F751C">
              <w:rPr>
                <w:rFonts w:hint="eastAsia"/>
              </w:rPr>
              <w:t>条纳入国内法</w:t>
            </w:r>
            <w:r w:rsidRPr="009F751C">
              <w:tab/>
            </w:r>
          </w:p>
        </w:tc>
        <w:tc>
          <w:tcPr>
            <w:tcW w:w="513" w:type="dxa"/>
            <w:vAlign w:val="bottom"/>
          </w:tcPr>
          <w:p w:rsidR="00D977B9" w:rsidRPr="009F751C" w:rsidRDefault="00D977B9" w:rsidP="00F827B2">
            <w:pPr>
              <w:spacing w:after="120"/>
              <w:jc w:val="right"/>
            </w:pPr>
            <w:r>
              <w:rPr>
                <w:rFonts w:hint="eastAsia"/>
              </w:rPr>
              <w:t>1</w:t>
            </w:r>
            <w:r w:rsidR="00F827B2">
              <w:rPr>
                <w:rFonts w:hint="eastAsia"/>
              </w:rPr>
              <w:t>2</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2</w:t>
            </w:r>
            <w:r w:rsidRPr="009F751C">
              <w:rPr>
                <w:rFonts w:hint="eastAsia"/>
              </w:rPr>
              <w:t>：修正和撤销歧视性立法</w:t>
            </w:r>
            <w:r w:rsidRPr="009F751C">
              <w:tab/>
            </w:r>
          </w:p>
        </w:tc>
        <w:tc>
          <w:tcPr>
            <w:tcW w:w="513" w:type="dxa"/>
            <w:vAlign w:val="bottom"/>
          </w:tcPr>
          <w:p w:rsidR="00D977B9" w:rsidRPr="009F751C" w:rsidRDefault="00D977B9" w:rsidP="00420E23">
            <w:pPr>
              <w:spacing w:after="120"/>
              <w:jc w:val="right"/>
            </w:pPr>
            <w:r>
              <w:rPr>
                <w:rFonts w:hint="eastAsia"/>
              </w:rPr>
              <w:t>13</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3</w:t>
            </w:r>
            <w:r>
              <w:rPr>
                <w:rFonts w:hint="eastAsia"/>
              </w:rPr>
              <w:t>：将性别观点纳入政府部</w:t>
            </w:r>
            <w:r w:rsidRPr="009F751C">
              <w:rPr>
                <w:rFonts w:hint="eastAsia"/>
              </w:rPr>
              <w:t>的主流工作</w:t>
            </w:r>
            <w:r w:rsidRPr="009F751C">
              <w:rPr>
                <w:rFonts w:eastAsia="KaiTi_GB2312"/>
                <w:sz w:val="18"/>
                <w:szCs w:val="18"/>
                <w:lang w:val="fr-CH"/>
              </w:rPr>
              <w:tab/>
            </w:r>
          </w:p>
        </w:tc>
        <w:tc>
          <w:tcPr>
            <w:tcW w:w="513" w:type="dxa"/>
            <w:vAlign w:val="bottom"/>
          </w:tcPr>
          <w:p w:rsidR="00D977B9" w:rsidRPr="009F751C" w:rsidRDefault="00D977B9" w:rsidP="00F827B2">
            <w:pPr>
              <w:spacing w:after="120"/>
              <w:jc w:val="right"/>
            </w:pPr>
            <w:r>
              <w:rPr>
                <w:rFonts w:hint="eastAsia"/>
              </w:rPr>
              <w:t>1</w:t>
            </w:r>
            <w:r w:rsidR="00F827B2">
              <w:rPr>
                <w:rFonts w:hint="eastAsia"/>
              </w:rPr>
              <w:t>3</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4</w:t>
            </w:r>
            <w:r w:rsidRPr="009F751C">
              <w:rPr>
                <w:rFonts w:hint="eastAsia"/>
              </w:rPr>
              <w:t>：解决暴力侵害妇女问题</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15</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5</w:t>
            </w:r>
            <w:r w:rsidRPr="009F751C">
              <w:rPr>
                <w:rFonts w:hint="eastAsia"/>
              </w:rPr>
              <w:t>：消除关于男女社会角色的传统定型观念</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17</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6</w:t>
            </w:r>
            <w:r w:rsidRPr="009F751C">
              <w:rPr>
                <w:rFonts w:hint="eastAsia"/>
              </w:rPr>
              <w:t>：增加决策机构的妇女人数</w:t>
            </w:r>
            <w:r w:rsidRPr="009F751C">
              <w:rPr>
                <w:rFonts w:eastAsia="KaiTi_GB2312"/>
                <w:sz w:val="18"/>
                <w:szCs w:val="18"/>
                <w:lang w:val="fr-CH"/>
              </w:rPr>
              <w:tab/>
            </w:r>
          </w:p>
        </w:tc>
        <w:tc>
          <w:tcPr>
            <w:tcW w:w="513" w:type="dxa"/>
            <w:vAlign w:val="bottom"/>
          </w:tcPr>
          <w:p w:rsidR="00D977B9" w:rsidRPr="009F751C" w:rsidRDefault="00D977B9" w:rsidP="00F827B2">
            <w:pPr>
              <w:spacing w:after="120"/>
              <w:jc w:val="right"/>
            </w:pPr>
            <w:r>
              <w:rPr>
                <w:rFonts w:hint="eastAsia"/>
              </w:rPr>
              <w:t>1</w:t>
            </w:r>
            <w:r w:rsidR="00F827B2">
              <w:rPr>
                <w:rFonts w:hint="eastAsia"/>
              </w:rPr>
              <w:t>8</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7</w:t>
            </w:r>
            <w:r w:rsidRPr="009F751C">
              <w:rPr>
                <w:rFonts w:hint="eastAsia"/>
              </w:rPr>
              <w:t>：消除就业和教育领域的歧视</w:t>
            </w:r>
            <w:r w:rsidRPr="009F751C">
              <w:tab/>
            </w:r>
          </w:p>
        </w:tc>
        <w:tc>
          <w:tcPr>
            <w:tcW w:w="513" w:type="dxa"/>
            <w:vAlign w:val="bottom"/>
          </w:tcPr>
          <w:p w:rsidR="00D977B9" w:rsidRPr="009F751C" w:rsidRDefault="00D977B9" w:rsidP="00420E23">
            <w:pPr>
              <w:spacing w:after="120"/>
              <w:jc w:val="right"/>
            </w:pPr>
            <w:r>
              <w:rPr>
                <w:rFonts w:hint="eastAsia"/>
              </w:rPr>
              <w:t>20</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8</w:t>
            </w:r>
            <w:r w:rsidRPr="009F751C">
              <w:rPr>
                <w:rFonts w:hint="eastAsia"/>
              </w:rPr>
              <w:t>：将家政工人纳入《劳资关系法案》中关于“工人”的定义</w:t>
            </w:r>
            <w:r w:rsidRPr="009F751C">
              <w:tab/>
            </w:r>
          </w:p>
        </w:tc>
        <w:tc>
          <w:tcPr>
            <w:tcW w:w="513" w:type="dxa"/>
            <w:vAlign w:val="bottom"/>
          </w:tcPr>
          <w:p w:rsidR="00D977B9" w:rsidRPr="009F751C" w:rsidRDefault="00D977B9" w:rsidP="00420E23">
            <w:pPr>
              <w:spacing w:after="120"/>
              <w:jc w:val="right"/>
            </w:pPr>
            <w:r>
              <w:rPr>
                <w:rFonts w:hint="eastAsia"/>
              </w:rPr>
              <w:t>21</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9</w:t>
            </w:r>
            <w:r w:rsidRPr="009F751C">
              <w:rPr>
                <w:rFonts w:hint="eastAsia"/>
              </w:rPr>
              <w:t>：消除妇女贫困</w:t>
            </w:r>
            <w:r w:rsidRPr="009F751C">
              <w:tab/>
            </w:r>
          </w:p>
        </w:tc>
        <w:tc>
          <w:tcPr>
            <w:tcW w:w="513" w:type="dxa"/>
            <w:vAlign w:val="bottom"/>
          </w:tcPr>
          <w:p w:rsidR="00D977B9" w:rsidRPr="009F751C" w:rsidRDefault="00D977B9" w:rsidP="00F827B2">
            <w:pPr>
              <w:spacing w:after="120"/>
              <w:jc w:val="right"/>
            </w:pPr>
            <w:r>
              <w:rPr>
                <w:rFonts w:hint="eastAsia"/>
              </w:rPr>
              <w:t>2</w:t>
            </w:r>
            <w:r w:rsidR="00F827B2">
              <w:rPr>
                <w:rFonts w:hint="eastAsia"/>
              </w:rPr>
              <w:t>1</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10</w:t>
            </w:r>
            <w:r w:rsidRPr="009F751C">
              <w:rPr>
                <w:rFonts w:hint="eastAsia"/>
              </w:rPr>
              <w:t>：防止童婚现象</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24</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11</w:t>
            </w:r>
            <w:r w:rsidRPr="009F751C">
              <w:rPr>
                <w:rFonts w:hint="eastAsia"/>
              </w:rPr>
              <w:t>：针对男性和女性的计划生育方案</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28</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12</w:t>
            </w:r>
            <w:r w:rsidRPr="009F751C">
              <w:rPr>
                <w:rFonts w:hint="eastAsia"/>
              </w:rPr>
              <w:t>：载列关于农村妇女的数据和资料以及改善农村妇女状况的政策</w:t>
            </w:r>
            <w:r w:rsidRPr="009F751C">
              <w:rPr>
                <w:rFonts w:eastAsia="KaiTi_GB2312"/>
                <w:sz w:val="18"/>
                <w:szCs w:val="18"/>
                <w:lang w:val="fr-CH"/>
              </w:rPr>
              <w:tab/>
            </w:r>
          </w:p>
        </w:tc>
        <w:tc>
          <w:tcPr>
            <w:tcW w:w="513" w:type="dxa"/>
            <w:vAlign w:val="bottom"/>
          </w:tcPr>
          <w:p w:rsidR="00D977B9" w:rsidRPr="009F751C" w:rsidRDefault="00D977B9" w:rsidP="00F827B2">
            <w:pPr>
              <w:spacing w:after="120"/>
              <w:jc w:val="right"/>
            </w:pPr>
            <w:r>
              <w:rPr>
                <w:rFonts w:hint="eastAsia"/>
              </w:rPr>
              <w:t>2</w:t>
            </w:r>
            <w:r w:rsidR="00F827B2">
              <w:rPr>
                <w:rFonts w:hint="eastAsia"/>
              </w:rPr>
              <w:t>8</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13</w:t>
            </w:r>
            <w:r w:rsidRPr="009F751C">
              <w:rPr>
                <w:rFonts w:hint="eastAsia"/>
              </w:rPr>
              <w:t>：对结论意见中提出的具体问题的答复</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32</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14</w:t>
            </w:r>
            <w:r w:rsidRPr="009F751C">
              <w:rPr>
                <w:rFonts w:hint="eastAsia"/>
              </w:rPr>
              <w:t>：接受第</w:t>
            </w:r>
            <w:r w:rsidRPr="009F751C">
              <w:t>20</w:t>
            </w:r>
            <w:r w:rsidRPr="009F751C">
              <w:rPr>
                <w:rFonts w:hint="eastAsia"/>
              </w:rPr>
              <w:t>条第</w:t>
            </w:r>
            <w:r w:rsidRPr="009F751C">
              <w:t>1</w:t>
            </w:r>
            <w:r w:rsidRPr="009F751C">
              <w:rPr>
                <w:rFonts w:hint="eastAsia"/>
              </w:rPr>
              <w:t>款修正案和批准《任择议定书》</w:t>
            </w:r>
            <w:r w:rsidRPr="009F751C">
              <w:rPr>
                <w:rFonts w:eastAsia="KaiTi_GB2312"/>
                <w:sz w:val="18"/>
                <w:szCs w:val="18"/>
                <w:lang w:val="fr-CH"/>
              </w:rPr>
              <w:tab/>
            </w:r>
          </w:p>
        </w:tc>
        <w:tc>
          <w:tcPr>
            <w:tcW w:w="513" w:type="dxa"/>
            <w:vAlign w:val="bottom"/>
          </w:tcPr>
          <w:p w:rsidR="00D977B9" w:rsidRPr="009F751C" w:rsidRDefault="00D977B9" w:rsidP="00F827B2">
            <w:pPr>
              <w:spacing w:after="120"/>
              <w:jc w:val="right"/>
            </w:pPr>
            <w:r>
              <w:rPr>
                <w:rFonts w:hint="eastAsia"/>
              </w:rPr>
              <w:t>3</w:t>
            </w:r>
            <w:r w:rsidR="00F827B2">
              <w:rPr>
                <w:rFonts w:hint="eastAsia"/>
              </w:rPr>
              <w:t>2</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建议</w:t>
            </w:r>
            <w:r w:rsidRPr="009F751C">
              <w:t>15</w:t>
            </w:r>
            <w:r w:rsidRPr="009F751C">
              <w:rPr>
                <w:rFonts w:hint="eastAsia"/>
              </w:rPr>
              <w:t>：宣传本报告</w:t>
            </w:r>
            <w:r w:rsidRPr="009F751C">
              <w:rPr>
                <w:rFonts w:eastAsia="KaiTi_GB2312"/>
                <w:sz w:val="18"/>
                <w:szCs w:val="18"/>
                <w:lang w:val="fr-CH"/>
              </w:rPr>
              <w:tab/>
            </w:r>
          </w:p>
        </w:tc>
        <w:tc>
          <w:tcPr>
            <w:tcW w:w="513" w:type="dxa"/>
            <w:vAlign w:val="bottom"/>
          </w:tcPr>
          <w:p w:rsidR="00D977B9" w:rsidRPr="009F751C" w:rsidRDefault="00D977B9" w:rsidP="00F827B2">
            <w:pPr>
              <w:spacing w:after="120"/>
              <w:jc w:val="right"/>
            </w:pPr>
            <w:r>
              <w:rPr>
                <w:rFonts w:hint="eastAsia"/>
              </w:rPr>
              <w:t>3</w:t>
            </w:r>
            <w:r w:rsidR="00F827B2">
              <w:rPr>
                <w:rFonts w:hint="eastAsia"/>
              </w:rPr>
              <w:t>2</w:t>
            </w:r>
          </w:p>
        </w:tc>
      </w:tr>
      <w:tr w:rsidR="00D977B9" w:rsidRPr="009F751C" w:rsidTr="00420E23">
        <w:trPr>
          <w:trHeight w:val="426"/>
        </w:trPr>
        <w:tc>
          <w:tcPr>
            <w:tcW w:w="9015" w:type="dxa"/>
            <w:gridSpan w:val="3"/>
          </w:tcPr>
          <w:p w:rsidR="00D977B9" w:rsidRPr="009F751C" w:rsidRDefault="00D977B9" w:rsidP="00420E23">
            <w:pPr>
              <w:tabs>
                <w:tab w:val="right" w:pos="1080"/>
                <w:tab w:val="left" w:pos="1296"/>
                <w:tab w:val="right" w:leader="dot" w:pos="9214"/>
                <w:tab w:val="right" w:leader="dot" w:pos="9360"/>
              </w:tabs>
              <w:spacing w:after="120"/>
              <w:ind w:left="1296"/>
              <w:rPr>
                <w:spacing w:val="60"/>
                <w:sz w:val="17"/>
              </w:rPr>
            </w:pPr>
            <w:r w:rsidRPr="009F751C">
              <w:rPr>
                <w:rFonts w:hint="eastAsia"/>
              </w:rPr>
              <w:t>第三部分：</w:t>
            </w:r>
            <w:r w:rsidRPr="009F751C">
              <w:t>2001</w:t>
            </w:r>
            <w:r w:rsidRPr="009F751C">
              <w:rPr>
                <w:rFonts w:hint="eastAsia"/>
              </w:rPr>
              <w:t>至</w:t>
            </w:r>
            <w:r w:rsidRPr="009F751C">
              <w:t>2013</w:t>
            </w:r>
            <w:r w:rsidRPr="009F751C">
              <w:rPr>
                <w:rFonts w:hint="eastAsia"/>
              </w:rPr>
              <w:t>年审查期间促进《公约》的具体条款</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33</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2</w:t>
            </w:r>
            <w:r w:rsidRPr="009F751C">
              <w:rPr>
                <w:rFonts w:hint="eastAsia"/>
              </w:rPr>
              <w:t>条：消除对妇女的歧视</w:t>
            </w:r>
            <w:r w:rsidRPr="009F751C">
              <w:tab/>
            </w:r>
          </w:p>
        </w:tc>
        <w:tc>
          <w:tcPr>
            <w:tcW w:w="513" w:type="dxa"/>
            <w:vAlign w:val="bottom"/>
          </w:tcPr>
          <w:p w:rsidR="00D977B9" w:rsidRPr="009F751C" w:rsidRDefault="00D977B9" w:rsidP="00420E23">
            <w:pPr>
              <w:spacing w:after="120"/>
              <w:jc w:val="right"/>
            </w:pPr>
            <w:r>
              <w:rPr>
                <w:rFonts w:hint="eastAsia"/>
              </w:rPr>
              <w:t>33</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3</w:t>
            </w:r>
            <w:r w:rsidRPr="009F751C">
              <w:rPr>
                <w:rFonts w:hint="eastAsia"/>
              </w:rPr>
              <w:t>条：妇女的发展和进步</w:t>
            </w:r>
            <w:r w:rsidRPr="009F751C">
              <w:tab/>
            </w:r>
          </w:p>
        </w:tc>
        <w:tc>
          <w:tcPr>
            <w:tcW w:w="513" w:type="dxa"/>
            <w:vAlign w:val="bottom"/>
          </w:tcPr>
          <w:p w:rsidR="00D977B9" w:rsidRPr="009F751C" w:rsidRDefault="00D977B9" w:rsidP="00F827B2">
            <w:pPr>
              <w:spacing w:after="120"/>
              <w:jc w:val="right"/>
            </w:pPr>
            <w:r>
              <w:rPr>
                <w:rFonts w:hint="eastAsia"/>
              </w:rPr>
              <w:t>3</w:t>
            </w:r>
            <w:r w:rsidR="00F827B2">
              <w:rPr>
                <w:rFonts w:hint="eastAsia"/>
              </w:rPr>
              <w:t>4</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4</w:t>
            </w:r>
            <w:r w:rsidRPr="009F751C">
              <w:rPr>
                <w:rFonts w:hint="eastAsia"/>
              </w:rPr>
              <w:t>条：加速实现男女平等</w:t>
            </w:r>
            <w:r w:rsidRPr="009F751C">
              <w:tab/>
            </w:r>
          </w:p>
        </w:tc>
        <w:tc>
          <w:tcPr>
            <w:tcW w:w="513" w:type="dxa"/>
            <w:vAlign w:val="bottom"/>
          </w:tcPr>
          <w:p w:rsidR="00D977B9" w:rsidRPr="009F751C" w:rsidRDefault="00D977B9" w:rsidP="00F827B2">
            <w:pPr>
              <w:spacing w:after="120"/>
              <w:jc w:val="right"/>
            </w:pPr>
            <w:r>
              <w:rPr>
                <w:rFonts w:hint="eastAsia"/>
              </w:rPr>
              <w:t>3</w:t>
            </w:r>
            <w:r w:rsidR="00F827B2">
              <w:rPr>
                <w:rFonts w:hint="eastAsia"/>
              </w:rPr>
              <w:t>4</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5</w:t>
            </w:r>
            <w:r w:rsidRPr="009F751C">
              <w:rPr>
                <w:rFonts w:hint="eastAsia"/>
              </w:rPr>
              <w:t>条：消除性别角色和陈规定型观念</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35</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6</w:t>
            </w:r>
            <w:r w:rsidRPr="009F751C">
              <w:rPr>
                <w:rFonts w:hint="eastAsia"/>
              </w:rPr>
              <w:t>条：禁止对妇女的剥削</w:t>
            </w:r>
            <w:r w:rsidRPr="009F751C">
              <w:rPr>
                <w:rFonts w:eastAsia="KaiTi_GB2312"/>
                <w:sz w:val="18"/>
                <w:szCs w:val="18"/>
                <w:lang w:val="fr-CH"/>
              </w:rPr>
              <w:tab/>
            </w:r>
          </w:p>
        </w:tc>
        <w:tc>
          <w:tcPr>
            <w:tcW w:w="513" w:type="dxa"/>
            <w:vAlign w:val="bottom"/>
          </w:tcPr>
          <w:p w:rsidR="00D977B9" w:rsidRPr="009F751C" w:rsidRDefault="00D977B9" w:rsidP="00F827B2">
            <w:pPr>
              <w:spacing w:after="120"/>
              <w:jc w:val="right"/>
            </w:pPr>
            <w:r>
              <w:rPr>
                <w:rFonts w:hint="eastAsia"/>
              </w:rPr>
              <w:t>3</w:t>
            </w:r>
            <w:r w:rsidR="00F827B2">
              <w:rPr>
                <w:rFonts w:hint="eastAsia"/>
              </w:rPr>
              <w:t>5</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7</w:t>
            </w:r>
            <w:r w:rsidRPr="009F751C">
              <w:rPr>
                <w:rFonts w:hint="eastAsia"/>
              </w:rPr>
              <w:t>条：政治和公共生活中的平等权利</w:t>
            </w:r>
            <w:r w:rsidRPr="009F751C">
              <w:rPr>
                <w:rFonts w:eastAsia="KaiTi_GB2312"/>
                <w:sz w:val="18"/>
                <w:szCs w:val="18"/>
                <w:lang w:val="fr-CH"/>
              </w:rPr>
              <w:tab/>
            </w:r>
          </w:p>
        </w:tc>
        <w:tc>
          <w:tcPr>
            <w:tcW w:w="513" w:type="dxa"/>
            <w:vAlign w:val="bottom"/>
          </w:tcPr>
          <w:p w:rsidR="00D977B9" w:rsidRPr="009F751C" w:rsidRDefault="00D977B9" w:rsidP="00F827B2">
            <w:pPr>
              <w:spacing w:after="120"/>
              <w:jc w:val="right"/>
            </w:pPr>
            <w:r>
              <w:rPr>
                <w:rFonts w:hint="eastAsia"/>
              </w:rPr>
              <w:t>3</w:t>
            </w:r>
            <w:r w:rsidR="00F827B2">
              <w:rPr>
                <w:rFonts w:hint="eastAsia"/>
              </w:rPr>
              <w:t>6</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8</w:t>
            </w:r>
            <w:r w:rsidRPr="009F751C">
              <w:rPr>
                <w:rFonts w:hint="eastAsia"/>
              </w:rPr>
              <w:t>条：在国际上的代表和参与</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37</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9</w:t>
            </w:r>
            <w:r w:rsidRPr="009F751C">
              <w:rPr>
                <w:rFonts w:hint="eastAsia"/>
              </w:rPr>
              <w:t>条：取得、改变或保留国籍的同等权利</w:t>
            </w:r>
            <w:r w:rsidRPr="009F751C">
              <w:rPr>
                <w:rFonts w:eastAsia="KaiTi_GB2312"/>
                <w:sz w:val="18"/>
                <w:szCs w:val="18"/>
                <w:lang w:val="fr-CH"/>
              </w:rPr>
              <w:tab/>
            </w:r>
          </w:p>
        </w:tc>
        <w:tc>
          <w:tcPr>
            <w:tcW w:w="513" w:type="dxa"/>
            <w:vAlign w:val="bottom"/>
          </w:tcPr>
          <w:p w:rsidR="00D977B9" w:rsidRPr="009F751C" w:rsidRDefault="00D977B9" w:rsidP="00F827B2">
            <w:pPr>
              <w:spacing w:after="120"/>
              <w:jc w:val="right"/>
            </w:pPr>
            <w:r>
              <w:rPr>
                <w:rFonts w:hint="eastAsia"/>
              </w:rPr>
              <w:t>3</w:t>
            </w:r>
            <w:r w:rsidR="00F827B2">
              <w:rPr>
                <w:rFonts w:hint="eastAsia"/>
              </w:rPr>
              <w:t>7</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10</w:t>
            </w:r>
            <w:r w:rsidRPr="009F751C">
              <w:rPr>
                <w:rFonts w:hint="eastAsia"/>
              </w:rPr>
              <w:t>条：教育领域的平等</w:t>
            </w:r>
            <w:r w:rsidRPr="009F751C">
              <w:rPr>
                <w:rFonts w:eastAsia="KaiTi_GB2312"/>
                <w:sz w:val="18"/>
                <w:szCs w:val="18"/>
                <w:lang w:val="fr-CH"/>
              </w:rPr>
              <w:tab/>
            </w:r>
          </w:p>
        </w:tc>
        <w:tc>
          <w:tcPr>
            <w:tcW w:w="513" w:type="dxa"/>
            <w:vAlign w:val="bottom"/>
          </w:tcPr>
          <w:p w:rsidR="00D977B9" w:rsidRPr="009F751C" w:rsidRDefault="00D977B9" w:rsidP="00F827B2">
            <w:pPr>
              <w:spacing w:after="120"/>
              <w:jc w:val="right"/>
            </w:pPr>
            <w:r>
              <w:rPr>
                <w:rFonts w:hint="eastAsia"/>
              </w:rPr>
              <w:t>3</w:t>
            </w:r>
            <w:r w:rsidR="00F827B2">
              <w:rPr>
                <w:rFonts w:hint="eastAsia"/>
              </w:rPr>
              <w:t>7</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11</w:t>
            </w:r>
            <w:r w:rsidRPr="009F751C">
              <w:rPr>
                <w:rFonts w:hint="eastAsia"/>
              </w:rPr>
              <w:t>条：消除就业领域的歧视</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38</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12</w:t>
            </w:r>
            <w:r w:rsidRPr="009F751C">
              <w:rPr>
                <w:rFonts w:hint="eastAsia"/>
              </w:rPr>
              <w:t>条：平等获得保健服务</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39</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13</w:t>
            </w:r>
            <w:r w:rsidRPr="009F751C">
              <w:rPr>
                <w:rFonts w:hint="eastAsia"/>
              </w:rPr>
              <w:t>条：平等获得社会和经济福利</w:t>
            </w:r>
            <w:r w:rsidRPr="009F751C">
              <w:rPr>
                <w:rFonts w:eastAsia="KaiTi_GB2312"/>
                <w:sz w:val="18"/>
                <w:szCs w:val="18"/>
                <w:lang w:val="fr-CH"/>
              </w:rPr>
              <w:tab/>
            </w:r>
          </w:p>
        </w:tc>
        <w:tc>
          <w:tcPr>
            <w:tcW w:w="513" w:type="dxa"/>
            <w:vAlign w:val="bottom"/>
          </w:tcPr>
          <w:p w:rsidR="00D977B9" w:rsidRPr="009F751C" w:rsidRDefault="00F827B2" w:rsidP="00420E23">
            <w:pPr>
              <w:spacing w:after="120"/>
              <w:jc w:val="right"/>
            </w:pPr>
            <w:r>
              <w:rPr>
                <w:rFonts w:hint="eastAsia"/>
              </w:rPr>
              <w:t>39</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14</w:t>
            </w:r>
            <w:r w:rsidRPr="009F751C">
              <w:rPr>
                <w:rFonts w:hint="eastAsia"/>
              </w:rPr>
              <w:t>条：促进农村妇女的平等获取和参与</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40</w:t>
            </w:r>
          </w:p>
        </w:tc>
      </w:tr>
      <w:tr w:rsidR="00D977B9" w:rsidRPr="009F751C" w:rsidTr="00420E23">
        <w:trPr>
          <w:trHeight w:val="426"/>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15</w:t>
            </w:r>
            <w:r w:rsidRPr="009F751C">
              <w:rPr>
                <w:rFonts w:hint="eastAsia"/>
              </w:rPr>
              <w:t>条：法律和公民事务方面的平等</w:t>
            </w:r>
            <w:r w:rsidRPr="009F751C">
              <w:tab/>
            </w:r>
          </w:p>
        </w:tc>
        <w:tc>
          <w:tcPr>
            <w:tcW w:w="513" w:type="dxa"/>
            <w:vAlign w:val="bottom"/>
          </w:tcPr>
          <w:p w:rsidR="00D977B9" w:rsidRPr="009F751C" w:rsidRDefault="00D977B9" w:rsidP="00F827B2">
            <w:pPr>
              <w:spacing w:after="120"/>
              <w:jc w:val="right"/>
            </w:pPr>
            <w:r>
              <w:rPr>
                <w:rFonts w:hint="eastAsia"/>
              </w:rPr>
              <w:t>4</w:t>
            </w:r>
            <w:r w:rsidR="00F827B2">
              <w:rPr>
                <w:rFonts w:hint="eastAsia"/>
              </w:rPr>
              <w:t>0</w:t>
            </w:r>
          </w:p>
        </w:tc>
      </w:tr>
      <w:tr w:rsidR="00D977B9" w:rsidRPr="009F751C" w:rsidTr="00420E23">
        <w:trPr>
          <w:trHeight w:val="417"/>
        </w:trPr>
        <w:tc>
          <w:tcPr>
            <w:tcW w:w="9015" w:type="dxa"/>
            <w:gridSpan w:val="3"/>
          </w:tcPr>
          <w:p w:rsidR="00D977B9" w:rsidRPr="009F751C" w:rsidRDefault="00D977B9" w:rsidP="00420E23">
            <w:pPr>
              <w:tabs>
                <w:tab w:val="clear" w:pos="431"/>
                <w:tab w:val="left" w:pos="1701"/>
                <w:tab w:val="right" w:leader="dot" w:pos="9214"/>
              </w:tabs>
              <w:spacing w:after="120"/>
              <w:ind w:left="1296"/>
            </w:pPr>
            <w:r w:rsidRPr="009F751C">
              <w:tab/>
            </w:r>
            <w:r w:rsidRPr="009F751C">
              <w:rPr>
                <w:rFonts w:hint="eastAsia"/>
              </w:rPr>
              <w:t>第</w:t>
            </w:r>
            <w:r w:rsidRPr="009F751C">
              <w:t>16</w:t>
            </w:r>
            <w:r w:rsidRPr="009F751C">
              <w:rPr>
                <w:rFonts w:hint="eastAsia"/>
              </w:rPr>
              <w:t>条：婚姻和家庭法律上的平等</w:t>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41</w:t>
            </w:r>
          </w:p>
        </w:tc>
      </w:tr>
      <w:tr w:rsidR="00D977B9" w:rsidRPr="009F751C" w:rsidTr="00420E23">
        <w:trPr>
          <w:trHeight w:val="426"/>
        </w:trPr>
        <w:tc>
          <w:tcPr>
            <w:tcW w:w="9015" w:type="dxa"/>
            <w:gridSpan w:val="3"/>
          </w:tcPr>
          <w:p w:rsidR="00D977B9" w:rsidRPr="009F751C" w:rsidRDefault="00D977B9" w:rsidP="00420E23">
            <w:pPr>
              <w:tabs>
                <w:tab w:val="right" w:pos="1080"/>
                <w:tab w:val="left" w:pos="1296"/>
                <w:tab w:val="left" w:pos="1728"/>
                <w:tab w:val="left" w:pos="2160"/>
                <w:tab w:val="right" w:leader="dot" w:pos="9214"/>
                <w:tab w:val="right" w:leader="dot" w:pos="9360"/>
              </w:tabs>
              <w:spacing w:after="120"/>
              <w:ind w:left="1728" w:hanging="432"/>
              <w:rPr>
                <w:spacing w:val="60"/>
                <w:sz w:val="17"/>
              </w:rPr>
            </w:pPr>
            <w:r w:rsidRPr="009F751C">
              <w:rPr>
                <w:rFonts w:hint="eastAsia"/>
              </w:rPr>
              <w:t>结论</w:t>
            </w:r>
            <w:r w:rsidRPr="009F751C">
              <w:rPr>
                <w:spacing w:val="60"/>
                <w:sz w:val="17"/>
              </w:rPr>
              <w:tab/>
            </w:r>
            <w:r w:rsidRPr="009F751C">
              <w:rPr>
                <w:rFonts w:eastAsia="KaiTi_GB2312"/>
                <w:sz w:val="18"/>
                <w:szCs w:val="18"/>
                <w:lang w:val="fr-CH"/>
              </w:rPr>
              <w:tab/>
            </w:r>
            <w:r w:rsidRPr="009F751C">
              <w:rPr>
                <w:rFonts w:eastAsia="KaiTi_GB2312"/>
                <w:sz w:val="18"/>
                <w:szCs w:val="18"/>
                <w:lang w:val="fr-CH"/>
              </w:rPr>
              <w:tab/>
            </w:r>
          </w:p>
        </w:tc>
        <w:tc>
          <w:tcPr>
            <w:tcW w:w="513" w:type="dxa"/>
            <w:vAlign w:val="bottom"/>
          </w:tcPr>
          <w:p w:rsidR="00D977B9" w:rsidRPr="009F751C" w:rsidRDefault="00D977B9" w:rsidP="00420E23">
            <w:pPr>
              <w:spacing w:after="120"/>
              <w:jc w:val="right"/>
            </w:pPr>
            <w:r>
              <w:rPr>
                <w:rFonts w:hint="eastAsia"/>
              </w:rPr>
              <w:t>42</w:t>
            </w:r>
          </w:p>
        </w:tc>
      </w:tr>
    </w:tbl>
    <w:p w:rsidR="00D977B9" w:rsidRPr="009F751C" w:rsidRDefault="00D977B9" w:rsidP="00D977B9">
      <w:pPr>
        <w:pStyle w:val="H1"/>
        <w:tabs>
          <w:tab w:val="left" w:pos="1134"/>
        </w:tabs>
        <w:spacing w:line="400" w:lineRule="exact"/>
        <w:ind w:right="1259"/>
        <w:rPr>
          <w:rFonts w:ascii="Times New Roman"/>
        </w:rPr>
      </w:pPr>
      <w:r w:rsidRPr="009F751C">
        <w:rPr>
          <w:rFonts w:ascii="Times New Roman"/>
        </w:rPr>
        <w:br w:type="page"/>
      </w:r>
      <w:r w:rsidRPr="009F751C">
        <w:rPr>
          <w:rFonts w:ascii="Times New Roman" w:hint="eastAsia"/>
        </w:rPr>
        <w:tab/>
      </w:r>
      <w:r w:rsidRPr="009F751C">
        <w:rPr>
          <w:rFonts w:ascii="Times New Roman" w:hint="eastAsia"/>
        </w:rPr>
        <w:tab/>
      </w:r>
      <w:r w:rsidRPr="009F751C">
        <w:rPr>
          <w:rFonts w:ascii="Times New Roman" w:hint="eastAsia"/>
        </w:rPr>
        <w:t>缩略语表</w:t>
      </w:r>
    </w:p>
    <w:p w:rsidR="00D977B9" w:rsidRPr="009F751C" w:rsidRDefault="00D977B9" w:rsidP="00D977B9">
      <w:pPr>
        <w:pStyle w:val="SingleTxt"/>
        <w:spacing w:after="0" w:line="120" w:lineRule="exact"/>
        <w:rPr>
          <w:i/>
          <w:sz w:val="10"/>
        </w:rPr>
      </w:pPr>
    </w:p>
    <w:p w:rsidR="00D977B9" w:rsidRPr="009F751C" w:rsidRDefault="00D977B9" w:rsidP="00D977B9">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633"/>
        <w:gridCol w:w="4687"/>
      </w:tblGrid>
      <w:tr w:rsidR="00D977B9" w:rsidRPr="009F751C" w:rsidTr="00420E23">
        <w:trPr>
          <w:trHeight w:val="367"/>
        </w:trPr>
        <w:tc>
          <w:tcPr>
            <w:tcW w:w="2633" w:type="dxa"/>
          </w:tcPr>
          <w:p w:rsidR="00D977B9" w:rsidRPr="009F751C" w:rsidRDefault="00D977B9" w:rsidP="00420E23">
            <w:pPr>
              <w:spacing w:after="120"/>
            </w:pPr>
            <w:r w:rsidRPr="009F751C">
              <w:rPr>
                <w:rFonts w:hint="eastAsia"/>
              </w:rPr>
              <w:t>加共体</w:t>
            </w:r>
          </w:p>
        </w:tc>
        <w:tc>
          <w:tcPr>
            <w:tcW w:w="4687" w:type="dxa"/>
          </w:tcPr>
          <w:p w:rsidR="00D977B9" w:rsidRPr="009F751C" w:rsidRDefault="00D977B9" w:rsidP="00420E23">
            <w:pPr>
              <w:spacing w:after="120"/>
            </w:pPr>
            <w:r w:rsidRPr="009F751C">
              <w:rPr>
                <w:rFonts w:hint="eastAsia"/>
              </w:rPr>
              <w:t>加勒比共同体</w:t>
            </w:r>
          </w:p>
        </w:tc>
      </w:tr>
      <w:tr w:rsidR="00D977B9" w:rsidRPr="009F751C" w:rsidTr="00420E23">
        <w:tc>
          <w:tcPr>
            <w:tcW w:w="2633" w:type="dxa"/>
          </w:tcPr>
          <w:p w:rsidR="00D977B9" w:rsidRPr="009F751C" w:rsidRDefault="00D977B9" w:rsidP="00420E23">
            <w:pPr>
              <w:spacing w:after="120"/>
            </w:pPr>
            <w:r w:rsidRPr="009F751C">
              <w:rPr>
                <w:rFonts w:hint="eastAsia"/>
              </w:rPr>
              <w:t>社区基金</w:t>
            </w:r>
          </w:p>
        </w:tc>
        <w:tc>
          <w:tcPr>
            <w:tcW w:w="4687" w:type="dxa"/>
          </w:tcPr>
          <w:p w:rsidR="00D977B9" w:rsidRPr="009F751C" w:rsidRDefault="00D977B9" w:rsidP="00420E23">
            <w:pPr>
              <w:spacing w:after="120"/>
            </w:pPr>
            <w:r w:rsidRPr="009F751C">
              <w:rPr>
                <w:rFonts w:hint="eastAsia"/>
              </w:rPr>
              <w:t>社区发展基金</w:t>
            </w:r>
          </w:p>
        </w:tc>
      </w:tr>
      <w:tr w:rsidR="00D977B9" w:rsidRPr="009F751C" w:rsidTr="00420E23">
        <w:tc>
          <w:tcPr>
            <w:tcW w:w="2633" w:type="dxa"/>
          </w:tcPr>
          <w:p w:rsidR="00D977B9" w:rsidRPr="009F751C" w:rsidRDefault="00D977B9" w:rsidP="00420E23">
            <w:pPr>
              <w:spacing w:after="120"/>
            </w:pPr>
            <w:r w:rsidRPr="009F751C">
              <w:rPr>
                <w:rFonts w:hint="eastAsia"/>
              </w:rPr>
              <w:t>《消除对妇女歧视公约》</w:t>
            </w:r>
          </w:p>
        </w:tc>
        <w:tc>
          <w:tcPr>
            <w:tcW w:w="4687" w:type="dxa"/>
          </w:tcPr>
          <w:p w:rsidR="00D977B9" w:rsidRPr="009F751C" w:rsidRDefault="00D977B9" w:rsidP="00420E23">
            <w:pPr>
              <w:spacing w:after="120"/>
            </w:pPr>
            <w:r w:rsidRPr="009F751C">
              <w:rPr>
                <w:rFonts w:hint="eastAsia"/>
              </w:rPr>
              <w:t>《消除对妇女一切形式歧视公约》</w:t>
            </w:r>
          </w:p>
        </w:tc>
      </w:tr>
      <w:tr w:rsidR="00D977B9" w:rsidRPr="009F751C" w:rsidTr="00420E23">
        <w:tc>
          <w:tcPr>
            <w:tcW w:w="2633" w:type="dxa"/>
          </w:tcPr>
          <w:p w:rsidR="00D977B9" w:rsidRPr="009F751C" w:rsidRDefault="00D977B9" w:rsidP="00420E23">
            <w:pPr>
              <w:spacing w:after="120"/>
            </w:pPr>
            <w:r w:rsidRPr="009F751C">
              <w:rPr>
                <w:rFonts w:hint="eastAsia"/>
              </w:rPr>
              <w:t>国内总产值</w:t>
            </w:r>
          </w:p>
        </w:tc>
        <w:tc>
          <w:tcPr>
            <w:tcW w:w="4687" w:type="dxa"/>
          </w:tcPr>
          <w:p w:rsidR="00D977B9" w:rsidRPr="009F751C" w:rsidRDefault="00D977B9" w:rsidP="00420E23">
            <w:pPr>
              <w:spacing w:after="120"/>
            </w:pPr>
            <w:r w:rsidRPr="009F751C">
              <w:rPr>
                <w:rFonts w:hint="eastAsia"/>
              </w:rPr>
              <w:t>国内生产总值</w:t>
            </w:r>
          </w:p>
        </w:tc>
      </w:tr>
      <w:tr w:rsidR="00D977B9" w:rsidRPr="009F751C" w:rsidTr="00420E23">
        <w:tc>
          <w:tcPr>
            <w:tcW w:w="2633" w:type="dxa"/>
          </w:tcPr>
          <w:p w:rsidR="00D977B9" w:rsidRPr="009F751C" w:rsidRDefault="00D977B9" w:rsidP="00420E23">
            <w:pPr>
              <w:spacing w:after="120"/>
            </w:pPr>
            <w:r w:rsidRPr="009F751C">
              <w:rPr>
                <w:rFonts w:hint="eastAsia"/>
              </w:rPr>
              <w:t>艾滋病毒</w:t>
            </w:r>
            <w:r w:rsidRPr="009F751C">
              <w:t>/</w:t>
            </w:r>
            <w:r w:rsidRPr="009F751C">
              <w:rPr>
                <w:rFonts w:hint="eastAsia"/>
              </w:rPr>
              <w:t>艾滋病</w:t>
            </w:r>
          </w:p>
        </w:tc>
        <w:tc>
          <w:tcPr>
            <w:tcW w:w="4687" w:type="dxa"/>
          </w:tcPr>
          <w:p w:rsidR="00D977B9" w:rsidRPr="009F751C" w:rsidRDefault="00D977B9" w:rsidP="00420E23">
            <w:pPr>
              <w:spacing w:after="120"/>
            </w:pPr>
            <w:r w:rsidRPr="009F751C">
              <w:rPr>
                <w:rFonts w:hint="eastAsia"/>
              </w:rPr>
              <w:t>人体免疫缺陷病毒</w:t>
            </w:r>
            <w:r w:rsidRPr="009F751C">
              <w:t>/</w:t>
            </w:r>
            <w:r w:rsidRPr="009F751C">
              <w:rPr>
                <w:rFonts w:hint="eastAsia"/>
              </w:rPr>
              <w:t>获得性免疫缺陷综合征</w:t>
            </w:r>
          </w:p>
        </w:tc>
      </w:tr>
      <w:tr w:rsidR="00D977B9" w:rsidRPr="009F751C" w:rsidTr="00420E23">
        <w:tc>
          <w:tcPr>
            <w:tcW w:w="2633" w:type="dxa"/>
          </w:tcPr>
          <w:p w:rsidR="00D977B9" w:rsidRPr="009F751C" w:rsidRDefault="00D977B9" w:rsidP="00420E23">
            <w:pPr>
              <w:spacing w:after="120"/>
            </w:pPr>
            <w:r w:rsidRPr="009F751C">
              <w:rPr>
                <w:rFonts w:hint="eastAsia"/>
              </w:rPr>
              <w:t>信通技术</w:t>
            </w:r>
          </w:p>
        </w:tc>
        <w:tc>
          <w:tcPr>
            <w:tcW w:w="4687" w:type="dxa"/>
          </w:tcPr>
          <w:p w:rsidR="00D977B9" w:rsidRPr="009F751C" w:rsidRDefault="00D977B9" w:rsidP="00420E23">
            <w:pPr>
              <w:spacing w:after="120"/>
            </w:pPr>
            <w:r w:rsidRPr="009F751C">
              <w:rPr>
                <w:rFonts w:hint="eastAsia"/>
              </w:rPr>
              <w:t>信息和通信技术</w:t>
            </w:r>
          </w:p>
        </w:tc>
      </w:tr>
      <w:tr w:rsidR="00D977B9" w:rsidRPr="009F751C" w:rsidTr="00420E23">
        <w:tc>
          <w:tcPr>
            <w:tcW w:w="2633" w:type="dxa"/>
          </w:tcPr>
          <w:p w:rsidR="00D977B9" w:rsidRPr="009F751C" w:rsidRDefault="00D977B9" w:rsidP="00420E23">
            <w:pPr>
              <w:spacing w:after="120"/>
            </w:pPr>
            <w:r w:rsidRPr="009F751C">
              <w:rPr>
                <w:rFonts w:hint="eastAsia"/>
              </w:rPr>
              <w:t>劳工组织</w:t>
            </w:r>
          </w:p>
        </w:tc>
        <w:tc>
          <w:tcPr>
            <w:tcW w:w="4687" w:type="dxa"/>
          </w:tcPr>
          <w:p w:rsidR="00D977B9" w:rsidRPr="009F751C" w:rsidRDefault="00D977B9" w:rsidP="00420E23">
            <w:pPr>
              <w:spacing w:after="120"/>
            </w:pPr>
            <w:r w:rsidRPr="009F751C">
              <w:rPr>
                <w:rFonts w:hint="eastAsia"/>
              </w:rPr>
              <w:t>国际劳工组织</w:t>
            </w:r>
          </w:p>
        </w:tc>
      </w:tr>
      <w:tr w:rsidR="00D977B9" w:rsidRPr="009F751C" w:rsidTr="00420E23">
        <w:tc>
          <w:tcPr>
            <w:tcW w:w="2633" w:type="dxa"/>
          </w:tcPr>
          <w:p w:rsidR="00D977B9" w:rsidRPr="009F751C" w:rsidRDefault="00D977B9" w:rsidP="00420E23">
            <w:pPr>
              <w:spacing w:after="120"/>
            </w:pPr>
            <w:r w:rsidRPr="009F751C">
              <w:rPr>
                <w:rFonts w:hint="eastAsia"/>
              </w:rPr>
              <w:t>移民组织</w:t>
            </w:r>
          </w:p>
        </w:tc>
        <w:tc>
          <w:tcPr>
            <w:tcW w:w="4687" w:type="dxa"/>
          </w:tcPr>
          <w:p w:rsidR="00D977B9" w:rsidRPr="009F751C" w:rsidRDefault="00D977B9" w:rsidP="00420E23">
            <w:pPr>
              <w:spacing w:after="120"/>
            </w:pPr>
            <w:r w:rsidRPr="009F751C">
              <w:rPr>
                <w:rFonts w:hint="eastAsia"/>
              </w:rPr>
              <w:t>国际移民组织</w:t>
            </w:r>
          </w:p>
        </w:tc>
      </w:tr>
      <w:tr w:rsidR="00D977B9" w:rsidRPr="009F751C" w:rsidTr="00420E23">
        <w:tc>
          <w:tcPr>
            <w:tcW w:w="2633" w:type="dxa"/>
          </w:tcPr>
          <w:p w:rsidR="00D977B9" w:rsidRPr="009F751C" w:rsidRDefault="00D977B9" w:rsidP="00420E23">
            <w:pPr>
              <w:spacing w:after="120"/>
            </w:pPr>
            <w:r w:rsidRPr="009F751C">
              <w:rPr>
                <w:rFonts w:hint="eastAsia"/>
              </w:rPr>
              <w:t>美洲组织</w:t>
            </w:r>
          </w:p>
        </w:tc>
        <w:tc>
          <w:tcPr>
            <w:tcW w:w="4687" w:type="dxa"/>
          </w:tcPr>
          <w:p w:rsidR="00D977B9" w:rsidRPr="009F751C" w:rsidRDefault="00D977B9" w:rsidP="00420E23">
            <w:pPr>
              <w:spacing w:after="120"/>
            </w:pPr>
            <w:r w:rsidRPr="009F751C">
              <w:rPr>
                <w:rFonts w:hint="eastAsia"/>
              </w:rPr>
              <w:t>美洲国家组织</w:t>
            </w:r>
          </w:p>
        </w:tc>
      </w:tr>
      <w:tr w:rsidR="00D977B9" w:rsidRPr="009F751C" w:rsidTr="00420E23">
        <w:tc>
          <w:tcPr>
            <w:tcW w:w="2633" w:type="dxa"/>
          </w:tcPr>
          <w:p w:rsidR="00D977B9" w:rsidRPr="009F751C" w:rsidRDefault="00D977B9" w:rsidP="00420E23">
            <w:pPr>
              <w:spacing w:after="120"/>
            </w:pPr>
            <w:r w:rsidRPr="009F751C">
              <w:rPr>
                <w:rFonts w:hint="eastAsia"/>
              </w:rPr>
              <w:t>人权高专办</w:t>
            </w:r>
          </w:p>
        </w:tc>
        <w:tc>
          <w:tcPr>
            <w:tcW w:w="4687" w:type="dxa"/>
          </w:tcPr>
          <w:p w:rsidR="00D977B9" w:rsidRPr="009F751C" w:rsidRDefault="00D977B9" w:rsidP="00420E23">
            <w:pPr>
              <w:spacing w:after="120"/>
            </w:pPr>
            <w:r w:rsidRPr="009F751C">
              <w:rPr>
                <w:rFonts w:hint="eastAsia"/>
              </w:rPr>
              <w:t>人权事务高级专员办事处</w:t>
            </w:r>
          </w:p>
        </w:tc>
      </w:tr>
      <w:tr w:rsidR="00D977B9" w:rsidRPr="009F751C" w:rsidTr="00420E23">
        <w:tc>
          <w:tcPr>
            <w:tcW w:w="2633" w:type="dxa"/>
          </w:tcPr>
          <w:p w:rsidR="00D977B9" w:rsidRPr="009F751C" w:rsidRDefault="00D977B9" w:rsidP="00420E23">
            <w:pPr>
              <w:spacing w:after="120"/>
            </w:pPr>
            <w:r w:rsidRPr="009F751C">
              <w:rPr>
                <w:rFonts w:hint="eastAsia"/>
              </w:rPr>
              <w:t>特元</w:t>
            </w:r>
          </w:p>
        </w:tc>
        <w:tc>
          <w:tcPr>
            <w:tcW w:w="4687" w:type="dxa"/>
          </w:tcPr>
          <w:p w:rsidR="00D977B9" w:rsidRPr="009F751C" w:rsidRDefault="00D977B9" w:rsidP="00420E23">
            <w:pPr>
              <w:spacing w:after="120"/>
            </w:pPr>
            <w:r w:rsidRPr="009F751C">
              <w:rPr>
                <w:rFonts w:hint="eastAsia"/>
              </w:rPr>
              <w:t>特立尼达和多巴哥元</w:t>
            </w:r>
          </w:p>
        </w:tc>
      </w:tr>
      <w:tr w:rsidR="00D977B9" w:rsidRPr="009F751C" w:rsidTr="00420E23">
        <w:tc>
          <w:tcPr>
            <w:tcW w:w="2633" w:type="dxa"/>
          </w:tcPr>
          <w:p w:rsidR="00D977B9" w:rsidRPr="009F751C" w:rsidRDefault="00D977B9" w:rsidP="00420E23">
            <w:pPr>
              <w:spacing w:after="120"/>
            </w:pPr>
            <w:r w:rsidRPr="009F751C">
              <w:rPr>
                <w:rFonts w:hint="eastAsia"/>
              </w:rPr>
              <w:t>开发署</w:t>
            </w:r>
          </w:p>
        </w:tc>
        <w:tc>
          <w:tcPr>
            <w:tcW w:w="4687" w:type="dxa"/>
          </w:tcPr>
          <w:p w:rsidR="00D977B9" w:rsidRPr="009F751C" w:rsidRDefault="00D977B9" w:rsidP="00420E23">
            <w:pPr>
              <w:spacing w:after="120"/>
            </w:pPr>
            <w:r w:rsidRPr="009F751C">
              <w:rPr>
                <w:rFonts w:hint="eastAsia"/>
              </w:rPr>
              <w:t>联合国开发计划署</w:t>
            </w:r>
          </w:p>
        </w:tc>
      </w:tr>
      <w:tr w:rsidR="00D977B9" w:rsidRPr="009F751C" w:rsidTr="00420E23">
        <w:tc>
          <w:tcPr>
            <w:tcW w:w="2633" w:type="dxa"/>
          </w:tcPr>
          <w:p w:rsidR="00D977B9" w:rsidRPr="009F751C" w:rsidRDefault="00D977B9" w:rsidP="00420E23">
            <w:pPr>
              <w:spacing w:after="120"/>
            </w:pPr>
            <w:r w:rsidRPr="009F751C">
              <w:rPr>
                <w:rFonts w:hint="eastAsia"/>
              </w:rPr>
              <w:t>人口基金</w:t>
            </w:r>
          </w:p>
        </w:tc>
        <w:tc>
          <w:tcPr>
            <w:tcW w:w="4687" w:type="dxa"/>
          </w:tcPr>
          <w:p w:rsidR="00D977B9" w:rsidRPr="009F751C" w:rsidRDefault="00D977B9" w:rsidP="00420E23">
            <w:pPr>
              <w:spacing w:after="120"/>
            </w:pPr>
            <w:r w:rsidRPr="009F751C">
              <w:rPr>
                <w:rFonts w:hint="eastAsia"/>
              </w:rPr>
              <w:t>联合国人口基金</w:t>
            </w:r>
          </w:p>
        </w:tc>
      </w:tr>
      <w:tr w:rsidR="00D977B9" w:rsidRPr="009F751C" w:rsidTr="00420E23">
        <w:tc>
          <w:tcPr>
            <w:tcW w:w="2633" w:type="dxa"/>
          </w:tcPr>
          <w:p w:rsidR="00D977B9" w:rsidRPr="009F751C" w:rsidRDefault="00D977B9" w:rsidP="00420E23">
            <w:pPr>
              <w:spacing w:after="120"/>
            </w:pPr>
            <w:r w:rsidRPr="009F751C">
              <w:rPr>
                <w:rFonts w:hint="eastAsia"/>
              </w:rPr>
              <w:t>联大</w:t>
            </w:r>
          </w:p>
        </w:tc>
        <w:tc>
          <w:tcPr>
            <w:tcW w:w="4687" w:type="dxa"/>
          </w:tcPr>
          <w:p w:rsidR="00D977B9" w:rsidRPr="009F751C" w:rsidRDefault="00D977B9" w:rsidP="00420E23">
            <w:pPr>
              <w:spacing w:after="120"/>
            </w:pPr>
            <w:r w:rsidRPr="009F751C">
              <w:rPr>
                <w:rFonts w:hint="eastAsia"/>
              </w:rPr>
              <w:t>联合国大会</w:t>
            </w:r>
          </w:p>
        </w:tc>
      </w:tr>
      <w:tr w:rsidR="00D977B9" w:rsidRPr="009F751C" w:rsidTr="00420E23">
        <w:tc>
          <w:tcPr>
            <w:tcW w:w="2633" w:type="dxa"/>
          </w:tcPr>
          <w:p w:rsidR="00D977B9" w:rsidRPr="009F751C" w:rsidRDefault="00D977B9" w:rsidP="00420E23">
            <w:pPr>
              <w:spacing w:after="120"/>
            </w:pPr>
            <w:r w:rsidRPr="009F751C">
              <w:rPr>
                <w:rFonts w:hint="eastAsia"/>
              </w:rPr>
              <w:t>新闻中心</w:t>
            </w:r>
          </w:p>
        </w:tc>
        <w:tc>
          <w:tcPr>
            <w:tcW w:w="4687" w:type="dxa"/>
          </w:tcPr>
          <w:p w:rsidR="00D977B9" w:rsidRPr="009F751C" w:rsidRDefault="00D977B9" w:rsidP="00420E23">
            <w:pPr>
              <w:spacing w:after="120"/>
            </w:pPr>
            <w:r w:rsidRPr="009F751C">
              <w:rPr>
                <w:rFonts w:hint="eastAsia"/>
              </w:rPr>
              <w:t>联合国新闻中心</w:t>
            </w:r>
          </w:p>
        </w:tc>
      </w:tr>
      <w:tr w:rsidR="00D977B9" w:rsidRPr="009F751C" w:rsidTr="00420E23">
        <w:tc>
          <w:tcPr>
            <w:tcW w:w="2633" w:type="dxa"/>
          </w:tcPr>
          <w:p w:rsidR="00D977B9" w:rsidRPr="009F751C" w:rsidRDefault="00D977B9" w:rsidP="00420E23">
            <w:pPr>
              <w:spacing w:after="120"/>
            </w:pPr>
            <w:r w:rsidRPr="009F751C">
              <w:rPr>
                <w:rFonts w:hint="eastAsia"/>
              </w:rPr>
              <w:t>儿基会</w:t>
            </w:r>
          </w:p>
        </w:tc>
        <w:tc>
          <w:tcPr>
            <w:tcW w:w="4687" w:type="dxa"/>
          </w:tcPr>
          <w:p w:rsidR="00D977B9" w:rsidRPr="009F751C" w:rsidRDefault="00D977B9" w:rsidP="00420E23">
            <w:pPr>
              <w:spacing w:after="120"/>
            </w:pPr>
            <w:r w:rsidRPr="009F751C">
              <w:rPr>
                <w:rFonts w:hint="eastAsia"/>
              </w:rPr>
              <w:t>联合国儿童基金会</w:t>
            </w:r>
          </w:p>
        </w:tc>
      </w:tr>
      <w:tr w:rsidR="00D977B9" w:rsidRPr="009F751C" w:rsidTr="00420E23">
        <w:tc>
          <w:tcPr>
            <w:tcW w:w="2633" w:type="dxa"/>
          </w:tcPr>
          <w:p w:rsidR="00D977B9" w:rsidRPr="009F751C" w:rsidRDefault="00D977B9" w:rsidP="00420E23">
            <w:pPr>
              <w:spacing w:after="120"/>
            </w:pPr>
            <w:r w:rsidRPr="009F751C">
              <w:rPr>
                <w:rFonts w:hint="eastAsia"/>
              </w:rPr>
              <w:t>妇发基金</w:t>
            </w:r>
          </w:p>
        </w:tc>
        <w:tc>
          <w:tcPr>
            <w:tcW w:w="4687" w:type="dxa"/>
          </w:tcPr>
          <w:p w:rsidR="00D977B9" w:rsidRPr="009F751C" w:rsidRDefault="00D977B9" w:rsidP="00420E23">
            <w:pPr>
              <w:spacing w:after="120"/>
            </w:pPr>
            <w:r w:rsidRPr="009F751C">
              <w:rPr>
                <w:rFonts w:hint="eastAsia"/>
              </w:rPr>
              <w:t>联合国妇女发展基金</w:t>
            </w:r>
          </w:p>
        </w:tc>
      </w:tr>
      <w:tr w:rsidR="00D977B9" w:rsidRPr="009F751C" w:rsidTr="00420E23">
        <w:tc>
          <w:tcPr>
            <w:tcW w:w="2633" w:type="dxa"/>
          </w:tcPr>
          <w:p w:rsidR="00D977B9" w:rsidRPr="009F751C" w:rsidRDefault="00D977B9" w:rsidP="00420E23">
            <w:pPr>
              <w:spacing w:after="120"/>
            </w:pPr>
            <w:r w:rsidRPr="009F751C">
              <w:rPr>
                <w:rFonts w:hint="eastAsia"/>
              </w:rPr>
              <w:t>妇女署</w:t>
            </w:r>
          </w:p>
        </w:tc>
        <w:tc>
          <w:tcPr>
            <w:tcW w:w="4687" w:type="dxa"/>
          </w:tcPr>
          <w:p w:rsidR="00D977B9" w:rsidRPr="009F751C" w:rsidRDefault="00D977B9" w:rsidP="00420E23">
            <w:pPr>
              <w:spacing w:after="120"/>
            </w:pPr>
            <w:r w:rsidRPr="009F751C">
              <w:rPr>
                <w:rFonts w:hint="eastAsia"/>
              </w:rPr>
              <w:t>联合国促进性别平等和增强妇女权能署</w:t>
            </w:r>
          </w:p>
        </w:tc>
      </w:tr>
      <w:tr w:rsidR="00D977B9" w:rsidRPr="009F751C" w:rsidTr="00420E23">
        <w:tc>
          <w:tcPr>
            <w:tcW w:w="2633" w:type="dxa"/>
          </w:tcPr>
          <w:p w:rsidR="00D977B9" w:rsidRPr="009F751C" w:rsidRDefault="00D977B9" w:rsidP="00420E23">
            <w:pPr>
              <w:spacing w:after="120"/>
            </w:pPr>
            <w:r w:rsidRPr="009F751C">
              <w:rPr>
                <w:rFonts w:hint="eastAsia"/>
              </w:rPr>
              <w:t>青年会</w:t>
            </w:r>
          </w:p>
        </w:tc>
        <w:tc>
          <w:tcPr>
            <w:tcW w:w="4687" w:type="dxa"/>
          </w:tcPr>
          <w:p w:rsidR="00D977B9" w:rsidRPr="009F751C" w:rsidRDefault="00D977B9" w:rsidP="00420E23">
            <w:pPr>
              <w:spacing w:after="120"/>
            </w:pPr>
            <w:r w:rsidRPr="009F751C">
              <w:rPr>
                <w:rFonts w:hint="eastAsia"/>
              </w:rPr>
              <w:t>基督教男青年会</w:t>
            </w:r>
          </w:p>
        </w:tc>
      </w:tr>
    </w:tbl>
    <w:p w:rsidR="00D977B9" w:rsidRPr="009F751C" w:rsidRDefault="00D977B9" w:rsidP="00D977B9">
      <w:pPr>
        <w:pStyle w:val="HChGC"/>
        <w:rPr>
          <w:rFonts w:hint="eastAsia"/>
        </w:rPr>
      </w:pPr>
      <w:r w:rsidRPr="009F751C">
        <w:br w:type="page"/>
      </w:r>
      <w:bookmarkStart w:id="4" w:name="_Toc350338304"/>
      <w:bookmarkStart w:id="5" w:name="_Toc350338325"/>
      <w:r w:rsidRPr="009F751C">
        <w:tab/>
      </w:r>
      <w:r w:rsidRPr="009F751C">
        <w:tab/>
      </w:r>
      <w:r w:rsidRPr="009F751C">
        <w:rPr>
          <w:rFonts w:hint="eastAsia"/>
        </w:rPr>
        <w:t>导言</w:t>
      </w:r>
      <w:bookmarkEnd w:id="4"/>
      <w:bookmarkEnd w:id="5"/>
    </w:p>
    <w:p w:rsidR="00D977B9" w:rsidRPr="009F751C" w:rsidRDefault="00D977B9" w:rsidP="00D977B9">
      <w:pPr>
        <w:pStyle w:val="SingleTxt"/>
        <w:spacing w:after="120"/>
        <w:ind w:left="1134" w:right="1134"/>
      </w:pPr>
      <w:r w:rsidRPr="009F751C">
        <w:rPr>
          <w:rFonts w:hint="eastAsia"/>
        </w:rPr>
        <w:t>根据《消除对妇女一切形式歧视公约》（《消除对妇女歧视公约》）第</w:t>
      </w:r>
      <w:r w:rsidRPr="009F751C">
        <w:t>18</w:t>
      </w:r>
      <w:r w:rsidRPr="009F751C">
        <w:rPr>
          <w:rFonts w:hint="eastAsia"/>
        </w:rPr>
        <w:t>条，特立尼达和多巴哥共和国政府提交了关于</w:t>
      </w:r>
      <w:r w:rsidRPr="009F751C">
        <w:t>2001</w:t>
      </w:r>
      <w:r w:rsidRPr="009F751C">
        <w:rPr>
          <w:rFonts w:hint="eastAsia"/>
        </w:rPr>
        <w:t>至</w:t>
      </w:r>
      <w:r w:rsidRPr="009F751C">
        <w:t>2013</w:t>
      </w:r>
      <w:r w:rsidRPr="009F751C">
        <w:rPr>
          <w:rFonts w:hint="eastAsia"/>
        </w:rPr>
        <w:t>年间《公约》执行情况的第四次、第五次、第六次和第七次合并定期报告。</w:t>
      </w:r>
    </w:p>
    <w:p w:rsidR="00D977B9" w:rsidRPr="009F751C" w:rsidRDefault="00D977B9" w:rsidP="00D977B9">
      <w:pPr>
        <w:pStyle w:val="SingleTxt"/>
        <w:spacing w:after="120"/>
        <w:ind w:left="1134" w:right="1134"/>
      </w:pPr>
      <w:r w:rsidRPr="009F751C">
        <w:rPr>
          <w:rFonts w:hint="eastAsia"/>
        </w:rPr>
        <w:t>本报告是总检察长部国际法律和人权股与性别事务司合作，在外交部的协助下，根据</w:t>
      </w:r>
      <w:hyperlink r:id="rId14" w:history="1">
        <w:r w:rsidRPr="009F751C">
          <w:rPr>
            <w:rStyle w:val="Hyperlink"/>
          </w:rPr>
          <w:t>HRI/GEN/2/Rev.1/Add.2</w:t>
        </w:r>
      </w:hyperlink>
      <w:r w:rsidRPr="009F751C">
        <w:rPr>
          <w:rFonts w:hint="eastAsia"/>
        </w:rPr>
        <w:t>的报告编制一般性指导编制的。性别事务司先前从</w:t>
      </w:r>
      <w:r w:rsidRPr="009F751C">
        <w:t>2001</w:t>
      </w:r>
      <w:r w:rsidRPr="009F751C">
        <w:rPr>
          <w:rFonts w:hint="eastAsia"/>
        </w:rPr>
        <w:t>至</w:t>
      </w:r>
      <w:r w:rsidRPr="009F751C">
        <w:t>2010</w:t>
      </w:r>
      <w:r w:rsidRPr="009F751C">
        <w:rPr>
          <w:rFonts w:hint="eastAsia"/>
        </w:rPr>
        <w:t>年属于社区发展、文化和性别事务部，随后从</w:t>
      </w:r>
      <w:r w:rsidRPr="009F751C">
        <w:t>2010</w:t>
      </w:r>
      <w:r w:rsidRPr="009F751C">
        <w:rPr>
          <w:rFonts w:hint="eastAsia"/>
        </w:rPr>
        <w:t>至</w:t>
      </w:r>
      <w:r w:rsidRPr="009F751C">
        <w:t>2011</w:t>
      </w:r>
      <w:r w:rsidRPr="009F751C">
        <w:rPr>
          <w:rFonts w:hint="eastAsia"/>
        </w:rPr>
        <w:t>年归到规划、经济结构调整和性别事务部。从</w:t>
      </w:r>
      <w:r w:rsidRPr="009F751C">
        <w:t>2011</w:t>
      </w:r>
      <w:r w:rsidRPr="009F751C">
        <w:rPr>
          <w:rFonts w:hint="eastAsia"/>
        </w:rPr>
        <w:t>年</w:t>
      </w:r>
      <w:r w:rsidRPr="009F751C">
        <w:t>7</w:t>
      </w:r>
      <w:r w:rsidRPr="009F751C">
        <w:rPr>
          <w:rFonts w:hint="eastAsia"/>
        </w:rPr>
        <w:t>月以来，该司一直属于新成立的性别、青年和儿童发展部。</w:t>
      </w:r>
    </w:p>
    <w:p w:rsidR="00D977B9" w:rsidRPr="009F751C" w:rsidRDefault="00D977B9" w:rsidP="00D977B9">
      <w:pPr>
        <w:pStyle w:val="SingleTxt"/>
        <w:spacing w:after="120"/>
        <w:ind w:left="1134" w:right="1134"/>
      </w:pPr>
      <w:r w:rsidRPr="009F751C">
        <w:rPr>
          <w:rFonts w:hint="eastAsia"/>
        </w:rPr>
        <w:t>本报告的编制恰逢</w:t>
      </w:r>
      <w:r w:rsidRPr="009F751C">
        <w:t>2007</w:t>
      </w:r>
      <w:r w:rsidRPr="009F751C">
        <w:rPr>
          <w:rFonts w:hint="eastAsia"/>
        </w:rPr>
        <w:t>年和</w:t>
      </w:r>
      <w:r w:rsidRPr="009F751C">
        <w:t>2010</w:t>
      </w:r>
      <w:r w:rsidRPr="009F751C">
        <w:rPr>
          <w:rFonts w:hint="eastAsia"/>
        </w:rPr>
        <w:t>年特立尼达和多巴哥全国选举，给完成和提交报告带来了一些挑战。在编制报告的过程中，不遗余力地将各个层级的利益攸关方吸纳进来，这使编制时间进一步增加。该方法包括：在</w:t>
      </w:r>
      <w:r w:rsidRPr="009F751C">
        <w:t>2007</w:t>
      </w:r>
      <w:r w:rsidRPr="009F751C">
        <w:rPr>
          <w:rFonts w:hint="eastAsia"/>
        </w:rPr>
        <w:t>年与非政府组织合作，在特立尼达和多巴哥的九个行政区进行一系列关于《消除对妇女歧视公约》的国家社区讲习班，通过回答调查问卷，全面审查政府各部的工作，以及广泛的案头研究。</w:t>
      </w:r>
    </w:p>
    <w:p w:rsidR="00D977B9" w:rsidRPr="009F751C" w:rsidRDefault="00D977B9" w:rsidP="00D977B9">
      <w:pPr>
        <w:pStyle w:val="SingleTxt"/>
        <w:spacing w:after="120"/>
        <w:ind w:left="1134" w:right="1134"/>
      </w:pPr>
      <w:r w:rsidRPr="009F751C">
        <w:rPr>
          <w:rFonts w:hint="eastAsia"/>
        </w:rPr>
        <w:t>本报告共包括三部分。第一部分是关于土地和人口、总体政治结构、经济、人权保护框架以及妇女地位的概况。第二部分具体答复了委员会对于特立尼达和多巴哥政府初次、第二次和第三次合并定期报告的结论意见。第三部分重点介绍了</w:t>
      </w:r>
      <w:r w:rsidRPr="009F751C">
        <w:t>2001</w:t>
      </w:r>
      <w:r w:rsidRPr="009F751C">
        <w:rPr>
          <w:rFonts w:hint="eastAsia"/>
        </w:rPr>
        <w:t>至</w:t>
      </w:r>
      <w:r w:rsidRPr="009F751C">
        <w:t>2013</w:t>
      </w:r>
      <w:r w:rsidRPr="009F751C">
        <w:rPr>
          <w:rFonts w:hint="eastAsia"/>
        </w:rPr>
        <w:t>年报告所述期间促进《消除对妇女歧视公约》的新条款。</w:t>
      </w:r>
    </w:p>
    <w:p w:rsidR="00D977B9" w:rsidRPr="009F751C" w:rsidRDefault="00D977B9" w:rsidP="00D977B9">
      <w:pPr>
        <w:pStyle w:val="SingleTxt"/>
        <w:spacing w:after="0" w:line="120" w:lineRule="exact"/>
        <w:ind w:left="1134" w:right="1134"/>
        <w:rPr>
          <w:sz w:val="10"/>
        </w:rPr>
      </w:pPr>
    </w:p>
    <w:p w:rsidR="00D977B9" w:rsidRPr="009F751C" w:rsidRDefault="00D977B9" w:rsidP="00D977B9">
      <w:pPr>
        <w:pStyle w:val="H23"/>
        <w:ind w:left="1134" w:right="1134"/>
        <w:rPr>
          <w:rFonts w:ascii="Times New Roman"/>
          <w:sz w:val="24"/>
        </w:rPr>
      </w:pPr>
      <w:r w:rsidRPr="009F751C">
        <w:rPr>
          <w:rFonts w:ascii="Times New Roman" w:hint="eastAsia"/>
          <w:sz w:val="24"/>
        </w:rPr>
        <w:t>第一部分：概况</w:t>
      </w:r>
    </w:p>
    <w:p w:rsidR="00D977B9" w:rsidRPr="009F751C" w:rsidRDefault="00D977B9" w:rsidP="00D977B9">
      <w:pPr>
        <w:pStyle w:val="SingleTxt"/>
        <w:spacing w:after="0" w:line="120" w:lineRule="exact"/>
        <w:ind w:left="1134" w:right="1134"/>
        <w:rPr>
          <w:sz w:val="11"/>
        </w:rPr>
      </w:pPr>
    </w:p>
    <w:p w:rsidR="00D977B9" w:rsidRPr="009F751C" w:rsidRDefault="00D977B9" w:rsidP="00D977B9">
      <w:pPr>
        <w:pStyle w:val="H23"/>
        <w:ind w:left="1134" w:right="1134"/>
        <w:rPr>
          <w:rFonts w:ascii="Times New Roman"/>
        </w:rPr>
      </w:pPr>
      <w:r w:rsidRPr="009F751C">
        <w:rPr>
          <w:rFonts w:ascii="Times New Roman" w:hint="eastAsia"/>
        </w:rPr>
        <w:t>土地和人口</w:t>
      </w:r>
    </w:p>
    <w:p w:rsidR="00D977B9" w:rsidRPr="009F751C" w:rsidRDefault="00D977B9" w:rsidP="00D977B9">
      <w:pPr>
        <w:pStyle w:val="SingleTxt"/>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w:t>
      </w:r>
      <w:r w:rsidRPr="009F751C">
        <w:tab/>
      </w:r>
      <w:r w:rsidRPr="009F751C">
        <w:rPr>
          <w:rFonts w:hint="eastAsia"/>
        </w:rPr>
        <w:t>特立尼达和多巴哥地处加勒比群岛最南端，位于北纬</w:t>
      </w:r>
      <w:r w:rsidRPr="009F751C">
        <w:t>10</w:t>
      </w:r>
      <w:r w:rsidRPr="009F751C">
        <w:rPr>
          <w:rFonts w:hint="eastAsia"/>
        </w:rPr>
        <w:t>度、西经</w:t>
      </w:r>
      <w:r w:rsidRPr="009F751C">
        <w:t>60</w:t>
      </w:r>
      <w:r w:rsidRPr="009F751C">
        <w:rPr>
          <w:rFonts w:hint="eastAsia"/>
        </w:rPr>
        <w:t>至</w:t>
      </w:r>
      <w:r w:rsidRPr="009F751C">
        <w:t>62</w:t>
      </w:r>
      <w:r w:rsidRPr="009F751C">
        <w:rPr>
          <w:rFonts w:hint="eastAsia"/>
        </w:rPr>
        <w:t>度之间。该国由两个岛屿组成：较大的是特立尼达岛，较小的是多巴哥岛。岛屿位于南美洲大陆海岸线最近的地点以东</w:t>
      </w:r>
      <w:r w:rsidRPr="009F751C">
        <w:t>11</w:t>
      </w:r>
      <w:r w:rsidRPr="009F751C">
        <w:rPr>
          <w:rFonts w:hint="eastAsia"/>
        </w:rPr>
        <w:t>公里，面积共计</w:t>
      </w:r>
      <w:r w:rsidRPr="009F751C">
        <w:t>5 128</w:t>
      </w:r>
      <w:r w:rsidRPr="009F751C">
        <w:rPr>
          <w:rFonts w:hint="eastAsia"/>
        </w:rPr>
        <w:t>平方公里。首都是西班牙港，位于特立尼达岛西北部。该国温度介于</w:t>
      </w:r>
      <w:r w:rsidRPr="009F751C">
        <w:t>22</w:t>
      </w:r>
      <w:r w:rsidRPr="009F751C">
        <w:rPr>
          <w:rFonts w:hint="eastAsia"/>
        </w:rPr>
        <w:t>℃至</w:t>
      </w:r>
      <w:r w:rsidRPr="009F751C">
        <w:t>32</w:t>
      </w:r>
      <w:r w:rsidRPr="009F751C">
        <w:rPr>
          <w:rFonts w:hint="eastAsia"/>
        </w:rPr>
        <w:t>℃之间。特立尼达和多巴哥的官方语言是英语，西班牙语为第二官方语言。</w:t>
      </w:r>
    </w:p>
    <w:p w:rsidR="00D977B9" w:rsidRPr="009F751C" w:rsidRDefault="00D977B9" w:rsidP="00D977B9">
      <w:pPr>
        <w:pStyle w:val="SingleTxt"/>
        <w:tabs>
          <w:tab w:val="clear" w:pos="1695"/>
          <w:tab w:val="left" w:pos="1568"/>
        </w:tabs>
        <w:spacing w:after="120"/>
        <w:ind w:left="1134" w:right="1134"/>
      </w:pPr>
      <w:r w:rsidRPr="009F751C">
        <w:t>2.</w:t>
      </w:r>
      <w:r w:rsidRPr="009F751C">
        <w:tab/>
      </w:r>
      <w:r w:rsidRPr="009F751C">
        <w:rPr>
          <w:rFonts w:hint="eastAsia"/>
        </w:rPr>
        <w:t>据估计，</w:t>
      </w:r>
      <w:r w:rsidRPr="009F751C">
        <w:t>2011</w:t>
      </w:r>
      <w:r w:rsidRPr="009F751C">
        <w:rPr>
          <w:rFonts w:hint="eastAsia"/>
        </w:rPr>
        <w:t>年人口为</w:t>
      </w:r>
      <w:r w:rsidRPr="009F751C">
        <w:t>1 324 699</w:t>
      </w:r>
      <w:r w:rsidRPr="009F751C">
        <w:rPr>
          <w:rFonts w:hint="eastAsia"/>
        </w:rPr>
        <w:t>人。男女人口数量几乎相等，</w:t>
      </w:r>
      <w:r w:rsidRPr="009F751C">
        <w:t>50.17%</w:t>
      </w:r>
      <w:r w:rsidRPr="009F751C">
        <w:rPr>
          <w:rFonts w:hint="eastAsia"/>
        </w:rPr>
        <w:t>为男性，</w:t>
      </w:r>
      <w:r w:rsidRPr="003E73E0">
        <w:rPr>
          <w:spacing w:val="-2"/>
        </w:rPr>
        <w:t>49.83%</w:t>
      </w:r>
      <w:r w:rsidRPr="003E73E0">
        <w:rPr>
          <w:rFonts w:hint="eastAsia"/>
          <w:spacing w:val="-2"/>
        </w:rPr>
        <w:t>为女性，其中</w:t>
      </w:r>
      <w:r w:rsidRPr="003E73E0">
        <w:rPr>
          <w:spacing w:val="-2"/>
        </w:rPr>
        <w:t>27.9%</w:t>
      </w:r>
      <w:r w:rsidRPr="003E73E0">
        <w:rPr>
          <w:rFonts w:hint="eastAsia"/>
          <w:spacing w:val="-2"/>
        </w:rPr>
        <w:t>据估计为</w:t>
      </w:r>
      <w:r w:rsidRPr="003E73E0">
        <w:rPr>
          <w:spacing w:val="-2"/>
        </w:rPr>
        <w:t>15</w:t>
      </w:r>
      <w:r w:rsidRPr="003E73E0">
        <w:rPr>
          <w:rFonts w:hint="eastAsia"/>
          <w:spacing w:val="-2"/>
        </w:rPr>
        <w:t>岁以下者，</w:t>
      </w:r>
      <w:r w:rsidRPr="003E73E0">
        <w:rPr>
          <w:spacing w:val="-2"/>
        </w:rPr>
        <w:t>8%</w:t>
      </w:r>
      <w:r w:rsidRPr="003E73E0">
        <w:rPr>
          <w:rFonts w:hint="eastAsia"/>
          <w:spacing w:val="-2"/>
        </w:rPr>
        <w:t>据估计为</w:t>
      </w:r>
      <w:r w:rsidRPr="003E73E0">
        <w:rPr>
          <w:spacing w:val="-2"/>
        </w:rPr>
        <w:t>65</w:t>
      </w:r>
      <w:r w:rsidRPr="003E73E0">
        <w:rPr>
          <w:rFonts w:hint="eastAsia"/>
          <w:spacing w:val="-2"/>
        </w:rPr>
        <w:t>岁及其以上者。</w:t>
      </w:r>
      <w:r w:rsidRPr="003E73E0">
        <w:rPr>
          <w:rStyle w:val="FootnoteReference"/>
          <w:spacing w:val="-2"/>
        </w:rPr>
        <w:footnoteReference w:id="2"/>
      </w:r>
      <w:r w:rsidR="003E73E0" w:rsidRPr="003E73E0">
        <w:rPr>
          <w:rFonts w:hint="eastAsia"/>
          <w:spacing w:val="-2"/>
        </w:rPr>
        <w:t xml:space="preserve"> </w:t>
      </w:r>
      <w:r w:rsidRPr="009F751C">
        <w:rPr>
          <w:rFonts w:hint="eastAsia"/>
        </w:rPr>
        <w:t>根据开发署《</w:t>
      </w:r>
      <w:r w:rsidRPr="009F751C">
        <w:t>2013</w:t>
      </w:r>
      <w:r w:rsidRPr="009F751C">
        <w:rPr>
          <w:rFonts w:hint="eastAsia"/>
        </w:rPr>
        <w:t>年人类发展报告》，特立尼达和多巴哥的年人口增长率为</w:t>
      </w:r>
      <w:r w:rsidRPr="009F751C">
        <w:t>0.3%</w:t>
      </w:r>
      <w:r w:rsidRPr="009F751C">
        <w:rPr>
          <w:rFonts w:hint="eastAsia"/>
        </w:rPr>
        <w:t>。出生时预期寿命据记录为</w:t>
      </w:r>
      <w:r w:rsidRPr="009F751C">
        <w:t>70.3</w:t>
      </w:r>
      <w:r w:rsidRPr="009F751C">
        <w:rPr>
          <w:rFonts w:hint="eastAsia"/>
        </w:rPr>
        <w:t>岁，总和生育率为</w:t>
      </w:r>
      <w:r w:rsidRPr="009F751C">
        <w:t>1.6</w:t>
      </w:r>
      <w:r w:rsidRPr="009F751C">
        <w:rPr>
          <w:rFonts w:hint="eastAsia"/>
        </w:rPr>
        <w:t>（每个妇女生育数量）（开发署，《</w:t>
      </w:r>
      <w:r w:rsidRPr="009F751C">
        <w:t>2013</w:t>
      </w:r>
      <w:r w:rsidRPr="009F751C">
        <w:rPr>
          <w:rFonts w:hint="eastAsia"/>
        </w:rPr>
        <w:t>年人类发展报告》）。</w:t>
      </w:r>
      <w:r w:rsidRPr="00D977B9">
        <w:rPr>
          <w:rStyle w:val="FootnoteReference"/>
        </w:rPr>
        <w:footnoteReference w:id="3"/>
      </w:r>
    </w:p>
    <w:p w:rsidR="00D977B9" w:rsidRPr="009F751C" w:rsidRDefault="00D977B9" w:rsidP="00D977B9">
      <w:pPr>
        <w:pStyle w:val="SingleTxt"/>
        <w:tabs>
          <w:tab w:val="clear" w:pos="1695"/>
          <w:tab w:val="left" w:pos="1568"/>
        </w:tabs>
        <w:spacing w:after="120"/>
        <w:ind w:left="1134" w:right="1134"/>
      </w:pPr>
      <w:r w:rsidRPr="009F751C">
        <w:t>3.</w:t>
      </w:r>
      <w:r w:rsidRPr="009F751C">
        <w:tab/>
      </w:r>
      <w:r w:rsidRPr="009F751C">
        <w:rPr>
          <w:rFonts w:hint="eastAsia"/>
        </w:rPr>
        <w:t>特立尼达和多巴哥以其种族、宗教和文化多样性著称。根据《特立尼达和多巴哥</w:t>
      </w:r>
      <w:r w:rsidRPr="009F751C">
        <w:t>2011</w:t>
      </w:r>
      <w:r w:rsidRPr="009F751C">
        <w:rPr>
          <w:rFonts w:hint="eastAsia"/>
        </w:rPr>
        <w:t>年人口和住房普查人口统计报告》的记录，东印度裔和非洲裔人口是特立尼达和多巴哥两个最大的种族。东印度裔占总人口的</w:t>
      </w:r>
      <w:r w:rsidRPr="009F751C">
        <w:t>35.4%</w:t>
      </w:r>
      <w:r w:rsidRPr="009F751C">
        <w:rPr>
          <w:rFonts w:hint="eastAsia"/>
        </w:rPr>
        <w:t>，非洲裔人口占</w:t>
      </w:r>
      <w:r w:rsidRPr="009F751C">
        <w:t>34.2%</w:t>
      </w:r>
      <w:r w:rsidRPr="009F751C">
        <w:rPr>
          <w:rFonts w:hint="eastAsia"/>
        </w:rPr>
        <w:t>。在</w:t>
      </w:r>
      <w:r w:rsidRPr="009F751C">
        <w:t>2000</w:t>
      </w:r>
      <w:r w:rsidRPr="009F751C">
        <w:rPr>
          <w:rFonts w:hint="eastAsia"/>
        </w:rPr>
        <w:t>年的人口普查中，他们各自的百分比分别为</w:t>
      </w:r>
      <w:r w:rsidRPr="009F751C">
        <w:t xml:space="preserve">40% </w:t>
      </w:r>
      <w:r w:rsidRPr="009F751C">
        <w:rPr>
          <w:rFonts w:hint="eastAsia"/>
        </w:rPr>
        <w:t>和</w:t>
      </w:r>
      <w:r w:rsidRPr="009F751C">
        <w:t>37.5%</w:t>
      </w:r>
      <w:r w:rsidRPr="009F751C">
        <w:rPr>
          <w:rFonts w:hint="eastAsia"/>
        </w:rPr>
        <w:t>。两个群体之间的差距从</w:t>
      </w:r>
      <w:r w:rsidRPr="009F751C">
        <w:t>2000</w:t>
      </w:r>
      <w:r w:rsidRPr="009F751C">
        <w:rPr>
          <w:rFonts w:hint="eastAsia"/>
        </w:rPr>
        <w:t>年的</w:t>
      </w:r>
      <w:r w:rsidRPr="009F751C">
        <w:t>2.5%</w:t>
      </w:r>
      <w:r w:rsidRPr="009F751C">
        <w:rPr>
          <w:rFonts w:hint="eastAsia"/>
        </w:rPr>
        <w:t>缩小到了</w:t>
      </w:r>
      <w:r w:rsidRPr="009F751C">
        <w:t>2011</w:t>
      </w:r>
      <w:r w:rsidRPr="009F751C">
        <w:rPr>
          <w:rFonts w:hint="eastAsia"/>
        </w:rPr>
        <w:t>年的</w:t>
      </w:r>
      <w:r w:rsidRPr="009F751C">
        <w:t>1.2%</w:t>
      </w:r>
      <w:r w:rsidRPr="009F751C">
        <w:rPr>
          <w:rFonts w:hint="eastAsia"/>
        </w:rPr>
        <w:t>。第三大群体被称为“混血种人”，占总人口的</w:t>
      </w:r>
      <w:r w:rsidRPr="009F751C">
        <w:t>22.8%</w:t>
      </w:r>
      <w:r w:rsidRPr="009F751C">
        <w:rPr>
          <w:rFonts w:hint="eastAsia"/>
        </w:rPr>
        <w:t>，包括</w:t>
      </w:r>
      <w:r w:rsidRPr="009F751C">
        <w:t xml:space="preserve">7.7% </w:t>
      </w:r>
      <w:r w:rsidRPr="009F751C">
        <w:rPr>
          <w:rFonts w:hint="eastAsia"/>
        </w:rPr>
        <w:t>的“非洲裔</w:t>
      </w:r>
      <w:r w:rsidRPr="009F751C">
        <w:t>/</w:t>
      </w:r>
      <w:r w:rsidRPr="009F751C">
        <w:rPr>
          <w:rFonts w:hint="eastAsia"/>
        </w:rPr>
        <w:t>东印度裔”和</w:t>
      </w:r>
      <w:r w:rsidRPr="009F751C">
        <w:t>15.1%</w:t>
      </w:r>
      <w:r w:rsidRPr="009F751C">
        <w:rPr>
          <w:rFonts w:hint="eastAsia"/>
        </w:rPr>
        <w:t>的“其他混血种人”。该群体比</w:t>
      </w:r>
      <w:r w:rsidRPr="009F751C">
        <w:t>2000</w:t>
      </w:r>
      <w:r w:rsidRPr="009F751C">
        <w:rPr>
          <w:rFonts w:hint="eastAsia"/>
        </w:rPr>
        <w:t>年的</w:t>
      </w:r>
      <w:r w:rsidRPr="009F751C">
        <w:t>20.5%</w:t>
      </w:r>
      <w:r w:rsidRPr="009F751C">
        <w:rPr>
          <w:rFonts w:hint="eastAsia"/>
        </w:rPr>
        <w:t>有所增加。所有其他种族共占</w:t>
      </w:r>
      <w:r w:rsidRPr="009F751C">
        <w:t>1.4%</w:t>
      </w:r>
      <w:r w:rsidRPr="009F751C">
        <w:rPr>
          <w:rFonts w:hint="eastAsia"/>
        </w:rPr>
        <w:t>，但还有一个相对较大的“未填答”类别，占</w:t>
      </w:r>
      <w:r w:rsidRPr="009F751C">
        <w:t xml:space="preserve"> 6.2%</w:t>
      </w:r>
      <w:r w:rsidRPr="009F751C">
        <w:rPr>
          <w:rFonts w:hint="eastAsia"/>
        </w:rPr>
        <w:t>。特立尼达和多巴哥还拥有多种宗教。最大的宗教群体包括：</w:t>
      </w:r>
      <w:r w:rsidRPr="009F751C">
        <w:t>21.6%</w:t>
      </w:r>
      <w:r w:rsidRPr="009F751C">
        <w:rPr>
          <w:rFonts w:hint="eastAsia"/>
        </w:rPr>
        <w:t>的罗马天主教、</w:t>
      </w:r>
      <w:r w:rsidRPr="009F751C">
        <w:rPr>
          <w:spacing w:val="2"/>
        </w:rPr>
        <w:t>18.2%</w:t>
      </w:r>
      <w:r w:rsidRPr="009F751C">
        <w:rPr>
          <w:rFonts w:hint="eastAsia"/>
          <w:spacing w:val="2"/>
        </w:rPr>
        <w:t>的印度教</w:t>
      </w:r>
      <w:r w:rsidRPr="009F751C">
        <w:rPr>
          <w:rFonts w:hint="eastAsia"/>
        </w:rPr>
        <w:t>、</w:t>
      </w:r>
      <w:r w:rsidRPr="009F751C">
        <w:rPr>
          <w:spacing w:val="2"/>
        </w:rPr>
        <w:t>12%</w:t>
      </w:r>
      <w:r w:rsidRPr="009F751C">
        <w:rPr>
          <w:rFonts w:hint="eastAsia"/>
          <w:spacing w:val="2"/>
        </w:rPr>
        <w:t>的</w:t>
      </w:r>
      <w:r w:rsidRPr="009F751C">
        <w:rPr>
          <w:rFonts w:hint="eastAsia"/>
        </w:rPr>
        <w:t>五旬节派</w:t>
      </w:r>
      <w:r w:rsidRPr="009F751C">
        <w:t>/</w:t>
      </w:r>
      <w:r w:rsidRPr="009F751C">
        <w:rPr>
          <w:rFonts w:hint="eastAsia"/>
        </w:rPr>
        <w:t>福音派</w:t>
      </w:r>
      <w:r w:rsidRPr="009F751C">
        <w:t>/</w:t>
      </w:r>
      <w:r w:rsidRPr="009F751C">
        <w:rPr>
          <w:rFonts w:hint="eastAsia"/>
        </w:rPr>
        <w:t>全备福音教会、</w:t>
      </w:r>
      <w:r w:rsidRPr="009F751C">
        <w:rPr>
          <w:spacing w:val="2"/>
        </w:rPr>
        <w:t>5.7%</w:t>
      </w:r>
      <w:r w:rsidRPr="009F751C">
        <w:rPr>
          <w:rFonts w:hint="eastAsia"/>
          <w:spacing w:val="2"/>
        </w:rPr>
        <w:t>的呼喊浸礼会和</w:t>
      </w:r>
      <w:r w:rsidRPr="009F751C">
        <w:t>5%</w:t>
      </w:r>
      <w:r w:rsidRPr="009F751C">
        <w:rPr>
          <w:rFonts w:hint="eastAsia"/>
        </w:rPr>
        <w:t>的伊斯兰教。</w:t>
      </w:r>
      <w:r w:rsidRPr="00D977B9">
        <w:rPr>
          <w:rStyle w:val="FootnoteReference"/>
        </w:rPr>
        <w:footnoteReference w:id="4"/>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司法和政治概况</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4.</w:t>
      </w:r>
      <w:r w:rsidRPr="009F751C">
        <w:tab/>
      </w:r>
      <w:r w:rsidRPr="009F751C">
        <w:rPr>
          <w:rFonts w:hint="eastAsia"/>
        </w:rPr>
        <w:t>特立尼达和多巴哥是基于法治的民主主权国家。特立尼达和多巴哥以前是英国皇家殖民地，</w:t>
      </w:r>
      <w:r w:rsidRPr="009F751C">
        <w:t>1956</w:t>
      </w:r>
      <w:r w:rsidRPr="009F751C">
        <w:rPr>
          <w:rFonts w:hint="eastAsia"/>
        </w:rPr>
        <w:t>年开始自治，</w:t>
      </w:r>
      <w:r w:rsidRPr="009F751C">
        <w:t>1962</w:t>
      </w:r>
      <w:r w:rsidRPr="009F751C">
        <w:rPr>
          <w:rFonts w:hint="eastAsia"/>
        </w:rPr>
        <w:t>年取得完全独立，并于</w:t>
      </w:r>
      <w:r w:rsidRPr="009F751C">
        <w:t>1976</w:t>
      </w:r>
      <w:r w:rsidRPr="009F751C">
        <w:rPr>
          <w:rFonts w:hint="eastAsia"/>
        </w:rPr>
        <w:t>年成为共和国。特立尼达和多巴哥的</w:t>
      </w:r>
      <w:r w:rsidRPr="009F751C">
        <w:t>1976</w:t>
      </w:r>
      <w:r w:rsidRPr="009F751C">
        <w:rPr>
          <w:rFonts w:hint="eastAsia"/>
        </w:rPr>
        <w:t>年《共和国宪法》是国家的最高法律，规定了政府三个分支机构</w:t>
      </w:r>
      <w:r w:rsidRPr="009F751C">
        <w:t>——</w:t>
      </w:r>
      <w:r w:rsidRPr="009F751C">
        <w:rPr>
          <w:rFonts w:hint="eastAsia"/>
        </w:rPr>
        <w:t>行政机构、立法机构和司法机构</w:t>
      </w:r>
      <w:r w:rsidRPr="009F751C">
        <w:t>——</w:t>
      </w:r>
      <w:r w:rsidRPr="009F751C">
        <w:rPr>
          <w:rFonts w:hint="eastAsia"/>
        </w:rPr>
        <w:t>的三权分立。</w:t>
      </w:r>
    </w:p>
    <w:p w:rsidR="00D977B9" w:rsidRPr="009F751C" w:rsidRDefault="00D977B9" w:rsidP="00D977B9">
      <w:pPr>
        <w:pStyle w:val="SingleTxt"/>
        <w:tabs>
          <w:tab w:val="clear" w:pos="1695"/>
          <w:tab w:val="left" w:pos="1568"/>
        </w:tabs>
        <w:spacing w:after="120"/>
        <w:ind w:left="1134" w:right="1134"/>
      </w:pPr>
      <w:r w:rsidRPr="009F751C">
        <w:t>5.</w:t>
      </w:r>
      <w:r w:rsidRPr="009F751C">
        <w:tab/>
      </w:r>
      <w:r w:rsidRPr="009F751C">
        <w:rPr>
          <w:rFonts w:hint="eastAsia"/>
        </w:rPr>
        <w:t>行政权力属于总统，总统根据内阁的意见行动，除非《宪法》另有其他规定。内阁由作为议会多数党领袖的总理、总检察长以及由总理从议会议员中任命的其他一些政府部长组成。《宪法》授予内阁指导和控制政府的一般权力，并由内阁集体对议会负责。</w:t>
      </w:r>
    </w:p>
    <w:p w:rsidR="00D977B9" w:rsidRPr="009F751C" w:rsidRDefault="00D977B9" w:rsidP="00D977B9">
      <w:pPr>
        <w:pStyle w:val="SingleTxt"/>
        <w:tabs>
          <w:tab w:val="clear" w:pos="1695"/>
          <w:tab w:val="left" w:pos="1568"/>
        </w:tabs>
        <w:spacing w:after="120"/>
        <w:ind w:left="1134" w:right="1134"/>
      </w:pPr>
      <w:r w:rsidRPr="009F751C">
        <w:t>6.</w:t>
      </w:r>
      <w:r w:rsidRPr="009F751C">
        <w:tab/>
      </w:r>
      <w:r w:rsidRPr="009F751C">
        <w:rPr>
          <w:rFonts w:hint="eastAsia"/>
        </w:rPr>
        <w:t>特立尼达和多巴哥的立法权力归属两院制议会，由被称之为参议院的上议院和被称之为众议院的下议院组成由。参议院由</w:t>
      </w:r>
      <w:r w:rsidRPr="009F751C">
        <w:t>31</w:t>
      </w:r>
      <w:r w:rsidRPr="009F751C">
        <w:rPr>
          <w:rFonts w:hint="eastAsia"/>
        </w:rPr>
        <w:t>名指定的参议员组成，众议院由</w:t>
      </w:r>
      <w:r w:rsidRPr="009F751C">
        <w:t>41</w:t>
      </w:r>
      <w:r w:rsidRPr="009F751C">
        <w:rPr>
          <w:rFonts w:hint="eastAsia"/>
        </w:rPr>
        <w:t>名当选的议员组成。</w:t>
      </w:r>
    </w:p>
    <w:p w:rsidR="00D977B9" w:rsidRPr="009F751C" w:rsidRDefault="00D977B9" w:rsidP="00D977B9">
      <w:pPr>
        <w:pStyle w:val="SingleTxt"/>
        <w:tabs>
          <w:tab w:val="clear" w:pos="1695"/>
          <w:tab w:val="left" w:pos="1568"/>
        </w:tabs>
        <w:spacing w:after="120"/>
        <w:ind w:left="1134" w:right="1134"/>
      </w:pPr>
      <w:r w:rsidRPr="009F751C">
        <w:t>7.</w:t>
      </w:r>
      <w:r w:rsidRPr="009F751C">
        <w:tab/>
      </w:r>
      <w:r w:rsidRPr="009F751C">
        <w:rPr>
          <w:rFonts w:hint="eastAsia"/>
        </w:rPr>
        <w:t>根据</w:t>
      </w:r>
      <w:r w:rsidRPr="009F751C">
        <w:rPr>
          <w:rFonts w:eastAsia="KaiTi_GB2312"/>
          <w:b/>
        </w:rPr>
        <w:t>1990</w:t>
      </w:r>
      <w:r w:rsidRPr="009F751C">
        <w:rPr>
          <w:rFonts w:eastAsia="KaiTi_GB2312" w:hint="eastAsia"/>
          <w:b/>
        </w:rPr>
        <w:t>年《市议会组织法案》</w:t>
      </w:r>
      <w:r w:rsidRPr="009F751C">
        <w:rPr>
          <w:rFonts w:hint="eastAsia"/>
        </w:rPr>
        <w:t>，地方政府议会管理特立尼达和多巴哥的九（</w:t>
      </w:r>
      <w:r w:rsidRPr="009F751C">
        <w:t>9</w:t>
      </w:r>
      <w:r w:rsidRPr="009F751C">
        <w:rPr>
          <w:rFonts w:hint="eastAsia"/>
        </w:rPr>
        <w:t>）个郡、两（</w:t>
      </w:r>
      <w:r w:rsidRPr="009F751C">
        <w:t>2</w:t>
      </w:r>
      <w:r w:rsidRPr="009F751C">
        <w:rPr>
          <w:rFonts w:hint="eastAsia"/>
        </w:rPr>
        <w:t>）个市和三（</w:t>
      </w:r>
      <w:r w:rsidRPr="009F751C">
        <w:t>3</w:t>
      </w:r>
      <w:r w:rsidRPr="009F751C">
        <w:rPr>
          <w:rFonts w:hint="eastAsia"/>
        </w:rPr>
        <w:t>）个区。</w:t>
      </w:r>
    </w:p>
    <w:p w:rsidR="00D977B9" w:rsidRPr="009F751C" w:rsidRDefault="00D977B9" w:rsidP="00D977B9">
      <w:pPr>
        <w:pStyle w:val="SingleTxt"/>
        <w:tabs>
          <w:tab w:val="clear" w:pos="1695"/>
          <w:tab w:val="left" w:pos="1568"/>
        </w:tabs>
        <w:spacing w:after="120"/>
        <w:ind w:left="1134" w:right="1134"/>
      </w:pPr>
      <w:r w:rsidRPr="009F751C">
        <w:t>8.</w:t>
      </w:r>
      <w:r w:rsidRPr="009F751C">
        <w:tab/>
      </w:r>
      <w:r w:rsidRPr="009F751C">
        <w:rPr>
          <w:rFonts w:hint="eastAsia"/>
        </w:rPr>
        <w:t>司法机构包括最高法院（最高法院由高等法院和上诉法院组成）、下级法院（裁判法院）以及枢密院。枢密院是特立尼达和多巴哥的最高上诉法院。</w:t>
      </w:r>
    </w:p>
    <w:p w:rsidR="00D977B9" w:rsidRPr="009F751C" w:rsidRDefault="00D977B9" w:rsidP="00D977B9">
      <w:pPr>
        <w:pStyle w:val="SingleTxt"/>
        <w:tabs>
          <w:tab w:val="clear" w:pos="1695"/>
          <w:tab w:val="left" w:pos="1568"/>
        </w:tabs>
        <w:spacing w:after="120"/>
        <w:ind w:left="1134" w:right="1134"/>
      </w:pPr>
      <w:r w:rsidRPr="009F751C">
        <w:t>9.</w:t>
      </w:r>
      <w:r w:rsidRPr="009F751C">
        <w:tab/>
        <w:t>1888</w:t>
      </w:r>
      <w:r w:rsidRPr="009F751C">
        <w:rPr>
          <w:rFonts w:hint="eastAsia"/>
        </w:rPr>
        <w:t>年，多巴哥岛与特立尼达在行政上合并，组建成为一个单独的殖民地。根据</w:t>
      </w:r>
      <w:r w:rsidRPr="009F751C">
        <w:rPr>
          <w:rFonts w:eastAsia="KaiTi_GB2312"/>
          <w:b/>
        </w:rPr>
        <w:t>1996</w:t>
      </w:r>
      <w:r w:rsidRPr="009F751C">
        <w:rPr>
          <w:rFonts w:eastAsia="KaiTi_GB2312" w:hint="eastAsia"/>
          <w:b/>
        </w:rPr>
        <w:t>年《多巴哥议会法案》</w:t>
      </w:r>
      <w:r w:rsidRPr="009F751C">
        <w:rPr>
          <w:rFonts w:hint="eastAsia"/>
        </w:rPr>
        <w:t>，多巴哥议会负责管理多巴哥的事务。多巴哥议会是一个法人组织，由</w:t>
      </w:r>
      <w:r w:rsidRPr="009F751C">
        <w:t>12</w:t>
      </w:r>
      <w:r w:rsidRPr="009F751C">
        <w:rPr>
          <w:rFonts w:hint="eastAsia"/>
        </w:rPr>
        <w:t>名多巴哥人民选出的议员、</w:t>
      </w:r>
      <w:r w:rsidRPr="009F751C">
        <w:t>4</w:t>
      </w:r>
      <w:r w:rsidRPr="009F751C">
        <w:rPr>
          <w:rFonts w:hint="eastAsia"/>
        </w:rPr>
        <w:t>名指定的地方议员及一名主席组成。从议员中选出秘书长和副秘书长。多巴哥议会负责制定和执行所有领域的政策，但国家安全、移民、外交事务和司法除外。特立尼达和多巴哥内阁依据《宪法》享有指导和控制多巴哥议会的权力。</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经济</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10.</w:t>
      </w:r>
      <w:r w:rsidRPr="009F751C">
        <w:tab/>
      </w:r>
      <w:r w:rsidRPr="009F751C">
        <w:rPr>
          <w:rFonts w:hint="eastAsia"/>
        </w:rPr>
        <w:t>特立尼达和多巴哥的经济主要依靠原油、天然气和石化产品出口。在当前的全球经济危机中表现出令人注目的恢复能力。</w:t>
      </w:r>
      <w:r w:rsidRPr="009F751C">
        <w:t>2011</w:t>
      </w:r>
      <w:r w:rsidRPr="009F751C">
        <w:rPr>
          <w:rFonts w:hint="eastAsia"/>
        </w:rPr>
        <w:t>年，该国人均国内生产总值为</w:t>
      </w:r>
      <w:r w:rsidRPr="009F751C">
        <w:t>15</w:t>
      </w:r>
      <w:r>
        <w:rPr>
          <w:rFonts w:hint="eastAsia"/>
        </w:rPr>
        <w:t xml:space="preserve"> </w:t>
      </w:r>
      <w:r w:rsidRPr="009F751C">
        <w:t>511.70</w:t>
      </w:r>
      <w:r w:rsidRPr="009F751C">
        <w:rPr>
          <w:rFonts w:hint="eastAsia"/>
        </w:rPr>
        <w:t>美元，继前两年减少</w:t>
      </w:r>
      <w:r w:rsidRPr="009F751C">
        <w:t>0.02%</w:t>
      </w:r>
      <w:r w:rsidRPr="009F751C">
        <w:rPr>
          <w:rFonts w:hint="eastAsia"/>
        </w:rPr>
        <w:t>和</w:t>
      </w:r>
      <w:r w:rsidRPr="009F751C">
        <w:t>3.3%</w:t>
      </w:r>
      <w:r w:rsidRPr="009F751C">
        <w:rPr>
          <w:rFonts w:hint="eastAsia"/>
        </w:rPr>
        <w:t>之后，据估计下降了</w:t>
      </w:r>
      <w:r w:rsidRPr="009F751C">
        <w:t>1.4%</w:t>
      </w:r>
      <w:r w:rsidRPr="009F751C">
        <w:rPr>
          <w:rFonts w:hint="eastAsia"/>
        </w:rPr>
        <w:t>。能源和非能源部门都有所下降。</w:t>
      </w:r>
      <w:r w:rsidRPr="00D977B9">
        <w:rPr>
          <w:rStyle w:val="FootnoteReference"/>
        </w:rPr>
        <w:footnoteReference w:id="5"/>
      </w:r>
      <w:r w:rsidRPr="009F751C">
        <w:t>2012</w:t>
      </w:r>
      <w:r w:rsidRPr="009F751C">
        <w:rPr>
          <w:rFonts w:hint="eastAsia"/>
        </w:rPr>
        <w:t>年，中央银行报告称，实际国内生产总值增长率为</w:t>
      </w:r>
      <w:r w:rsidRPr="009F751C">
        <w:t>0.2%</w:t>
      </w:r>
      <w:r w:rsidRPr="009F751C">
        <w:rPr>
          <w:rFonts w:hint="eastAsia"/>
        </w:rPr>
        <w:t>。这个数字远远低于银行预期的</w:t>
      </w:r>
      <w:r w:rsidRPr="009F751C">
        <w:t>1%</w:t>
      </w:r>
      <w:r w:rsidRPr="009F751C">
        <w:rPr>
          <w:rFonts w:hint="eastAsia"/>
        </w:rPr>
        <w:t>，</w:t>
      </w:r>
      <w:r w:rsidRPr="009F751C">
        <w:t>2012</w:t>
      </w:r>
      <w:r w:rsidRPr="009F751C">
        <w:rPr>
          <w:rFonts w:hint="eastAsia"/>
        </w:rPr>
        <w:t>年上半年，经济增长率恢复到将近</w:t>
      </w:r>
      <w:r w:rsidRPr="009F751C">
        <w:t>1.5%</w:t>
      </w:r>
      <w:r w:rsidRPr="009F751C">
        <w:rPr>
          <w:rFonts w:hint="eastAsia"/>
        </w:rPr>
        <w:t>。</w:t>
      </w:r>
      <w:r w:rsidRPr="009F751C">
        <w:t>2013</w:t>
      </w:r>
      <w:r w:rsidRPr="009F751C">
        <w:rPr>
          <w:rFonts w:hint="eastAsia"/>
        </w:rPr>
        <w:t>年，国内生产总值增长率继续上升，达到</w:t>
      </w:r>
      <w:r w:rsidRPr="009F751C">
        <w:t>1.7%</w:t>
      </w:r>
      <w:r w:rsidRPr="009F751C">
        <w:rPr>
          <w:rFonts w:hint="eastAsia"/>
        </w:rPr>
        <w:t>。根据中央统计局的估计，预计</w:t>
      </w:r>
      <w:r w:rsidRPr="009F751C">
        <w:t>2014</w:t>
      </w:r>
      <w:r w:rsidRPr="009F751C">
        <w:rPr>
          <w:rFonts w:hint="eastAsia"/>
        </w:rPr>
        <w:t>年将实际增长</w:t>
      </w:r>
      <w:r w:rsidRPr="009F751C">
        <w:t>1.9%</w:t>
      </w:r>
      <w:r w:rsidRPr="009F751C">
        <w:rPr>
          <w:rFonts w:hint="eastAsia"/>
        </w:rPr>
        <w:t>。</w:t>
      </w:r>
      <w:r w:rsidRPr="00D977B9">
        <w:rPr>
          <w:rStyle w:val="FootnoteReference"/>
        </w:rPr>
        <w:footnoteReference w:id="6"/>
      </w:r>
    </w:p>
    <w:p w:rsidR="00D977B9" w:rsidRPr="009F751C" w:rsidRDefault="00D977B9" w:rsidP="00D977B9">
      <w:pPr>
        <w:pStyle w:val="SingleTxt"/>
        <w:tabs>
          <w:tab w:val="clear" w:pos="1695"/>
          <w:tab w:val="left" w:pos="1568"/>
        </w:tabs>
        <w:spacing w:after="120"/>
        <w:ind w:left="1134" w:right="1134"/>
      </w:pPr>
      <w:r w:rsidRPr="009F751C">
        <w:t>11.</w:t>
      </w:r>
      <w:r w:rsidRPr="009F751C">
        <w:tab/>
      </w:r>
      <w:r w:rsidRPr="009F751C">
        <w:rPr>
          <w:rFonts w:hint="eastAsia"/>
        </w:rPr>
        <w:t>在上一个报告所述期间，特立尼达和多巴哥的失业率逐步下降。根据中央银行数据中心的统计数字，失业率从</w:t>
      </w:r>
      <w:r w:rsidRPr="009F751C">
        <w:t>2003</w:t>
      </w:r>
      <w:r w:rsidRPr="009F751C">
        <w:rPr>
          <w:rFonts w:hint="eastAsia"/>
        </w:rPr>
        <w:t>年的</w:t>
      </w:r>
      <w:r w:rsidRPr="009F751C">
        <w:t>10.5%</w:t>
      </w:r>
      <w:r w:rsidRPr="009F751C">
        <w:rPr>
          <w:rFonts w:hint="eastAsia"/>
        </w:rPr>
        <w:t>下降到了</w:t>
      </w:r>
      <w:r w:rsidRPr="009F751C">
        <w:t>2012</w:t>
      </w:r>
      <w:r w:rsidRPr="009F751C">
        <w:rPr>
          <w:rFonts w:hint="eastAsia"/>
        </w:rPr>
        <w:t>年的</w:t>
      </w:r>
      <w:r w:rsidRPr="009F751C">
        <w:t>4.9%</w:t>
      </w:r>
      <w:r w:rsidRPr="009F751C">
        <w:rPr>
          <w:rFonts w:hint="eastAsia"/>
        </w:rPr>
        <w:t>。</w:t>
      </w:r>
      <w:r w:rsidRPr="009F751C">
        <w:t>2009</w:t>
      </w:r>
      <w:r w:rsidRPr="009F751C">
        <w:rPr>
          <w:rFonts w:hint="eastAsia"/>
        </w:rPr>
        <w:t>至</w:t>
      </w:r>
      <w:r w:rsidRPr="009F751C">
        <w:t>2010</w:t>
      </w:r>
      <w:r w:rsidRPr="009F751C">
        <w:rPr>
          <w:rFonts w:hint="eastAsia"/>
        </w:rPr>
        <w:t>年全球经济危机期间，失业率略有增加，从</w:t>
      </w:r>
      <w:r w:rsidRPr="009F751C">
        <w:t>5.3%</w:t>
      </w:r>
      <w:r w:rsidRPr="009F751C">
        <w:rPr>
          <w:rFonts w:hint="eastAsia"/>
        </w:rPr>
        <w:t>上升到</w:t>
      </w:r>
      <w:r w:rsidRPr="009F751C">
        <w:t>5.9%</w:t>
      </w:r>
      <w:r w:rsidRPr="009F751C">
        <w:rPr>
          <w:rFonts w:hint="eastAsia"/>
        </w:rPr>
        <w:t>。</w:t>
      </w:r>
      <w:r w:rsidRPr="009F751C">
        <w:t>2011</w:t>
      </w:r>
      <w:r w:rsidRPr="009F751C">
        <w:rPr>
          <w:rFonts w:hint="eastAsia"/>
        </w:rPr>
        <w:t>年，随着经济逐步恢复，失业率继续保持下降趋势。</w:t>
      </w:r>
      <w:r w:rsidRPr="009F751C">
        <w:t>2013</w:t>
      </w:r>
      <w:r w:rsidRPr="009F751C">
        <w:rPr>
          <w:rFonts w:hint="eastAsia"/>
        </w:rPr>
        <w:t>年，根据中央银行的记录，失业率达到了特立尼达和多巴哥有史以来的最低水平。失业率从</w:t>
      </w:r>
      <w:r w:rsidRPr="009F751C">
        <w:t>2012</w:t>
      </w:r>
      <w:r w:rsidRPr="009F751C">
        <w:rPr>
          <w:rFonts w:hint="eastAsia"/>
        </w:rPr>
        <w:t>年底的</w:t>
      </w:r>
      <w:r w:rsidRPr="009F751C">
        <w:t xml:space="preserve"> 4.7%</w:t>
      </w:r>
      <w:r w:rsidRPr="009F751C">
        <w:rPr>
          <w:rFonts w:hint="eastAsia"/>
        </w:rPr>
        <w:t>下降到了</w:t>
      </w:r>
      <w:r w:rsidRPr="009F751C">
        <w:t>2013</w:t>
      </w:r>
      <w:r w:rsidRPr="009F751C">
        <w:rPr>
          <w:rFonts w:hint="eastAsia"/>
        </w:rPr>
        <w:t>年初的</w:t>
      </w:r>
      <w:r w:rsidRPr="009F751C">
        <w:t>3.7%</w:t>
      </w:r>
      <w:r w:rsidRPr="009F751C">
        <w:rPr>
          <w:rFonts w:hint="eastAsia"/>
        </w:rPr>
        <w:t>。根据中央统计局的记录，</w:t>
      </w:r>
      <w:r w:rsidRPr="009F751C">
        <w:t>2013</w:t>
      </w:r>
      <w:r w:rsidRPr="009F751C">
        <w:rPr>
          <w:rFonts w:hint="eastAsia"/>
        </w:rPr>
        <w:t>年第一季度末，登记的劳动力队伍总数为</w:t>
      </w:r>
      <w:r w:rsidRPr="009F751C">
        <w:t>635 100</w:t>
      </w:r>
      <w:r w:rsidRPr="009F751C">
        <w:rPr>
          <w:rFonts w:hint="eastAsia"/>
        </w:rPr>
        <w:t>人。这说明与</w:t>
      </w:r>
      <w:r w:rsidRPr="009F751C">
        <w:t>2012</w:t>
      </w:r>
      <w:r w:rsidRPr="009F751C">
        <w:rPr>
          <w:rFonts w:hint="eastAsia"/>
        </w:rPr>
        <w:t>年第四季度相比，增加了</w:t>
      </w:r>
      <w:r>
        <w:rPr>
          <w:rFonts w:hint="eastAsia"/>
        </w:rPr>
        <w:t xml:space="preserve">   </w:t>
      </w:r>
      <w:r w:rsidRPr="009F751C">
        <w:t>5</w:t>
      </w:r>
      <w:r>
        <w:rPr>
          <w:rFonts w:hint="eastAsia"/>
        </w:rPr>
        <w:t xml:space="preserve"> </w:t>
      </w:r>
      <w:r w:rsidRPr="009F751C">
        <w:t>400</w:t>
      </w:r>
      <w:r w:rsidRPr="009F751C">
        <w:rPr>
          <w:rFonts w:hint="eastAsia"/>
        </w:rPr>
        <w:t>人（</w:t>
      </w:r>
      <w:r w:rsidRPr="009F751C">
        <w:t>0.8%</w:t>
      </w:r>
      <w:r w:rsidRPr="009F751C">
        <w:rPr>
          <w:rFonts w:hint="eastAsia"/>
        </w:rPr>
        <w:t>）。从性别角度来看，劳动力的这一增加反映在男性中是与前一季度相比增加了</w:t>
      </w:r>
      <w:r w:rsidRPr="009F751C">
        <w:t>0.1%</w:t>
      </w:r>
      <w:r w:rsidRPr="009F751C">
        <w:rPr>
          <w:rFonts w:hint="eastAsia"/>
        </w:rPr>
        <w:t>，妇女增加了</w:t>
      </w:r>
      <w:r w:rsidRPr="009F751C">
        <w:t>1.9%</w:t>
      </w:r>
      <w:r w:rsidRPr="009F751C">
        <w:rPr>
          <w:rFonts w:hint="eastAsia"/>
        </w:rPr>
        <w:t>。在就业人口数量方面，根据记录，</w:t>
      </w:r>
      <w:r w:rsidRPr="009F751C">
        <w:t>2013</w:t>
      </w:r>
      <w:r w:rsidRPr="009F751C">
        <w:rPr>
          <w:rFonts w:hint="eastAsia"/>
        </w:rPr>
        <w:t>年第一季度的就业男性数量增加了</w:t>
      </w:r>
      <w:r w:rsidRPr="009F751C">
        <w:t>4 000</w:t>
      </w:r>
      <w:r w:rsidRPr="009F751C">
        <w:rPr>
          <w:rFonts w:hint="eastAsia"/>
        </w:rPr>
        <w:t>人（</w:t>
      </w:r>
      <w:r w:rsidRPr="009F751C">
        <w:t>1.1%</w:t>
      </w:r>
      <w:r w:rsidRPr="009F751C">
        <w:rPr>
          <w:rFonts w:hint="eastAsia"/>
        </w:rPr>
        <w:t>），女性则增加了</w:t>
      </w:r>
      <w:r w:rsidRPr="009F751C">
        <w:t>7 500</w:t>
      </w:r>
      <w:r w:rsidRPr="009F751C">
        <w:rPr>
          <w:rFonts w:hint="eastAsia"/>
        </w:rPr>
        <w:t>人（</w:t>
      </w:r>
      <w:r w:rsidRPr="009F751C">
        <w:t>3%</w:t>
      </w:r>
      <w:r w:rsidRPr="009F751C">
        <w:rPr>
          <w:rFonts w:hint="eastAsia"/>
        </w:rPr>
        <w:t>）。</w:t>
      </w: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保护人权的一般框架</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12.</w:t>
      </w:r>
      <w:r w:rsidRPr="009F751C">
        <w:tab/>
      </w:r>
      <w:r w:rsidRPr="009F751C">
        <w:rPr>
          <w:rFonts w:hint="eastAsia"/>
        </w:rPr>
        <w:t>在特立尼达和多巴哥管辖权范围的所有公民、成人和儿童、居民或外国人的基本人权和自由均受到《宪法》的保护。《宪法》明确声明不得以种族、出身、肤色、宗教或性别为由对其所载的各项基本权利进行歧视。</w:t>
      </w:r>
    </w:p>
    <w:p w:rsidR="00D977B9" w:rsidRPr="009F751C" w:rsidRDefault="00D977B9" w:rsidP="00D977B9">
      <w:pPr>
        <w:pStyle w:val="SingleTxt"/>
        <w:tabs>
          <w:tab w:val="clear" w:pos="1695"/>
          <w:tab w:val="left" w:pos="1568"/>
        </w:tabs>
        <w:spacing w:after="120"/>
        <w:ind w:left="1134" w:right="1134"/>
      </w:pPr>
      <w:r w:rsidRPr="009F751C">
        <w:t>13.</w:t>
      </w:r>
      <w:r w:rsidRPr="009F751C">
        <w:tab/>
      </w:r>
      <w:r w:rsidRPr="009F751C">
        <w:rPr>
          <w:rFonts w:hint="eastAsia"/>
        </w:rPr>
        <w:t>如果个人的宪法权利受到政府任何部门、或国家任何公务员或代理人的侵犯或可能受到侵犯，可以向高等法院申请获得纠正。高等法院对于宪法事项拥有初审管辖权，并规定了向上诉法院提出上诉的权利，以及进一步向枢密院司法委员会提出上诉的权利。</w:t>
      </w:r>
    </w:p>
    <w:p w:rsidR="00D977B9" w:rsidRPr="009F751C" w:rsidRDefault="00D977B9" w:rsidP="00D977B9">
      <w:pPr>
        <w:pStyle w:val="SingleTxt"/>
        <w:tabs>
          <w:tab w:val="clear" w:pos="1695"/>
          <w:tab w:val="left" w:pos="1568"/>
        </w:tabs>
        <w:spacing w:after="120"/>
        <w:ind w:left="1134" w:right="1134"/>
      </w:pPr>
      <w:r w:rsidRPr="009F751C">
        <w:t>14.</w:t>
      </w:r>
      <w:r w:rsidRPr="009F751C">
        <w:tab/>
      </w:r>
      <w:r w:rsidRPr="009F751C">
        <w:rPr>
          <w:rFonts w:hint="eastAsia"/>
        </w:rPr>
        <w:t>除《宪法》外，其他立法也提供了保护人权的一般法律框架。具体与《消除对妇女歧视公约》相关的立法详见附录二。</w:t>
      </w:r>
    </w:p>
    <w:p w:rsidR="00D977B9" w:rsidRPr="009F751C" w:rsidRDefault="00D977B9" w:rsidP="00D977B9">
      <w:pPr>
        <w:pStyle w:val="SingleTxt"/>
        <w:tabs>
          <w:tab w:val="clear" w:pos="1695"/>
          <w:tab w:val="left" w:pos="1568"/>
        </w:tabs>
        <w:spacing w:after="120"/>
        <w:ind w:left="1134" w:right="1134"/>
      </w:pPr>
      <w:r w:rsidRPr="009F751C">
        <w:t>15.</w:t>
      </w:r>
      <w:r w:rsidRPr="009F751C">
        <w:tab/>
      </w:r>
      <w:r w:rsidRPr="009F751C">
        <w:rPr>
          <w:rFonts w:eastAsia="KaiTi_GB2312"/>
          <w:b/>
        </w:rPr>
        <w:t>2000</w:t>
      </w:r>
      <w:r w:rsidRPr="009F751C">
        <w:rPr>
          <w:rFonts w:eastAsia="KaiTi_GB2312" w:hint="eastAsia"/>
          <w:b/>
        </w:rPr>
        <w:t>年《司法复审法》</w:t>
      </w:r>
      <w:r w:rsidRPr="009F751C">
        <w:rPr>
          <w:rFonts w:hint="eastAsia"/>
        </w:rPr>
        <w:t>规定了在没有可供选择的补救办法以及个人权利被行使公法性质职能的机构或当局侵犯的情况下，对于侵犯人权行为的补救办法。在可以提出司法复审诉讼程序之前，必须首先获得高等法院的许可或同意。然后高等法院才能够进行一项决定审查或行使权力，以确定有关当局是否在其权限之内行事，并确定其是否根据自然正义的原则行事。法院还可以判定赔偿申请司法复审的损失，如果此种损失在以令状或宪法动议的方式开始的一般诉讼中本来能够避免的话。</w:t>
      </w:r>
    </w:p>
    <w:p w:rsidR="00D977B9" w:rsidRPr="009F751C" w:rsidRDefault="00D977B9" w:rsidP="00D977B9">
      <w:pPr>
        <w:pStyle w:val="SingleTxt"/>
        <w:tabs>
          <w:tab w:val="clear" w:pos="1695"/>
          <w:tab w:val="left" w:pos="1568"/>
        </w:tabs>
        <w:spacing w:after="120"/>
        <w:ind w:left="1134" w:right="1134"/>
      </w:pPr>
      <w:r w:rsidRPr="009F751C">
        <w:t>16.</w:t>
      </w:r>
      <w:r w:rsidRPr="009F751C">
        <w:rPr>
          <w:rFonts w:eastAsia="KaiTi_GB2312"/>
          <w:b/>
        </w:rPr>
        <w:tab/>
        <w:t>1977</w:t>
      </w:r>
      <w:r w:rsidRPr="009F751C">
        <w:rPr>
          <w:rFonts w:eastAsia="KaiTi_GB2312" w:hint="eastAsia"/>
          <w:b/>
        </w:rPr>
        <w:t>年《监察员法》</w:t>
      </w:r>
      <w:r w:rsidRPr="009F751C">
        <w:rPr>
          <w:rFonts w:hint="eastAsia"/>
        </w:rPr>
        <w:t>规定了拥有调查被指控侵犯人权的管辖权的行政当局。监察员调查个人对政府机构的管理行为或决定的控诉。监察员的任期为五年，由总统与总理以及反对党领袖协商做出任命。如果监察员认为有证据表明任何政府部门或机构的任何官员或雇员有任何失职、渎职或刑事犯罪行为，可将该事项提交主管当局，对其采取纪律措施或其他诉讼程序。</w:t>
      </w:r>
    </w:p>
    <w:p w:rsidR="00D977B9" w:rsidRPr="009F751C" w:rsidRDefault="00D977B9" w:rsidP="00D977B9">
      <w:pPr>
        <w:pStyle w:val="SingleTxt"/>
        <w:tabs>
          <w:tab w:val="clear" w:pos="1695"/>
          <w:tab w:val="left" w:pos="1568"/>
        </w:tabs>
        <w:spacing w:after="120"/>
        <w:ind w:left="1134" w:right="1134"/>
      </w:pPr>
      <w:r w:rsidRPr="009F751C">
        <w:t>17.</w:t>
      </w:r>
      <w:r w:rsidRPr="009F751C">
        <w:tab/>
      </w:r>
      <w:r w:rsidRPr="009F751C">
        <w:rPr>
          <w:rFonts w:hint="eastAsia"/>
        </w:rPr>
        <w:t>警察失职审查管理局是</w:t>
      </w:r>
      <w:r w:rsidRPr="009F751C">
        <w:t>1995</w:t>
      </w:r>
      <w:r w:rsidRPr="009F751C">
        <w:rPr>
          <w:rFonts w:hint="eastAsia"/>
        </w:rPr>
        <w:t>年成立的法定机构，由总统任命的五名成员组成。该局受理关于任何警官行为的控诉，并监督控诉司对于控诉的调查情况。警察署长设立的控诉司由警官担任工作人员，通过咨询、实行惩戒程序或刑事法院采取行动等方式，调查和解决所有善意控诉。</w:t>
      </w:r>
    </w:p>
    <w:p w:rsidR="00D977B9" w:rsidRPr="009F751C" w:rsidRDefault="00D977B9" w:rsidP="00D977B9">
      <w:pPr>
        <w:pStyle w:val="SingleTxt"/>
        <w:tabs>
          <w:tab w:val="clear" w:pos="1695"/>
          <w:tab w:val="left" w:pos="1568"/>
        </w:tabs>
        <w:spacing w:after="120"/>
        <w:ind w:left="1134" w:right="1134"/>
      </w:pPr>
      <w:r w:rsidRPr="009F751C">
        <w:t>18.</w:t>
      </w:r>
      <w:r w:rsidRPr="009F751C">
        <w:tab/>
      </w:r>
      <w:r w:rsidRPr="009F751C">
        <w:rPr>
          <w:rFonts w:hint="eastAsia"/>
        </w:rPr>
        <w:t>特立尼达和多巴哥已经批准多项国际人权文书，除其他外，包括：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《消除对妇女一切形式歧视公约》；（《消除对妇女歧视公约》）</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《儿童权利公约》；</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《消除一切形式种族歧视公约》；</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《公民权利和政治权利国际公约》；</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《经济、社会及文化权利国际公约》；</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《美洲国家组织宪章》；</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《美洲防止、惩罚和根除暴力侵害妇女行为公约》（《贝伦杜帕拉公约》）；以及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《美洲国家反恐怖主义公约》。</w:t>
      </w:r>
    </w:p>
    <w:p w:rsidR="00D977B9" w:rsidRPr="009F751C" w:rsidRDefault="00D977B9" w:rsidP="00D977B9">
      <w:pPr>
        <w:pStyle w:val="SingleTxt"/>
        <w:tabs>
          <w:tab w:val="clear" w:pos="1695"/>
          <w:tab w:val="left" w:pos="1568"/>
        </w:tabs>
        <w:spacing w:after="120"/>
        <w:ind w:left="1134" w:right="1134"/>
      </w:pPr>
      <w:r w:rsidRPr="009F751C">
        <w:rPr>
          <w:rFonts w:hint="eastAsia"/>
        </w:rPr>
        <w:t>此外，特立尼达和多巴哥是多项国际劳工组织（劳工组织）公约的缔约国，其中包括：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1921</w:t>
      </w:r>
      <w:r w:rsidRPr="009F751C">
        <w:rPr>
          <w:rFonts w:hint="eastAsia"/>
        </w:rPr>
        <w:t>年《在海上工作的儿童及未成年人的强制体格检查公约》（第</w:t>
      </w:r>
      <w:r w:rsidRPr="009F751C">
        <w:t>16</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1925</w:t>
      </w:r>
      <w:r w:rsidRPr="009F751C">
        <w:rPr>
          <w:rFonts w:hint="eastAsia"/>
        </w:rPr>
        <w:t>年《本国工人与外国工人关于事故赔偿的同等待遇公约》（第</w:t>
      </w:r>
      <w:r w:rsidRPr="009F751C">
        <w:t>19</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1930</w:t>
      </w:r>
      <w:r w:rsidRPr="009F751C">
        <w:rPr>
          <w:rFonts w:hint="eastAsia"/>
        </w:rPr>
        <w:t>年《强迫劳动公约》（第</w:t>
      </w:r>
      <w:r w:rsidRPr="009F751C">
        <w:t>29</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1936</w:t>
      </w:r>
      <w:r w:rsidRPr="009F751C">
        <w:rPr>
          <w:rFonts w:hint="eastAsia"/>
        </w:rPr>
        <w:t>年《招募工人特别制度公约》（第</w:t>
      </w:r>
      <w:r w:rsidRPr="009F751C">
        <w:t>50</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1939</w:t>
      </w:r>
      <w:r w:rsidRPr="009F751C">
        <w:rPr>
          <w:rFonts w:hint="eastAsia"/>
        </w:rPr>
        <w:t>年《土著工人违反雇佣契约刑事制裁公约》（第</w:t>
      </w:r>
      <w:r w:rsidRPr="009F751C">
        <w:t>65</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1947</w:t>
      </w:r>
      <w:r w:rsidRPr="009F751C">
        <w:rPr>
          <w:rFonts w:hint="eastAsia"/>
        </w:rPr>
        <w:t>年《劳动监察公约》（第</w:t>
      </w:r>
      <w:r w:rsidRPr="009F751C">
        <w:t>81</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1948</w:t>
      </w:r>
      <w:r w:rsidRPr="009F751C">
        <w:rPr>
          <w:rFonts w:hint="eastAsia"/>
        </w:rPr>
        <w:t>年《结社自由及保护组织权公约》（第</w:t>
      </w:r>
      <w:r w:rsidRPr="009F751C">
        <w:t>87</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1949</w:t>
      </w:r>
      <w:r w:rsidRPr="009F751C">
        <w:rPr>
          <w:rFonts w:hint="eastAsia"/>
        </w:rPr>
        <w:t>年《移徙就业公约（修订）》（第</w:t>
      </w:r>
      <w:r w:rsidRPr="009F751C">
        <w:t>97</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1949</w:t>
      </w:r>
      <w:r w:rsidRPr="009F751C">
        <w:rPr>
          <w:rFonts w:hint="eastAsia"/>
        </w:rPr>
        <w:t>年《组织权利与集体谈判权公约》（第</w:t>
      </w:r>
      <w:r w:rsidRPr="009F751C">
        <w:t>98</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1951</w:t>
      </w:r>
      <w:r w:rsidRPr="009F751C">
        <w:rPr>
          <w:rFonts w:hint="eastAsia"/>
        </w:rPr>
        <w:t>年《男女工人同工同酬公约》（第</w:t>
      </w:r>
      <w:r w:rsidRPr="009F751C">
        <w:t>100</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1957</w:t>
      </w:r>
      <w:r w:rsidRPr="009F751C">
        <w:rPr>
          <w:rFonts w:hint="eastAsia"/>
        </w:rPr>
        <w:t>年《废止强迫劳动公约》（第</w:t>
      </w:r>
      <w:r w:rsidRPr="009F751C">
        <w:t>105</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1958</w:t>
      </w:r>
      <w:r w:rsidRPr="009F751C">
        <w:rPr>
          <w:rFonts w:hint="eastAsia"/>
        </w:rPr>
        <w:t>年《就业和职业歧视公约》（第</w:t>
      </w:r>
      <w:r w:rsidRPr="009F751C">
        <w:t>111</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1966</w:t>
      </w:r>
      <w:r w:rsidRPr="009F751C">
        <w:rPr>
          <w:rFonts w:hint="eastAsia"/>
        </w:rPr>
        <w:t>年《渔民合格证书公约》（第</w:t>
      </w:r>
      <w:r w:rsidRPr="009F751C">
        <w:t>125</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1973</w:t>
      </w:r>
      <w:r w:rsidRPr="009F751C">
        <w:rPr>
          <w:rFonts w:hint="eastAsia"/>
        </w:rPr>
        <w:t>年《准予就业最低年龄公约》（第</w:t>
      </w:r>
      <w:r w:rsidRPr="009F751C">
        <w:t>138</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1976</w:t>
      </w:r>
      <w:r w:rsidRPr="009F751C">
        <w:rPr>
          <w:rFonts w:hint="eastAsia"/>
        </w:rPr>
        <w:t>年《三方协商促进履行国际劳工标准公约》（第</w:t>
      </w:r>
      <w:r w:rsidRPr="009F751C">
        <w:t>144</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1976</w:t>
      </w:r>
      <w:r w:rsidRPr="009F751C">
        <w:rPr>
          <w:rFonts w:hint="eastAsia"/>
        </w:rPr>
        <w:t>年《商船最低标准公约》（第</w:t>
      </w:r>
      <w:r w:rsidRPr="009F751C">
        <w:t>147</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1978</w:t>
      </w:r>
      <w:r w:rsidRPr="009F751C">
        <w:rPr>
          <w:rFonts w:hint="eastAsia"/>
        </w:rPr>
        <w:t>年《劳动行政管理公约》（第</w:t>
      </w:r>
      <w:r w:rsidRPr="009F751C">
        <w:t>150</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1983</w:t>
      </w:r>
      <w:r w:rsidRPr="009F751C">
        <w:rPr>
          <w:rFonts w:hint="eastAsia"/>
        </w:rPr>
        <w:t>年《（残疾人）职业康复和就业公约》（第</w:t>
      </w:r>
      <w:r w:rsidRPr="009F751C">
        <w:t>159</w:t>
      </w:r>
      <w:r w:rsidRPr="009F751C">
        <w:rPr>
          <w:rFonts w:hint="eastAsia"/>
        </w:rPr>
        <w:t>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1999</w:t>
      </w:r>
      <w:r w:rsidRPr="009F751C">
        <w:rPr>
          <w:rFonts w:hint="eastAsia"/>
        </w:rPr>
        <w:t>年《最恶劣形式的童工劳动公约》（第</w:t>
      </w:r>
      <w:r w:rsidRPr="009F751C">
        <w:t>182</w:t>
      </w:r>
      <w:r w:rsidRPr="009F751C">
        <w:rPr>
          <w:rFonts w:hint="eastAsia"/>
        </w:rPr>
        <w:t>号）。</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妇女地位</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19.</w:t>
      </w:r>
      <w:r w:rsidRPr="009F751C">
        <w:tab/>
      </w:r>
      <w:r w:rsidRPr="009F751C">
        <w:rPr>
          <w:rFonts w:hint="eastAsia"/>
        </w:rPr>
        <w:t>特立尼达和多巴哥的妇女地位在包括预期寿命、孕产妇死亡率、教育、就业和一般福利在内的许多社会指标方面可以与许多中等收入发展中国家相媲美。《</w:t>
      </w:r>
      <w:r w:rsidRPr="009F751C">
        <w:t>2013</w:t>
      </w:r>
      <w:r w:rsidRPr="009F751C">
        <w:rPr>
          <w:rFonts w:hint="eastAsia"/>
        </w:rPr>
        <w:t>年人类发展报告》通过性别不平等指数来衡量歧视程度，该指数可反映出以下三个方面的性别不平等给人类发展造成的损失：生殖健康、赋权和劳动力市场参与率。性别不平等指数越高，歧视程度越严重。</w:t>
      </w:r>
      <w:r w:rsidRPr="009F751C">
        <w:t>2012</w:t>
      </w:r>
      <w:r w:rsidRPr="009F751C">
        <w:rPr>
          <w:rFonts w:hint="eastAsia"/>
        </w:rPr>
        <w:t>年，来自</w:t>
      </w:r>
      <w:r w:rsidRPr="009F751C">
        <w:t>148</w:t>
      </w:r>
      <w:r w:rsidRPr="009F751C">
        <w:rPr>
          <w:rFonts w:hint="eastAsia"/>
        </w:rPr>
        <w:t>个国家的数据表明，各个国家的性别不平等指数差异巨大，从</w:t>
      </w:r>
      <w:r w:rsidRPr="009F751C">
        <w:t>0.045</w:t>
      </w:r>
      <w:r w:rsidRPr="009F751C">
        <w:rPr>
          <w:rFonts w:hint="eastAsia"/>
        </w:rPr>
        <w:t>（荷兰）到</w:t>
      </w:r>
      <w:r w:rsidRPr="009F751C">
        <w:t>0.747</w:t>
      </w:r>
      <w:r w:rsidRPr="009F751C">
        <w:rPr>
          <w:rFonts w:hint="eastAsia"/>
        </w:rPr>
        <w:t>（也门），平均值为</w:t>
      </w:r>
      <w:r w:rsidRPr="009F751C">
        <w:t>0.463</w:t>
      </w:r>
      <w:r w:rsidRPr="009F751C">
        <w:rPr>
          <w:rFonts w:hint="eastAsia"/>
        </w:rPr>
        <w:t>。特立尼达和多巴哥的衡量结果高于平均水平，为</w:t>
      </w:r>
      <w:r w:rsidRPr="009F751C">
        <w:t>0.311</w:t>
      </w:r>
      <w:r w:rsidRPr="009F751C">
        <w:rPr>
          <w:rFonts w:hint="eastAsia"/>
        </w:rPr>
        <w:t>。</w:t>
      </w:r>
      <w:r w:rsidRPr="00D977B9">
        <w:rPr>
          <w:rStyle w:val="FootnoteReference"/>
        </w:rPr>
        <w:footnoteReference w:id="7"/>
      </w:r>
    </w:p>
    <w:p w:rsidR="00D977B9" w:rsidRPr="009F751C" w:rsidRDefault="00D977B9" w:rsidP="00D977B9">
      <w:pPr>
        <w:pStyle w:val="SingleTxt"/>
        <w:tabs>
          <w:tab w:val="clear" w:pos="1695"/>
          <w:tab w:val="left" w:pos="1568"/>
        </w:tabs>
        <w:spacing w:after="120"/>
        <w:ind w:left="1134" w:right="1134"/>
      </w:pPr>
      <w:r w:rsidRPr="009F751C">
        <w:t>20.</w:t>
      </w:r>
      <w:r w:rsidRPr="009F751C">
        <w:tab/>
        <w:t>1976</w:t>
      </w:r>
      <w:r w:rsidRPr="009F751C">
        <w:rPr>
          <w:rFonts w:hint="eastAsia"/>
        </w:rPr>
        <w:t>年《共和国宪法》保障男女享有平等的权利。在过去三十年里，一直在不懈努力，争取消除所有法律障碍，为公平提高特立尼达和多巴哥男女地位提供全面的立法框架。除其他外，支持提高妇女地位的重要立法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a.</w:t>
      </w:r>
      <w:r w:rsidRPr="009F751C">
        <w:tab/>
      </w:r>
      <w:r w:rsidRPr="009F751C">
        <w:rPr>
          <w:rFonts w:eastAsia="KaiTi_GB2312"/>
          <w:b/>
        </w:rPr>
        <w:t>1946</w:t>
      </w:r>
      <w:r w:rsidRPr="009F751C">
        <w:rPr>
          <w:rFonts w:eastAsia="KaiTi_GB2312" w:hint="eastAsia"/>
          <w:b/>
        </w:rPr>
        <w:t>年立法委员会第</w:t>
      </w:r>
      <w:r w:rsidRPr="009F751C">
        <w:rPr>
          <w:rFonts w:eastAsia="KaiTi_GB2312"/>
          <w:b/>
        </w:rPr>
        <w:t>10</w:t>
      </w:r>
      <w:r w:rsidRPr="009F751C">
        <w:rPr>
          <w:rFonts w:eastAsia="KaiTi_GB2312" w:hint="eastAsia"/>
          <w:b/>
        </w:rPr>
        <w:t>号法令</w:t>
      </w:r>
      <w:r w:rsidRPr="009F751C">
        <w:rPr>
          <w:rFonts w:hint="eastAsia"/>
        </w:rPr>
        <w:t>（给予</w:t>
      </w:r>
      <w:r w:rsidRPr="009F751C">
        <w:t>21</w:t>
      </w:r>
      <w:r w:rsidRPr="009F751C">
        <w:rPr>
          <w:rFonts w:hint="eastAsia"/>
        </w:rPr>
        <w:t>岁及其以上者选举权）；</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b.</w:t>
      </w:r>
      <w:r w:rsidRPr="009F751C">
        <w:tab/>
      </w:r>
      <w:r w:rsidRPr="009F751C">
        <w:rPr>
          <w:rFonts w:eastAsia="KaiTi_GB2312"/>
          <w:b/>
        </w:rPr>
        <w:t>1922</w:t>
      </w:r>
      <w:r w:rsidRPr="009F751C">
        <w:rPr>
          <w:rFonts w:eastAsia="KaiTi_GB2312" w:hint="eastAsia"/>
          <w:b/>
        </w:rPr>
        <w:t>年《陪审团法案》</w:t>
      </w:r>
      <w:r w:rsidRPr="009F751C">
        <w:rPr>
          <w:rFonts w:hint="eastAsia"/>
        </w:rPr>
        <w:t>（根据</w:t>
      </w:r>
      <w:r w:rsidRPr="009F751C">
        <w:t>1961</w:t>
      </w:r>
      <w:r w:rsidRPr="009F751C">
        <w:rPr>
          <w:rFonts w:hint="eastAsia"/>
        </w:rPr>
        <w:t>年第</w:t>
      </w:r>
      <w:r w:rsidRPr="009F751C">
        <w:t>175</w:t>
      </w:r>
      <w:r w:rsidRPr="009F751C">
        <w:rPr>
          <w:rFonts w:hint="eastAsia"/>
        </w:rPr>
        <w:t>号法案修正，给予妇女担任陪审员的同等权利）；</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c.</w:t>
      </w:r>
      <w:r w:rsidRPr="009F751C">
        <w:tab/>
      </w:r>
      <w:r w:rsidRPr="009F751C">
        <w:rPr>
          <w:rFonts w:eastAsia="KaiTi_GB2312"/>
          <w:b/>
        </w:rPr>
        <w:t>1972</w:t>
      </w:r>
      <w:r w:rsidRPr="009F751C">
        <w:rPr>
          <w:rFonts w:eastAsia="KaiTi_GB2312" w:hint="eastAsia"/>
          <w:b/>
        </w:rPr>
        <w:t>年《婚姻诉讼和财产法案》</w:t>
      </w:r>
      <w:r w:rsidRPr="009F751C">
        <w:rPr>
          <w:rFonts w:hint="eastAsia"/>
        </w:rPr>
        <w:t>（对离婚法律进行更新和现代化）；</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d.</w:t>
      </w:r>
      <w:r w:rsidRPr="009F751C">
        <w:tab/>
      </w:r>
      <w:r w:rsidRPr="009F751C">
        <w:rPr>
          <w:rFonts w:hint="eastAsia"/>
        </w:rPr>
        <w:t>修正</w:t>
      </w:r>
      <w:r w:rsidRPr="009F751C">
        <w:rPr>
          <w:rFonts w:eastAsia="KaiTi_GB2312"/>
          <w:b/>
        </w:rPr>
        <w:t>1938</w:t>
      </w:r>
      <w:r w:rsidRPr="009F751C">
        <w:rPr>
          <w:rFonts w:eastAsia="KaiTi_GB2312" w:hint="eastAsia"/>
          <w:b/>
        </w:rPr>
        <w:t>年《所得税法令》</w:t>
      </w:r>
      <w:r w:rsidRPr="009F751C">
        <w:rPr>
          <w:rFonts w:hint="eastAsia"/>
        </w:rPr>
        <w:t>，</w:t>
      </w:r>
      <w:r w:rsidRPr="00D977B9">
        <w:rPr>
          <w:rStyle w:val="FootnoteReference"/>
        </w:rPr>
        <w:footnoteReference w:id="8"/>
      </w:r>
      <w:r w:rsidRPr="009F751C">
        <w:rPr>
          <w:rFonts w:hint="eastAsia"/>
        </w:rPr>
        <w:t>让已婚妇女有权提交单独的所得税申报表；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e.</w:t>
      </w:r>
      <w:r w:rsidRPr="009F751C">
        <w:tab/>
      </w:r>
      <w:r w:rsidRPr="009F751C">
        <w:rPr>
          <w:rFonts w:eastAsia="KaiTi_GB2312"/>
          <w:b/>
        </w:rPr>
        <w:t>1976</w:t>
      </w:r>
      <w:r w:rsidRPr="009F751C">
        <w:rPr>
          <w:rFonts w:eastAsia="KaiTi_GB2312" w:hint="eastAsia"/>
          <w:b/>
        </w:rPr>
        <w:t>年《已婚者法案》</w:t>
      </w:r>
      <w:r w:rsidRPr="009F751C">
        <w:rPr>
          <w:rFonts w:hint="eastAsia"/>
        </w:rPr>
        <w:t>（针对女方可能共同出资购置、但此前一直归在丈夫名下的财产，保护妇女的权利）；</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f.</w:t>
      </w:r>
      <w:r w:rsidRPr="009F751C">
        <w:tab/>
      </w:r>
      <w:r w:rsidRPr="009F751C">
        <w:rPr>
          <w:rFonts w:eastAsia="KaiTi_GB2312"/>
          <w:b/>
        </w:rPr>
        <w:t>1981</w:t>
      </w:r>
      <w:r w:rsidRPr="009F751C">
        <w:rPr>
          <w:rFonts w:eastAsia="KaiTi_GB2312" w:hint="eastAsia"/>
          <w:b/>
        </w:rPr>
        <w:t>年《家庭法（未成年人监护、居住地及扶养费）法案》</w:t>
      </w:r>
      <w:r w:rsidRPr="009F751C">
        <w:rPr>
          <w:rFonts w:hint="eastAsia"/>
        </w:rPr>
        <w:t>（让妇女享有监护子女的同等权利，并允许妇女（无论已婚或未婚）在将国籍赋予其在特立尼达和多巴哥以外出生的子女方面享有与男性同等的权利）；</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g.</w:t>
      </w:r>
      <w:r w:rsidRPr="009F751C">
        <w:tab/>
      </w:r>
      <w:r w:rsidRPr="009F751C">
        <w:rPr>
          <w:rFonts w:eastAsia="KaiTi_GB2312"/>
          <w:b/>
        </w:rPr>
        <w:t>2004</w:t>
      </w:r>
      <w:r w:rsidRPr="009F751C">
        <w:rPr>
          <w:rFonts w:eastAsia="KaiTi_GB2312" w:hint="eastAsia"/>
          <w:b/>
        </w:rPr>
        <w:t>年《家事诉讼法案》</w:t>
      </w:r>
      <w:r w:rsidRPr="009F751C">
        <w:rPr>
          <w:rFonts w:hint="eastAsia"/>
        </w:rPr>
        <w:t>（规定了与家庭相关事务的法律诉讼程序，并规定了缓刑执行官和调解的运用）；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h.</w:t>
      </w:r>
      <w:r w:rsidRPr="009F751C">
        <w:tab/>
      </w:r>
      <w:r w:rsidRPr="009F751C">
        <w:rPr>
          <w:rFonts w:eastAsia="KaiTi_GB2312"/>
          <w:b/>
        </w:rPr>
        <w:t>1996</w:t>
      </w:r>
      <w:r w:rsidRPr="009F751C">
        <w:rPr>
          <w:rFonts w:eastAsia="KaiTi_GB2312" w:hint="eastAsia"/>
          <w:b/>
        </w:rPr>
        <w:t>年《无偿工作计算法案》</w:t>
      </w:r>
      <w:r w:rsidRPr="009F751C">
        <w:rPr>
          <w:rFonts w:hint="eastAsia"/>
        </w:rPr>
        <w:t>（要求中央统计局和其他政府机构收集和保留与无偿工作相关的统计数据，提供确定此种工作的货币价值并进行记录的机制）；</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i.</w:t>
      </w:r>
      <w:r w:rsidRPr="009F751C">
        <w:tab/>
      </w:r>
      <w:r w:rsidRPr="009F751C">
        <w:rPr>
          <w:rFonts w:eastAsia="KaiTi_GB2312"/>
          <w:b/>
        </w:rPr>
        <w:t>1986</w:t>
      </w:r>
      <w:r w:rsidRPr="009F751C">
        <w:rPr>
          <w:rFonts w:eastAsia="KaiTi_GB2312" w:hint="eastAsia"/>
          <w:b/>
        </w:rPr>
        <w:t>年《性犯罪法案》和</w:t>
      </w:r>
      <w:r w:rsidRPr="009F751C">
        <w:rPr>
          <w:rFonts w:eastAsia="KaiTi_GB2312"/>
          <w:b/>
        </w:rPr>
        <w:t>2000</w:t>
      </w:r>
      <w:r w:rsidRPr="009F751C">
        <w:rPr>
          <w:rFonts w:eastAsia="KaiTi_GB2312" w:hint="eastAsia"/>
          <w:b/>
        </w:rPr>
        <w:t>年《性犯罪法案（修正案）》</w:t>
      </w:r>
      <w:r w:rsidRPr="009F751C">
        <w:rPr>
          <w:rFonts w:hint="eastAsia"/>
        </w:rPr>
        <w:t>（该法律将强奸罪适用于丈夫对于妻子的强奸）；</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j.</w:t>
      </w:r>
      <w:r w:rsidRPr="009F751C">
        <w:tab/>
        <w:t>2005</w:t>
      </w:r>
      <w:r w:rsidRPr="009F751C">
        <w:rPr>
          <w:rFonts w:hint="eastAsia"/>
        </w:rPr>
        <w:t>年第</w:t>
      </w:r>
      <w:r w:rsidRPr="009F751C">
        <w:t>11</w:t>
      </w:r>
      <w:r>
        <w:rPr>
          <w:rFonts w:hint="eastAsia"/>
        </w:rPr>
        <w:t>号法案修</w:t>
      </w:r>
      <w:r w:rsidRPr="009F751C">
        <w:rPr>
          <w:rFonts w:hint="eastAsia"/>
        </w:rPr>
        <w:t>订的</w:t>
      </w:r>
      <w:r w:rsidRPr="009F751C">
        <w:rPr>
          <w:rFonts w:eastAsia="KaiTi_GB2312"/>
          <w:b/>
        </w:rPr>
        <w:t>1925</w:t>
      </w:r>
      <w:r w:rsidRPr="009F751C">
        <w:rPr>
          <w:rFonts w:eastAsia="KaiTi_GB2312" w:hint="eastAsia"/>
          <w:b/>
        </w:rPr>
        <w:t>年《侵犯人身罪法案》</w:t>
      </w:r>
      <w:r w:rsidRPr="009F751C">
        <w:rPr>
          <w:rFonts w:hint="eastAsia"/>
        </w:rPr>
        <w:t>，提出了与骚扰有关的犯罪，包括诸如在某人住所或工作场所闲荡造成此人害怕会对其使用暴力等行为；</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k.</w:t>
      </w:r>
      <w:r w:rsidRPr="009F751C">
        <w:tab/>
      </w:r>
      <w:r w:rsidRPr="009F751C">
        <w:rPr>
          <w:rFonts w:eastAsia="KaiTi_GB2312"/>
          <w:b/>
        </w:rPr>
        <w:t>1999</w:t>
      </w:r>
      <w:r w:rsidRPr="009F751C">
        <w:rPr>
          <w:rFonts w:eastAsia="KaiTi_GB2312" w:hint="eastAsia"/>
          <w:b/>
        </w:rPr>
        <w:t>年《反家庭暴力法案》</w:t>
      </w:r>
      <w:r w:rsidRPr="009F751C">
        <w:rPr>
          <w:rFonts w:hint="eastAsia"/>
        </w:rPr>
        <w:t>（允许个人在发生家庭暴力的情况下申请保护令）；</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l.</w:t>
      </w:r>
      <w:r w:rsidRPr="009F751C">
        <w:tab/>
      </w:r>
      <w:r w:rsidRPr="009F751C">
        <w:rPr>
          <w:rFonts w:eastAsia="KaiTi_GB2312"/>
          <w:b/>
        </w:rPr>
        <w:t>1999</w:t>
      </w:r>
      <w:r w:rsidRPr="009F751C">
        <w:rPr>
          <w:rFonts w:eastAsia="KaiTi_GB2312" w:hint="eastAsia"/>
          <w:b/>
        </w:rPr>
        <w:t>年《法律援助和咨询法案（修正案）》</w:t>
      </w:r>
      <w:r w:rsidRPr="009F751C">
        <w:rPr>
          <w:rFonts w:hint="eastAsia"/>
        </w:rPr>
        <w:t>，修正现有的法律援助方案，除其他外，让更多人有资格获得法律援助，并增加了法律援助事务中应向律师支付的费用。该修正案还规定了在根据</w:t>
      </w:r>
      <w:r w:rsidRPr="009F751C">
        <w:t>1999</w:t>
      </w:r>
      <w:r w:rsidRPr="009F751C">
        <w:rPr>
          <w:rFonts w:hint="eastAsia"/>
        </w:rPr>
        <w:t>年《反家庭暴力法案》提出申请方面应给予法律援助；</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m.</w:t>
      </w:r>
      <w:r w:rsidRPr="009F751C">
        <w:tab/>
      </w:r>
      <w:r w:rsidRPr="009F751C">
        <w:rPr>
          <w:rFonts w:eastAsia="KaiTi_GB2312"/>
          <w:b/>
        </w:rPr>
        <w:t>2004</w:t>
      </w:r>
      <w:r w:rsidRPr="009F751C">
        <w:rPr>
          <w:rFonts w:eastAsia="KaiTi_GB2312" w:hint="eastAsia"/>
          <w:b/>
        </w:rPr>
        <w:t>年《职业安全和健康法案》</w:t>
      </w:r>
      <w:r w:rsidRPr="009F751C">
        <w:rPr>
          <w:rFonts w:hint="eastAsia"/>
        </w:rPr>
        <w:t>（要求雇主提供可以容纳妇女的设施，并保护胎儿的健康）；</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n.</w:t>
      </w:r>
      <w:r w:rsidRPr="009F751C">
        <w:tab/>
      </w:r>
      <w:r w:rsidRPr="009F751C">
        <w:rPr>
          <w:rFonts w:eastAsia="KaiTi_GB2312"/>
          <w:b/>
        </w:rPr>
        <w:t>1998</w:t>
      </w:r>
      <w:r w:rsidRPr="009F751C">
        <w:rPr>
          <w:rFonts w:eastAsia="KaiTi_GB2312" w:hint="eastAsia"/>
          <w:b/>
        </w:rPr>
        <w:t>年《孕产妇保护法案》</w:t>
      </w:r>
      <w:r w:rsidRPr="009F751C">
        <w:rPr>
          <w:rFonts w:hint="eastAsia"/>
        </w:rPr>
        <w:t>（规定了孕产妇保护和福利）；</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o.</w:t>
      </w:r>
      <w:r w:rsidRPr="009F751C">
        <w:tab/>
      </w:r>
      <w:r w:rsidRPr="009F751C">
        <w:rPr>
          <w:rFonts w:eastAsia="KaiTi_GB2312"/>
          <w:b/>
        </w:rPr>
        <w:t>2012</w:t>
      </w:r>
      <w:r w:rsidRPr="009F751C">
        <w:rPr>
          <w:rFonts w:eastAsia="KaiTi_GB2312" w:hint="eastAsia"/>
          <w:b/>
        </w:rPr>
        <w:t>年《杂项规定法案（孕产妇保护和劳资关系法令）》</w:t>
      </w:r>
      <w:r w:rsidRPr="009F751C">
        <w:rPr>
          <w:rFonts w:hint="eastAsia"/>
        </w:rPr>
        <w:t>（修正了</w:t>
      </w:r>
      <w:r w:rsidRPr="009F751C">
        <w:rPr>
          <w:rFonts w:eastAsia="仿宋"/>
        </w:rPr>
        <w:t>1998</w:t>
      </w:r>
      <w:r w:rsidRPr="009F751C">
        <w:rPr>
          <w:rFonts w:eastAsia="仿宋" w:hint="eastAsia"/>
        </w:rPr>
        <w:t>年</w:t>
      </w:r>
      <w:r w:rsidRPr="009F751C">
        <w:rPr>
          <w:rFonts w:hint="eastAsia"/>
        </w:rPr>
        <w:t>《孕产妇保护法案》，将产假从</w:t>
      </w:r>
      <w:r w:rsidRPr="009F751C">
        <w:t>13</w:t>
      </w:r>
      <w:r w:rsidRPr="009F751C">
        <w:rPr>
          <w:rFonts w:hint="eastAsia"/>
        </w:rPr>
        <w:t>周延长至</w:t>
      </w:r>
      <w:r w:rsidRPr="009F751C">
        <w:t>14</w:t>
      </w:r>
      <w:r w:rsidRPr="009F751C">
        <w:rPr>
          <w:rFonts w:hint="eastAsia"/>
        </w:rPr>
        <w:t>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p.</w:t>
      </w:r>
      <w:r w:rsidRPr="009F751C">
        <w:tab/>
      </w:r>
      <w:r w:rsidRPr="009F751C">
        <w:rPr>
          <w:rFonts w:eastAsia="KaiTi_GB2312"/>
          <w:b/>
        </w:rPr>
        <w:t>1998</w:t>
      </w:r>
      <w:r w:rsidRPr="009F751C">
        <w:rPr>
          <w:rFonts w:eastAsia="KaiTi_GB2312" w:hint="eastAsia"/>
          <w:b/>
        </w:rPr>
        <w:t>年《同居关系法案》</w:t>
      </w:r>
      <w:r w:rsidRPr="009F751C">
        <w:rPr>
          <w:rFonts w:hint="eastAsia"/>
        </w:rPr>
        <w:t>（规定了同居配偶在财产利益和抚养费方面的权利和义务）；</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q.</w:t>
      </w:r>
      <w:r w:rsidRPr="009F751C">
        <w:tab/>
      </w:r>
      <w:r w:rsidRPr="009F751C">
        <w:rPr>
          <w:rFonts w:eastAsia="KaiTi_GB2312"/>
          <w:b/>
        </w:rPr>
        <w:t>2000</w:t>
      </w:r>
      <w:r w:rsidRPr="009F751C">
        <w:rPr>
          <w:rFonts w:eastAsia="KaiTi_GB2312" w:hint="eastAsia"/>
          <w:b/>
        </w:rPr>
        <w:t>年《平等机会法案》</w:t>
      </w:r>
      <w:r w:rsidRPr="009F751C">
        <w:rPr>
          <w:rFonts w:hint="eastAsia"/>
        </w:rPr>
        <w:t>（禁止特定类型的歧视，包括在就业、商品和服务供应、教育和住宿等方面出于性别原因的歧视）；</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r.</w:t>
      </w:r>
      <w:r w:rsidRPr="009F751C">
        <w:tab/>
      </w:r>
      <w:r w:rsidRPr="009F751C">
        <w:rPr>
          <w:rFonts w:eastAsia="KaiTi_GB2312"/>
          <w:b/>
        </w:rPr>
        <w:t>2008</w:t>
      </w:r>
      <w:r w:rsidRPr="009F751C">
        <w:rPr>
          <w:rFonts w:eastAsia="KaiTi_GB2312" w:hint="eastAsia"/>
          <w:b/>
        </w:rPr>
        <w:t>年《国际儿童拐骗事件法案》</w:t>
      </w:r>
      <w:r w:rsidRPr="009F751C">
        <w:rPr>
          <w:rFonts w:hint="eastAsia"/>
        </w:rPr>
        <w:t>（规定《国际儿童拐骗事件的民事问题海牙公约》适用于特立尼达和多巴哥）；</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s.</w:t>
      </w:r>
      <w:r w:rsidRPr="009F751C">
        <w:tab/>
      </w:r>
      <w:r w:rsidRPr="009F751C">
        <w:rPr>
          <w:rFonts w:eastAsia="KaiTi_GB2312"/>
          <w:b/>
        </w:rPr>
        <w:t>2012</w:t>
      </w:r>
      <w:r w:rsidRPr="009F751C">
        <w:rPr>
          <w:rFonts w:eastAsia="KaiTi_GB2312" w:hint="eastAsia"/>
          <w:b/>
        </w:rPr>
        <w:t>年《儿童法案》</w:t>
      </w:r>
      <w:r w:rsidRPr="009F751C">
        <w:rPr>
          <w:rFonts w:hint="eastAsia"/>
        </w:rPr>
        <w:t>（增加了在各个方面对于儿童的保护，包括保护儿童免遭虐待、性犯罪、卖淫和儿童色情）；</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1134" w:right="1134" w:firstLineChars="200" w:firstLine="420"/>
      </w:pPr>
      <w:r w:rsidRPr="009F751C">
        <w:t>t.</w:t>
      </w:r>
      <w:r w:rsidRPr="009F751C">
        <w:tab/>
      </w:r>
      <w:r w:rsidRPr="009F751C">
        <w:rPr>
          <w:rFonts w:eastAsia="KaiTi_GB2312"/>
          <w:b/>
        </w:rPr>
        <w:t>2011</w:t>
      </w:r>
      <w:r w:rsidRPr="009F751C">
        <w:rPr>
          <w:rFonts w:eastAsia="KaiTi_GB2312" w:hint="eastAsia"/>
          <w:b/>
        </w:rPr>
        <w:t>年《贩运人口法案》</w:t>
      </w:r>
      <w:r w:rsidRPr="009F751C">
        <w:rPr>
          <w:rFonts w:hint="eastAsia"/>
        </w:rPr>
        <w:t>（根据联合国《关于防止、禁止和惩治贩运人口特别是妇女和儿童行为的议定书》，规定了贩运人口犯罪）。</w:t>
      </w:r>
    </w:p>
    <w:p w:rsidR="00D977B9" w:rsidRPr="009F751C" w:rsidRDefault="00D977B9" w:rsidP="00D977B9">
      <w:pPr>
        <w:pStyle w:val="SingleTxt"/>
        <w:tabs>
          <w:tab w:val="clear" w:pos="1695"/>
          <w:tab w:val="left" w:pos="1568"/>
        </w:tabs>
        <w:spacing w:after="120"/>
        <w:ind w:left="1134" w:right="1134"/>
      </w:pPr>
      <w:r w:rsidRPr="009F751C">
        <w:t>21.</w:t>
      </w:r>
      <w:r w:rsidRPr="009F751C">
        <w:tab/>
      </w:r>
      <w:r w:rsidRPr="009F751C">
        <w:rPr>
          <w:rFonts w:hint="eastAsia"/>
        </w:rPr>
        <w:t>总体的国家政策框架是政府的可持续发展七大相互关联的支柱。</w:t>
      </w:r>
      <w:r w:rsidRPr="00D977B9">
        <w:rPr>
          <w:rStyle w:val="FootnoteReference"/>
        </w:rPr>
        <w:footnoteReference w:id="9"/>
      </w:r>
      <w:r w:rsidRPr="009F751C">
        <w:rPr>
          <w:rFonts w:hint="eastAsia"/>
        </w:rPr>
        <w:t>这七大相互关联的支柱基于以下根本思想：必须给予每位公民，不论性别如何，平等的机会，以实现个人成长、自我表达、享受生活并参与发展进程。性别平等被认为是确保各个不同部门的发展计划解决性别关切问题的不可或缺的组成部分。</w:t>
      </w:r>
    </w:p>
    <w:p w:rsidR="00D977B9" w:rsidRPr="009F751C" w:rsidRDefault="00D977B9" w:rsidP="00D977B9">
      <w:pPr>
        <w:pStyle w:val="SingleTxt"/>
        <w:tabs>
          <w:tab w:val="clear" w:pos="1695"/>
          <w:tab w:val="left" w:pos="1568"/>
        </w:tabs>
        <w:spacing w:after="120"/>
        <w:ind w:left="1134" w:right="1134"/>
      </w:pPr>
      <w:r w:rsidRPr="009F751C">
        <w:t>22.</w:t>
      </w:r>
      <w:r w:rsidRPr="009F751C">
        <w:tab/>
      </w:r>
      <w:r w:rsidRPr="009F751C">
        <w:rPr>
          <w:rFonts w:hint="eastAsia"/>
        </w:rPr>
        <w:t>特立尼达和多巴哥政府始终致力于实施旨在促进性别平等和性别公平的具体措施。性别、青年和儿童发展部性别事务司是性别和发展方面的国家协调中心。该司与国家机构、民间组织和学术界协作，促进积极和高调的政策，将性别平等视角纳入政府和民间社会的政策、方案、项目和活动的主流。该司的重点关注领域包括：对性别平等的敏感认识和性别问题主流化；审查和修订立法，有效地保护妇女人权；增强妇女的社会经济权能；防止暴力侵害妇女和女童的行为；以及，政策制定、分析和研究。</w:t>
      </w:r>
    </w:p>
    <w:p w:rsidR="00D977B9" w:rsidRPr="009F751C" w:rsidRDefault="00D977B9" w:rsidP="00D977B9">
      <w:pPr>
        <w:pStyle w:val="SingleTxt"/>
        <w:tabs>
          <w:tab w:val="clear" w:pos="1695"/>
          <w:tab w:val="left" w:pos="1568"/>
        </w:tabs>
        <w:spacing w:after="120"/>
        <w:ind w:left="1134" w:right="1134"/>
      </w:pPr>
      <w:r w:rsidRPr="009F751C">
        <w:t>23.</w:t>
      </w:r>
      <w:r w:rsidRPr="009F751C">
        <w:tab/>
      </w:r>
      <w:r w:rsidRPr="009F751C">
        <w:rPr>
          <w:rFonts w:hint="eastAsia"/>
        </w:rPr>
        <w:t>除国家目标外，多项国际任务也对性别和发展提供了指导，包括：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《消除对妇女一切形式歧视公约》（《消除对妇女歧视公约》）；</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美洲国家组织（美洲组织）美洲妇女委员会行动计划和《贝伦杜帕拉公约》；</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《北京宣言和行动纲要》以及成果文件；</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联合国千年发展目标；</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Pr>
          <w:rFonts w:hint="eastAsia"/>
        </w:rPr>
        <w:t>《</w:t>
      </w:r>
      <w:r w:rsidRPr="009F751C">
        <w:t>2005</w:t>
      </w:r>
      <w:r w:rsidRPr="009F751C">
        <w:rPr>
          <w:rFonts w:hint="eastAsia"/>
        </w:rPr>
        <w:t>至</w:t>
      </w:r>
      <w:r w:rsidRPr="009F751C">
        <w:t>2015</w:t>
      </w:r>
      <w:r w:rsidRPr="009F751C">
        <w:rPr>
          <w:rFonts w:hint="eastAsia"/>
        </w:rPr>
        <w:t>年英联邦性别平等行动计划</w:t>
      </w:r>
      <w:r>
        <w:rPr>
          <w:rFonts w:hint="eastAsia"/>
        </w:rPr>
        <w:t>》</w:t>
      </w:r>
      <w:r w:rsidRPr="009F751C">
        <w:rPr>
          <w:rFonts w:hint="eastAsia"/>
        </w:rPr>
        <w:t>；以及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985"/>
        </w:tabs>
        <w:spacing w:after="120"/>
        <w:ind w:leftChars="773" w:left="1623" w:rightChars="540" w:right="1134"/>
      </w:pPr>
      <w:r w:rsidRPr="009F751C">
        <w:t>•</w:t>
      </w:r>
      <w:r w:rsidRPr="009F751C">
        <w:tab/>
      </w:r>
      <w:r>
        <w:rPr>
          <w:rFonts w:hint="eastAsia"/>
        </w:rPr>
        <w:t>《</w:t>
      </w:r>
      <w:r w:rsidRPr="009F751C">
        <w:rPr>
          <w:rFonts w:hint="eastAsia"/>
        </w:rPr>
        <w:t>加共体行动计划</w:t>
      </w:r>
      <w:r>
        <w:rPr>
          <w:rFonts w:hint="eastAsia"/>
        </w:rPr>
        <w:t>》</w:t>
      </w:r>
      <w:r w:rsidRPr="009F751C">
        <w:rPr>
          <w:rFonts w:hint="eastAsia"/>
        </w:rPr>
        <w:t>。</w:t>
      </w:r>
      <w:r w:rsidRPr="00D977B9">
        <w:rPr>
          <w:rStyle w:val="FootnoteReference"/>
        </w:rPr>
        <w:footnoteReference w:id="10"/>
      </w:r>
    </w:p>
    <w:p w:rsidR="00D977B9" w:rsidRPr="009F751C" w:rsidRDefault="00D977B9" w:rsidP="00D977B9">
      <w:pPr>
        <w:pStyle w:val="SingleTxt"/>
        <w:tabs>
          <w:tab w:val="clear" w:pos="1695"/>
          <w:tab w:val="left" w:pos="1568"/>
        </w:tabs>
        <w:spacing w:after="120"/>
        <w:ind w:left="1134" w:right="1134"/>
      </w:pPr>
      <w:r w:rsidRPr="009F751C">
        <w:t>24.</w:t>
      </w:r>
      <w:r w:rsidRPr="009F751C">
        <w:tab/>
        <w:t>2002</w:t>
      </w:r>
      <w:r w:rsidRPr="009F751C">
        <w:rPr>
          <w:rFonts w:hint="eastAsia"/>
        </w:rPr>
        <w:t>年，特立尼达和多巴哥政府同意制定</w:t>
      </w:r>
      <w:r>
        <w:rPr>
          <w:rFonts w:hint="eastAsia"/>
        </w:rPr>
        <w:t>《</w:t>
      </w:r>
      <w:r w:rsidRPr="009F751C">
        <w:rPr>
          <w:rFonts w:hint="eastAsia"/>
        </w:rPr>
        <w:t>国家性别和发展政策</w:t>
      </w:r>
      <w:r>
        <w:rPr>
          <w:rFonts w:hint="eastAsia"/>
        </w:rPr>
        <w:t>》</w:t>
      </w:r>
      <w:r w:rsidRPr="009F751C">
        <w:rPr>
          <w:rFonts w:hint="eastAsia"/>
        </w:rPr>
        <w:t>。该进程于</w:t>
      </w:r>
      <w:r w:rsidRPr="009F751C">
        <w:t>2009</w:t>
      </w:r>
      <w:r w:rsidRPr="009F751C">
        <w:rPr>
          <w:rFonts w:hint="eastAsia"/>
        </w:rPr>
        <w:t>年</w:t>
      </w:r>
      <w:r w:rsidRPr="009F751C">
        <w:t>8</w:t>
      </w:r>
      <w:r w:rsidRPr="009F751C">
        <w:rPr>
          <w:rFonts w:hint="eastAsia"/>
        </w:rPr>
        <w:t>月达到高潮，制定了绿皮书的议会政策草案，并征求公众意见。在行政方面出现拖延之后，新成立的性别、青年和儿童发展部于</w:t>
      </w:r>
      <w:r w:rsidRPr="009F751C">
        <w:t>2011</w:t>
      </w:r>
      <w:r w:rsidRPr="009F751C">
        <w:rPr>
          <w:rFonts w:hint="eastAsia"/>
        </w:rPr>
        <w:t>年</w:t>
      </w:r>
      <w:r w:rsidRPr="009F751C">
        <w:t>10</w:t>
      </w:r>
      <w:r w:rsidRPr="009F751C">
        <w:rPr>
          <w:rFonts w:hint="eastAsia"/>
        </w:rPr>
        <w:t>月重新启动了该进程。成立了一个内阁委员会，为性别和发展政策草案最终定稿提出建议。</w:t>
      </w:r>
      <w:r w:rsidRPr="009F751C">
        <w:t>2011</w:t>
      </w:r>
      <w:r w:rsidRPr="009F751C">
        <w:rPr>
          <w:rFonts w:hint="eastAsia"/>
        </w:rPr>
        <w:t>年</w:t>
      </w:r>
      <w:r w:rsidRPr="009F751C">
        <w:t>12</w:t>
      </w:r>
      <w:r w:rsidRPr="009F751C">
        <w:rPr>
          <w:rFonts w:hint="eastAsia"/>
        </w:rPr>
        <w:t>月至</w:t>
      </w:r>
      <w:r w:rsidRPr="009F751C">
        <w:t>2012</w:t>
      </w:r>
      <w:r w:rsidRPr="009F751C">
        <w:rPr>
          <w:rFonts w:hint="eastAsia"/>
        </w:rPr>
        <w:t>年</w:t>
      </w:r>
      <w:r w:rsidRPr="009F751C">
        <w:t>6</w:t>
      </w:r>
      <w:r w:rsidRPr="009F751C">
        <w:rPr>
          <w:rFonts w:hint="eastAsia"/>
        </w:rPr>
        <w:t>月，委员会每个月召开两次会议，提交报告和拟议的政策文件。国家性别和发展政策草案仍然是内阁评估的主题。政策草案提供了一个指导促进特立尼达和多巴哥公共和私营领域性别平等和公平并将性别平等纳入政府和民间社会工作主流的框架。</w:t>
      </w:r>
    </w:p>
    <w:p w:rsidR="00D977B9" w:rsidRPr="009F751C" w:rsidRDefault="00D977B9" w:rsidP="00D977B9">
      <w:pPr>
        <w:pStyle w:val="SingleTxt"/>
        <w:tabs>
          <w:tab w:val="clear" w:pos="1695"/>
          <w:tab w:val="left" w:pos="1568"/>
        </w:tabs>
        <w:spacing w:after="120"/>
        <w:ind w:left="1134" w:right="1134"/>
      </w:pPr>
      <w:r w:rsidRPr="009F751C">
        <w:t>25.</w:t>
      </w:r>
      <w:r w:rsidRPr="009F751C">
        <w:tab/>
        <w:t>2000/2001</w:t>
      </w:r>
      <w:r w:rsidRPr="009F751C">
        <w:rPr>
          <w:rFonts w:hint="eastAsia"/>
        </w:rPr>
        <w:t>年至</w:t>
      </w:r>
      <w:r w:rsidRPr="009F751C">
        <w:t>2011/2012</w:t>
      </w:r>
      <w:r w:rsidRPr="009F751C">
        <w:rPr>
          <w:rFonts w:hint="eastAsia"/>
        </w:rPr>
        <w:t>年间，政府为促进性别平等相关活动的财政拨款增加了</w:t>
      </w:r>
      <w:r w:rsidRPr="009F751C">
        <w:t>410.43%</w:t>
      </w:r>
      <w:r w:rsidRPr="009F751C">
        <w:rPr>
          <w:rFonts w:hint="eastAsia"/>
        </w:rPr>
        <w:t>，在审查期间从</w:t>
      </w:r>
      <w:r w:rsidRPr="009F751C">
        <w:t>2 314 653</w:t>
      </w:r>
      <w:r w:rsidRPr="009F751C">
        <w:rPr>
          <w:rFonts w:hint="eastAsia"/>
        </w:rPr>
        <w:t>特元增加到</w:t>
      </w:r>
      <w:r w:rsidRPr="009F751C">
        <w:t>9 500 000</w:t>
      </w:r>
      <w:r w:rsidRPr="009F751C">
        <w:rPr>
          <w:rFonts w:hint="eastAsia"/>
        </w:rPr>
        <w:t>特元。</w:t>
      </w:r>
    </w:p>
    <w:p w:rsidR="00D977B9" w:rsidRPr="009F751C" w:rsidRDefault="00D977B9" w:rsidP="00D977B9">
      <w:pPr>
        <w:pStyle w:val="SingleTxt"/>
        <w:tabs>
          <w:tab w:val="clear" w:pos="1695"/>
          <w:tab w:val="left" w:pos="1568"/>
        </w:tabs>
        <w:spacing w:after="120"/>
        <w:ind w:left="1134" w:right="1134"/>
      </w:pPr>
      <w:r w:rsidRPr="009F751C">
        <w:t>26.</w:t>
      </w:r>
      <w:r w:rsidRPr="009F751C">
        <w:tab/>
      </w:r>
      <w:r w:rsidRPr="009F751C">
        <w:rPr>
          <w:rFonts w:hint="eastAsia"/>
        </w:rPr>
        <w:t>数以百计的妇女非政府组织和社区组织构成了积极的妇女运动，它们处于特立尼达和多巴哥促进妇女地位工作的前沿。通过宣传、培训、研究和专门项目，这些组织几乎在每个领域都参与促进妇女地位。出现了数个促进性别平等的男性组织，重点关注的问题包括：男性和男童重新融入社会；积极的男子气质、男子气概和父亲角色；以及，消除性别暴力。</w:t>
      </w:r>
    </w:p>
    <w:p w:rsidR="00D977B9" w:rsidRPr="009F751C" w:rsidRDefault="00D977B9" w:rsidP="00D977B9">
      <w:pPr>
        <w:pStyle w:val="SingleTxt"/>
        <w:tabs>
          <w:tab w:val="clear" w:pos="1695"/>
          <w:tab w:val="left" w:pos="1568"/>
        </w:tabs>
        <w:spacing w:after="120"/>
        <w:ind w:left="1134" w:right="1134"/>
      </w:pPr>
      <w:r w:rsidRPr="009F751C">
        <w:t>27.</w:t>
      </w:r>
      <w:r w:rsidRPr="009F751C">
        <w:tab/>
        <w:t>2011</w:t>
      </w:r>
      <w:r w:rsidRPr="009F751C">
        <w:rPr>
          <w:rFonts w:hint="eastAsia"/>
        </w:rPr>
        <w:t>年</w:t>
      </w:r>
      <w:r w:rsidRPr="009F751C">
        <w:t>6</w:t>
      </w:r>
      <w:r w:rsidRPr="009F751C">
        <w:rPr>
          <w:rFonts w:hint="eastAsia"/>
        </w:rPr>
        <w:t>月，总检察长部在国际法律和人权股的促进下举办了一次全国民间社会磋商。大约</w:t>
      </w:r>
      <w:r w:rsidRPr="009F751C">
        <w:t>50</w:t>
      </w:r>
      <w:r w:rsidRPr="009F751C">
        <w:rPr>
          <w:rFonts w:hint="eastAsia"/>
        </w:rPr>
        <w:t>个全面代表各种人权问题的组织参加了此次磋商。这次民间社会磋商的目的是吸收民间社会对当前影响特立尼达和多巴哥的人权问题的意见和建议，从而将这些意见和建议纳入国家人权报告草案。这些问题基于儿童权利、妇女权利、老年人权利、公民权利和政治权利以及经济、社会及文化权利。在设计此次磋商的过程中，获得了人权事务高级专员办事处（人权高专办）的协助。</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sz w:val="24"/>
        </w:rPr>
      </w:pPr>
      <w:r w:rsidRPr="009F751C">
        <w:rPr>
          <w:rFonts w:ascii="Times New Roman" w:hint="eastAsia"/>
          <w:sz w:val="24"/>
        </w:rPr>
        <w:t>第二部分：对消除对妇女歧视委员会对于特立尼达和多巴哥政府初次、第二次和第三次合并定期报告的结论意见的答复</w:t>
      </w:r>
    </w:p>
    <w:p w:rsidR="00D977B9" w:rsidRPr="009F751C" w:rsidRDefault="00D977B9" w:rsidP="00D977B9">
      <w:pPr>
        <w:pStyle w:val="SingleTxt"/>
        <w:tabs>
          <w:tab w:val="clear" w:pos="1695"/>
          <w:tab w:val="left" w:pos="1568"/>
        </w:tabs>
        <w:spacing w:after="0" w:line="120" w:lineRule="exact"/>
        <w:ind w:left="1134" w:right="1134"/>
        <w:rPr>
          <w:sz w:val="10"/>
        </w:rPr>
      </w:pPr>
    </w:p>
    <w:p w:rsidR="003E73E0" w:rsidRDefault="00D977B9" w:rsidP="003E73E0">
      <w:pPr>
        <w:pStyle w:val="SingleTxt"/>
        <w:tabs>
          <w:tab w:val="clear" w:pos="1695"/>
          <w:tab w:val="left" w:pos="1568"/>
        </w:tabs>
        <w:spacing w:after="120"/>
        <w:ind w:left="1134" w:right="1134"/>
        <w:rPr>
          <w:rFonts w:hint="eastAsia"/>
        </w:rPr>
      </w:pPr>
      <w:r w:rsidRPr="009F751C">
        <w:t>28.</w:t>
      </w:r>
      <w:r w:rsidRPr="009F751C">
        <w:tab/>
      </w:r>
      <w:r w:rsidRPr="009F751C">
        <w:rPr>
          <w:rFonts w:hint="eastAsia"/>
        </w:rPr>
        <w:t>特立尼达和多巴哥共和国政府欢迎联合国消除对妇女歧视委员会对其初次、第二次和第三次合并定期报告提出的意见和建议。这些建议构成了</w:t>
      </w:r>
      <w:r w:rsidRPr="009F751C">
        <w:t>2001</w:t>
      </w:r>
      <w:r w:rsidRPr="009F751C">
        <w:rPr>
          <w:rFonts w:hint="eastAsia"/>
        </w:rPr>
        <w:t>至</w:t>
      </w:r>
      <w:r w:rsidRPr="009F751C">
        <w:t>2013</w:t>
      </w:r>
      <w:r w:rsidRPr="009F751C">
        <w:rPr>
          <w:rFonts w:hint="eastAsia"/>
        </w:rPr>
        <w:t>年审查期间数项促进妇女地位倡议的基础。下文回顾了委员会的结论意见，并说明了为促进这些建议采取的具体行动。</w:t>
      </w:r>
    </w:p>
    <w:p w:rsidR="00D977B9" w:rsidRPr="003E73E0" w:rsidRDefault="00D977B9" w:rsidP="003E73E0">
      <w:pPr>
        <w:pStyle w:val="SingleTxt"/>
        <w:tabs>
          <w:tab w:val="clear" w:pos="1695"/>
          <w:tab w:val="left" w:pos="1568"/>
        </w:tabs>
        <w:spacing w:after="120"/>
        <w:ind w:left="1134" w:right="1134"/>
        <w:rPr>
          <w:rFonts w:ascii="SimHei" w:eastAsia="SimHei" w:hAnsi="SimHei"/>
        </w:rPr>
      </w:pPr>
      <w:r w:rsidRPr="003E73E0">
        <w:rPr>
          <w:rFonts w:ascii="SimHei" w:eastAsia="SimHei" w:hAnsi="SimHei" w:hint="eastAsia"/>
        </w:rPr>
        <w:t>建议</w:t>
      </w:r>
      <w:r w:rsidRPr="003E73E0">
        <w:rPr>
          <w:rFonts w:ascii="SimHei" w:eastAsia="SimHei" w:hAnsi="SimHei"/>
          <w:b/>
        </w:rPr>
        <w:t>1</w:t>
      </w:r>
      <w:r w:rsidRPr="003E73E0">
        <w:rPr>
          <w:rFonts w:ascii="SimHei" w:eastAsia="SimHei" w:hAnsi="SimHei" w:hint="eastAsia"/>
        </w:rPr>
        <w:t>：将第</w:t>
      </w:r>
      <w:r w:rsidRPr="003E73E0">
        <w:rPr>
          <w:rFonts w:ascii="SimHei" w:eastAsia="SimHei" w:hAnsi="SimHei"/>
          <w:b/>
        </w:rPr>
        <w:t>1</w:t>
      </w:r>
      <w:r w:rsidRPr="003E73E0">
        <w:rPr>
          <w:rFonts w:ascii="SimHei" w:eastAsia="SimHei" w:hAnsi="SimHei" w:hint="eastAsia"/>
        </w:rPr>
        <w:t>条纳入国内法</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1.</w:t>
      </w:r>
      <w:r w:rsidRPr="009F751C">
        <w:rPr>
          <w:rFonts w:eastAsia="SimHei"/>
        </w:rPr>
        <w:tab/>
      </w:r>
      <w:r w:rsidRPr="009F751C">
        <w:rPr>
          <w:rFonts w:eastAsia="SimHei" w:hint="eastAsia"/>
        </w:rPr>
        <w:t>委员会关切的是，没有将《公约》纳入国内法。委员会尤其遗憾的是，载有“对妇女的歧视”的定义的《公约》第</w:t>
      </w:r>
      <w:r w:rsidRPr="009F751C">
        <w:rPr>
          <w:rFonts w:eastAsia="SimHei"/>
        </w:rPr>
        <w:t>1</w:t>
      </w:r>
      <w:r w:rsidRPr="009F751C">
        <w:rPr>
          <w:rFonts w:eastAsia="SimHei" w:hint="eastAsia"/>
        </w:rPr>
        <w:t>条没有成为缔约国国内法的一部分。</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委员会建议缔约国考虑将《公约》纳入国内法。委员会特别指出纳入《公约》第</w:t>
      </w:r>
      <w:r w:rsidRPr="009F751C">
        <w:rPr>
          <w:rFonts w:eastAsia="SimHei"/>
        </w:rPr>
        <w:t>1</w:t>
      </w:r>
      <w:r w:rsidRPr="009F751C">
        <w:rPr>
          <w:rFonts w:eastAsia="SimHei" w:hint="eastAsia"/>
        </w:rPr>
        <w:t>条的重要性。委员会请缔约国在下一次的定期报告中说明这方面的进展情况，包括说明是否有国内法院援引《公约》的案例。</w:t>
      </w:r>
    </w:p>
    <w:p w:rsidR="00D977B9" w:rsidRPr="009F751C" w:rsidRDefault="00D977B9" w:rsidP="00D977B9">
      <w:pPr>
        <w:pStyle w:val="SingleTxt"/>
        <w:tabs>
          <w:tab w:val="clear" w:pos="1695"/>
          <w:tab w:val="left" w:pos="1568"/>
        </w:tabs>
        <w:spacing w:after="120"/>
        <w:ind w:left="1134" w:right="1134"/>
      </w:pPr>
      <w:r w:rsidRPr="009F751C">
        <w:t>29.</w:t>
      </w:r>
      <w:r w:rsidRPr="009F751C">
        <w:tab/>
      </w:r>
      <w:r w:rsidRPr="009F751C">
        <w:rPr>
          <w:rFonts w:hint="eastAsia"/>
        </w:rPr>
        <w:t>特立尼达和多巴哥同意国际法的二元论，根据该原则，国际公约要生效，必须将其纳入国内法。关于《消除对妇女歧视公约》，没有一项单独的立法纳入了该公约。事实上，《消除对妇女歧视公约》规定的权利和义务是根据相关的主题事务通过许多立法被纳入其中并予以实施的。例如，与婚姻和离婚相关的对妇女的歧视在</w:t>
      </w:r>
      <w:r w:rsidRPr="009F751C">
        <w:rPr>
          <w:rFonts w:eastAsia="KaiTi_GB2312"/>
          <w:b/>
        </w:rPr>
        <w:t>1972</w:t>
      </w:r>
      <w:r w:rsidRPr="009F751C">
        <w:rPr>
          <w:rFonts w:eastAsia="KaiTi_GB2312" w:hint="eastAsia"/>
          <w:b/>
        </w:rPr>
        <w:t>年《婚姻诉讼和财产法案》</w:t>
      </w:r>
      <w:r w:rsidRPr="009F751C">
        <w:rPr>
          <w:rFonts w:hint="eastAsia"/>
        </w:rPr>
        <w:t>做出了规定，而与就业条件相关的问题则在</w:t>
      </w:r>
      <w:r w:rsidRPr="009F751C">
        <w:rPr>
          <w:rFonts w:eastAsia="KaiTi_GB2312"/>
          <w:b/>
        </w:rPr>
        <w:t>2004</w:t>
      </w:r>
      <w:r w:rsidRPr="009F751C">
        <w:rPr>
          <w:rFonts w:eastAsia="KaiTi_GB2312" w:hint="eastAsia"/>
          <w:b/>
        </w:rPr>
        <w:t>年《职业安全和健康法案》</w:t>
      </w:r>
      <w:r w:rsidRPr="009F751C">
        <w:rPr>
          <w:rFonts w:hint="eastAsia"/>
        </w:rPr>
        <w:t>做出了规定。各个政府机构负责实施相关国际公约，总检察长部国际法律和人权股负责报告与人权相关的国际公约的实施情况。</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b/>
        </w:rPr>
        <w:t>2</w:t>
      </w:r>
      <w:r w:rsidRPr="009F751C">
        <w:rPr>
          <w:rFonts w:ascii="Times New Roman" w:hint="eastAsia"/>
        </w:rPr>
        <w:t>：修正和撤销歧视性立法</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2.</w:t>
      </w:r>
      <w:r w:rsidRPr="009F751C">
        <w:rPr>
          <w:rFonts w:eastAsia="SimHei"/>
        </w:rPr>
        <w:tab/>
      </w:r>
      <w:r w:rsidRPr="009F751C">
        <w:rPr>
          <w:rFonts w:eastAsia="SimHei" w:hint="eastAsia"/>
        </w:rPr>
        <w:t>委员会关切地注意到，虽然缔约国宪法明文禁止性别歧视，但有些法律可能容许对妇女的歧视。</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委员会建议清查歧视妇女的法律，以便加以修订、修正或撤销。</w:t>
      </w:r>
    </w:p>
    <w:p w:rsidR="00D977B9" w:rsidRPr="009F751C" w:rsidRDefault="00D977B9" w:rsidP="00D977B9">
      <w:pPr>
        <w:pStyle w:val="SingleTxt"/>
        <w:tabs>
          <w:tab w:val="clear" w:pos="1695"/>
          <w:tab w:val="left" w:pos="1568"/>
        </w:tabs>
        <w:spacing w:after="120"/>
        <w:ind w:left="1134" w:right="1134"/>
      </w:pPr>
      <w:r w:rsidRPr="009F751C">
        <w:t>30.</w:t>
      </w:r>
      <w:r w:rsidRPr="009F751C">
        <w:tab/>
      </w:r>
      <w:r w:rsidRPr="009F751C">
        <w:rPr>
          <w:rFonts w:hint="eastAsia"/>
        </w:rPr>
        <w:t>在审查期间，撤销了下列歧视妇女的法规：</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701"/>
        </w:tabs>
        <w:spacing w:after="120"/>
        <w:ind w:leftChars="767" w:left="1979" w:rightChars="540" w:right="1134" w:hanging="368"/>
      </w:pPr>
      <w:r w:rsidRPr="009F751C">
        <w:t>–</w:t>
      </w:r>
      <w:r w:rsidRPr="009F751C">
        <w:rPr>
          <w:rFonts w:hint="eastAsia"/>
        </w:rPr>
        <w:tab/>
      </w:r>
      <w:r w:rsidRPr="009F751C">
        <w:t>2012</w:t>
      </w:r>
      <w:r w:rsidRPr="009F751C">
        <w:rPr>
          <w:rFonts w:hint="eastAsia"/>
        </w:rPr>
        <w:t>年，通过</w:t>
      </w:r>
      <w:r w:rsidRPr="009F751C">
        <w:rPr>
          <w:rFonts w:eastAsia="KaiTi_GB2312"/>
          <w:b/>
        </w:rPr>
        <w:t>2012</w:t>
      </w:r>
      <w:r w:rsidRPr="009F751C">
        <w:rPr>
          <w:rFonts w:eastAsia="KaiTi_GB2312" w:hint="eastAsia"/>
          <w:b/>
        </w:rPr>
        <w:t>年《杂项规定法案（孕产妇保护和劳资关系法令）》</w:t>
      </w:r>
      <w:r w:rsidRPr="009F751C">
        <w:rPr>
          <w:rFonts w:hint="eastAsia"/>
        </w:rPr>
        <w:t>，撤销了</w:t>
      </w:r>
      <w:r w:rsidRPr="009F751C">
        <w:rPr>
          <w:rFonts w:eastAsia="KaiTi_GB2312"/>
          <w:b/>
        </w:rPr>
        <w:t>1938</w:t>
      </w:r>
      <w:r w:rsidRPr="009F751C">
        <w:rPr>
          <w:rFonts w:eastAsia="KaiTi_GB2312" w:hint="eastAsia"/>
          <w:b/>
        </w:rPr>
        <w:t>年《劳资关系法令》</w:t>
      </w:r>
      <w:r w:rsidRPr="009F751C">
        <w:rPr>
          <w:rFonts w:hint="eastAsia"/>
        </w:rPr>
        <w:t>。该法令是特立尼达和多巴哥处于殖民统治时期颁布的，严重偏向雇主，旨在约束和压制工人。法令中定义的“仆从”和“雇主”等词汇内容狭隘，没有反映出特立尼达和多巴哥的现状；</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701"/>
        </w:tabs>
        <w:spacing w:after="120"/>
        <w:ind w:leftChars="767" w:left="1979" w:rightChars="540" w:right="1134" w:hanging="368"/>
      </w:pPr>
      <w:r w:rsidRPr="009F751C">
        <w:t>–</w:t>
      </w:r>
      <w:r w:rsidRPr="009F751C">
        <w:rPr>
          <w:rFonts w:hint="eastAsia"/>
        </w:rPr>
        <w:tab/>
      </w:r>
      <w:r w:rsidRPr="009F751C">
        <w:t>2004</w:t>
      </w:r>
      <w:r w:rsidRPr="009F751C">
        <w:rPr>
          <w:rFonts w:hint="eastAsia"/>
        </w:rPr>
        <w:t>年，通过</w:t>
      </w:r>
      <w:r w:rsidRPr="009F751C">
        <w:rPr>
          <w:rFonts w:eastAsia="KaiTi_GB2312"/>
          <w:b/>
        </w:rPr>
        <w:t>2004</w:t>
      </w:r>
      <w:r w:rsidRPr="009F751C">
        <w:rPr>
          <w:rFonts w:eastAsia="KaiTi_GB2312" w:hint="eastAsia"/>
          <w:b/>
        </w:rPr>
        <w:t>年《职业安全和健康法案》</w:t>
      </w:r>
      <w:r w:rsidRPr="009F751C">
        <w:rPr>
          <w:rFonts w:hint="eastAsia"/>
        </w:rPr>
        <w:t>第</w:t>
      </w:r>
      <w:r w:rsidRPr="009F751C">
        <w:t>98</w:t>
      </w:r>
      <w:r w:rsidRPr="009F751C">
        <w:rPr>
          <w:rFonts w:hint="eastAsia"/>
        </w:rPr>
        <w:t>（</w:t>
      </w:r>
      <w:r w:rsidRPr="009F751C">
        <w:t>1</w:t>
      </w:r>
      <w:r w:rsidRPr="009F751C">
        <w:rPr>
          <w:rFonts w:hint="eastAsia"/>
        </w:rPr>
        <w:t>）节，撤销了</w:t>
      </w:r>
      <w:r w:rsidRPr="009F751C">
        <w:rPr>
          <w:rFonts w:eastAsia="KaiTi_GB2312"/>
          <w:b/>
        </w:rPr>
        <w:t>1939</w:t>
      </w:r>
      <w:r w:rsidRPr="009F751C">
        <w:rPr>
          <w:rFonts w:eastAsia="KaiTi_GB2312" w:hint="eastAsia"/>
          <w:b/>
        </w:rPr>
        <w:t>年《妇女就业（夜间工作）法案》</w:t>
      </w:r>
      <w:r w:rsidRPr="009F751C">
        <w:rPr>
          <w:rFonts w:hint="eastAsia"/>
        </w:rPr>
        <w:t>。该法案禁止妇女在夜间就业，法案规定的某些特殊情况除外。</w:t>
      </w:r>
    </w:p>
    <w:p w:rsidR="00D977B9" w:rsidRPr="009F751C" w:rsidRDefault="00D977B9" w:rsidP="00D977B9">
      <w:pPr>
        <w:pStyle w:val="SingleTxt"/>
        <w:tabs>
          <w:tab w:val="clear" w:pos="1695"/>
          <w:tab w:val="left" w:pos="1568"/>
        </w:tabs>
        <w:spacing w:after="120"/>
        <w:ind w:left="1134" w:right="1134"/>
      </w:pPr>
      <w:r w:rsidRPr="009F751C">
        <w:t>31.</w:t>
      </w:r>
      <w:r w:rsidRPr="009F751C">
        <w:tab/>
      </w:r>
      <w:r w:rsidRPr="009F751C">
        <w:rPr>
          <w:rFonts w:hint="eastAsia"/>
        </w:rPr>
        <w:t>政府认识到下列法规歧视妇女。根据国家政策框架和可持续发展七大相互关联的支柱，政府致力于审查和修正以下法规，旨在消除对妇女的歧视并充分保护她们的权利：</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701"/>
        </w:tabs>
        <w:spacing w:after="120"/>
        <w:ind w:leftChars="767" w:left="1979" w:rightChars="540" w:right="1134" w:hanging="368"/>
      </w:pPr>
      <w:r w:rsidRPr="009F751C">
        <w:t>–</w:t>
      </w:r>
      <w:r w:rsidRPr="009F751C">
        <w:tab/>
      </w:r>
      <w:r w:rsidRPr="009F751C">
        <w:rPr>
          <w:rFonts w:eastAsia="KaiTi_GB2312"/>
          <w:b/>
        </w:rPr>
        <w:t>1934</w:t>
      </w:r>
      <w:r w:rsidRPr="009F751C">
        <w:rPr>
          <w:rFonts w:eastAsia="KaiTi_GB2312" w:hint="eastAsia"/>
          <w:b/>
        </w:rPr>
        <w:t>年《寡妇和孤儿养恤金法案》</w:t>
      </w:r>
      <w:r w:rsidRPr="009F751C">
        <w:rPr>
          <w:rFonts w:hint="eastAsia"/>
        </w:rPr>
        <w:t>，该法的颁布是为了管理已故政府官员的养恤金，法案将妇女从“政府官员”的定义中排除；</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701"/>
        </w:tabs>
        <w:spacing w:after="120"/>
        <w:ind w:leftChars="767" w:left="1979" w:rightChars="540" w:right="1134" w:hanging="368"/>
      </w:pPr>
      <w:r w:rsidRPr="009F751C">
        <w:t>–</w:t>
      </w:r>
      <w:r w:rsidRPr="009F751C">
        <w:tab/>
      </w:r>
      <w:r w:rsidRPr="009F751C">
        <w:rPr>
          <w:rFonts w:eastAsia="KaiTi_GB2312"/>
          <w:b/>
        </w:rPr>
        <w:t>1971</w:t>
      </w:r>
      <w:r w:rsidRPr="009F751C">
        <w:rPr>
          <w:rFonts w:eastAsia="KaiTi_GB2312" w:hint="eastAsia"/>
          <w:b/>
        </w:rPr>
        <w:t>年《国家保险法案》</w:t>
      </w:r>
      <w:r w:rsidRPr="009F751C">
        <w:rPr>
          <w:rFonts w:hint="eastAsia"/>
        </w:rPr>
        <w:t>和</w:t>
      </w:r>
      <w:r w:rsidRPr="009F751C">
        <w:rPr>
          <w:rFonts w:eastAsia="KaiTi_GB2312"/>
          <w:b/>
        </w:rPr>
        <w:t>1972</w:t>
      </w:r>
      <w:r w:rsidRPr="009F751C">
        <w:rPr>
          <w:rFonts w:eastAsia="KaiTi_GB2312" w:hint="eastAsia"/>
          <w:b/>
        </w:rPr>
        <w:t>年《劳资关系法案》</w:t>
      </w:r>
      <w:r w:rsidRPr="009F751C">
        <w:rPr>
          <w:rFonts w:hint="eastAsia"/>
        </w:rPr>
        <w:t>，这两部法律都将家政工人排除在外。</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b/>
        </w:rPr>
        <w:t>3</w:t>
      </w:r>
      <w:r w:rsidRPr="009F751C">
        <w:rPr>
          <w:rFonts w:ascii="Times New Roman" w:hint="eastAsia"/>
        </w:rPr>
        <w:t>：将性别观点纳入政府各部的主流工作</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3.</w:t>
      </w:r>
      <w:r w:rsidRPr="009F751C">
        <w:rPr>
          <w:rFonts w:eastAsia="SimHei"/>
        </w:rPr>
        <w:tab/>
      </w:r>
      <w:r w:rsidRPr="009F751C">
        <w:rPr>
          <w:rFonts w:eastAsia="SimHei" w:hint="eastAsia"/>
        </w:rPr>
        <w:t>委员会关切的是，负责监督性别问题的政府各机构显然缺乏协调，活动责任不明，可能损害到将性别观点纳入主流的工作，而人力和财政资源有限可能对全国妇女机构造成不利的影响。</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鼓励将性别观点纳入政府各部的主流，并评估这种努力所产生的影响。委员会建议缔约国明确界定各个有关性别问题的委员会和理事会的任务规定和它们之间的相互作用的程度。委员会鼓励缔约国继续重组国家机构，拨付必要的人力和财政资源，以确保有效执行与性别平等有关的政府政策和方案。委员会还鼓励将性别观点纳入各部的主流。</w:t>
      </w:r>
    </w:p>
    <w:p w:rsidR="00D977B9" w:rsidRPr="009F751C" w:rsidRDefault="00D977B9" w:rsidP="00D977B9">
      <w:pPr>
        <w:pStyle w:val="SingleTxt"/>
        <w:tabs>
          <w:tab w:val="clear" w:pos="1695"/>
          <w:tab w:val="left" w:pos="1568"/>
        </w:tabs>
        <w:spacing w:after="120"/>
        <w:ind w:left="1134" w:right="1134"/>
      </w:pPr>
      <w:r w:rsidRPr="009F751C">
        <w:t>32.</w:t>
      </w:r>
      <w:r w:rsidRPr="009F751C">
        <w:tab/>
      </w:r>
      <w:r w:rsidRPr="009F751C">
        <w:rPr>
          <w:rFonts w:hint="eastAsia"/>
        </w:rPr>
        <w:t>国家性别和发展政策草案仍然是内阁评估的主题，</w:t>
      </w:r>
      <w:r w:rsidRPr="00D977B9">
        <w:rPr>
          <w:rStyle w:val="FootnoteReference"/>
        </w:rPr>
        <w:footnoteReference w:id="11"/>
      </w:r>
      <w:r w:rsidRPr="009F751C">
        <w:rPr>
          <w:rFonts w:hint="eastAsia"/>
        </w:rPr>
        <w:t>它为利用性别管理系统、建立（如有必要）并协调特立尼达和多巴哥负责性别平等和公平的各个不同机构的工作提供了一个框架。除其他外，其中包括：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性别、青年和儿童发展部，</w:t>
      </w:r>
      <w:r w:rsidRPr="00D977B9">
        <w:rPr>
          <w:rStyle w:val="FootnoteReference"/>
        </w:rPr>
        <w:footnoteReference w:id="12"/>
      </w:r>
      <w:r w:rsidRPr="009F751C">
        <w:rPr>
          <w:rFonts w:hint="eastAsia"/>
        </w:rPr>
        <w:t>负责领导促进特立尼达和多巴哥性别平等和公平的政府机构。作为领导机构，该部应每年向内阁报告国家政策实施方面的进展情况；</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作为负责指导和支持将性别观点纳入主流的执行机构，对性别事务司进行机构强化，并加强其与所有政府机构、相关非政府组织、私营部门、学术机构、国际机构以及媒体的关系；</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成立内阁指定的国家性别和发展政策草案事务部际委员会；</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在各个主要的政府部门确认（如有必要）、加强并配备性别平等问题协调人，以促进该部负责的部门将性别观点纳入决策、规划、方案编制和服务提供的主流；</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成立国家性别平等和增强妇女权能委员会，这是一个由总统任命的独立法定机构，监督所有部门将性别观点纳入主流的工作，协助制定性别公平敏感指标及其他绩效管理工具和方法，并监督政府对相关国际文书的遵守情况；</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多巴哥议会性别事务股代表协调、执行和监督国家政策制定的所有机构间、部际国家机构和机制；以及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与妇女组织、男性组织、非政府组织、社区组织、专家协会、学术界、宗教组织和其他民间组织保持持续的合作伙伴关系和协作，以确保国家政策总体实施的成功。</w:t>
      </w:r>
    </w:p>
    <w:p w:rsidR="00D977B9" w:rsidRPr="009F751C" w:rsidRDefault="00D977B9" w:rsidP="00D977B9">
      <w:pPr>
        <w:pStyle w:val="SingleTxt"/>
        <w:tabs>
          <w:tab w:val="clear" w:pos="1695"/>
          <w:tab w:val="left" w:pos="1568"/>
        </w:tabs>
        <w:spacing w:after="120"/>
        <w:ind w:left="1134" w:right="1134"/>
      </w:pPr>
      <w:r w:rsidRPr="009F751C">
        <w:t>33.</w:t>
      </w:r>
      <w:r w:rsidRPr="009F751C">
        <w:tab/>
      </w:r>
      <w:r w:rsidRPr="009F751C">
        <w:rPr>
          <w:rFonts w:hint="eastAsia"/>
        </w:rPr>
        <w:t>性别事务司的任务是通过将性别观点纳入所有政府政策的主流，促进性别平等和公平的原则。促进这一点的战略是性别平等问题协调人项目。性别平等问题协调人的重点是能力建设项目，旨在：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增强性别平等问题协调人计划、管理和监督将性别观点纳入其各部</w:t>
      </w:r>
      <w:r w:rsidRPr="009F751C">
        <w:t>/</w:t>
      </w:r>
      <w:r w:rsidRPr="009F751C">
        <w:rPr>
          <w:rFonts w:hint="eastAsia"/>
        </w:rPr>
        <w:t>机构主流的能力；</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为各部的性别平等问题协调人工作提供全面框架，支持国家性别和发展政策草案；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确认并提供资源，支持性别平等问题协调人的行动及其在各部进行的主流化努力；以及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为监测和评估这些倡议提供框架，以确保其与国家和国际性别目标保持一致，并实现这些目标。</w:t>
      </w:r>
    </w:p>
    <w:p w:rsidR="00D977B9" w:rsidRPr="009F751C" w:rsidRDefault="00D977B9" w:rsidP="00D977B9">
      <w:pPr>
        <w:pStyle w:val="SingleTxt"/>
        <w:tabs>
          <w:tab w:val="clear" w:pos="1695"/>
          <w:tab w:val="left" w:pos="1568"/>
        </w:tabs>
        <w:spacing w:after="120"/>
        <w:ind w:left="1134" w:right="1134"/>
      </w:pPr>
      <w:r w:rsidRPr="009F751C">
        <w:t>34.</w:t>
      </w:r>
      <w:r w:rsidRPr="009F751C">
        <w:tab/>
        <w:t>2006</w:t>
      </w:r>
      <w:r w:rsidRPr="009F751C">
        <w:rPr>
          <w:rFonts w:hint="eastAsia"/>
        </w:rPr>
        <w:t>年</w:t>
      </w:r>
      <w:r w:rsidRPr="009F751C">
        <w:t>6</w:t>
      </w:r>
      <w:r w:rsidRPr="009F751C">
        <w:rPr>
          <w:rFonts w:hint="eastAsia"/>
        </w:rPr>
        <w:t>月</w:t>
      </w:r>
      <w:r w:rsidRPr="009F751C">
        <w:t>28</w:t>
      </w:r>
      <w:r w:rsidRPr="009F751C">
        <w:rPr>
          <w:rFonts w:hint="eastAsia"/>
        </w:rPr>
        <w:t>至</w:t>
      </w:r>
      <w:r w:rsidRPr="009F751C">
        <w:t>30</w:t>
      </w:r>
      <w:r w:rsidRPr="009F751C">
        <w:rPr>
          <w:rFonts w:hint="eastAsia"/>
        </w:rPr>
        <w:t>日，举办了为期三天的性别平等宣传讲习班，包括卫生和劳动部门在内的多个部门还举行了后续会议，</w:t>
      </w:r>
      <w:r w:rsidRPr="009F751C">
        <w:t>2011</w:t>
      </w:r>
      <w:r w:rsidRPr="009F751C">
        <w:rPr>
          <w:rFonts w:hint="eastAsia"/>
        </w:rPr>
        <w:t>年</w:t>
      </w:r>
      <w:r w:rsidRPr="009F751C">
        <w:t>6</w:t>
      </w:r>
      <w:r w:rsidRPr="009F751C">
        <w:rPr>
          <w:rFonts w:hint="eastAsia"/>
        </w:rPr>
        <w:t>月</w:t>
      </w:r>
      <w:r w:rsidRPr="009F751C">
        <w:t>14</w:t>
      </w:r>
      <w:r w:rsidRPr="009F751C">
        <w:rPr>
          <w:rFonts w:hint="eastAsia"/>
        </w:rPr>
        <w:t>至</w:t>
      </w:r>
      <w:r w:rsidRPr="009F751C">
        <w:t>16</w:t>
      </w:r>
      <w:r w:rsidRPr="009F751C">
        <w:rPr>
          <w:rFonts w:hint="eastAsia"/>
        </w:rPr>
        <w:t>日，各部门持续开展类似工作。这些讲习班旨在向政府各部和公共机构介绍关于性别的基本概念以及性别分析和规划途径，以增强性别平等问题协调人执行任务的权能。这些受到培训的性别平等问题协调人始终参与性别事务司的活动。此外，已经与卫生部、劳动部和地方政府部启动</w:t>
      </w:r>
      <w:r w:rsidRPr="009F751C">
        <w:t>/</w:t>
      </w:r>
      <w:r w:rsidRPr="009F751C">
        <w:rPr>
          <w:rFonts w:hint="eastAsia"/>
        </w:rPr>
        <w:t>进行深入的性别平等主流化培训和实施活动。性别事务司继续与英联邦秘书处合作，在</w:t>
      </w:r>
      <w:r w:rsidRPr="009F751C">
        <w:t>10</w:t>
      </w:r>
      <w:r w:rsidRPr="009F751C">
        <w:rPr>
          <w:rFonts w:hint="eastAsia"/>
        </w:rPr>
        <w:t>个政府部级机构开展促进性别平等的预算编制工作。例如</w:t>
      </w:r>
      <w:r w:rsidRPr="009F751C">
        <w:t>2012</w:t>
      </w:r>
      <w:r w:rsidRPr="009F751C">
        <w:rPr>
          <w:rFonts w:hint="eastAsia"/>
        </w:rPr>
        <w:t>年</w:t>
      </w:r>
      <w:r w:rsidRPr="009F751C">
        <w:t>3</w:t>
      </w:r>
      <w:r w:rsidRPr="009F751C">
        <w:rPr>
          <w:rFonts w:hint="eastAsia"/>
        </w:rPr>
        <w:t>月，性别、青年和儿童发展部在西班牙港与英联邦秘书处合作主办了题为“促进性别平等的预算编制”的讲习班。</w:t>
      </w:r>
    </w:p>
    <w:p w:rsidR="00D977B9" w:rsidRPr="009F751C" w:rsidRDefault="00D977B9" w:rsidP="00D977B9">
      <w:pPr>
        <w:pStyle w:val="SingleTxt"/>
        <w:tabs>
          <w:tab w:val="clear" w:pos="1695"/>
          <w:tab w:val="left" w:pos="1568"/>
        </w:tabs>
        <w:spacing w:after="120"/>
        <w:ind w:left="1134" w:right="1134"/>
      </w:pPr>
      <w:r w:rsidRPr="009F751C">
        <w:t>35.</w:t>
      </w:r>
      <w:r w:rsidRPr="009F751C">
        <w:tab/>
      </w:r>
      <w:r w:rsidRPr="009F751C">
        <w:rPr>
          <w:rFonts w:hint="eastAsia"/>
        </w:rPr>
        <w:t>已经启动政府各部</w:t>
      </w:r>
      <w:r w:rsidRPr="009F751C">
        <w:t>/</w:t>
      </w:r>
      <w:r w:rsidRPr="009F751C">
        <w:rPr>
          <w:rFonts w:hint="eastAsia"/>
        </w:rPr>
        <w:t>机构性别平等主流化的全面计划，并将通过加强性别平等问题协调人和成立内阁指定的国家性别和发展政策草案事务部际委员会来继续进行下去。这将促进所有政府部门在更大层面上认识到性别关切问题对宏观和微观层面发展的意义。</w:t>
      </w:r>
    </w:p>
    <w:p w:rsidR="00D977B9" w:rsidRPr="009F751C" w:rsidRDefault="00D977B9" w:rsidP="00D977B9">
      <w:pPr>
        <w:pStyle w:val="SingleTxt"/>
        <w:tabs>
          <w:tab w:val="clear" w:pos="1695"/>
          <w:tab w:val="left" w:pos="1568"/>
        </w:tabs>
        <w:spacing w:after="120"/>
        <w:ind w:left="1134" w:right="1134"/>
      </w:pPr>
      <w:r w:rsidRPr="009F751C">
        <w:t>36.</w:t>
      </w:r>
      <w:r w:rsidRPr="009F751C">
        <w:tab/>
      </w:r>
      <w:r w:rsidRPr="009F751C">
        <w:rPr>
          <w:rFonts w:hint="eastAsia"/>
        </w:rPr>
        <w:t>政府和非政府利益攸关方都熟知性别事务司的工作，包括非政府组织、社区组织、私营部门、学术机构以及国际和区域机构。将性别平等视角纳入政府所有部门和更广泛的社会工作主流是一项通过广泛培训和宣传以及公共教育活动开展的范围广泛的活动。性别事务司开展“培训培训员”讲习班，以协助来自政府和非政府部门的代表将性别平等视角纳入他们的工作。</w:t>
      </w: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b/>
        </w:rPr>
        <w:t>4</w:t>
      </w:r>
      <w:r w:rsidRPr="009F751C">
        <w:rPr>
          <w:rFonts w:ascii="Times New Roman" w:hint="eastAsia"/>
        </w:rPr>
        <w:t>：解决暴力侵害妇女问题</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4.</w:t>
      </w:r>
      <w:r w:rsidRPr="009F751C">
        <w:rPr>
          <w:rFonts w:eastAsia="SimHei"/>
        </w:rPr>
        <w:tab/>
      </w:r>
      <w:r w:rsidRPr="009F751C">
        <w:rPr>
          <w:rFonts w:eastAsia="SimHei" w:hint="eastAsia"/>
        </w:rPr>
        <w:t>委员会关切的是，尽管有了革新的立法、政策和方案，妇女遭受暴力的问题仍然十分严重，重男轻女传统根深蒂固，明显为社会所容忍。</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委员会促请缔约国高度重视按照委员会第</w:t>
      </w:r>
      <w:r w:rsidRPr="009F751C">
        <w:rPr>
          <w:rFonts w:eastAsia="SimHei"/>
          <w:b/>
        </w:rPr>
        <w:t>19</w:t>
      </w:r>
      <w:r w:rsidRPr="009F751C">
        <w:rPr>
          <w:rFonts w:eastAsia="SimHei" w:hint="eastAsia"/>
        </w:rPr>
        <w:t>号一般性建议和《消除对妇女的暴力行为宣言》的规定，高度优先采取措施以解决家庭和社会内部对妇女的暴力行为问题。委员会建议缔约国实施进一步措施，提高大众认识对妇女的暴力问题，并促请缔约国加强活动和方案，集中注意性暴力、乱伦和卖淫问题。</w:t>
      </w:r>
    </w:p>
    <w:p w:rsidR="00D977B9" w:rsidRPr="009F751C" w:rsidRDefault="00D977B9" w:rsidP="00D977B9">
      <w:pPr>
        <w:pStyle w:val="SingleTxt"/>
        <w:tabs>
          <w:tab w:val="clear" w:pos="1695"/>
          <w:tab w:val="left" w:pos="1568"/>
        </w:tabs>
        <w:spacing w:after="120"/>
        <w:ind w:left="1134" w:right="1134"/>
      </w:pPr>
      <w:r w:rsidRPr="009F751C">
        <w:t>37.</w:t>
      </w:r>
      <w:r w:rsidRPr="009F751C">
        <w:tab/>
      </w:r>
      <w:r w:rsidRPr="009F751C">
        <w:rPr>
          <w:rFonts w:hint="eastAsia"/>
        </w:rPr>
        <w:t>特立尼达和多巴哥政府对于暴力侵害妇女行为和性别暴力的高发生率感到非常关切。</w:t>
      </w:r>
      <w:r w:rsidRPr="009F751C">
        <w:t>2010</w:t>
      </w:r>
      <w:r w:rsidRPr="009F751C">
        <w:rPr>
          <w:rFonts w:hint="eastAsia"/>
        </w:rPr>
        <w:t>年，向警察署报告的家庭暴力共计</w:t>
      </w:r>
      <w:r w:rsidRPr="009F751C">
        <w:t>940</w:t>
      </w:r>
      <w:r w:rsidRPr="009F751C">
        <w:rPr>
          <w:rFonts w:hint="eastAsia"/>
        </w:rPr>
        <w:t>件，其中</w:t>
      </w:r>
      <w:r w:rsidRPr="009F751C">
        <w:t>68.2%</w:t>
      </w:r>
      <w:r w:rsidRPr="009F751C">
        <w:rPr>
          <w:rFonts w:hint="eastAsia"/>
        </w:rPr>
        <w:t>为“通过殴打进行攻击”。</w:t>
      </w:r>
      <w:r w:rsidRPr="009F751C">
        <w:t>2010</w:t>
      </w:r>
      <w:r w:rsidRPr="009F751C">
        <w:rPr>
          <w:rFonts w:hint="eastAsia"/>
        </w:rPr>
        <w:t>年，警察署收到</w:t>
      </w:r>
      <w:r w:rsidRPr="009F751C">
        <w:t>215</w:t>
      </w:r>
      <w:r w:rsidRPr="009F751C">
        <w:rPr>
          <w:rFonts w:hint="eastAsia"/>
        </w:rPr>
        <w:t>件强奸案的报案、</w:t>
      </w:r>
      <w:r w:rsidRPr="009F751C">
        <w:t>22</w:t>
      </w:r>
      <w:r w:rsidRPr="009F751C">
        <w:rPr>
          <w:rFonts w:hint="eastAsia"/>
        </w:rPr>
        <w:t>件乱伦案报案，</w:t>
      </w:r>
      <w:r w:rsidRPr="009F751C">
        <w:t>158</w:t>
      </w:r>
      <w:r w:rsidRPr="009F751C">
        <w:rPr>
          <w:rFonts w:hint="eastAsia"/>
        </w:rPr>
        <w:t>件严重性侵犯报案以及</w:t>
      </w:r>
      <w:r w:rsidRPr="009F751C">
        <w:t>278</w:t>
      </w:r>
      <w:r w:rsidRPr="009F751C">
        <w:rPr>
          <w:rFonts w:hint="eastAsia"/>
        </w:rPr>
        <w:t>件与</w:t>
      </w:r>
      <w:r w:rsidRPr="009F751C">
        <w:t>14</w:t>
      </w:r>
      <w:r w:rsidRPr="009F751C">
        <w:rPr>
          <w:rFonts w:hint="eastAsia"/>
        </w:rPr>
        <w:t>至</w:t>
      </w:r>
      <w:r w:rsidRPr="009F751C">
        <w:t>16</w:t>
      </w:r>
      <w:r w:rsidRPr="009F751C">
        <w:rPr>
          <w:rFonts w:hint="eastAsia"/>
        </w:rPr>
        <w:t>岁未成年女性发生性关系的报案。</w:t>
      </w:r>
      <w:r w:rsidRPr="009F751C">
        <w:t>2013</w:t>
      </w:r>
      <w:r w:rsidRPr="009F751C">
        <w:rPr>
          <w:rFonts w:hint="eastAsia"/>
        </w:rPr>
        <w:t>年，警察署共收到</w:t>
      </w:r>
      <w:r w:rsidRPr="009F751C">
        <w:t>551</w:t>
      </w:r>
      <w:r w:rsidRPr="009F751C">
        <w:rPr>
          <w:rFonts w:hint="eastAsia"/>
        </w:rPr>
        <w:t>件强奸、乱伦和其他性侵犯的报案。</w:t>
      </w:r>
      <w:r w:rsidRPr="00D977B9">
        <w:rPr>
          <w:rStyle w:val="FootnoteReference"/>
        </w:rPr>
        <w:footnoteReference w:id="13"/>
      </w:r>
      <w:r w:rsidRPr="009F751C">
        <w:rPr>
          <w:rFonts w:hint="eastAsia"/>
        </w:rPr>
        <w:t>许多性别暴力案件，包括对未成年人的性侵犯，由于受害者害怕在报案过程中再次成为受害者而未报告。</w:t>
      </w:r>
    </w:p>
    <w:p w:rsidR="00D977B9" w:rsidRPr="009F751C" w:rsidRDefault="00D977B9" w:rsidP="00D977B9">
      <w:pPr>
        <w:pStyle w:val="SingleTxt"/>
        <w:tabs>
          <w:tab w:val="clear" w:pos="1695"/>
          <w:tab w:val="left" w:pos="1568"/>
        </w:tabs>
        <w:spacing w:after="120"/>
        <w:ind w:left="1134" w:right="1134"/>
      </w:pPr>
      <w:r w:rsidRPr="009F751C">
        <w:t>38.</w:t>
      </w:r>
      <w:r w:rsidRPr="009F751C">
        <w:tab/>
      </w:r>
      <w:r w:rsidRPr="009F751C">
        <w:rPr>
          <w:rFonts w:hint="eastAsia"/>
        </w:rPr>
        <w:t>特立尼达和多巴哥政府致力于消除对妇女的暴力和性别暴力。为解决这一根深蒂固的问题，政府采取了多管齐下的方法，包括：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家庭暴力事务多部门委员会制作了一份警官程序手册和一份包括解决家庭暴力问题全面建议的报告。程序手册获得内阁批准。</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性别事务司持续开展培训和公共教育，旨在减少性别暴力的发生率。为增加公共信息和宣传，每年出版大量刊物。</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2004</w:t>
      </w:r>
      <w:r w:rsidRPr="009F751C">
        <w:rPr>
          <w:rFonts w:hint="eastAsia"/>
        </w:rPr>
        <w:t>年</w:t>
      </w:r>
      <w:r w:rsidRPr="009F751C">
        <w:t>9</w:t>
      </w:r>
      <w:r w:rsidRPr="009F751C">
        <w:rPr>
          <w:rFonts w:hint="eastAsia"/>
        </w:rPr>
        <w:t>月，利用额外的人力和物力，对以每周七天、每天</w:t>
      </w:r>
      <w:r w:rsidRPr="009F751C">
        <w:t>24</w:t>
      </w:r>
      <w:r w:rsidRPr="009F751C">
        <w:rPr>
          <w:rFonts w:hint="eastAsia"/>
        </w:rPr>
        <w:t>小时热线为特色的性别事务司全国家庭暴力事务股进行重组。该热线每年接到大约</w:t>
      </w:r>
      <w:r w:rsidRPr="009F751C">
        <w:t>30 000</w:t>
      </w:r>
      <w:r w:rsidRPr="009F751C">
        <w:rPr>
          <w:rFonts w:hint="eastAsia"/>
        </w:rPr>
        <w:t>通电话。热线提供信息、积极的倾听支持、庇护所转介和咨询服务以及警察署快速干预转介。热线面向的是强奸、配偶虐待以及其他形式的暴力侵害妇女和男性行为的受害者。有必要指出的是，目前打给热线的电话中大约</w:t>
      </w:r>
      <w:r w:rsidRPr="009F751C">
        <w:t>16%</w:t>
      </w:r>
      <w:r w:rsidRPr="009F751C">
        <w:rPr>
          <w:rFonts w:hint="eastAsia"/>
        </w:rPr>
        <w:t>是由遭遇性别暴力和虐待的男性</w:t>
      </w:r>
      <w:r>
        <w:rPr>
          <w:rFonts w:hint="eastAsia"/>
        </w:rPr>
        <w:t>拨</w:t>
      </w:r>
      <w:r w:rsidRPr="009F751C">
        <w:rPr>
          <w:rFonts w:hint="eastAsia"/>
        </w:rPr>
        <w:t>打的。</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十九个家庭暴力社区救助中心得到加强，社会工作者和咨询师的薪酬增加，并获得支持和培训。性别、青年和儿童发展部计划制定标准</w:t>
      </w:r>
      <w:r w:rsidRPr="009F751C">
        <w:t>/</w:t>
      </w:r>
      <w:r w:rsidRPr="009F751C">
        <w:rPr>
          <w:rFonts w:hint="eastAsia"/>
        </w:rPr>
        <w:t>指导方针</w:t>
      </w:r>
      <w:r w:rsidRPr="009F751C">
        <w:t>/</w:t>
      </w:r>
      <w:r w:rsidRPr="009F751C">
        <w:rPr>
          <w:rFonts w:hint="eastAsia"/>
        </w:rPr>
        <w:t>工具，改善救助中心的绩效。该部还正在建设三个新的庇护所，其中两个面向家庭暴力的女性受害者，一个面向男性受害者。</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政府机构支持的非政府组织为家庭暴力的女性受害者提供了十一个庇护所和一个强奸危机中心。社区内还有可利用的咨询服务、支持团体和资源设施，协助预防和处理家庭暴力。</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2010</w:t>
      </w:r>
      <w:r w:rsidRPr="009F751C">
        <w:rPr>
          <w:rFonts w:hint="eastAsia"/>
        </w:rPr>
        <w:t>年，性别和发展研究所最早在西印度群岛大学启动高度成功的“打破沉默”项目，该项目在全国范围内提高认识并在地方社区对儿童性虐待发生率进行研究。该项目的成功在很大程度上归功于心脏部位贴着一张创可贴的蓝色泰迪熊标志</w:t>
      </w:r>
      <w:r w:rsidRPr="009F751C">
        <w:t>——</w:t>
      </w:r>
      <w:r w:rsidRPr="009F751C">
        <w:rPr>
          <w:rFonts w:hint="eastAsia"/>
        </w:rPr>
        <w:t>这是一个针对不同利益攸关方群体的强有力的品牌和宣传信息，包括社区工作者和服务提供者，他们在活动期间战略性地向广泛受众传播重要信息和社区材料。</w:t>
      </w:r>
      <w:r w:rsidRPr="00D977B9">
        <w:rPr>
          <w:rStyle w:val="FootnoteReference"/>
        </w:rPr>
        <w:footnoteReference w:id="14"/>
      </w:r>
      <w:r w:rsidRPr="009F751C">
        <w:rPr>
          <w:rFonts w:hint="eastAsia"/>
        </w:rPr>
        <w:t>由于“打破沉默”运动取得的成功，性别、青年和儿童发展部与儿基会协作，确定有必要在国家政府领导的层面上在特立尼达和多巴哥启动“打破沉默”项目。因此，该部提议</w:t>
      </w:r>
      <w:r w:rsidRPr="009F751C">
        <w:t>2014</w:t>
      </w:r>
      <w:r w:rsidRPr="009F751C">
        <w:rPr>
          <w:rFonts w:hint="eastAsia"/>
        </w:rPr>
        <w:t>年与关键利益攸关方进行一系列能力建设讲习班，包括向警察、媒体和民间组织提供有针对性的培训。同时将伴随开展全国性的媒体运动和社区讲习班，旨在提高认识和建立社区机制，解决虐待儿童问题。</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政府信息服务广播股制作并播出了一系列广播节目，重点关注暴力侵害妇女问题，并探讨关于男女社会角色的传统陈规定型观念。鼓励公众讨论这些问题并积极寻找解决方案的具体节目包括：“妇女能够”；“平衡两性</w:t>
      </w:r>
      <w:r w:rsidRPr="009F751C">
        <w:t>/</w:t>
      </w:r>
      <w:r w:rsidRPr="009F751C">
        <w:rPr>
          <w:rFonts w:hint="eastAsia"/>
        </w:rPr>
        <w:t>增强女性权能”；“家庭时间，让我们交谈”；“家庭暴力”；“家庭暴力</w:t>
      </w:r>
      <w:r w:rsidRPr="009F751C">
        <w:t>——</w:t>
      </w:r>
      <w:r w:rsidRPr="009F751C">
        <w:rPr>
          <w:rFonts w:hint="eastAsia"/>
        </w:rPr>
        <w:t>什么是爱？”；以及，“治愈我们的家庭”。</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t>2003</w:t>
      </w:r>
      <w:r w:rsidRPr="009F751C">
        <w:rPr>
          <w:rFonts w:hint="eastAsia"/>
        </w:rPr>
        <w:t>年，对家事法院倡议进行试点，为家庭暴力受害者提供获得调解和补救的途径。家事法院和裁判法院都受理家庭暴力案件。</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加大对</w:t>
      </w:r>
      <w:r w:rsidRPr="009F751C">
        <w:rPr>
          <w:rFonts w:eastAsia="KaiTi_GB2312"/>
          <w:b/>
        </w:rPr>
        <w:t>1999</w:t>
      </w:r>
      <w:r w:rsidRPr="009F751C">
        <w:rPr>
          <w:rFonts w:eastAsia="KaiTi_GB2312" w:hint="eastAsia"/>
          <w:b/>
        </w:rPr>
        <w:t>年《反家庭暴力法案》</w:t>
      </w:r>
      <w:r w:rsidRPr="009F751C">
        <w:rPr>
          <w:rFonts w:hint="eastAsia"/>
        </w:rPr>
        <w:t>的宣传，该法案为受害者提供保护令，并对违反保护令行为规定了惩罚、罚款和可能的监禁。</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媒体对家庭暴力的关注增加，促使公众舆论从过去认为家庭暴力是私人事务的观点发生了明显的转变。</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鉴于认识到警察部门统计数据没有充分反映出在社区中间从事工作的政府机构报告的家庭和其他形式性暴力的高发率，有必要改善对暴力侵害妇女行为发生率的数据收集工作。性别事务司通过西印度群岛大学亚瑟·刘易斯爵士社会和经济学研究所进行了中央家庭暴力和虐待儿童登记处的试点。该登记处预计将在不久的将来正式成立，将收集、处理和分析性别暴力数据，作为减少性别暴力的政策和方案的资料基础。</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加大对执行男子气质方案的强调，让男性掌握战略，应对他们变化的角色和责任，鼓励分担家庭责任，并减少性别暴力的发生率。</w:t>
      </w:r>
      <w:r w:rsidRPr="00D977B9">
        <w:rPr>
          <w:rStyle w:val="FootnoteReference"/>
        </w:rPr>
        <w:footnoteReference w:id="15"/>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b/>
        </w:rPr>
        <w:t>5</w:t>
      </w:r>
      <w:r w:rsidRPr="009F751C">
        <w:rPr>
          <w:rFonts w:ascii="Times New Roman" w:hint="eastAsia"/>
        </w:rPr>
        <w:t>：消除有关男女社会角色的传统定型观念</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5.</w:t>
      </w:r>
      <w:r w:rsidRPr="009F751C">
        <w:rPr>
          <w:rFonts w:eastAsia="SimHei"/>
        </w:rPr>
        <w:tab/>
      </w:r>
      <w:r w:rsidRPr="009F751C">
        <w:rPr>
          <w:rFonts w:eastAsia="SimHei" w:hint="eastAsia"/>
        </w:rPr>
        <w:t>委员会关切的是，对男女在家庭中和社会上的角色存在根深蒂固的陈规定型看法，这种看法更加使妇女在公共生活的许多层面处于较低的地位。</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建议缔约国采取紧急措施，克服有关男女社会角色的传统定型观念。委员会强调，符合《公约》的两性平等政策必须对妇女的社会角色赋予新的概念，即，从纯粹对子女和家庭负责的母亲和妻子变成社会上的个体和行动者。</w:t>
      </w:r>
    </w:p>
    <w:p w:rsidR="00D977B9" w:rsidRPr="009F751C" w:rsidRDefault="00D977B9" w:rsidP="00D977B9">
      <w:pPr>
        <w:pStyle w:val="SingleTxt"/>
        <w:tabs>
          <w:tab w:val="clear" w:pos="1695"/>
          <w:tab w:val="left" w:pos="1568"/>
        </w:tabs>
        <w:spacing w:after="120"/>
        <w:ind w:left="1134" w:right="1134"/>
      </w:pPr>
      <w:r w:rsidRPr="009F751C">
        <w:t>39.</w:t>
      </w:r>
      <w:r w:rsidRPr="009F751C">
        <w:tab/>
      </w:r>
      <w:r w:rsidRPr="009F751C">
        <w:rPr>
          <w:rFonts w:hint="eastAsia"/>
        </w:rPr>
        <w:t>特立尼达和多巴哥政府同意委员会的关切，但应当回顾的是，我国妇女从殖民时期以来一直在公共领域保持经济上的积极参与，目前表现出相对较高的劳动力参与率。</w:t>
      </w:r>
      <w:r w:rsidRPr="00D977B9">
        <w:rPr>
          <w:rStyle w:val="FootnoteReference"/>
        </w:rPr>
        <w:footnoteReference w:id="16"/>
      </w:r>
      <w:r w:rsidRPr="009F751C">
        <w:rPr>
          <w:rFonts w:hint="eastAsia"/>
        </w:rPr>
        <w:t>此外，自</w:t>
      </w:r>
      <w:r w:rsidRPr="009F751C">
        <w:t>1990</w:t>
      </w:r>
      <w:r w:rsidRPr="009F751C">
        <w:rPr>
          <w:rFonts w:hint="eastAsia"/>
        </w:rPr>
        <w:t>年代以来，妇女和女童在初等、中等和高等教育方面一直表现出比男性和男童更高的教育参与率和受教育程度。妇女还在公务员领域展现出比男性更高的参与率和资历。</w:t>
      </w:r>
    </w:p>
    <w:p w:rsidR="00D977B9" w:rsidRPr="009F751C" w:rsidRDefault="00D977B9" w:rsidP="00D977B9">
      <w:pPr>
        <w:pStyle w:val="SingleTxt"/>
        <w:tabs>
          <w:tab w:val="clear" w:pos="1695"/>
          <w:tab w:val="left" w:pos="1568"/>
        </w:tabs>
        <w:spacing w:after="120"/>
        <w:ind w:left="1134" w:right="1134"/>
      </w:pPr>
      <w:r w:rsidRPr="009F751C">
        <w:t>40.</w:t>
      </w:r>
      <w:r w:rsidRPr="009F751C">
        <w:tab/>
      </w:r>
      <w:r w:rsidRPr="009F751C">
        <w:rPr>
          <w:rFonts w:hint="eastAsia"/>
        </w:rPr>
        <w:t>尽管取得了上述成就，特立尼达和多巴哥政府继续实施方案，以消除有关男女社会角色的传统定型观念。在审查期间，性别事务司开展了数项举措。</w:t>
      </w:r>
    </w:p>
    <w:p w:rsidR="00D977B9" w:rsidRPr="009F751C" w:rsidRDefault="00D977B9" w:rsidP="00D977B9">
      <w:pPr>
        <w:pStyle w:val="SingleTxt"/>
        <w:tabs>
          <w:tab w:val="clear" w:pos="1695"/>
          <w:tab w:val="left" w:pos="1568"/>
        </w:tabs>
        <w:spacing w:after="120"/>
        <w:ind w:left="1134" w:right="1134"/>
      </w:pPr>
      <w:r w:rsidRPr="009F751C">
        <w:t>41.</w:t>
      </w:r>
      <w:r w:rsidRPr="009F751C">
        <w:tab/>
      </w:r>
      <w:r w:rsidRPr="009F751C">
        <w:rPr>
          <w:rFonts w:hint="eastAsia"/>
        </w:rPr>
        <w:t>为消除社会上弥漫的性别陈规定型观念，性别事务司制定了“定义男子气概卓越方案”。这一持续开展的“培训培训员”讲习班系列活动为各种公立和私营机构里的男性提供改善其社会关系的知识和技能，为弱势环境下的其他男性和男童提供培训、社区支持和外联。方案的目标是：</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促进改善男女之间的性别关系；</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为各个不同目标群体的男性提供性别宣传</w:t>
      </w:r>
      <w:r w:rsidRPr="009F751C">
        <w:t>/</w:t>
      </w:r>
      <w:r w:rsidRPr="009F751C">
        <w:rPr>
          <w:rFonts w:hint="eastAsia"/>
        </w:rPr>
        <w:t>培训；</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增加完成中等教育和更高教育的男童数量；</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减少家庭暴力和其他形式暴力的发生率；</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为男性提供公开和非暴力地分享感受和关切的空间；以及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促进家庭内部男女之间健康和积极的关系，为子女树立积极的角色榜样。</w:t>
      </w:r>
    </w:p>
    <w:p w:rsidR="00D977B9" w:rsidRPr="009F751C" w:rsidRDefault="00D977B9" w:rsidP="00D977B9">
      <w:pPr>
        <w:pStyle w:val="SingleTxt"/>
        <w:tabs>
          <w:tab w:val="clear" w:pos="1695"/>
          <w:tab w:val="left" w:pos="1568"/>
        </w:tabs>
        <w:spacing w:after="120"/>
        <w:ind w:left="1134" w:right="1134"/>
      </w:pPr>
      <w:r w:rsidRPr="009F751C">
        <w:rPr>
          <w:rFonts w:hint="eastAsia"/>
        </w:rPr>
        <w:t>自从方案启动以来，已有</w:t>
      </w:r>
      <w:r w:rsidRPr="009F751C">
        <w:t>1 000</w:t>
      </w:r>
      <w:r w:rsidRPr="009F751C">
        <w:rPr>
          <w:rFonts w:hint="eastAsia"/>
        </w:rPr>
        <w:t>多名男性接受了培训，其中一些人现在与性别事务司建立了针对其他男性和男童的合作伙伴关系。此外，每周还会播出一期广播节目，利用“定义男子气概卓越方案”培训模块的内容，向不能参加方案的男性开展宣传。</w:t>
      </w:r>
    </w:p>
    <w:p w:rsidR="00D977B9" w:rsidRPr="009F751C" w:rsidRDefault="00D977B9" w:rsidP="00D977B9">
      <w:pPr>
        <w:pStyle w:val="SingleTxt"/>
        <w:tabs>
          <w:tab w:val="clear" w:pos="1695"/>
          <w:tab w:val="left" w:pos="1568"/>
        </w:tabs>
        <w:spacing w:after="120"/>
        <w:ind w:left="1134" w:right="1134"/>
      </w:pPr>
      <w:r w:rsidRPr="009F751C">
        <w:t>42.</w:t>
      </w:r>
      <w:r w:rsidRPr="009F751C">
        <w:tab/>
        <w:t>2008</w:t>
      </w:r>
      <w:r w:rsidRPr="009F751C">
        <w:rPr>
          <w:rFonts w:hint="eastAsia"/>
        </w:rPr>
        <w:t>年，性别事务司推出一系列题为“你的性别议程：男性问题”的电视节目，该节目重点关注影响男性的具体性别问题。节目特色是专家小组成员探讨与男子气质和男子气概、健康保健、教育、劳动力和工作场所、流行文化、领导力和决策相关的男性性别问题。性别事务司始终利用广播、电视和报纸进行关于重要性别问题的公共宣传和教育。</w:t>
      </w:r>
    </w:p>
    <w:p w:rsidR="00D977B9" w:rsidRPr="009F751C" w:rsidRDefault="00D977B9" w:rsidP="00D977B9">
      <w:pPr>
        <w:pStyle w:val="SingleTxt"/>
        <w:tabs>
          <w:tab w:val="clear" w:pos="1695"/>
          <w:tab w:val="left" w:pos="1568"/>
        </w:tabs>
        <w:spacing w:after="120"/>
        <w:ind w:left="1134" w:right="1134"/>
      </w:pPr>
      <w:r w:rsidRPr="009F751C">
        <w:t>43.</w:t>
      </w:r>
      <w:r w:rsidRPr="009F751C">
        <w:tab/>
      </w:r>
      <w:r w:rsidRPr="009F751C">
        <w:rPr>
          <w:rFonts w:hint="eastAsia"/>
        </w:rPr>
        <w:t>性别事务司还开展了名人讲座</w:t>
      </w:r>
      <w:r w:rsidRPr="009F751C">
        <w:t>/</w:t>
      </w:r>
      <w:r w:rsidRPr="009F751C">
        <w:rPr>
          <w:rFonts w:hint="eastAsia"/>
        </w:rPr>
        <w:t>讲习班系列活动，由专家和著名人士进行性别问题讲座。举办的讲座和讲习班主题包括：性别和健康；性别和艾滋病毒</w:t>
      </w:r>
      <w:r w:rsidRPr="009F751C">
        <w:t>/</w:t>
      </w:r>
      <w:r w:rsidRPr="009F751C">
        <w:rPr>
          <w:rFonts w:hint="eastAsia"/>
        </w:rPr>
        <w:t>艾滋病；性别和教育；性别和社区发展；性别和法律；妇女领导力；促进性别平等的预算编制；性别和气候变化；以及，男子气质和男子气概。</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rPr>
        <w:t>6</w:t>
      </w:r>
      <w:r w:rsidRPr="009F751C">
        <w:rPr>
          <w:rFonts w:ascii="Times New Roman" w:hint="eastAsia"/>
        </w:rPr>
        <w:t>：增加决策机构的妇女人数</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6.</w:t>
      </w:r>
      <w:r w:rsidRPr="009F751C">
        <w:rPr>
          <w:rFonts w:eastAsia="SimHei"/>
        </w:rPr>
        <w:tab/>
      </w:r>
      <w:r w:rsidRPr="009F751C">
        <w:rPr>
          <w:rFonts w:eastAsia="SimHei" w:hint="eastAsia"/>
        </w:rPr>
        <w:t>委员会关切的是，政治和经济领导阶层的妇女任职人数不足以及妨碍妇女参加这些领域工作的因素。这些因素包括：定型观念；妇女承担过多的家务和家庭责任；以及，结</w:t>
      </w:r>
      <w:r>
        <w:rPr>
          <w:rFonts w:eastAsia="SimHei" w:hint="eastAsia"/>
        </w:rPr>
        <w:t>构及文化障碍，例如女议员没有产假这一点特别说明政治是一个属于男性</w:t>
      </w:r>
      <w:r w:rsidRPr="009F751C">
        <w:rPr>
          <w:rFonts w:eastAsia="SimHei" w:hint="eastAsia"/>
        </w:rPr>
        <w:t>的领域。</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委员会建议采取战略来增加各级和所有领域决策机构的妇女人数。为此目的，委员会建议缔约国按照《公约》第</w:t>
      </w:r>
      <w:r w:rsidRPr="009F751C">
        <w:rPr>
          <w:rFonts w:eastAsia="SimHei"/>
        </w:rPr>
        <w:t>4</w:t>
      </w:r>
      <w:r w:rsidRPr="009F751C">
        <w:rPr>
          <w:rFonts w:eastAsia="SimHei" w:hint="eastAsia"/>
        </w:rPr>
        <w:t>条第</w:t>
      </w:r>
      <w:r w:rsidRPr="009F751C">
        <w:rPr>
          <w:rFonts w:eastAsia="SimHei"/>
        </w:rPr>
        <w:t>1</w:t>
      </w:r>
      <w:r w:rsidRPr="009F751C">
        <w:rPr>
          <w:rFonts w:eastAsia="SimHei" w:hint="eastAsia"/>
        </w:rPr>
        <w:t>款的规定采取暂行特别措施，增加政府、政府机构、公共行政和国营企业决策一级的妇女人数。委员会还建议缔约国加紧努力，为妇女安排特别训练方案，并在这方面定期开展提高认识的活动。</w:t>
      </w:r>
    </w:p>
    <w:p w:rsidR="00D977B9" w:rsidRPr="009F751C" w:rsidRDefault="00D977B9" w:rsidP="00D977B9">
      <w:pPr>
        <w:pStyle w:val="SingleTxt"/>
        <w:tabs>
          <w:tab w:val="clear" w:pos="1695"/>
          <w:tab w:val="left" w:pos="1568"/>
        </w:tabs>
        <w:spacing w:after="120"/>
        <w:ind w:left="1134" w:right="1134"/>
      </w:pPr>
      <w:r w:rsidRPr="009F751C">
        <w:t>44.</w:t>
      </w:r>
      <w:r w:rsidRPr="009F751C">
        <w:tab/>
      </w:r>
      <w:r w:rsidRPr="009F751C">
        <w:rPr>
          <w:rFonts w:hint="eastAsia"/>
        </w:rPr>
        <w:t>妇女在国家领导层和决策领域的总体参与程度增加，并且加大致力于加速实现政治参与方面的性别平等和公平以及妇女在公共生活领域的代表。统计数据表明，妇女在公共生活领域的参与和代表程度增加。</w:t>
      </w:r>
      <w:r w:rsidRPr="009F751C">
        <w:t>2013</w:t>
      </w:r>
      <w:r w:rsidRPr="009F751C">
        <w:rPr>
          <w:rFonts w:hint="eastAsia"/>
        </w:rPr>
        <w:t>年</w:t>
      </w:r>
      <w:r w:rsidRPr="009F751C">
        <w:t>1</w:t>
      </w:r>
      <w:r w:rsidRPr="009F751C">
        <w:rPr>
          <w:rFonts w:hint="eastAsia"/>
        </w:rPr>
        <w:t>月，各国议会联盟对世界各国妇女当选议员情况进行排序，将特立尼达和多巴哥排在第</w:t>
      </w:r>
      <w:r w:rsidRPr="009F751C">
        <w:t>33</w:t>
      </w:r>
      <w:r w:rsidRPr="009F751C">
        <w:rPr>
          <w:rFonts w:hint="eastAsia"/>
        </w:rPr>
        <w:t>名，妇女在下议院（众议院）的代表为</w:t>
      </w:r>
      <w:r w:rsidRPr="009F751C">
        <w:t>28.6%</w:t>
      </w:r>
      <w:r w:rsidRPr="009F751C">
        <w:rPr>
          <w:rFonts w:hint="eastAsia"/>
        </w:rPr>
        <w:t>，在上议院（参议院）的代表为</w:t>
      </w:r>
      <w:r w:rsidRPr="009F751C">
        <w:t>22.6%</w:t>
      </w:r>
      <w:r w:rsidRPr="009F751C">
        <w:rPr>
          <w:rFonts w:hint="eastAsia"/>
        </w:rPr>
        <w:t>。在地方政府中，妇女在市长、市参议员和地方议员中平均占</w:t>
      </w:r>
      <w:r w:rsidRPr="009F751C">
        <w:t>32%</w:t>
      </w:r>
      <w:r w:rsidRPr="009F751C">
        <w:rPr>
          <w:rFonts w:hint="eastAsia"/>
        </w:rPr>
        <w:t>。非政府组织提高妇女地位网络在</w:t>
      </w:r>
      <w:r w:rsidRPr="009F751C">
        <w:t>2009</w:t>
      </w:r>
      <w:r w:rsidRPr="009F751C">
        <w:rPr>
          <w:rFonts w:hint="eastAsia"/>
        </w:rPr>
        <w:t>至</w:t>
      </w:r>
      <w:r w:rsidRPr="009F751C">
        <w:t>2010</w:t>
      </w:r>
      <w:r w:rsidRPr="009F751C">
        <w:rPr>
          <w:rFonts w:hint="eastAsia"/>
        </w:rPr>
        <w:t>年进行的调查发现，妇女在所有法定机构、国有企业、特定公司、私营上市企业、信用社和工会的董事会及委员会成员中平均占</w:t>
      </w:r>
      <w:r w:rsidRPr="009F751C">
        <w:t>29%</w:t>
      </w:r>
      <w:r w:rsidRPr="009F751C">
        <w:rPr>
          <w:rFonts w:hint="eastAsia"/>
        </w:rPr>
        <w:t>（见附录一表</w:t>
      </w:r>
      <w:r w:rsidRPr="009F751C">
        <w:t>1</w:t>
      </w:r>
      <w:r w:rsidRPr="009F751C">
        <w:rPr>
          <w:rFonts w:hint="eastAsia"/>
        </w:rPr>
        <w:t>）。</w:t>
      </w:r>
    </w:p>
    <w:p w:rsidR="00D977B9" w:rsidRPr="009F751C" w:rsidRDefault="00D977B9" w:rsidP="00D977B9">
      <w:pPr>
        <w:pStyle w:val="SingleTxt"/>
        <w:tabs>
          <w:tab w:val="clear" w:pos="1695"/>
          <w:tab w:val="left" w:pos="1568"/>
        </w:tabs>
        <w:spacing w:after="120"/>
        <w:ind w:left="1134" w:right="1134"/>
      </w:pPr>
      <w:r w:rsidRPr="009F751C">
        <w:t>45.</w:t>
      </w:r>
      <w:r w:rsidRPr="009F751C">
        <w:tab/>
      </w:r>
      <w:r w:rsidRPr="009F751C">
        <w:rPr>
          <w:rFonts w:hint="eastAsia"/>
        </w:rPr>
        <w:t>特立尼达和多巴哥在提高妇女和女童地位方面的一个重要里程碑是</w:t>
      </w:r>
      <w:r w:rsidRPr="009F751C">
        <w:t>2010</w:t>
      </w:r>
      <w:r w:rsidRPr="009F751C">
        <w:rPr>
          <w:rFonts w:hint="eastAsia"/>
        </w:rPr>
        <w:t>年</w:t>
      </w:r>
      <w:r w:rsidRPr="009F751C">
        <w:t>5</w:t>
      </w:r>
      <w:r w:rsidRPr="009F751C">
        <w:rPr>
          <w:rFonts w:hint="eastAsia"/>
        </w:rPr>
        <w:t>月首次选举产生女总理，她随后成为英联邦第一位女性轮值主席。在当选为总理之前，她以宣誓担任首位女性反对派领袖而闻名，更早时则是首位女性总检察长。总理致力于确保性别平等和增强妇女权能是特立尼达和多巴哥政府的一项重点国家优先重点，并在这方面于</w:t>
      </w:r>
      <w:r w:rsidRPr="009F751C">
        <w:t>2011</w:t>
      </w:r>
      <w:r w:rsidRPr="009F751C">
        <w:rPr>
          <w:rFonts w:hint="eastAsia"/>
        </w:rPr>
        <w:t>年</w:t>
      </w:r>
      <w:r w:rsidRPr="009F751C">
        <w:t>6</w:t>
      </w:r>
      <w:r w:rsidRPr="009F751C">
        <w:rPr>
          <w:rFonts w:hint="eastAsia"/>
        </w:rPr>
        <w:t>月</w:t>
      </w:r>
      <w:r w:rsidRPr="009F751C">
        <w:t>28</w:t>
      </w:r>
      <w:r w:rsidRPr="009F751C">
        <w:rPr>
          <w:rFonts w:hint="eastAsia"/>
        </w:rPr>
        <w:t>至</w:t>
      </w:r>
      <w:r w:rsidRPr="009F751C">
        <w:t>30</w:t>
      </w:r>
      <w:r w:rsidRPr="009F751C">
        <w:rPr>
          <w:rFonts w:hint="eastAsia"/>
        </w:rPr>
        <w:t>日在西班牙港主办了关于“妇女领袖作为变革代理人”的区域座谈会。座谈会使得来自北美洲、拉丁美洲和加勒比的女议员共聚一堂，呼吁在增强经济权能和安全、结束性别暴力、促进性健康和生殖健康及权利、同工同酬以及共同承担家庭责任等领域出现变革型领导力量。成果文件《西班牙港共识》对于解决这些以及其他问题提出了建议。在座谈会上，总理宣布成立性别、青年和儿童发展部，将性别问题作为国家发展议程的优先重点。</w:t>
      </w:r>
    </w:p>
    <w:p w:rsidR="00D977B9" w:rsidRPr="009F751C" w:rsidRDefault="00D977B9" w:rsidP="00D977B9">
      <w:pPr>
        <w:pStyle w:val="SingleTxt"/>
        <w:tabs>
          <w:tab w:val="clear" w:pos="1695"/>
          <w:tab w:val="left" w:pos="1568"/>
        </w:tabs>
        <w:spacing w:after="120"/>
        <w:ind w:left="1134" w:right="1134"/>
      </w:pPr>
      <w:r w:rsidRPr="009F751C">
        <w:t>46.</w:t>
      </w:r>
      <w:r w:rsidRPr="009F751C">
        <w:tab/>
      </w:r>
      <w:r w:rsidRPr="009F751C">
        <w:rPr>
          <w:rFonts w:hint="eastAsia"/>
        </w:rPr>
        <w:t>在区域座谈会取得成功的基础上，尊敬的总理呼吁进行关于妇女政治参与的会外活动，该活动于</w:t>
      </w:r>
      <w:r w:rsidRPr="009F751C">
        <w:t>2011</w:t>
      </w:r>
      <w:r w:rsidRPr="009F751C">
        <w:rPr>
          <w:rFonts w:hint="eastAsia"/>
        </w:rPr>
        <w:t>年</w:t>
      </w:r>
      <w:r w:rsidRPr="009F751C">
        <w:t>9</w:t>
      </w:r>
      <w:r w:rsidRPr="009F751C">
        <w:rPr>
          <w:rFonts w:hint="eastAsia"/>
        </w:rPr>
        <w:t>月</w:t>
      </w:r>
      <w:r w:rsidRPr="009F751C">
        <w:t>19</w:t>
      </w:r>
      <w:r w:rsidRPr="009F751C">
        <w:rPr>
          <w:rFonts w:hint="eastAsia"/>
        </w:rPr>
        <w:t>日在联合国大会（联大）第六十六届会议期间举行。出席开幕式活动的小组成员和共同赞助者包括：巴西联邦共和国总统迪尔玛·罗塞夫阁下；欧洲联盟外交和安全政策高级代表凯瑟琳·阿什顿女男爵；美利坚合众国前国务卿、尊敬的希拉里·克林顿；联合国前副秘书长阿莎</w:t>
      </w:r>
      <w:r w:rsidRPr="009F751C">
        <w:t>-</w:t>
      </w:r>
      <w:r w:rsidRPr="009F751C">
        <w:rPr>
          <w:rFonts w:hint="eastAsia"/>
        </w:rPr>
        <w:t>罗斯·米基罗；妇女署前副秘书长兼前执行主任、智利前总统米歇尔·巴切莱特；以及，联合国开发计划署（开发署）署长和新西兰前总理海伦·克拉克。</w:t>
      </w:r>
    </w:p>
    <w:p w:rsidR="00D977B9" w:rsidRPr="009F751C" w:rsidRDefault="00D977B9" w:rsidP="00D977B9">
      <w:pPr>
        <w:pStyle w:val="SingleTxt"/>
        <w:tabs>
          <w:tab w:val="clear" w:pos="1695"/>
          <w:tab w:val="left" w:pos="1568"/>
        </w:tabs>
        <w:spacing w:after="120"/>
        <w:ind w:left="1134" w:right="1134"/>
      </w:pPr>
      <w:r w:rsidRPr="009F751C">
        <w:rPr>
          <w:rFonts w:hint="eastAsia"/>
        </w:rPr>
        <w:t>成果文件《妇女和政治参与联合声明》“鼓励各国采取积极措施，解决阻碍妇女参与政治的因素，例如暴力、贫穷、缺乏获得优质教育和医疗保健的机会、有偿工作和无偿工作的双重负担，并积极促进妇女参政，包括在适当情况下通过扶持措施。”</w:t>
      </w:r>
    </w:p>
    <w:p w:rsidR="00D977B9" w:rsidRPr="009F751C" w:rsidRDefault="00D977B9" w:rsidP="00D977B9">
      <w:pPr>
        <w:pStyle w:val="SingleTxt"/>
        <w:tabs>
          <w:tab w:val="clear" w:pos="1695"/>
          <w:tab w:val="left" w:pos="1568"/>
        </w:tabs>
        <w:spacing w:after="120"/>
        <w:ind w:left="1134" w:right="1134"/>
      </w:pPr>
      <w:r w:rsidRPr="009F751C">
        <w:t>47.</w:t>
      </w:r>
      <w:r w:rsidRPr="009F751C">
        <w:tab/>
      </w:r>
      <w:r w:rsidRPr="009F751C">
        <w:rPr>
          <w:rFonts w:hint="eastAsia"/>
        </w:rPr>
        <w:t>作为妇女在领导层面参与情况的更多证明，</w:t>
      </w:r>
      <w:r w:rsidRPr="009F751C">
        <w:t>2014</w:t>
      </w:r>
      <w:r w:rsidRPr="009F751C">
        <w:rPr>
          <w:rFonts w:hint="eastAsia"/>
        </w:rPr>
        <w:t>年，高等法院有</w:t>
      </w:r>
      <w:r w:rsidRPr="009F751C">
        <w:t>13</w:t>
      </w:r>
      <w:r w:rsidRPr="009F751C">
        <w:rPr>
          <w:rFonts w:hint="eastAsia"/>
        </w:rPr>
        <w:t>名女法官，为解决案件数量问题拟增加上诉法院法官数量的上诉法院法官名单中也包括</w:t>
      </w:r>
      <w:r w:rsidRPr="009F751C">
        <w:t>3</w:t>
      </w:r>
      <w:r w:rsidRPr="009F751C">
        <w:rPr>
          <w:rFonts w:hint="eastAsia"/>
        </w:rPr>
        <w:t>名妇女。裁判法院共计</w:t>
      </w:r>
      <w:r w:rsidRPr="009F751C">
        <w:t>56</w:t>
      </w:r>
      <w:r w:rsidRPr="009F751C">
        <w:rPr>
          <w:rFonts w:hint="eastAsia"/>
        </w:rPr>
        <w:t>名裁判官在特立尼达和多巴哥首位女性总裁判官的领导下，其中包括</w:t>
      </w:r>
      <w:r w:rsidRPr="009F751C">
        <w:t>40</w:t>
      </w:r>
      <w:r w:rsidRPr="009F751C">
        <w:rPr>
          <w:rFonts w:hint="eastAsia"/>
        </w:rPr>
        <w:t>名妇女。此外，妇女在特立尼达和多巴哥的私营部门组织中担任最高领导职位。</w:t>
      </w:r>
    </w:p>
    <w:p w:rsidR="00D977B9" w:rsidRPr="009F751C" w:rsidRDefault="00D977B9" w:rsidP="00D977B9">
      <w:pPr>
        <w:pStyle w:val="SingleTxt"/>
        <w:tabs>
          <w:tab w:val="clear" w:pos="1695"/>
          <w:tab w:val="left" w:pos="1568"/>
        </w:tabs>
        <w:spacing w:after="120"/>
        <w:ind w:left="1134" w:right="1134"/>
      </w:pPr>
      <w:r w:rsidRPr="009F751C">
        <w:t>48.</w:t>
      </w:r>
      <w:r w:rsidRPr="009F751C">
        <w:tab/>
      </w:r>
      <w:r w:rsidRPr="009F751C">
        <w:rPr>
          <w:rFonts w:hint="eastAsia"/>
        </w:rPr>
        <w:t>在国家安全领域，女警官人数从</w:t>
      </w:r>
      <w:r w:rsidRPr="009F751C">
        <w:t>1955</w:t>
      </w:r>
      <w:r w:rsidRPr="009F751C">
        <w:rPr>
          <w:rFonts w:hint="eastAsia"/>
        </w:rPr>
        <w:t>年的</w:t>
      </w:r>
      <w:r w:rsidRPr="009F751C">
        <w:t>12</w:t>
      </w:r>
      <w:r w:rsidRPr="009F751C">
        <w:rPr>
          <w:rFonts w:hint="eastAsia"/>
        </w:rPr>
        <w:t>人急剧增加到了</w:t>
      </w:r>
      <w:r w:rsidRPr="009F751C">
        <w:t>2011</w:t>
      </w:r>
      <w:r w:rsidRPr="009F751C">
        <w:rPr>
          <w:rFonts w:hint="eastAsia"/>
        </w:rPr>
        <w:t>年总共</w:t>
      </w:r>
      <w:r w:rsidRPr="009F751C">
        <w:t>6</w:t>
      </w:r>
      <w:r>
        <w:rPr>
          <w:rFonts w:hint="eastAsia"/>
        </w:rPr>
        <w:t xml:space="preserve"> </w:t>
      </w:r>
      <w:r w:rsidRPr="009F751C">
        <w:t>000</w:t>
      </w:r>
      <w:r w:rsidRPr="009F751C">
        <w:rPr>
          <w:rFonts w:hint="eastAsia"/>
        </w:rPr>
        <w:t>人当中的</w:t>
      </w:r>
      <w:r w:rsidRPr="009F751C">
        <w:t>1</w:t>
      </w:r>
      <w:r>
        <w:rPr>
          <w:rFonts w:hint="eastAsia"/>
        </w:rPr>
        <w:t xml:space="preserve"> </w:t>
      </w:r>
      <w:r w:rsidRPr="009F751C">
        <w:t>700</w:t>
      </w:r>
      <w:r w:rsidRPr="009F751C">
        <w:rPr>
          <w:rFonts w:hint="eastAsia"/>
        </w:rPr>
        <w:t>人。特立尼达和多巴哥警察署的转型使女警官从中受益，与过去基于资历的体系相反，现在使用优秀评价体系决定晋升。因此，所有官员，不论男女，都有获得培训和晋升的平等机会。目前，代理助理警察专员这一高级职位由一名女警官担任，</w:t>
      </w:r>
      <w:r w:rsidRPr="009F751C">
        <w:t>2011</w:t>
      </w:r>
      <w:r w:rsidRPr="009F751C">
        <w:rPr>
          <w:rFonts w:hint="eastAsia"/>
        </w:rPr>
        <w:t>年获得晋升的女警官人数最多（见附录一表</w:t>
      </w:r>
      <w:r w:rsidRPr="009F751C">
        <w:t>2</w:t>
      </w:r>
      <w:r w:rsidRPr="009F751C">
        <w:rPr>
          <w:rFonts w:hint="eastAsia"/>
        </w:rPr>
        <w:t>）。</w:t>
      </w:r>
    </w:p>
    <w:p w:rsidR="00D977B9" w:rsidRPr="009F751C" w:rsidRDefault="00D977B9" w:rsidP="00D977B9">
      <w:pPr>
        <w:pStyle w:val="SingleTxt"/>
        <w:tabs>
          <w:tab w:val="clear" w:pos="1695"/>
          <w:tab w:val="left" w:pos="1568"/>
        </w:tabs>
        <w:spacing w:after="120"/>
        <w:ind w:left="1134" w:right="1134"/>
      </w:pPr>
      <w:r w:rsidRPr="009F751C">
        <w:t>49.</w:t>
      </w:r>
      <w:r w:rsidRPr="009F751C">
        <w:tab/>
      </w:r>
      <w:r w:rsidRPr="009F751C">
        <w:rPr>
          <w:rFonts w:hint="eastAsia"/>
        </w:rPr>
        <w:t>特立尼达和多巴哥警察署设有妇女事务股，以解决女警官的具体性别关切问题，例如为警察署的年轻母亲提供日托中心。该股还开展了一项领导能力方案，为女警官担任包括警察专员在内的行政职务做好准备。此外，该股开展了女警官性别平等宣传讲习班的试点工作。</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rPr>
        <w:t>7</w:t>
      </w:r>
      <w:r w:rsidRPr="009F751C">
        <w:rPr>
          <w:rFonts w:ascii="Times New Roman" w:hint="eastAsia"/>
        </w:rPr>
        <w:t>：消除就业和教育领域的歧视</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7.</w:t>
      </w:r>
      <w:r w:rsidRPr="009F751C">
        <w:rPr>
          <w:rFonts w:eastAsia="SimHei"/>
        </w:rPr>
        <w:tab/>
      </w:r>
      <w:r w:rsidRPr="009F751C">
        <w:rPr>
          <w:rFonts w:eastAsia="SimHei" w:hint="eastAsia"/>
        </w:rPr>
        <w:t>委员会关切的是，尽管妇女学历高，但除了在国家就业部门之外，在其他所有就业部门，她们所得工资过低。委员会还担心课程中的性别陈规定型观念造成的后果，以及下列事实的影响：在关于妇女就业选择和收入的课程方面，女孩修读的是传统上属于“女性”的课程，而男孩修读的则是传统上属于“男性”的课程。委员会还担心没有具体的法规禁止工作场所的性骚扰行为，并为性骚扰受害者提供补救办法。</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鼓励缔约国分析妇女教育程度高与其收入水平之间缺乏关联的情况。委员会促请缔约国进行课程改革和修改教科书，打破对妇女的传统态度，以及帮助待遇优厚和担任高级职位的妇女建立有利的环境。委员会还建议缔约国利用关于同工同酬和价值可比的现有研究和做法，克服工资不平等的现象。委员会进一步建议对工作场所包括在私营部门的性骚扰处以惩罚，并为受影响者提供补救办法。</w:t>
      </w:r>
    </w:p>
    <w:p w:rsidR="00D977B9" w:rsidRPr="009F751C" w:rsidRDefault="00D977B9" w:rsidP="00D977B9">
      <w:pPr>
        <w:pStyle w:val="SingleTxt"/>
        <w:tabs>
          <w:tab w:val="clear" w:pos="1695"/>
          <w:tab w:val="left" w:pos="1568"/>
        </w:tabs>
        <w:spacing w:after="120"/>
        <w:ind w:left="1134" w:right="1134"/>
      </w:pPr>
      <w:r w:rsidRPr="009F751C">
        <w:t>50.</w:t>
      </w:r>
      <w:r w:rsidRPr="009F751C">
        <w:tab/>
      </w:r>
      <w:r w:rsidRPr="009F751C">
        <w:rPr>
          <w:rFonts w:hint="eastAsia"/>
        </w:rPr>
        <w:t>特立尼达和多巴哥的妇女和女童在各级义务教育和高等教育层面都表现出更高的参与率和普及率。但是，政府认识到这仍然没有充分反映到就业或同酬上面。妇女的就业数量增加，</w:t>
      </w:r>
      <w:r w:rsidRPr="00D977B9">
        <w:rPr>
          <w:rStyle w:val="FootnoteReference"/>
        </w:rPr>
        <w:footnoteReference w:id="17"/>
      </w:r>
      <w:r w:rsidRPr="009F751C">
        <w:rPr>
          <w:rFonts w:hint="eastAsia"/>
        </w:rPr>
        <w:t>但妇女仍然没有在劳动力方面实现平等的代表；她们具有更高的学历，但她们的工作并未得到公平的报酬。</w:t>
      </w:r>
    </w:p>
    <w:p w:rsidR="00D977B9" w:rsidRPr="009F751C" w:rsidRDefault="00D977B9" w:rsidP="00D977B9">
      <w:pPr>
        <w:pStyle w:val="SingleTxt"/>
        <w:tabs>
          <w:tab w:val="clear" w:pos="1695"/>
          <w:tab w:val="left" w:pos="1568"/>
        </w:tabs>
        <w:spacing w:after="120"/>
        <w:ind w:left="1134" w:right="1134"/>
      </w:pPr>
      <w:r w:rsidRPr="009F751C">
        <w:t>51.</w:t>
      </w:r>
      <w:r w:rsidRPr="009F751C">
        <w:tab/>
      </w:r>
      <w:r w:rsidRPr="009F751C">
        <w:rPr>
          <w:rFonts w:hint="eastAsia"/>
        </w:rPr>
        <w:t>根据联合国开发计划署《</w:t>
      </w:r>
      <w:r w:rsidRPr="009F751C">
        <w:t>2009</w:t>
      </w:r>
      <w:r w:rsidRPr="009F751C">
        <w:rPr>
          <w:rFonts w:hint="eastAsia"/>
        </w:rPr>
        <w:t>年人类发展报告</w:t>
      </w:r>
      <w:r w:rsidRPr="009F751C">
        <w:rPr>
          <w:rFonts w:hint="eastAsia"/>
          <w:lang w:val="en-TT"/>
        </w:rPr>
        <w:t>》</w:t>
      </w:r>
      <w:r w:rsidRPr="009F751C">
        <w:rPr>
          <w:rFonts w:hint="eastAsia"/>
        </w:rPr>
        <w:t>，</w:t>
      </w:r>
      <w:r w:rsidRPr="009F751C">
        <w:t>2007</w:t>
      </w:r>
      <w:r w:rsidRPr="009F751C">
        <w:rPr>
          <w:rFonts w:hint="eastAsia"/>
        </w:rPr>
        <w:t>年，除公共部门外，特立尼达和多巴哥妇女的平均收入在所有职业类别中都低于男性收入。</w:t>
      </w:r>
      <w:r w:rsidRPr="009F751C">
        <w:t>2007</w:t>
      </w:r>
      <w:r w:rsidRPr="009F751C">
        <w:rPr>
          <w:rFonts w:hint="eastAsia"/>
        </w:rPr>
        <w:t>年，妇女的预估收入为年均</w:t>
      </w:r>
      <w:r w:rsidRPr="009F751C">
        <w:t>16 686</w:t>
      </w:r>
      <w:r w:rsidRPr="009F751C">
        <w:rPr>
          <w:rFonts w:hint="eastAsia"/>
        </w:rPr>
        <w:t>美元，相比之下，男性收入为年均</w:t>
      </w:r>
      <w:r w:rsidRPr="009F751C">
        <w:t>30 554</w:t>
      </w:r>
      <w:r w:rsidRPr="009F751C">
        <w:rPr>
          <w:rFonts w:hint="eastAsia"/>
        </w:rPr>
        <w:t>美元。估计女性与男性的同等职位收入比例为</w:t>
      </w:r>
      <w:r w:rsidRPr="009F751C">
        <w:t>0.55</w:t>
      </w:r>
      <w:r w:rsidRPr="009F751C">
        <w:rPr>
          <w:rFonts w:hint="eastAsia"/>
        </w:rPr>
        <w:t>，尽管女性拥有更高的受教育程度（开发署，</w:t>
      </w:r>
      <w:r w:rsidRPr="009F751C">
        <w:t>2009</w:t>
      </w:r>
      <w:r w:rsidRPr="009F751C">
        <w:rPr>
          <w:rFonts w:hint="eastAsia"/>
        </w:rPr>
        <w:t>年）。</w:t>
      </w:r>
      <w:r w:rsidRPr="00D977B9">
        <w:rPr>
          <w:rStyle w:val="FootnoteReference"/>
        </w:rPr>
        <w:footnoteReference w:id="18"/>
      </w:r>
    </w:p>
    <w:p w:rsidR="00D977B9" w:rsidRPr="009F751C" w:rsidRDefault="00D977B9" w:rsidP="00D977B9">
      <w:pPr>
        <w:pStyle w:val="SingleTxt"/>
        <w:tabs>
          <w:tab w:val="clear" w:pos="1695"/>
          <w:tab w:val="left" w:pos="1568"/>
        </w:tabs>
        <w:spacing w:after="120"/>
        <w:ind w:left="1134" w:right="1134"/>
      </w:pPr>
      <w:r w:rsidRPr="009F751C">
        <w:t>52.</w:t>
      </w:r>
      <w:r w:rsidRPr="009F751C">
        <w:tab/>
      </w:r>
      <w:r w:rsidRPr="009F751C">
        <w:rPr>
          <w:rFonts w:hint="eastAsia"/>
        </w:rPr>
        <w:t>劳动力中的妇女企业家和雇主所占比例也少得多。但是，妇女在微型企业家中占主导地位，近年来，她们在微型企业贷款中占了</w:t>
      </w:r>
      <w:r w:rsidRPr="009F751C">
        <w:t>50%</w:t>
      </w:r>
      <w:r w:rsidRPr="009F751C">
        <w:rPr>
          <w:rFonts w:hint="eastAsia"/>
        </w:rPr>
        <w:t>到</w:t>
      </w:r>
      <w:r w:rsidRPr="009F751C">
        <w:t>60%</w:t>
      </w:r>
      <w:r w:rsidRPr="009F751C">
        <w:rPr>
          <w:rFonts w:hint="eastAsia"/>
        </w:rPr>
        <w:t>。这些趋势表明，妇女通过获得高等教育正在实现劳动力的上升性流动。</w:t>
      </w:r>
    </w:p>
    <w:p w:rsidR="00D977B9" w:rsidRPr="009F751C" w:rsidRDefault="00D977B9" w:rsidP="00D977B9">
      <w:pPr>
        <w:pStyle w:val="SingleTxt"/>
        <w:tabs>
          <w:tab w:val="clear" w:pos="1695"/>
          <w:tab w:val="left" w:pos="1568"/>
        </w:tabs>
        <w:spacing w:after="120"/>
        <w:ind w:left="1134" w:right="1134"/>
      </w:pPr>
      <w:r w:rsidRPr="009F751C">
        <w:t>53.</w:t>
      </w:r>
      <w:r w:rsidRPr="009F751C">
        <w:tab/>
      </w:r>
      <w:r w:rsidRPr="009F751C">
        <w:rPr>
          <w:rFonts w:hint="eastAsia"/>
        </w:rPr>
        <w:t>性骚扰问题是工作场所性别歧视的一种形式，可以根据</w:t>
      </w:r>
      <w:r w:rsidRPr="009F751C">
        <w:rPr>
          <w:rFonts w:eastAsia="KaiTi_GB2312"/>
          <w:b/>
        </w:rPr>
        <w:t>1986</w:t>
      </w:r>
      <w:r w:rsidRPr="009F751C">
        <w:rPr>
          <w:rFonts w:eastAsia="KaiTi_GB2312" w:hint="eastAsia"/>
          <w:b/>
        </w:rPr>
        <w:t>年《性犯罪法案》</w:t>
      </w:r>
      <w:r w:rsidRPr="009F751C">
        <w:rPr>
          <w:rFonts w:hint="eastAsia"/>
        </w:rPr>
        <w:t>等相关法规对性骚扰犯罪者进行起诉。但目前没有具体法律对于性骚扰的补救办法做出规定。私营机构和工会经常将禁止骚扰的条款纳入集体协议，劳工法庭多次做出有利于工作场所性骚扰受害者的裁决。政府已经成立禁止工作场所歧视和性骚扰法案指导委员会，指导就这一问题开展全国性研究。</w:t>
      </w:r>
    </w:p>
    <w:p w:rsidR="00D977B9" w:rsidRPr="009F751C" w:rsidRDefault="00D977B9" w:rsidP="00D977B9">
      <w:pPr>
        <w:pStyle w:val="SingleTxt"/>
        <w:tabs>
          <w:tab w:val="clear" w:pos="1695"/>
          <w:tab w:val="left" w:pos="1568"/>
        </w:tabs>
        <w:spacing w:after="120"/>
        <w:ind w:left="1134" w:right="1134"/>
      </w:pPr>
      <w:r w:rsidRPr="009F751C">
        <w:t>54.</w:t>
      </w:r>
      <w:r w:rsidRPr="009F751C">
        <w:tab/>
      </w:r>
      <w:r w:rsidRPr="009F751C">
        <w:rPr>
          <w:rFonts w:hint="eastAsia"/>
        </w:rPr>
        <w:t>国家性别和发展政策草案要求政府在必要情况下制定和修改关于规定在雇用、晋升、薪金、分工和其他工作条件方面实现性别公平的立法。这要求特别关注与同工同酬相关的立法。国家政策草案进一步要求政府建立制度机制，以有效地监督和促进公共及私营部门的男女平等就业机会，在各个层面就雇用、晋升、分工、工作条件、薪金、最低工资和性别平等问题进行性别审计。</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rPr>
        <w:t>8</w:t>
      </w:r>
      <w:r w:rsidRPr="009F751C">
        <w:rPr>
          <w:rFonts w:ascii="Times New Roman" w:hint="eastAsia"/>
        </w:rPr>
        <w:t>：将家政工人列入《劳资关系法案》中关于“工人”的定义</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8.</w:t>
      </w:r>
      <w:r w:rsidRPr="009F751C">
        <w:rPr>
          <w:rFonts w:eastAsia="SimHei"/>
        </w:rPr>
        <w:tab/>
      </w:r>
      <w:r w:rsidRPr="009F751C">
        <w:rPr>
          <w:rFonts w:eastAsia="SimHei" w:hint="eastAsia"/>
        </w:rPr>
        <w:t>委员会关切的是，虽然家政工人可以按照新的《最低工资法令》享有最低工资，但他们没有被列入《劳资关系法案》中关于“工人”的定义。</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委员会呼吁缔约国将家政工人列入《劳资关系法案》中关于“工人”的定义。</w:t>
      </w:r>
    </w:p>
    <w:p w:rsidR="00D977B9" w:rsidRPr="009F751C" w:rsidRDefault="00D977B9" w:rsidP="00D977B9">
      <w:pPr>
        <w:pStyle w:val="SingleTxt"/>
        <w:tabs>
          <w:tab w:val="clear" w:pos="1695"/>
          <w:tab w:val="left" w:pos="1568"/>
        </w:tabs>
        <w:spacing w:after="120"/>
        <w:ind w:left="1134" w:right="1134"/>
      </w:pPr>
      <w:r w:rsidRPr="009F751C">
        <w:t>55.</w:t>
      </w:r>
      <w:r w:rsidRPr="009F751C">
        <w:tab/>
      </w:r>
      <w:r w:rsidRPr="009F751C">
        <w:rPr>
          <w:rFonts w:hint="eastAsia"/>
        </w:rPr>
        <w:t>政府认识到，现行的</w:t>
      </w:r>
      <w:r w:rsidRPr="009F751C">
        <w:rPr>
          <w:rFonts w:eastAsia="KaiTi_GB2312"/>
          <w:b/>
        </w:rPr>
        <w:t>1972</w:t>
      </w:r>
      <w:r w:rsidRPr="009F751C">
        <w:rPr>
          <w:rFonts w:eastAsia="KaiTi_GB2312" w:hint="eastAsia"/>
          <w:b/>
        </w:rPr>
        <w:t>年《劳资关系法案》</w:t>
      </w:r>
      <w:r w:rsidRPr="009F751C">
        <w:rPr>
          <w:rFonts w:hint="eastAsia"/>
        </w:rPr>
        <w:t>中关于“工人”的定义没有涵盖家政工人。对“工人”重新定义的问题已经列入劳动和小微企业发展部法律股的立法议程。将家政工人定义为工人的困难在于，雇用家政工人的户主也将有必要被定义为雇主，而且劳资法庭可以对其进行起诉。这可能会产生不利影响，妨碍户主雇用家政工人。本着审查</w:t>
      </w:r>
      <w:r w:rsidRPr="009F751C">
        <w:rPr>
          <w:rFonts w:eastAsia="KaiTi_GB2312"/>
          <w:b/>
        </w:rPr>
        <w:t>1972</w:t>
      </w:r>
      <w:r w:rsidRPr="009F751C">
        <w:rPr>
          <w:rFonts w:eastAsia="KaiTi_GB2312" w:hint="eastAsia"/>
          <w:b/>
        </w:rPr>
        <w:t>年《劳资关系法案》</w:t>
      </w:r>
      <w:r w:rsidRPr="009F751C">
        <w:rPr>
          <w:rFonts w:hint="eastAsia"/>
        </w:rPr>
        <w:t>的宗旨，仍在探讨这一问题。</w:t>
      </w:r>
    </w:p>
    <w:p w:rsidR="00D977B9" w:rsidRPr="009F751C" w:rsidRDefault="00D977B9" w:rsidP="00D977B9">
      <w:pPr>
        <w:pStyle w:val="SingleTxt"/>
        <w:tabs>
          <w:tab w:val="clear" w:pos="1695"/>
          <w:tab w:val="left" w:pos="1568"/>
        </w:tabs>
        <w:spacing w:after="120"/>
        <w:ind w:left="1134" w:right="1134"/>
      </w:pPr>
      <w:r w:rsidRPr="009F751C">
        <w:t>56.</w:t>
      </w:r>
      <w:r w:rsidRPr="009F751C">
        <w:tab/>
      </w:r>
      <w:r w:rsidRPr="009F751C">
        <w:rPr>
          <w:rFonts w:eastAsia="KaiTi_GB2312"/>
          <w:b/>
        </w:rPr>
        <w:t>1971</w:t>
      </w:r>
      <w:r w:rsidRPr="009F751C">
        <w:rPr>
          <w:rFonts w:eastAsia="KaiTi_GB2312" w:hint="eastAsia"/>
          <w:b/>
        </w:rPr>
        <w:t>年《国家保险法案》</w:t>
      </w:r>
      <w:r w:rsidRPr="009F751C">
        <w:rPr>
          <w:rFonts w:hint="eastAsia"/>
        </w:rPr>
        <w:t>在</w:t>
      </w:r>
      <w:r w:rsidRPr="009F751C">
        <w:t>2004</w:t>
      </w:r>
      <w:r w:rsidRPr="009F751C">
        <w:rPr>
          <w:rFonts w:hint="eastAsia"/>
        </w:rPr>
        <w:t>、</w:t>
      </w:r>
      <w:r w:rsidRPr="009F751C">
        <w:t>2007</w:t>
      </w:r>
      <w:r w:rsidRPr="009F751C">
        <w:rPr>
          <w:rFonts w:hint="eastAsia"/>
        </w:rPr>
        <w:t>、</w:t>
      </w:r>
      <w:r w:rsidRPr="009F751C">
        <w:t>2008</w:t>
      </w:r>
      <w:r w:rsidRPr="009F751C">
        <w:rPr>
          <w:rFonts w:hint="eastAsia"/>
        </w:rPr>
        <w:t>、</w:t>
      </w:r>
      <w:r w:rsidRPr="009F751C">
        <w:t>2012</w:t>
      </w:r>
      <w:r w:rsidRPr="009F751C">
        <w:rPr>
          <w:rFonts w:hint="eastAsia"/>
        </w:rPr>
        <w:t>和</w:t>
      </w:r>
      <w:r w:rsidRPr="009F751C">
        <w:t>2013</w:t>
      </w:r>
      <w:r w:rsidRPr="009F751C">
        <w:rPr>
          <w:rFonts w:hint="eastAsia"/>
        </w:rPr>
        <w:t>年经过修正。</w:t>
      </w:r>
      <w:r w:rsidRPr="00D977B9">
        <w:rPr>
          <w:rStyle w:val="FootnoteReference"/>
        </w:rPr>
        <w:footnoteReference w:id="19"/>
      </w:r>
      <w:r w:rsidRPr="009F751C">
        <w:rPr>
          <w:rFonts w:hint="eastAsia"/>
        </w:rPr>
        <w:t>这些修正案包括：增加应付雇员福利；规定对于不遵守法规的雇主实施更加严厉的措施；以及，代表雇员进行支付的条款。为确保特别是低收入者不被排除在该法案规定的福利之外，公众认识得到提高。代表家政工人支付的国家保险现在可享受退税，作为促进雇主遵守该法案的一项激励措施。</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rPr>
        <w:t>9</w:t>
      </w:r>
      <w:r w:rsidRPr="009F751C">
        <w:rPr>
          <w:rFonts w:ascii="Times New Roman" w:hint="eastAsia"/>
        </w:rPr>
        <w:t>：消除妇女贫困</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9.</w:t>
      </w:r>
      <w:r w:rsidRPr="009F751C">
        <w:rPr>
          <w:rFonts w:eastAsia="SimHei"/>
        </w:rPr>
        <w:tab/>
      </w:r>
      <w:r w:rsidRPr="009F751C">
        <w:rPr>
          <w:rFonts w:eastAsia="SimHei" w:hint="eastAsia"/>
        </w:rPr>
        <w:t>委员会关切的是，各种妇女群体尤其是女户主的贫穷发生率偏高。委员会确认女户主受到结构调整方案和全球局势不断变化的不利影响。</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请缔约国提供其他资料，说明已经执行了哪些方案和项目来设法消除结构调整方案对妇女特别是女户主产生的不利影响，以及确保政府的扶贫政策持续不断、纳入性别观点、而且不会使妇女处于社会边缘地位。</w:t>
      </w:r>
    </w:p>
    <w:p w:rsidR="00D977B9" w:rsidRPr="009F751C" w:rsidRDefault="00D977B9" w:rsidP="00D977B9">
      <w:pPr>
        <w:pStyle w:val="SingleTxt"/>
        <w:tabs>
          <w:tab w:val="clear" w:pos="1695"/>
          <w:tab w:val="left" w:pos="1568"/>
        </w:tabs>
        <w:spacing w:after="120"/>
        <w:ind w:left="1134" w:right="1134"/>
      </w:pPr>
      <w:r w:rsidRPr="009F751C">
        <w:t>57.</w:t>
      </w:r>
      <w:r w:rsidRPr="009F751C">
        <w:tab/>
      </w:r>
      <w:r w:rsidRPr="009F751C">
        <w:rPr>
          <w:rFonts w:hint="eastAsia"/>
        </w:rPr>
        <w:t>根据《特立尼达和多巴哥</w:t>
      </w:r>
      <w:r w:rsidRPr="009F751C">
        <w:t>2011</w:t>
      </w:r>
      <w:r w:rsidRPr="009F751C">
        <w:rPr>
          <w:rFonts w:hint="eastAsia"/>
        </w:rPr>
        <w:t>年人口和住房普查人口统计报告》，平均每户人口为</w:t>
      </w:r>
      <w:r w:rsidRPr="009F751C">
        <w:t>3.3</w:t>
      </w:r>
      <w:r w:rsidRPr="009F751C">
        <w:rPr>
          <w:rFonts w:hint="eastAsia"/>
        </w:rPr>
        <w:t>人。应当注意的是，女户主家庭的数量有所增加，从</w:t>
      </w:r>
      <w:r w:rsidRPr="009F751C">
        <w:t>1990</w:t>
      </w:r>
      <w:r w:rsidRPr="009F751C">
        <w:rPr>
          <w:rFonts w:hint="eastAsia"/>
        </w:rPr>
        <w:t>年的</w:t>
      </w:r>
      <w:r w:rsidRPr="009F751C">
        <w:t>28%</w:t>
      </w:r>
      <w:r w:rsidRPr="009F751C">
        <w:rPr>
          <w:rFonts w:hint="eastAsia"/>
        </w:rPr>
        <w:t>增加到了</w:t>
      </w:r>
      <w:r w:rsidRPr="009F751C">
        <w:t>2011</w:t>
      </w:r>
      <w:r w:rsidRPr="009F751C">
        <w:rPr>
          <w:rFonts w:hint="eastAsia"/>
        </w:rPr>
        <w:t>年的</w:t>
      </w:r>
      <w:r w:rsidRPr="009F751C">
        <w:t>33%</w:t>
      </w:r>
      <w:r w:rsidRPr="009F751C">
        <w:rPr>
          <w:rFonts w:hint="eastAsia"/>
        </w:rPr>
        <w:t>。低收入单身女户主家庭往往比男性收入者支持的家庭更加贫穷，并且更加容易处于社会弱势地位。（关于</w:t>
      </w:r>
      <w:r w:rsidRPr="009F751C">
        <w:t>2006</w:t>
      </w:r>
      <w:r w:rsidRPr="009F751C">
        <w:rPr>
          <w:rFonts w:hint="eastAsia"/>
        </w:rPr>
        <w:t>年家庭在性别和户主方面的特征概况，见附录一表</w:t>
      </w:r>
      <w:r w:rsidRPr="009F751C">
        <w:t>3</w:t>
      </w:r>
      <w:r w:rsidRPr="009F751C">
        <w:rPr>
          <w:rFonts w:hint="eastAsia"/>
        </w:rPr>
        <w:t>。）为应对这些挑战，政府已经开展下列多项重点方案。</w:t>
      </w:r>
    </w:p>
    <w:p w:rsidR="00D977B9" w:rsidRPr="009F751C" w:rsidRDefault="00D977B9" w:rsidP="00D977B9">
      <w:pPr>
        <w:pStyle w:val="SingleTxt"/>
        <w:tabs>
          <w:tab w:val="clear" w:pos="1695"/>
          <w:tab w:val="left" w:pos="1568"/>
        </w:tabs>
        <w:spacing w:after="120"/>
        <w:ind w:left="1134" w:right="1134"/>
      </w:pPr>
      <w:r w:rsidRPr="009F751C">
        <w:t>58.</w:t>
      </w:r>
      <w:r w:rsidRPr="009F751C">
        <w:tab/>
      </w:r>
      <w:r w:rsidRPr="009F751C">
        <w:rPr>
          <w:rFonts w:hint="eastAsia"/>
        </w:rPr>
        <w:t>性别事务司在审查期间成立了</w:t>
      </w:r>
      <w:r w:rsidRPr="009F751C">
        <w:rPr>
          <w:rFonts w:eastAsia="SimHei" w:hint="eastAsia"/>
        </w:rPr>
        <w:t>性别公平研究所</w:t>
      </w:r>
      <w:r w:rsidRPr="009F751C">
        <w:rPr>
          <w:rFonts w:hint="eastAsia"/>
        </w:rPr>
        <w:t>。该研究所负责实施旨在促进性别公平的方案和项目。这一流动研究所推动开展了大量面向非政府组织、社区利益群体以及公众人员的与性别相关的培训和机构强化方案。课程包括：育儿，领导能力，团队建设，社区咨询师培训，企业发展方案，以及</w:t>
      </w:r>
      <w:r w:rsidRPr="009F751C">
        <w:t>2004</w:t>
      </w:r>
      <w:r w:rsidRPr="009F751C">
        <w:rPr>
          <w:rFonts w:hint="eastAsia"/>
        </w:rPr>
        <w:t>年通过食品烹饪课程推出的男性非传统技能培训方案。</w:t>
      </w:r>
    </w:p>
    <w:p w:rsidR="00D977B9" w:rsidRPr="009F751C" w:rsidRDefault="00D977B9" w:rsidP="00D977B9">
      <w:pPr>
        <w:pStyle w:val="SingleTxt"/>
        <w:tabs>
          <w:tab w:val="clear" w:pos="1695"/>
          <w:tab w:val="left" w:pos="1568"/>
        </w:tabs>
        <w:spacing w:after="120"/>
        <w:ind w:left="1134" w:right="1134"/>
      </w:pPr>
      <w:r w:rsidRPr="009F751C">
        <w:t>59.</w:t>
      </w:r>
      <w:r w:rsidRPr="009F751C">
        <w:tab/>
      </w:r>
      <w:r w:rsidRPr="009F751C">
        <w:rPr>
          <w:rFonts w:eastAsia="SimHei" w:hint="eastAsia"/>
        </w:rPr>
        <w:t>妇女和谐方案</w:t>
      </w:r>
      <w:r w:rsidRPr="009F751C">
        <w:rPr>
          <w:rFonts w:hint="eastAsia"/>
        </w:rPr>
        <w:t>进入第十一年，旨在解决</w:t>
      </w:r>
      <w:r w:rsidRPr="009F751C">
        <w:t>26</w:t>
      </w:r>
      <w:r w:rsidRPr="009F751C">
        <w:rPr>
          <w:rFonts w:hint="eastAsia"/>
        </w:rPr>
        <w:t>至</w:t>
      </w:r>
      <w:r w:rsidRPr="009F751C">
        <w:t>45</w:t>
      </w:r>
      <w:r w:rsidRPr="009F751C">
        <w:rPr>
          <w:rFonts w:hint="eastAsia"/>
        </w:rPr>
        <w:t>岁单身户主、低</w:t>
      </w:r>
      <w:r w:rsidRPr="009F751C">
        <w:t>/</w:t>
      </w:r>
      <w:r w:rsidRPr="009F751C">
        <w:rPr>
          <w:rFonts w:hint="eastAsia"/>
        </w:rPr>
        <w:t>无技能、低</w:t>
      </w:r>
      <w:r w:rsidRPr="009F751C">
        <w:t>/</w:t>
      </w:r>
      <w:r w:rsidRPr="009F751C">
        <w:rPr>
          <w:rFonts w:hint="eastAsia"/>
        </w:rPr>
        <w:t>无收入妇女的失业问题。该方案包括为期八周的集中全日制培训，分为两个模块：（</w:t>
      </w:r>
      <w:r w:rsidRPr="009F751C">
        <w:t>1</w:t>
      </w:r>
      <w:r w:rsidRPr="009F751C">
        <w:rPr>
          <w:rFonts w:hint="eastAsia"/>
        </w:rPr>
        <w:t>）老年人护理和农业；（</w:t>
      </w:r>
      <w:r w:rsidRPr="009F751C">
        <w:t>2</w:t>
      </w:r>
      <w:r w:rsidRPr="009F751C">
        <w:rPr>
          <w:rFonts w:hint="eastAsia"/>
        </w:rPr>
        <w:t>）生活技能。目前在特立尼达各郡进行该方案。方案开始以来，已有</w:t>
      </w:r>
      <w:r w:rsidRPr="009F751C">
        <w:t>5 000</w:t>
      </w:r>
      <w:r w:rsidRPr="009F751C">
        <w:rPr>
          <w:rFonts w:hint="eastAsia"/>
        </w:rPr>
        <w:t>多名妇女增强权能并获得就业技能。</w:t>
      </w:r>
    </w:p>
    <w:p w:rsidR="00D977B9" w:rsidRPr="009F751C" w:rsidRDefault="00D977B9" w:rsidP="00D977B9">
      <w:pPr>
        <w:pStyle w:val="SingleTxt"/>
        <w:tabs>
          <w:tab w:val="clear" w:pos="1695"/>
          <w:tab w:val="left" w:pos="1568"/>
        </w:tabs>
        <w:spacing w:after="120"/>
        <w:ind w:left="1134" w:right="1134"/>
      </w:pPr>
      <w:r w:rsidRPr="009F751C">
        <w:t>60.</w:t>
      </w:r>
      <w:r w:rsidRPr="009F751C">
        <w:tab/>
      </w:r>
      <w:r w:rsidRPr="009F751C">
        <w:rPr>
          <w:rFonts w:hint="eastAsia"/>
        </w:rPr>
        <w:t>自</w:t>
      </w:r>
      <w:r w:rsidRPr="009F751C">
        <w:t>2001</w:t>
      </w:r>
      <w:r w:rsidRPr="009F751C">
        <w:rPr>
          <w:rFonts w:hint="eastAsia"/>
        </w:rPr>
        <w:t>年启动以来，</w:t>
      </w:r>
      <w:r w:rsidRPr="009F751C">
        <w:rPr>
          <w:rFonts w:eastAsia="SimHei" w:hint="eastAsia"/>
        </w:rPr>
        <w:t>妇女非传统技能培训方案</w:t>
      </w:r>
      <w:r w:rsidRPr="009F751C">
        <w:rPr>
          <w:rFonts w:hint="eastAsia"/>
        </w:rPr>
        <w:t>为</w:t>
      </w:r>
      <w:r w:rsidRPr="009F751C">
        <w:t>3 000</w:t>
      </w:r>
      <w:r w:rsidRPr="009F751C">
        <w:rPr>
          <w:rFonts w:hint="eastAsia"/>
        </w:rPr>
        <w:t>多名妇女提供了非传统领域的培训，包括石工、管道、技术设计图和机械设计图理解、建筑、木工、汽车维修和电气安装。共为妇女提供为期六个月的共计</w:t>
      </w:r>
      <w:r w:rsidRPr="009F751C">
        <w:t>320</w:t>
      </w:r>
      <w:r w:rsidRPr="009F751C">
        <w:rPr>
          <w:rFonts w:hint="eastAsia"/>
        </w:rPr>
        <w:t>个小时的非全日制培训。通过性别平等宣传和生活应对技能、补救计算能力、识字能力和创业技能，使技术</w:t>
      </w:r>
      <w:r w:rsidRPr="009F751C">
        <w:t>/</w:t>
      </w:r>
      <w:r w:rsidRPr="009F751C">
        <w:rPr>
          <w:rFonts w:hint="eastAsia"/>
        </w:rPr>
        <w:t>职业技能得到提高。</w:t>
      </w:r>
    </w:p>
    <w:p w:rsidR="00D977B9" w:rsidRPr="009F751C" w:rsidRDefault="00D977B9" w:rsidP="00D977B9">
      <w:pPr>
        <w:pStyle w:val="SingleTxt"/>
        <w:tabs>
          <w:tab w:val="clear" w:pos="1695"/>
          <w:tab w:val="left" w:pos="1568"/>
        </w:tabs>
        <w:spacing w:after="120"/>
        <w:ind w:left="1134" w:right="1134"/>
      </w:pPr>
      <w:r w:rsidRPr="009F751C">
        <w:t>61.</w:t>
      </w:r>
      <w:r w:rsidRPr="009F751C">
        <w:tab/>
        <w:t>2001</w:t>
      </w:r>
      <w:r w:rsidRPr="009F751C">
        <w:rPr>
          <w:rFonts w:hint="eastAsia"/>
        </w:rPr>
        <w:t>年，地方政府部为</w:t>
      </w:r>
      <w:r w:rsidRPr="009F751C">
        <w:t>17</w:t>
      </w:r>
      <w:r w:rsidRPr="009F751C">
        <w:rPr>
          <w:rFonts w:hint="eastAsia"/>
        </w:rPr>
        <w:t>至</w:t>
      </w:r>
      <w:r w:rsidRPr="009F751C">
        <w:t>65</w:t>
      </w:r>
      <w:r w:rsidRPr="009F751C">
        <w:rPr>
          <w:rFonts w:hint="eastAsia"/>
        </w:rPr>
        <w:t>岁失业、弱势或生活贫困的妇女启动了</w:t>
      </w:r>
      <w:r w:rsidRPr="009F751C">
        <w:rPr>
          <w:rFonts w:eastAsia="SimHei" w:hint="eastAsia"/>
        </w:rPr>
        <w:t>妇女失业救济方案</w:t>
      </w:r>
      <w:r w:rsidRPr="009F751C">
        <w:rPr>
          <w:rFonts w:hint="eastAsia"/>
        </w:rPr>
        <w:t>。这一劳动密集型（生计）方案在全国范围内每两周平均雇用</w:t>
      </w:r>
      <w:r w:rsidRPr="009F751C">
        <w:t>2 760</w:t>
      </w:r>
      <w:r w:rsidRPr="009F751C">
        <w:rPr>
          <w:rFonts w:hint="eastAsia"/>
        </w:rPr>
        <w:t>名妇女。该方案还将培训扩大到包括非传统技能、骨科器械制造、水产养殖、建筑和企业管理。</w:t>
      </w:r>
    </w:p>
    <w:p w:rsidR="00D977B9" w:rsidRPr="009F751C" w:rsidRDefault="00D977B9" w:rsidP="00D977B9">
      <w:pPr>
        <w:pStyle w:val="SingleTxt"/>
        <w:tabs>
          <w:tab w:val="clear" w:pos="1695"/>
          <w:tab w:val="left" w:pos="1568"/>
        </w:tabs>
        <w:spacing w:after="120"/>
        <w:ind w:left="1134" w:right="1134"/>
      </w:pPr>
      <w:r w:rsidRPr="009F751C">
        <w:t>62.</w:t>
      </w:r>
      <w:r w:rsidRPr="009F751C">
        <w:tab/>
      </w:r>
      <w:r w:rsidRPr="009F751C">
        <w:rPr>
          <w:rFonts w:hint="eastAsia"/>
        </w:rPr>
        <w:t>人民和社会发展部设立了失业救济方案社会方案，雇用</w:t>
      </w:r>
      <w:r>
        <w:t>200</w:t>
      </w:r>
      <w:r w:rsidRPr="009F751C">
        <w:rPr>
          <w:rFonts w:hint="eastAsia"/>
        </w:rPr>
        <w:t>多名脑瘫儿童的母亲在社会中心工作，让她们能够赚取收入并为有特别需求的儿童提供护理。</w:t>
      </w:r>
    </w:p>
    <w:p w:rsidR="00D977B9" w:rsidRPr="009F751C" w:rsidRDefault="00D977B9" w:rsidP="00D977B9">
      <w:pPr>
        <w:pStyle w:val="SingleTxt"/>
        <w:tabs>
          <w:tab w:val="clear" w:pos="1695"/>
          <w:tab w:val="left" w:pos="1568"/>
        </w:tabs>
        <w:spacing w:after="120"/>
        <w:ind w:left="1134" w:right="1134"/>
      </w:pPr>
      <w:r w:rsidRPr="009F751C">
        <w:t>63.</w:t>
      </w:r>
      <w:r w:rsidRPr="009F751C">
        <w:tab/>
      </w:r>
      <w:r w:rsidRPr="009F751C">
        <w:rPr>
          <w:rFonts w:hint="eastAsia"/>
        </w:rPr>
        <w:t>社区发展部每年都会主办</w:t>
      </w:r>
      <w:r w:rsidRPr="009F751C">
        <w:rPr>
          <w:rFonts w:eastAsia="SimHei" w:hint="eastAsia"/>
        </w:rPr>
        <w:t>总理最佳村庄奖竞赛活动</w:t>
      </w:r>
      <w:r w:rsidRPr="009F751C">
        <w:rPr>
          <w:rFonts w:hint="eastAsia"/>
        </w:rPr>
        <w:t>，</w:t>
      </w:r>
      <w:r w:rsidRPr="009F751C">
        <w:t>2014</w:t>
      </w:r>
      <w:r w:rsidRPr="009F751C">
        <w:rPr>
          <w:rFonts w:hint="eastAsia"/>
        </w:rPr>
        <w:t>年将是这个奖项举行</w:t>
      </w:r>
      <w:r w:rsidRPr="009F751C">
        <w:t>50</w:t>
      </w:r>
      <w:r w:rsidRPr="009F751C">
        <w:rPr>
          <w:rFonts w:hint="eastAsia"/>
        </w:rPr>
        <w:t>年。“最佳村庄”竞赛是一项多方面竞赛活动，建立在社区实际生活的基础上，创造多元文化精神，并不限于音乐、舞蹈和戏剧等艺术表演。它有助于增强农村地区妇女的经济权能、个人成长和发展，并使社区精神保持活力，改善和发展公民在体育和艺术领域的专业水平以及对民间传统的了解。总体上，这一年度竞赛活动旨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（一）</w:t>
      </w:r>
      <w:r>
        <w:rPr>
          <w:rFonts w:hint="eastAsia"/>
        </w:rPr>
        <w:tab/>
      </w:r>
      <w:r w:rsidRPr="009F751C">
        <w:rPr>
          <w:rFonts w:hint="eastAsia"/>
        </w:rPr>
        <w:t>增强社区权能；</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（二）</w:t>
      </w:r>
      <w:r>
        <w:rPr>
          <w:rFonts w:hint="eastAsia"/>
        </w:rPr>
        <w:tab/>
      </w:r>
      <w:r w:rsidRPr="009F751C">
        <w:rPr>
          <w:rFonts w:hint="eastAsia"/>
        </w:rPr>
        <w:t>为社区提供机会，使其更加意识到环境问题，参与促进周围环境并同时提升自我价值感的活动；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（三）</w:t>
      </w:r>
      <w:r>
        <w:rPr>
          <w:rFonts w:hint="eastAsia"/>
        </w:rPr>
        <w:tab/>
      </w:r>
      <w:r w:rsidRPr="009F751C">
        <w:rPr>
          <w:rFonts w:hint="eastAsia"/>
        </w:rPr>
        <w:t>通过健康的竞赛和社会互动，鼓励民族自豪感、社区精神和社区提升；</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（四）</w:t>
      </w:r>
      <w:r>
        <w:rPr>
          <w:rFonts w:hint="eastAsia"/>
        </w:rPr>
        <w:tab/>
      </w:r>
      <w:r w:rsidRPr="009F751C">
        <w:rPr>
          <w:rFonts w:hint="eastAsia"/>
        </w:rPr>
        <w:t>鼓励人民在食品和艺术才华方面发挥创造力；</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（五）</w:t>
      </w:r>
      <w:r>
        <w:rPr>
          <w:rFonts w:hint="eastAsia"/>
        </w:rPr>
        <w:tab/>
      </w:r>
      <w:r w:rsidRPr="009F751C">
        <w:rPr>
          <w:rFonts w:hint="eastAsia"/>
        </w:rPr>
        <w:t>特别鼓励保留民间艺术和普遍彰显艺术活动；以及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（六）</w:t>
      </w:r>
      <w:r>
        <w:rPr>
          <w:rFonts w:hint="eastAsia"/>
        </w:rPr>
        <w:tab/>
      </w:r>
      <w:r w:rsidRPr="009F751C">
        <w:rPr>
          <w:rFonts w:hint="eastAsia"/>
        </w:rPr>
        <w:t>确认、保留和记录特立尼达和多巴哥的所有名胜古迹。</w:t>
      </w:r>
    </w:p>
    <w:p w:rsidR="00D977B9" w:rsidRPr="009F751C" w:rsidRDefault="00D977B9" w:rsidP="00D977B9">
      <w:pPr>
        <w:pStyle w:val="SingleTxt"/>
        <w:tabs>
          <w:tab w:val="clear" w:pos="1695"/>
          <w:tab w:val="left" w:pos="1568"/>
        </w:tabs>
        <w:spacing w:after="120"/>
        <w:ind w:left="1134" w:right="1134"/>
      </w:pPr>
      <w:r w:rsidRPr="009F751C">
        <w:t>64.</w:t>
      </w:r>
      <w:r w:rsidRPr="009F751C">
        <w:tab/>
      </w:r>
      <w:r w:rsidRPr="009F751C">
        <w:rPr>
          <w:rFonts w:hint="eastAsia"/>
        </w:rPr>
        <w:t>另一项旨在实现性别公平和扶贫的政府倡议是</w:t>
      </w:r>
      <w:r w:rsidRPr="009F751C">
        <w:rPr>
          <w:rFonts w:eastAsia="SimHei" w:hint="eastAsia"/>
        </w:rPr>
        <w:t>社区发展基金</w:t>
      </w:r>
      <w:r w:rsidRPr="009F751C">
        <w:rPr>
          <w:rFonts w:hint="eastAsia"/>
        </w:rPr>
        <w:t>，这是社区发展部的一项旗舰方案。该基金所有项目的目标是通过消除贫困，为贫困社区启动可持续生计。获得资助的方案和项目包括非政府组织和社区组织为向贫困和需要帮助的群体提供基本社会服务和基础设施而启动的方案和项目。基金的重要方面包括受益者群体参与扶贫工作，以及以强化非政府组织和社区组织机构为重点的技术援助。多个促进增强妇女权能的项目获得了社区发展基金的资助。“海洋命运”行动委员会农业项目就是一个这样的项目，旨在消除结构调整方案对于妇女特别是女户主家庭的消极影响。</w:t>
      </w:r>
      <w:r w:rsidRPr="009F751C">
        <w:t>12</w:t>
      </w:r>
      <w:r w:rsidRPr="009F751C">
        <w:rPr>
          <w:rFonts w:hint="eastAsia"/>
        </w:rPr>
        <w:t>名失业妇女，其中许多是女户主，获得了短期作物农业和种植箱技术培训，作为她们为自己和家庭赚钱的手段。该项目按周期进行，在随后的三（</w:t>
      </w:r>
      <w:r w:rsidRPr="009F751C">
        <w:t>3</w:t>
      </w:r>
      <w:r w:rsidRPr="009F751C">
        <w:rPr>
          <w:rFonts w:hint="eastAsia"/>
        </w:rPr>
        <w:t>）个月周期里，又有十二（</w:t>
      </w:r>
      <w:r w:rsidRPr="009F751C">
        <w:t>12</w:t>
      </w:r>
      <w:r w:rsidRPr="009F751C">
        <w:rPr>
          <w:rFonts w:hint="eastAsia"/>
        </w:rPr>
        <w:t>）名妇女获得培训。</w:t>
      </w:r>
    </w:p>
    <w:p w:rsidR="00D977B9" w:rsidRPr="009F751C" w:rsidRDefault="00D977B9" w:rsidP="00D977B9">
      <w:pPr>
        <w:pStyle w:val="SingleTxt"/>
        <w:tabs>
          <w:tab w:val="clear" w:pos="1695"/>
          <w:tab w:val="left" w:pos="1568"/>
        </w:tabs>
        <w:spacing w:after="120"/>
        <w:ind w:left="1134" w:right="1134"/>
      </w:pPr>
      <w:r w:rsidRPr="009F751C">
        <w:t>65.</w:t>
      </w:r>
      <w:r w:rsidRPr="009F751C">
        <w:tab/>
      </w:r>
      <w:r w:rsidRPr="009F751C">
        <w:rPr>
          <w:rFonts w:eastAsia="SimHei" w:hint="eastAsia"/>
        </w:rPr>
        <w:t>技能培训方案</w:t>
      </w:r>
      <w:r w:rsidRPr="009F751C">
        <w:rPr>
          <w:rFonts w:hint="eastAsia"/>
        </w:rPr>
        <w:t>由社区发展部协调，旨在增强农村妇女的权能，特别是在就业和健康方面。技能培训方案起到双重作用。首先，方案为低收入家庭户主提供重要支持，使其掌握从事家庭商品生产和服务的技能，减少家庭开支，使其能够更加有效地利用紧缺的财务资源，提高生活标准。其次，方案为失业和半失业者提供必要技能培训，提高其在就业市场的竞争力，并创建可持续的自主创业计划。</w:t>
      </w:r>
    </w:p>
    <w:p w:rsidR="00D977B9" w:rsidRPr="009F751C" w:rsidRDefault="00D977B9" w:rsidP="00D977B9">
      <w:pPr>
        <w:pStyle w:val="SingleTxt"/>
        <w:tabs>
          <w:tab w:val="clear" w:pos="1695"/>
          <w:tab w:val="left" w:pos="1568"/>
        </w:tabs>
        <w:spacing w:after="120"/>
        <w:ind w:left="1134" w:right="1134"/>
      </w:pPr>
      <w:r w:rsidRPr="009F751C">
        <w:t>66.</w:t>
      </w:r>
      <w:r w:rsidRPr="009F751C">
        <w:tab/>
      </w:r>
      <w:r w:rsidRPr="009F751C">
        <w:rPr>
          <w:rFonts w:hint="eastAsia"/>
        </w:rPr>
        <w:t>技能培训方案的主要目标如下：</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（一）</w:t>
      </w:r>
      <w:r>
        <w:rPr>
          <w:rFonts w:hint="eastAsia"/>
        </w:rPr>
        <w:tab/>
      </w:r>
      <w:r w:rsidRPr="009F751C">
        <w:rPr>
          <w:rFonts w:hint="eastAsia"/>
        </w:rPr>
        <w:t>让公民能够增强经济权能，并逐渐向其灌输可以在社会内谋求发展的明确思想；</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（二）</w:t>
      </w:r>
      <w:r>
        <w:rPr>
          <w:rFonts w:hint="eastAsia"/>
        </w:rPr>
        <w:tab/>
      </w:r>
      <w:r w:rsidRPr="009F751C">
        <w:rPr>
          <w:rFonts w:hint="eastAsia"/>
        </w:rPr>
        <w:t>为社会成员参与发展主流提供切实的机会；</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（三）</w:t>
      </w:r>
      <w:r>
        <w:rPr>
          <w:rFonts w:hint="eastAsia"/>
        </w:rPr>
        <w:tab/>
      </w:r>
      <w:r w:rsidRPr="009F751C">
        <w:rPr>
          <w:rFonts w:hint="eastAsia"/>
        </w:rPr>
        <w:t>培养公民自力更生，鼓励他们在自身发展和社区发展方面采取主动；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（四）</w:t>
      </w:r>
      <w:r>
        <w:rPr>
          <w:rFonts w:hint="eastAsia"/>
        </w:rPr>
        <w:tab/>
      </w:r>
      <w:r w:rsidRPr="009F751C">
        <w:rPr>
          <w:rFonts w:hint="eastAsia"/>
        </w:rPr>
        <w:t>促进社区成员和整个国家的自我价值感；</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（五）</w:t>
      </w:r>
      <w:r>
        <w:rPr>
          <w:rFonts w:hint="eastAsia"/>
        </w:rPr>
        <w:tab/>
      </w:r>
      <w:r w:rsidRPr="009F751C">
        <w:rPr>
          <w:rFonts w:hint="eastAsia"/>
        </w:rPr>
        <w:t>激励创造性努力；以及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（六）</w:t>
      </w:r>
      <w:r>
        <w:rPr>
          <w:rFonts w:hint="eastAsia"/>
        </w:rPr>
        <w:tab/>
      </w:r>
      <w:r w:rsidRPr="009F751C">
        <w:rPr>
          <w:rFonts w:hint="eastAsia"/>
        </w:rPr>
        <w:t>为所有社会成员改善生活质量提供平等机会。</w:t>
      </w:r>
    </w:p>
    <w:p w:rsidR="00D977B9" w:rsidRPr="009F751C" w:rsidRDefault="00D977B9" w:rsidP="00D977B9">
      <w:pPr>
        <w:pStyle w:val="SingleTxt"/>
        <w:tabs>
          <w:tab w:val="clear" w:pos="1695"/>
          <w:tab w:val="left" w:pos="1568"/>
        </w:tabs>
        <w:spacing w:after="120"/>
        <w:ind w:left="1134" w:right="1134"/>
      </w:pPr>
      <w:r w:rsidRPr="009F751C">
        <w:t>67.</w:t>
      </w:r>
      <w:r w:rsidRPr="009F751C">
        <w:tab/>
      </w:r>
      <w:r w:rsidRPr="009F751C">
        <w:rPr>
          <w:rFonts w:hint="eastAsia"/>
        </w:rPr>
        <w:t>技能培训方案特别关注为创造可持续就业机会进行教育和培训，以减缓贫困，促进社会公平与和谐。方案提供以下主题领域的初级和二级培训：</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（一）</w:t>
      </w:r>
      <w:r>
        <w:rPr>
          <w:rFonts w:hint="eastAsia"/>
        </w:rPr>
        <w:tab/>
      </w:r>
      <w:r w:rsidRPr="009F751C">
        <w:rPr>
          <w:rFonts w:hint="eastAsia"/>
        </w:rPr>
        <w:t>技术</w:t>
      </w:r>
      <w:r w:rsidRPr="009F751C">
        <w:t>/</w:t>
      </w:r>
      <w:r w:rsidRPr="009F751C">
        <w:rPr>
          <w:rFonts w:hint="eastAsia"/>
        </w:rPr>
        <w:t>职业课程；</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（二）</w:t>
      </w:r>
      <w:r>
        <w:rPr>
          <w:rFonts w:hint="eastAsia"/>
        </w:rPr>
        <w:tab/>
      </w:r>
      <w:r w:rsidRPr="009F751C">
        <w:rPr>
          <w:rFonts w:hint="eastAsia"/>
        </w:rPr>
        <w:t>个人发展课程；</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（三）</w:t>
      </w:r>
      <w:r>
        <w:rPr>
          <w:rFonts w:hint="eastAsia"/>
        </w:rPr>
        <w:tab/>
      </w:r>
      <w:r w:rsidRPr="009F751C">
        <w:rPr>
          <w:rFonts w:hint="eastAsia"/>
        </w:rPr>
        <w:t>手工艺课程；</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2586" w:rightChars="540" w:right="1134" w:hanging="948"/>
      </w:pPr>
      <w:r>
        <w:rPr>
          <w:rFonts w:hint="eastAsia"/>
        </w:rPr>
        <w:t>（四）</w:t>
      </w:r>
      <w:r>
        <w:rPr>
          <w:rFonts w:hint="eastAsia"/>
        </w:rPr>
        <w:tab/>
      </w:r>
      <w:r w:rsidRPr="009F751C">
        <w:rPr>
          <w:rFonts w:hint="eastAsia"/>
        </w:rPr>
        <w:t>创业（微型企业）发展</w:t>
      </w:r>
      <w:r w:rsidRPr="009F751C">
        <w:t>/</w:t>
      </w:r>
      <w:r w:rsidRPr="009F751C">
        <w:rPr>
          <w:rFonts w:hint="eastAsia"/>
        </w:rPr>
        <w:t>管理课程。</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rPr>
        <w:t>10</w:t>
      </w:r>
      <w:r w:rsidRPr="009F751C">
        <w:rPr>
          <w:rFonts w:ascii="Times New Roman" w:hint="eastAsia"/>
        </w:rPr>
        <w:t>：防止童婚现象</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10.</w:t>
      </w:r>
      <w:r w:rsidRPr="009F751C">
        <w:rPr>
          <w:rFonts w:eastAsia="SimHei"/>
        </w:rPr>
        <w:tab/>
      </w:r>
      <w:r w:rsidRPr="009F751C">
        <w:rPr>
          <w:rFonts w:eastAsia="SimHei" w:hint="eastAsia"/>
        </w:rPr>
        <w:t>委员会关切的是，几项法定婚姻制度准许童婚的存在。委员会指出，这种婚姻受到《公约》第</w:t>
      </w:r>
      <w:r w:rsidRPr="009F751C">
        <w:rPr>
          <w:rFonts w:eastAsia="SimHei"/>
        </w:rPr>
        <w:t>16</w:t>
      </w:r>
      <w:r w:rsidRPr="009F751C">
        <w:rPr>
          <w:rFonts w:eastAsia="SimHei" w:hint="eastAsia"/>
        </w:rPr>
        <w:t>条第</w:t>
      </w:r>
      <w:r w:rsidRPr="009F751C">
        <w:rPr>
          <w:rFonts w:eastAsia="SimHei"/>
        </w:rPr>
        <w:t>2</w:t>
      </w:r>
      <w:r w:rsidRPr="009F751C">
        <w:rPr>
          <w:rFonts w:eastAsia="SimHei" w:hint="eastAsia"/>
        </w:rPr>
        <w:t>款的禁止。这种婚姻对女童的健康造成严重后果。委员会担心少女怀孕率偏高，以及少女怀孕对少女享有《公约》所保障的权力特别是教育领域的权利所产生的后果。</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委员会促请缔约国确保其所有最低结婚年龄法和防止早婚的其他方案与《公约》所规定的义务相符合。委员会还建议特立尼达和多巴哥为性教育和计划生育采取适当的政策和方案。</w:t>
      </w:r>
    </w:p>
    <w:p w:rsidR="00D977B9" w:rsidRPr="009F751C" w:rsidRDefault="00D977B9" w:rsidP="00D977B9">
      <w:pPr>
        <w:pStyle w:val="SingleTxt"/>
        <w:tabs>
          <w:tab w:val="clear" w:pos="1695"/>
          <w:tab w:val="left" w:pos="1568"/>
        </w:tabs>
        <w:spacing w:after="120"/>
        <w:ind w:left="1134" w:right="1134"/>
      </w:pPr>
      <w:r w:rsidRPr="009F751C">
        <w:t>68.</w:t>
      </w:r>
      <w:r w:rsidRPr="009F751C">
        <w:tab/>
      </w:r>
      <w:r w:rsidRPr="009F751C">
        <w:rPr>
          <w:rFonts w:hint="eastAsia"/>
        </w:rPr>
        <w:t>根据</w:t>
      </w:r>
      <w:r w:rsidRPr="009F751C">
        <w:rPr>
          <w:rFonts w:eastAsia="KaiTi_GB2312"/>
          <w:b/>
        </w:rPr>
        <w:t>1976</w:t>
      </w:r>
      <w:r w:rsidRPr="009F751C">
        <w:rPr>
          <w:rFonts w:eastAsia="KaiTi_GB2312" w:hint="eastAsia"/>
          <w:b/>
        </w:rPr>
        <w:t>年《特立尼达和多巴哥共和国公民身份法案》</w:t>
      </w:r>
      <w:r w:rsidRPr="009F751C">
        <w:rPr>
          <w:rFonts w:hint="eastAsia"/>
        </w:rPr>
        <w:t>，未成年人的定义是“未满</w:t>
      </w:r>
      <w:r w:rsidRPr="009F751C">
        <w:t>18</w:t>
      </w:r>
      <w:r w:rsidRPr="009F751C">
        <w:rPr>
          <w:rFonts w:hint="eastAsia"/>
        </w:rPr>
        <w:t>岁者”。但是，如上所述，法定最低结婚年龄是由具体法律和不同宗教派别的习俗决定的。特立尼达和多巴哥的法定婚姻年龄由成文法和普通法决定。特立尼达和多巴哥反映国家多种族人口的四部婚姻法案对少女的最低结婚年龄分别做出不同的规定。</w:t>
      </w:r>
    </w:p>
    <w:p w:rsidR="00D977B9" w:rsidRPr="009F751C" w:rsidRDefault="00D977B9" w:rsidP="00D977B9">
      <w:pPr>
        <w:pStyle w:val="SingleTxt"/>
        <w:tabs>
          <w:tab w:val="clear" w:pos="1695"/>
          <w:tab w:val="left" w:pos="1568"/>
        </w:tabs>
        <w:spacing w:after="120"/>
        <w:ind w:left="1134" w:right="1134"/>
      </w:pPr>
      <w:r w:rsidRPr="009F751C">
        <w:t>69.</w:t>
      </w:r>
      <w:r w:rsidRPr="009F751C">
        <w:tab/>
      </w:r>
      <w:r w:rsidRPr="009F751C">
        <w:rPr>
          <w:rFonts w:hint="eastAsia"/>
        </w:rPr>
        <w:t>特立尼达和多巴哥的四部婚姻法案如下：</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751" w:left="2016" w:rightChars="540" w:right="1134" w:hangingChars="209" w:hanging="439"/>
      </w:pPr>
      <w:r w:rsidRPr="009F751C">
        <w:t>•</w:t>
      </w:r>
      <w:r w:rsidRPr="009F751C">
        <w:tab/>
      </w:r>
      <w:r w:rsidRPr="009F751C">
        <w:rPr>
          <w:rFonts w:eastAsia="KaiTi_GB2312"/>
          <w:b/>
        </w:rPr>
        <w:t>1923</w:t>
      </w:r>
      <w:r w:rsidRPr="009F751C">
        <w:rPr>
          <w:rFonts w:eastAsia="KaiTi_GB2312" w:hint="eastAsia"/>
          <w:b/>
        </w:rPr>
        <w:t>年《婚姻法案》</w:t>
      </w:r>
      <w:r w:rsidRPr="009F751C">
        <w:rPr>
          <w:rFonts w:hint="eastAsia"/>
        </w:rPr>
        <w:t>：适用于基督教徒和世俗婚姻，根据该法，男性能够缔结婚约的年龄为十四（</w:t>
      </w:r>
      <w:r w:rsidRPr="009F751C">
        <w:t>14</w:t>
      </w:r>
      <w:r w:rsidRPr="009F751C">
        <w:rPr>
          <w:rFonts w:hint="eastAsia"/>
        </w:rPr>
        <w:t>）岁，女性能够缔结婚约的年龄为十二（</w:t>
      </w:r>
      <w:r w:rsidRPr="009F751C">
        <w:t>12</w:t>
      </w:r>
      <w:r w:rsidRPr="009F751C">
        <w:rPr>
          <w:rFonts w:hint="eastAsia"/>
        </w:rPr>
        <w:t>）岁（这是普通法的最低结婚年龄）。</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751" w:left="2016" w:rightChars="540" w:right="1134" w:hangingChars="209" w:hanging="439"/>
      </w:pPr>
      <w:r w:rsidRPr="009F751C">
        <w:t>•</w:t>
      </w:r>
      <w:r w:rsidRPr="009F751C">
        <w:tab/>
      </w:r>
      <w:r w:rsidRPr="009F751C">
        <w:rPr>
          <w:rFonts w:hint="eastAsia"/>
        </w:rPr>
        <w:t>根据</w:t>
      </w:r>
      <w:r w:rsidRPr="009F751C">
        <w:rPr>
          <w:rFonts w:eastAsia="KaiTi_GB2312"/>
          <w:b/>
        </w:rPr>
        <w:t>1961</w:t>
      </w:r>
      <w:r w:rsidRPr="009F751C">
        <w:rPr>
          <w:rFonts w:eastAsia="KaiTi_GB2312" w:hint="eastAsia"/>
          <w:b/>
        </w:rPr>
        <w:t>年《穆斯林婚姻和离婚法案》</w:t>
      </w:r>
      <w:r w:rsidRPr="009F751C">
        <w:rPr>
          <w:rFonts w:hint="eastAsia"/>
        </w:rPr>
        <w:t>第</w:t>
      </w:r>
      <w:r w:rsidRPr="009F751C">
        <w:t>8</w:t>
      </w:r>
      <w:r w:rsidRPr="009F751C">
        <w:rPr>
          <w:rFonts w:hint="eastAsia"/>
        </w:rPr>
        <w:t>节，穆斯林社区成员能够缔结婚约的年龄为男性十六（</w:t>
      </w:r>
      <w:r w:rsidRPr="009F751C">
        <w:t>16</w:t>
      </w:r>
      <w:r w:rsidRPr="009F751C">
        <w:rPr>
          <w:rFonts w:hint="eastAsia"/>
        </w:rPr>
        <w:t>）岁，女性十二（</w:t>
      </w:r>
      <w:r w:rsidRPr="009F751C">
        <w:t>12</w:t>
      </w:r>
      <w:r w:rsidRPr="009F751C">
        <w:rPr>
          <w:rFonts w:hint="eastAsia"/>
        </w:rPr>
        <w:t>）岁。但是，如果打算结婚的双方中的任何一方未满十八（</w:t>
      </w:r>
      <w:r w:rsidRPr="009F751C">
        <w:t>18</w:t>
      </w:r>
      <w:r w:rsidRPr="009F751C">
        <w:rPr>
          <w:rFonts w:hint="eastAsia"/>
        </w:rPr>
        <w:t>）岁，必须征得父亲的同意，如果父亲已去世，必须征得监护人的同意。</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751" w:left="2016" w:rightChars="540" w:right="1134" w:hangingChars="209" w:hanging="439"/>
      </w:pPr>
      <w:r w:rsidRPr="009F751C">
        <w:t>•</w:t>
      </w:r>
      <w:r w:rsidRPr="009F751C">
        <w:tab/>
      </w:r>
      <w:r w:rsidRPr="009F751C">
        <w:rPr>
          <w:rFonts w:hint="eastAsia"/>
        </w:rPr>
        <w:t>根据</w:t>
      </w:r>
      <w:r w:rsidRPr="009F751C">
        <w:rPr>
          <w:rFonts w:eastAsia="KaiTi_GB2312"/>
          <w:b/>
        </w:rPr>
        <w:t>1945</w:t>
      </w:r>
      <w:r w:rsidRPr="009F751C">
        <w:rPr>
          <w:rFonts w:eastAsia="KaiTi_GB2312" w:hint="eastAsia"/>
          <w:b/>
        </w:rPr>
        <w:t>年《印度教婚姻法案》</w:t>
      </w:r>
      <w:r w:rsidRPr="009F751C">
        <w:rPr>
          <w:rFonts w:hint="eastAsia"/>
        </w:rPr>
        <w:t>，印度教徒能够缔结婚约的年龄为男性十八（</w:t>
      </w:r>
      <w:r w:rsidRPr="009F751C">
        <w:t>18</w:t>
      </w:r>
      <w:r w:rsidRPr="009F751C">
        <w:rPr>
          <w:rFonts w:hint="eastAsia"/>
        </w:rPr>
        <w:t>）岁，女性十六（</w:t>
      </w:r>
      <w:r w:rsidRPr="009F751C">
        <w:t>16</w:t>
      </w:r>
      <w:r w:rsidRPr="009F751C">
        <w:rPr>
          <w:rFonts w:hint="eastAsia"/>
        </w:rPr>
        <w:t>）岁。尽管如此，如果获得父母或监护人的必要同意，十八（</w:t>
      </w:r>
      <w:r w:rsidRPr="009F751C">
        <w:t>18</w:t>
      </w:r>
      <w:r w:rsidRPr="009F751C">
        <w:rPr>
          <w:rFonts w:hint="eastAsia"/>
        </w:rPr>
        <w:t>）岁以下的男性或十六（</w:t>
      </w:r>
      <w:r w:rsidRPr="009F751C">
        <w:t>16</w:t>
      </w:r>
      <w:r w:rsidRPr="009F751C">
        <w:rPr>
          <w:rFonts w:hint="eastAsia"/>
        </w:rPr>
        <w:t>）岁以下的女性也可以正式结婚。</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751" w:left="2016" w:rightChars="540" w:right="1134" w:hangingChars="209" w:hanging="439"/>
      </w:pPr>
      <w:r w:rsidRPr="009F751C">
        <w:t>•</w:t>
      </w:r>
      <w:r w:rsidRPr="009F751C">
        <w:tab/>
        <w:t>1999</w:t>
      </w:r>
      <w:r w:rsidRPr="009F751C">
        <w:rPr>
          <w:rFonts w:hint="eastAsia"/>
        </w:rPr>
        <w:t>年</w:t>
      </w:r>
      <w:r w:rsidRPr="009F751C">
        <w:rPr>
          <w:rFonts w:eastAsia="KaiTi_GB2312" w:hint="eastAsia"/>
          <w:b/>
        </w:rPr>
        <w:t>《奥里萨人婚姻法案》</w:t>
      </w:r>
      <w:r w:rsidRPr="009F751C">
        <w:rPr>
          <w:rFonts w:hint="eastAsia"/>
        </w:rPr>
        <w:t>第</w:t>
      </w:r>
      <w:r w:rsidRPr="009F751C">
        <w:t>9</w:t>
      </w:r>
      <w:r w:rsidRPr="009F751C">
        <w:rPr>
          <w:rFonts w:hint="eastAsia"/>
        </w:rPr>
        <w:t>节规定：“奥里萨信徒能够缔结婚约的年龄为男性十八（</w:t>
      </w:r>
      <w:r w:rsidRPr="009F751C">
        <w:t>18</w:t>
      </w:r>
      <w:r w:rsidRPr="009F751C">
        <w:rPr>
          <w:rFonts w:hint="eastAsia"/>
        </w:rPr>
        <w:t>）岁，女性十六（</w:t>
      </w:r>
      <w:r w:rsidRPr="009F751C">
        <w:t>16</w:t>
      </w:r>
      <w:r w:rsidRPr="009F751C">
        <w:rPr>
          <w:rFonts w:hint="eastAsia"/>
        </w:rPr>
        <w:t>）岁。如果打算结婚的丈夫未满十八（</w:t>
      </w:r>
      <w:r w:rsidRPr="009F751C">
        <w:t>18</w:t>
      </w:r>
      <w:r w:rsidRPr="009F751C">
        <w:rPr>
          <w:rFonts w:hint="eastAsia"/>
        </w:rPr>
        <w:t>）岁或打算结婚的妻子未满十六（</w:t>
      </w:r>
      <w:r w:rsidRPr="009F751C">
        <w:t>16</w:t>
      </w:r>
      <w:r w:rsidRPr="009F751C">
        <w:rPr>
          <w:rFonts w:hint="eastAsia"/>
        </w:rPr>
        <w:t>）岁，除非根据本节以下条款征得未成年人的同意，否则婚姻注册官不得正式核准婚姻。应当由未成年人的母亲或父亲对未成年人结婚给予必要的同意，如果父母去世，则由监护人或总统出于此目的指定的监护人给予必要的同意。”</w:t>
      </w:r>
    </w:p>
    <w:p w:rsidR="00D977B9" w:rsidRPr="009F751C" w:rsidRDefault="00D977B9" w:rsidP="00D977B9">
      <w:pPr>
        <w:pStyle w:val="SingleTxt"/>
        <w:tabs>
          <w:tab w:val="clear" w:pos="1695"/>
          <w:tab w:val="left" w:pos="1568"/>
        </w:tabs>
        <w:spacing w:after="120"/>
        <w:ind w:left="1134" w:right="1134"/>
      </w:pPr>
      <w:r w:rsidRPr="009F751C">
        <w:t>70.</w:t>
      </w:r>
      <w:r w:rsidRPr="009F751C">
        <w:tab/>
      </w:r>
      <w:r w:rsidRPr="009F751C">
        <w:rPr>
          <w:rFonts w:hint="eastAsia"/>
        </w:rPr>
        <w:t>特立尼达和多巴哥的四部婚姻法案允许女童在</w:t>
      </w:r>
      <w:r w:rsidRPr="009F751C">
        <w:t>12</w:t>
      </w:r>
      <w:r w:rsidRPr="009F751C">
        <w:rPr>
          <w:rFonts w:hint="eastAsia"/>
        </w:rPr>
        <w:t>、</w:t>
      </w:r>
      <w:r w:rsidRPr="009F751C">
        <w:t>14</w:t>
      </w:r>
      <w:r w:rsidRPr="009F751C">
        <w:rPr>
          <w:rFonts w:hint="eastAsia"/>
        </w:rPr>
        <w:t>和</w:t>
      </w:r>
      <w:r w:rsidRPr="009F751C">
        <w:t>16</w:t>
      </w:r>
      <w:r w:rsidRPr="009F751C">
        <w:rPr>
          <w:rFonts w:hint="eastAsia"/>
        </w:rPr>
        <w:t>岁结婚，但早婚习俗已经显著减少。</w:t>
      </w:r>
      <w:r w:rsidRPr="009F751C">
        <w:t>1997</w:t>
      </w:r>
      <w:r w:rsidRPr="009F751C">
        <w:rPr>
          <w:rFonts w:hint="eastAsia"/>
        </w:rPr>
        <w:t>至</w:t>
      </w:r>
      <w:r w:rsidRPr="009F751C">
        <w:t>2007</w:t>
      </w:r>
      <w:r w:rsidRPr="009F751C">
        <w:rPr>
          <w:rFonts w:hint="eastAsia"/>
        </w:rPr>
        <w:t>年间，</w:t>
      </w:r>
      <w:r w:rsidRPr="009F751C">
        <w:t>15</w:t>
      </w:r>
      <w:r w:rsidRPr="009F751C">
        <w:rPr>
          <w:rFonts w:hint="eastAsia"/>
        </w:rPr>
        <w:t>岁以下女童结婚案例为</w:t>
      </w:r>
      <w:r w:rsidRPr="009F751C">
        <w:t>104</w:t>
      </w:r>
      <w:r w:rsidRPr="009F751C">
        <w:rPr>
          <w:rFonts w:hint="eastAsia"/>
        </w:rPr>
        <w:t>件。但是，同期没有任何</w:t>
      </w:r>
      <w:r w:rsidRPr="009F751C">
        <w:t>15</w:t>
      </w:r>
      <w:r w:rsidRPr="009F751C">
        <w:rPr>
          <w:rFonts w:hint="eastAsia"/>
        </w:rPr>
        <w:t>岁以下男童结婚。在</w:t>
      </w:r>
      <w:r w:rsidRPr="009F751C">
        <w:t>15</w:t>
      </w:r>
      <w:r w:rsidRPr="009F751C">
        <w:rPr>
          <w:rFonts w:hint="eastAsia"/>
        </w:rPr>
        <w:t>至</w:t>
      </w:r>
      <w:r>
        <w:t>1</w:t>
      </w:r>
      <w:r>
        <w:rPr>
          <w:rFonts w:hint="eastAsia"/>
        </w:rPr>
        <w:t>9</w:t>
      </w:r>
      <w:r w:rsidRPr="009F751C">
        <w:rPr>
          <w:rFonts w:hint="eastAsia"/>
        </w:rPr>
        <w:t>岁年龄段，结婚的女童数量为</w:t>
      </w:r>
      <w:r w:rsidRPr="009F751C">
        <w:t>8 406</w:t>
      </w:r>
      <w:r w:rsidRPr="009F751C">
        <w:rPr>
          <w:rFonts w:hint="eastAsia"/>
        </w:rPr>
        <w:t>人，相比之下，男童为</w:t>
      </w:r>
      <w:r w:rsidRPr="009F751C">
        <w:t>1 302</w:t>
      </w:r>
      <w:r w:rsidRPr="009F751C">
        <w:rPr>
          <w:rFonts w:hint="eastAsia"/>
        </w:rPr>
        <w:t>人。</w:t>
      </w:r>
      <w:r w:rsidRPr="00D977B9">
        <w:rPr>
          <w:rStyle w:val="FootnoteReference"/>
        </w:rPr>
        <w:footnoteReference w:id="20"/>
      </w:r>
      <w:r w:rsidRPr="009F751C">
        <w:rPr>
          <w:rFonts w:hint="eastAsia"/>
        </w:rPr>
        <w:t>根据《特立尼达和多巴哥</w:t>
      </w:r>
      <w:r w:rsidRPr="009F751C">
        <w:t>2011</w:t>
      </w:r>
      <w:r w:rsidRPr="009F751C">
        <w:rPr>
          <w:rFonts w:hint="eastAsia"/>
        </w:rPr>
        <w:t>年人口和住房普查人口统计报告》的记录，</w:t>
      </w:r>
      <w:r w:rsidRPr="009F751C">
        <w:t xml:space="preserve"> 14</w:t>
      </w:r>
      <w:r w:rsidRPr="009F751C">
        <w:rPr>
          <w:rFonts w:hint="eastAsia"/>
        </w:rPr>
        <w:t>岁女童结婚的有</w:t>
      </w:r>
      <w:r w:rsidRPr="009F751C">
        <w:t>22</w:t>
      </w:r>
      <w:r w:rsidRPr="009F751C">
        <w:rPr>
          <w:rFonts w:hint="eastAsia"/>
        </w:rPr>
        <w:t>人，</w:t>
      </w:r>
      <w:r w:rsidRPr="009F751C">
        <w:t>14</w:t>
      </w:r>
      <w:r w:rsidRPr="009F751C">
        <w:rPr>
          <w:rFonts w:hint="eastAsia"/>
        </w:rPr>
        <w:t>岁男童结婚的有</w:t>
      </w:r>
      <w:r w:rsidRPr="009F751C">
        <w:t>15</w:t>
      </w:r>
      <w:r w:rsidRPr="009F751C">
        <w:rPr>
          <w:rFonts w:hint="eastAsia"/>
        </w:rPr>
        <w:t>人。在</w:t>
      </w:r>
      <w:r w:rsidRPr="009F751C">
        <w:t>15</w:t>
      </w:r>
      <w:r w:rsidRPr="009F751C">
        <w:rPr>
          <w:rFonts w:hint="eastAsia"/>
        </w:rPr>
        <w:t>至</w:t>
      </w:r>
      <w:r w:rsidRPr="009F751C">
        <w:t>19</w:t>
      </w:r>
      <w:r w:rsidRPr="009F751C">
        <w:rPr>
          <w:rFonts w:hint="eastAsia"/>
        </w:rPr>
        <w:t>岁年龄段，结婚的女童数量为</w:t>
      </w:r>
      <w:r w:rsidRPr="009F751C">
        <w:t>902</w:t>
      </w:r>
      <w:r w:rsidRPr="009F751C">
        <w:rPr>
          <w:rFonts w:hint="eastAsia"/>
        </w:rPr>
        <w:t>人，结婚的男童数量为</w:t>
      </w:r>
      <w:r w:rsidRPr="009F751C">
        <w:t>235</w:t>
      </w:r>
      <w:r w:rsidRPr="009F751C">
        <w:rPr>
          <w:rFonts w:hint="eastAsia"/>
        </w:rPr>
        <w:t>人。</w:t>
      </w:r>
      <w:r w:rsidRPr="00D977B9">
        <w:rPr>
          <w:rStyle w:val="FootnoteReference"/>
        </w:rPr>
        <w:footnoteReference w:id="21"/>
      </w:r>
    </w:p>
    <w:p w:rsidR="00D977B9" w:rsidRPr="009F751C" w:rsidRDefault="00D977B9" w:rsidP="00D977B9">
      <w:pPr>
        <w:pStyle w:val="SingleTxt"/>
        <w:tabs>
          <w:tab w:val="clear" w:pos="1695"/>
          <w:tab w:val="left" w:pos="1568"/>
        </w:tabs>
        <w:spacing w:after="120"/>
        <w:ind w:left="1134" w:right="1134"/>
      </w:pPr>
      <w:r w:rsidRPr="009F751C">
        <w:t>71.</w:t>
      </w:r>
      <w:r w:rsidRPr="009F751C">
        <w:tab/>
      </w:r>
      <w:r w:rsidRPr="009F751C">
        <w:rPr>
          <w:rFonts w:hint="eastAsia"/>
        </w:rPr>
        <w:t>在某些情况下，最低结婚年龄与性犯罪立法的保护儿童目标相冲突。后者规定</w:t>
      </w:r>
      <w:r w:rsidRPr="009F751C">
        <w:t>16</w:t>
      </w:r>
      <w:r w:rsidRPr="009F751C">
        <w:rPr>
          <w:rFonts w:hint="eastAsia"/>
        </w:rPr>
        <w:t>岁为同意性行为的年龄。</w:t>
      </w:r>
      <w:r w:rsidRPr="00D977B9">
        <w:rPr>
          <w:rStyle w:val="FootnoteReference"/>
        </w:rPr>
        <w:footnoteReference w:id="22"/>
      </w:r>
      <w:r w:rsidRPr="009F751C">
        <w:rPr>
          <w:rFonts w:hint="eastAsia"/>
        </w:rPr>
        <w:t>社会在发生渐进式变化，特立尼达和多巴哥政府认识到童婚对于女童福利和发展的不利。政府致力于保护所有儿童，确保每名儿童都能够发挥他们的全部潜力。因此将继续采取一致行动，促进消除童婚。</w:t>
      </w:r>
    </w:p>
    <w:p w:rsidR="00D977B9" w:rsidRPr="009F751C" w:rsidRDefault="00D977B9" w:rsidP="00D977B9">
      <w:pPr>
        <w:pStyle w:val="SingleTxt"/>
        <w:tabs>
          <w:tab w:val="clear" w:pos="1695"/>
          <w:tab w:val="left" w:pos="1568"/>
        </w:tabs>
        <w:spacing w:after="120"/>
        <w:ind w:left="1134" w:right="1134"/>
      </w:pPr>
      <w:r w:rsidRPr="009F751C">
        <w:t>72.</w:t>
      </w:r>
      <w:r w:rsidRPr="009F751C">
        <w:tab/>
      </w:r>
      <w:r w:rsidRPr="009F751C">
        <w:rPr>
          <w:rFonts w:hint="eastAsia"/>
        </w:rPr>
        <w:t>作为英联邦轮值主席，</w:t>
      </w:r>
      <w:r w:rsidRPr="009F751C">
        <w:t>2011</w:t>
      </w:r>
      <w:r w:rsidRPr="009F751C">
        <w:rPr>
          <w:rFonts w:hint="eastAsia"/>
        </w:rPr>
        <w:t>年</w:t>
      </w:r>
      <w:r w:rsidRPr="009F751C">
        <w:t>10</w:t>
      </w:r>
      <w:r w:rsidRPr="009F751C">
        <w:rPr>
          <w:rFonts w:hint="eastAsia"/>
        </w:rPr>
        <w:t>月，总理在澳大利亚珀斯英联邦政府首脑会议开幕式上的讲话中指出：“我设立了性别、青年和儿童发展部，现在负责审查修订与童婚有关的法律问题。”作为对总理声明的回复，英联邦政府首脑会议公报声明如下：“在适当考虑到成员国国内立法的情况下，英联邦会解决早婚和强迫婚姻问题，并考虑采取行动，以支持妇女和儿童的权利，分享最佳做法，促进实施处理早婚和强迫婚姻的措施。”</w:t>
      </w:r>
    </w:p>
    <w:p w:rsidR="00D977B9" w:rsidRPr="009F751C" w:rsidRDefault="00D977B9" w:rsidP="00D977B9">
      <w:pPr>
        <w:pStyle w:val="SingleTxt"/>
        <w:tabs>
          <w:tab w:val="clear" w:pos="1695"/>
          <w:tab w:val="left" w:pos="1568"/>
        </w:tabs>
        <w:spacing w:after="120"/>
        <w:ind w:left="1134" w:right="1134"/>
      </w:pPr>
      <w:r w:rsidRPr="009F751C">
        <w:t>73.</w:t>
      </w:r>
      <w:r w:rsidRPr="009F751C">
        <w:tab/>
        <w:t>2011</w:t>
      </w:r>
      <w:r w:rsidRPr="009F751C">
        <w:rPr>
          <w:rFonts w:hint="eastAsia"/>
        </w:rPr>
        <w:t>年</w:t>
      </w:r>
      <w:r w:rsidRPr="009F751C">
        <w:t>11</w:t>
      </w:r>
      <w:r w:rsidRPr="009F751C">
        <w:rPr>
          <w:rFonts w:hint="eastAsia"/>
        </w:rPr>
        <w:t>月</w:t>
      </w:r>
      <w:r w:rsidRPr="009F751C">
        <w:t>4</w:t>
      </w:r>
      <w:r w:rsidRPr="009F751C">
        <w:rPr>
          <w:rFonts w:hint="eastAsia"/>
        </w:rPr>
        <w:t>日，性别、青年和儿童发展部召开关于“特立尼达和多巴哥婚姻合法年龄标准化”的全国利益攸关方磋商会议。值得注意的是，大约</w:t>
      </w:r>
      <w:r w:rsidRPr="009F751C">
        <w:t>40%</w:t>
      </w:r>
      <w:r w:rsidRPr="009F751C">
        <w:rPr>
          <w:rFonts w:hint="eastAsia"/>
        </w:rPr>
        <w:t>的与会者是代表不同宗教的青年人，他们强烈反对早婚。性别、青年和儿童发展部长与穆斯林、印度教和奥里萨教宗教领袖举行了讨论该问题的后续磋商。此外，在最近关于</w:t>
      </w:r>
      <w:r w:rsidRPr="009F751C">
        <w:rPr>
          <w:rFonts w:eastAsia="KaiTi_GB2312"/>
          <w:b/>
        </w:rPr>
        <w:t>2012</w:t>
      </w:r>
      <w:r w:rsidRPr="009F751C">
        <w:rPr>
          <w:rFonts w:eastAsia="KaiTi_GB2312" w:hint="eastAsia"/>
          <w:b/>
        </w:rPr>
        <w:t>年《儿童法案》</w:t>
      </w:r>
      <w:r w:rsidRPr="009F751C">
        <w:rPr>
          <w:rFonts w:hint="eastAsia"/>
        </w:rPr>
        <w:t>的议会辩论中，上议院（参议院）的独立参议员公开反对特立尼达和多巴哥的早婚习俗。此外还与宗教性质的妇女非政府组织</w:t>
      </w:r>
      <w:r w:rsidRPr="009F751C">
        <w:t>——</w:t>
      </w:r>
      <w:r w:rsidRPr="009F751C">
        <w:rPr>
          <w:rFonts w:hint="eastAsia"/>
        </w:rPr>
        <w:t>印度教妇女组织以及特立尼达和多巴哥</w:t>
      </w:r>
      <w:r w:rsidRPr="009F751C">
        <w:t>Anjuman Sunnat-ul-Jamaat</w:t>
      </w:r>
      <w:r w:rsidRPr="009F751C">
        <w:rPr>
          <w:rFonts w:hint="eastAsia"/>
        </w:rPr>
        <w:t>协会进行了公开磋商，讨论早婚问题。</w:t>
      </w:r>
    </w:p>
    <w:p w:rsidR="00D977B9" w:rsidRPr="009F751C" w:rsidRDefault="00D977B9" w:rsidP="00D977B9">
      <w:pPr>
        <w:pStyle w:val="SingleTxt"/>
        <w:tabs>
          <w:tab w:val="clear" w:pos="1695"/>
          <w:tab w:val="left" w:pos="1568"/>
        </w:tabs>
        <w:spacing w:after="120"/>
        <w:ind w:left="1134" w:right="1134"/>
      </w:pPr>
      <w:r w:rsidRPr="009F751C">
        <w:t>74.</w:t>
      </w:r>
      <w:r w:rsidRPr="009F751C">
        <w:tab/>
      </w:r>
      <w:r w:rsidRPr="009F751C">
        <w:rPr>
          <w:rFonts w:hint="eastAsia"/>
        </w:rPr>
        <w:t>政府承认少女怀孕发生率偏高，有必要解决这个问题。</w:t>
      </w:r>
      <w:r w:rsidRPr="009F751C">
        <w:t>2012</w:t>
      </w:r>
      <w:r w:rsidRPr="009F751C">
        <w:rPr>
          <w:rFonts w:hint="eastAsia"/>
        </w:rPr>
        <w:t>年</w:t>
      </w:r>
      <w:r w:rsidRPr="009F751C">
        <w:t>3</w:t>
      </w:r>
      <w:r w:rsidRPr="009F751C">
        <w:rPr>
          <w:rFonts w:hint="eastAsia"/>
        </w:rPr>
        <w:t>月，教育部长在关于儿童法案（现行的</w:t>
      </w:r>
      <w:r w:rsidRPr="009F751C">
        <w:t>2012</w:t>
      </w:r>
      <w:r w:rsidRPr="009F751C">
        <w:rPr>
          <w:rFonts w:hint="eastAsia"/>
        </w:rPr>
        <w:t>年《儿童法案》）的辩论发言中引用中央统计局（</w:t>
      </w:r>
      <w:r w:rsidRPr="009F751C">
        <w:t>2006</w:t>
      </w:r>
      <w:r w:rsidRPr="009F751C">
        <w:rPr>
          <w:rFonts w:hint="eastAsia"/>
        </w:rPr>
        <w:t>年）的数据称，</w:t>
      </w:r>
      <w:r w:rsidRPr="009F751C">
        <w:t>18</w:t>
      </w:r>
      <w:r w:rsidRPr="009F751C">
        <w:rPr>
          <w:rFonts w:hint="eastAsia"/>
        </w:rPr>
        <w:t>岁以下少女每年有</w:t>
      </w:r>
      <w:r w:rsidRPr="009F751C">
        <w:t>2 500</w:t>
      </w:r>
      <w:r w:rsidRPr="009F751C">
        <w:rPr>
          <w:rFonts w:hint="eastAsia"/>
        </w:rPr>
        <w:t>例妊娠。为解决这一问题，正在实施的倡议包括</w:t>
      </w:r>
      <w:r w:rsidRPr="009F751C">
        <w:rPr>
          <w:rFonts w:eastAsia="SimHei" w:hint="eastAsia"/>
        </w:rPr>
        <w:t>早育方案</w:t>
      </w:r>
      <w:r w:rsidRPr="009F751C">
        <w:rPr>
          <w:rFonts w:hint="eastAsia"/>
        </w:rPr>
        <w:t>，该方案最初是由社会发展部进行的，现在属于性别、青年和儿童发展部的管辖范围。在提供关于如何护理子女的信息和支持的同时，该方案的主旨是鼓励少女继续完成正规教育。此外，特立尼达和多巴哥计划生育协会也开展了少女怀孕方案，包括免预约诊所、提供信息和服务以及公共宣传活动。</w:t>
      </w:r>
    </w:p>
    <w:p w:rsidR="00D977B9" w:rsidRPr="009F751C" w:rsidRDefault="00D977B9" w:rsidP="00D977B9">
      <w:pPr>
        <w:pStyle w:val="SingleTxt"/>
        <w:tabs>
          <w:tab w:val="clear" w:pos="1695"/>
          <w:tab w:val="left" w:pos="1568"/>
        </w:tabs>
        <w:spacing w:after="120"/>
        <w:ind w:left="1134" w:right="1134"/>
      </w:pPr>
      <w:r w:rsidRPr="009F751C">
        <w:t>75.</w:t>
      </w:r>
      <w:r w:rsidRPr="009F751C">
        <w:tab/>
      </w:r>
      <w:r w:rsidRPr="009F751C">
        <w:rPr>
          <w:rFonts w:hint="eastAsia"/>
        </w:rPr>
        <w:t>在正规教育系统的性教育方面，教育部在小学设计了保健和家庭生活教育课程。小学教师获得了保健和家庭生活教育课程授课方面的培训，但这门课程往往没有列入小学的课程设置。性别、青年和儿童发展部认识到有必要在学校开展性教育，正在制定性教育和性别教育方案，旨在通过全国家长教师协会来提高家长的认识。预计一旦家长充分认识到性教育的必要性，他们会更加愿意接受学校为子女提供保健和家庭生活教育。</w:t>
      </w:r>
    </w:p>
    <w:p w:rsidR="00D977B9" w:rsidRPr="009F751C" w:rsidRDefault="00D977B9" w:rsidP="00D977B9">
      <w:pPr>
        <w:pStyle w:val="SingleTxt"/>
        <w:tabs>
          <w:tab w:val="clear" w:pos="1695"/>
          <w:tab w:val="left" w:pos="1568"/>
        </w:tabs>
        <w:spacing w:after="120"/>
        <w:ind w:left="1134" w:right="1134"/>
      </w:pPr>
      <w:r w:rsidRPr="009F751C">
        <w:t>76.</w:t>
      </w:r>
      <w:r w:rsidRPr="009F751C">
        <w:tab/>
      </w:r>
      <w:r w:rsidRPr="009F751C">
        <w:rPr>
          <w:rFonts w:hint="eastAsia"/>
        </w:rPr>
        <w:t>特立尼达和多巴哥议会通过了多部旨在保护儿童的立法，其中包括：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16"/>
        </w:tabs>
        <w:spacing w:after="120"/>
        <w:ind w:leftChars="747" w:left="1569" w:rightChars="540" w:right="1134"/>
      </w:pPr>
      <w:r w:rsidRPr="009F751C">
        <w:t>•</w:t>
      </w:r>
      <w:r w:rsidRPr="009F751C">
        <w:tab/>
      </w:r>
      <w:r w:rsidRPr="009F751C">
        <w:rPr>
          <w:rFonts w:eastAsia="KaiTi_GB2312"/>
          <w:b/>
        </w:rPr>
        <w:t>2000</w:t>
      </w:r>
      <w:r w:rsidRPr="009F751C">
        <w:rPr>
          <w:rFonts w:eastAsia="KaiTi_GB2312" w:hint="eastAsia"/>
          <w:b/>
        </w:rPr>
        <w:t>年《儿童主管机构法案》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973" w:left="2043" w:rightChars="540" w:right="1134"/>
      </w:pPr>
      <w:r w:rsidRPr="009F751C">
        <w:rPr>
          <w:rFonts w:hint="eastAsia"/>
        </w:rPr>
        <w:t>颁布了该法案的部分内容，以便任命一个管理委员会，设立充足的基础设施、政策和程序，从而颁布法案的全部内容。在全面设立之后，除其他外，主管机构将负责调查工作人员、儿童和家长就在社区居所、寄养家庭和托儿所中的任何儿童提出的投诉。《儿童主管机构法案》于</w:t>
      </w:r>
      <w:r w:rsidRPr="009F751C">
        <w:t>2003</w:t>
      </w:r>
      <w:r w:rsidRPr="009F751C">
        <w:rPr>
          <w:rFonts w:hint="eastAsia"/>
        </w:rPr>
        <w:t>年和</w:t>
      </w:r>
      <w:r w:rsidRPr="009F751C">
        <w:t>2008</w:t>
      </w:r>
      <w:r w:rsidRPr="009F751C">
        <w:rPr>
          <w:rFonts w:hint="eastAsia"/>
        </w:rPr>
        <w:t>年分别经</w:t>
      </w:r>
      <w:r w:rsidRPr="009F751C">
        <w:t>2003</w:t>
      </w:r>
      <w:r w:rsidRPr="009F751C">
        <w:rPr>
          <w:rFonts w:hint="eastAsia"/>
        </w:rPr>
        <w:t>年第</w:t>
      </w:r>
      <w:r w:rsidRPr="009F751C">
        <w:t>8</w:t>
      </w:r>
      <w:r w:rsidRPr="009F751C">
        <w:rPr>
          <w:rFonts w:hint="eastAsia"/>
        </w:rPr>
        <w:t>号法案和</w:t>
      </w:r>
      <w:r w:rsidRPr="009F751C">
        <w:t>2008</w:t>
      </w:r>
      <w:r w:rsidRPr="009F751C">
        <w:rPr>
          <w:rFonts w:hint="eastAsia"/>
        </w:rPr>
        <w:t>年第</w:t>
      </w:r>
      <w:r w:rsidRPr="009F751C">
        <w:t>14</w:t>
      </w:r>
      <w:r w:rsidRPr="009F751C">
        <w:rPr>
          <w:rFonts w:hint="eastAsia"/>
        </w:rPr>
        <w:t>号法案修正。</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16"/>
        </w:tabs>
        <w:spacing w:after="120"/>
        <w:ind w:leftChars="747" w:left="1569" w:rightChars="540" w:right="1134"/>
        <w:rPr>
          <w:rFonts w:eastAsia="KaiTi_GB2312"/>
          <w:b/>
        </w:rPr>
      </w:pPr>
      <w:r w:rsidRPr="009F751C">
        <w:rPr>
          <w:rFonts w:eastAsia="KaiTi_GB2312"/>
          <w:b/>
        </w:rPr>
        <w:t>•</w:t>
      </w:r>
      <w:r w:rsidRPr="009F751C">
        <w:rPr>
          <w:rFonts w:eastAsia="KaiTi_GB2312"/>
          <w:b/>
        </w:rPr>
        <w:tab/>
        <w:t>2000</w:t>
      </w:r>
      <w:r w:rsidRPr="009F751C">
        <w:rPr>
          <w:rFonts w:eastAsia="KaiTi_GB2312" w:hint="eastAsia"/>
          <w:b/>
        </w:rPr>
        <w:t>年《儿童收养法案》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973" w:left="2043" w:rightChars="540" w:right="1134"/>
      </w:pPr>
      <w:r w:rsidRPr="009F751C">
        <w:rPr>
          <w:rFonts w:hint="eastAsia"/>
        </w:rPr>
        <w:t>该法案规范了收养儿童的程序，包括成立一个收养委员会。除其他外，委员会负责受理来自父母、监护人、儿童主管机构和准收养人关于收养儿童的申请；进行调查供法院审议；与儿童主管机构合作，并在收养方面提供协助；向法院提供建议；以及，听取儿童的意见。</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16"/>
        </w:tabs>
        <w:spacing w:after="120"/>
        <w:ind w:leftChars="747" w:left="1569" w:rightChars="540" w:right="1134"/>
        <w:rPr>
          <w:rFonts w:eastAsia="KaiTi_GB2312"/>
          <w:b/>
        </w:rPr>
      </w:pPr>
      <w:r w:rsidRPr="009F751C">
        <w:rPr>
          <w:rFonts w:eastAsia="KaiTi_GB2312"/>
          <w:b/>
        </w:rPr>
        <w:t>•</w:t>
      </w:r>
      <w:r w:rsidRPr="009F751C">
        <w:rPr>
          <w:rFonts w:eastAsia="KaiTi_GB2312"/>
          <w:b/>
        </w:rPr>
        <w:tab/>
        <w:t>2000</w:t>
      </w:r>
      <w:r w:rsidRPr="009F751C">
        <w:rPr>
          <w:rFonts w:eastAsia="KaiTi_GB2312" w:hint="eastAsia"/>
          <w:b/>
        </w:rPr>
        <w:t>年《儿童社区居所、寄养家庭及托儿所法案》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973" w:left="2043" w:rightChars="540" w:right="1134"/>
      </w:pPr>
      <w:r w:rsidRPr="009F751C">
        <w:rPr>
          <w:rFonts w:hint="eastAsia"/>
        </w:rPr>
        <w:t>该法案对特立尼达和多巴哥社区居所、寄养家庭和托儿所的监测许可证发放及管理做出了规定。根据该法案，没有儿童主管机构发放许可证，任何人不得管理社区居所。此外，该法案还制定了由儿童主管机构管理的寄养制度。</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16"/>
        </w:tabs>
        <w:spacing w:after="120"/>
        <w:ind w:leftChars="747" w:left="1569" w:rightChars="540" w:right="1134"/>
        <w:rPr>
          <w:rFonts w:eastAsia="KaiTi_GB2312"/>
          <w:b/>
        </w:rPr>
      </w:pPr>
      <w:r w:rsidRPr="009F751C">
        <w:rPr>
          <w:rFonts w:eastAsia="KaiTi_GB2312"/>
          <w:b/>
        </w:rPr>
        <w:t>•</w:t>
      </w:r>
      <w:r w:rsidRPr="009F751C">
        <w:rPr>
          <w:rFonts w:eastAsia="KaiTi_GB2312"/>
          <w:b/>
        </w:rPr>
        <w:tab/>
        <w:t>2008</w:t>
      </w:r>
      <w:r w:rsidRPr="009F751C">
        <w:rPr>
          <w:rFonts w:eastAsia="KaiTi_GB2312" w:hint="eastAsia"/>
          <w:b/>
        </w:rPr>
        <w:t>年《国际儿童拐骗事件法案》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973" w:left="2043" w:rightChars="540" w:right="1134"/>
      </w:pPr>
      <w:r w:rsidRPr="009F751C">
        <w:rPr>
          <w:rFonts w:hint="eastAsia"/>
        </w:rPr>
        <w:t>该法案于</w:t>
      </w:r>
      <w:r w:rsidRPr="009F751C">
        <w:t>2008</w:t>
      </w:r>
      <w:r w:rsidRPr="009F751C">
        <w:rPr>
          <w:rFonts w:hint="eastAsia"/>
        </w:rPr>
        <w:t>年</w:t>
      </w:r>
      <w:r w:rsidRPr="009F751C">
        <w:t>10</w:t>
      </w:r>
      <w:r w:rsidRPr="009F751C">
        <w:rPr>
          <w:rFonts w:hint="eastAsia"/>
        </w:rPr>
        <w:t>月</w:t>
      </w:r>
      <w:r w:rsidRPr="009F751C">
        <w:t>15</w:t>
      </w:r>
      <w:r w:rsidRPr="009F751C">
        <w:rPr>
          <w:rFonts w:hint="eastAsia"/>
        </w:rPr>
        <w:t>日颁布并正式生效，规定《国际儿童拐骗事件的民事问题海牙公约》适用于特立尼达和多巴哥。《公约》条款附在该法案的附件中，旨在确保被非法转移到或留在任何缔约国的儿童能够立即返回，并确保缔约国法律规定的监护权在另一个缔约国得到有效尊重。该法案设立了名为“民事儿童拐骗管理局”的中央主管机构，履行《公约》规定的职责。民事儿童拐骗管理局还根据总检察长的授权行事。</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16"/>
        </w:tabs>
        <w:spacing w:after="120"/>
        <w:ind w:leftChars="747" w:left="1569" w:rightChars="540" w:right="1134"/>
        <w:rPr>
          <w:rFonts w:eastAsia="KaiTi_GB2312"/>
          <w:b/>
        </w:rPr>
      </w:pPr>
      <w:r w:rsidRPr="009F751C">
        <w:rPr>
          <w:rFonts w:eastAsia="KaiTi_GB2312"/>
          <w:b/>
        </w:rPr>
        <w:t>•</w:t>
      </w:r>
      <w:r w:rsidRPr="009F751C">
        <w:rPr>
          <w:rFonts w:eastAsia="KaiTi_GB2312"/>
          <w:b/>
        </w:rPr>
        <w:tab/>
        <w:t>2010</w:t>
      </w:r>
      <w:r w:rsidRPr="009F751C">
        <w:rPr>
          <w:rFonts w:eastAsia="KaiTi_GB2312" w:hint="eastAsia"/>
          <w:b/>
        </w:rPr>
        <w:t>年《儿童人寿基金法案》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973" w:left="2043" w:rightChars="540" w:right="1134"/>
      </w:pPr>
      <w:r w:rsidRPr="009F751C">
        <w:t>2010</w:t>
      </w:r>
      <w:r w:rsidRPr="009F751C">
        <w:rPr>
          <w:rFonts w:hint="eastAsia"/>
        </w:rPr>
        <w:t>年，总理试行了《儿童人寿基金法案》。该法案设立了儿童人寿基金主管机构，为需要挽救生命和获得高级医疗保健服务的儿童提供资助和重要支持。</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16"/>
        </w:tabs>
        <w:spacing w:after="120"/>
        <w:ind w:leftChars="747" w:left="1569" w:rightChars="540" w:right="1134"/>
        <w:rPr>
          <w:rFonts w:eastAsia="KaiTi_GB2312"/>
          <w:b/>
        </w:rPr>
      </w:pPr>
      <w:r w:rsidRPr="009F751C">
        <w:rPr>
          <w:rFonts w:eastAsia="KaiTi_GB2312"/>
          <w:b/>
        </w:rPr>
        <w:t>•</w:t>
      </w:r>
      <w:r w:rsidRPr="009F751C">
        <w:rPr>
          <w:rFonts w:eastAsia="KaiTi_GB2312"/>
          <w:b/>
        </w:rPr>
        <w:tab/>
        <w:t>2007</w:t>
      </w:r>
      <w:r w:rsidRPr="009F751C">
        <w:rPr>
          <w:rFonts w:eastAsia="KaiTi_GB2312" w:hint="eastAsia"/>
          <w:b/>
        </w:rPr>
        <w:t>年《杂项规定法案（准予就业最低年龄）》</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973" w:left="2043" w:rightChars="540" w:right="1134"/>
      </w:pPr>
      <w:r w:rsidRPr="009F751C">
        <w:rPr>
          <w:rFonts w:hint="eastAsia"/>
        </w:rPr>
        <w:t>该法案旨在使国际劳工组织（劳工组织）</w:t>
      </w:r>
      <w:r>
        <w:rPr>
          <w:rFonts w:hint="eastAsia"/>
        </w:rPr>
        <w:t>《</w:t>
      </w:r>
      <w:r w:rsidRPr="009F751C">
        <w:rPr>
          <w:rFonts w:hint="eastAsia"/>
        </w:rPr>
        <w:t>关于准予就业最低年龄的第</w:t>
      </w:r>
      <w:r w:rsidRPr="009F751C">
        <w:t>138</w:t>
      </w:r>
      <w:r w:rsidRPr="009F751C">
        <w:rPr>
          <w:rFonts w:hint="eastAsia"/>
        </w:rPr>
        <w:t>号公约</w:t>
      </w:r>
      <w:r>
        <w:rPr>
          <w:rFonts w:hint="eastAsia"/>
        </w:rPr>
        <w:t>》</w:t>
      </w:r>
      <w:r w:rsidRPr="009F751C">
        <w:rPr>
          <w:rFonts w:hint="eastAsia"/>
        </w:rPr>
        <w:t>生效，规定准予就业最低年龄为</w:t>
      </w:r>
      <w:r w:rsidRPr="009F751C">
        <w:t>16</w:t>
      </w:r>
      <w:r w:rsidRPr="009F751C">
        <w:rPr>
          <w:rFonts w:hint="eastAsia"/>
        </w:rPr>
        <w:t>岁。此外，法案在儿童就业方面修正了</w:t>
      </w:r>
      <w:r w:rsidRPr="00E85E90">
        <w:rPr>
          <w:b/>
        </w:rPr>
        <w:t>1925</w:t>
      </w:r>
      <w:r w:rsidRPr="00E85E90">
        <w:rPr>
          <w:rFonts w:ascii="KaiTi_GB2312" w:eastAsia="KaiTi_GB2312" w:hint="eastAsia"/>
          <w:b/>
        </w:rPr>
        <w:t>年《儿童法案》</w:t>
      </w:r>
      <w:r w:rsidRPr="009F751C">
        <w:rPr>
          <w:rFonts w:hint="eastAsia"/>
        </w:rPr>
        <w:t>，并规定了雇主对十八岁以下人员进行管理的规则。</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16"/>
        </w:tabs>
        <w:spacing w:after="120"/>
        <w:ind w:leftChars="747" w:left="1569" w:rightChars="540" w:right="1134"/>
        <w:rPr>
          <w:rFonts w:eastAsia="KaiTi_GB2312"/>
          <w:b/>
        </w:rPr>
      </w:pPr>
      <w:r w:rsidRPr="009F751C">
        <w:rPr>
          <w:rFonts w:eastAsia="KaiTi_GB2312"/>
          <w:b/>
        </w:rPr>
        <w:t>•</w:t>
      </w:r>
      <w:r w:rsidRPr="009F751C">
        <w:rPr>
          <w:rFonts w:eastAsia="KaiTi_GB2312"/>
          <w:b/>
        </w:rPr>
        <w:tab/>
        <w:t>2004</w:t>
      </w:r>
      <w:r w:rsidRPr="009F751C">
        <w:rPr>
          <w:rFonts w:eastAsia="KaiTi_GB2312" w:hint="eastAsia"/>
          <w:b/>
        </w:rPr>
        <w:t>年《家事诉讼法案》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973" w:left="2043" w:rightChars="540" w:right="1134"/>
      </w:pPr>
      <w:r w:rsidRPr="009F751C">
        <w:rPr>
          <w:rFonts w:hint="eastAsia"/>
        </w:rPr>
        <w:t>该法案规定了有案可查的上级法院或下级法院引起的家事诉讼程序，对缓刑执行官以及家庭事务调解员的服务做出了规定。</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16"/>
        </w:tabs>
        <w:spacing w:after="120"/>
        <w:ind w:leftChars="747" w:left="1569" w:rightChars="540" w:right="1134"/>
        <w:rPr>
          <w:rFonts w:eastAsia="KaiTi_GB2312"/>
          <w:b/>
        </w:rPr>
      </w:pPr>
      <w:r w:rsidRPr="009F751C">
        <w:rPr>
          <w:rFonts w:eastAsia="KaiTi_GB2312"/>
          <w:b/>
        </w:rPr>
        <w:t>•</w:t>
      </w:r>
      <w:r w:rsidRPr="009F751C">
        <w:rPr>
          <w:rFonts w:eastAsia="KaiTi_GB2312"/>
          <w:b/>
        </w:rPr>
        <w:tab/>
        <w:t>2012</w:t>
      </w:r>
      <w:r w:rsidRPr="009F751C">
        <w:rPr>
          <w:rFonts w:eastAsia="KaiTi_GB2312" w:hint="eastAsia"/>
          <w:b/>
        </w:rPr>
        <w:t>年《儿童法案》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Chars="973" w:left="2043" w:rightChars="540" w:right="1134"/>
      </w:pPr>
      <w:r w:rsidRPr="009F751C">
        <w:rPr>
          <w:rFonts w:hint="eastAsia"/>
        </w:rPr>
        <w:t>该法案就针对儿童的刑事犯罪和儿童犯罪者做出了规定，以此撤销和代替</w:t>
      </w:r>
      <w:r w:rsidRPr="009F751C">
        <w:rPr>
          <w:rFonts w:eastAsia="KaiTi_GB2312"/>
          <w:b/>
        </w:rPr>
        <w:t>1925</w:t>
      </w:r>
      <w:r w:rsidRPr="009F751C">
        <w:rPr>
          <w:rFonts w:eastAsia="KaiTi_GB2312" w:hint="eastAsia"/>
          <w:b/>
        </w:rPr>
        <w:t>年《儿童法案》</w:t>
      </w:r>
      <w:r w:rsidRPr="009F751C">
        <w:rPr>
          <w:rFonts w:hint="eastAsia"/>
        </w:rPr>
        <w:t>。新法案加强了儿童保护制度，并对旧法案未包括的、针对儿童的犯罪做出了规定。除其他外，新的罪行包括与枪支相关的犯罪；切割女性生殖器官；通过卖淫虐待儿童；普通性犯罪；危险药品、烟草和酒精以及与儿童色情相关的犯罪。</w:t>
      </w:r>
    </w:p>
    <w:p w:rsidR="00D977B9" w:rsidRPr="009F751C" w:rsidRDefault="00D977B9" w:rsidP="00D977B9">
      <w:pPr>
        <w:pStyle w:val="SingleTxt"/>
        <w:tabs>
          <w:tab w:val="clear" w:pos="1695"/>
          <w:tab w:val="left" w:pos="1568"/>
        </w:tabs>
        <w:spacing w:after="120"/>
        <w:ind w:left="1134" w:right="1134"/>
      </w:pPr>
      <w:r w:rsidRPr="009F751C">
        <w:t>77.</w:t>
      </w:r>
      <w:r w:rsidRPr="009F751C">
        <w:tab/>
      </w:r>
      <w:r w:rsidRPr="009F751C">
        <w:rPr>
          <w:rFonts w:hint="eastAsia"/>
        </w:rPr>
        <w:t>特立尼达和多巴哥是《儿童权利公约》的缔约国。内阁指定委员会负责执行该《公约》的各项条款。在这方面，为实施《儿童权利公约》，成立了国家处境困难儿童行动计划委员会。这个多部门委员会负责制定国家儿童战略计划。为加强公众对于儿童权利的认识，已经通过了两份战略，包括广泛的公众教育方案和国际儿童节年度庆祝活动。</w:t>
      </w:r>
    </w:p>
    <w:p w:rsidR="00D977B9" w:rsidRPr="009F751C" w:rsidRDefault="00D977B9" w:rsidP="00D977B9">
      <w:pPr>
        <w:pStyle w:val="SingleTxt"/>
        <w:tabs>
          <w:tab w:val="clear" w:pos="1695"/>
          <w:tab w:val="left" w:pos="1568"/>
        </w:tabs>
        <w:spacing w:after="120"/>
        <w:ind w:left="1134" w:right="1134"/>
      </w:pPr>
      <w:r w:rsidRPr="009F751C">
        <w:t>78.</w:t>
      </w:r>
      <w:r w:rsidRPr="009F751C">
        <w:tab/>
      </w:r>
      <w:r w:rsidRPr="009F751C">
        <w:rPr>
          <w:rFonts w:hint="eastAsia"/>
        </w:rPr>
        <w:t>由内阁指定的委员会制定了</w:t>
      </w:r>
      <w:r w:rsidRPr="009F751C">
        <w:t>2012</w:t>
      </w:r>
      <w:r w:rsidRPr="009F751C">
        <w:rPr>
          <w:rFonts w:hint="eastAsia"/>
        </w:rPr>
        <w:t>至</w:t>
      </w:r>
      <w:r w:rsidRPr="009F751C">
        <w:t>2017</w:t>
      </w:r>
      <w:r w:rsidRPr="009F751C">
        <w:rPr>
          <w:rFonts w:hint="eastAsia"/>
        </w:rPr>
        <w:t>年间新的</w:t>
      </w:r>
      <w:r>
        <w:rPr>
          <w:rFonts w:hint="eastAsia"/>
        </w:rPr>
        <w:t>《</w:t>
      </w:r>
      <w:r w:rsidRPr="009F751C">
        <w:rPr>
          <w:rFonts w:hint="eastAsia"/>
        </w:rPr>
        <w:t>国家青年政策</w:t>
      </w:r>
      <w:r>
        <w:rPr>
          <w:rFonts w:hint="eastAsia"/>
        </w:rPr>
        <w:t>》</w:t>
      </w:r>
      <w:r w:rsidRPr="009F751C">
        <w:rPr>
          <w:rFonts w:hint="eastAsia"/>
        </w:rPr>
        <w:t>，内阁于</w:t>
      </w:r>
      <w:r w:rsidRPr="009F751C">
        <w:t>2012</w:t>
      </w:r>
      <w:r w:rsidRPr="009F751C">
        <w:rPr>
          <w:rFonts w:hint="eastAsia"/>
        </w:rPr>
        <w:t>年</w:t>
      </w:r>
      <w:r w:rsidRPr="009F751C">
        <w:t>11</w:t>
      </w:r>
      <w:r w:rsidRPr="009F751C">
        <w:rPr>
          <w:rFonts w:hint="eastAsia"/>
        </w:rPr>
        <w:t>月予以批准，并指定由性别、青年和儿童发展部负责发展和增强</w:t>
      </w:r>
      <w:r w:rsidRPr="009F751C">
        <w:t>12</w:t>
      </w:r>
      <w:r w:rsidRPr="009F751C">
        <w:rPr>
          <w:rFonts w:hint="eastAsia"/>
        </w:rPr>
        <w:t>至</w:t>
      </w:r>
      <w:r w:rsidRPr="009F751C">
        <w:t>29</w:t>
      </w:r>
      <w:r w:rsidRPr="009F751C">
        <w:rPr>
          <w:rFonts w:hint="eastAsia"/>
        </w:rPr>
        <w:t>岁年轻人的权能，以便其做出明智的生活选择。政策的总体目标包括：让年轻人能够领导、启动和参与促进自身发展和社区发展的行动；确保年轻人能够获得充足的资源；确保所有利益攸关方在青年相关方案的实施过程中能够协调响应；以及，提高公民素质和年轻人的自豪感。此外，该部的青年事务司与其他机构（包括卫生部、特立尼达和多巴哥计划生育协会、安全生育倡导者组织、基督教男青年会（青年会）以及红十字会）合作，为校外青年提供性教育和生活技能教育。目标群体和倡议包括青年群体、学校教育宣传车和同伴教育方案。该司的流动性提高认识方案“青年健康宣传车”对社区进行访问，主要针对青年群体并延伸到他们的家庭。利用各种各样的方法来分享信息，包括文化和表演艺术及戏剧。年轻人能够获得艾滋病毒</w:t>
      </w:r>
      <w:r w:rsidRPr="009F751C">
        <w:t>/</w:t>
      </w:r>
      <w:r w:rsidRPr="009F751C">
        <w:rPr>
          <w:rFonts w:hint="eastAsia"/>
        </w:rPr>
        <w:t>艾滋病、眼睛和血压检测，并观看关于性传播感染相关信息和其他健康相关问题的展览。</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3E73E0" w:rsidP="00D977B9">
      <w:pPr>
        <w:pStyle w:val="H23"/>
        <w:tabs>
          <w:tab w:val="left" w:pos="1568"/>
        </w:tabs>
        <w:ind w:left="1134" w:right="1134"/>
        <w:rPr>
          <w:rFonts w:ascii="Times New Roman"/>
        </w:rPr>
      </w:pPr>
      <w:r>
        <w:rPr>
          <w:rFonts w:ascii="Times New Roman"/>
        </w:rPr>
        <w:br w:type="page"/>
      </w:r>
      <w:r w:rsidR="00D977B9" w:rsidRPr="009F751C">
        <w:rPr>
          <w:rFonts w:ascii="Times New Roman" w:hint="eastAsia"/>
        </w:rPr>
        <w:t>建议</w:t>
      </w:r>
      <w:r w:rsidR="00D977B9" w:rsidRPr="009F751C">
        <w:rPr>
          <w:rFonts w:ascii="Times New Roman"/>
        </w:rPr>
        <w:t>11</w:t>
      </w:r>
      <w:r w:rsidR="00D977B9" w:rsidRPr="009F751C">
        <w:rPr>
          <w:rFonts w:ascii="Times New Roman" w:hint="eastAsia"/>
        </w:rPr>
        <w:t>：针对男性和妇女的计划生育方案</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11.</w:t>
      </w:r>
      <w:r w:rsidRPr="009F751C">
        <w:rPr>
          <w:rFonts w:eastAsia="SimHei"/>
        </w:rPr>
        <w:tab/>
      </w:r>
      <w:r w:rsidRPr="009F751C">
        <w:rPr>
          <w:rFonts w:eastAsia="SimHei" w:hint="eastAsia"/>
        </w:rPr>
        <w:t>委员会关切的是，计划生育方案似乎只针对妇女，不太强调男性在这方面的责任。</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委员会建议采取一些方案鼓励男子参与承担计划生育责任。</w:t>
      </w:r>
    </w:p>
    <w:p w:rsidR="00D977B9" w:rsidRPr="009F751C" w:rsidRDefault="00D977B9" w:rsidP="00D977B9">
      <w:pPr>
        <w:pStyle w:val="SingleTxt"/>
        <w:tabs>
          <w:tab w:val="clear" w:pos="1695"/>
          <w:tab w:val="left" w:pos="1568"/>
        </w:tabs>
        <w:spacing w:after="120"/>
        <w:ind w:left="1134" w:right="1134"/>
      </w:pPr>
      <w:r w:rsidRPr="009F751C">
        <w:t>79.</w:t>
      </w:r>
      <w:r w:rsidRPr="009F751C">
        <w:tab/>
      </w:r>
      <w:r w:rsidRPr="009F751C">
        <w:rPr>
          <w:rFonts w:hint="eastAsia"/>
        </w:rPr>
        <w:t>在审查期间，重点加大关注男性在计划生育中的作用、分担家庭责任以及实现更高水平的性别平等。</w:t>
      </w:r>
      <w:r w:rsidRPr="009F751C">
        <w:t>2010</w:t>
      </w:r>
      <w:r w:rsidRPr="009F751C">
        <w:rPr>
          <w:rFonts w:hint="eastAsia"/>
        </w:rPr>
        <w:t>至</w:t>
      </w:r>
      <w:r w:rsidRPr="009F751C">
        <w:t>2011</w:t>
      </w:r>
      <w:r w:rsidRPr="009F751C">
        <w:rPr>
          <w:rFonts w:hint="eastAsia"/>
        </w:rPr>
        <w:t>年，性别、青年和儿童发展部性别事务司开始与人口基金合作，提高男性和男童对他们在性健康和生殖健康问题上的责任的认识。通过这项倡议，制作了海报和六（</w:t>
      </w:r>
      <w:r w:rsidRPr="009F751C">
        <w:t>6</w:t>
      </w:r>
      <w:r w:rsidRPr="009F751C">
        <w:rPr>
          <w:rFonts w:hint="eastAsia"/>
        </w:rPr>
        <w:t>）本宣传册（关于性传播感染、避孕用具、避孕套、妊娠、新生儿护理和不育症），并通过展览、男性健康宣传车以及国家安全部主办的父亲节活动分发这些材料。</w:t>
      </w:r>
    </w:p>
    <w:p w:rsidR="00D977B9" w:rsidRPr="009F751C" w:rsidRDefault="00D977B9" w:rsidP="00D977B9">
      <w:pPr>
        <w:pStyle w:val="SingleTxt"/>
        <w:tabs>
          <w:tab w:val="clear" w:pos="1695"/>
          <w:tab w:val="left" w:pos="1568"/>
        </w:tabs>
        <w:spacing w:after="120"/>
        <w:ind w:left="1134" w:right="1134"/>
      </w:pPr>
      <w:r w:rsidRPr="009F751C">
        <w:t>80.</w:t>
      </w:r>
      <w:r w:rsidRPr="009F751C">
        <w:tab/>
      </w:r>
      <w:r w:rsidRPr="009F751C">
        <w:rPr>
          <w:rFonts w:hint="eastAsia"/>
        </w:rPr>
        <w:t>性别事务司还实施了“</w:t>
      </w:r>
      <w:r w:rsidRPr="009F751C">
        <w:rPr>
          <w:rFonts w:eastAsia="SimHei" w:hint="eastAsia"/>
        </w:rPr>
        <w:t>定义男子气概卓越方案”</w:t>
      </w:r>
      <w:r w:rsidRPr="009F751C">
        <w:rPr>
          <w:rFonts w:hint="eastAsia"/>
        </w:rPr>
        <w:t>，</w:t>
      </w:r>
      <w:r w:rsidRPr="00D977B9">
        <w:rPr>
          <w:rStyle w:val="FootnoteReference"/>
        </w:rPr>
        <w:footnoteReference w:id="23"/>
      </w:r>
      <w:r w:rsidRPr="009F751C">
        <w:rPr>
          <w:rFonts w:hint="eastAsia"/>
        </w:rPr>
        <w:t>重点关注帮助男性认识和应对生活中的性别角色不断变化带来的挑战，并让他们掌握在家庭和其他关系中获得成功的战略，从而增进男女之间的性别公平。当时的社区发展、文化和性别事务部与两名过去的参与者签订了合同，以实施面向男性和男童的可持续方案。数名在该方案中获得培训的男性目前在支持性别事务司面向其他男性和男童开展工作。</w:t>
      </w:r>
    </w:p>
    <w:p w:rsidR="00D977B9" w:rsidRPr="009F751C" w:rsidRDefault="00D977B9" w:rsidP="00D977B9">
      <w:pPr>
        <w:pStyle w:val="SingleTxt"/>
        <w:tabs>
          <w:tab w:val="clear" w:pos="1695"/>
          <w:tab w:val="left" w:pos="1568"/>
        </w:tabs>
        <w:spacing w:after="120"/>
        <w:ind w:left="1134" w:right="1134"/>
      </w:pPr>
      <w:r w:rsidRPr="009F751C">
        <w:t>81.</w:t>
      </w:r>
      <w:r w:rsidRPr="009F751C">
        <w:tab/>
        <w:t>2003</w:t>
      </w:r>
      <w:r w:rsidRPr="009F751C">
        <w:rPr>
          <w:rFonts w:hint="eastAsia"/>
        </w:rPr>
        <w:t>年，性别事务司试行“</w:t>
      </w:r>
      <w:r w:rsidRPr="009F751C">
        <w:rPr>
          <w:rFonts w:eastAsia="SimHei" w:hint="eastAsia"/>
        </w:rPr>
        <w:t>男性和男童食品准备和居家管理”</w:t>
      </w:r>
      <w:r w:rsidRPr="009F751C">
        <w:rPr>
          <w:rFonts w:hint="eastAsia"/>
        </w:rPr>
        <w:t>方案，目前正在特立尼达各个社区中心实施。该方案旨在解决分担家庭责任的问题，为男性和男童提供生活技能，除其他外，包括食品准备、居家管理、财务管理、居家园艺以及男性健康。</w:t>
      </w:r>
      <w:r w:rsidRPr="009F751C">
        <w:t>2 000</w:t>
      </w:r>
      <w:r w:rsidRPr="009F751C">
        <w:rPr>
          <w:rFonts w:hint="eastAsia"/>
        </w:rPr>
        <w:t>多名男性和男童完成了该方案，该方案是在无威胁、全男性环境下实施的。参与者从其他男性的支持中受益，促进了分担家庭责任，包括在食品准备领域。</w:t>
      </w:r>
    </w:p>
    <w:p w:rsidR="00D977B9" w:rsidRPr="009F751C" w:rsidRDefault="00D977B9" w:rsidP="00D977B9">
      <w:pPr>
        <w:pStyle w:val="SingleTxt"/>
        <w:tabs>
          <w:tab w:val="clear" w:pos="1695"/>
          <w:tab w:val="left" w:pos="1568"/>
        </w:tabs>
        <w:spacing w:after="120"/>
        <w:ind w:left="1134" w:right="1134"/>
      </w:pPr>
      <w:r w:rsidRPr="009F751C">
        <w:t>82.</w:t>
      </w:r>
      <w:r w:rsidRPr="009F751C">
        <w:tab/>
      </w:r>
      <w:r w:rsidRPr="009F751C">
        <w:rPr>
          <w:rFonts w:hint="eastAsia"/>
        </w:rPr>
        <w:t>为努力减少危险行为的发生率，增加使用避孕用具的责任意识，设立了“</w:t>
      </w:r>
      <w:r w:rsidRPr="009F751C">
        <w:rPr>
          <w:rFonts w:eastAsia="SimHei" w:hint="eastAsia"/>
        </w:rPr>
        <w:t>男性健康宣传车”</w:t>
      </w:r>
      <w:r w:rsidRPr="009F751C">
        <w:rPr>
          <w:rFonts w:hint="eastAsia"/>
        </w:rPr>
        <w:t>，为男性提供健康信息和基础筛查，特别是为农村男性。该方案包括艾滋病毒</w:t>
      </w:r>
      <w:r w:rsidRPr="009F751C">
        <w:t>/</w:t>
      </w:r>
      <w:r w:rsidRPr="009F751C">
        <w:rPr>
          <w:rFonts w:hint="eastAsia"/>
        </w:rPr>
        <w:t>艾滋病、高血压、血糖、胆固醇、前列腺癌检测以及视力普查和免疫。计划生育协会还推出了全男性诊所，增加了类似健康服务的获得途径。</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rPr>
        <w:t>12</w:t>
      </w:r>
      <w:r w:rsidRPr="009F751C">
        <w:rPr>
          <w:rFonts w:ascii="Times New Roman" w:hint="eastAsia"/>
        </w:rPr>
        <w:t>：载列关于农村妇女的数据和资料以及改善农村妇女状况的政策</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12.</w:t>
      </w:r>
      <w:r w:rsidRPr="009F751C">
        <w:rPr>
          <w:rFonts w:eastAsia="SimHei"/>
        </w:rPr>
        <w:tab/>
      </w:r>
      <w:r w:rsidRPr="009F751C">
        <w:rPr>
          <w:rFonts w:eastAsia="SimHei" w:hint="eastAsia"/>
        </w:rPr>
        <w:t>委员会关切的是，没有详细资料说明造福农村妇女的任何公共政策，包括在就业和保健领域的政策。尤其令人关切的是农村地区年老妇女的状况。</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委员会促请缔约国在下次报告中载列更多资料和数据，说明农村妇女特别是农村年老妇女的状况以及旨在赋予妇女经济权力和向她们提供就业和保健服务的任何政策。</w:t>
      </w:r>
    </w:p>
    <w:p w:rsidR="00D977B9" w:rsidRPr="009F751C" w:rsidRDefault="00D977B9" w:rsidP="00D977B9">
      <w:pPr>
        <w:pStyle w:val="SingleTxt"/>
        <w:tabs>
          <w:tab w:val="clear" w:pos="1695"/>
          <w:tab w:val="left" w:pos="1568"/>
        </w:tabs>
        <w:spacing w:after="120"/>
        <w:ind w:left="1134" w:right="1134"/>
      </w:pPr>
      <w:r w:rsidRPr="009F751C">
        <w:t>83.</w:t>
      </w:r>
      <w:r w:rsidRPr="009F751C">
        <w:tab/>
      </w:r>
      <w:r w:rsidRPr="009F751C">
        <w:rPr>
          <w:rFonts w:hint="eastAsia"/>
        </w:rPr>
        <w:t>国家性别和发展政策草案力图将性别平等目标融入旨在加强粮食安全和自然资源利用的战略，作为确保男女福祉、可持续生计和公平获得生产资源的途径。为此，将进行调查，收集国家农业数据并按性别分列，确认在所有权、收入、作物选择、市场营销和农业其他方面的性别差异，促进农业部门的倡议充分认识到性别问题。</w:t>
      </w:r>
    </w:p>
    <w:p w:rsidR="00D977B9" w:rsidRPr="009F751C" w:rsidRDefault="00D977B9" w:rsidP="00D977B9">
      <w:pPr>
        <w:pStyle w:val="SingleTxt"/>
        <w:tabs>
          <w:tab w:val="clear" w:pos="1695"/>
          <w:tab w:val="left" w:pos="1568"/>
          <w:tab w:val="left" w:pos="6360"/>
        </w:tabs>
        <w:spacing w:after="120"/>
        <w:ind w:left="1134" w:right="1134"/>
      </w:pPr>
      <w:r w:rsidRPr="009F751C">
        <w:t>84.</w:t>
      </w:r>
      <w:r w:rsidRPr="009F751C">
        <w:tab/>
      </w:r>
      <w:r w:rsidRPr="009F751C">
        <w:rPr>
          <w:rFonts w:hint="eastAsia"/>
        </w:rPr>
        <w:t>特立尼达和多巴哥的</w:t>
      </w:r>
      <w:r>
        <w:rPr>
          <w:rFonts w:hint="eastAsia"/>
        </w:rPr>
        <w:t>《</w:t>
      </w:r>
      <w:r w:rsidRPr="009F751C">
        <w:rPr>
          <w:rFonts w:hint="eastAsia"/>
        </w:rPr>
        <w:t>国家性别和发展政策草案及行动计划</w:t>
      </w:r>
      <w:r>
        <w:rPr>
          <w:rFonts w:hint="eastAsia"/>
        </w:rPr>
        <w:t>》</w:t>
      </w:r>
      <w:r w:rsidRPr="009F751C">
        <w:rPr>
          <w:rFonts w:hint="eastAsia"/>
        </w:rPr>
        <w:t>是通过广泛的利益攸关方在特立尼达和多巴哥各郡举行的磋商制定的。此外，性别、青年和儿童发展部与总检察长部合作，特别强调农村妇女参与编制关于《消除对妇女歧视公约》的定期报告。</w:t>
      </w:r>
      <w:r w:rsidRPr="009F751C">
        <w:t>2007</w:t>
      </w:r>
      <w:r w:rsidRPr="009F751C">
        <w:rPr>
          <w:rFonts w:hint="eastAsia"/>
        </w:rPr>
        <w:t>年，在九个行政区分别举行了讲习班，吸引农村地区的妇女做出贡献，协助编制报告并确认她们的重点关切领域（见附录四）。</w:t>
      </w:r>
    </w:p>
    <w:p w:rsidR="00D977B9" w:rsidRPr="009F751C" w:rsidRDefault="00D977B9" w:rsidP="00D977B9">
      <w:pPr>
        <w:pStyle w:val="SingleTxt"/>
        <w:tabs>
          <w:tab w:val="clear" w:pos="1695"/>
          <w:tab w:val="left" w:pos="1568"/>
        </w:tabs>
        <w:spacing w:after="120"/>
        <w:ind w:left="1134" w:right="1134"/>
      </w:pPr>
      <w:r w:rsidRPr="009F751C">
        <w:t>85.</w:t>
      </w:r>
      <w:r w:rsidRPr="009F751C">
        <w:tab/>
      </w:r>
      <w:r w:rsidRPr="009F751C">
        <w:rPr>
          <w:rFonts w:hint="eastAsia"/>
        </w:rPr>
        <w:t>针对二十六（</w:t>
      </w:r>
      <w:r w:rsidRPr="009F751C">
        <w:t>26</w:t>
      </w:r>
      <w:r w:rsidRPr="009F751C">
        <w:rPr>
          <w:rFonts w:hint="eastAsia"/>
        </w:rPr>
        <w:t>）至四十五（</w:t>
      </w:r>
      <w:r w:rsidRPr="009F751C">
        <w:t>45</w:t>
      </w:r>
      <w:r w:rsidRPr="009F751C">
        <w:rPr>
          <w:rFonts w:hint="eastAsia"/>
        </w:rPr>
        <w:t>）岁妇女的“</w:t>
      </w:r>
      <w:r w:rsidRPr="009F751C">
        <w:rPr>
          <w:rFonts w:eastAsia="SimHei" w:hint="eastAsia"/>
        </w:rPr>
        <w:t>妇女和谐农业</w:t>
      </w:r>
      <w:r w:rsidRPr="009F751C">
        <w:rPr>
          <w:rFonts w:eastAsia="SimHei"/>
        </w:rPr>
        <w:t>/</w:t>
      </w:r>
      <w:r w:rsidRPr="009F751C">
        <w:rPr>
          <w:rFonts w:eastAsia="SimHei" w:hint="eastAsia"/>
        </w:rPr>
        <w:t>景观美化方案”</w:t>
      </w:r>
      <w:r w:rsidRPr="00D977B9">
        <w:rPr>
          <w:rStyle w:val="FootnoteReference"/>
        </w:rPr>
        <w:footnoteReference w:id="24"/>
      </w:r>
      <w:r w:rsidRPr="009F751C">
        <w:rPr>
          <w:rFonts w:hint="eastAsia"/>
        </w:rPr>
        <w:t>进行为期十二周的各种农业和景观美化技巧培训，协助为妇女提供可持续的自力更生技能。培养创业精神同样是该方案的关键模块，并向那些表现出自主创业潜力的妇女提供创业工具箱和其他形式的技术及财政协助。</w:t>
      </w:r>
    </w:p>
    <w:p w:rsidR="00D977B9" w:rsidRPr="009F751C" w:rsidRDefault="00D977B9" w:rsidP="00D977B9">
      <w:pPr>
        <w:pStyle w:val="SingleTxt"/>
        <w:tabs>
          <w:tab w:val="clear" w:pos="1695"/>
          <w:tab w:val="left" w:pos="1568"/>
        </w:tabs>
        <w:spacing w:after="120"/>
        <w:ind w:left="1134" w:right="1134"/>
      </w:pPr>
      <w:r w:rsidRPr="009F751C">
        <w:t>86.</w:t>
      </w:r>
      <w:r w:rsidRPr="009F751C">
        <w:tab/>
      </w:r>
      <w:r w:rsidRPr="009F751C">
        <w:rPr>
          <w:rFonts w:hint="eastAsia"/>
        </w:rPr>
        <w:t>“</w:t>
      </w:r>
      <w:r w:rsidRPr="009F751C">
        <w:rPr>
          <w:rFonts w:eastAsia="SimHei" w:hint="eastAsia"/>
        </w:rPr>
        <w:t>特立尼达和多巴哥农村妇女生产者网络”</w:t>
      </w:r>
      <w:r w:rsidRPr="009F751C">
        <w:rPr>
          <w:rFonts w:hint="eastAsia"/>
        </w:rPr>
        <w:t>是加勒比农村妇女生产者网络在特立尼达和多巴哥的分会。特立尼达和多巴哥农村妇女生产者网络已经成立</w:t>
      </w:r>
      <w:r w:rsidRPr="009F751C">
        <w:t>12</w:t>
      </w:r>
      <w:r w:rsidRPr="009F751C">
        <w:rPr>
          <w:rFonts w:hint="eastAsia"/>
        </w:rPr>
        <w:t>年。该网络的主要目标是为农村妇女提供微型企业项目贷款途径；促进政府制定对农村妇女生产者的特殊需求有敏感认识和予以支助的政策；促进消除土地所有权方面的性别偏见；以及，确保妇女享有与男性相同的拥有财产的机会。该网络还寻求为农村妇女生产者提供市场营销支持，并提供培训、研究、技术支持和外联服务。特立尼达和多巴哥农村妇女生产者网络最近举行了第</w:t>
      </w:r>
      <w:r w:rsidRPr="009F751C">
        <w:t>6</w:t>
      </w:r>
      <w:r w:rsidRPr="009F751C">
        <w:rPr>
          <w:rFonts w:hint="eastAsia"/>
        </w:rPr>
        <w:t>届年度芒果节，该网络每年从食品生产部获得补助。</w:t>
      </w:r>
    </w:p>
    <w:p w:rsidR="00D977B9" w:rsidRPr="009F751C" w:rsidRDefault="00D977B9" w:rsidP="00D977B9">
      <w:pPr>
        <w:pStyle w:val="SingleTxt"/>
        <w:tabs>
          <w:tab w:val="clear" w:pos="1695"/>
          <w:tab w:val="left" w:pos="1568"/>
        </w:tabs>
        <w:spacing w:after="120"/>
        <w:ind w:left="1134" w:right="1134"/>
      </w:pPr>
      <w:r w:rsidRPr="009F751C">
        <w:t>87.</w:t>
      </w:r>
      <w:r w:rsidRPr="009F751C">
        <w:tab/>
      </w:r>
      <w:r w:rsidRPr="009F751C">
        <w:rPr>
          <w:rFonts w:hint="eastAsia"/>
        </w:rPr>
        <w:t>政府的艾滋病毒</w:t>
      </w:r>
      <w:r w:rsidRPr="009F751C">
        <w:t>/</w:t>
      </w:r>
      <w:r w:rsidRPr="009F751C">
        <w:rPr>
          <w:rFonts w:hint="eastAsia"/>
        </w:rPr>
        <w:t>艾滋病教育和提高认识战略包括</w:t>
      </w:r>
      <w:r w:rsidRPr="009F751C">
        <w:t>18</w:t>
      </w:r>
      <w:r w:rsidRPr="009F751C">
        <w:rPr>
          <w:rFonts w:hint="eastAsia"/>
        </w:rPr>
        <w:t>至</w:t>
      </w:r>
      <w:r w:rsidRPr="009F751C">
        <w:t>45</w:t>
      </w:r>
      <w:r w:rsidRPr="009F751C">
        <w:rPr>
          <w:rFonts w:hint="eastAsia"/>
        </w:rPr>
        <w:t>岁愿意获得并分享艾滋病毒</w:t>
      </w:r>
      <w:r w:rsidRPr="009F751C">
        <w:t>/</w:t>
      </w:r>
      <w:r w:rsidRPr="009F751C">
        <w:rPr>
          <w:rFonts w:hint="eastAsia"/>
        </w:rPr>
        <w:t>艾滋病信息的“</w:t>
      </w:r>
      <w:r w:rsidRPr="009F751C">
        <w:rPr>
          <w:rFonts w:eastAsia="SimHei" w:hint="eastAsia"/>
        </w:rPr>
        <w:t>农村妇女艾滋病毒</w:t>
      </w:r>
      <w:r w:rsidRPr="009F751C">
        <w:rPr>
          <w:rFonts w:eastAsia="SimHei"/>
        </w:rPr>
        <w:t>/</w:t>
      </w:r>
      <w:r w:rsidRPr="009F751C">
        <w:rPr>
          <w:rFonts w:eastAsia="SimHei" w:hint="eastAsia"/>
        </w:rPr>
        <w:t>艾滋病教育和预防方案”</w:t>
      </w:r>
      <w:r w:rsidRPr="009F751C">
        <w:rPr>
          <w:rFonts w:hint="eastAsia"/>
        </w:rPr>
        <w:t>。例如，在莫鲁加农村地区，该方案取得的一项有形的成果是成立了一个资源中心并确立了外联方案。</w:t>
      </w:r>
    </w:p>
    <w:p w:rsidR="00D977B9" w:rsidRPr="009F751C" w:rsidRDefault="00D977B9" w:rsidP="00D977B9">
      <w:pPr>
        <w:pStyle w:val="SingleTxt"/>
        <w:tabs>
          <w:tab w:val="clear" w:pos="1695"/>
          <w:tab w:val="left" w:pos="1568"/>
        </w:tabs>
        <w:spacing w:after="120"/>
        <w:ind w:left="1134" w:right="1134"/>
      </w:pPr>
      <w:r w:rsidRPr="009F751C">
        <w:t>88.</w:t>
      </w:r>
      <w:r w:rsidRPr="009F751C">
        <w:tab/>
      </w:r>
      <w:r w:rsidRPr="009F751C">
        <w:rPr>
          <w:rFonts w:hint="eastAsia"/>
        </w:rPr>
        <w:t>通过“</w:t>
      </w:r>
      <w:r w:rsidRPr="009F751C">
        <w:rPr>
          <w:rFonts w:eastAsia="SimHei" w:hint="eastAsia"/>
        </w:rPr>
        <w:t>特立尼达和多巴哥妇女研究所联合会”</w:t>
      </w:r>
      <w:r w:rsidRPr="009F751C">
        <w:rPr>
          <w:rFonts w:hint="eastAsia"/>
        </w:rPr>
        <w:t>的会员资格，特立尼达和多巴哥的农村妇女享有世界农村妇女协会的会员资格，该联合会在每个郡都有协会，通过其在国家机构的代表促进制定国家政策。联合会受益于特立尼达和多巴哥政府提供的财政支持，协助家庭主妇自力更生。为改善农村妇女的社会经济地位，联合会提供教育、培训和辅导服务。</w:t>
      </w:r>
    </w:p>
    <w:p w:rsidR="00D977B9" w:rsidRPr="009F751C" w:rsidRDefault="00D977B9" w:rsidP="00D977B9">
      <w:pPr>
        <w:pStyle w:val="SingleTxt"/>
        <w:tabs>
          <w:tab w:val="clear" w:pos="1695"/>
          <w:tab w:val="left" w:pos="1568"/>
        </w:tabs>
        <w:spacing w:after="120"/>
        <w:ind w:left="1134" w:right="1134"/>
      </w:pPr>
      <w:r w:rsidRPr="009F751C">
        <w:t>89.</w:t>
      </w:r>
      <w:r w:rsidRPr="009F751C">
        <w:tab/>
      </w:r>
      <w:r w:rsidRPr="009F751C">
        <w:rPr>
          <w:rFonts w:hint="eastAsia"/>
        </w:rPr>
        <w:t>特立尼达和多巴哥政府通过各部委和各机构启动为农村妇女提供服务的方案。例如，地方政府部于</w:t>
      </w:r>
      <w:r w:rsidRPr="009F751C">
        <w:t>2007</w:t>
      </w:r>
      <w:r w:rsidRPr="009F751C">
        <w:rPr>
          <w:rFonts w:hint="eastAsia"/>
        </w:rPr>
        <w:t>年成立了农村发展公司，任务是改善农村男女的状况，包括提供基本服务。人民和社会发展部目前正在直接面向农村社区人口开展多种服务，包括法律服务。性别、青年和儿童发展部性别事务司试行了为农村妇女提供信息和通信技术（信通技术）培训的项目，为庆祝</w:t>
      </w:r>
      <w:r w:rsidRPr="009F751C">
        <w:t>2012</w:t>
      </w:r>
      <w:r w:rsidRPr="009F751C">
        <w:rPr>
          <w:rFonts w:hint="eastAsia"/>
        </w:rPr>
        <w:t>年国际妇女节，性别事务司与其他政府机构、私营部门和非政府组织合作，在全国各地为农村妇女举办了一系列社区活动。</w:t>
      </w:r>
    </w:p>
    <w:p w:rsidR="00D977B9" w:rsidRPr="009F751C" w:rsidRDefault="00D977B9" w:rsidP="00D977B9">
      <w:pPr>
        <w:pStyle w:val="SingleTxt"/>
        <w:tabs>
          <w:tab w:val="clear" w:pos="1695"/>
          <w:tab w:val="left" w:pos="1568"/>
        </w:tabs>
        <w:spacing w:after="120"/>
        <w:ind w:left="1134" w:right="1134"/>
      </w:pPr>
      <w:r w:rsidRPr="009F751C">
        <w:t>90.</w:t>
      </w:r>
      <w:r w:rsidRPr="009F751C">
        <w:tab/>
      </w:r>
      <w:r w:rsidRPr="009F751C">
        <w:rPr>
          <w:rFonts w:hint="eastAsia"/>
        </w:rPr>
        <w:t>人们广泛认识到对配偶</w:t>
      </w:r>
      <w:r w:rsidRPr="009F751C">
        <w:t>/</w:t>
      </w:r>
      <w:r w:rsidRPr="009F751C">
        <w:rPr>
          <w:rFonts w:hint="eastAsia"/>
        </w:rPr>
        <w:t>伴侣的财务依赖可能导致妇女在发生家庭暴力时处于劣势，特别是农村妇女。因此，特立尼达和多巴哥政府通过各部委和各机构实施了多项方案，为妇女提供非传统技能的持续再培训，让她们能够通过谈判获得更高的工资和更高水平的就业，并打破劳动市场的陈规定型观念。这些培训方案还为妇女（包括农村妇女）创造了在非农业部门工作的机会，方案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eastAsia="KaiTi_GB2312" w:hint="eastAsia"/>
          <w:b/>
        </w:rPr>
        <w:t>多部门技能培训方案</w:t>
      </w:r>
      <w:r w:rsidRPr="009F751C">
        <w:rPr>
          <w:rFonts w:hint="eastAsia"/>
        </w:rPr>
        <w:t>提供建筑和酒店以及旅游业培训；</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eastAsia="KaiTi_GB2312" w:hint="eastAsia"/>
          <w:b/>
        </w:rPr>
        <w:t>青年培训和就业合作伙伴方案</w:t>
      </w:r>
      <w:r w:rsidRPr="009F751C">
        <w:rPr>
          <w:rFonts w:hint="eastAsia"/>
        </w:rPr>
        <w:t>是一项干预战略，旨在解决逐步加剧的失业问题，特别是</w:t>
      </w:r>
      <w:r w:rsidRPr="009F751C">
        <w:t>15</w:t>
      </w:r>
      <w:r w:rsidRPr="009F751C">
        <w:rPr>
          <w:rFonts w:hint="eastAsia"/>
        </w:rPr>
        <w:t>至</w:t>
      </w:r>
      <w:r w:rsidRPr="009F751C">
        <w:t>35</w:t>
      </w:r>
      <w:r w:rsidRPr="009F751C">
        <w:rPr>
          <w:rFonts w:hint="eastAsia"/>
        </w:rPr>
        <w:t>岁</w:t>
      </w:r>
      <w:r>
        <w:rPr>
          <w:rFonts w:hint="eastAsia"/>
        </w:rPr>
        <w:t>年轻</w:t>
      </w:r>
      <w:r w:rsidRPr="009F751C">
        <w:rPr>
          <w:rFonts w:hint="eastAsia"/>
        </w:rPr>
        <w:t>人的失业问题。青年培训和就业合作伙伴方案提供</w:t>
      </w:r>
      <w:r w:rsidRPr="009F751C">
        <w:t>12</w:t>
      </w:r>
      <w:r w:rsidRPr="009F751C">
        <w:rPr>
          <w:rFonts w:hint="eastAsia"/>
        </w:rPr>
        <w:t>个职业领域内的</w:t>
      </w:r>
      <w:r w:rsidRPr="009F751C">
        <w:t>80</w:t>
      </w:r>
      <w:r w:rsidRPr="009F751C">
        <w:rPr>
          <w:rFonts w:hint="eastAsia"/>
        </w:rPr>
        <w:t>多项职业课程；</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eastAsia="KaiTi_GB2312" w:hint="eastAsia"/>
          <w:b/>
        </w:rPr>
        <w:t>在职培训方案</w:t>
      </w:r>
      <w:r w:rsidRPr="009F751C">
        <w:rPr>
          <w:rFonts w:hint="eastAsia"/>
        </w:rPr>
        <w:t>为</w:t>
      </w:r>
      <w:r w:rsidRPr="009F751C">
        <w:t>16</w:t>
      </w:r>
      <w:r w:rsidRPr="009F751C">
        <w:rPr>
          <w:rFonts w:hint="eastAsia"/>
        </w:rPr>
        <w:t>至</w:t>
      </w:r>
      <w:r w:rsidRPr="009F751C">
        <w:t>35</w:t>
      </w:r>
      <w:r w:rsidRPr="009F751C">
        <w:rPr>
          <w:rFonts w:hint="eastAsia"/>
        </w:rPr>
        <w:t>岁国民提供机会，在特立尼达和多巴哥的公司内获得实践体验和以工作实践为基础的培训。该方案计划通过特立尼达和多巴哥职业资格</w:t>
      </w:r>
      <w:r w:rsidRPr="009F751C">
        <w:t>/</w:t>
      </w:r>
      <w:r w:rsidRPr="009F751C">
        <w:rPr>
          <w:rFonts w:hint="eastAsia"/>
        </w:rPr>
        <w:t>加勒比职业资格框架，根据国家职业标准，为所有受训人员提供证书。这一新的国家职业教育资格证书制度让获得认证的人员能够追求进一步的教育和培训；</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eastAsia="KaiTi_GB2312" w:hint="eastAsia"/>
          <w:b/>
        </w:rPr>
        <w:t>妇女和谐老年人护理方案</w:t>
      </w:r>
      <w:r w:rsidRPr="00D977B9">
        <w:rPr>
          <w:rStyle w:val="FootnoteReference"/>
        </w:rPr>
        <w:footnoteReference w:id="25"/>
      </w:r>
      <w:r w:rsidRPr="009F751C">
        <w:rPr>
          <w:rFonts w:hint="eastAsia"/>
        </w:rPr>
        <w:t>为二十六（</w:t>
      </w:r>
      <w:r w:rsidRPr="009F751C">
        <w:t>26</w:t>
      </w:r>
      <w:r w:rsidRPr="009F751C">
        <w:rPr>
          <w:rFonts w:hint="eastAsia"/>
        </w:rPr>
        <w:t>）至四十五（</w:t>
      </w:r>
      <w:r w:rsidRPr="009F751C">
        <w:t>45</w:t>
      </w:r>
      <w:r w:rsidRPr="009F751C">
        <w:rPr>
          <w:rFonts w:hint="eastAsia"/>
        </w:rPr>
        <w:t>）岁的妇女提供为期十二周的培训，包括三周基本解剖学和生理学、照顾者的职责、工作场所的安全、艾滋病毒</w:t>
      </w:r>
      <w:r w:rsidRPr="009F751C">
        <w:t>/</w:t>
      </w:r>
      <w:r w:rsidRPr="009F751C">
        <w:rPr>
          <w:rFonts w:hint="eastAsia"/>
        </w:rPr>
        <w:t>艾滋病、衰老过程和测量生命体征的实习课。该方案的毕业人员进入老年</w:t>
      </w:r>
      <w:r>
        <w:rPr>
          <w:rFonts w:hint="eastAsia"/>
        </w:rPr>
        <w:t>——</w:t>
      </w:r>
      <w:r w:rsidRPr="009F751C">
        <w:rPr>
          <w:rFonts w:hint="eastAsia"/>
        </w:rPr>
        <w:t>青少年伙伴关系方案人员配置数据库，国民可以从该数据库寻找老年人的照顾者。</w:t>
      </w:r>
    </w:p>
    <w:p w:rsidR="00D977B9" w:rsidRPr="009F751C" w:rsidRDefault="00D977B9" w:rsidP="00D977B9">
      <w:pPr>
        <w:pStyle w:val="SingleTxt"/>
        <w:tabs>
          <w:tab w:val="clear" w:pos="1695"/>
          <w:tab w:val="left" w:pos="1568"/>
        </w:tabs>
        <w:spacing w:after="120"/>
        <w:ind w:left="1134" w:right="1134"/>
      </w:pPr>
      <w:r w:rsidRPr="009F751C">
        <w:t>91.</w:t>
      </w:r>
      <w:r w:rsidRPr="009F751C">
        <w:tab/>
      </w:r>
      <w:r w:rsidRPr="009F751C">
        <w:rPr>
          <w:rFonts w:hint="eastAsia"/>
        </w:rPr>
        <w:t>提供初级卫生保健的保健中心数量有所增加，特别是为农村人口提供服务的保健中心。除带有专门诊所的医院，</w:t>
      </w:r>
      <w:r w:rsidRPr="009F751C">
        <w:t>102</w:t>
      </w:r>
      <w:r w:rsidRPr="009F751C">
        <w:rPr>
          <w:rFonts w:hint="eastAsia"/>
        </w:rPr>
        <w:t>个社区保健中心为农村男女提供保健服务。此外，</w:t>
      </w:r>
      <w:r w:rsidRPr="009F751C">
        <w:t>2007</w:t>
      </w:r>
      <w:r w:rsidRPr="009F751C">
        <w:rPr>
          <w:rFonts w:hint="eastAsia"/>
        </w:rPr>
        <w:t>年设立了</w:t>
      </w:r>
      <w:r w:rsidRPr="009F751C">
        <w:t>10</w:t>
      </w:r>
      <w:r w:rsidRPr="009F751C">
        <w:rPr>
          <w:rFonts w:hint="eastAsia"/>
        </w:rPr>
        <w:t>个流动保健诊所，增加了面向农村社区的服务。</w:t>
      </w:r>
    </w:p>
    <w:p w:rsidR="00D977B9" w:rsidRPr="009F751C" w:rsidRDefault="00D977B9" w:rsidP="00D977B9">
      <w:pPr>
        <w:pStyle w:val="SingleTxt"/>
        <w:tabs>
          <w:tab w:val="clear" w:pos="1695"/>
          <w:tab w:val="left" w:pos="1568"/>
        </w:tabs>
        <w:spacing w:after="120"/>
        <w:ind w:left="1134" w:right="1134"/>
      </w:pPr>
      <w:r w:rsidRPr="009F751C">
        <w:t>92.</w:t>
      </w:r>
      <w:r w:rsidRPr="009F751C">
        <w:tab/>
      </w:r>
      <w:r w:rsidRPr="009F751C">
        <w:rPr>
          <w:rFonts w:hint="eastAsia"/>
        </w:rPr>
        <w:t>政府的国家可持续发展七大支柱之一</w:t>
      </w:r>
      <w:r w:rsidRPr="00D977B9">
        <w:rPr>
          <w:rStyle w:val="FootnoteReference"/>
        </w:rPr>
        <w:footnoteReference w:id="26"/>
      </w:r>
      <w:r w:rsidRPr="009F751C">
        <w:rPr>
          <w:rFonts w:hint="eastAsia"/>
        </w:rPr>
        <w:t>是“消除贫困和实现社会公正</w:t>
      </w:r>
      <w:r w:rsidRPr="009F751C">
        <w:t>——</w:t>
      </w:r>
      <w:r w:rsidRPr="009F751C">
        <w:rPr>
          <w:rFonts w:hint="eastAsia"/>
        </w:rPr>
        <w:t>倾向于穷人和弱势群体”，强调“所有公民都有资格获得可持续的生计，必须消除贫富之间的差距。”在审查期间，社区发展部社区发展基金协调实施了“</w:t>
      </w:r>
      <w:r w:rsidRPr="009F751C">
        <w:rPr>
          <w:rFonts w:eastAsia="SimHei" w:hint="eastAsia"/>
        </w:rPr>
        <w:t>消除贫困方案”</w:t>
      </w:r>
      <w:r w:rsidRPr="009F751C">
        <w:rPr>
          <w:rFonts w:hint="eastAsia"/>
        </w:rPr>
        <w:t>，该方案包括增强农村以及贫困社区和贫困群体的经济权能的以下方法：</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在弱势社区内进行相关研究，编制社区概况；</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召开社区会议，确定可行的项目信息；</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与群体、各个政府和非政府机构以及非政府组织合作，制定可持续的项目和方案；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通过社区宣传车强调各个政府和非政府机构提供的方案，对社区进行关于社会机会的宣传；</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提供保持可持续性所需的必要资源，执行项目。</w:t>
      </w:r>
    </w:p>
    <w:p w:rsidR="00D977B9" w:rsidRPr="009F751C" w:rsidRDefault="00D977B9" w:rsidP="00D977B9">
      <w:pPr>
        <w:pStyle w:val="SingleTxt"/>
        <w:tabs>
          <w:tab w:val="clear" w:pos="1695"/>
          <w:tab w:val="left" w:pos="1568"/>
        </w:tabs>
        <w:spacing w:after="120"/>
        <w:ind w:left="1134" w:right="1134"/>
      </w:pPr>
      <w:r w:rsidRPr="009F751C">
        <w:t>93.</w:t>
      </w:r>
      <w:r w:rsidRPr="009F751C">
        <w:tab/>
      </w:r>
      <w:r w:rsidRPr="009F751C">
        <w:rPr>
          <w:rFonts w:hint="eastAsia"/>
        </w:rPr>
        <w:t>人民和社会发展部目前还在开展重要的减贫工作，包括提供社会保障体系。正在通过技能培训、非正规教育和创收活动，努力提高国家普遍生活标准。多巴哥议会社区发展股提供景观美化等多种创收课程。</w:t>
      </w:r>
    </w:p>
    <w:p w:rsidR="00D977B9" w:rsidRPr="009F751C" w:rsidRDefault="00D977B9" w:rsidP="00D977B9">
      <w:pPr>
        <w:pStyle w:val="SingleTxt"/>
        <w:tabs>
          <w:tab w:val="clear" w:pos="1695"/>
          <w:tab w:val="left" w:pos="1568"/>
        </w:tabs>
        <w:spacing w:after="120"/>
        <w:ind w:left="1134" w:right="1134"/>
      </w:pPr>
      <w:r w:rsidRPr="009F751C">
        <w:t>94.</w:t>
      </w:r>
      <w:r w:rsidRPr="009F751C">
        <w:tab/>
      </w:r>
      <w:r w:rsidRPr="009F751C">
        <w:rPr>
          <w:rFonts w:hint="eastAsia"/>
        </w:rPr>
        <w:t>社区发展部协调开展“</w:t>
      </w:r>
      <w:r w:rsidRPr="009F751C">
        <w:rPr>
          <w:rFonts w:eastAsia="SimHei" w:hint="eastAsia"/>
        </w:rPr>
        <w:t>成人扫盲方案”</w:t>
      </w:r>
      <w:r w:rsidRPr="009F751C">
        <w:rPr>
          <w:rFonts w:hint="eastAsia"/>
        </w:rPr>
        <w:t>，旨在增强农村地区妇女的经济权能，特别是在就业和健康方面。作为一项基本人权，个人和社区获得高质量的扫盲学习机会并不断发展读写能力，是减贫、实现平等、发展经济、保护环境和实现民主战略的基本组成部分。这与“以人民为中心的发展计划”保持一致，</w:t>
      </w:r>
      <w:r w:rsidRPr="00D977B9">
        <w:rPr>
          <w:rStyle w:val="FootnoteReference"/>
        </w:rPr>
        <w:footnoteReference w:id="27"/>
      </w:r>
      <w:r w:rsidRPr="009F751C">
        <w:rPr>
          <w:rFonts w:hint="eastAsia"/>
        </w:rPr>
        <w:t>该计划表示政府致力于通过教育体系和建设其他基础设施，支持终身学习、技能建设、机构加强和建设有竞争力的经济，使人类发展成为核心。</w:t>
      </w:r>
    </w:p>
    <w:p w:rsidR="00D977B9" w:rsidRPr="009F751C" w:rsidRDefault="00D977B9" w:rsidP="00D977B9">
      <w:pPr>
        <w:pStyle w:val="SingleTxt"/>
        <w:tabs>
          <w:tab w:val="clear" w:pos="1695"/>
          <w:tab w:val="left" w:pos="1568"/>
        </w:tabs>
        <w:spacing w:after="120"/>
        <w:ind w:left="1134" w:right="1134"/>
      </w:pPr>
      <w:r w:rsidRPr="009F751C">
        <w:t>95.</w:t>
      </w:r>
      <w:r w:rsidRPr="009F751C">
        <w:tab/>
      </w:r>
      <w:r w:rsidRPr="009F751C">
        <w:rPr>
          <w:rFonts w:hint="eastAsia"/>
        </w:rPr>
        <w:t>在审查期间，社区发展部与成人扫盲教师协会合作，启动了一项扫盲方案，旨在培养更多的有文化的民众。该倡议的目标是：</w:t>
      </w:r>
    </w:p>
    <w:p w:rsidR="00D977B9" w:rsidRPr="009F751C" w:rsidRDefault="00D977B9" w:rsidP="00D977B9">
      <w:pPr>
        <w:pStyle w:val="SingleTxt"/>
        <w:tabs>
          <w:tab w:val="clear" w:pos="1695"/>
          <w:tab w:val="left" w:pos="1568"/>
        </w:tabs>
        <w:spacing w:after="120"/>
        <w:ind w:leftChars="747" w:left="1569" w:rightChars="540" w:right="1134"/>
      </w:pPr>
      <w:r>
        <w:rPr>
          <w:rFonts w:hint="eastAsia"/>
        </w:rPr>
        <w:t>（一）</w:t>
      </w:r>
      <w:r>
        <w:rPr>
          <w:rFonts w:hint="eastAsia"/>
        </w:rPr>
        <w:tab/>
      </w:r>
      <w:r w:rsidRPr="009F751C">
        <w:rPr>
          <w:rFonts w:hint="eastAsia"/>
        </w:rPr>
        <w:t>制定减少贫困和饥饿的机制；</w:t>
      </w:r>
    </w:p>
    <w:p w:rsidR="00D977B9" w:rsidRPr="009F751C" w:rsidRDefault="00D977B9" w:rsidP="00D977B9">
      <w:pPr>
        <w:pStyle w:val="SingleTxt"/>
        <w:tabs>
          <w:tab w:val="clear" w:pos="1695"/>
          <w:tab w:val="left" w:pos="1568"/>
        </w:tabs>
        <w:spacing w:after="120"/>
        <w:ind w:leftChars="747" w:left="1569" w:rightChars="540" w:right="1134"/>
      </w:pPr>
      <w:r>
        <w:rPr>
          <w:rFonts w:hint="eastAsia"/>
        </w:rPr>
        <w:t>（二）</w:t>
      </w:r>
      <w:r>
        <w:rPr>
          <w:rFonts w:hint="eastAsia"/>
        </w:rPr>
        <w:tab/>
      </w:r>
      <w:r w:rsidRPr="009F751C">
        <w:rPr>
          <w:rFonts w:hint="eastAsia"/>
        </w:rPr>
        <w:t>协助提高识字率；</w:t>
      </w:r>
    </w:p>
    <w:p w:rsidR="00D977B9" w:rsidRPr="009F751C" w:rsidRDefault="00D977B9" w:rsidP="00D977B9">
      <w:pPr>
        <w:pStyle w:val="SingleTxt"/>
        <w:tabs>
          <w:tab w:val="clear" w:pos="1695"/>
          <w:tab w:val="left" w:pos="1568"/>
        </w:tabs>
        <w:spacing w:after="120"/>
        <w:ind w:leftChars="747" w:left="1569" w:rightChars="540" w:right="1134"/>
      </w:pPr>
      <w:r>
        <w:rPr>
          <w:rFonts w:hint="eastAsia"/>
        </w:rPr>
        <w:t>（三）</w:t>
      </w:r>
      <w:r>
        <w:rPr>
          <w:rFonts w:hint="eastAsia"/>
        </w:rPr>
        <w:tab/>
      </w:r>
      <w:r w:rsidRPr="009F751C">
        <w:rPr>
          <w:rFonts w:hint="eastAsia"/>
        </w:rPr>
        <w:t>促进性别平等和增强妇女权能；</w:t>
      </w:r>
    </w:p>
    <w:p w:rsidR="00D977B9" w:rsidRPr="009F751C" w:rsidRDefault="00D977B9" w:rsidP="00D977B9">
      <w:pPr>
        <w:pStyle w:val="SingleTxt"/>
        <w:tabs>
          <w:tab w:val="clear" w:pos="1695"/>
          <w:tab w:val="left" w:pos="1568"/>
        </w:tabs>
        <w:spacing w:after="120"/>
        <w:ind w:leftChars="747" w:left="1569" w:rightChars="540" w:right="1134"/>
      </w:pPr>
      <w:r>
        <w:rPr>
          <w:rFonts w:hint="eastAsia"/>
        </w:rPr>
        <w:t>（四）</w:t>
      </w:r>
      <w:r>
        <w:rPr>
          <w:rFonts w:hint="eastAsia"/>
        </w:rPr>
        <w:tab/>
      </w:r>
      <w:r w:rsidRPr="009F751C">
        <w:rPr>
          <w:rFonts w:hint="eastAsia"/>
        </w:rPr>
        <w:t>减少儿童死亡率；</w:t>
      </w:r>
    </w:p>
    <w:p w:rsidR="00D977B9" w:rsidRPr="009F751C" w:rsidRDefault="00D977B9" w:rsidP="00D977B9">
      <w:pPr>
        <w:pStyle w:val="SingleTxt"/>
        <w:tabs>
          <w:tab w:val="clear" w:pos="1695"/>
          <w:tab w:val="left" w:pos="1568"/>
        </w:tabs>
        <w:spacing w:after="120"/>
        <w:ind w:leftChars="747" w:left="1569" w:rightChars="540" w:right="1134"/>
      </w:pPr>
      <w:r>
        <w:rPr>
          <w:rFonts w:hint="eastAsia"/>
        </w:rPr>
        <w:t>（五）</w:t>
      </w:r>
      <w:r>
        <w:rPr>
          <w:rFonts w:hint="eastAsia"/>
        </w:rPr>
        <w:tab/>
      </w:r>
      <w:r w:rsidRPr="009F751C">
        <w:rPr>
          <w:rFonts w:hint="eastAsia"/>
        </w:rPr>
        <w:t>改善孕产妇健康；</w:t>
      </w:r>
    </w:p>
    <w:p w:rsidR="00D977B9" w:rsidRPr="009F751C" w:rsidRDefault="00D977B9" w:rsidP="00D977B9">
      <w:pPr>
        <w:pStyle w:val="SingleTxt"/>
        <w:tabs>
          <w:tab w:val="clear" w:pos="1695"/>
          <w:tab w:val="left" w:pos="1568"/>
        </w:tabs>
        <w:spacing w:after="120"/>
        <w:ind w:leftChars="747" w:left="1569" w:rightChars="540" w:right="1134"/>
      </w:pPr>
      <w:r>
        <w:rPr>
          <w:rFonts w:hint="eastAsia"/>
        </w:rPr>
        <w:t>（六）</w:t>
      </w:r>
      <w:r>
        <w:rPr>
          <w:rFonts w:hint="eastAsia"/>
        </w:rPr>
        <w:tab/>
      </w:r>
      <w:r w:rsidRPr="009F751C">
        <w:rPr>
          <w:rFonts w:hint="eastAsia"/>
        </w:rPr>
        <w:t>协助消除艾滋病毒</w:t>
      </w:r>
      <w:r w:rsidRPr="009F751C">
        <w:t>/</w:t>
      </w:r>
      <w:r w:rsidRPr="009F751C">
        <w:rPr>
          <w:rFonts w:hint="eastAsia"/>
        </w:rPr>
        <w:t>艾滋病和其他传染病；</w:t>
      </w:r>
    </w:p>
    <w:p w:rsidR="00D977B9" w:rsidRPr="009F751C" w:rsidRDefault="00D977B9" w:rsidP="00D977B9">
      <w:pPr>
        <w:pStyle w:val="SingleTxt"/>
        <w:tabs>
          <w:tab w:val="clear" w:pos="1695"/>
          <w:tab w:val="left" w:pos="1568"/>
        </w:tabs>
        <w:spacing w:after="120"/>
        <w:ind w:leftChars="747" w:left="1569" w:rightChars="540" w:right="1134"/>
      </w:pPr>
      <w:r>
        <w:rPr>
          <w:rFonts w:hint="eastAsia"/>
        </w:rPr>
        <w:t>（七）</w:t>
      </w:r>
      <w:r>
        <w:rPr>
          <w:rFonts w:hint="eastAsia"/>
        </w:rPr>
        <w:tab/>
      </w:r>
      <w:r w:rsidRPr="009F751C">
        <w:rPr>
          <w:rFonts w:hint="eastAsia"/>
        </w:rPr>
        <w:t>确保环境可持续性；</w:t>
      </w:r>
    </w:p>
    <w:p w:rsidR="00D977B9" w:rsidRPr="009F751C" w:rsidRDefault="00D977B9" w:rsidP="00D977B9">
      <w:pPr>
        <w:pStyle w:val="SingleTxt"/>
        <w:tabs>
          <w:tab w:val="clear" w:pos="1695"/>
          <w:tab w:val="left" w:pos="1568"/>
        </w:tabs>
        <w:spacing w:after="120"/>
        <w:ind w:leftChars="747" w:left="1569" w:rightChars="540" w:right="1134"/>
      </w:pPr>
      <w:r>
        <w:rPr>
          <w:rFonts w:hint="eastAsia"/>
        </w:rPr>
        <w:t>（八）</w:t>
      </w:r>
      <w:r>
        <w:rPr>
          <w:rFonts w:hint="eastAsia"/>
        </w:rPr>
        <w:tab/>
      </w:r>
      <w:r w:rsidRPr="009F751C">
        <w:rPr>
          <w:rFonts w:hint="eastAsia"/>
        </w:rPr>
        <w:t>建立社区发展伙伴关系。</w:t>
      </w:r>
    </w:p>
    <w:p w:rsidR="00D977B9" w:rsidRPr="009F751C" w:rsidRDefault="00D977B9" w:rsidP="00D977B9">
      <w:pPr>
        <w:pStyle w:val="SingleTxt"/>
        <w:tabs>
          <w:tab w:val="clear" w:pos="1695"/>
          <w:tab w:val="left" w:pos="1568"/>
        </w:tabs>
        <w:spacing w:after="120"/>
        <w:ind w:left="1134" w:right="1134"/>
      </w:pPr>
      <w:r w:rsidRPr="009F751C">
        <w:t>96.</w:t>
      </w:r>
      <w:r w:rsidRPr="009F751C">
        <w:tab/>
      </w:r>
      <w:r w:rsidRPr="009F751C">
        <w:rPr>
          <w:rFonts w:hint="eastAsia"/>
        </w:rPr>
        <w:t>社区发展部创立了转型和发展中心，使得增强男女权能的愿景长期保持下去，成为社区和国家发展的推动力量。转型和发展中心的目标群体包括由于失业而流离失所者、无家可归者、缺乏技能者、曾经患有心理失衡的单亲家庭、以及由于健康状况不佳而身体机能失常者。转型和发展中心能够极大地促进失业或缺乏技能的妇女、单身母亲和残疾妇女的发展，并增强她们的权能。</w:t>
      </w:r>
    </w:p>
    <w:p w:rsidR="00D977B9" w:rsidRPr="009F751C" w:rsidRDefault="00D977B9" w:rsidP="00D977B9">
      <w:pPr>
        <w:pStyle w:val="SingleTxt"/>
        <w:tabs>
          <w:tab w:val="clear" w:pos="1695"/>
          <w:tab w:val="left" w:pos="1568"/>
        </w:tabs>
        <w:spacing w:after="120"/>
        <w:ind w:left="1134" w:right="1134"/>
      </w:pPr>
      <w:r w:rsidRPr="009F751C">
        <w:t>97.</w:t>
      </w:r>
      <w:r w:rsidRPr="009F751C">
        <w:tab/>
      </w:r>
      <w:r w:rsidRPr="009F751C">
        <w:rPr>
          <w:rFonts w:hint="eastAsia"/>
        </w:rPr>
        <w:t>转型过程包括咨询、技能培训、企业发展培训以及协助寻找就业机会或自主创业。转型和发展中心的具体目标包括：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会见并登记作为该中心的客户、不能满足其基本生存需求的失业者；</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为客户提供每日食物；</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对客户进行评估，并根据要求为其提供或介绍相关咨询；</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让客户接触以就业为导向的技能培训方案；以及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在客户从依赖中心的服务过渡到自力更生和增强权能的过程中，提供便利与协助。</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rPr>
        <w:t>13</w:t>
      </w:r>
      <w:r w:rsidRPr="009F751C">
        <w:rPr>
          <w:rFonts w:ascii="Times New Roman" w:hint="eastAsia"/>
        </w:rPr>
        <w:t>：对结论意见中提出的具体问题的答复</w:t>
      </w:r>
      <w:r w:rsidRPr="009F751C">
        <w:rPr>
          <w:rFonts w:ascii="Times New Roman"/>
          <w:spacing w:val="60"/>
          <w:sz w:val="17"/>
        </w:rPr>
        <w:tab/>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13.</w:t>
      </w:r>
      <w:r w:rsidRPr="009F751C">
        <w:rPr>
          <w:rFonts w:eastAsia="SimHei"/>
        </w:rPr>
        <w:tab/>
      </w:r>
      <w:r w:rsidRPr="009F751C">
        <w:rPr>
          <w:rFonts w:eastAsia="SimHei" w:hint="eastAsia"/>
        </w:rPr>
        <w:t>委员会请缔约国在下次定期报告中回答在本结论意见中提出的具体问题。委员会还请缔约国在下次报告中评价为执行《公约》而采取的措施所造成的影响。</w:t>
      </w:r>
    </w:p>
    <w:p w:rsidR="00D977B9" w:rsidRPr="009F751C" w:rsidRDefault="00D977B9" w:rsidP="00D977B9">
      <w:pPr>
        <w:pStyle w:val="SingleTxt"/>
        <w:tabs>
          <w:tab w:val="clear" w:pos="1695"/>
          <w:tab w:val="left" w:pos="1568"/>
        </w:tabs>
        <w:spacing w:after="120"/>
        <w:ind w:left="1134" w:right="1134"/>
      </w:pPr>
      <w:r w:rsidRPr="009F751C">
        <w:t>98.</w:t>
      </w:r>
      <w:r w:rsidRPr="009F751C">
        <w:tab/>
      </w:r>
      <w:r w:rsidRPr="009F751C">
        <w:rPr>
          <w:rFonts w:hint="eastAsia"/>
        </w:rPr>
        <w:t>本报告第三部分详细说明了</w:t>
      </w:r>
      <w:r w:rsidRPr="009F751C">
        <w:t>2001</w:t>
      </w:r>
      <w:r w:rsidRPr="009F751C">
        <w:rPr>
          <w:rFonts w:hint="eastAsia"/>
        </w:rPr>
        <w:t>至</w:t>
      </w:r>
      <w:r w:rsidRPr="009F751C">
        <w:t>2013</w:t>
      </w:r>
      <w:r w:rsidRPr="009F751C">
        <w:rPr>
          <w:rFonts w:hint="eastAsia"/>
        </w:rPr>
        <w:t>年审查期间为执行《公约》而采取的各项措施。</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rPr>
        <w:t>14</w:t>
      </w:r>
      <w:r w:rsidRPr="009F751C">
        <w:rPr>
          <w:rFonts w:ascii="Times New Roman" w:hint="eastAsia"/>
        </w:rPr>
        <w:t>：接受第</w:t>
      </w:r>
      <w:r w:rsidRPr="009F751C">
        <w:rPr>
          <w:rFonts w:ascii="Times New Roman"/>
        </w:rPr>
        <w:t>20</w:t>
      </w:r>
      <w:r w:rsidRPr="009F751C">
        <w:rPr>
          <w:rFonts w:ascii="Times New Roman" w:hint="eastAsia"/>
        </w:rPr>
        <w:t>条第</w:t>
      </w:r>
      <w:r w:rsidRPr="009F751C">
        <w:rPr>
          <w:rFonts w:ascii="Times New Roman"/>
        </w:rPr>
        <w:t>1</w:t>
      </w:r>
      <w:r w:rsidRPr="009F751C">
        <w:rPr>
          <w:rFonts w:ascii="Times New Roman" w:hint="eastAsia"/>
        </w:rPr>
        <w:t>款修正案和批准《任择议定书》</w:t>
      </w:r>
    </w:p>
    <w:p w:rsidR="00D977B9" w:rsidRPr="009F751C" w:rsidRDefault="00D977B9" w:rsidP="00D977B9">
      <w:pPr>
        <w:pStyle w:val="SingleTxt"/>
        <w:tabs>
          <w:tab w:val="clear" w:pos="1695"/>
          <w:tab w:val="left" w:pos="1568"/>
        </w:tabs>
        <w:spacing w:after="0" w:line="120" w:lineRule="exact"/>
        <w:ind w:left="1134" w:right="1134"/>
        <w:rPr>
          <w:spacing w:val="2"/>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spacing w:val="2"/>
        </w:rPr>
        <w:t>14.</w:t>
      </w:r>
      <w:r w:rsidRPr="009F751C">
        <w:rPr>
          <w:rFonts w:eastAsia="SimHei"/>
          <w:spacing w:val="2"/>
        </w:rPr>
        <w:tab/>
      </w:r>
      <w:r w:rsidRPr="009F751C">
        <w:rPr>
          <w:rFonts w:eastAsia="SimHei" w:hint="eastAsia"/>
        </w:rPr>
        <w:t>委员会促请缔约国接受对《公约》中关于委员会会议时间的第</w:t>
      </w:r>
      <w:r w:rsidRPr="009F751C">
        <w:rPr>
          <w:rFonts w:eastAsia="SimHei"/>
        </w:rPr>
        <w:t>20</w:t>
      </w:r>
      <w:r w:rsidRPr="009F751C">
        <w:rPr>
          <w:rFonts w:eastAsia="SimHei" w:hint="eastAsia"/>
        </w:rPr>
        <w:t>条第</w:t>
      </w:r>
      <w:r w:rsidRPr="009F751C">
        <w:rPr>
          <w:rFonts w:eastAsia="SimHei"/>
        </w:rPr>
        <w:t>1</w:t>
      </w:r>
      <w:r w:rsidRPr="009F751C">
        <w:rPr>
          <w:rFonts w:eastAsia="SimHei" w:hint="eastAsia"/>
        </w:rPr>
        <w:t>款的修正案。</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委员会还促请缔约国签署和批准《公约任择议定书》。</w:t>
      </w:r>
    </w:p>
    <w:p w:rsidR="00D977B9" w:rsidRPr="009F751C" w:rsidRDefault="00D977B9" w:rsidP="00D977B9">
      <w:pPr>
        <w:pStyle w:val="SingleTxt"/>
        <w:tabs>
          <w:tab w:val="clear" w:pos="1695"/>
          <w:tab w:val="left" w:pos="1568"/>
        </w:tabs>
        <w:spacing w:after="120"/>
        <w:ind w:left="1134" w:right="1134"/>
      </w:pPr>
      <w:r w:rsidRPr="009F751C">
        <w:t>99.</w:t>
      </w:r>
      <w:r w:rsidRPr="009F751C">
        <w:tab/>
      </w:r>
      <w:r w:rsidRPr="009F751C">
        <w:rPr>
          <w:rFonts w:hint="eastAsia"/>
        </w:rPr>
        <w:t>迄今为止，特立尼达和多巴哥政府尚未审议《公约任择议定书》。</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建议</w:t>
      </w:r>
      <w:r w:rsidRPr="009F751C">
        <w:rPr>
          <w:rFonts w:ascii="Times New Roman"/>
        </w:rPr>
        <w:t>15</w:t>
      </w:r>
      <w:r w:rsidRPr="009F751C">
        <w:rPr>
          <w:rFonts w:ascii="Times New Roman" w:hint="eastAsia"/>
        </w:rPr>
        <w:t>：宣传本报告</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rPr>
        <w:t>15.</w:t>
      </w:r>
      <w:r w:rsidRPr="009F751C">
        <w:rPr>
          <w:rFonts w:eastAsia="SimHei"/>
        </w:rPr>
        <w:tab/>
      </w:r>
      <w:r w:rsidRPr="009F751C">
        <w:rPr>
          <w:rFonts w:eastAsia="SimHei" w:hint="eastAsia"/>
        </w:rPr>
        <w:t>委员会要求在特立尼达和多巴哥广泛散发本结论意见，使特立尼达和多巴哥人民特别是政府行政人员和政治家知道在法律上和事实上已经为妇女采取哪些措施和在这方面需要采取的未来措施。</w:t>
      </w:r>
    </w:p>
    <w:p w:rsidR="00D977B9" w:rsidRPr="009F751C" w:rsidRDefault="00D977B9" w:rsidP="00D977B9">
      <w:pPr>
        <w:pStyle w:val="SingleTxt"/>
        <w:tabs>
          <w:tab w:val="clear" w:pos="1695"/>
          <w:tab w:val="left" w:pos="1568"/>
        </w:tabs>
        <w:spacing w:after="120"/>
        <w:ind w:left="1134" w:right="1134"/>
        <w:rPr>
          <w:rFonts w:eastAsia="SimHei"/>
        </w:rPr>
      </w:pPr>
      <w:r w:rsidRPr="009F751C">
        <w:rPr>
          <w:rFonts w:eastAsia="SimHei" w:hint="eastAsia"/>
        </w:rPr>
        <w:t>委员会请缔约国继续广泛散发特别是向妇女组织和人权组织广泛散发《公约》及其《任择议定书》、委员会的一般性建议、《北京宣言和行动纲要》和题为“</w:t>
      </w:r>
      <w:r w:rsidRPr="009F751C">
        <w:rPr>
          <w:rFonts w:eastAsia="SimHei"/>
        </w:rPr>
        <w:t>2000</w:t>
      </w:r>
      <w:r w:rsidRPr="009F751C">
        <w:rPr>
          <w:rFonts w:eastAsia="SimHei" w:hint="eastAsia"/>
        </w:rPr>
        <w:t>年妇女：二十一世纪两性平等、发展与和平”的大会第二十三届特别会议的成果。</w:t>
      </w:r>
    </w:p>
    <w:p w:rsidR="00D977B9" w:rsidRPr="009F751C" w:rsidRDefault="00D977B9" w:rsidP="00D977B9">
      <w:pPr>
        <w:pStyle w:val="SingleTxt"/>
        <w:tabs>
          <w:tab w:val="clear" w:pos="1695"/>
          <w:tab w:val="left" w:pos="1568"/>
        </w:tabs>
        <w:spacing w:after="120"/>
        <w:ind w:left="1134" w:right="1134"/>
      </w:pPr>
      <w:r w:rsidRPr="009F751C">
        <w:t>100.</w:t>
      </w:r>
      <w:r w:rsidRPr="009F751C">
        <w:tab/>
      </w:r>
      <w:r w:rsidRPr="009F751C">
        <w:rPr>
          <w:rFonts w:hint="eastAsia"/>
        </w:rPr>
        <w:t>委员会的结论意见构成了</w:t>
      </w:r>
      <w:r w:rsidRPr="009F751C">
        <w:t>2007</w:t>
      </w:r>
      <w:r w:rsidRPr="009F751C">
        <w:rPr>
          <w:rFonts w:hint="eastAsia"/>
        </w:rPr>
        <w:t>年《消除对妇女歧视公约》全国磋商的基础，政府和非政府利益攸关方都参与了此次磋商。共有</w:t>
      </w:r>
      <w:r w:rsidRPr="009F751C">
        <w:t>400</w:t>
      </w:r>
      <w:r w:rsidRPr="009F751C">
        <w:rPr>
          <w:rFonts w:hint="eastAsia"/>
        </w:rPr>
        <w:t>多人出席此次磋商。特立尼达和多巴哥的报告和委员会的结论意见得到广泛散发。政府印刷厂出版了文件，全国各主要图书馆和文献中心都可以获得。</w:t>
      </w:r>
    </w:p>
    <w:p w:rsidR="00D977B9" w:rsidRPr="009F751C" w:rsidRDefault="00D977B9" w:rsidP="00D977B9">
      <w:pPr>
        <w:pStyle w:val="SingleTxt"/>
        <w:tabs>
          <w:tab w:val="clear" w:pos="1695"/>
          <w:tab w:val="left" w:pos="1568"/>
        </w:tabs>
        <w:spacing w:after="120"/>
        <w:ind w:left="1134" w:right="1134"/>
      </w:pPr>
      <w:r w:rsidRPr="009F751C">
        <w:t>101.</w:t>
      </w:r>
      <w:r w:rsidRPr="009F751C">
        <w:tab/>
      </w:r>
      <w:r w:rsidRPr="009F751C">
        <w:rPr>
          <w:rFonts w:hint="eastAsia"/>
        </w:rPr>
        <w:t>性别事务司还制作了关于《消除对妇女歧视公约》和委员会结论意见的简明手册并向公众散发。《北京宣言和行动纲要》和大会第二十三届特别会议成果文件可通过特立尼达和多巴哥西班牙港的联合国新闻中心（新闻中心）获得，并且性别事务司经常散发这些文件。</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第三部分：</w:t>
      </w:r>
      <w:r w:rsidRPr="009F751C">
        <w:rPr>
          <w:rFonts w:ascii="Times New Roman"/>
        </w:rPr>
        <w:t>2001</w:t>
      </w:r>
      <w:r w:rsidRPr="009F751C">
        <w:rPr>
          <w:rFonts w:ascii="Times New Roman" w:hint="eastAsia"/>
        </w:rPr>
        <w:t>至</w:t>
      </w:r>
      <w:r w:rsidRPr="009F751C">
        <w:rPr>
          <w:rFonts w:ascii="Times New Roman"/>
        </w:rPr>
        <w:t>2013</w:t>
      </w:r>
      <w:r w:rsidRPr="009F751C">
        <w:rPr>
          <w:rFonts w:ascii="Times New Roman" w:hint="eastAsia"/>
        </w:rPr>
        <w:t>年审查期间促进《公约》的具体条款</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2</w:t>
      </w:r>
      <w:r w:rsidRPr="009F751C">
        <w:rPr>
          <w:rFonts w:ascii="Times New Roman" w:hint="eastAsia"/>
        </w:rPr>
        <w:t>条：消除对妇女的歧视</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102.</w:t>
      </w:r>
      <w:r w:rsidRPr="009F751C">
        <w:tab/>
      </w:r>
      <w:r w:rsidRPr="009F751C">
        <w:rPr>
          <w:rFonts w:hint="eastAsia"/>
        </w:rPr>
        <w:t>在审查期间，为促进提高妇女地位和性别平等，特立尼达和多巴哥政府实施了具有重要意义的倡议。</w:t>
      </w:r>
    </w:p>
    <w:p w:rsidR="00D977B9" w:rsidRPr="009F751C" w:rsidRDefault="00D977B9" w:rsidP="00D977B9">
      <w:pPr>
        <w:pStyle w:val="SingleTxt"/>
        <w:tabs>
          <w:tab w:val="clear" w:pos="1695"/>
          <w:tab w:val="left" w:pos="1568"/>
        </w:tabs>
        <w:spacing w:after="120"/>
        <w:ind w:left="1134" w:right="1134"/>
      </w:pPr>
      <w:r w:rsidRPr="009F751C">
        <w:t>103.</w:t>
      </w:r>
      <w:r w:rsidRPr="009F751C">
        <w:tab/>
      </w:r>
      <w:r w:rsidRPr="009F751C">
        <w:rPr>
          <w:rFonts w:hint="eastAsia"/>
        </w:rPr>
        <w:t>通过政府的公共部门投资方案，性别、青年和儿童发展部的项目和方案获得了大量预算拨款。该方案是政府用来将政策和计划转化为旨在提高公民生活水平的实质性项目和方案以及实现经济增长和人类发展的预算和战略规划工具。</w:t>
      </w:r>
      <w:r w:rsidRPr="009F751C">
        <w:t>2012</w:t>
      </w:r>
      <w:r w:rsidRPr="009F751C">
        <w:rPr>
          <w:rFonts w:hint="eastAsia"/>
        </w:rPr>
        <w:t>年间的预算拨款为</w:t>
      </w:r>
      <w:r w:rsidRPr="009F751C">
        <w:t>2</w:t>
      </w:r>
      <w:r>
        <w:rPr>
          <w:rFonts w:hint="eastAsia"/>
        </w:rPr>
        <w:t xml:space="preserve"> </w:t>
      </w:r>
      <w:r w:rsidRPr="009F751C">
        <w:t>960</w:t>
      </w:r>
      <w:r w:rsidRPr="009F751C">
        <w:rPr>
          <w:rFonts w:hint="eastAsia"/>
        </w:rPr>
        <w:t>万特元，</w:t>
      </w:r>
      <w:r w:rsidRPr="009F751C">
        <w:t>2013</w:t>
      </w:r>
      <w:r w:rsidRPr="009F751C">
        <w:rPr>
          <w:rFonts w:hint="eastAsia"/>
        </w:rPr>
        <w:t>年间的预算拨款增加到了</w:t>
      </w:r>
      <w:r w:rsidRPr="009F751C">
        <w:t>3</w:t>
      </w:r>
      <w:r>
        <w:rPr>
          <w:rFonts w:hint="eastAsia"/>
        </w:rPr>
        <w:t xml:space="preserve"> </w:t>
      </w:r>
      <w:r w:rsidRPr="009F751C">
        <w:t>870</w:t>
      </w:r>
      <w:r w:rsidRPr="009F751C">
        <w:rPr>
          <w:rFonts w:hint="eastAsia"/>
        </w:rPr>
        <w:t>万特元。</w:t>
      </w:r>
    </w:p>
    <w:p w:rsidR="00D977B9" w:rsidRPr="009F751C" w:rsidRDefault="00D977B9" w:rsidP="00D977B9">
      <w:pPr>
        <w:pStyle w:val="SingleTxt"/>
        <w:tabs>
          <w:tab w:val="clear" w:pos="1695"/>
          <w:tab w:val="left" w:pos="1568"/>
        </w:tabs>
        <w:spacing w:after="120"/>
        <w:ind w:left="1134" w:right="1134"/>
      </w:pPr>
      <w:r w:rsidRPr="009F751C">
        <w:t>104.</w:t>
      </w:r>
      <w:r w:rsidRPr="009F751C">
        <w:tab/>
      </w:r>
      <w:r w:rsidRPr="009F751C">
        <w:rPr>
          <w:rFonts w:hint="eastAsia"/>
        </w:rPr>
        <w:t>国家性别和发展政策草案旨在将性别平等视角纳入以下国家生活领域的主流：</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变革领导和治理；</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宏观经济和贸易；</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劳动和就业；</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扶贫和社会保护；</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农业和粮食安全；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气候变化和自然资源管理；</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教育和人力资本发展；</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无偿经济活动、家务和家庭生活；</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性别暴力和人类安全；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健康和福祉；</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性别和特殊利益群体（青年、老年人、残疾人）。</w:t>
      </w:r>
    </w:p>
    <w:p w:rsidR="00D977B9" w:rsidRPr="009F751C" w:rsidRDefault="00D977B9" w:rsidP="00D977B9">
      <w:pPr>
        <w:pStyle w:val="SingleTxt"/>
        <w:tabs>
          <w:tab w:val="clear" w:pos="1695"/>
          <w:tab w:val="left" w:pos="1568"/>
        </w:tabs>
        <w:spacing w:after="120"/>
        <w:ind w:leftChars="747" w:left="1569" w:rightChars="540" w:right="1134"/>
      </w:pPr>
      <w:r w:rsidRPr="009F751C">
        <w:rPr>
          <w:rFonts w:hint="eastAsia"/>
        </w:rPr>
        <w:t>国家政策草案促使将性别问题作为在国家预算编制和规划进程中进行分析的必要工具，并作为实现经济规划与性别规划融合的途径。它促使在规划、实施、评估和监测国家预算的过程中实现促进性别平等的预算编制和性别审计。它还促使与经济相关的国家数据收集和收集系统确保按性别分列数据，并将性别平等的视角纳入所有经济决策。</w:t>
      </w:r>
    </w:p>
    <w:p w:rsidR="00D977B9" w:rsidRPr="009F751C" w:rsidRDefault="00D977B9" w:rsidP="00D977B9">
      <w:pPr>
        <w:pStyle w:val="SingleTxt"/>
        <w:tabs>
          <w:tab w:val="clear" w:pos="1695"/>
          <w:tab w:val="left" w:pos="1568"/>
        </w:tabs>
        <w:spacing w:after="120"/>
        <w:ind w:left="1134" w:right="1134"/>
      </w:pPr>
      <w:r w:rsidRPr="009F751C">
        <w:t>105.</w:t>
      </w:r>
      <w:r w:rsidRPr="009F751C">
        <w:tab/>
      </w:r>
      <w:r w:rsidRPr="009F751C">
        <w:rPr>
          <w:rFonts w:hint="eastAsia"/>
        </w:rPr>
        <w:t>在推动将性别平等纳入主流并使相关决策者形成认识的过程中，性别、青年和儿童发展部性别事务司与联合国开发计划署合作，在</w:t>
      </w:r>
      <w:r w:rsidRPr="009F751C">
        <w:t>2008</w:t>
      </w:r>
      <w:r w:rsidRPr="009F751C">
        <w:rPr>
          <w:rFonts w:hint="eastAsia"/>
        </w:rPr>
        <w:t>年主办了名人讲座系列的“性别公平融资”讨论会。讨论会针对公共和私营部门的决策者，包括财政部以及所有政府各部的常务秘书；国际机构和重要的非政府组织。性别事务司还参与性别平等主流化战略，包括：</w:t>
      </w:r>
      <w:r w:rsidRPr="009F751C">
        <w:t>2010</w:t>
      </w:r>
      <w:r w:rsidRPr="009F751C">
        <w:rPr>
          <w:rFonts w:hint="eastAsia"/>
        </w:rPr>
        <w:t>年和</w:t>
      </w:r>
      <w:r w:rsidRPr="009F751C">
        <w:t>2011</w:t>
      </w:r>
      <w:r w:rsidRPr="009F751C">
        <w:rPr>
          <w:rFonts w:hint="eastAsia"/>
        </w:rPr>
        <w:t>年培训政府各部委和各机构的性别平等问题协调人，与卫生部和劳动部开展更加深入的合作。</w:t>
      </w:r>
    </w:p>
    <w:p w:rsidR="00D977B9" w:rsidRPr="009F751C" w:rsidRDefault="00D977B9" w:rsidP="00D977B9">
      <w:pPr>
        <w:pStyle w:val="SingleTxt"/>
        <w:tabs>
          <w:tab w:val="clear" w:pos="1695"/>
          <w:tab w:val="left" w:pos="1568"/>
        </w:tabs>
        <w:spacing w:after="120"/>
        <w:ind w:left="1134" w:right="1134"/>
      </w:pPr>
      <w:r w:rsidRPr="009F751C">
        <w:t>106.</w:t>
      </w:r>
      <w:r w:rsidRPr="009F751C">
        <w:tab/>
      </w:r>
      <w:r w:rsidRPr="009F751C">
        <w:rPr>
          <w:rFonts w:hint="eastAsia"/>
        </w:rPr>
        <w:t>根据</w:t>
      </w:r>
      <w:r w:rsidRPr="009F751C">
        <w:rPr>
          <w:rFonts w:eastAsia="KaiTi_GB2312"/>
          <w:b/>
        </w:rPr>
        <w:t>2000</w:t>
      </w:r>
      <w:r w:rsidRPr="009F751C">
        <w:rPr>
          <w:rFonts w:eastAsia="KaiTi_GB2312" w:hint="eastAsia"/>
          <w:b/>
        </w:rPr>
        <w:t>年《平等机会法案》</w:t>
      </w:r>
      <w:r w:rsidRPr="009F751C">
        <w:rPr>
          <w:rFonts w:hint="eastAsia"/>
        </w:rPr>
        <w:t>，平等机会委员会于</w:t>
      </w:r>
      <w:r w:rsidRPr="009F751C">
        <w:t>2008</w:t>
      </w:r>
      <w:r w:rsidRPr="009F751C">
        <w:rPr>
          <w:rFonts w:hint="eastAsia"/>
        </w:rPr>
        <w:t>年开始运行，允许个人提出指控并对进行调查、调解或裁决。</w:t>
      </w:r>
      <w:r w:rsidRPr="009F751C">
        <w:t>2008</w:t>
      </w:r>
      <w:r w:rsidRPr="009F751C">
        <w:rPr>
          <w:rFonts w:hint="eastAsia"/>
        </w:rPr>
        <w:t>年</w:t>
      </w:r>
      <w:r w:rsidRPr="009F751C">
        <w:t>4</w:t>
      </w:r>
      <w:r w:rsidRPr="009F751C">
        <w:rPr>
          <w:rFonts w:hint="eastAsia"/>
        </w:rPr>
        <w:t>月至</w:t>
      </w:r>
      <w:r w:rsidRPr="009F751C">
        <w:t>2011</w:t>
      </w:r>
      <w:r w:rsidRPr="009F751C">
        <w:rPr>
          <w:rFonts w:hint="eastAsia"/>
        </w:rPr>
        <w:t>年</w:t>
      </w:r>
      <w:r w:rsidRPr="009F751C">
        <w:t>8</w:t>
      </w:r>
      <w:r w:rsidRPr="009F751C">
        <w:rPr>
          <w:rFonts w:hint="eastAsia"/>
        </w:rPr>
        <w:t>月间，委员会共收到女性提出的</w:t>
      </w:r>
      <w:r w:rsidRPr="009F751C">
        <w:t>112</w:t>
      </w:r>
      <w:r w:rsidRPr="009F751C">
        <w:rPr>
          <w:rFonts w:hint="eastAsia"/>
        </w:rPr>
        <w:t>份指控，其中</w:t>
      </w:r>
      <w:r w:rsidRPr="009F751C">
        <w:t>49</w:t>
      </w:r>
      <w:r w:rsidRPr="009F751C">
        <w:rPr>
          <w:rFonts w:hint="eastAsia"/>
        </w:rPr>
        <w:t>份指控性别歧视。</w:t>
      </w:r>
    </w:p>
    <w:p w:rsidR="00D977B9" w:rsidRPr="009F751C" w:rsidRDefault="00D977B9" w:rsidP="00D977B9">
      <w:pPr>
        <w:pStyle w:val="SingleTxt"/>
        <w:tabs>
          <w:tab w:val="clear" w:pos="1695"/>
          <w:tab w:val="left" w:pos="1568"/>
        </w:tabs>
        <w:spacing w:after="120"/>
        <w:ind w:left="1134" w:right="1134"/>
      </w:pPr>
      <w:r w:rsidRPr="009F751C">
        <w:t>107.</w:t>
      </w:r>
      <w:r w:rsidRPr="009F751C">
        <w:tab/>
      </w:r>
      <w:r w:rsidRPr="009F751C">
        <w:rPr>
          <w:rFonts w:hint="eastAsia"/>
        </w:rPr>
        <w:t>平等机会委员会在特立尼达举行了两次关于“特立尼达和多巴哥理解和促进平等”的小组讨论，在多巴哥举行了一次。委员会还启动了一系列提高认识的方案，旨在向社会开展宣传，鼓励公众讨论平等机会问题，加深公众对委员会工作的认识。</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3</w:t>
      </w:r>
      <w:r w:rsidRPr="009F751C">
        <w:rPr>
          <w:rFonts w:ascii="Times New Roman" w:hint="eastAsia"/>
        </w:rPr>
        <w:t>条：妇女的发展和进步</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108.</w:t>
      </w:r>
      <w:r w:rsidRPr="009F751C">
        <w:tab/>
      </w:r>
      <w:r w:rsidRPr="009F751C">
        <w:rPr>
          <w:rFonts w:hint="eastAsia"/>
        </w:rPr>
        <w:t>在审查期间，特立尼达和多巴哥妇女在教育、经济参与、政治代表和立法支持等重点领域获得了显著进步，社会经济地位得到提高。这反映在联合国开发计划署《</w:t>
      </w:r>
      <w:r w:rsidRPr="009F751C">
        <w:t>2013</w:t>
      </w:r>
      <w:r w:rsidRPr="009F751C">
        <w:rPr>
          <w:rFonts w:hint="eastAsia"/>
        </w:rPr>
        <w:t>年人类发展报告</w:t>
      </w:r>
      <w:r w:rsidRPr="009F751C">
        <w:rPr>
          <w:rFonts w:hint="eastAsia"/>
          <w:lang w:val="en-TT"/>
        </w:rPr>
        <w:t>》中，</w:t>
      </w:r>
      <w:r w:rsidRPr="009F751C">
        <w:rPr>
          <w:rFonts w:hint="eastAsia"/>
        </w:rPr>
        <w:t>特立尼达和多巴哥的性别不平等指数在</w:t>
      </w:r>
      <w:r w:rsidRPr="009F751C">
        <w:t>186</w:t>
      </w:r>
      <w:r w:rsidRPr="009F751C">
        <w:rPr>
          <w:rFonts w:hint="eastAsia"/>
        </w:rPr>
        <w:t>个国家中排在第</w:t>
      </w:r>
      <w:r w:rsidRPr="009F751C">
        <w:t>50</w:t>
      </w:r>
      <w:r w:rsidRPr="009F751C">
        <w:rPr>
          <w:rFonts w:hint="eastAsia"/>
        </w:rPr>
        <w:t>名，与此前报告中的第</w:t>
      </w:r>
      <w:r w:rsidRPr="009F751C">
        <w:t>53</w:t>
      </w:r>
      <w:r w:rsidRPr="009F751C">
        <w:rPr>
          <w:rFonts w:hint="eastAsia"/>
        </w:rPr>
        <w:t>名相比有所改善。</w:t>
      </w:r>
    </w:p>
    <w:p w:rsidR="00D977B9" w:rsidRPr="009F751C" w:rsidRDefault="00D977B9" w:rsidP="00D977B9">
      <w:pPr>
        <w:pStyle w:val="SingleTxt"/>
        <w:tabs>
          <w:tab w:val="clear" w:pos="1695"/>
          <w:tab w:val="left" w:pos="1568"/>
        </w:tabs>
        <w:spacing w:after="120"/>
        <w:ind w:left="1134" w:right="1134"/>
      </w:pPr>
      <w:r w:rsidRPr="009F751C">
        <w:t>109.</w:t>
      </w:r>
      <w:r w:rsidRPr="009F751C">
        <w:tab/>
      </w:r>
      <w:r w:rsidRPr="009F751C">
        <w:rPr>
          <w:rFonts w:hint="eastAsia"/>
        </w:rPr>
        <w:t>总体国家政策框架可持续发展七大相互关联的支柱力图促进特立尼达和多巴哥所有人的进步。性别平等被确定为“建设对性别平等认识更加敏感的社会并加强对妇女问题和权利的认识”这一议程的不可或缺的组成部分。</w:t>
      </w:r>
      <w:r w:rsidRPr="00D977B9">
        <w:rPr>
          <w:rStyle w:val="FootnoteReference"/>
        </w:rPr>
        <w:footnoteReference w:id="28"/>
      </w:r>
    </w:p>
    <w:p w:rsidR="00D977B9" w:rsidRPr="009F751C" w:rsidRDefault="00D977B9" w:rsidP="00D977B9">
      <w:pPr>
        <w:pStyle w:val="SingleTxt"/>
        <w:tabs>
          <w:tab w:val="clear" w:pos="1695"/>
          <w:tab w:val="left" w:pos="1568"/>
        </w:tabs>
        <w:spacing w:after="120"/>
        <w:ind w:left="1134" w:right="1134"/>
      </w:pPr>
      <w:r w:rsidRPr="009F751C">
        <w:t>110.</w:t>
      </w:r>
      <w:r w:rsidRPr="009F751C">
        <w:tab/>
      </w:r>
      <w:r w:rsidRPr="009F751C">
        <w:rPr>
          <w:rFonts w:hint="eastAsia"/>
        </w:rPr>
        <w:t>全国高等教育、研究、科学和技术学院出版了《科学领域的加勒比妇女及其事业》，第</w:t>
      </w:r>
      <w:r w:rsidRPr="009F751C">
        <w:t>5</w:t>
      </w:r>
      <w:r w:rsidRPr="009F751C">
        <w:rPr>
          <w:rFonts w:hint="eastAsia"/>
        </w:rPr>
        <w:t>期科学技术和创新领域偶像人物丛刊，并与培训机构合作，编制了《特立尼达和多巴哥科学、技术和创新领域偶像人物丛刊》（第</w:t>
      </w:r>
      <w:r w:rsidRPr="009F751C">
        <w:t>2</w:t>
      </w:r>
      <w:r w:rsidRPr="009F751C">
        <w:rPr>
          <w:rFonts w:hint="eastAsia"/>
        </w:rPr>
        <w:t>卷），介绍国家</w:t>
      </w:r>
      <w:r w:rsidRPr="009F751C">
        <w:t>29</w:t>
      </w:r>
      <w:r w:rsidRPr="009F751C">
        <w:rPr>
          <w:rFonts w:hint="eastAsia"/>
        </w:rPr>
        <w:t>位杰出的科学家、工程师和创新者。</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4</w:t>
      </w:r>
      <w:r w:rsidRPr="009F751C">
        <w:rPr>
          <w:rFonts w:ascii="Times New Roman" w:hint="eastAsia"/>
        </w:rPr>
        <w:t>条：加速实现男女平等</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111.</w:t>
      </w:r>
      <w:r w:rsidRPr="009F751C">
        <w:tab/>
      </w:r>
      <w:r w:rsidRPr="009F751C">
        <w:rPr>
          <w:rFonts w:hint="eastAsia"/>
        </w:rPr>
        <w:t>特立尼达和多巴哥政府通过技术和财政援助等方式支持性别相关民间组织的工作。数以百计的非政府组织继续获得支持，以实施获得批准的方案，进行培训和能力建设，获得财产并参与地方、区域和国际性别论坛。</w:t>
      </w:r>
    </w:p>
    <w:p w:rsidR="00D977B9" w:rsidRPr="009F751C" w:rsidRDefault="00D977B9" w:rsidP="00D977B9">
      <w:pPr>
        <w:pStyle w:val="SingleTxt"/>
        <w:tabs>
          <w:tab w:val="clear" w:pos="1695"/>
          <w:tab w:val="left" w:pos="1568"/>
        </w:tabs>
        <w:spacing w:after="120"/>
        <w:ind w:left="1134" w:right="1134"/>
      </w:pPr>
      <w:r w:rsidRPr="009F751C">
        <w:t>112.</w:t>
      </w:r>
      <w:r w:rsidRPr="009F751C">
        <w:tab/>
      </w:r>
      <w:r w:rsidRPr="009F751C">
        <w:rPr>
          <w:rFonts w:hint="eastAsia"/>
        </w:rPr>
        <w:t>为促进性别平等和公平，开展了关于性别和发展的广泛公众宣传和教育。这些活动通过多种途径针对普通公众。始终为学校、国防部队、政府部委及其性别平等问题协调人以及民间社会等机构提供性别培训讲习班。为纪念国际妇女节，在全国范围内举行了各种讲习班，主题包括家庭暴力、性健康和生殖健康、生活技能、农业、就业和就业能力、健康和安全以及促进性别平等的预算编制。</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5</w:t>
      </w:r>
      <w:r w:rsidRPr="009F751C">
        <w:rPr>
          <w:rFonts w:ascii="Times New Roman" w:hint="eastAsia"/>
        </w:rPr>
        <w:t>条：消除性别角色和陈规定型观念</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113.</w:t>
      </w:r>
      <w:r w:rsidRPr="009F751C">
        <w:tab/>
      </w:r>
      <w:r w:rsidRPr="009F751C">
        <w:rPr>
          <w:rFonts w:hint="eastAsia"/>
        </w:rPr>
        <w:t>为消除社会上存在的性别陈规定型观念，性别事务司实施了“</w:t>
      </w:r>
      <w:r w:rsidRPr="009F751C">
        <w:rPr>
          <w:rFonts w:eastAsia="SimHei" w:hint="eastAsia"/>
        </w:rPr>
        <w:t>定义男子气概卓越方案”。</w:t>
      </w:r>
      <w:r w:rsidRPr="00D977B9">
        <w:rPr>
          <w:rStyle w:val="FootnoteReference"/>
        </w:rPr>
        <w:footnoteReference w:id="29"/>
      </w:r>
    </w:p>
    <w:p w:rsidR="00D977B9" w:rsidRPr="009F751C" w:rsidRDefault="00D977B9" w:rsidP="00D977B9">
      <w:pPr>
        <w:pStyle w:val="SingleTxt"/>
        <w:tabs>
          <w:tab w:val="clear" w:pos="1695"/>
          <w:tab w:val="left" w:pos="1568"/>
        </w:tabs>
        <w:spacing w:after="120"/>
        <w:ind w:left="1134" w:right="1134"/>
      </w:pPr>
      <w:r w:rsidRPr="009F751C">
        <w:t>114.</w:t>
      </w:r>
      <w:r w:rsidRPr="009F751C">
        <w:tab/>
      </w:r>
      <w:r w:rsidRPr="009F751C">
        <w:rPr>
          <w:rFonts w:hint="eastAsia"/>
        </w:rPr>
        <w:t>性别事务司还制作了一系列题为“你的性别议程：男性问题”的电视座谈节目。</w:t>
      </w:r>
      <w:r w:rsidRPr="00D977B9">
        <w:rPr>
          <w:rStyle w:val="FootnoteReference"/>
        </w:rPr>
        <w:footnoteReference w:id="30"/>
      </w:r>
    </w:p>
    <w:p w:rsidR="00D977B9" w:rsidRPr="009F751C" w:rsidRDefault="00D977B9" w:rsidP="00D977B9">
      <w:pPr>
        <w:pStyle w:val="SingleTxt"/>
        <w:tabs>
          <w:tab w:val="clear" w:pos="1695"/>
          <w:tab w:val="left" w:pos="1568"/>
        </w:tabs>
        <w:spacing w:after="120"/>
        <w:ind w:left="1134" w:right="1134"/>
      </w:pPr>
      <w:r w:rsidRPr="009F751C">
        <w:t>115.</w:t>
      </w:r>
      <w:r w:rsidRPr="009F751C">
        <w:tab/>
      </w:r>
      <w:r w:rsidRPr="009F751C">
        <w:rPr>
          <w:rFonts w:hint="eastAsia"/>
        </w:rPr>
        <w:t>性别事务司持续开展了名人讲座</w:t>
      </w:r>
      <w:r w:rsidRPr="009F751C">
        <w:t>/</w:t>
      </w:r>
      <w:r w:rsidRPr="009F751C">
        <w:rPr>
          <w:rFonts w:hint="eastAsia"/>
        </w:rPr>
        <w:t>讲习班系列活动。</w:t>
      </w:r>
      <w:r w:rsidRPr="00D977B9">
        <w:rPr>
          <w:rStyle w:val="FootnoteReference"/>
        </w:rPr>
        <w:footnoteReference w:id="31"/>
      </w:r>
    </w:p>
    <w:p w:rsidR="00D977B9" w:rsidRPr="009F751C" w:rsidRDefault="00D977B9" w:rsidP="00D977B9">
      <w:pPr>
        <w:pStyle w:val="SingleTxt"/>
        <w:tabs>
          <w:tab w:val="clear" w:pos="1695"/>
          <w:tab w:val="left" w:pos="1568"/>
        </w:tabs>
        <w:spacing w:after="120"/>
        <w:ind w:left="1134" w:right="1134"/>
      </w:pPr>
      <w:r w:rsidRPr="009F751C">
        <w:t>116.</w:t>
      </w:r>
      <w:r w:rsidRPr="009F751C">
        <w:tab/>
      </w:r>
      <w:r w:rsidRPr="009F751C">
        <w:rPr>
          <w:rFonts w:hint="eastAsia"/>
        </w:rPr>
        <w:t>“</w:t>
      </w:r>
      <w:r w:rsidRPr="009F751C">
        <w:rPr>
          <w:rFonts w:eastAsia="SimHei" w:hint="eastAsia"/>
          <w:spacing w:val="2"/>
        </w:rPr>
        <w:t>妇女非传统技能培训方案”</w:t>
      </w:r>
      <w:r w:rsidRPr="009F751C">
        <w:rPr>
          <w:rFonts w:hint="eastAsia"/>
          <w:spacing w:val="2"/>
        </w:rPr>
        <w:t>针对的是</w:t>
      </w:r>
      <w:r w:rsidRPr="009F751C">
        <w:rPr>
          <w:spacing w:val="2"/>
        </w:rPr>
        <w:t>18</w:t>
      </w:r>
      <w:r w:rsidRPr="009F751C">
        <w:rPr>
          <w:rFonts w:hint="eastAsia"/>
          <w:spacing w:val="2"/>
        </w:rPr>
        <w:t>至</w:t>
      </w:r>
      <w:r w:rsidRPr="009F751C">
        <w:rPr>
          <w:spacing w:val="2"/>
        </w:rPr>
        <w:t>50</w:t>
      </w:r>
      <w:r w:rsidRPr="009F751C">
        <w:rPr>
          <w:rFonts w:hint="eastAsia"/>
          <w:spacing w:val="2"/>
        </w:rPr>
        <w:t>岁缺乏技能、失业或低工资的妇女，并提供为期六个月的非全日制培训，每天提供</w:t>
      </w:r>
      <w:r w:rsidRPr="009F751C">
        <w:t>60.00</w:t>
      </w:r>
      <w:r w:rsidRPr="009F751C">
        <w:rPr>
          <w:rFonts w:hint="eastAsia"/>
        </w:rPr>
        <w:t>特元的助学金。该方案旨在提供建筑、木工、汽车修理、技术、工业维护等领域的专业技术和职业培训以及基于社区需求的创业、补救性扫盲和计算能力等其他培训。</w:t>
      </w:r>
    </w:p>
    <w:p w:rsidR="00D977B9" w:rsidRPr="009F751C" w:rsidRDefault="00D977B9" w:rsidP="00D977B9">
      <w:pPr>
        <w:pStyle w:val="SingleTxt"/>
        <w:tabs>
          <w:tab w:val="clear" w:pos="1695"/>
          <w:tab w:val="left" w:pos="1568"/>
        </w:tabs>
        <w:spacing w:after="120"/>
        <w:ind w:left="1134" w:right="1134"/>
      </w:pPr>
      <w:r w:rsidRPr="009F751C">
        <w:t>117.</w:t>
      </w:r>
      <w:r w:rsidRPr="009F751C">
        <w:tab/>
      </w:r>
      <w:r w:rsidRPr="009F751C">
        <w:rPr>
          <w:rFonts w:hint="eastAsia"/>
        </w:rPr>
        <w:t>培训还包括创业、生活技能、性别、补救性扫盲和计算能力以及基于社区需求的其他非传统技能。该方案在六个月时间内以非全日制形式提供总计</w:t>
      </w:r>
      <w:r w:rsidRPr="009F751C">
        <w:t>320</w:t>
      </w:r>
      <w:r w:rsidRPr="009F751C">
        <w:rPr>
          <w:rFonts w:hint="eastAsia"/>
        </w:rPr>
        <w:t>小时的培训，并且在此期间，每周有三天提供每天</w:t>
      </w:r>
      <w:r w:rsidRPr="009F751C">
        <w:t>60.00</w:t>
      </w:r>
      <w:r w:rsidRPr="009F751C">
        <w:rPr>
          <w:rFonts w:hint="eastAsia"/>
        </w:rPr>
        <w:t>特元的助学金。方案针对</w:t>
      </w:r>
      <w:r w:rsidRPr="009F751C">
        <w:t>18</w:t>
      </w:r>
      <w:r w:rsidRPr="009F751C">
        <w:rPr>
          <w:rFonts w:hint="eastAsia"/>
        </w:rPr>
        <w:t>至</w:t>
      </w:r>
      <w:r w:rsidRPr="009F751C">
        <w:t>50</w:t>
      </w:r>
      <w:r w:rsidRPr="009F751C">
        <w:rPr>
          <w:rFonts w:hint="eastAsia"/>
        </w:rPr>
        <w:t>岁</w:t>
      </w:r>
      <w:r w:rsidRPr="009F751C">
        <w:rPr>
          <w:rFonts w:hint="eastAsia"/>
          <w:spacing w:val="2"/>
        </w:rPr>
        <w:t>缺乏技能、失业或低工资的妇女</w:t>
      </w:r>
      <w:r w:rsidRPr="009F751C">
        <w:rPr>
          <w:rFonts w:hint="eastAsia"/>
        </w:rPr>
        <w:t>。</w:t>
      </w:r>
    </w:p>
    <w:p w:rsidR="00D977B9" w:rsidRPr="009F751C" w:rsidRDefault="00D977B9" w:rsidP="00D977B9">
      <w:pPr>
        <w:pStyle w:val="SingleTxt"/>
        <w:tabs>
          <w:tab w:val="clear" w:pos="1695"/>
          <w:tab w:val="left" w:pos="1568"/>
        </w:tabs>
        <w:spacing w:after="120"/>
        <w:ind w:left="1134" w:right="1134"/>
      </w:pPr>
      <w:r w:rsidRPr="009F751C">
        <w:t>118.</w:t>
      </w:r>
      <w:r w:rsidRPr="009F751C">
        <w:tab/>
      </w:r>
      <w:r w:rsidRPr="009F751C">
        <w:rPr>
          <w:rFonts w:hint="eastAsia"/>
        </w:rPr>
        <w:t>妇女电气协会是一个非政府组织，在电路板和荧光灯制作、小家电维修以及陶艺、混凝土工程和家具课程等领域提供非传统培训。</w:t>
      </w:r>
    </w:p>
    <w:p w:rsidR="00D977B9" w:rsidRPr="009F751C" w:rsidRDefault="00D977B9" w:rsidP="00D977B9">
      <w:pPr>
        <w:pStyle w:val="SingleTxt"/>
        <w:tabs>
          <w:tab w:val="clear" w:pos="1695"/>
          <w:tab w:val="left" w:pos="1568"/>
        </w:tabs>
        <w:spacing w:after="120"/>
        <w:ind w:left="1134" w:right="1134"/>
      </w:pPr>
      <w:r w:rsidRPr="009F751C">
        <w:t>119.</w:t>
      </w:r>
      <w:r w:rsidRPr="009F751C">
        <w:tab/>
      </w:r>
      <w:r w:rsidRPr="009F751C">
        <w:rPr>
          <w:rFonts w:hint="eastAsia"/>
        </w:rPr>
        <w:t>与此类似的是，通过积极鼓励妇女投身农业事业，努力改变与传统男性和女性职业相关的陈规定型认识和态度。通过农业青年学徒方案一期工作，</w:t>
      </w:r>
      <w:r w:rsidRPr="009F751C">
        <w:t>2005</w:t>
      </w:r>
      <w:r w:rsidRPr="009F751C">
        <w:rPr>
          <w:rFonts w:hint="eastAsia"/>
        </w:rPr>
        <w:t>至</w:t>
      </w:r>
      <w:r w:rsidRPr="009F751C">
        <w:t>2012</w:t>
      </w:r>
      <w:r w:rsidRPr="009F751C">
        <w:rPr>
          <w:rFonts w:hint="eastAsia"/>
        </w:rPr>
        <w:t>年间，超过</w:t>
      </w:r>
      <w:r w:rsidRPr="009F751C">
        <w:t>1 367</w:t>
      </w:r>
      <w:r w:rsidRPr="009F751C">
        <w:rPr>
          <w:rFonts w:hint="eastAsia"/>
        </w:rPr>
        <w:t>名妇女获得了农业实际田间培训，迄今为止，该方案仍在继续进行。</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6</w:t>
      </w:r>
      <w:r w:rsidRPr="009F751C">
        <w:rPr>
          <w:rFonts w:ascii="Times New Roman" w:hint="eastAsia"/>
        </w:rPr>
        <w:t>条：禁止对妇女的剥削</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120.</w:t>
      </w:r>
      <w:r w:rsidRPr="009F751C">
        <w:tab/>
      </w:r>
      <w:r w:rsidRPr="009F751C">
        <w:rPr>
          <w:rFonts w:hint="eastAsia"/>
        </w:rPr>
        <w:t>持续采取措施防止、惩治和消除暴力侵害妇女的行为。其中一项措施是特立尼达和多巴哥在</w:t>
      </w:r>
      <w:r w:rsidRPr="009F751C">
        <w:t>2001</w:t>
      </w:r>
      <w:r w:rsidRPr="009F751C">
        <w:rPr>
          <w:rFonts w:hint="eastAsia"/>
        </w:rPr>
        <w:t>年签署了《联合国打击跨国有组织犯罪公约》及其《</w:t>
      </w:r>
      <w:r>
        <w:rPr>
          <w:rFonts w:hint="eastAsia"/>
        </w:rPr>
        <w:t>关于</w:t>
      </w:r>
      <w:r w:rsidRPr="009F751C">
        <w:rPr>
          <w:rFonts w:hint="eastAsia"/>
        </w:rPr>
        <w:t>防止、禁止和惩治贩运人口特别是妇女和儿童行为的议定书》，并随后在</w:t>
      </w:r>
      <w:r w:rsidRPr="009F751C">
        <w:t>2007</w:t>
      </w:r>
      <w:r w:rsidRPr="009F751C">
        <w:rPr>
          <w:rFonts w:hint="eastAsia"/>
        </w:rPr>
        <w:t>年</w:t>
      </w:r>
      <w:r w:rsidRPr="009F751C">
        <w:t>11</w:t>
      </w:r>
      <w:r w:rsidRPr="009F751C">
        <w:rPr>
          <w:rFonts w:hint="eastAsia"/>
        </w:rPr>
        <w:t>月批准了这些文书。为实施这些文书，通过了“特立尼达和多巴哥打击贩运人口行动计划”，在专门的多部门工作队多次召开会议之后，</w:t>
      </w:r>
      <w:r w:rsidRPr="009F751C">
        <w:t>2011</w:t>
      </w:r>
      <w:r w:rsidRPr="009F751C">
        <w:rPr>
          <w:rFonts w:hint="eastAsia"/>
        </w:rPr>
        <w:t>年通过了《贩运人口法案》，于</w:t>
      </w:r>
      <w:r w:rsidRPr="009F751C">
        <w:t>2013</w:t>
      </w:r>
      <w:r w:rsidRPr="009F751C">
        <w:rPr>
          <w:rFonts w:hint="eastAsia"/>
        </w:rPr>
        <w:t>年</w:t>
      </w:r>
      <w:r w:rsidRPr="009F751C">
        <w:t>1</w:t>
      </w:r>
      <w:r w:rsidRPr="009F751C">
        <w:rPr>
          <w:rFonts w:hint="eastAsia"/>
        </w:rPr>
        <w:t>月开始实施。此后成立了打击贩运股，除其他外，其职责是调查案件、审查、确认、保护和援助受害者，并提高公众对该犯罪行为的认识。政府与民间社会及国际移民组织（移民组织）也开展了重要合作，解决贩运人口问题，其中一项活动是提高国家认识的方案，题为“重新定义男性卓越：信守承诺结束对妇女和女童的性剥削，重点关注消除对性服务的需求”。</w:t>
      </w:r>
    </w:p>
    <w:p w:rsidR="00D977B9" w:rsidRPr="009F751C" w:rsidRDefault="00D977B9" w:rsidP="00D977B9">
      <w:pPr>
        <w:pStyle w:val="SingleTxt"/>
        <w:tabs>
          <w:tab w:val="clear" w:pos="1695"/>
          <w:tab w:val="left" w:pos="1568"/>
        </w:tabs>
        <w:spacing w:after="120"/>
        <w:ind w:left="1134" w:right="1134"/>
      </w:pPr>
      <w:r w:rsidRPr="009F751C">
        <w:t>121.</w:t>
      </w:r>
      <w:r w:rsidRPr="009F751C">
        <w:tab/>
      </w:r>
      <w:r w:rsidRPr="009F751C">
        <w:rPr>
          <w:rFonts w:hint="eastAsia"/>
        </w:rPr>
        <w:t>家庭暴力热线是每周</w:t>
      </w:r>
      <w:r w:rsidRPr="009F751C">
        <w:t>7</w:t>
      </w:r>
      <w:r w:rsidRPr="009F751C">
        <w:rPr>
          <w:rFonts w:hint="eastAsia"/>
        </w:rPr>
        <w:t>天、每天</w:t>
      </w:r>
      <w:r w:rsidRPr="009F751C">
        <w:t>24</w:t>
      </w:r>
      <w:r w:rsidRPr="009F751C">
        <w:rPr>
          <w:rFonts w:hint="eastAsia"/>
        </w:rPr>
        <w:t>小时开通的免费服务，包括公共节假日，为呼叫者</w:t>
      </w:r>
      <w:r w:rsidRPr="009F751C">
        <w:t>/</w:t>
      </w:r>
      <w:r w:rsidRPr="009F751C">
        <w:rPr>
          <w:rFonts w:hint="eastAsia"/>
        </w:rPr>
        <w:t>客户提供咨询；与警察的最初联系；介绍庇护所；提供建议和支持。政府与非政府组织“家庭在行动”签订合同，由该组织管理和监督热线服务，并为公布情况提供数据收集和分析。根据</w:t>
      </w:r>
      <w:r w:rsidRPr="009F751C">
        <w:t>1999</w:t>
      </w:r>
      <w:r w:rsidRPr="009F751C">
        <w:rPr>
          <w:rFonts w:hint="eastAsia"/>
        </w:rPr>
        <w:t>年《反家庭暴力法案》，与圣奥古斯丁西印度群岛大学亚瑟爵士社会和经济学研究所签订合同，由其开展家庭暴力数据中央登记处试点工作。</w:t>
      </w:r>
    </w:p>
    <w:p w:rsidR="00D977B9" w:rsidRPr="009F751C" w:rsidRDefault="00D977B9" w:rsidP="00D977B9">
      <w:pPr>
        <w:pStyle w:val="SingleTxt"/>
        <w:tabs>
          <w:tab w:val="clear" w:pos="1695"/>
          <w:tab w:val="left" w:pos="1568"/>
        </w:tabs>
        <w:spacing w:after="120"/>
        <w:ind w:left="1134" w:right="1134"/>
      </w:pPr>
      <w:r w:rsidRPr="009F751C">
        <w:t>122.</w:t>
      </w:r>
      <w:r w:rsidRPr="009F751C">
        <w:tab/>
      </w:r>
      <w:r w:rsidRPr="009F751C">
        <w:rPr>
          <w:rFonts w:hint="eastAsia"/>
        </w:rPr>
        <w:t>特立尼达和多巴哥的庇护所由非政府组织在政府补助金的支持下进行管理。目前，特立尼达有十二（</w:t>
      </w:r>
      <w:r w:rsidRPr="009F751C">
        <w:t>12</w:t>
      </w:r>
      <w:r w:rsidRPr="009F751C">
        <w:rPr>
          <w:rFonts w:hint="eastAsia"/>
        </w:rPr>
        <w:t>）家庇护所，多巴哥有一（</w:t>
      </w:r>
      <w:r w:rsidRPr="009F751C">
        <w:t>1</w:t>
      </w:r>
      <w:r w:rsidRPr="009F751C">
        <w:rPr>
          <w:rFonts w:hint="eastAsia"/>
        </w:rPr>
        <w:t>）家。特立尼达和多巴哥警察署管理一（</w:t>
      </w:r>
      <w:r w:rsidRPr="009F751C">
        <w:t>1</w:t>
      </w:r>
      <w:r w:rsidRPr="009F751C">
        <w:rPr>
          <w:rFonts w:hint="eastAsia"/>
        </w:rPr>
        <w:t>）处过渡性庇护所，为性别暴力受害者在过渡到其他庇护所之前提供短期膳宿。根据国际最佳做法，目前正在审查现有庇护所的运行情况，正在为设立三（</w:t>
      </w:r>
      <w:r w:rsidRPr="009F751C">
        <w:t>3</w:t>
      </w:r>
      <w:r w:rsidRPr="009F751C">
        <w:rPr>
          <w:rFonts w:hint="eastAsia"/>
        </w:rPr>
        <w:t>）家示范庇护所起草指导方针，这些庇护所面向性别暴力受害者</w:t>
      </w:r>
      <w:r w:rsidRPr="009F751C">
        <w:t>/</w:t>
      </w:r>
      <w:r w:rsidRPr="009F751C">
        <w:rPr>
          <w:rFonts w:hint="eastAsia"/>
        </w:rPr>
        <w:t>幸存者，其中一个面向男性。</w:t>
      </w:r>
    </w:p>
    <w:p w:rsidR="00D977B9" w:rsidRPr="009F751C" w:rsidRDefault="00D977B9" w:rsidP="00D977B9">
      <w:pPr>
        <w:pStyle w:val="SingleTxt"/>
        <w:tabs>
          <w:tab w:val="clear" w:pos="1695"/>
          <w:tab w:val="left" w:pos="1568"/>
        </w:tabs>
        <w:spacing w:after="120"/>
        <w:ind w:left="1134" w:right="1134"/>
      </w:pPr>
      <w:r w:rsidRPr="009F751C">
        <w:t>123.</w:t>
      </w:r>
      <w:r w:rsidRPr="009F751C">
        <w:tab/>
      </w:r>
      <w:r w:rsidRPr="009F751C">
        <w:rPr>
          <w:rFonts w:hint="eastAsia"/>
        </w:rPr>
        <w:t>免预约中心每周为社区提供咨询服务和其他形式的干预。获得社区免预约中心和资源设施服务的途径得到改善，设立了专门针对男性的设施。如有必要，可以将客户转介给适当的机构，使他们的问题得到解决和</w:t>
      </w:r>
      <w:r w:rsidRPr="009F751C">
        <w:t>/</w:t>
      </w:r>
      <w:r w:rsidRPr="009F751C">
        <w:rPr>
          <w:rFonts w:hint="eastAsia"/>
        </w:rPr>
        <w:t>或加强提供的服务。已经对中心进行评估，正在努力调整模式。</w:t>
      </w:r>
    </w:p>
    <w:p w:rsidR="00D977B9" w:rsidRPr="009F751C" w:rsidRDefault="00D977B9" w:rsidP="00D977B9">
      <w:pPr>
        <w:pStyle w:val="SingleTxt"/>
        <w:tabs>
          <w:tab w:val="clear" w:pos="1695"/>
          <w:tab w:val="left" w:pos="1568"/>
        </w:tabs>
        <w:spacing w:after="120"/>
        <w:ind w:left="1134" w:right="1134"/>
      </w:pPr>
      <w:r w:rsidRPr="009F751C">
        <w:t>124.</w:t>
      </w:r>
      <w:r w:rsidRPr="009F751C">
        <w:tab/>
      </w:r>
      <w:r w:rsidRPr="009F751C">
        <w:rPr>
          <w:rFonts w:hint="eastAsia"/>
        </w:rPr>
        <w:t>性别暴力的受害者还可以通过法律援助署及监察员获得法律服务，农村社区也可以获得监察员的服务。</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7</w:t>
      </w:r>
      <w:r w:rsidRPr="009F751C">
        <w:rPr>
          <w:rFonts w:ascii="Times New Roman" w:hint="eastAsia"/>
        </w:rPr>
        <w:t>条：政治和公共生活中的平等权利</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125.</w:t>
      </w:r>
      <w:r w:rsidRPr="009F751C">
        <w:tab/>
      </w:r>
      <w:r w:rsidRPr="009F751C">
        <w:rPr>
          <w:rFonts w:hint="eastAsia"/>
        </w:rPr>
        <w:t>妇女参与国家领导和决策的总体数量增加，国家更加致力于建立加速在各级选举进程中在政治参与和代表方面实现性别公平的机制。</w:t>
      </w:r>
      <w:r w:rsidRPr="009F751C">
        <w:t>2010</w:t>
      </w:r>
      <w:r w:rsidRPr="009F751C">
        <w:rPr>
          <w:rFonts w:hint="eastAsia"/>
        </w:rPr>
        <w:t>年，特立尼达和多巴哥令人瞩目地选举出首位女总理，其随后成为英联邦首位女性轮值主席。在担任总理职务前，她还曾担任首位女性反对党领袖。</w:t>
      </w:r>
    </w:p>
    <w:p w:rsidR="00D977B9" w:rsidRPr="009F751C" w:rsidRDefault="00D977B9" w:rsidP="00D977B9">
      <w:pPr>
        <w:pStyle w:val="SingleTxt"/>
        <w:tabs>
          <w:tab w:val="clear" w:pos="1695"/>
          <w:tab w:val="left" w:pos="1568"/>
        </w:tabs>
        <w:spacing w:after="120"/>
        <w:ind w:left="1134" w:right="1134"/>
      </w:pPr>
      <w:r w:rsidRPr="009F751C">
        <w:t>126.</w:t>
      </w:r>
      <w:r w:rsidRPr="009F751C">
        <w:tab/>
      </w:r>
      <w:r w:rsidRPr="009F751C">
        <w:rPr>
          <w:rFonts w:hint="eastAsia"/>
        </w:rPr>
        <w:t>特立尼达和多巴哥在各国议会联盟</w:t>
      </w:r>
      <w:r w:rsidRPr="009F751C">
        <w:t>2013</w:t>
      </w:r>
      <w:r w:rsidRPr="009F751C">
        <w:rPr>
          <w:rFonts w:hint="eastAsia"/>
        </w:rPr>
        <w:t>年对世界各国妇女当选议员情况进行排序中排在第</w:t>
      </w:r>
      <w:r w:rsidRPr="009F751C">
        <w:t>33</w:t>
      </w:r>
      <w:r w:rsidRPr="009F751C">
        <w:rPr>
          <w:rFonts w:hint="eastAsia"/>
        </w:rPr>
        <w:t>名，妇女在下议院（众议院）的所占比例为</w:t>
      </w:r>
      <w:r w:rsidRPr="009F751C">
        <w:t>28.6%</w:t>
      </w:r>
      <w:r w:rsidRPr="009F751C">
        <w:rPr>
          <w:rFonts w:hint="eastAsia"/>
        </w:rPr>
        <w:t>。在上议院（参议院），女性获得</w:t>
      </w:r>
      <w:r w:rsidRPr="009F751C">
        <w:t>25.8%</w:t>
      </w:r>
      <w:r w:rsidRPr="009F751C">
        <w:rPr>
          <w:rFonts w:hint="eastAsia"/>
        </w:rPr>
        <w:t>的议席。在地方政府层面，妇女的总体参与率占</w:t>
      </w:r>
      <w:r w:rsidRPr="009F751C">
        <w:t>32%</w:t>
      </w:r>
      <w:r w:rsidRPr="009F751C">
        <w:rPr>
          <w:rFonts w:hint="eastAsia"/>
        </w:rPr>
        <w:t>。</w:t>
      </w:r>
    </w:p>
    <w:p w:rsidR="00D977B9" w:rsidRPr="009F751C" w:rsidRDefault="00D977B9" w:rsidP="00D977B9">
      <w:pPr>
        <w:pStyle w:val="SingleTxt"/>
        <w:tabs>
          <w:tab w:val="clear" w:pos="1695"/>
          <w:tab w:val="left" w:pos="1568"/>
        </w:tabs>
        <w:spacing w:after="120"/>
        <w:ind w:left="1134" w:right="1134"/>
      </w:pPr>
      <w:r w:rsidRPr="009F751C">
        <w:t>127.</w:t>
      </w:r>
      <w:r w:rsidRPr="009F751C">
        <w:tab/>
        <w:t>2010</w:t>
      </w:r>
      <w:r w:rsidRPr="009F751C">
        <w:rPr>
          <w:rFonts w:hint="eastAsia"/>
        </w:rPr>
        <w:t>年，特立尼达和多巴哥非政府组织“提高妇女地位网络”报告，妇女在所有法定机构、国有企业、特定公司、私营上市企业、信用社和工会的行政管理层成员中平均占</w:t>
      </w:r>
      <w:r w:rsidRPr="009F751C">
        <w:t>29%</w:t>
      </w:r>
      <w:r w:rsidRPr="009F751C">
        <w:rPr>
          <w:rFonts w:hint="eastAsia"/>
        </w:rPr>
        <w:t>，从而增加了妇女在影响立法和政策制定方面的作用。</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3E73E0" w:rsidP="00D977B9">
      <w:pPr>
        <w:pStyle w:val="H23"/>
        <w:tabs>
          <w:tab w:val="left" w:pos="1568"/>
        </w:tabs>
        <w:ind w:left="1134" w:right="1134"/>
        <w:rPr>
          <w:rFonts w:ascii="Times New Roman"/>
        </w:rPr>
      </w:pPr>
      <w:r>
        <w:rPr>
          <w:rFonts w:ascii="Times New Roman"/>
        </w:rPr>
        <w:br w:type="page"/>
      </w:r>
      <w:r w:rsidR="00D977B9" w:rsidRPr="009F751C">
        <w:rPr>
          <w:rFonts w:ascii="Times New Roman" w:hint="eastAsia"/>
        </w:rPr>
        <w:t>第</w:t>
      </w:r>
      <w:r w:rsidR="00D977B9" w:rsidRPr="009F751C">
        <w:rPr>
          <w:rFonts w:ascii="Times New Roman"/>
        </w:rPr>
        <w:t>8</w:t>
      </w:r>
      <w:r w:rsidR="00D977B9" w:rsidRPr="009F751C">
        <w:rPr>
          <w:rFonts w:ascii="Times New Roman" w:hint="eastAsia"/>
        </w:rPr>
        <w:t>条：在国际上的代表和参与</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128.</w:t>
      </w:r>
      <w:r w:rsidRPr="009F751C">
        <w:tab/>
      </w:r>
      <w:r w:rsidRPr="009F751C">
        <w:rPr>
          <w:rFonts w:hint="eastAsia"/>
        </w:rPr>
        <w:t>特立尼达和多巴哥政府支持妇女代表和参与促进性别及发展的相关机构以及成为国际和区域论坛的人员。这包括与联合国系统相关的机构；美洲国家组织（美洲组织）；英联邦秘书处和加勒比共同体（加共体）。特立尼达和多巴哥与区域及多边机构合作，努力促进性别平等和公平，包括在以下方面：</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自</w:t>
      </w:r>
      <w:r w:rsidRPr="009F751C">
        <w:t>2010</w:t>
      </w:r>
      <w:r w:rsidRPr="009F751C">
        <w:rPr>
          <w:rFonts w:hint="eastAsia"/>
        </w:rPr>
        <w:t>年联合国促进性别平等和增强妇女权能署（妇女署）成立以来，内阁每年批准并向妇女署及其前身联合国妇女发展基金（妇发基金）拨付</w:t>
      </w:r>
      <w:r w:rsidRPr="009F751C">
        <w:t>5 000.00</w:t>
      </w:r>
      <w:r w:rsidRPr="009F751C">
        <w:rPr>
          <w:rFonts w:hint="eastAsia"/>
        </w:rPr>
        <w:t>美元赠款。</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内阁每年批准并为实施《美洲防止、惩罚和根除暴力侵害妇女行为公约》的后续机制以及</w:t>
      </w:r>
      <w:r w:rsidRPr="009F751C">
        <w:t>2010</w:t>
      </w:r>
      <w:r w:rsidRPr="009F751C">
        <w:rPr>
          <w:rFonts w:hint="eastAsia"/>
        </w:rPr>
        <w:t>年特立尼达和多巴哥提交关于该《公约》实施情况的第二次国家报告拨付</w:t>
      </w:r>
      <w:r w:rsidRPr="009F751C">
        <w:t>15 000.00</w:t>
      </w:r>
      <w:r w:rsidRPr="009F751C">
        <w:rPr>
          <w:rFonts w:hint="eastAsia"/>
        </w:rPr>
        <w:t>美元赠款。</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与联合国开发计划署（开发署）建立伙伴关系，持续开展</w:t>
      </w:r>
      <w:r w:rsidRPr="009F751C">
        <w:rPr>
          <w:rFonts w:eastAsia="SimHei" w:hint="eastAsia"/>
        </w:rPr>
        <w:t>名人讲座</w:t>
      </w:r>
      <w:r w:rsidRPr="009F751C">
        <w:rPr>
          <w:rFonts w:eastAsia="SimHei" w:hint="eastAsia"/>
        </w:rPr>
        <w:t>/</w:t>
      </w:r>
      <w:r w:rsidRPr="009F751C">
        <w:rPr>
          <w:rFonts w:eastAsia="SimHei" w:hint="eastAsia"/>
        </w:rPr>
        <w:t>讲习班系列活动</w:t>
      </w:r>
      <w:r w:rsidRPr="009F751C">
        <w:rPr>
          <w:rFonts w:hint="eastAsia"/>
        </w:rPr>
        <w:t>，目前正在编制关于所有讲座的出版物。</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与联合国人口基金（人口基金）建立伙伴关系，开展多项倡议活动，包括“</w:t>
      </w:r>
      <w:r w:rsidRPr="009F751C">
        <w:rPr>
          <w:rFonts w:eastAsia="SimHei" w:hint="eastAsia"/>
        </w:rPr>
        <w:t>性别以及性健康和生殖健康</w:t>
      </w:r>
      <w:r w:rsidRPr="009F751C">
        <w:rPr>
          <w:rFonts w:hint="eastAsia"/>
        </w:rPr>
        <w:t>”与“</w:t>
      </w:r>
      <w:r w:rsidRPr="009F751C">
        <w:rPr>
          <w:rFonts w:eastAsia="SimHei" w:hint="eastAsia"/>
        </w:rPr>
        <w:t>加勒比男子气概</w:t>
      </w:r>
      <w:r w:rsidRPr="009F751C">
        <w:rPr>
          <w:rFonts w:hint="eastAsia"/>
        </w:rPr>
        <w:t>”讲习班。人口基金协助性别事务司评估“</w:t>
      </w:r>
      <w:r w:rsidRPr="009F751C">
        <w:rPr>
          <w:rFonts w:eastAsia="SimHei" w:hint="eastAsia"/>
        </w:rPr>
        <w:t>定义男子气概卓越方案</w:t>
      </w:r>
      <w:r w:rsidRPr="009F751C">
        <w:rPr>
          <w:rFonts w:hint="eastAsia"/>
        </w:rPr>
        <w:t>”，并开展向男性宣传重要性别问题和性问题的公共教育方案。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与泛美卫生组织建立伙伴关系，为特立尼达和多巴哥各地的卫生领域专家提供性别平等宣传讲习班和“</w:t>
      </w:r>
      <w:r w:rsidRPr="009F751C">
        <w:rPr>
          <w:rFonts w:eastAsia="SimHei" w:hint="eastAsia"/>
        </w:rPr>
        <w:t>卫生部门性别平等主流化</w:t>
      </w:r>
      <w:r w:rsidRPr="009F751C">
        <w:rPr>
          <w:rFonts w:hint="eastAsia"/>
        </w:rPr>
        <w:t>”材料。</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9</w:t>
      </w:r>
      <w:r w:rsidRPr="009F751C">
        <w:rPr>
          <w:rFonts w:ascii="Times New Roman" w:hint="eastAsia"/>
        </w:rPr>
        <w:t>条：取得、改变或保留国籍的同等权利</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129.</w:t>
      </w:r>
      <w:r w:rsidRPr="009F751C">
        <w:tab/>
      </w:r>
      <w:r w:rsidRPr="009F751C">
        <w:rPr>
          <w:rFonts w:eastAsia="KaiTi_GB2312"/>
          <w:b/>
        </w:rPr>
        <w:t>2000</w:t>
      </w:r>
      <w:r w:rsidRPr="009F751C">
        <w:rPr>
          <w:rFonts w:eastAsia="KaiTi_GB2312" w:hint="eastAsia"/>
          <w:b/>
        </w:rPr>
        <w:t>年《特立尼达和多巴哥共和国公民身份法案（修正案）》</w:t>
      </w:r>
      <w:r w:rsidRPr="009F751C">
        <w:rPr>
          <w:rFonts w:hint="eastAsia"/>
        </w:rPr>
        <w:t>规定男女享有获得、改变或保留其国籍的平等权利。</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10</w:t>
      </w:r>
      <w:r w:rsidRPr="009F751C">
        <w:rPr>
          <w:rFonts w:ascii="Times New Roman" w:hint="eastAsia"/>
        </w:rPr>
        <w:t>条：教育领域的平等</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130.</w:t>
      </w:r>
      <w:r w:rsidRPr="009F751C">
        <w:tab/>
      </w:r>
      <w:r w:rsidRPr="009F751C">
        <w:rPr>
          <w:rFonts w:hint="eastAsia"/>
        </w:rPr>
        <w:t>特立尼达和多巴哥政府致力于提供平等的学前、初等、中学和高等教育。这一点从全国各地学校的公平分布中可以明显看出来。政府的“人人享有教育”政策重点是为男童和女童提供平等的待遇、关注和机会。因此，男童和女童在各个层级都接受相同的、不存在性别偏向的学校课程。</w:t>
      </w:r>
    </w:p>
    <w:p w:rsidR="00D977B9" w:rsidRPr="009F751C" w:rsidRDefault="00D977B9" w:rsidP="00D977B9">
      <w:pPr>
        <w:pStyle w:val="SingleTxt"/>
        <w:tabs>
          <w:tab w:val="clear" w:pos="1695"/>
          <w:tab w:val="left" w:pos="1568"/>
        </w:tabs>
        <w:spacing w:after="120"/>
        <w:ind w:left="1134" w:right="1134"/>
      </w:pPr>
      <w:r w:rsidRPr="009F751C">
        <w:t>131.</w:t>
      </w:r>
      <w:r w:rsidRPr="009F751C">
        <w:tab/>
      </w:r>
      <w:r w:rsidRPr="009F751C">
        <w:rPr>
          <w:rFonts w:hint="eastAsia"/>
        </w:rPr>
        <w:t>根据联合国开发计划署《</w:t>
      </w:r>
      <w:r w:rsidRPr="009F751C">
        <w:t>2013</w:t>
      </w:r>
      <w:r w:rsidRPr="009F751C">
        <w:rPr>
          <w:rFonts w:hint="eastAsia"/>
        </w:rPr>
        <w:t>年人类发展报告》，特立尼达和多巴哥在教育领域取得了高度的性别均等，至少完成中学教育的男女人口比例分别为</w:t>
      </w:r>
      <w:r w:rsidRPr="009F751C">
        <w:t xml:space="preserve">59.2% </w:t>
      </w:r>
      <w:r w:rsidRPr="009F751C">
        <w:rPr>
          <w:rFonts w:hint="eastAsia"/>
        </w:rPr>
        <w:t>和</w:t>
      </w:r>
      <w:r w:rsidRPr="009F751C">
        <w:t>59.4%</w:t>
      </w:r>
      <w:r w:rsidRPr="009F751C">
        <w:rPr>
          <w:rFonts w:hint="eastAsia"/>
        </w:rPr>
        <w:t>。</w:t>
      </w:r>
    </w:p>
    <w:p w:rsidR="00D977B9" w:rsidRPr="009F751C" w:rsidRDefault="00D977B9" w:rsidP="00D977B9">
      <w:pPr>
        <w:pStyle w:val="SingleTxt"/>
        <w:tabs>
          <w:tab w:val="clear" w:pos="1695"/>
          <w:tab w:val="left" w:pos="1568"/>
        </w:tabs>
        <w:spacing w:after="120"/>
        <w:ind w:left="1134" w:right="1134"/>
      </w:pPr>
      <w:r w:rsidRPr="009F751C">
        <w:t>132.</w:t>
      </w:r>
      <w:r w:rsidRPr="009F751C">
        <w:tab/>
      </w:r>
      <w:r w:rsidRPr="009F751C">
        <w:rPr>
          <w:rFonts w:hint="eastAsia"/>
        </w:rPr>
        <w:t>在高等教育方面，“政府援助学费开支方案”为所有经认证的高等教育机构的本科生课程支付</w:t>
      </w:r>
      <w:r w:rsidRPr="009F751C">
        <w:t>100%</w:t>
      </w:r>
      <w:r w:rsidRPr="009F751C">
        <w:rPr>
          <w:rFonts w:hint="eastAsia"/>
        </w:rPr>
        <w:t>的学费开支，为研究生课程支付</w:t>
      </w:r>
      <w:r w:rsidRPr="009F751C">
        <w:t>50%</w:t>
      </w:r>
      <w:r w:rsidRPr="009F751C">
        <w:rPr>
          <w:rFonts w:hint="eastAsia"/>
        </w:rPr>
        <w:t>的学费开支。这使获得高等教育入学人数从</w:t>
      </w:r>
      <w:r w:rsidRPr="009F751C">
        <w:t>2000</w:t>
      </w:r>
      <w:r w:rsidRPr="009F751C">
        <w:rPr>
          <w:rFonts w:hint="eastAsia"/>
        </w:rPr>
        <w:t>年的</w:t>
      </w:r>
      <w:r w:rsidRPr="009F751C">
        <w:t>7%</w:t>
      </w:r>
      <w:r w:rsidRPr="009F751C">
        <w:rPr>
          <w:rFonts w:hint="eastAsia"/>
        </w:rPr>
        <w:t>增加到</w:t>
      </w:r>
      <w:r w:rsidRPr="009F751C">
        <w:t>2012</w:t>
      </w:r>
      <w:r w:rsidRPr="009F751C">
        <w:rPr>
          <w:rFonts w:hint="eastAsia"/>
        </w:rPr>
        <w:t>年的大约</w:t>
      </w:r>
      <w:r w:rsidRPr="009F751C">
        <w:t>40%</w:t>
      </w:r>
      <w:r w:rsidRPr="009F751C">
        <w:rPr>
          <w:rFonts w:hint="eastAsia"/>
        </w:rPr>
        <w:t>。根据圣奥古斯丁西印度群岛大学</w:t>
      </w:r>
      <w:r w:rsidRPr="009F751C">
        <w:t>2012</w:t>
      </w:r>
      <w:r w:rsidRPr="009F751C">
        <w:rPr>
          <w:rFonts w:hint="eastAsia"/>
        </w:rPr>
        <w:t>至</w:t>
      </w:r>
      <w:r w:rsidRPr="009F751C">
        <w:t>2013</w:t>
      </w:r>
      <w:r w:rsidRPr="009F751C">
        <w:rPr>
          <w:rFonts w:hint="eastAsia"/>
        </w:rPr>
        <w:t>年度报告的记录，在校学生的注册总数为</w:t>
      </w:r>
      <w:r w:rsidRPr="009F751C">
        <w:t>19 017</w:t>
      </w:r>
      <w:r w:rsidRPr="009F751C">
        <w:rPr>
          <w:rFonts w:hint="eastAsia"/>
        </w:rPr>
        <w:t>人。在校学生注册总数中，特立尼达和多巴哥学生的百分比据报告为</w:t>
      </w:r>
      <w:r w:rsidRPr="009F751C">
        <w:t>90.4%</w:t>
      </w:r>
      <w:r w:rsidRPr="009F751C">
        <w:rPr>
          <w:rFonts w:hint="eastAsia"/>
        </w:rPr>
        <w:t>。</w:t>
      </w:r>
      <w:r w:rsidRPr="009F751C">
        <w:t>2012</w:t>
      </w:r>
      <w:r w:rsidRPr="009F751C">
        <w:rPr>
          <w:rFonts w:hint="eastAsia"/>
        </w:rPr>
        <w:t>至</w:t>
      </w:r>
      <w:r w:rsidRPr="009F751C">
        <w:t>2013</w:t>
      </w:r>
      <w:r w:rsidRPr="009F751C">
        <w:rPr>
          <w:rFonts w:hint="eastAsia"/>
        </w:rPr>
        <w:t>年，按性别计算，在校注册学生的</w:t>
      </w:r>
      <w:r w:rsidRPr="009F751C">
        <w:t>64%</w:t>
      </w:r>
      <w:r w:rsidRPr="009F751C">
        <w:rPr>
          <w:rFonts w:hint="eastAsia"/>
        </w:rPr>
        <w:t>为女性，</w:t>
      </w:r>
      <w:r w:rsidRPr="009F751C">
        <w:t>36%</w:t>
      </w:r>
      <w:r w:rsidRPr="009F751C">
        <w:rPr>
          <w:rFonts w:hint="eastAsia"/>
        </w:rPr>
        <w:t>为男性。女性扩大了她们的选择范围，如今，在物理学和自然科学等此前由男性主导的领域，女性人数与男性人数相等甚至更多，工程学是唯一的例外。</w:t>
      </w:r>
    </w:p>
    <w:p w:rsidR="00D977B9" w:rsidRPr="009F751C" w:rsidRDefault="00D977B9" w:rsidP="00D977B9">
      <w:pPr>
        <w:pStyle w:val="SingleTxt"/>
        <w:tabs>
          <w:tab w:val="clear" w:pos="1695"/>
          <w:tab w:val="left" w:pos="1568"/>
        </w:tabs>
        <w:spacing w:after="120"/>
        <w:ind w:left="1134" w:right="1134"/>
      </w:pPr>
      <w:r w:rsidRPr="009F751C">
        <w:t>133.</w:t>
      </w:r>
      <w:r w:rsidRPr="009F751C">
        <w:tab/>
        <w:t>2010</w:t>
      </w:r>
      <w:r w:rsidRPr="009F751C">
        <w:rPr>
          <w:rFonts w:hint="eastAsia"/>
        </w:rPr>
        <w:t>年，特立尼达和多巴哥取得了较高的联合国全民教育发展指数，在</w:t>
      </w:r>
      <w:r w:rsidRPr="009F751C">
        <w:t>120</w:t>
      </w:r>
      <w:r w:rsidRPr="009F751C">
        <w:rPr>
          <w:rFonts w:hint="eastAsia"/>
        </w:rPr>
        <w:t>个国家中排在第</w:t>
      </w:r>
      <w:r w:rsidRPr="009F751C">
        <w:t>49</w:t>
      </w:r>
      <w:r w:rsidRPr="009F751C">
        <w:rPr>
          <w:rFonts w:hint="eastAsia"/>
        </w:rPr>
        <w:t>名。特立尼达和多巴哥全民教育发展指数为</w:t>
      </w:r>
      <w:r w:rsidRPr="009F751C">
        <w:t>0.962</w:t>
      </w:r>
      <w:r w:rsidRPr="009F751C">
        <w:rPr>
          <w:rFonts w:hint="eastAsia"/>
        </w:rPr>
        <w:t>，</w:t>
      </w:r>
      <w:r w:rsidRPr="009F751C">
        <w:t>1</w:t>
      </w:r>
      <w:r w:rsidRPr="009F751C">
        <w:rPr>
          <w:rFonts w:hint="eastAsia"/>
        </w:rPr>
        <w:t>代表全面实现全民教育。全民教育发展指数还记录其成年人识字率为</w:t>
      </w:r>
      <w:r w:rsidRPr="009F751C">
        <w:t>0.988</w:t>
      </w:r>
      <w:r w:rsidRPr="009F751C">
        <w:rPr>
          <w:rFonts w:hint="eastAsia"/>
        </w:rPr>
        <w:t>。</w:t>
      </w:r>
    </w:p>
    <w:p w:rsidR="00D977B9" w:rsidRPr="009F751C" w:rsidRDefault="00D977B9" w:rsidP="00D977B9">
      <w:pPr>
        <w:pStyle w:val="SingleTxt"/>
        <w:tabs>
          <w:tab w:val="clear" w:pos="1695"/>
          <w:tab w:val="left" w:pos="1568"/>
        </w:tabs>
        <w:spacing w:after="120"/>
        <w:ind w:left="1134" w:right="1134"/>
      </w:pPr>
      <w:r w:rsidRPr="009F751C">
        <w:t>134.</w:t>
      </w:r>
      <w:r w:rsidRPr="009F751C">
        <w:tab/>
        <w:t>2002</w:t>
      </w:r>
      <w:r w:rsidRPr="009F751C">
        <w:rPr>
          <w:rFonts w:hint="eastAsia"/>
        </w:rPr>
        <w:t>年，为响应妇女、特别是单身妇女提出的提供培训和就业机会以改善经济状况的要求，开始启动“</w:t>
      </w:r>
      <w:r w:rsidRPr="009F751C">
        <w:rPr>
          <w:rFonts w:eastAsia="SimHei" w:hint="eastAsia"/>
        </w:rPr>
        <w:t>妇女和谐方案”</w:t>
      </w:r>
      <w:r w:rsidRPr="009F751C">
        <w:rPr>
          <w:rFonts w:hint="eastAsia"/>
        </w:rPr>
        <w:t>。该方案旨在解决</w:t>
      </w:r>
      <w:r w:rsidRPr="009F751C">
        <w:t>26</w:t>
      </w:r>
      <w:r w:rsidRPr="009F751C">
        <w:rPr>
          <w:rFonts w:hint="eastAsia"/>
        </w:rPr>
        <w:t>至</w:t>
      </w:r>
      <w:r w:rsidRPr="009F751C">
        <w:t>45</w:t>
      </w:r>
      <w:r w:rsidRPr="009F751C">
        <w:rPr>
          <w:rFonts w:hint="eastAsia"/>
        </w:rPr>
        <w:t>岁单身户主、低</w:t>
      </w:r>
      <w:r w:rsidRPr="009F751C">
        <w:t>/</w:t>
      </w:r>
      <w:r w:rsidRPr="009F751C">
        <w:rPr>
          <w:rFonts w:hint="eastAsia"/>
        </w:rPr>
        <w:t>无技能、低</w:t>
      </w:r>
      <w:r w:rsidRPr="009F751C">
        <w:t>/</w:t>
      </w:r>
      <w:r w:rsidRPr="009F751C">
        <w:rPr>
          <w:rFonts w:hint="eastAsia"/>
        </w:rPr>
        <w:t>无收入以及受教育程度有限的妇女的失业问题。</w:t>
      </w:r>
      <w:r w:rsidRPr="00D977B9">
        <w:rPr>
          <w:rStyle w:val="FootnoteReference"/>
        </w:rPr>
        <w:footnoteReference w:id="32"/>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11</w:t>
      </w:r>
      <w:r w:rsidRPr="009F751C">
        <w:rPr>
          <w:rFonts w:ascii="Times New Roman" w:hint="eastAsia"/>
        </w:rPr>
        <w:t>条：消除就业领域的歧视</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135.</w:t>
      </w:r>
      <w:r w:rsidRPr="009F751C">
        <w:tab/>
        <w:t>2010</w:t>
      </w:r>
      <w:r w:rsidRPr="009F751C">
        <w:rPr>
          <w:rFonts w:hint="eastAsia"/>
        </w:rPr>
        <w:t>年第一季度，总失业率为</w:t>
      </w:r>
      <w:r w:rsidRPr="009F751C">
        <w:t>5.1%</w:t>
      </w:r>
      <w:r w:rsidRPr="009F751C">
        <w:rPr>
          <w:rFonts w:hint="eastAsia"/>
        </w:rPr>
        <w:t>。劳动力中男性共计</w:t>
      </w:r>
      <w:r w:rsidRPr="009F751C">
        <w:t>371 000</w:t>
      </w:r>
      <w:r w:rsidRPr="009F751C">
        <w:rPr>
          <w:rFonts w:hint="eastAsia"/>
        </w:rPr>
        <w:t>人，其参与率为</w:t>
      </w:r>
      <w:r w:rsidRPr="009F751C">
        <w:t>76.5%</w:t>
      </w:r>
      <w:r w:rsidRPr="009F751C">
        <w:rPr>
          <w:rFonts w:hint="eastAsia"/>
        </w:rPr>
        <w:t>，女性共计</w:t>
      </w:r>
      <w:r w:rsidRPr="009F751C">
        <w:t>261 600</w:t>
      </w:r>
      <w:r w:rsidRPr="009F751C">
        <w:rPr>
          <w:rFonts w:hint="eastAsia"/>
        </w:rPr>
        <w:t>人，其参与率为</w:t>
      </w:r>
      <w:r w:rsidRPr="009F751C">
        <w:t>52.8%</w:t>
      </w:r>
      <w:r w:rsidRPr="009F751C">
        <w:rPr>
          <w:rFonts w:hint="eastAsia"/>
        </w:rPr>
        <w:t>。自</w:t>
      </w:r>
      <w:r w:rsidRPr="009F751C">
        <w:t>1990</w:t>
      </w:r>
      <w:r w:rsidRPr="009F751C">
        <w:rPr>
          <w:rFonts w:hint="eastAsia"/>
        </w:rPr>
        <w:t>年以来，女性的劳动力参与率平均每年增加</w:t>
      </w:r>
      <w:r w:rsidRPr="009F751C">
        <w:t>2.4%</w:t>
      </w:r>
      <w:r w:rsidRPr="009F751C">
        <w:rPr>
          <w:rFonts w:hint="eastAsia"/>
        </w:rPr>
        <w:t>，男性的参与率在此期间仅增加了</w:t>
      </w:r>
      <w:r w:rsidRPr="009F751C">
        <w:t>1%</w:t>
      </w:r>
      <w:r w:rsidRPr="009F751C">
        <w:rPr>
          <w:rFonts w:hint="eastAsia"/>
        </w:rPr>
        <w:t>，但男性的劳动力参与率依然较高。</w:t>
      </w:r>
      <w:r w:rsidRPr="00D977B9">
        <w:rPr>
          <w:rStyle w:val="FootnoteReference"/>
        </w:rPr>
        <w:footnoteReference w:id="33"/>
      </w:r>
    </w:p>
    <w:p w:rsidR="00D977B9" w:rsidRPr="009F751C" w:rsidRDefault="00D977B9" w:rsidP="00D977B9">
      <w:pPr>
        <w:pStyle w:val="SingleTxt"/>
        <w:tabs>
          <w:tab w:val="clear" w:pos="1695"/>
          <w:tab w:val="left" w:pos="1568"/>
        </w:tabs>
        <w:spacing w:after="120"/>
        <w:ind w:left="1134" w:right="1134"/>
      </w:pPr>
      <w:r w:rsidRPr="009F751C">
        <w:t>136.</w:t>
      </w:r>
      <w:r w:rsidRPr="009F751C">
        <w:tab/>
      </w:r>
      <w:r w:rsidRPr="009F751C">
        <w:rPr>
          <w:rFonts w:hint="eastAsia"/>
        </w:rPr>
        <w:t>为解决工作场所的歧视问题，特立尼达和多巴哥完善了立法，</w:t>
      </w:r>
      <w:r w:rsidRPr="009F751C">
        <w:rPr>
          <w:rFonts w:eastAsia="KaiTi_GB2312"/>
          <w:b/>
        </w:rPr>
        <w:t>2004</w:t>
      </w:r>
      <w:r w:rsidRPr="009F751C">
        <w:rPr>
          <w:rFonts w:eastAsia="KaiTi_GB2312" w:hint="eastAsia"/>
          <w:b/>
        </w:rPr>
        <w:t>年《职业安全和健康法案》</w:t>
      </w:r>
      <w:r w:rsidRPr="009F751C">
        <w:rPr>
          <w:rFonts w:hint="eastAsia"/>
        </w:rPr>
        <w:t>要求雇主执行保护妇女和胎儿的条款。此外，颁布了</w:t>
      </w:r>
      <w:r>
        <w:rPr>
          <w:rFonts w:hint="eastAsia"/>
        </w:rPr>
        <w:t>2012</w:t>
      </w:r>
      <w:r>
        <w:rPr>
          <w:rFonts w:hint="eastAsia"/>
        </w:rPr>
        <w:t>年</w:t>
      </w:r>
      <w:r w:rsidRPr="009F751C">
        <w:rPr>
          <w:rFonts w:eastAsia="SimHei" w:hint="eastAsia"/>
        </w:rPr>
        <w:t>《</w:t>
      </w:r>
      <w:r w:rsidRPr="009F751C">
        <w:rPr>
          <w:rFonts w:eastAsia="KaiTi_GB2312" w:hint="eastAsia"/>
          <w:b/>
        </w:rPr>
        <w:t>杂项规定法案（孕产妇保护和劳资关系法令）》</w:t>
      </w:r>
      <w:r w:rsidRPr="009F751C">
        <w:rPr>
          <w:rFonts w:hint="eastAsia"/>
        </w:rPr>
        <w:t>，将产假从</w:t>
      </w:r>
      <w:r w:rsidRPr="009F751C">
        <w:t>13</w:t>
      </w:r>
      <w:r w:rsidRPr="009F751C">
        <w:rPr>
          <w:rFonts w:hint="eastAsia"/>
        </w:rPr>
        <w:t>周延长至</w:t>
      </w:r>
      <w:r w:rsidRPr="009F751C">
        <w:t>14</w:t>
      </w:r>
      <w:r w:rsidRPr="009F751C">
        <w:rPr>
          <w:rFonts w:hint="eastAsia"/>
        </w:rPr>
        <w:t>周。</w:t>
      </w:r>
    </w:p>
    <w:p w:rsidR="00D977B9" w:rsidRPr="009F751C" w:rsidRDefault="00D977B9" w:rsidP="00D977B9">
      <w:pPr>
        <w:pStyle w:val="SingleTxt"/>
        <w:tabs>
          <w:tab w:val="clear" w:pos="1695"/>
          <w:tab w:val="left" w:pos="1568"/>
        </w:tabs>
        <w:spacing w:after="120"/>
        <w:ind w:left="1134" w:right="1134"/>
      </w:pPr>
      <w:r w:rsidRPr="009F751C">
        <w:t>137.</w:t>
      </w:r>
      <w:r w:rsidRPr="009F751C">
        <w:tab/>
      </w:r>
      <w:r w:rsidRPr="009F751C">
        <w:rPr>
          <w:rFonts w:hint="eastAsia"/>
        </w:rPr>
        <w:t>为</w:t>
      </w:r>
      <w:r w:rsidRPr="009F751C">
        <w:t>15</w:t>
      </w:r>
      <w:r w:rsidRPr="009F751C">
        <w:rPr>
          <w:rFonts w:hint="eastAsia"/>
        </w:rPr>
        <w:t>至</w:t>
      </w:r>
      <w:r w:rsidRPr="009F751C">
        <w:t>18</w:t>
      </w:r>
      <w:r w:rsidRPr="009F751C">
        <w:rPr>
          <w:rFonts w:hint="eastAsia"/>
        </w:rPr>
        <w:t>岁年龄段“面临危险”的年轻妇女提供职业培训。该项培训提供的课程包括烹饪、服装剪裁、糕点制作、书籍装订、美容和舞蹈。</w:t>
      </w:r>
    </w:p>
    <w:p w:rsidR="00D977B9" w:rsidRPr="009F751C" w:rsidRDefault="00D977B9" w:rsidP="00D977B9">
      <w:pPr>
        <w:pStyle w:val="SingleTxt"/>
        <w:tabs>
          <w:tab w:val="clear" w:pos="1695"/>
          <w:tab w:val="left" w:pos="1568"/>
        </w:tabs>
        <w:spacing w:after="120"/>
        <w:ind w:left="1134" w:right="1134"/>
      </w:pPr>
      <w:r w:rsidRPr="009F751C">
        <w:t>138.</w:t>
      </w:r>
      <w:r w:rsidRPr="009F751C">
        <w:tab/>
      </w:r>
      <w:r w:rsidRPr="009F751C">
        <w:rPr>
          <w:rFonts w:hint="eastAsia"/>
        </w:rPr>
        <w:t>失业救济方案为社区内符合条件者提供短期就业。妇女方案提供工艺、家具、清洁、绘画、社区工作、老年护理和环境美化等领域的培训。该方案旨在让参与者能够工作，同时学会新技能，从而获得工作经验和技能。</w:t>
      </w:r>
    </w:p>
    <w:p w:rsidR="00D977B9" w:rsidRPr="009F751C" w:rsidRDefault="00D977B9" w:rsidP="00D977B9">
      <w:pPr>
        <w:pStyle w:val="SingleTxt"/>
        <w:tabs>
          <w:tab w:val="clear" w:pos="1695"/>
          <w:tab w:val="left" w:pos="1568"/>
        </w:tabs>
        <w:spacing w:after="120"/>
        <w:ind w:left="1134" w:right="1134"/>
      </w:pPr>
      <w:r w:rsidRPr="009F751C">
        <w:t>139.</w:t>
      </w:r>
      <w:r w:rsidRPr="009F751C">
        <w:tab/>
        <w:t>1996</w:t>
      </w:r>
      <w:r w:rsidRPr="009F751C">
        <w:rPr>
          <w:rFonts w:hint="eastAsia"/>
        </w:rPr>
        <w:t>年，特立尼达和多巴哥成为最早颁布</w:t>
      </w:r>
      <w:r w:rsidRPr="009F751C">
        <w:rPr>
          <w:rFonts w:eastAsia="KaiTi_GB2312"/>
          <w:b/>
        </w:rPr>
        <w:t>1996</w:t>
      </w:r>
      <w:r w:rsidRPr="009F751C">
        <w:rPr>
          <w:rFonts w:eastAsia="KaiTi_GB2312" w:hint="eastAsia"/>
          <w:b/>
        </w:rPr>
        <w:t>年《无偿工作计算法案》</w:t>
      </w:r>
      <w:r w:rsidRPr="009F751C">
        <w:rPr>
          <w:rFonts w:hint="eastAsia"/>
        </w:rPr>
        <w:t>的国家之一，该法案要求中央统计局对包括家务和照顾孩子在内的无报酬工作进行调查。在</w:t>
      </w:r>
      <w:r w:rsidRPr="009F751C">
        <w:t>2000</w:t>
      </w:r>
      <w:r w:rsidRPr="009F751C">
        <w:rPr>
          <w:rFonts w:hint="eastAsia"/>
        </w:rPr>
        <w:t>年全国人口普查范围内，收集关于从事家务和其他相关活动所花费的小时数量信息。该数据支持这样一种观点，以妇女为主导、在私人领域从事的活动所花费的时间是有价值的（见附录一表</w:t>
      </w:r>
      <w:r w:rsidRPr="009F751C">
        <w:t>4</w:t>
      </w:r>
      <w:r w:rsidRPr="009F751C">
        <w:rPr>
          <w:rFonts w:hint="eastAsia"/>
        </w:rPr>
        <w:t>）。</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F827B2" w:rsidP="00D977B9">
      <w:pPr>
        <w:pStyle w:val="H23"/>
        <w:tabs>
          <w:tab w:val="left" w:pos="1568"/>
        </w:tabs>
        <w:ind w:left="1134" w:right="1134"/>
        <w:rPr>
          <w:rFonts w:ascii="Times New Roman"/>
        </w:rPr>
      </w:pPr>
      <w:r>
        <w:rPr>
          <w:rFonts w:ascii="Times New Roman"/>
        </w:rPr>
        <w:br w:type="page"/>
      </w:r>
      <w:r w:rsidR="00D977B9" w:rsidRPr="009F751C">
        <w:rPr>
          <w:rFonts w:ascii="Times New Roman" w:hint="eastAsia"/>
        </w:rPr>
        <w:t>第</w:t>
      </w:r>
      <w:r w:rsidR="00D977B9" w:rsidRPr="009F751C">
        <w:rPr>
          <w:rFonts w:ascii="Times New Roman"/>
        </w:rPr>
        <w:t>12</w:t>
      </w:r>
      <w:r w:rsidR="00D977B9" w:rsidRPr="009F751C">
        <w:rPr>
          <w:rFonts w:ascii="Times New Roman" w:hint="eastAsia"/>
        </w:rPr>
        <w:t>条：平等获得保健服务</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140.</w:t>
      </w:r>
      <w:r w:rsidRPr="009F751C">
        <w:tab/>
      </w:r>
      <w:r w:rsidRPr="009F751C">
        <w:rPr>
          <w:rFonts w:hint="eastAsia"/>
        </w:rPr>
        <w:t>在保健领域，取得了多项进步，其中包括：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改善了埃里克·威廉姆斯医学科学综合设施的希望山妇女医院；</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完成了埃里克·威廉姆斯医学科学综合设施的希望山妇女医院诊断实验室和产科新生儿重症监护室的翻新工程和卫生处理；以及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将提供给一个促进母乳喂养的非政府组织的资助金从</w:t>
      </w:r>
      <w:r w:rsidRPr="009F751C">
        <w:t>5 000</w:t>
      </w:r>
      <w:r w:rsidRPr="009F751C">
        <w:rPr>
          <w:rFonts w:hint="eastAsia"/>
        </w:rPr>
        <w:t>特元增加到</w:t>
      </w:r>
      <w:r w:rsidRPr="009F751C">
        <w:t>100 000</w:t>
      </w:r>
      <w:r w:rsidRPr="009F751C">
        <w:rPr>
          <w:rFonts w:hint="eastAsia"/>
        </w:rPr>
        <w:t>特元，其中包括启动一项为“面临危险”的母亲和儿童提供免费牛奶的举措。</w:t>
      </w:r>
    </w:p>
    <w:p w:rsidR="00D977B9" w:rsidRPr="009F751C" w:rsidRDefault="00D977B9" w:rsidP="00D977B9">
      <w:pPr>
        <w:pStyle w:val="SingleTxt"/>
        <w:tabs>
          <w:tab w:val="clear" w:pos="1695"/>
          <w:tab w:val="left" w:pos="1568"/>
        </w:tabs>
        <w:spacing w:after="120"/>
        <w:ind w:left="1134" w:right="1134"/>
      </w:pPr>
      <w:r w:rsidRPr="009F751C">
        <w:t>141.</w:t>
      </w:r>
      <w:r w:rsidRPr="009F751C">
        <w:tab/>
      </w:r>
      <w:r w:rsidRPr="009F751C">
        <w:rPr>
          <w:rFonts w:hint="eastAsia"/>
        </w:rPr>
        <w:t>特立尼达和多巴哥计划生育协会是每年都会获得政府资助的非政府组织，</w:t>
      </w:r>
      <w:r w:rsidRPr="009F751C">
        <w:t>2005</w:t>
      </w:r>
      <w:r w:rsidRPr="009F751C">
        <w:rPr>
          <w:rFonts w:hint="eastAsia"/>
        </w:rPr>
        <w:t>至</w:t>
      </w:r>
      <w:r w:rsidRPr="009F751C">
        <w:t>2006</w:t>
      </w:r>
      <w:r w:rsidRPr="009F751C">
        <w:rPr>
          <w:rFonts w:hint="eastAsia"/>
        </w:rPr>
        <w:t>年与西印度群岛大学开放校园建立伙伴关系，制定课程和方法，为护士和其他保健专业人士提供全面的性健康和生殖健康服务培训和认证。这项举措改善了向普通公众提供的性健康和生殖健康保健服务的质量。</w:t>
      </w:r>
    </w:p>
    <w:p w:rsidR="00D977B9" w:rsidRPr="009F751C" w:rsidRDefault="00D977B9" w:rsidP="00D977B9">
      <w:pPr>
        <w:pStyle w:val="SingleTxt"/>
        <w:tabs>
          <w:tab w:val="clear" w:pos="1695"/>
          <w:tab w:val="left" w:pos="1568"/>
        </w:tabs>
        <w:spacing w:after="120"/>
        <w:ind w:left="1134" w:right="1134"/>
      </w:pPr>
      <w:r w:rsidRPr="009F751C">
        <w:t>142.</w:t>
      </w:r>
      <w:r w:rsidRPr="009F751C">
        <w:tab/>
      </w:r>
      <w:r w:rsidRPr="009F751C">
        <w:rPr>
          <w:rFonts w:hint="eastAsia"/>
        </w:rPr>
        <w:t>自</w:t>
      </w:r>
      <w:r w:rsidRPr="009F751C">
        <w:t>2011</w:t>
      </w:r>
      <w:r w:rsidRPr="009F751C">
        <w:rPr>
          <w:rFonts w:hint="eastAsia"/>
        </w:rPr>
        <w:t>年上一次人口普查以来，根据观察，特立尼达和多巴哥老年人口数量巨大，妇女占这一年龄群体的主体。根据记录，</w:t>
      </w:r>
      <w:r w:rsidRPr="009F751C">
        <w:t>2011</w:t>
      </w:r>
      <w:r w:rsidRPr="009F751C">
        <w:rPr>
          <w:rFonts w:hint="eastAsia"/>
        </w:rPr>
        <w:t>年在</w:t>
      </w:r>
      <w:r w:rsidRPr="009F751C">
        <w:t>65</w:t>
      </w:r>
      <w:r w:rsidRPr="009F751C">
        <w:rPr>
          <w:rFonts w:hint="eastAsia"/>
        </w:rPr>
        <w:t>至</w:t>
      </w:r>
      <w:r w:rsidRPr="009F751C">
        <w:t>69</w:t>
      </w:r>
      <w:r w:rsidRPr="009F751C">
        <w:rPr>
          <w:rFonts w:hint="eastAsia"/>
        </w:rPr>
        <w:t>岁年龄段人口中，男性数量为</w:t>
      </w:r>
      <w:r w:rsidRPr="009F751C">
        <w:t>21 582</w:t>
      </w:r>
      <w:r w:rsidRPr="009F751C">
        <w:rPr>
          <w:rFonts w:hint="eastAsia"/>
        </w:rPr>
        <w:t>人，女性数量为</w:t>
      </w:r>
      <w:r w:rsidRPr="009F751C">
        <w:t>23 055</w:t>
      </w:r>
      <w:r>
        <w:rPr>
          <w:rFonts w:hint="eastAsia"/>
        </w:rPr>
        <w:t>人</w:t>
      </w:r>
      <w:r w:rsidRPr="009F751C">
        <w:rPr>
          <w:rFonts w:hint="eastAsia"/>
        </w:rPr>
        <w:t>。在</w:t>
      </w:r>
      <w:r w:rsidRPr="009F751C">
        <w:t>70</w:t>
      </w:r>
      <w:r w:rsidRPr="009F751C">
        <w:rPr>
          <w:rFonts w:hint="eastAsia"/>
        </w:rPr>
        <w:t>至</w:t>
      </w:r>
      <w:r w:rsidRPr="009F751C">
        <w:t>74</w:t>
      </w:r>
      <w:r w:rsidRPr="009F751C">
        <w:rPr>
          <w:rFonts w:hint="eastAsia"/>
        </w:rPr>
        <w:t>岁和</w:t>
      </w:r>
      <w:r w:rsidRPr="009F751C">
        <w:t>75</w:t>
      </w:r>
      <w:r w:rsidRPr="009F751C">
        <w:rPr>
          <w:rFonts w:hint="eastAsia"/>
        </w:rPr>
        <w:t>至</w:t>
      </w:r>
      <w:r w:rsidRPr="009F751C">
        <w:t>79</w:t>
      </w:r>
      <w:r w:rsidRPr="009F751C">
        <w:rPr>
          <w:rFonts w:hint="eastAsia"/>
        </w:rPr>
        <w:t>岁年龄段，妇女数量仍然多于男性，两者间差距更大。在</w:t>
      </w:r>
      <w:r w:rsidRPr="009F751C">
        <w:t>80</w:t>
      </w:r>
      <w:r w:rsidRPr="009F751C">
        <w:rPr>
          <w:rFonts w:hint="eastAsia"/>
        </w:rPr>
        <w:t>岁及以上年龄段，男性数量为</w:t>
      </w:r>
      <w:r w:rsidRPr="009F751C">
        <w:t>9 384</w:t>
      </w:r>
      <w:r w:rsidRPr="009F751C">
        <w:rPr>
          <w:rFonts w:hint="eastAsia"/>
        </w:rPr>
        <w:t>人，女性数量为</w:t>
      </w:r>
      <w:r w:rsidRPr="009F751C">
        <w:t>13 966</w:t>
      </w:r>
      <w:r w:rsidRPr="009F751C">
        <w:rPr>
          <w:rFonts w:hint="eastAsia"/>
        </w:rPr>
        <w:t>人。</w:t>
      </w:r>
      <w:r w:rsidRPr="00D977B9">
        <w:rPr>
          <w:rStyle w:val="FootnoteReference"/>
        </w:rPr>
        <w:footnoteReference w:id="34"/>
      </w:r>
      <w:r w:rsidRPr="009F751C">
        <w:rPr>
          <w:rFonts w:hint="eastAsia"/>
        </w:rPr>
        <w:t>因此，人民和社会发展部老年人事务司制定了国家老年人政策，除其他外，解决医院和护理设施标准等对于老年人至关重要的健康问题。</w:t>
      </w:r>
    </w:p>
    <w:p w:rsidR="00D977B9" w:rsidRPr="009F751C" w:rsidRDefault="00D977B9" w:rsidP="00D977B9">
      <w:pPr>
        <w:pStyle w:val="SingleTxt"/>
        <w:tabs>
          <w:tab w:val="clear" w:pos="1695"/>
          <w:tab w:val="left" w:pos="1568"/>
        </w:tabs>
        <w:spacing w:after="120"/>
        <w:ind w:left="1134" w:right="1134"/>
      </w:pPr>
      <w:r w:rsidRPr="009F751C">
        <w:t>143.</w:t>
      </w:r>
      <w:r w:rsidRPr="009F751C">
        <w:tab/>
      </w:r>
      <w:r w:rsidRPr="009F751C">
        <w:rPr>
          <w:rFonts w:hint="eastAsia"/>
        </w:rPr>
        <w:t>由于可能出现母婴传播，妇女的艾滋病毒和艾滋病流行率仍然是一个值得关切问题。但由于政府的预防母婴传播方案，在审查期间，母婴传播减少了</w:t>
      </w:r>
      <w:r w:rsidRPr="009F751C">
        <w:t>85%</w:t>
      </w:r>
      <w:r w:rsidRPr="009F751C">
        <w:rPr>
          <w:rFonts w:hint="eastAsia"/>
        </w:rPr>
        <w:t>，在公立产前门诊就诊的孕妇中，共计</w:t>
      </w:r>
      <w:r w:rsidRPr="009F751C">
        <w:t>95%</w:t>
      </w:r>
      <w:r w:rsidRPr="009F751C">
        <w:rPr>
          <w:rFonts w:hint="eastAsia"/>
        </w:rPr>
        <w:t>的人进行了检测。艾滋病毒为阳性的母亲接受抗病毒药物治疗，以防止传染婴儿。</w:t>
      </w:r>
    </w:p>
    <w:p w:rsidR="00D977B9" w:rsidRPr="009F751C" w:rsidRDefault="00D977B9" w:rsidP="00D977B9">
      <w:pPr>
        <w:pStyle w:val="SingleTxt"/>
        <w:tabs>
          <w:tab w:val="clear" w:pos="1695"/>
          <w:tab w:val="left" w:pos="1568"/>
        </w:tabs>
        <w:spacing w:after="120"/>
        <w:ind w:left="1134" w:right="1134"/>
      </w:pPr>
      <w:r w:rsidRPr="009F751C">
        <w:t>144.</w:t>
      </w:r>
      <w:r w:rsidRPr="009F751C">
        <w:tab/>
      </w:r>
      <w:r w:rsidRPr="009F751C">
        <w:rPr>
          <w:rFonts w:hint="eastAsia"/>
        </w:rPr>
        <w:t>在特立尼达和多巴哥，</w:t>
      </w:r>
      <w:r w:rsidRPr="009F751C">
        <w:t>15</w:t>
      </w:r>
      <w:r w:rsidRPr="009F751C">
        <w:rPr>
          <w:rFonts w:hint="eastAsia"/>
        </w:rPr>
        <w:t>至</w:t>
      </w:r>
      <w:r w:rsidRPr="009F751C">
        <w:t>24</w:t>
      </w:r>
      <w:r w:rsidRPr="009F751C">
        <w:rPr>
          <w:rFonts w:hint="eastAsia"/>
        </w:rPr>
        <w:t>岁年龄段女性的艾滋病毒感染率始终最高，新发现的艾滋病毒</w:t>
      </w:r>
      <w:r w:rsidRPr="009F751C">
        <w:t>/</w:t>
      </w:r>
      <w:r w:rsidRPr="009F751C">
        <w:rPr>
          <w:rFonts w:hint="eastAsia"/>
        </w:rPr>
        <w:t>艾滋病病例中有</w:t>
      </w:r>
      <w:r w:rsidRPr="009F751C">
        <w:t>50%</w:t>
      </w:r>
      <w:r w:rsidRPr="009F751C">
        <w:rPr>
          <w:rFonts w:hint="eastAsia"/>
        </w:rPr>
        <w:t>都是发生在妇女和女童身上。</w:t>
      </w:r>
      <w:r w:rsidRPr="009F751C">
        <w:t>2004</w:t>
      </w:r>
      <w:r w:rsidRPr="009F751C">
        <w:rPr>
          <w:rFonts w:hint="eastAsia"/>
        </w:rPr>
        <w:t>年</w:t>
      </w:r>
      <w:r w:rsidRPr="009F751C">
        <w:t>1</w:t>
      </w:r>
      <w:r w:rsidRPr="009F751C">
        <w:rPr>
          <w:rFonts w:hint="eastAsia"/>
        </w:rPr>
        <w:t>月，开始在全国范围内的社区启动妇女艾滋病毒</w:t>
      </w:r>
      <w:r w:rsidRPr="009F751C">
        <w:t>/</w:t>
      </w:r>
      <w:r w:rsidRPr="009F751C">
        <w:rPr>
          <w:rFonts w:hint="eastAsia"/>
        </w:rPr>
        <w:t>艾滋病教育和预防方案，培训妇女成为变革代理人，倡导减少本国的艾滋病毒</w:t>
      </w:r>
      <w:r w:rsidRPr="009F751C">
        <w:t>/</w:t>
      </w:r>
      <w:r w:rsidRPr="009F751C">
        <w:rPr>
          <w:rFonts w:hint="eastAsia"/>
        </w:rPr>
        <w:t>艾滋病。</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13</w:t>
      </w:r>
      <w:r w:rsidRPr="009F751C">
        <w:rPr>
          <w:rFonts w:ascii="Times New Roman" w:hint="eastAsia"/>
        </w:rPr>
        <w:t>条：平等获得社会和经济福利</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145.</w:t>
      </w:r>
      <w:r w:rsidRPr="009F751C">
        <w:tab/>
      </w:r>
      <w:r w:rsidRPr="009F751C">
        <w:rPr>
          <w:rFonts w:hint="eastAsia"/>
        </w:rPr>
        <w:t>各部委和国家机构将企业机会通知给妇女。其中一项倡议是</w:t>
      </w:r>
      <w:r w:rsidRPr="009F751C">
        <w:t>2005</w:t>
      </w:r>
      <w:r w:rsidRPr="009F751C">
        <w:rPr>
          <w:rFonts w:hint="eastAsia"/>
        </w:rPr>
        <w:t>年政府主办的妇女和创业精神会议。妇女工艺培训方案同样旨在通过各种工艺学科领域的培训以及通过恢复特立尼达和多巴哥手工业活力的举措来促进就业。该方案面向</w:t>
      </w:r>
      <w:r w:rsidRPr="009F751C">
        <w:t>25</w:t>
      </w:r>
      <w:r w:rsidRPr="009F751C">
        <w:rPr>
          <w:rFonts w:hint="eastAsia"/>
        </w:rPr>
        <w:t>至</w:t>
      </w:r>
      <w:r w:rsidRPr="009F751C">
        <w:t>50</w:t>
      </w:r>
      <w:r w:rsidRPr="009F751C">
        <w:rPr>
          <w:rFonts w:hint="eastAsia"/>
        </w:rPr>
        <w:t>岁单身、无技能或失业妇女，促进手工艺企业的发展，为推动建立成功的家庭手工艺企业提供必要的生活技能。</w:t>
      </w:r>
    </w:p>
    <w:p w:rsidR="00D977B9" w:rsidRPr="009F751C" w:rsidRDefault="00D977B9" w:rsidP="00D977B9">
      <w:pPr>
        <w:pStyle w:val="SingleTxt"/>
        <w:tabs>
          <w:tab w:val="clear" w:pos="1695"/>
          <w:tab w:val="left" w:pos="1568"/>
        </w:tabs>
        <w:spacing w:after="120"/>
        <w:ind w:left="1134" w:right="1134"/>
      </w:pPr>
      <w:r w:rsidRPr="009F751C">
        <w:t>146.</w:t>
      </w:r>
      <w:r w:rsidRPr="009F751C">
        <w:tab/>
      </w:r>
      <w:r w:rsidRPr="009F751C">
        <w:rPr>
          <w:rFonts w:hint="eastAsia"/>
        </w:rPr>
        <w:t>政府还为小微企业的创业和扩大提供贷款。</w:t>
      </w:r>
      <w:r w:rsidRPr="009F751C">
        <w:t>2006</w:t>
      </w:r>
      <w:r w:rsidRPr="009F751C">
        <w:rPr>
          <w:rFonts w:hint="eastAsia"/>
        </w:rPr>
        <w:t>年，妇女占贷款申请者的</w:t>
      </w:r>
      <w:r w:rsidRPr="009F751C">
        <w:t>80%</w:t>
      </w:r>
      <w:r w:rsidRPr="009F751C">
        <w:rPr>
          <w:rFonts w:hint="eastAsia"/>
        </w:rPr>
        <w:t>以上，其中</w:t>
      </w:r>
      <w:r w:rsidRPr="009F751C">
        <w:t>54%</w:t>
      </w:r>
      <w:r w:rsidRPr="009F751C">
        <w:rPr>
          <w:rFonts w:hint="eastAsia"/>
        </w:rPr>
        <w:t>申请成功。此外，政府支持的私营机构“资金援助组织”为可抵押资产有限的贫困者发展微型企业提供贷款，大约</w:t>
      </w:r>
      <w:r w:rsidRPr="009F751C">
        <w:t>60%</w:t>
      </w:r>
      <w:r w:rsidRPr="009F751C">
        <w:rPr>
          <w:rFonts w:hint="eastAsia"/>
        </w:rPr>
        <w:t>的申请者是妇女。</w:t>
      </w:r>
    </w:p>
    <w:p w:rsidR="00D977B9" w:rsidRPr="009F751C" w:rsidRDefault="00D977B9" w:rsidP="00D977B9">
      <w:pPr>
        <w:pStyle w:val="SingleTxt"/>
        <w:tabs>
          <w:tab w:val="clear" w:pos="1695"/>
          <w:tab w:val="left" w:pos="1568"/>
        </w:tabs>
        <w:spacing w:after="120"/>
        <w:ind w:left="1134" w:right="1134"/>
      </w:pPr>
      <w:r w:rsidRPr="009F751C">
        <w:t>147.</w:t>
      </w:r>
      <w:r w:rsidRPr="009F751C">
        <w:tab/>
        <w:t>2008</w:t>
      </w:r>
      <w:r w:rsidRPr="009F751C">
        <w:rPr>
          <w:rFonts w:hint="eastAsia"/>
        </w:rPr>
        <w:t>年，政府与联合国开发计划署（开发署）合作主办了题为“性别公平融资”的讨论会。讨论会针对公共和私营部门的决策者，包括政府各部委的常务秘书以及国际机构和重要的非政府组织。</w:t>
      </w:r>
    </w:p>
    <w:p w:rsidR="00D977B9" w:rsidRPr="009F751C" w:rsidRDefault="00D977B9" w:rsidP="00D977B9">
      <w:pPr>
        <w:pStyle w:val="SingleTxt"/>
        <w:tabs>
          <w:tab w:val="clear" w:pos="1695"/>
          <w:tab w:val="left" w:pos="1568"/>
        </w:tabs>
        <w:spacing w:after="120"/>
        <w:ind w:left="1134" w:right="1134"/>
      </w:pPr>
      <w:r w:rsidRPr="009F751C">
        <w:t>148.</w:t>
      </w:r>
      <w:r w:rsidRPr="009F751C">
        <w:tab/>
      </w:r>
      <w:r w:rsidRPr="009F751C">
        <w:rPr>
          <w:rFonts w:hint="eastAsia"/>
        </w:rPr>
        <w:t>上述努力促使特立尼达和多巴哥在泛美开发银行集团最新发布的妇女企业家创业环境指数排名中处于有利位置。从对妇女创业的支持来看，特立尼达和多巴哥排在第八名。</w:t>
      </w:r>
      <w:r w:rsidRPr="00D977B9">
        <w:rPr>
          <w:rStyle w:val="FootnoteReference"/>
        </w:rPr>
        <w:footnoteReference w:id="35"/>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i/>
        </w:rPr>
      </w:pPr>
      <w:r w:rsidRPr="009F751C">
        <w:rPr>
          <w:rFonts w:ascii="Times New Roman" w:hint="eastAsia"/>
        </w:rPr>
        <w:t>第</w:t>
      </w:r>
      <w:r w:rsidRPr="009F751C">
        <w:rPr>
          <w:rFonts w:ascii="Times New Roman"/>
        </w:rPr>
        <w:t>14</w:t>
      </w:r>
      <w:r w:rsidRPr="009F751C">
        <w:rPr>
          <w:rFonts w:ascii="Times New Roman" w:hint="eastAsia"/>
        </w:rPr>
        <w:t>条：促进农村妇女的平等获取和参与</w:t>
      </w:r>
    </w:p>
    <w:p w:rsidR="00D977B9" w:rsidRPr="009F751C" w:rsidRDefault="00D977B9" w:rsidP="00D977B9">
      <w:pPr>
        <w:pStyle w:val="SingleTxt"/>
        <w:tabs>
          <w:tab w:val="clear" w:pos="1695"/>
          <w:tab w:val="left" w:pos="1568"/>
        </w:tabs>
        <w:spacing w:after="0" w:line="120" w:lineRule="exact"/>
        <w:ind w:left="1134" w:right="1134"/>
        <w:rPr>
          <w:i/>
          <w:sz w:val="10"/>
        </w:rPr>
      </w:pPr>
    </w:p>
    <w:p w:rsidR="00D977B9" w:rsidRPr="009F751C" w:rsidRDefault="00D977B9" w:rsidP="00D977B9">
      <w:pPr>
        <w:pStyle w:val="SingleTxt"/>
        <w:tabs>
          <w:tab w:val="clear" w:pos="1695"/>
          <w:tab w:val="left" w:pos="1568"/>
        </w:tabs>
        <w:spacing w:after="120"/>
        <w:ind w:left="1134" w:right="1134"/>
      </w:pPr>
      <w:r w:rsidRPr="009F751C">
        <w:t>149.</w:t>
      </w:r>
      <w:r w:rsidRPr="009F751C">
        <w:tab/>
      </w:r>
      <w:r w:rsidRPr="009F751C">
        <w:rPr>
          <w:rFonts w:hint="eastAsia"/>
        </w:rPr>
        <w:t>性别、青年和儿童发展部与总检察长部合作，重点强调农村妇女参与编制关于《消除对妇女歧视公约》的定期报告。</w:t>
      </w:r>
      <w:r w:rsidRPr="009F751C">
        <w:t>2007</w:t>
      </w:r>
      <w:r w:rsidRPr="009F751C">
        <w:rPr>
          <w:rFonts w:hint="eastAsia"/>
        </w:rPr>
        <w:t>年，在九个行政区分别举行了讲习班，吸引农村地区的妇女参与编制报告，并确认她们的重点关切领域（见附录四）。</w:t>
      </w:r>
      <w:r w:rsidRPr="00D977B9">
        <w:rPr>
          <w:rStyle w:val="FootnoteReference"/>
        </w:rPr>
        <w:footnoteReference w:id="36"/>
      </w:r>
    </w:p>
    <w:p w:rsidR="00D977B9" w:rsidRPr="009F751C" w:rsidRDefault="00D977B9" w:rsidP="00D977B9">
      <w:pPr>
        <w:pStyle w:val="SingleTxt"/>
        <w:tabs>
          <w:tab w:val="clear" w:pos="1695"/>
          <w:tab w:val="left" w:pos="1568"/>
        </w:tabs>
        <w:spacing w:after="120"/>
        <w:ind w:left="1134" w:right="1134"/>
      </w:pPr>
      <w:r w:rsidRPr="009F751C">
        <w:t>150.</w:t>
      </w:r>
      <w:r w:rsidRPr="009F751C">
        <w:tab/>
      </w:r>
      <w:r w:rsidRPr="009F751C">
        <w:rPr>
          <w:rFonts w:hint="eastAsia"/>
        </w:rPr>
        <w:t>通过与民间社会建立伙伴关系，继续努力促进农村妇女的获取和参与。“特立尼达和多巴哥农村妇女生产者网络”就是这样一个非政府组织，目标是通过提供技术和市场支持、培训及外联活动，提高农村妇女的生产能力并改善她们的收入和生计。“特立尼达和多巴哥农村妇女生产者网络”通过一体化的途径，借助地方、区域和国际伙伴关系，为妇女提供发展机会，以增强妇女的权能，并每年都参与纪念国际妇女节、国际生物多样性日、世界农村妇女日及世界粮食日的地方活动。</w:t>
      </w:r>
      <w:r w:rsidRPr="00D977B9">
        <w:rPr>
          <w:rStyle w:val="FootnoteReference"/>
        </w:rPr>
        <w:footnoteReference w:id="37"/>
      </w:r>
    </w:p>
    <w:p w:rsidR="00D977B9" w:rsidRPr="009F751C" w:rsidRDefault="00D977B9" w:rsidP="00D977B9">
      <w:pPr>
        <w:pStyle w:val="SingleTxt"/>
        <w:tabs>
          <w:tab w:val="clear" w:pos="1695"/>
          <w:tab w:val="left" w:pos="1568"/>
        </w:tabs>
        <w:spacing w:after="120"/>
        <w:ind w:left="1134" w:right="1134"/>
      </w:pPr>
      <w:r w:rsidRPr="009F751C">
        <w:t>151.</w:t>
      </w:r>
      <w:r w:rsidRPr="009F751C">
        <w:rPr>
          <w:rFonts w:hint="eastAsia"/>
        </w:rPr>
        <w:t>“特立尼达和多巴哥农村妇女生产者网络”的年度旗舰活动是芒果节和会议，重点关注探索芒果的创新和创业可能性，其带来的效益包括：</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为妇女创收和增加经济活动；</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农村家庭手工业的发展；</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5" w:rightChars="540" w:right="1134" w:hangingChars="178" w:hanging="374"/>
      </w:pPr>
      <w:r w:rsidRPr="009F751C">
        <w:t>•</w:t>
      </w:r>
      <w:r w:rsidRPr="009F751C">
        <w:tab/>
      </w:r>
      <w:r w:rsidRPr="009F751C">
        <w:rPr>
          <w:rFonts w:hint="eastAsia"/>
        </w:rPr>
        <w:t>为妇女打开参与国际活动并增加与区域组织</w:t>
      </w:r>
      <w:r w:rsidRPr="009F751C">
        <w:t>/</w:t>
      </w:r>
      <w:r w:rsidRPr="009F751C">
        <w:rPr>
          <w:rFonts w:hint="eastAsia"/>
        </w:rPr>
        <w:t>机构网络进行联系的大门。</w:t>
      </w: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15</w:t>
      </w:r>
      <w:r w:rsidRPr="009F751C">
        <w:rPr>
          <w:rFonts w:ascii="Times New Roman" w:hint="eastAsia"/>
        </w:rPr>
        <w:t>条：法律和公民事务方面的平等</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152.</w:t>
      </w:r>
      <w:r w:rsidRPr="009F751C">
        <w:tab/>
      </w:r>
      <w:r w:rsidRPr="009F751C">
        <w:rPr>
          <w:rFonts w:hint="eastAsia"/>
        </w:rPr>
        <w:t>在审查期间，通过了多部与妇女和儿童地位相关的立法。</w:t>
      </w:r>
      <w:r w:rsidRPr="00D977B9">
        <w:rPr>
          <w:rStyle w:val="FootnoteReference"/>
        </w:rPr>
        <w:footnoteReference w:id="38"/>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H23"/>
        <w:tabs>
          <w:tab w:val="left" w:pos="1568"/>
        </w:tabs>
        <w:ind w:left="1134" w:right="1134"/>
        <w:rPr>
          <w:rFonts w:ascii="Times New Roman"/>
        </w:rPr>
      </w:pPr>
      <w:r w:rsidRPr="009F751C">
        <w:rPr>
          <w:rFonts w:ascii="Times New Roman" w:hint="eastAsia"/>
        </w:rPr>
        <w:t>第</w:t>
      </w:r>
      <w:r w:rsidRPr="009F751C">
        <w:rPr>
          <w:rFonts w:ascii="Times New Roman"/>
        </w:rPr>
        <w:t>16</w:t>
      </w:r>
      <w:r w:rsidRPr="009F751C">
        <w:rPr>
          <w:rFonts w:ascii="Times New Roman" w:hint="eastAsia"/>
        </w:rPr>
        <w:t>条：婚姻和家庭法律上的平等</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153.</w:t>
      </w:r>
      <w:r w:rsidRPr="009F751C">
        <w:tab/>
      </w:r>
      <w:r w:rsidRPr="009F751C">
        <w:rPr>
          <w:rFonts w:hint="eastAsia"/>
        </w:rPr>
        <w:t>以下立法适用于特立尼达和多巴哥的婚姻：</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6" w:rightChars="540" w:right="1134" w:hangingChars="178" w:hanging="375"/>
        <w:rPr>
          <w:rFonts w:eastAsia="KaiTi_GB2312" w:hint="eastAsia"/>
          <w:b/>
        </w:rPr>
      </w:pPr>
      <w:r w:rsidRPr="009F751C">
        <w:rPr>
          <w:rFonts w:hAnsi="SimSun" w:cs="SimSun" w:hint="eastAsia"/>
          <w:b/>
        </w:rPr>
        <w:t>•</w:t>
      </w:r>
      <w:r w:rsidRPr="009F751C">
        <w:rPr>
          <w:rFonts w:eastAsia="KaiTi_GB2312" w:hint="eastAsia"/>
          <w:b/>
        </w:rPr>
        <w:tab/>
        <w:t>1923</w:t>
      </w:r>
      <w:r w:rsidRPr="009F751C">
        <w:rPr>
          <w:rFonts w:eastAsia="KaiTi_GB2312" w:hint="eastAsia"/>
          <w:b/>
        </w:rPr>
        <w:t>年《婚姻法案》；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6" w:rightChars="540" w:right="1134" w:hangingChars="178" w:hanging="375"/>
        <w:rPr>
          <w:rFonts w:eastAsia="KaiTi_GB2312" w:hint="eastAsia"/>
          <w:b/>
        </w:rPr>
      </w:pPr>
      <w:r w:rsidRPr="009F751C">
        <w:rPr>
          <w:rFonts w:hAnsi="SimSun" w:cs="SimSun" w:hint="eastAsia"/>
          <w:b/>
        </w:rPr>
        <w:t>•</w:t>
      </w:r>
      <w:r w:rsidRPr="009F751C">
        <w:rPr>
          <w:rFonts w:eastAsia="KaiTi_GB2312" w:hint="eastAsia"/>
          <w:b/>
        </w:rPr>
        <w:tab/>
        <w:t>1961</w:t>
      </w:r>
      <w:r w:rsidRPr="009F751C">
        <w:rPr>
          <w:rFonts w:eastAsia="KaiTi_GB2312" w:hint="eastAsia"/>
          <w:b/>
        </w:rPr>
        <w:t>年《穆斯林婚姻和离婚法案》；</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6" w:rightChars="540" w:right="1134" w:hangingChars="178" w:hanging="375"/>
        <w:rPr>
          <w:rFonts w:hint="eastAsia"/>
        </w:rPr>
      </w:pPr>
      <w:r w:rsidRPr="009F751C">
        <w:rPr>
          <w:rFonts w:hAnsi="SimSun" w:cs="SimSun" w:hint="eastAsia"/>
          <w:b/>
        </w:rPr>
        <w:t>•</w:t>
      </w:r>
      <w:r w:rsidRPr="009F751C">
        <w:rPr>
          <w:rFonts w:eastAsia="KaiTi_GB2312" w:hint="eastAsia"/>
          <w:b/>
        </w:rPr>
        <w:tab/>
        <w:t>1945</w:t>
      </w:r>
      <w:r w:rsidRPr="009F751C">
        <w:rPr>
          <w:rFonts w:eastAsia="KaiTi_GB2312" w:hint="eastAsia"/>
          <w:b/>
        </w:rPr>
        <w:t>年《印度教婚姻法案》；</w:t>
      </w:r>
      <w:r w:rsidRPr="009F751C">
        <w:rPr>
          <w:rFonts w:hint="eastAsia"/>
        </w:rPr>
        <w:t>以及</w:t>
      </w:r>
    </w:p>
    <w:p w:rsidR="00D977B9" w:rsidRPr="009F751C" w:rsidRDefault="00D977B9" w:rsidP="00D977B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002"/>
        </w:tabs>
        <w:spacing w:after="120"/>
        <w:ind w:leftChars="767" w:left="1986" w:rightChars="540" w:right="1134" w:hangingChars="178" w:hanging="375"/>
        <w:rPr>
          <w:rFonts w:eastAsia="KaiTi_GB2312" w:hint="eastAsia"/>
          <w:b/>
        </w:rPr>
      </w:pPr>
      <w:r w:rsidRPr="009F751C">
        <w:rPr>
          <w:rFonts w:hAnsi="SimSun" w:cs="SimSun" w:hint="eastAsia"/>
          <w:b/>
        </w:rPr>
        <w:t>•</w:t>
      </w:r>
      <w:r w:rsidRPr="009F751C">
        <w:rPr>
          <w:rFonts w:eastAsia="KaiTi_GB2312" w:hint="eastAsia"/>
          <w:b/>
        </w:rPr>
        <w:tab/>
        <w:t>1999</w:t>
      </w:r>
      <w:r w:rsidRPr="009F751C">
        <w:rPr>
          <w:rFonts w:eastAsia="KaiTi_GB2312" w:hint="eastAsia"/>
          <w:b/>
        </w:rPr>
        <w:t>年《奥里萨人婚姻法案》。</w:t>
      </w:r>
    </w:p>
    <w:p w:rsidR="00D977B9" w:rsidRPr="009F751C" w:rsidRDefault="00D977B9" w:rsidP="00D977B9">
      <w:pPr>
        <w:pStyle w:val="SingleTxt"/>
        <w:tabs>
          <w:tab w:val="clear" w:pos="1695"/>
          <w:tab w:val="left" w:pos="1568"/>
        </w:tabs>
        <w:spacing w:after="120"/>
        <w:ind w:left="1134" w:right="1134"/>
      </w:pPr>
      <w:r w:rsidRPr="009F751C">
        <w:t>154.</w:t>
      </w:r>
      <w:r w:rsidRPr="009F751C">
        <w:tab/>
      </w:r>
      <w:r w:rsidRPr="009F751C">
        <w:rPr>
          <w:rFonts w:hint="eastAsia"/>
        </w:rPr>
        <w:t>各项法案均要求双方自由和完全自主结婚，男性和女性之间的唯一差别是个人可以缔结婚约的年龄。根据穆斯林、印度教徒和奥里萨人婚姻法案，</w:t>
      </w:r>
      <w:r w:rsidRPr="009F751C">
        <w:t>18</w:t>
      </w:r>
      <w:r w:rsidRPr="009F751C">
        <w:rPr>
          <w:rFonts w:hint="eastAsia"/>
        </w:rPr>
        <w:t>岁以下者，和所有其他人一样，在完全自主同意的情况下可以结婚。此外，在涉及到上述法律准许的未成年人婚姻时，《婚姻法案》额外要求自主同意的未成年人还必须征得父母的同意。</w:t>
      </w:r>
    </w:p>
    <w:p w:rsidR="00D977B9" w:rsidRPr="009F751C" w:rsidRDefault="00D977B9" w:rsidP="00D977B9">
      <w:pPr>
        <w:pStyle w:val="SingleTxt"/>
        <w:tabs>
          <w:tab w:val="clear" w:pos="1695"/>
          <w:tab w:val="left" w:pos="1568"/>
        </w:tabs>
        <w:spacing w:after="120"/>
        <w:ind w:left="1134" w:right="1134"/>
      </w:pPr>
      <w:r w:rsidRPr="009F751C">
        <w:t>155.</w:t>
      </w:r>
      <w:r w:rsidRPr="009F751C">
        <w:tab/>
      </w:r>
      <w:r w:rsidRPr="009F751C">
        <w:rPr>
          <w:rFonts w:eastAsia="KaiTi_GB2312"/>
          <w:b/>
        </w:rPr>
        <w:t>1972</w:t>
      </w:r>
      <w:r w:rsidRPr="009F751C">
        <w:rPr>
          <w:rFonts w:eastAsia="KaiTi_GB2312" w:hint="eastAsia"/>
          <w:b/>
        </w:rPr>
        <w:t>年《婚姻诉讼和财产法案》（经修正）</w:t>
      </w:r>
      <w:r w:rsidRPr="009F751C">
        <w:rPr>
          <w:rFonts w:hint="eastAsia"/>
        </w:rPr>
        <w:t>于</w:t>
      </w:r>
      <w:r w:rsidRPr="009F751C">
        <w:t>1972</w:t>
      </w:r>
      <w:r w:rsidRPr="009F751C">
        <w:rPr>
          <w:rFonts w:hint="eastAsia"/>
        </w:rPr>
        <w:t>年颁布，旨在修正离婚、无效和法院裁决的夫妻分居理由，以促进婚姻诉讼的调解、规范婚姻诉讼程序和修正关于已婚、离婚和分居者财产的法律。按照这项法案，妻子对于财产享有与丈夫同等的权利。</w:t>
      </w:r>
      <w:r w:rsidRPr="009F751C">
        <w:rPr>
          <w:rFonts w:eastAsia="KaiTi_GB2312"/>
          <w:b/>
        </w:rPr>
        <w:t>1976</w:t>
      </w:r>
      <w:r w:rsidRPr="009F751C">
        <w:rPr>
          <w:rFonts w:eastAsia="KaiTi_GB2312" w:hint="eastAsia"/>
          <w:b/>
        </w:rPr>
        <w:t>年《已婚者法案》</w:t>
      </w:r>
      <w:r w:rsidRPr="009F751C">
        <w:rPr>
          <w:rFonts w:hint="eastAsia"/>
        </w:rPr>
        <w:t>保护妇女不经丈夫许可以用自己的名字缔约的权利。法案还就妇女管理财产的权利做出规定</w:t>
      </w:r>
    </w:p>
    <w:p w:rsidR="00D977B9" w:rsidRPr="009F751C" w:rsidRDefault="00D977B9" w:rsidP="00D977B9">
      <w:pPr>
        <w:pStyle w:val="SingleTxt"/>
        <w:tabs>
          <w:tab w:val="clear" w:pos="1695"/>
          <w:tab w:val="left" w:pos="1568"/>
        </w:tabs>
        <w:spacing w:after="120"/>
        <w:ind w:left="1134" w:right="1134"/>
      </w:pPr>
      <w:r w:rsidRPr="009F751C">
        <w:t>156.</w:t>
      </w:r>
      <w:r w:rsidRPr="009F751C">
        <w:tab/>
      </w:r>
      <w:r w:rsidRPr="009F751C">
        <w:rPr>
          <w:rFonts w:hint="eastAsia"/>
        </w:rPr>
        <w:t>特立尼达和多巴哥计划生育协会为男性和女性提供培训和信息，方便其获得多种避孕方法。妇女在婚姻内的性自主权得到</w:t>
      </w:r>
      <w:r w:rsidRPr="009F751C">
        <w:rPr>
          <w:rFonts w:eastAsia="KaiTi_GB2312"/>
          <w:b/>
        </w:rPr>
        <w:t>2000</w:t>
      </w:r>
      <w:r w:rsidRPr="009F751C">
        <w:rPr>
          <w:rFonts w:eastAsia="KaiTi_GB2312" w:hint="eastAsia"/>
          <w:b/>
        </w:rPr>
        <w:t>年《性犯罪法案（修正案）》</w:t>
      </w:r>
      <w:r w:rsidRPr="009F751C">
        <w:rPr>
          <w:rFonts w:hint="eastAsia"/>
        </w:rPr>
        <w:t>的保护，法案修正了</w:t>
      </w:r>
      <w:r w:rsidRPr="009F751C">
        <w:rPr>
          <w:rFonts w:eastAsia="KaiTi_GB2312"/>
          <w:b/>
        </w:rPr>
        <w:t>1986</w:t>
      </w:r>
      <w:r w:rsidRPr="009F751C">
        <w:rPr>
          <w:rFonts w:eastAsia="KaiTi_GB2312" w:hint="eastAsia"/>
          <w:b/>
        </w:rPr>
        <w:t>年《性犯罪法案》</w:t>
      </w:r>
      <w:r w:rsidRPr="009F751C">
        <w:rPr>
          <w:rFonts w:hint="eastAsia"/>
        </w:rPr>
        <w:t>，从而涵盖了一切形式的性侵犯，包括婚内强奸、各种类型的性攻击、乱伦和猥亵。</w:t>
      </w:r>
    </w:p>
    <w:p w:rsidR="00D977B9" w:rsidRPr="009F751C" w:rsidRDefault="00D977B9" w:rsidP="00D977B9">
      <w:pPr>
        <w:pStyle w:val="SingleTxt"/>
        <w:tabs>
          <w:tab w:val="clear" w:pos="1695"/>
          <w:tab w:val="left" w:pos="1568"/>
        </w:tabs>
        <w:spacing w:after="120"/>
        <w:ind w:left="1134" w:right="1134"/>
      </w:pPr>
      <w:r w:rsidRPr="009F751C">
        <w:t>157.</w:t>
      </w:r>
      <w:r w:rsidRPr="009F751C">
        <w:tab/>
      </w:r>
      <w:r w:rsidRPr="009F751C">
        <w:rPr>
          <w:rFonts w:hint="eastAsia"/>
        </w:rPr>
        <w:t>认识到同居的普遍率，颁布了</w:t>
      </w:r>
      <w:r w:rsidRPr="009F751C">
        <w:rPr>
          <w:rFonts w:eastAsia="KaiTi_GB2312"/>
          <w:b/>
        </w:rPr>
        <w:t>1998</w:t>
      </w:r>
      <w:r w:rsidRPr="009F751C">
        <w:rPr>
          <w:rFonts w:eastAsia="KaiTi_GB2312" w:hint="eastAsia"/>
          <w:b/>
        </w:rPr>
        <w:t>年《同居关系法案》</w:t>
      </w:r>
      <w:r w:rsidRPr="009F751C">
        <w:rPr>
          <w:rFonts w:hint="eastAsia"/>
        </w:rPr>
        <w:t>，使得普通法配偶的权利得以生效。在颁布法案之前，估计有不少于</w:t>
      </w:r>
      <w:r w:rsidRPr="009F751C">
        <w:t>40 724</w:t>
      </w:r>
      <w:r w:rsidRPr="009F751C">
        <w:rPr>
          <w:rFonts w:hint="eastAsia"/>
        </w:rPr>
        <w:t>人生活在同居关系下，其权利得不到保护。根据法案，凡普通法配偶，其同居关系不少于五（</w:t>
      </w:r>
      <w:r w:rsidRPr="009F751C">
        <w:t>5</w:t>
      </w:r>
      <w:r w:rsidRPr="009F751C">
        <w:rPr>
          <w:rFonts w:hint="eastAsia"/>
        </w:rPr>
        <w:t>）年或在同居关系中育有子女者，均有权向裁判法院和高等法院申请扶养费或申请对财产进行调整。</w:t>
      </w:r>
    </w:p>
    <w:p w:rsidR="00D977B9" w:rsidRPr="009F751C" w:rsidRDefault="00D977B9" w:rsidP="00D977B9">
      <w:pPr>
        <w:pStyle w:val="SingleTxt"/>
        <w:tabs>
          <w:tab w:val="clear" w:pos="1695"/>
          <w:tab w:val="left" w:pos="1568"/>
        </w:tabs>
        <w:spacing w:after="120"/>
        <w:ind w:left="1134" w:right="1134"/>
      </w:pPr>
      <w:r w:rsidRPr="009F751C">
        <w:t>158.</w:t>
      </w:r>
      <w:r w:rsidRPr="009F751C">
        <w:tab/>
      </w:r>
      <w:r w:rsidRPr="009F751C">
        <w:rPr>
          <w:rFonts w:hint="eastAsia"/>
        </w:rPr>
        <w:t>在特立尼达和多巴哥，母亲在子女监护方面享有与父亲同等的权利，</w:t>
      </w:r>
      <w:r w:rsidRPr="009F751C">
        <w:rPr>
          <w:rFonts w:eastAsia="KaiTi_GB2312"/>
          <w:b/>
        </w:rPr>
        <w:t>1981</w:t>
      </w:r>
      <w:r w:rsidRPr="009F751C">
        <w:rPr>
          <w:rFonts w:eastAsia="KaiTi_GB2312" w:hint="eastAsia"/>
          <w:b/>
        </w:rPr>
        <w:t>年《家庭法（未成年人监护、居住地及扶养费）法案》</w:t>
      </w:r>
      <w:r w:rsidRPr="009F751C">
        <w:rPr>
          <w:rFonts w:hint="eastAsia"/>
        </w:rPr>
        <w:t>对子女的监护和抚养问题做出了规定。</w:t>
      </w:r>
    </w:p>
    <w:p w:rsidR="00D977B9" w:rsidRPr="009F751C" w:rsidRDefault="00D977B9" w:rsidP="00D977B9">
      <w:pPr>
        <w:pStyle w:val="SingleTxt"/>
        <w:tabs>
          <w:tab w:val="clear" w:pos="1695"/>
          <w:tab w:val="left" w:pos="1568"/>
        </w:tabs>
        <w:spacing w:after="120"/>
        <w:ind w:left="1134" w:right="1134"/>
      </w:pPr>
      <w:r w:rsidRPr="009F751C">
        <w:t>159.</w:t>
      </w:r>
      <w:r w:rsidRPr="009F751C">
        <w:tab/>
      </w:r>
      <w:r w:rsidRPr="009F751C">
        <w:rPr>
          <w:rFonts w:eastAsia="KaiTi_GB2312"/>
          <w:b/>
        </w:rPr>
        <w:t>1999</w:t>
      </w:r>
      <w:r w:rsidRPr="009F751C">
        <w:rPr>
          <w:rFonts w:eastAsia="KaiTi_GB2312" w:hint="eastAsia"/>
          <w:b/>
        </w:rPr>
        <w:t>年《反家庭暴力法案》</w:t>
      </w:r>
      <w:r w:rsidRPr="009F751C">
        <w:rPr>
          <w:rFonts w:hint="eastAsia"/>
        </w:rPr>
        <w:t>对婚姻和家庭内部的暴力和虐待做出了规定，这部法案的颁布废除了</w:t>
      </w:r>
      <w:r w:rsidRPr="009F751C">
        <w:rPr>
          <w:rFonts w:eastAsia="KaiTi_GB2312"/>
          <w:b/>
        </w:rPr>
        <w:t>1992</w:t>
      </w:r>
      <w:r w:rsidRPr="009F751C">
        <w:rPr>
          <w:rFonts w:eastAsia="KaiTi_GB2312" w:hint="eastAsia"/>
          <w:b/>
        </w:rPr>
        <w:t>年《反家庭暴力法案》</w:t>
      </w:r>
      <w:r w:rsidRPr="009F751C">
        <w:rPr>
          <w:rFonts w:hint="eastAsia"/>
        </w:rPr>
        <w:t>，旨在确保家庭暴力受害者得到迅速和公平的法律补救。</w:t>
      </w:r>
      <w:r w:rsidRPr="009F751C">
        <w:rPr>
          <w:rFonts w:eastAsia="KaiTi_GB2312"/>
          <w:b/>
        </w:rPr>
        <w:t>1999</w:t>
      </w:r>
      <w:r w:rsidRPr="009F751C">
        <w:rPr>
          <w:rFonts w:eastAsia="KaiTi_GB2312" w:hint="eastAsia"/>
          <w:b/>
        </w:rPr>
        <w:t>年《法律援助和咨询法案（修正案）》</w:t>
      </w:r>
      <w:r w:rsidRPr="009F751C">
        <w:rPr>
          <w:rFonts w:hint="eastAsia"/>
        </w:rPr>
        <w:t>规定了在根据</w:t>
      </w:r>
      <w:r w:rsidRPr="009F751C">
        <w:rPr>
          <w:rFonts w:eastAsia="KaiTi_GB2312"/>
          <w:b/>
        </w:rPr>
        <w:t>1999</w:t>
      </w:r>
      <w:r w:rsidRPr="009F751C">
        <w:rPr>
          <w:rFonts w:eastAsia="KaiTi_GB2312" w:hint="eastAsia"/>
          <w:b/>
        </w:rPr>
        <w:t>年《反家庭暴力法案》</w:t>
      </w:r>
      <w:r w:rsidRPr="009F751C">
        <w:rPr>
          <w:rFonts w:hint="eastAsia"/>
        </w:rPr>
        <w:t>提出申请方面应给予法律援助。在家庭暴力案件中，如某人出于紧急原因需要法律援助，法律援助局主任有权向此人颁发使其能够获得及时申诉的紧急证书。</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667C94" w:rsidRDefault="00D977B9" w:rsidP="00D977B9">
      <w:pPr>
        <w:pStyle w:val="H23"/>
        <w:tabs>
          <w:tab w:val="left" w:pos="1568"/>
        </w:tabs>
        <w:ind w:left="1134" w:right="1134"/>
        <w:rPr>
          <w:rFonts w:ascii="Times New Roman"/>
          <w:sz w:val="24"/>
        </w:rPr>
      </w:pPr>
      <w:r w:rsidRPr="00667C94">
        <w:rPr>
          <w:rFonts w:ascii="Times New Roman" w:hint="eastAsia"/>
          <w:sz w:val="24"/>
        </w:rPr>
        <w:t>结论</w:t>
      </w:r>
    </w:p>
    <w:p w:rsidR="00D977B9" w:rsidRPr="009F751C" w:rsidRDefault="00D977B9" w:rsidP="00D977B9">
      <w:pPr>
        <w:pStyle w:val="SingleTxt"/>
        <w:tabs>
          <w:tab w:val="clear" w:pos="1695"/>
          <w:tab w:val="left" w:pos="1568"/>
        </w:tabs>
        <w:spacing w:after="0" w:line="120" w:lineRule="exact"/>
        <w:ind w:left="1134" w:right="1134"/>
        <w:rPr>
          <w:sz w:val="10"/>
        </w:rPr>
      </w:pPr>
    </w:p>
    <w:p w:rsidR="00D977B9" w:rsidRPr="009F751C" w:rsidRDefault="00D977B9" w:rsidP="00D977B9">
      <w:pPr>
        <w:pStyle w:val="SingleTxt"/>
        <w:tabs>
          <w:tab w:val="clear" w:pos="1695"/>
          <w:tab w:val="left" w:pos="1568"/>
        </w:tabs>
        <w:spacing w:after="120"/>
        <w:ind w:left="1134" w:right="1134"/>
      </w:pPr>
      <w:r w:rsidRPr="009F751C">
        <w:t>160.</w:t>
      </w:r>
      <w:r w:rsidRPr="009F751C">
        <w:tab/>
      </w:r>
      <w:r w:rsidRPr="009F751C">
        <w:rPr>
          <w:rFonts w:hint="eastAsia"/>
        </w:rPr>
        <w:t>以上为特立尼达和多巴哥共和国政府关于</w:t>
      </w:r>
      <w:r w:rsidRPr="009F751C">
        <w:t>2001</w:t>
      </w:r>
      <w:r w:rsidRPr="009F751C">
        <w:rPr>
          <w:rFonts w:hint="eastAsia"/>
        </w:rPr>
        <w:t>至</w:t>
      </w:r>
      <w:r w:rsidRPr="009F751C">
        <w:t>2013</w:t>
      </w:r>
      <w:r w:rsidRPr="009F751C">
        <w:rPr>
          <w:rFonts w:hint="eastAsia"/>
        </w:rPr>
        <w:t>年间《消除对妇女一切形式歧视公约》（《消除对妇女歧视公约》）执行情况的第四次、第五次、第六次和第七次合并定期报告。本报告是依照《公约》第</w:t>
      </w:r>
      <w:r w:rsidRPr="009F751C">
        <w:t>18</w:t>
      </w:r>
      <w:r w:rsidRPr="009F751C">
        <w:rPr>
          <w:rFonts w:hint="eastAsia"/>
        </w:rPr>
        <w:t>条编制的。</w:t>
      </w:r>
    </w:p>
    <w:p w:rsidR="00D977B9" w:rsidRPr="009F751C" w:rsidRDefault="00D977B9" w:rsidP="00D977B9">
      <w:pPr>
        <w:pStyle w:val="SingleTxt"/>
        <w:tabs>
          <w:tab w:val="clear" w:pos="1695"/>
          <w:tab w:val="left" w:pos="1568"/>
        </w:tabs>
        <w:spacing w:after="120"/>
        <w:ind w:left="1134" w:right="1134"/>
      </w:pPr>
      <w:r w:rsidRPr="009F751C">
        <w:t>161.</w:t>
      </w:r>
      <w:r w:rsidRPr="009F751C">
        <w:tab/>
      </w:r>
      <w:r w:rsidRPr="009F751C">
        <w:rPr>
          <w:rFonts w:hint="eastAsia"/>
        </w:rPr>
        <w:t>作为快速进步的世界经济中一个年轻的发展中国家，特立尼达和多巴哥政府很高兴在促进妇女和女童权利方面取得了显著进步。妇女和女童在学术、政治、科学、艺术和社会文化领域做出的贡献对特立尼达和多巴哥整体发展产生了极大的影响。它证明妇女和女童享有与男性和男童同等受益的自由。</w:t>
      </w:r>
    </w:p>
    <w:p w:rsidR="00A37142" w:rsidRDefault="00D977B9" w:rsidP="00D977B9">
      <w:pPr>
        <w:pStyle w:val="SingleTxt"/>
        <w:tabs>
          <w:tab w:val="clear" w:pos="1695"/>
          <w:tab w:val="left" w:pos="1568"/>
        </w:tabs>
        <w:spacing w:after="120"/>
        <w:ind w:left="1134" w:right="1134"/>
        <w:rPr>
          <w:rFonts w:hint="eastAsia"/>
        </w:rPr>
      </w:pPr>
      <w:r w:rsidRPr="009F751C">
        <w:t>162.</w:t>
      </w:r>
      <w:r w:rsidRPr="009F751C">
        <w:tab/>
      </w:r>
      <w:r w:rsidRPr="009F751C">
        <w:rPr>
          <w:rFonts w:hint="eastAsia"/>
        </w:rPr>
        <w:t>尽管取得了这些进步，政府承诺始终致力于消除暴力侵害妇女行为，消除违反《公约》和妨碍享受基本权利和自由的歧视问题。正如政府“可持续发展七大相互关联的支柱”所述，与妇女权利相关的总体政策是通过制定政策和实施做法来建设一个对性别平等认识更加敏感的社会，加强对妇女问题和权利的认识，提高妇女和女童的生活标准，采取积极方法来促进性别平等，并执行《消除对妇女一切形式歧视公约》。</w:t>
      </w:r>
    </w:p>
    <w:p w:rsidR="00D977B9" w:rsidRPr="00D977B9" w:rsidRDefault="00D977B9" w:rsidP="00D977B9">
      <w:pPr>
        <w:pStyle w:val="SingleTxt"/>
        <w:tabs>
          <w:tab w:val="clear" w:pos="1695"/>
          <w:tab w:val="left" w:pos="1568"/>
        </w:tabs>
        <w:spacing w:after="0" w:line="240" w:lineRule="auto"/>
        <w:ind w:left="1134" w:right="1134"/>
        <w:rPr>
          <w:rFonts w:hint="eastAsia"/>
          <w:sz w:val="20"/>
        </w:rPr>
      </w:pPr>
      <w:r>
        <w:rPr>
          <w:rFonts w:hint="eastAsia"/>
          <w:noProof/>
          <w:snapToGrid/>
          <w:sz w:val="20"/>
        </w:rPr>
        <w:pict>
          <v:line id="_x0000_s1026" style="position:absolute;left:0;text-align:left;z-index:1;mso-position-horizontal:center" from="0,30pt" to="1in,30pt" strokecolor="#010000" strokeweight=".25pt"/>
        </w:pict>
      </w:r>
    </w:p>
    <w:sectPr w:rsidR="00D977B9" w:rsidRPr="00D977B9" w:rsidSect="00A37142">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5-04T15:07:00Z" w:initials="Start">
    <w:p w:rsidR="00A37142" w:rsidRDefault="00A37142">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end"/>
      </w:r>
      <w:r>
        <w:rPr>
          <w:rStyle w:val="CommentReference"/>
        </w:rPr>
        <w:annotationRef/>
      </w:r>
      <w:r>
        <w:t>&lt;&lt;ODS JOB NO&gt;&gt;N1505552C&lt;&lt;ODS JOB NO&gt;&gt;</w:t>
      </w:r>
    </w:p>
    <w:p w:rsidR="00A37142" w:rsidRDefault="00A37142">
      <w:pPr>
        <w:pStyle w:val="CommentText"/>
      </w:pPr>
      <w:r>
        <w:t>&lt;&lt;ODS DOC SYMBOL1&gt;&gt;CEDAW/C/TTO/4-7&lt;&lt;ODS DOC SYMBOL1&gt;&gt;</w:t>
      </w:r>
    </w:p>
    <w:p w:rsidR="00A37142" w:rsidRDefault="00A3714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DBA" w:rsidRDefault="00F21DBA">
      <w:r>
        <w:separator/>
      </w:r>
    </w:p>
  </w:endnote>
  <w:endnote w:type="continuationSeparator" w:id="0">
    <w:p w:rsidR="00F21DBA" w:rsidRDefault="00F21D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STKaiti">
    <w:charset w:val="86"/>
    <w:family w:val="auto"/>
    <w:pitch w:val="variable"/>
    <w:sig w:usb0="00000287" w:usb1="080F0000" w:usb2="00000010" w:usb3="00000000" w:csb0="0004009F" w:csb1="00000000"/>
  </w:font>
  <w:font w:name="仿宋">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37142" w:rsidTr="00A37142">
      <w:tblPrEx>
        <w:tblCellMar>
          <w:top w:w="0" w:type="dxa"/>
          <w:bottom w:w="0" w:type="dxa"/>
        </w:tblCellMar>
      </w:tblPrEx>
      <w:tc>
        <w:tcPr>
          <w:tcW w:w="5028" w:type="dxa"/>
          <w:shd w:val="clear" w:color="auto" w:fill="auto"/>
        </w:tcPr>
        <w:p w:rsidR="00A37142" w:rsidRPr="00A37142" w:rsidRDefault="00A37142" w:rsidP="00A37142">
          <w:pPr>
            <w:pStyle w:val="Footer"/>
            <w:jc w:val="right"/>
            <w:rPr>
              <w:b w:val="0"/>
              <w:w w:val="103"/>
              <w:sz w:val="14"/>
              <w:lang w:eastAsia="zh-CN"/>
            </w:rPr>
          </w:pPr>
          <w:fldSimple w:instr=" DOCVARIABLE &quot;FooterJN&quot; \* MERGEFORMAT ">
            <w:r w:rsidR="00F7674B">
              <w:rPr>
                <w:b w:val="0"/>
                <w:w w:val="103"/>
                <w:sz w:val="14"/>
                <w:lang w:eastAsia="zh-CN"/>
              </w:rPr>
              <w:t>15-03080 (C)</w:t>
            </w:r>
          </w:fldSimple>
        </w:p>
      </w:tc>
      <w:tc>
        <w:tcPr>
          <w:tcW w:w="5028" w:type="dxa"/>
          <w:shd w:val="clear" w:color="auto" w:fill="auto"/>
        </w:tcPr>
        <w:p w:rsidR="00A37142" w:rsidRPr="00A37142" w:rsidRDefault="00A37142" w:rsidP="00A37142">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C434C6">
            <w:rPr>
              <w:w w:val="103"/>
              <w:lang w:eastAsia="zh-CN"/>
            </w:rPr>
            <w:t>42</w:t>
          </w:r>
          <w:r>
            <w:rPr>
              <w:w w:val="103"/>
              <w:lang w:eastAsia="zh-CN"/>
            </w:rPr>
            <w:fldChar w:fldCharType="end"/>
          </w:r>
          <w:r>
            <w:rPr>
              <w:w w:val="103"/>
              <w:lang w:eastAsia="zh-CN"/>
            </w:rPr>
            <w:t>/</w:t>
          </w:r>
          <w:fldSimple w:instr=" NUMPAGES  \* Arabic  \* MERGEFORMAT ">
            <w:r w:rsidR="00C434C6">
              <w:rPr>
                <w:w w:val="103"/>
                <w:lang w:eastAsia="zh-CN"/>
              </w:rPr>
              <w:t>42</w:t>
            </w:r>
          </w:fldSimple>
        </w:p>
      </w:tc>
    </w:tr>
  </w:tbl>
  <w:p w:rsidR="00A37142" w:rsidRPr="00A37142" w:rsidRDefault="00A37142" w:rsidP="00A371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37142" w:rsidTr="00A37142">
      <w:tblPrEx>
        <w:tblCellMar>
          <w:top w:w="0" w:type="dxa"/>
          <w:bottom w:w="0" w:type="dxa"/>
        </w:tblCellMar>
      </w:tblPrEx>
      <w:tc>
        <w:tcPr>
          <w:tcW w:w="5028" w:type="dxa"/>
          <w:shd w:val="clear" w:color="auto" w:fill="auto"/>
        </w:tcPr>
        <w:p w:rsidR="00A37142" w:rsidRPr="00A37142" w:rsidRDefault="00A37142" w:rsidP="00A37142">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C434C6">
            <w:rPr>
              <w:lang w:eastAsia="zh-CN"/>
            </w:rPr>
            <w:t>41</w:t>
          </w:r>
          <w:r>
            <w:rPr>
              <w:lang w:eastAsia="zh-CN"/>
            </w:rPr>
            <w:fldChar w:fldCharType="end"/>
          </w:r>
          <w:r>
            <w:rPr>
              <w:lang w:eastAsia="zh-CN"/>
            </w:rPr>
            <w:t>/</w:t>
          </w:r>
          <w:fldSimple w:instr=" NUMPAGES  \* Arabic  \* MERGEFORMAT ">
            <w:r w:rsidR="00C434C6">
              <w:rPr>
                <w:lang w:eastAsia="zh-CN"/>
              </w:rPr>
              <w:t>41</w:t>
            </w:r>
          </w:fldSimple>
        </w:p>
      </w:tc>
      <w:tc>
        <w:tcPr>
          <w:tcW w:w="5028" w:type="dxa"/>
          <w:shd w:val="clear" w:color="auto" w:fill="auto"/>
        </w:tcPr>
        <w:p w:rsidR="00A37142" w:rsidRPr="00A37142" w:rsidRDefault="00A37142" w:rsidP="00A37142">
          <w:pPr>
            <w:pStyle w:val="Footer"/>
            <w:jc w:val="left"/>
            <w:rPr>
              <w:b w:val="0"/>
              <w:w w:val="103"/>
              <w:sz w:val="14"/>
              <w:lang w:eastAsia="zh-CN"/>
            </w:rPr>
          </w:pPr>
          <w:fldSimple w:instr=" DOCVARIABLE &quot;FooterJN&quot; \* MERGEFORMAT ">
            <w:r w:rsidR="00F7674B">
              <w:rPr>
                <w:b w:val="0"/>
                <w:w w:val="103"/>
                <w:sz w:val="14"/>
                <w:lang w:eastAsia="zh-CN"/>
              </w:rPr>
              <w:t>15-03080 (C)</w:t>
            </w:r>
          </w:fldSimple>
        </w:p>
      </w:tc>
    </w:tr>
  </w:tbl>
  <w:p w:rsidR="00A37142" w:rsidRPr="00A37142" w:rsidRDefault="00A37142" w:rsidP="00A3714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A37142" w:rsidTr="00A37142">
      <w:tblPrEx>
        <w:tblCellMar>
          <w:top w:w="0" w:type="dxa"/>
          <w:bottom w:w="0" w:type="dxa"/>
        </w:tblCellMar>
      </w:tblPrEx>
      <w:tc>
        <w:tcPr>
          <w:tcW w:w="3744" w:type="dxa"/>
        </w:tcPr>
        <w:p w:rsidR="00A37142" w:rsidRDefault="00A37142" w:rsidP="00A37142">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4-7Size =1Lang = C"/>
                <w10:wrap anchorx="page" anchory="page"/>
              </v:shape>
            </w:pict>
          </w:r>
          <w:fldSimple w:instr=" DOCVARIABLE &quot;jobn&quot; \* MERGEFORMAT ">
            <w:r w:rsidR="00F7674B">
              <w:t>15-03080 (C)</w:t>
            </w:r>
          </w:fldSimple>
          <w:r w:rsidR="00D977B9">
            <w:t xml:space="preserve">    </w:t>
          </w:r>
          <w:r w:rsidR="00D977B9">
            <w:rPr>
              <w:rFonts w:hint="eastAsia"/>
            </w:rPr>
            <w:t>29</w:t>
          </w:r>
          <w:r w:rsidR="00D977B9">
            <w:t>0</w:t>
          </w:r>
          <w:r w:rsidR="00D977B9">
            <w:rPr>
              <w:rFonts w:hint="eastAsia"/>
            </w:rPr>
            <w:t>4</w:t>
          </w:r>
          <w:r>
            <w:t>15    040515</w:t>
          </w:r>
        </w:p>
        <w:p w:rsidR="00A37142" w:rsidRPr="00A37142" w:rsidRDefault="00A37142" w:rsidP="00A37142">
          <w:pPr>
            <w:spacing w:before="80" w:line="210" w:lineRule="exact"/>
            <w:rPr>
              <w:rFonts w:ascii="Barcode 3 of 9 by request" w:hAnsi="Barcode 3 of 9 by request"/>
              <w:sz w:val="24"/>
            </w:rPr>
          </w:pPr>
          <w:r>
            <w:rPr>
              <w:rFonts w:ascii="Barcode 3 of 9 by request" w:hAnsi="Barcode 3 of 9 by request"/>
              <w:sz w:val="24"/>
            </w:rPr>
            <w:t>*1503080*</w:t>
          </w:r>
        </w:p>
      </w:tc>
      <w:tc>
        <w:tcPr>
          <w:tcW w:w="5028" w:type="dxa"/>
        </w:tcPr>
        <w:p w:rsidR="00A37142" w:rsidRDefault="00A37142" w:rsidP="00A37142">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A37142" w:rsidRPr="00A37142" w:rsidRDefault="00A37142" w:rsidP="00A3714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DBA" w:rsidRPr="00D977B9" w:rsidRDefault="00F21DBA" w:rsidP="00D977B9">
      <w:pPr>
        <w:pStyle w:val="Footer"/>
        <w:spacing w:after="80"/>
        <w:ind w:left="792"/>
        <w:rPr>
          <w:sz w:val="16"/>
        </w:rPr>
      </w:pPr>
      <w:r w:rsidRPr="00D977B9">
        <w:rPr>
          <w:sz w:val="16"/>
        </w:rPr>
        <w:t>__________________</w:t>
      </w:r>
    </w:p>
  </w:footnote>
  <w:footnote w:type="continuationSeparator" w:id="0">
    <w:p w:rsidR="00F21DBA" w:rsidRPr="00D977B9" w:rsidRDefault="00F21DBA" w:rsidP="00D977B9">
      <w:pPr>
        <w:pStyle w:val="Footer"/>
        <w:spacing w:after="80"/>
        <w:ind w:left="792"/>
        <w:rPr>
          <w:sz w:val="16"/>
        </w:rPr>
      </w:pPr>
      <w:r w:rsidRPr="00D977B9">
        <w:rPr>
          <w:sz w:val="16"/>
        </w:rPr>
        <w:t>__________________</w:t>
      </w:r>
    </w:p>
  </w:footnote>
  <w:footnote w:id="1">
    <w:p w:rsidR="00D977B9" w:rsidRPr="009E261A" w:rsidRDefault="00D977B9" w:rsidP="00D977B9">
      <w:pPr>
        <w:pStyle w:val="FootnoteText"/>
        <w:tabs>
          <w:tab w:val="clear" w:pos="418"/>
          <w:tab w:val="right" w:pos="1195"/>
          <w:tab w:val="left" w:pos="1264"/>
          <w:tab w:val="left" w:pos="1695"/>
          <w:tab w:val="left" w:pos="2126"/>
          <w:tab w:val="left" w:pos="2557"/>
        </w:tabs>
        <w:ind w:left="1264" w:right="1264" w:hanging="432"/>
        <w:rPr>
          <w:lang w:val="fr-CH"/>
        </w:rPr>
      </w:pPr>
      <w:r w:rsidRPr="009E261A">
        <w:tab/>
      </w:r>
      <w:r w:rsidRPr="009E261A">
        <w:rPr>
          <w:rStyle w:val="FootnoteReference"/>
          <w:color w:val="000000"/>
          <w:szCs w:val="18"/>
        </w:rPr>
        <w:t>*</w:t>
      </w:r>
      <w:r w:rsidRPr="009E261A">
        <w:rPr>
          <w:rFonts w:hint="eastAsia"/>
        </w:rPr>
        <w:tab/>
      </w:r>
      <w:r w:rsidRPr="009E261A">
        <w:rPr>
          <w:rFonts w:hint="eastAsia"/>
        </w:rPr>
        <w:t>本文件印发前未经正式编辑。</w:t>
      </w:r>
    </w:p>
  </w:footnote>
  <w:footnote w:id="2">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中央统计局，《特立尼达和多巴哥</w:t>
      </w:r>
      <w:r w:rsidR="00D977B9" w:rsidRPr="00D977B9">
        <w:t>2011</w:t>
      </w:r>
      <w:r w:rsidR="00D977B9" w:rsidRPr="00D977B9">
        <w:rPr>
          <w:rFonts w:hint="eastAsia"/>
        </w:rPr>
        <w:t>年人口和住房普查人口统计报告》，特立尼达和多巴哥共和国规划和可持续发展部，</w:t>
      </w:r>
      <w:r w:rsidR="00D977B9" w:rsidRPr="00D977B9">
        <w:t>2012</w:t>
      </w:r>
      <w:r w:rsidR="00D977B9" w:rsidRPr="00D977B9">
        <w:rPr>
          <w:rFonts w:hint="eastAsia"/>
        </w:rPr>
        <w:t>年。</w:t>
      </w:r>
    </w:p>
  </w:footnote>
  <w:footnote w:id="3">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联合国开发计划署，《</w:t>
      </w:r>
      <w:r w:rsidR="00D977B9" w:rsidRPr="00D977B9">
        <w:t>2013</w:t>
      </w:r>
      <w:r w:rsidR="00D977B9" w:rsidRPr="00D977B9">
        <w:rPr>
          <w:rFonts w:hint="eastAsia"/>
        </w:rPr>
        <w:t>年人类发展报告》，《南方的崛起：多元化世界中的人类进步》</w:t>
      </w:r>
      <w:r w:rsidR="00D977B9" w:rsidRPr="00D977B9">
        <w:rPr>
          <w:rFonts w:hint="eastAsia"/>
          <w:lang w:val="en-TT"/>
        </w:rPr>
        <w:t>，纽约，</w:t>
      </w:r>
      <w:r w:rsidR="00D977B9" w:rsidRPr="00D977B9">
        <w:rPr>
          <w:lang w:val="en-TT"/>
        </w:rPr>
        <w:t>2013</w:t>
      </w:r>
      <w:r w:rsidR="00D977B9" w:rsidRPr="00D977B9">
        <w:rPr>
          <w:rFonts w:hint="eastAsia"/>
          <w:lang w:val="en-TT"/>
        </w:rPr>
        <w:t>年。</w:t>
      </w:r>
    </w:p>
  </w:footnote>
  <w:footnote w:id="4">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中央统计局，《特立尼达和多巴哥</w:t>
      </w:r>
      <w:r w:rsidR="00D977B9" w:rsidRPr="00D977B9">
        <w:t>2011</w:t>
      </w:r>
      <w:r w:rsidR="00D977B9" w:rsidRPr="00D977B9">
        <w:rPr>
          <w:rFonts w:hint="eastAsia"/>
        </w:rPr>
        <w:t>年人口和住房普查人口统计报告》，特立尼达和多巴哥共和国规划和可持续发展部，</w:t>
      </w:r>
      <w:r w:rsidR="00D977B9" w:rsidRPr="00D977B9">
        <w:t>2012</w:t>
      </w:r>
      <w:r w:rsidR="00D977B9" w:rsidRPr="00D977B9">
        <w:rPr>
          <w:rFonts w:hint="eastAsia"/>
        </w:rPr>
        <w:t>年。</w:t>
      </w:r>
    </w:p>
  </w:footnote>
  <w:footnote w:id="5">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特立尼达和多巴哥中央银行，《</w:t>
      </w:r>
      <w:r w:rsidR="00D977B9" w:rsidRPr="00D977B9">
        <w:t>2011</w:t>
      </w:r>
      <w:r w:rsidR="00D977B9" w:rsidRPr="00D977B9">
        <w:rPr>
          <w:rFonts w:hint="eastAsia"/>
        </w:rPr>
        <w:t>年经济调查》，特立尼达和多巴哥，西班牙港，</w:t>
      </w:r>
      <w:r w:rsidR="00D977B9" w:rsidRPr="00D977B9">
        <w:t>2012</w:t>
      </w:r>
      <w:r w:rsidR="00D977B9" w:rsidRPr="00D977B9">
        <w:rPr>
          <w:rFonts w:hint="eastAsia"/>
        </w:rPr>
        <w:t>年。</w:t>
      </w:r>
    </w:p>
  </w:footnote>
  <w:footnote w:id="6">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财政和经济部，《</w:t>
      </w:r>
      <w:r w:rsidR="00D977B9" w:rsidRPr="00D977B9">
        <w:rPr>
          <w:lang w:val="en-TT"/>
        </w:rPr>
        <w:t>2014</w:t>
      </w:r>
      <w:r w:rsidR="00D977B9" w:rsidRPr="00D977B9">
        <w:rPr>
          <w:rFonts w:hint="eastAsia"/>
          <w:lang w:val="en-TT"/>
        </w:rPr>
        <w:t>年经济回顾》，特立尼达和多巴哥，西班牙港，</w:t>
      </w:r>
      <w:r w:rsidR="00D977B9" w:rsidRPr="00D977B9">
        <w:rPr>
          <w:lang w:val="en-TT"/>
        </w:rPr>
        <w:t xml:space="preserve"> 2014</w:t>
      </w:r>
      <w:r w:rsidR="00D977B9" w:rsidRPr="00D977B9">
        <w:rPr>
          <w:rFonts w:hint="eastAsia"/>
          <w:lang w:val="en-TT"/>
        </w:rPr>
        <w:t>年。</w:t>
      </w:r>
    </w:p>
  </w:footnote>
  <w:footnote w:id="7">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联合国开发计划署，《</w:t>
      </w:r>
      <w:r w:rsidR="00D977B9" w:rsidRPr="00D977B9">
        <w:t>2013</w:t>
      </w:r>
      <w:r w:rsidR="00D977B9" w:rsidRPr="00D977B9">
        <w:rPr>
          <w:rFonts w:hint="eastAsia"/>
        </w:rPr>
        <w:t>年人类发展报告》，《南方的崛起：多元化世界中的人类进步》</w:t>
      </w:r>
      <w:r w:rsidR="00D977B9" w:rsidRPr="00D977B9">
        <w:rPr>
          <w:rFonts w:hint="eastAsia"/>
          <w:lang w:val="en-TT"/>
        </w:rPr>
        <w:t>，纽约，</w:t>
      </w:r>
      <w:r w:rsidR="00D977B9" w:rsidRPr="00D977B9">
        <w:rPr>
          <w:lang w:val="en-TT"/>
        </w:rPr>
        <w:t>2013</w:t>
      </w:r>
      <w:r w:rsidR="00D977B9" w:rsidRPr="00D977B9">
        <w:rPr>
          <w:rFonts w:hint="eastAsia"/>
          <w:lang w:val="en-TT"/>
        </w:rPr>
        <w:t>年。</w:t>
      </w:r>
    </w:p>
  </w:footnote>
  <w:footnote w:id="8">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eastAsia="KaiTi_GB2312"/>
          <w:b/>
          <w:bCs/>
          <w:iCs/>
        </w:rPr>
        <w:t>1966</w:t>
      </w:r>
      <w:r w:rsidR="00D977B9" w:rsidRPr="00D977B9">
        <w:rPr>
          <w:rFonts w:eastAsia="KaiTi_GB2312" w:hAnsi="STKaiti" w:hint="eastAsia"/>
          <w:b/>
          <w:bCs/>
          <w:iCs/>
        </w:rPr>
        <w:t>年《财务法案》</w:t>
      </w:r>
      <w:r w:rsidR="00D977B9" w:rsidRPr="00D977B9">
        <w:rPr>
          <w:rFonts w:hint="eastAsia"/>
          <w:bCs/>
          <w:iCs/>
        </w:rPr>
        <w:t>第</w:t>
      </w:r>
      <w:r w:rsidR="00D977B9" w:rsidRPr="00D977B9">
        <w:rPr>
          <w:bCs/>
          <w:iCs/>
        </w:rPr>
        <w:t>20</w:t>
      </w:r>
      <w:r w:rsidR="00D977B9" w:rsidRPr="00D977B9">
        <w:rPr>
          <w:rFonts w:hint="eastAsia"/>
          <w:bCs/>
          <w:iCs/>
        </w:rPr>
        <w:t>节废除了</w:t>
      </w:r>
      <w:r w:rsidR="00D977B9" w:rsidRPr="00D977B9">
        <w:rPr>
          <w:rFonts w:eastAsia="KaiTi_GB2312"/>
          <w:b/>
        </w:rPr>
        <w:t>1938</w:t>
      </w:r>
      <w:r w:rsidR="00D977B9" w:rsidRPr="00D977B9">
        <w:rPr>
          <w:rFonts w:eastAsia="KaiTi_GB2312" w:hAnsi="STKaiti" w:hint="eastAsia"/>
          <w:b/>
        </w:rPr>
        <w:t>年</w:t>
      </w:r>
      <w:r w:rsidR="00D977B9" w:rsidRPr="00D977B9">
        <w:rPr>
          <w:rFonts w:eastAsia="KaiTi_GB2312" w:hAnsi="STKaiti" w:hint="eastAsia"/>
          <w:b/>
          <w:bCs/>
          <w:iCs/>
        </w:rPr>
        <w:t>《所得税法令》</w:t>
      </w:r>
      <w:r w:rsidR="00D977B9" w:rsidRPr="00D977B9">
        <w:rPr>
          <w:rFonts w:hint="eastAsia"/>
          <w:bCs/>
          <w:iCs/>
        </w:rPr>
        <w:t>。</w:t>
      </w:r>
      <w:r w:rsidR="00D977B9" w:rsidRPr="00D977B9">
        <w:rPr>
          <w:bCs/>
          <w:iCs/>
        </w:rPr>
        <w:t>1938</w:t>
      </w:r>
      <w:r w:rsidR="00D977B9" w:rsidRPr="00D977B9">
        <w:rPr>
          <w:rFonts w:hint="eastAsia"/>
          <w:bCs/>
          <w:iCs/>
        </w:rPr>
        <w:t>年《所得税法（修正案）》包含人人都有权提交单独的所得税申报表这一规定。</w:t>
      </w:r>
    </w:p>
  </w:footnote>
  <w:footnote w:id="9">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人民伙伴关系，《人人享有繁荣宣言》，</w:t>
      </w:r>
      <w:r w:rsidR="00D977B9" w:rsidRPr="00D977B9">
        <w:rPr>
          <w:lang w:val="en-TT"/>
        </w:rPr>
        <w:t>2010</w:t>
      </w:r>
      <w:r w:rsidR="00D977B9" w:rsidRPr="00D977B9">
        <w:rPr>
          <w:rFonts w:hint="eastAsia"/>
          <w:lang w:val="en-TT"/>
        </w:rPr>
        <w:t>年。</w:t>
      </w:r>
    </w:p>
  </w:footnote>
  <w:footnote w:id="10">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加共体承诺执行国际人口与发展会议（人发会议）《</w:t>
      </w:r>
      <w:r w:rsidR="00D977B9" w:rsidRPr="00D977B9">
        <w:rPr>
          <w:lang w:val="en-TT"/>
        </w:rPr>
        <w:t>1999</w:t>
      </w:r>
      <w:r w:rsidR="00D977B9" w:rsidRPr="00D977B9">
        <w:rPr>
          <w:rFonts w:hint="eastAsia"/>
          <w:lang w:val="en-TT"/>
        </w:rPr>
        <w:t>至</w:t>
      </w:r>
      <w:r w:rsidR="00D977B9" w:rsidRPr="00D977B9">
        <w:rPr>
          <w:lang w:val="en-TT"/>
        </w:rPr>
        <w:t>2004</w:t>
      </w:r>
      <w:r w:rsidR="00D977B9" w:rsidRPr="00D977B9">
        <w:rPr>
          <w:rFonts w:hint="eastAsia"/>
          <w:lang w:val="en-TT"/>
        </w:rPr>
        <w:t>年行动纲领》。</w:t>
      </w:r>
    </w:p>
  </w:footnote>
  <w:footnote w:id="11">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见第</w:t>
      </w:r>
      <w:r w:rsidR="00D977B9" w:rsidRPr="00D977B9">
        <w:rPr>
          <w:lang w:val="en-TT"/>
        </w:rPr>
        <w:t>24</w:t>
      </w:r>
      <w:r w:rsidR="00D977B9" w:rsidRPr="00D977B9">
        <w:rPr>
          <w:rFonts w:hint="eastAsia"/>
          <w:lang w:val="en-TT"/>
        </w:rPr>
        <w:t>段。</w:t>
      </w:r>
    </w:p>
  </w:footnote>
  <w:footnote w:id="12">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或未来任何被指定负责性别事务的政府部级机构。</w:t>
      </w:r>
    </w:p>
  </w:footnote>
  <w:footnote w:id="13">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特立尼达和多巴哥警察署犯罪和问题分析处。</w:t>
      </w:r>
    </w:p>
  </w:footnote>
  <w:footnote w:id="14">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hyperlink r:id="rId1" w:history="1">
        <w:r w:rsidR="00D977B9" w:rsidRPr="00D977B9">
          <w:rPr>
            <w:rStyle w:val="Hyperlink"/>
            <w:color w:val="auto"/>
          </w:rPr>
          <w:t>http://www.unicef.org/lac/Break_the_Silence--Introduction_.pdf</w:t>
        </w:r>
      </w:hyperlink>
      <w:r w:rsidR="00D977B9" w:rsidRPr="00D977B9">
        <w:rPr>
          <w:rFonts w:hint="eastAsia"/>
        </w:rPr>
        <w:t>。</w:t>
      </w:r>
    </w:p>
  </w:footnote>
  <w:footnote w:id="15">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rPr>
          <w:rFonts w:hint="eastAsia"/>
        </w:rPr>
        <w:tab/>
      </w:r>
      <w:r w:rsidR="00D977B9" w:rsidRPr="00D977B9">
        <w:rPr>
          <w:rFonts w:hint="eastAsia"/>
        </w:rPr>
        <w:t>关于执行的男子气质方案情况，见第</w:t>
      </w:r>
      <w:r w:rsidR="00D977B9" w:rsidRPr="00D977B9">
        <w:t>41</w:t>
      </w:r>
      <w:r w:rsidR="00D977B9" w:rsidRPr="00D977B9">
        <w:rPr>
          <w:rFonts w:hint="eastAsia"/>
        </w:rPr>
        <w:t>至</w:t>
      </w:r>
      <w:r w:rsidR="00D977B9" w:rsidRPr="00D977B9">
        <w:t>43</w:t>
      </w:r>
      <w:r w:rsidR="00D977B9" w:rsidRPr="00D977B9">
        <w:rPr>
          <w:rFonts w:hint="eastAsia"/>
        </w:rPr>
        <w:t>段。</w:t>
      </w:r>
    </w:p>
  </w:footnote>
  <w:footnote w:id="16">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见上文第</w:t>
      </w:r>
      <w:r w:rsidR="00D977B9" w:rsidRPr="00D977B9">
        <w:t>11</w:t>
      </w:r>
      <w:r w:rsidR="00D977B9" w:rsidRPr="00D977B9">
        <w:rPr>
          <w:rFonts w:hint="eastAsia"/>
        </w:rPr>
        <w:t>段。</w:t>
      </w:r>
    </w:p>
  </w:footnote>
  <w:footnote w:id="17">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见上文第</w:t>
      </w:r>
      <w:r w:rsidR="00D977B9" w:rsidRPr="00D977B9">
        <w:rPr>
          <w:lang w:val="en-TT"/>
        </w:rPr>
        <w:t>11</w:t>
      </w:r>
      <w:r w:rsidR="00D977B9" w:rsidRPr="00D977B9">
        <w:rPr>
          <w:rFonts w:hint="eastAsia"/>
          <w:lang w:val="en-TT"/>
        </w:rPr>
        <w:t>段。</w:t>
      </w:r>
    </w:p>
  </w:footnote>
  <w:footnote w:id="18">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联合国开发计划署，《</w:t>
      </w:r>
      <w:r w:rsidR="00D977B9" w:rsidRPr="00D977B9">
        <w:t>2009</w:t>
      </w:r>
      <w:r w:rsidR="00D977B9" w:rsidRPr="00D977B9">
        <w:rPr>
          <w:rFonts w:hint="eastAsia"/>
        </w:rPr>
        <w:t>年人类发展报告</w:t>
      </w:r>
      <w:r w:rsidR="00D977B9" w:rsidRPr="00D977B9">
        <w:rPr>
          <w:rFonts w:hint="eastAsia"/>
          <w:lang w:val="en-TT"/>
        </w:rPr>
        <w:t>》。</w:t>
      </w:r>
    </w:p>
  </w:footnote>
  <w:footnote w:id="19">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t>1972</w:t>
      </w:r>
      <w:r w:rsidR="00D977B9" w:rsidRPr="00D977B9">
        <w:rPr>
          <w:rFonts w:hint="eastAsia"/>
        </w:rPr>
        <w:t>年《国家保险法案》经以下法案修正：（</w:t>
      </w:r>
      <w:r w:rsidR="00D977B9" w:rsidRPr="00D977B9">
        <w:t>2004</w:t>
      </w:r>
      <w:r w:rsidR="00D977B9" w:rsidRPr="00D977B9">
        <w:rPr>
          <w:rFonts w:hint="eastAsia"/>
        </w:rPr>
        <w:t>年第</w:t>
      </w:r>
      <w:r w:rsidR="00D977B9" w:rsidRPr="00D977B9">
        <w:t>9</w:t>
      </w:r>
      <w:r w:rsidR="00D977B9" w:rsidRPr="00D977B9">
        <w:rPr>
          <w:rFonts w:hint="eastAsia"/>
        </w:rPr>
        <w:t>号）；（</w:t>
      </w:r>
      <w:r w:rsidR="00D977B9" w:rsidRPr="00D977B9">
        <w:t>2007</w:t>
      </w:r>
      <w:r w:rsidR="00D977B9" w:rsidRPr="00D977B9">
        <w:rPr>
          <w:rFonts w:hint="eastAsia"/>
        </w:rPr>
        <w:t>年第</w:t>
      </w:r>
      <w:r w:rsidR="00D977B9" w:rsidRPr="00D977B9">
        <w:t>30</w:t>
      </w:r>
      <w:r w:rsidR="00D977B9" w:rsidRPr="00D977B9">
        <w:rPr>
          <w:rFonts w:hint="eastAsia"/>
        </w:rPr>
        <w:t>号）；（</w:t>
      </w:r>
      <w:r w:rsidR="00D977B9" w:rsidRPr="00D977B9">
        <w:t>2008</w:t>
      </w:r>
      <w:r w:rsidR="00D977B9" w:rsidRPr="00D977B9">
        <w:rPr>
          <w:rFonts w:hint="eastAsia"/>
        </w:rPr>
        <w:t>年第</w:t>
      </w:r>
      <w:r w:rsidR="00D977B9" w:rsidRPr="00D977B9">
        <w:t>17</w:t>
      </w:r>
      <w:r w:rsidR="00D977B9" w:rsidRPr="00D977B9">
        <w:rPr>
          <w:rFonts w:hint="eastAsia"/>
        </w:rPr>
        <w:t>号）；（</w:t>
      </w:r>
      <w:r w:rsidR="00D977B9" w:rsidRPr="00D977B9">
        <w:t>2008</w:t>
      </w:r>
      <w:r w:rsidR="00D977B9" w:rsidRPr="00D977B9">
        <w:rPr>
          <w:rFonts w:hint="eastAsia"/>
        </w:rPr>
        <w:t>年第</w:t>
      </w:r>
      <w:r w:rsidR="00D977B9" w:rsidRPr="00D977B9">
        <w:t>18</w:t>
      </w:r>
      <w:r w:rsidR="00D977B9" w:rsidRPr="00D977B9">
        <w:rPr>
          <w:rFonts w:hint="eastAsia"/>
        </w:rPr>
        <w:t>号）；（</w:t>
      </w:r>
      <w:r w:rsidR="00D977B9" w:rsidRPr="00D977B9">
        <w:t>2012</w:t>
      </w:r>
      <w:r w:rsidR="00D977B9" w:rsidRPr="00D977B9">
        <w:rPr>
          <w:rFonts w:hint="eastAsia"/>
        </w:rPr>
        <w:t>年第</w:t>
      </w:r>
      <w:r w:rsidR="00D977B9" w:rsidRPr="00D977B9">
        <w:t>2</w:t>
      </w:r>
      <w:r w:rsidR="00D977B9" w:rsidRPr="00D977B9">
        <w:rPr>
          <w:rFonts w:hint="eastAsia"/>
        </w:rPr>
        <w:t>号）；（</w:t>
      </w:r>
      <w:r w:rsidR="00D977B9" w:rsidRPr="00D977B9">
        <w:t>2013</w:t>
      </w:r>
      <w:r w:rsidR="00D977B9" w:rsidRPr="00D977B9">
        <w:rPr>
          <w:rFonts w:hint="eastAsia"/>
        </w:rPr>
        <w:t>年第</w:t>
      </w:r>
      <w:r w:rsidR="00D977B9" w:rsidRPr="00D977B9">
        <w:t>2</w:t>
      </w:r>
      <w:r w:rsidR="00D977B9" w:rsidRPr="00D977B9">
        <w:rPr>
          <w:rFonts w:hint="eastAsia"/>
        </w:rPr>
        <w:t>号）；（</w:t>
      </w:r>
      <w:r w:rsidR="00D977B9" w:rsidRPr="00D977B9">
        <w:t>2013</w:t>
      </w:r>
      <w:r w:rsidR="00D977B9" w:rsidRPr="00D977B9">
        <w:rPr>
          <w:rFonts w:hint="eastAsia"/>
        </w:rPr>
        <w:t>年第</w:t>
      </w:r>
      <w:r w:rsidR="00D977B9" w:rsidRPr="00D977B9">
        <w:t>73</w:t>
      </w:r>
      <w:r w:rsidR="00D977B9" w:rsidRPr="00D977B9">
        <w:rPr>
          <w:rFonts w:hint="eastAsia"/>
        </w:rPr>
        <w:t>号）。</w:t>
      </w:r>
    </w:p>
  </w:footnote>
  <w:footnote w:id="20">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中央统计局，特立尼达和多巴哥政府，《</w:t>
      </w:r>
      <w:r w:rsidR="00D977B9" w:rsidRPr="00D977B9">
        <w:t>1997</w:t>
      </w:r>
      <w:r w:rsidR="00D977B9" w:rsidRPr="00D977B9">
        <w:rPr>
          <w:rFonts w:hint="eastAsia"/>
        </w:rPr>
        <w:t>至</w:t>
      </w:r>
      <w:r w:rsidR="00D977B9" w:rsidRPr="00D977B9">
        <w:t>2007</w:t>
      </w:r>
      <w:r w:rsidR="00D977B9" w:rsidRPr="00D977B9">
        <w:rPr>
          <w:rFonts w:hint="eastAsia"/>
        </w:rPr>
        <w:t>年</w:t>
      </w:r>
      <w:r w:rsidR="00D977B9" w:rsidRPr="00D977B9">
        <w:t>ASD</w:t>
      </w:r>
      <w:r w:rsidR="00D977B9" w:rsidRPr="00D977B9">
        <w:rPr>
          <w:rFonts w:hint="eastAsia"/>
        </w:rPr>
        <w:t>报告》，特立尼达和多巴哥，西班牙港，</w:t>
      </w:r>
      <w:r w:rsidR="00D977B9" w:rsidRPr="00D977B9">
        <w:t>2009</w:t>
      </w:r>
      <w:r w:rsidR="00D977B9" w:rsidRPr="00D977B9">
        <w:rPr>
          <w:rFonts w:hint="eastAsia"/>
        </w:rPr>
        <w:t>年。</w:t>
      </w:r>
    </w:p>
  </w:footnote>
  <w:footnote w:id="21">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中央统计局，《特立尼达和多巴哥</w:t>
      </w:r>
      <w:r w:rsidR="00D977B9" w:rsidRPr="00D977B9">
        <w:t>2011</w:t>
      </w:r>
      <w:r w:rsidR="00D977B9" w:rsidRPr="00D977B9">
        <w:rPr>
          <w:rFonts w:hint="eastAsia"/>
        </w:rPr>
        <w:t>年人口和住房普查人口统计报告》，特立尼达和多巴哥共和国规划和可持续发展部，</w:t>
      </w:r>
      <w:r w:rsidR="00D977B9" w:rsidRPr="00D977B9">
        <w:t>2012</w:t>
      </w:r>
      <w:r w:rsidR="00D977B9" w:rsidRPr="00D977B9">
        <w:rPr>
          <w:rFonts w:hint="eastAsia"/>
        </w:rPr>
        <w:t>年。</w:t>
      </w:r>
    </w:p>
  </w:footnote>
  <w:footnote w:id="22">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t>Gaietry Pargass</w:t>
      </w:r>
      <w:r w:rsidR="00D977B9" w:rsidRPr="00D977B9">
        <w:rPr>
          <w:rFonts w:hint="eastAsia"/>
        </w:rPr>
        <w:t>，《特立尼达和多巴哥儿童性虐待相关法律评论》，特立尼达和多巴哥圣奥古斯丁西印度群岛大学性别和发展研究所和特立尼达及多巴哥反对家庭暴力联盟委托为“打破沉默：通过多部门途径防止和解决特立尼达和多巴哥儿童性虐待”行动</w:t>
      </w:r>
      <w:r w:rsidR="00D977B9" w:rsidRPr="00D977B9">
        <w:t>/</w:t>
      </w:r>
      <w:r w:rsidR="00D977B9" w:rsidRPr="00D977B9">
        <w:rPr>
          <w:rFonts w:hint="eastAsia"/>
        </w:rPr>
        <w:t>研究项目编制的论文，</w:t>
      </w:r>
      <w:r w:rsidR="00D977B9" w:rsidRPr="00D977B9">
        <w:t>2009</w:t>
      </w:r>
      <w:r w:rsidR="00D977B9" w:rsidRPr="00D977B9">
        <w:rPr>
          <w:rFonts w:hint="eastAsia"/>
        </w:rPr>
        <w:t>年</w:t>
      </w:r>
      <w:r w:rsidR="00D977B9" w:rsidRPr="00D977B9">
        <w:t>7</w:t>
      </w:r>
      <w:r w:rsidR="00D977B9" w:rsidRPr="00D977B9">
        <w:rPr>
          <w:rFonts w:hint="eastAsia"/>
        </w:rPr>
        <w:t>月。</w:t>
      </w:r>
    </w:p>
  </w:footnote>
  <w:footnote w:id="23">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见第</w:t>
      </w:r>
      <w:r w:rsidR="00D977B9" w:rsidRPr="00D977B9">
        <w:rPr>
          <w:lang w:val="en-TT"/>
        </w:rPr>
        <w:t>41</w:t>
      </w:r>
      <w:r w:rsidR="00D977B9" w:rsidRPr="00D977B9">
        <w:rPr>
          <w:rFonts w:hint="eastAsia"/>
          <w:lang w:val="en-TT"/>
        </w:rPr>
        <w:t>段。</w:t>
      </w:r>
    </w:p>
  </w:footnote>
  <w:footnote w:id="24">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见第</w:t>
      </w:r>
      <w:r w:rsidR="00D977B9" w:rsidRPr="00D977B9">
        <w:rPr>
          <w:lang w:val="en-TT"/>
        </w:rPr>
        <w:t>59</w:t>
      </w:r>
      <w:r w:rsidR="00D977B9" w:rsidRPr="00D977B9">
        <w:rPr>
          <w:rFonts w:hint="eastAsia"/>
          <w:lang w:val="en-TT"/>
        </w:rPr>
        <w:t>段。</w:t>
      </w:r>
    </w:p>
  </w:footnote>
  <w:footnote w:id="25">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见第</w:t>
      </w:r>
      <w:r w:rsidR="00D977B9" w:rsidRPr="00D977B9">
        <w:rPr>
          <w:lang w:val="en-TT"/>
        </w:rPr>
        <w:t>59</w:t>
      </w:r>
      <w:r w:rsidR="00D977B9" w:rsidRPr="00D977B9">
        <w:rPr>
          <w:rFonts w:hint="eastAsia"/>
          <w:lang w:val="en-TT"/>
        </w:rPr>
        <w:t>段。</w:t>
      </w:r>
    </w:p>
  </w:footnote>
  <w:footnote w:id="26">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人民伙伴关系，《人人享有繁荣宣言》，</w:t>
      </w:r>
      <w:r w:rsidR="00D977B9" w:rsidRPr="00D977B9">
        <w:rPr>
          <w:lang w:val="en-TT"/>
        </w:rPr>
        <w:t>2010</w:t>
      </w:r>
      <w:r w:rsidR="00D977B9" w:rsidRPr="00D977B9">
        <w:rPr>
          <w:rFonts w:hint="eastAsia"/>
          <w:lang w:val="en-TT"/>
        </w:rPr>
        <w:t>年。</w:t>
      </w:r>
    </w:p>
  </w:footnote>
  <w:footnote w:id="27">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人民伙伴关系，“人人享有繁荣宣言》，</w:t>
      </w:r>
      <w:r w:rsidR="00D977B9" w:rsidRPr="00D977B9">
        <w:rPr>
          <w:lang w:val="en-TT"/>
        </w:rPr>
        <w:t>2010</w:t>
      </w:r>
      <w:r w:rsidR="00D977B9" w:rsidRPr="00D977B9">
        <w:rPr>
          <w:rFonts w:hint="eastAsia"/>
          <w:lang w:val="en-TT"/>
        </w:rPr>
        <w:t>年。</w:t>
      </w:r>
    </w:p>
  </w:footnote>
  <w:footnote w:id="28">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人民伙伴关系，《人人享有繁荣宣言》，</w:t>
      </w:r>
      <w:r w:rsidR="00D977B9" w:rsidRPr="00D977B9">
        <w:rPr>
          <w:lang w:val="en-TT"/>
        </w:rPr>
        <w:t>2010</w:t>
      </w:r>
      <w:r w:rsidR="00D977B9" w:rsidRPr="00D977B9">
        <w:rPr>
          <w:rFonts w:hint="eastAsia"/>
          <w:lang w:val="en-TT"/>
        </w:rPr>
        <w:t>年。</w:t>
      </w:r>
    </w:p>
  </w:footnote>
  <w:footnote w:id="29">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见第</w:t>
      </w:r>
      <w:r w:rsidR="00D977B9" w:rsidRPr="00D977B9">
        <w:rPr>
          <w:lang w:val="en-TT"/>
        </w:rPr>
        <w:t>80</w:t>
      </w:r>
      <w:r w:rsidR="00D977B9" w:rsidRPr="00D977B9">
        <w:rPr>
          <w:rFonts w:hint="eastAsia"/>
          <w:lang w:val="en-TT"/>
        </w:rPr>
        <w:t>段。</w:t>
      </w:r>
    </w:p>
  </w:footnote>
  <w:footnote w:id="30">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见第</w:t>
      </w:r>
      <w:r w:rsidR="00D977B9" w:rsidRPr="00D977B9">
        <w:rPr>
          <w:lang w:val="en-TT"/>
        </w:rPr>
        <w:t>42</w:t>
      </w:r>
      <w:r w:rsidR="00D977B9" w:rsidRPr="00D977B9">
        <w:rPr>
          <w:rFonts w:hint="eastAsia"/>
          <w:lang w:val="en-TT"/>
        </w:rPr>
        <w:t>段。</w:t>
      </w:r>
    </w:p>
  </w:footnote>
  <w:footnote w:id="31">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见第</w:t>
      </w:r>
      <w:r w:rsidR="00D977B9" w:rsidRPr="00D977B9">
        <w:rPr>
          <w:lang w:val="en-TT"/>
        </w:rPr>
        <w:t>43</w:t>
      </w:r>
      <w:r w:rsidR="00D977B9" w:rsidRPr="00D977B9">
        <w:rPr>
          <w:rFonts w:hint="eastAsia"/>
          <w:lang w:val="en-TT"/>
        </w:rPr>
        <w:t>段。</w:t>
      </w:r>
    </w:p>
  </w:footnote>
  <w:footnote w:id="32">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lang w:val="en-TT"/>
        </w:rPr>
        <w:t>见第</w:t>
      </w:r>
      <w:r w:rsidR="00D977B9" w:rsidRPr="00D977B9">
        <w:rPr>
          <w:lang w:val="en-TT"/>
        </w:rPr>
        <w:t>59</w:t>
      </w:r>
      <w:r w:rsidR="00D977B9" w:rsidRPr="00D977B9">
        <w:rPr>
          <w:rFonts w:hint="eastAsia"/>
          <w:lang w:val="en-TT"/>
        </w:rPr>
        <w:t>段。</w:t>
      </w:r>
    </w:p>
  </w:footnote>
  <w:footnote w:id="33">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rPr>
          <w:rFonts w:hint="eastAsia"/>
        </w:rPr>
        <w:tab/>
      </w:r>
      <w:r w:rsidR="00D977B9" w:rsidRPr="00D977B9">
        <w:rPr>
          <w:rFonts w:hint="eastAsia"/>
        </w:rPr>
        <w:t>《</w:t>
      </w:r>
      <w:r w:rsidR="00D977B9" w:rsidRPr="00D977B9">
        <w:t>2011</w:t>
      </w:r>
      <w:r w:rsidR="00D977B9" w:rsidRPr="00D977B9">
        <w:rPr>
          <w:rFonts w:hint="eastAsia"/>
        </w:rPr>
        <w:t>年特立尼达和多巴哥调查指导》，技术发展和企业发展司。</w:t>
      </w:r>
    </w:p>
  </w:footnote>
  <w:footnote w:id="34">
    <w:p w:rsidR="00D977B9" w:rsidRPr="009E261A" w:rsidRDefault="003E73E0"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00D977B9" w:rsidRPr="009E261A">
        <w:rPr>
          <w:rStyle w:val="FootnoteReference"/>
          <w:color w:val="000000"/>
          <w:szCs w:val="18"/>
        </w:rPr>
        <w:footnoteRef/>
      </w:r>
      <w:r w:rsidR="00D977B9" w:rsidRPr="00D977B9">
        <w:tab/>
      </w:r>
      <w:r w:rsidR="00D977B9" w:rsidRPr="00D977B9">
        <w:rPr>
          <w:rFonts w:hint="eastAsia"/>
        </w:rPr>
        <w:t>中央统计局，《特立尼达和多巴哥</w:t>
      </w:r>
      <w:r w:rsidR="00D977B9" w:rsidRPr="00D977B9">
        <w:t>2011</w:t>
      </w:r>
      <w:r w:rsidR="00D977B9" w:rsidRPr="00D977B9">
        <w:rPr>
          <w:rFonts w:hint="eastAsia"/>
        </w:rPr>
        <w:t>年人口和住房普查人口统计报告》，特立尼达和多巴哥共和国规划和可持续发展部，</w:t>
      </w:r>
      <w:r w:rsidR="00D977B9" w:rsidRPr="00D977B9">
        <w:t>2012</w:t>
      </w:r>
      <w:r w:rsidR="00D977B9" w:rsidRPr="00D977B9">
        <w:rPr>
          <w:rFonts w:hint="eastAsia"/>
        </w:rPr>
        <w:t>年。</w:t>
      </w:r>
    </w:p>
  </w:footnote>
  <w:footnote w:id="35">
    <w:p w:rsidR="00D977B9" w:rsidRPr="009E261A" w:rsidRDefault="00D977B9" w:rsidP="00D977B9">
      <w:pPr>
        <w:pStyle w:val="FootnoteText"/>
        <w:tabs>
          <w:tab w:val="clear" w:pos="418"/>
          <w:tab w:val="right" w:pos="1195"/>
          <w:tab w:val="left" w:pos="1264"/>
          <w:tab w:val="left" w:pos="1695"/>
          <w:tab w:val="left" w:pos="2126"/>
          <w:tab w:val="left" w:pos="2557"/>
        </w:tabs>
        <w:spacing w:after="60"/>
        <w:ind w:left="1264" w:right="1264" w:hanging="432"/>
        <w:jc w:val="left"/>
        <w:rPr>
          <w:color w:val="000000"/>
          <w:szCs w:val="18"/>
        </w:rPr>
      </w:pPr>
      <w:r>
        <w:rPr>
          <w:rFonts w:hint="eastAsia"/>
        </w:rPr>
        <w:tab/>
      </w:r>
      <w:r w:rsidRPr="009E261A">
        <w:rPr>
          <w:rStyle w:val="FootnoteReference"/>
          <w:color w:val="000000"/>
          <w:szCs w:val="18"/>
        </w:rPr>
        <w:footnoteRef/>
      </w:r>
      <w:r w:rsidRPr="00D977B9">
        <w:tab/>
      </w:r>
      <w:r w:rsidRPr="00F827B2">
        <w:rPr>
          <w:rFonts w:hint="eastAsia"/>
          <w:spacing w:val="-4"/>
        </w:rPr>
        <w:t>妇女企业家创业环境，《促进妇女创业》，多边投资基金，</w:t>
      </w:r>
      <w:bookmarkStart w:id="6" w:name="_GoBack"/>
      <w:bookmarkEnd w:id="6"/>
      <w:r w:rsidRPr="00F827B2">
        <w:rPr>
          <w:spacing w:val="-4"/>
        </w:rPr>
        <w:fldChar w:fldCharType="begin"/>
      </w:r>
      <w:r w:rsidRPr="00F827B2">
        <w:rPr>
          <w:spacing w:val="-4"/>
        </w:rPr>
        <w:instrText xml:space="preserve"> HYPERLINK "http://www.weventurescope.com/en/Home/Ranking" </w:instrText>
      </w:r>
      <w:r w:rsidR="00F7674B" w:rsidRPr="00F827B2">
        <w:rPr>
          <w:spacing w:val="-4"/>
        </w:rPr>
      </w:r>
      <w:r w:rsidRPr="00F827B2">
        <w:rPr>
          <w:spacing w:val="-4"/>
        </w:rPr>
        <w:fldChar w:fldCharType="separate"/>
      </w:r>
      <w:r w:rsidRPr="00F827B2">
        <w:rPr>
          <w:rStyle w:val="Hyperlink"/>
          <w:color w:val="auto"/>
          <w:spacing w:val="-4"/>
          <w:lang w:val="en-TT"/>
        </w:rPr>
        <w:t>www.weventurescope.com/en/Home/Ranking</w:t>
      </w:r>
      <w:r w:rsidRPr="00F827B2">
        <w:rPr>
          <w:spacing w:val="-4"/>
        </w:rPr>
        <w:fldChar w:fldCharType="end"/>
      </w:r>
      <w:r w:rsidRPr="00F827B2">
        <w:rPr>
          <w:rFonts w:hint="eastAsia"/>
          <w:spacing w:val="-4"/>
          <w:lang w:val="en-TT"/>
        </w:rPr>
        <w:t>。</w:t>
      </w:r>
    </w:p>
  </w:footnote>
  <w:footnote w:id="36">
    <w:p w:rsidR="00D977B9" w:rsidRPr="009E261A" w:rsidRDefault="00D977B9"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Pr="009E261A">
        <w:rPr>
          <w:rStyle w:val="FootnoteReference"/>
          <w:color w:val="000000"/>
          <w:szCs w:val="18"/>
        </w:rPr>
        <w:footnoteRef/>
      </w:r>
      <w:r w:rsidRPr="00D977B9">
        <w:tab/>
      </w:r>
      <w:r w:rsidRPr="00D977B9">
        <w:rPr>
          <w:rFonts w:hint="eastAsia"/>
          <w:lang w:val="en-TT"/>
        </w:rPr>
        <w:t>见第</w:t>
      </w:r>
      <w:r w:rsidRPr="00D977B9">
        <w:rPr>
          <w:lang w:val="en-TT"/>
        </w:rPr>
        <w:t>84</w:t>
      </w:r>
      <w:r w:rsidRPr="00D977B9">
        <w:rPr>
          <w:rFonts w:hint="eastAsia"/>
          <w:lang w:val="en-TT"/>
        </w:rPr>
        <w:t>段。</w:t>
      </w:r>
    </w:p>
  </w:footnote>
  <w:footnote w:id="37">
    <w:p w:rsidR="00D977B9" w:rsidRPr="009E261A" w:rsidRDefault="00D977B9"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Pr="009E261A">
        <w:rPr>
          <w:rStyle w:val="FootnoteReference"/>
          <w:color w:val="000000"/>
          <w:szCs w:val="18"/>
        </w:rPr>
        <w:footnoteRef/>
      </w:r>
      <w:r w:rsidRPr="00D977B9">
        <w:rPr>
          <w:rFonts w:hint="eastAsia"/>
        </w:rPr>
        <w:tab/>
      </w:r>
      <w:r w:rsidRPr="00D977B9">
        <w:rPr>
          <w:rFonts w:hint="eastAsia"/>
        </w:rPr>
        <w:t>见第</w:t>
      </w:r>
      <w:r w:rsidRPr="00D977B9">
        <w:t>86</w:t>
      </w:r>
      <w:r w:rsidRPr="00D977B9">
        <w:rPr>
          <w:rFonts w:hint="eastAsia"/>
        </w:rPr>
        <w:t>段。</w:t>
      </w:r>
    </w:p>
  </w:footnote>
  <w:footnote w:id="38">
    <w:p w:rsidR="00D977B9" w:rsidRPr="00BD2C61" w:rsidRDefault="00D977B9" w:rsidP="00D977B9">
      <w:pPr>
        <w:pStyle w:val="FootnoteText"/>
        <w:tabs>
          <w:tab w:val="clear" w:pos="418"/>
          <w:tab w:val="right" w:pos="1195"/>
          <w:tab w:val="left" w:pos="1264"/>
          <w:tab w:val="left" w:pos="1695"/>
          <w:tab w:val="left" w:pos="2126"/>
          <w:tab w:val="left" w:pos="2557"/>
        </w:tabs>
        <w:spacing w:after="60"/>
        <w:ind w:left="1264" w:right="1264" w:hanging="432"/>
        <w:rPr>
          <w:color w:val="000000"/>
          <w:szCs w:val="18"/>
        </w:rPr>
      </w:pPr>
      <w:r>
        <w:rPr>
          <w:rFonts w:hint="eastAsia"/>
        </w:rPr>
        <w:tab/>
      </w:r>
      <w:r w:rsidRPr="009E261A">
        <w:rPr>
          <w:rStyle w:val="FootnoteReference"/>
          <w:color w:val="000000"/>
          <w:szCs w:val="18"/>
        </w:rPr>
        <w:footnoteRef/>
      </w:r>
      <w:r w:rsidRPr="00D977B9">
        <w:rPr>
          <w:rStyle w:val="FootnoteReference"/>
          <w:rFonts w:hint="eastAsia"/>
          <w:w w:val="100"/>
          <w:vertAlign w:val="baseline"/>
        </w:rPr>
        <w:tab/>
      </w:r>
      <w:r w:rsidRPr="00D977B9">
        <w:rPr>
          <w:rStyle w:val="FootnoteReference"/>
          <w:rFonts w:hint="eastAsia"/>
          <w:w w:val="100"/>
          <w:vertAlign w:val="baseline"/>
        </w:rPr>
        <w:t>见第</w:t>
      </w:r>
      <w:r w:rsidRPr="00D977B9">
        <w:rPr>
          <w:rStyle w:val="FootnoteReference"/>
          <w:w w:val="100"/>
          <w:vertAlign w:val="baseline"/>
        </w:rPr>
        <w:t>20</w:t>
      </w:r>
      <w:r w:rsidRPr="00D977B9">
        <w:rPr>
          <w:rStyle w:val="FootnoteReference"/>
          <w:rFonts w:hint="eastAsia"/>
          <w:w w:val="100"/>
          <w:vertAlign w:val="baseline"/>
        </w:rPr>
        <w:t>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37142" w:rsidTr="00A37142">
      <w:tblPrEx>
        <w:tblCellMar>
          <w:top w:w="0" w:type="dxa"/>
          <w:bottom w:w="0" w:type="dxa"/>
        </w:tblCellMar>
      </w:tblPrEx>
      <w:trPr>
        <w:trHeight w:hRule="exact" w:val="864"/>
      </w:trPr>
      <w:tc>
        <w:tcPr>
          <w:tcW w:w="4838" w:type="dxa"/>
          <w:shd w:val="clear" w:color="auto" w:fill="auto"/>
          <w:vAlign w:val="bottom"/>
        </w:tcPr>
        <w:p w:rsidR="00A37142" w:rsidRPr="00A37142" w:rsidRDefault="00A37142" w:rsidP="00A37142">
          <w:pPr>
            <w:pStyle w:val="Header"/>
            <w:spacing w:after="80"/>
            <w:jc w:val="left"/>
            <w:rPr>
              <w:b/>
              <w:sz w:val="17"/>
              <w:lang w:eastAsia="zh-CN"/>
            </w:rPr>
          </w:pPr>
          <w:fldSimple w:instr=" DOCVARIABLE &quot;sss1&quot; \* MERGEFORMAT ">
            <w:r w:rsidR="00F7674B">
              <w:rPr>
                <w:b/>
                <w:sz w:val="17"/>
                <w:lang w:eastAsia="zh-CN"/>
              </w:rPr>
              <w:t>CEDAW/C/TTO/4-7</w:t>
            </w:r>
          </w:fldSimple>
        </w:p>
      </w:tc>
      <w:tc>
        <w:tcPr>
          <w:tcW w:w="5028" w:type="dxa"/>
          <w:shd w:val="clear" w:color="auto" w:fill="auto"/>
          <w:vAlign w:val="bottom"/>
        </w:tcPr>
        <w:p w:rsidR="00A37142" w:rsidRDefault="00A37142" w:rsidP="00A37142">
          <w:pPr>
            <w:pStyle w:val="Header"/>
            <w:rPr>
              <w:lang w:eastAsia="zh-CN"/>
            </w:rPr>
          </w:pPr>
        </w:p>
      </w:tc>
    </w:tr>
  </w:tbl>
  <w:p w:rsidR="00A37142" w:rsidRPr="00A37142" w:rsidRDefault="00A37142" w:rsidP="00A3714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37142" w:rsidTr="00A37142">
      <w:tblPrEx>
        <w:tblCellMar>
          <w:top w:w="0" w:type="dxa"/>
          <w:bottom w:w="0" w:type="dxa"/>
        </w:tblCellMar>
      </w:tblPrEx>
      <w:trPr>
        <w:trHeight w:hRule="exact" w:val="864"/>
      </w:trPr>
      <w:tc>
        <w:tcPr>
          <w:tcW w:w="4838" w:type="dxa"/>
          <w:shd w:val="clear" w:color="auto" w:fill="auto"/>
          <w:vAlign w:val="bottom"/>
        </w:tcPr>
        <w:p w:rsidR="00A37142" w:rsidRDefault="00A37142" w:rsidP="00A37142">
          <w:pPr>
            <w:pStyle w:val="Header"/>
            <w:rPr>
              <w:lang w:eastAsia="zh-CN"/>
            </w:rPr>
          </w:pPr>
        </w:p>
      </w:tc>
      <w:tc>
        <w:tcPr>
          <w:tcW w:w="5028" w:type="dxa"/>
          <w:shd w:val="clear" w:color="auto" w:fill="auto"/>
          <w:vAlign w:val="bottom"/>
        </w:tcPr>
        <w:p w:rsidR="00A37142" w:rsidRPr="00A37142" w:rsidRDefault="00A37142" w:rsidP="00A37142">
          <w:pPr>
            <w:pStyle w:val="Header"/>
            <w:spacing w:after="80"/>
            <w:jc w:val="right"/>
            <w:rPr>
              <w:b/>
              <w:sz w:val="17"/>
              <w:lang w:eastAsia="zh-CN"/>
            </w:rPr>
          </w:pPr>
          <w:fldSimple w:instr=" DOCVARIABLE &quot;sss1&quot; \* MERGEFORMAT ">
            <w:r w:rsidR="00F7674B">
              <w:rPr>
                <w:b/>
                <w:sz w:val="17"/>
                <w:lang w:eastAsia="zh-CN"/>
              </w:rPr>
              <w:t>CEDAW/C/TTO/4-7</w:t>
            </w:r>
          </w:fldSimple>
        </w:p>
      </w:tc>
    </w:tr>
  </w:tbl>
  <w:p w:rsidR="00A37142" w:rsidRPr="00A37142" w:rsidRDefault="00A37142" w:rsidP="00A3714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37142" w:rsidTr="00A3714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37142" w:rsidRDefault="00A37142" w:rsidP="00A37142">
          <w:pPr>
            <w:pStyle w:val="Header"/>
            <w:spacing w:after="120"/>
            <w:rPr>
              <w:lang w:eastAsia="zh-CN"/>
            </w:rPr>
          </w:pPr>
        </w:p>
      </w:tc>
      <w:tc>
        <w:tcPr>
          <w:tcW w:w="1872" w:type="dxa"/>
          <w:tcBorders>
            <w:bottom w:val="single" w:sz="4" w:space="0" w:color="auto"/>
          </w:tcBorders>
          <w:shd w:val="clear" w:color="auto" w:fill="auto"/>
          <w:vAlign w:val="bottom"/>
        </w:tcPr>
        <w:p w:rsidR="00A37142" w:rsidRPr="00A37142" w:rsidRDefault="00A37142" w:rsidP="00A3714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37142" w:rsidRDefault="00A37142" w:rsidP="00A37142">
          <w:pPr>
            <w:pStyle w:val="Header"/>
            <w:spacing w:after="120"/>
            <w:rPr>
              <w:lang w:eastAsia="zh-CN"/>
            </w:rPr>
          </w:pPr>
        </w:p>
      </w:tc>
      <w:tc>
        <w:tcPr>
          <w:tcW w:w="6523" w:type="dxa"/>
          <w:gridSpan w:val="3"/>
          <w:tcBorders>
            <w:bottom w:val="single" w:sz="4" w:space="0" w:color="auto"/>
          </w:tcBorders>
          <w:shd w:val="clear" w:color="auto" w:fill="auto"/>
          <w:vAlign w:val="bottom"/>
        </w:tcPr>
        <w:p w:rsidR="00A37142" w:rsidRPr="00A37142" w:rsidRDefault="00A37142" w:rsidP="00A37142">
          <w:pPr>
            <w:spacing w:after="80" w:line="240" w:lineRule="auto"/>
            <w:jc w:val="right"/>
            <w:rPr>
              <w:position w:val="-4"/>
            </w:rPr>
          </w:pPr>
          <w:r>
            <w:rPr>
              <w:position w:val="-4"/>
              <w:sz w:val="40"/>
            </w:rPr>
            <w:t>CEDAW</w:t>
          </w:r>
          <w:r>
            <w:rPr>
              <w:position w:val="-4"/>
            </w:rPr>
            <w:t>/C/TTO/4-7</w:t>
          </w:r>
        </w:p>
      </w:tc>
    </w:tr>
    <w:tr w:rsidR="00A37142" w:rsidRPr="00A37142" w:rsidTr="00A3714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37142" w:rsidRPr="00A37142" w:rsidRDefault="00A37142" w:rsidP="00A37142">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A37142" w:rsidRPr="00A37142" w:rsidRDefault="00A37142" w:rsidP="00A3714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37142" w:rsidRPr="00A37142" w:rsidRDefault="00A37142" w:rsidP="00A37142">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A37142" w:rsidRDefault="00A37142" w:rsidP="00A37142">
          <w:pPr>
            <w:pStyle w:val="Distr"/>
          </w:pPr>
          <w:r>
            <w:t>Distr.: General</w:t>
          </w:r>
        </w:p>
        <w:p w:rsidR="00A37142" w:rsidRDefault="00A37142" w:rsidP="00A37142">
          <w:pPr>
            <w:pStyle w:val="Publication"/>
          </w:pPr>
          <w:r>
            <w:t>2 March 2015</w:t>
          </w:r>
        </w:p>
        <w:p w:rsidR="00A37142" w:rsidRDefault="00A37142" w:rsidP="00A37142">
          <w:pPr>
            <w:spacing w:line="240" w:lineRule="exact"/>
          </w:pPr>
          <w:r>
            <w:t>Chinese</w:t>
          </w:r>
        </w:p>
        <w:p w:rsidR="00A37142" w:rsidRDefault="00A37142" w:rsidP="00A37142">
          <w:pPr>
            <w:pStyle w:val="Original"/>
          </w:pPr>
          <w:r>
            <w:t>Original: English</w:t>
          </w:r>
        </w:p>
        <w:p w:rsidR="00A37142" w:rsidRPr="00A37142" w:rsidRDefault="00A37142" w:rsidP="00A37142"/>
      </w:tc>
    </w:tr>
  </w:tbl>
  <w:p w:rsidR="00A37142" w:rsidRPr="00A37142" w:rsidRDefault="00A37142" w:rsidP="00A3714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10F6637"/>
    <w:multiLevelType w:val="hybridMultilevel"/>
    <w:tmpl w:val="13D07642"/>
    <w:lvl w:ilvl="0" w:tplc="04090017">
      <w:start w:val="1"/>
      <w:numFmt w:val="chineseCountingThousand"/>
      <w:lvlText w:val="(%1)"/>
      <w:lvlJc w:val="left"/>
      <w:pPr>
        <w:ind w:left="2029" w:hanging="420"/>
      </w:pPr>
    </w:lvl>
    <w:lvl w:ilvl="1" w:tplc="04090019" w:tentative="1">
      <w:start w:val="1"/>
      <w:numFmt w:val="lowerLetter"/>
      <w:lvlText w:val="%2)"/>
      <w:lvlJc w:val="left"/>
      <w:pPr>
        <w:ind w:left="2449" w:hanging="420"/>
      </w:pPr>
    </w:lvl>
    <w:lvl w:ilvl="2" w:tplc="0409001B" w:tentative="1">
      <w:start w:val="1"/>
      <w:numFmt w:val="lowerRoman"/>
      <w:lvlText w:val="%3."/>
      <w:lvlJc w:val="right"/>
      <w:pPr>
        <w:ind w:left="2869" w:hanging="420"/>
      </w:pPr>
    </w:lvl>
    <w:lvl w:ilvl="3" w:tplc="0409000F" w:tentative="1">
      <w:start w:val="1"/>
      <w:numFmt w:val="decimal"/>
      <w:lvlText w:val="%4."/>
      <w:lvlJc w:val="left"/>
      <w:pPr>
        <w:ind w:left="3289" w:hanging="420"/>
      </w:pPr>
    </w:lvl>
    <w:lvl w:ilvl="4" w:tplc="04090019" w:tentative="1">
      <w:start w:val="1"/>
      <w:numFmt w:val="lowerLetter"/>
      <w:lvlText w:val="%5)"/>
      <w:lvlJc w:val="left"/>
      <w:pPr>
        <w:ind w:left="3709" w:hanging="420"/>
      </w:pPr>
    </w:lvl>
    <w:lvl w:ilvl="5" w:tplc="0409001B" w:tentative="1">
      <w:start w:val="1"/>
      <w:numFmt w:val="lowerRoman"/>
      <w:lvlText w:val="%6."/>
      <w:lvlJc w:val="right"/>
      <w:pPr>
        <w:ind w:left="4129" w:hanging="420"/>
      </w:pPr>
    </w:lvl>
    <w:lvl w:ilvl="6" w:tplc="0409000F" w:tentative="1">
      <w:start w:val="1"/>
      <w:numFmt w:val="decimal"/>
      <w:lvlText w:val="%7."/>
      <w:lvlJc w:val="left"/>
      <w:pPr>
        <w:ind w:left="4549" w:hanging="420"/>
      </w:pPr>
    </w:lvl>
    <w:lvl w:ilvl="7" w:tplc="04090019" w:tentative="1">
      <w:start w:val="1"/>
      <w:numFmt w:val="lowerLetter"/>
      <w:lvlText w:val="%8)"/>
      <w:lvlJc w:val="left"/>
      <w:pPr>
        <w:ind w:left="4969" w:hanging="420"/>
      </w:pPr>
    </w:lvl>
    <w:lvl w:ilvl="8" w:tplc="0409001B" w:tentative="1">
      <w:start w:val="1"/>
      <w:numFmt w:val="lowerRoman"/>
      <w:lvlText w:val="%9."/>
      <w:lvlJc w:val="right"/>
      <w:pPr>
        <w:ind w:left="5389" w:hanging="420"/>
      </w:pPr>
    </w:lvl>
  </w:abstractNum>
  <w:abstractNum w:abstractNumId="8">
    <w:nsid w:val="31C74A20"/>
    <w:multiLevelType w:val="hybridMultilevel"/>
    <w:tmpl w:val="31862FF6"/>
    <w:lvl w:ilvl="0" w:tplc="C6846E34">
      <w:start w:val="1"/>
      <w:numFmt w:val="japaneseCounting"/>
      <w:lvlText w:val="（%1）"/>
      <w:lvlJc w:val="left"/>
      <w:pPr>
        <w:ind w:left="2584" w:hanging="975"/>
      </w:pPr>
      <w:rPr>
        <w:rFonts w:hint="default"/>
      </w:rPr>
    </w:lvl>
    <w:lvl w:ilvl="1" w:tplc="04090019" w:tentative="1">
      <w:start w:val="1"/>
      <w:numFmt w:val="lowerLetter"/>
      <w:lvlText w:val="%2)"/>
      <w:lvlJc w:val="left"/>
      <w:pPr>
        <w:ind w:left="2449" w:hanging="420"/>
      </w:pPr>
    </w:lvl>
    <w:lvl w:ilvl="2" w:tplc="0409001B" w:tentative="1">
      <w:start w:val="1"/>
      <w:numFmt w:val="lowerRoman"/>
      <w:lvlText w:val="%3."/>
      <w:lvlJc w:val="right"/>
      <w:pPr>
        <w:ind w:left="2869" w:hanging="420"/>
      </w:pPr>
    </w:lvl>
    <w:lvl w:ilvl="3" w:tplc="0409000F" w:tentative="1">
      <w:start w:val="1"/>
      <w:numFmt w:val="decimal"/>
      <w:lvlText w:val="%4."/>
      <w:lvlJc w:val="left"/>
      <w:pPr>
        <w:ind w:left="3289" w:hanging="420"/>
      </w:pPr>
    </w:lvl>
    <w:lvl w:ilvl="4" w:tplc="04090019" w:tentative="1">
      <w:start w:val="1"/>
      <w:numFmt w:val="lowerLetter"/>
      <w:lvlText w:val="%5)"/>
      <w:lvlJc w:val="left"/>
      <w:pPr>
        <w:ind w:left="3709" w:hanging="420"/>
      </w:pPr>
    </w:lvl>
    <w:lvl w:ilvl="5" w:tplc="0409001B" w:tentative="1">
      <w:start w:val="1"/>
      <w:numFmt w:val="lowerRoman"/>
      <w:lvlText w:val="%6."/>
      <w:lvlJc w:val="right"/>
      <w:pPr>
        <w:ind w:left="4129" w:hanging="420"/>
      </w:pPr>
    </w:lvl>
    <w:lvl w:ilvl="6" w:tplc="0409000F" w:tentative="1">
      <w:start w:val="1"/>
      <w:numFmt w:val="decimal"/>
      <w:lvlText w:val="%7."/>
      <w:lvlJc w:val="left"/>
      <w:pPr>
        <w:ind w:left="4549" w:hanging="420"/>
      </w:pPr>
    </w:lvl>
    <w:lvl w:ilvl="7" w:tplc="04090019" w:tentative="1">
      <w:start w:val="1"/>
      <w:numFmt w:val="lowerLetter"/>
      <w:lvlText w:val="%8)"/>
      <w:lvlJc w:val="left"/>
      <w:pPr>
        <w:ind w:left="4969" w:hanging="420"/>
      </w:pPr>
    </w:lvl>
    <w:lvl w:ilvl="8" w:tplc="0409001B" w:tentative="1">
      <w:start w:val="1"/>
      <w:numFmt w:val="lowerRoman"/>
      <w:lvlText w:val="%9."/>
      <w:lvlJc w:val="right"/>
      <w:pPr>
        <w:ind w:left="5389" w:hanging="420"/>
      </w:p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671861DB"/>
    <w:multiLevelType w:val="hybridMultilevel"/>
    <w:tmpl w:val="A9B633D4"/>
    <w:lvl w:ilvl="0" w:tplc="FFFFFFFF">
      <w:start w:val="1"/>
      <w:numFmt w:val="bullet"/>
      <w:pStyle w:val="Bullet2GC"/>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1">
    <w:nsid w:val="68862366"/>
    <w:multiLevelType w:val="hybridMultilevel"/>
    <w:tmpl w:val="523E6D94"/>
    <w:name w:val="TOC"/>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10"/>
  </w:num>
  <w:num w:numId="5">
    <w:abstractNumId w:val="5"/>
  </w:num>
  <w:num w:numId="6">
    <w:abstractNumId w:val="9"/>
  </w:num>
  <w:num w:numId="7">
    <w:abstractNumId w:val="6"/>
  </w:num>
  <w:num w:numId="8">
    <w:abstractNumId w:val="3"/>
  </w:num>
  <w:num w:numId="9">
    <w:abstractNumId w:val="2"/>
  </w:num>
  <w:num w:numId="10">
    <w:abstractNumId w:val="11"/>
  </w:num>
  <w:num w:numId="11">
    <w:abstractNumId w:val="7"/>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80*"/>
    <w:docVar w:name="CreationDt" w:val="04/05/2015 15:07:10"/>
    <w:docVar w:name="DocCategory" w:val="Doc"/>
    <w:docVar w:name="DocType" w:val="Final"/>
    <w:docVar w:name="DutyStation" w:val="New York"/>
    <w:docVar w:name="FooterJN" w:val="15-03080 (C)"/>
    <w:docVar w:name="jobn" w:val="15-03080 (C)"/>
    <w:docVar w:name="jobnDT" w:val="15-03080 (C)   040515"/>
    <w:docVar w:name="jobnDTDT" w:val="15-03080 (C)   040515   040515"/>
    <w:docVar w:name="JobNo" w:val="1503080C"/>
    <w:docVar w:name="OandT" w:val="wu"/>
    <w:docVar w:name="PaperSize" w:val="Letter"/>
    <w:docVar w:name="sss1" w:val="CEDAW/C/TTO/4-7"/>
    <w:docVar w:name="sss2" w:val="-"/>
    <w:docVar w:name="Symbol1" w:val="CEDAW/C/TTO/4-7"/>
    <w:docVar w:name="Symbol2" w:val="-"/>
  </w:docVars>
  <w:rsids>
    <w:rsidRoot w:val="00716A26"/>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579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3E0"/>
    <w:rsid w:val="003E748F"/>
    <w:rsid w:val="003E7612"/>
    <w:rsid w:val="003F4BD2"/>
    <w:rsid w:val="003F7BF8"/>
    <w:rsid w:val="004044EF"/>
    <w:rsid w:val="00413FBC"/>
    <w:rsid w:val="00414423"/>
    <w:rsid w:val="0041733F"/>
    <w:rsid w:val="00420761"/>
    <w:rsid w:val="00420E23"/>
    <w:rsid w:val="00433853"/>
    <w:rsid w:val="00440B0D"/>
    <w:rsid w:val="004411AD"/>
    <w:rsid w:val="004424EF"/>
    <w:rsid w:val="00453BB0"/>
    <w:rsid w:val="00460162"/>
    <w:rsid w:val="004620A8"/>
    <w:rsid w:val="0046458E"/>
    <w:rsid w:val="004649D5"/>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375"/>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16A26"/>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457F"/>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142"/>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34C6"/>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4EC2"/>
    <w:rsid w:val="00D950BE"/>
    <w:rsid w:val="00D9586D"/>
    <w:rsid w:val="00D95A8C"/>
    <w:rsid w:val="00D9749C"/>
    <w:rsid w:val="00D977B9"/>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5EDC"/>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21DBA"/>
    <w:rsid w:val="00F3596A"/>
    <w:rsid w:val="00F40463"/>
    <w:rsid w:val="00F44A01"/>
    <w:rsid w:val="00F50336"/>
    <w:rsid w:val="00F55E5B"/>
    <w:rsid w:val="00F569BC"/>
    <w:rsid w:val="00F62E3F"/>
    <w:rsid w:val="00F66E5C"/>
    <w:rsid w:val="00F67F90"/>
    <w:rsid w:val="00F708D7"/>
    <w:rsid w:val="00F7674B"/>
    <w:rsid w:val="00F77B3E"/>
    <w:rsid w:val="00F827B2"/>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ne number" w:uiPriority="99"/>
    <w:lsdException w:name="endnote reference" w:uiPriority="99"/>
    <w:lsdException w:name="endnote text" w:uiPriority="99"/>
    <w:lsdException w:name="Title" w:qFormat="1"/>
    <w:lsdException w:name="Subtitle" w:qFormat="1"/>
    <w:lsdException w:name="Hyperlink" w:uiPriority="99"/>
    <w:lsdException w:name="FollowedHyperlink" w:uiPriority="99" w:qFormat="1"/>
    <w:lsdException w:name="Strong" w:qFormat="1"/>
    <w:lsdException w:name="Emphasis" w:qFormat="1"/>
    <w:lsdException w:name="Plain Text"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977B9"/>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HCh"/>
    <w:link w:val="Heading1Char1"/>
    <w:qFormat/>
    <w:rsid w:val="005B04F3"/>
    <w:pPr>
      <w:keepNext/>
      <w:keepLines/>
      <w:numPr>
        <w:numId w:val="5"/>
      </w:numPr>
      <w:tabs>
        <w:tab w:val="clear" w:pos="431"/>
        <w:tab w:val="right" w:pos="1021"/>
        <w:tab w:val="left" w:pos="1264"/>
        <w:tab w:val="left" w:pos="1695"/>
        <w:tab w:val="left" w:pos="2126"/>
        <w:tab w:val="left" w:pos="2557"/>
      </w:tabs>
      <w:overflowPunct/>
      <w:adjustRightInd/>
      <w:snapToGrid/>
      <w:spacing w:line="400" w:lineRule="exact"/>
      <w:ind w:right="1264"/>
      <w:outlineLvl w:val="0"/>
    </w:pPr>
    <w:rPr>
      <w:rFonts w:eastAsia="SimHei"/>
      <w:bCs/>
      <w:snapToGrid/>
      <w:kern w:val="14"/>
      <w:sz w:val="28"/>
      <w:szCs w:val="28"/>
      <w:lang/>
    </w:rPr>
  </w:style>
  <w:style w:type="paragraph" w:styleId="Heading2">
    <w:name w:val="heading 2"/>
    <w:basedOn w:val="Normal"/>
    <w:next w:val="H1"/>
    <w:link w:val="Heading2Char1"/>
    <w:qFormat/>
    <w:rsid w:val="005B04F3"/>
    <w:pPr>
      <w:keepNext/>
      <w:keepLines/>
      <w:numPr>
        <w:ilvl w:val="1"/>
        <w:numId w:val="5"/>
      </w:numPr>
      <w:tabs>
        <w:tab w:val="clear" w:pos="431"/>
        <w:tab w:val="right" w:pos="1021"/>
        <w:tab w:val="left" w:pos="1264"/>
        <w:tab w:val="left" w:pos="1695"/>
        <w:tab w:val="left" w:pos="2126"/>
        <w:tab w:val="left" w:pos="2557"/>
      </w:tabs>
      <w:overflowPunct/>
      <w:adjustRightInd/>
      <w:snapToGrid/>
      <w:spacing w:line="240" w:lineRule="exact"/>
      <w:ind w:right="1264"/>
      <w:outlineLvl w:val="1"/>
    </w:pPr>
    <w:rPr>
      <w:rFonts w:ascii="SimHei" w:hAnsi="SimHei"/>
      <w:b/>
      <w:bCs/>
      <w:snapToGrid/>
      <w:kern w:val="14"/>
      <w:sz w:val="28"/>
      <w:szCs w:val="26"/>
      <w:lang/>
    </w:rPr>
  </w:style>
  <w:style w:type="paragraph" w:styleId="Heading3">
    <w:name w:val="heading 3"/>
    <w:aliases w:val="Char Знак Знак Знак"/>
    <w:basedOn w:val="Normal"/>
    <w:next w:val="Normal"/>
    <w:link w:val="Heading3Char"/>
    <w:qFormat/>
    <w:rsid w:val="005B04F3"/>
    <w:pPr>
      <w:keepNext/>
      <w:keepLines/>
      <w:numPr>
        <w:ilvl w:val="2"/>
        <w:numId w:val="5"/>
      </w:numPr>
      <w:tabs>
        <w:tab w:val="clear" w:pos="431"/>
      </w:tabs>
      <w:overflowPunct/>
      <w:adjustRightInd/>
      <w:snapToGrid/>
      <w:spacing w:before="260" w:after="260" w:line="416" w:lineRule="atLeast"/>
      <w:outlineLvl w:val="2"/>
    </w:pPr>
    <w:rPr>
      <w:rFonts w:ascii="SimSun" w:hAnsi="SimSun"/>
      <w:b/>
      <w:bCs/>
      <w:snapToGrid/>
      <w:kern w:val="14"/>
      <w:sz w:val="32"/>
      <w:lang/>
    </w:rPr>
  </w:style>
  <w:style w:type="paragraph" w:styleId="Heading4">
    <w:name w:val="heading 4"/>
    <w:basedOn w:val="Normal"/>
    <w:next w:val="Normal"/>
    <w:link w:val="Heading4Char"/>
    <w:qFormat/>
    <w:rsid w:val="00D977B9"/>
    <w:pPr>
      <w:keepNext/>
      <w:keepLines/>
      <w:widowControl w:val="0"/>
      <w:numPr>
        <w:ilvl w:val="3"/>
        <w:numId w:val="5"/>
      </w:numPr>
      <w:spacing w:after="240"/>
      <w:ind w:left="864" w:hanging="144"/>
      <w:outlineLvl w:val="3"/>
    </w:pPr>
    <w:rPr>
      <w:u w:val="single"/>
      <w:lang/>
    </w:rPr>
  </w:style>
  <w:style w:type="paragraph" w:styleId="Heading5">
    <w:name w:val="heading 5"/>
    <w:basedOn w:val="Normal"/>
    <w:next w:val="Normal"/>
    <w:link w:val="Heading5Char"/>
    <w:qFormat/>
    <w:rsid w:val="00D977B9"/>
    <w:pPr>
      <w:numPr>
        <w:ilvl w:val="4"/>
        <w:numId w:val="5"/>
      </w:numPr>
      <w:spacing w:after="240"/>
      <w:ind w:left="1008" w:hanging="432"/>
      <w:outlineLvl w:val="4"/>
    </w:pPr>
    <w:rPr>
      <w:rFonts w:eastAsia="SimHei"/>
      <w:bCs/>
      <w:szCs w:val="36"/>
      <w:lang/>
    </w:rPr>
  </w:style>
  <w:style w:type="paragraph" w:styleId="Heading6">
    <w:name w:val="heading 6"/>
    <w:basedOn w:val="Normal"/>
    <w:next w:val="Normal"/>
    <w:link w:val="Heading6Char"/>
    <w:qFormat/>
    <w:rsid w:val="00D977B9"/>
    <w:pPr>
      <w:keepNext/>
      <w:keepLines/>
      <w:numPr>
        <w:ilvl w:val="5"/>
        <w:numId w:val="5"/>
      </w:numPr>
      <w:spacing w:before="240" w:after="64" w:line="320" w:lineRule="auto"/>
      <w:ind w:left="1152" w:hanging="432"/>
      <w:outlineLvl w:val="5"/>
    </w:pPr>
    <w:rPr>
      <w:rFonts w:ascii="Arial" w:eastAsia="SimHei" w:hAnsi="Arial"/>
      <w:b/>
      <w:bCs/>
      <w:szCs w:val="24"/>
      <w:lang/>
    </w:rPr>
  </w:style>
  <w:style w:type="paragraph" w:styleId="Heading7">
    <w:name w:val="heading 7"/>
    <w:basedOn w:val="Normal"/>
    <w:next w:val="Normal"/>
    <w:link w:val="Heading7Char"/>
    <w:uiPriority w:val="99"/>
    <w:qFormat/>
    <w:rsid w:val="00D977B9"/>
    <w:pPr>
      <w:keepNext/>
      <w:keepLines/>
      <w:numPr>
        <w:ilvl w:val="6"/>
        <w:numId w:val="5"/>
      </w:numPr>
      <w:spacing w:before="240" w:after="64" w:line="320" w:lineRule="auto"/>
      <w:ind w:left="1296" w:hanging="288"/>
      <w:outlineLvl w:val="6"/>
    </w:pPr>
    <w:rPr>
      <w:b/>
      <w:bCs/>
      <w:szCs w:val="24"/>
      <w:lang/>
    </w:rPr>
  </w:style>
  <w:style w:type="paragraph" w:styleId="Heading8">
    <w:name w:val="heading 8"/>
    <w:basedOn w:val="Normal"/>
    <w:next w:val="Normal"/>
    <w:link w:val="Heading8Char"/>
    <w:uiPriority w:val="99"/>
    <w:qFormat/>
    <w:rsid w:val="00D977B9"/>
    <w:pPr>
      <w:keepNext/>
      <w:keepLines/>
      <w:numPr>
        <w:ilvl w:val="7"/>
        <w:numId w:val="5"/>
      </w:numPr>
      <w:spacing w:before="240" w:after="64" w:line="320" w:lineRule="auto"/>
      <w:ind w:left="1440" w:hanging="432"/>
      <w:outlineLvl w:val="7"/>
    </w:pPr>
    <w:rPr>
      <w:rFonts w:ascii="Arial" w:eastAsia="SimHei" w:hAnsi="Arial"/>
      <w:szCs w:val="24"/>
      <w:lang/>
    </w:rPr>
  </w:style>
  <w:style w:type="paragraph" w:styleId="Heading9">
    <w:name w:val="heading 9"/>
    <w:basedOn w:val="Normal"/>
    <w:next w:val="Normal"/>
    <w:link w:val="Heading9Char"/>
    <w:uiPriority w:val="99"/>
    <w:qFormat/>
    <w:rsid w:val="00D977B9"/>
    <w:pPr>
      <w:keepNext/>
      <w:keepLines/>
      <w:numPr>
        <w:ilvl w:val="8"/>
        <w:numId w:val="5"/>
      </w:numPr>
      <w:spacing w:before="240" w:after="64" w:line="320" w:lineRule="auto"/>
      <w:ind w:left="1584" w:hanging="144"/>
      <w:outlineLvl w:val="8"/>
    </w:pPr>
    <w:rPr>
      <w:rFonts w:ascii="Arial" w:eastAsia="SimHei" w:hAnsi="Arial"/>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uiPriority w:val="99"/>
    <w:qFormat/>
    <w:rsid w:val="00986132"/>
    <w:pPr>
      <w:keepNext/>
      <w:keepLines/>
      <w:suppressAutoHyphens/>
      <w:outlineLvl w:val="0"/>
    </w:pPr>
    <w:rPr>
      <w:rFonts w:ascii="SimHei" w:eastAsia="SimHei"/>
      <w:sz w:val="24"/>
    </w:rPr>
  </w:style>
  <w:style w:type="paragraph" w:customStyle="1" w:styleId="HCh">
    <w:name w:val="_ H _Ch"/>
    <w:basedOn w:val="H1"/>
    <w:next w:val="Normal"/>
    <w:uiPriority w:val="99"/>
    <w:qFormat/>
    <w:rsid w:val="001E5A51"/>
    <w:pPr>
      <w:tabs>
        <w:tab w:val="left" w:pos="57"/>
      </w:tabs>
      <w:spacing w:line="400" w:lineRule="exact"/>
    </w:pPr>
    <w:rPr>
      <w:sz w:val="28"/>
    </w:rPr>
  </w:style>
  <w:style w:type="paragraph" w:customStyle="1" w:styleId="HM">
    <w:name w:val="_ H __M"/>
    <w:basedOn w:val="HCh"/>
    <w:next w:val="Normal"/>
    <w:autoRedefine/>
    <w:uiPriority w:val="99"/>
    <w:qFormat/>
    <w:rsid w:val="001E5A51"/>
    <w:pPr>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uiPriority w:val="99"/>
    <w:qFormat/>
    <w:rsid w:val="00986132"/>
    <w:pPr>
      <w:outlineLvl w:val="1"/>
    </w:pPr>
    <w:rPr>
      <w:rFonts w:ascii="SimHei" w:eastAsia="SimHei"/>
      <w:spacing w:val="2"/>
    </w:rPr>
  </w:style>
  <w:style w:type="paragraph" w:customStyle="1" w:styleId="H4">
    <w:name w:val="_ H_4"/>
    <w:basedOn w:val="Normal"/>
    <w:next w:val="Normal"/>
    <w:uiPriority w:val="99"/>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uiPriority w:val="99"/>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uiPriority w:val="99"/>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uiPriority w:val="99"/>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uiPriority w:val="99"/>
    <w:qFormat/>
    <w:rsid w:val="001E5A51"/>
    <w:pPr>
      <w:spacing w:line="640" w:lineRule="exact"/>
    </w:pPr>
    <w:rPr>
      <w:spacing w:val="-8"/>
      <w:w w:val="96"/>
      <w:sz w:val="57"/>
    </w:rPr>
  </w:style>
  <w:style w:type="paragraph" w:customStyle="1" w:styleId="SS">
    <w:name w:val="__S_S"/>
    <w:basedOn w:val="HCh"/>
    <w:next w:val="Normal"/>
    <w:uiPriority w:val="99"/>
    <w:qFormat/>
    <w:rsid w:val="001E5A51"/>
    <w:pPr>
      <w:ind w:left="1264" w:right="1264"/>
    </w:pPr>
  </w:style>
  <w:style w:type="paragraph" w:customStyle="1" w:styleId="SingleTxt">
    <w:name w:val="__Single Txt"/>
    <w:basedOn w:val="Normal"/>
    <w:uiPriority w:val="99"/>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uiPriority w:val="99"/>
    <w:rsid w:val="001E5A51"/>
    <w:pPr>
      <w:tabs>
        <w:tab w:val="right" w:pos="9965"/>
      </w:tabs>
      <w:spacing w:line="210" w:lineRule="exact"/>
    </w:pPr>
    <w:rPr>
      <w:noProof/>
      <w:spacing w:val="5"/>
      <w:w w:val="104"/>
      <w:sz w:val="17"/>
    </w:rPr>
  </w:style>
  <w:style w:type="paragraph" w:customStyle="1" w:styleId="SmallX">
    <w:name w:val="SmallX"/>
    <w:basedOn w:val="Small"/>
    <w:next w:val="Normal"/>
    <w:uiPriority w:val="99"/>
    <w:rsid w:val="001E5A51"/>
    <w:pPr>
      <w:spacing w:line="180" w:lineRule="exact"/>
      <w:jc w:val="right"/>
    </w:pPr>
    <w:rPr>
      <w:spacing w:val="6"/>
      <w:w w:val="106"/>
      <w:sz w:val="14"/>
    </w:rPr>
  </w:style>
  <w:style w:type="paragraph" w:customStyle="1" w:styleId="XLarge">
    <w:name w:val="XLarge"/>
    <w:basedOn w:val="HM"/>
    <w:uiPriority w:val="99"/>
    <w:qFormat/>
    <w:rsid w:val="001E5A51"/>
    <w:pPr>
      <w:tabs>
        <w:tab w:val="right" w:leader="dot" w:pos="360"/>
      </w:tabs>
      <w:spacing w:line="390" w:lineRule="exact"/>
    </w:pPr>
    <w:rPr>
      <w:sz w:val="40"/>
    </w:rPr>
  </w:style>
  <w:style w:type="character" w:styleId="FootnoteReference">
    <w:name w:val="footnote reference"/>
    <w:uiPriority w:val="99"/>
    <w:rsid w:val="00803014"/>
    <w:rPr>
      <w:color w:val="auto"/>
      <w:spacing w:val="0"/>
      <w:w w:val="150"/>
      <w:position w:val="0"/>
      <w:vertAlign w:val="superscript"/>
    </w:rPr>
  </w:style>
  <w:style w:type="character" w:styleId="EndnoteReference">
    <w:name w:val="endnote reference"/>
    <w:uiPriority w:val="99"/>
    <w:rsid w:val="001E5A51"/>
    <w:rPr>
      <w:color w:val="auto"/>
      <w:spacing w:val="0"/>
      <w:w w:val="150"/>
      <w:position w:val="0"/>
      <w:vertAlign w:val="superscript"/>
    </w:rPr>
  </w:style>
  <w:style w:type="paragraph" w:styleId="FootnoteText">
    <w:name w:val="footnote text"/>
    <w:basedOn w:val="Normal"/>
    <w:link w:val="FootnoteTextChar"/>
    <w:rsid w:val="001E5A51"/>
    <w:pPr>
      <w:tabs>
        <w:tab w:val="clear" w:pos="431"/>
        <w:tab w:val="right" w:pos="418"/>
      </w:tabs>
      <w:spacing w:after="120" w:line="240" w:lineRule="exact"/>
      <w:ind w:left="170" w:hanging="170"/>
    </w:pPr>
    <w:rPr>
      <w:noProof/>
      <w:snapToGrid/>
      <w:kern w:val="14"/>
      <w:sz w:val="18"/>
      <w:lang/>
    </w:rPr>
  </w:style>
  <w:style w:type="paragraph" w:styleId="EndnoteText">
    <w:name w:val="endnote text"/>
    <w:basedOn w:val="FootnoteText"/>
    <w:link w:val="EndnoteTextChar"/>
    <w:uiPriority w:val="99"/>
    <w:rsid w:val="001E5A51"/>
  </w:style>
  <w:style w:type="paragraph" w:styleId="CommentText">
    <w:name w:val="annotation text"/>
    <w:basedOn w:val="Normal"/>
    <w:link w:val="CommentTextChar3"/>
    <w:uiPriority w:val="99"/>
    <w:rsid w:val="001E5A51"/>
    <w:rPr>
      <w:snapToGrid/>
      <w:kern w:val="14"/>
      <w:lang/>
    </w:rPr>
  </w:style>
  <w:style w:type="paragraph" w:styleId="CommentSubject">
    <w:name w:val="annotation subject"/>
    <w:basedOn w:val="CommentText"/>
    <w:next w:val="CommentText"/>
    <w:link w:val="CommentSubjectChar"/>
    <w:uiPriority w:val="99"/>
    <w:rsid w:val="001E5A51"/>
    <w:rPr>
      <w:b/>
      <w:bCs/>
    </w:rPr>
  </w:style>
  <w:style w:type="character" w:styleId="CommentReference">
    <w:name w:val="annotation reference"/>
    <w:uiPriority w:val="99"/>
    <w:semiHidden/>
    <w:rsid w:val="001E5A51"/>
    <w:rPr>
      <w:sz w:val="21"/>
      <w:szCs w:val="21"/>
    </w:rPr>
  </w:style>
  <w:style w:type="paragraph" w:styleId="BalloonText">
    <w:name w:val="Balloon Text"/>
    <w:basedOn w:val="Normal"/>
    <w:link w:val="BalloonTextChar1"/>
    <w:uiPriority w:val="99"/>
    <w:rsid w:val="001E5A51"/>
    <w:rPr>
      <w:snapToGrid/>
      <w:kern w:val="14"/>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link w:val="HeaderChar1"/>
    <w:uiPriority w:val="99"/>
    <w:rsid w:val="001E5A51"/>
    <w:pPr>
      <w:tabs>
        <w:tab w:val="center" w:pos="4320"/>
        <w:tab w:val="right" w:pos="8640"/>
      </w:tabs>
      <w:jc w:val="both"/>
    </w:pPr>
    <w:rPr>
      <w:noProof/>
      <w:sz w:val="18"/>
    </w:rPr>
  </w:style>
  <w:style w:type="paragraph" w:styleId="Footer">
    <w:name w:val="footer"/>
    <w:link w:val="FooterChar1"/>
    <w:uiPriority w:val="99"/>
    <w:rsid w:val="001E5A51"/>
    <w:pPr>
      <w:tabs>
        <w:tab w:val="center" w:pos="4320"/>
        <w:tab w:val="right" w:pos="8640"/>
      </w:tabs>
      <w:jc w:val="both"/>
    </w:pPr>
    <w:rPr>
      <w:b/>
      <w:noProof/>
      <w:sz w:val="18"/>
      <w:szCs w:val="18"/>
    </w:rPr>
  </w:style>
  <w:style w:type="character" w:styleId="Hyperlink">
    <w:name w:val="Hyperlink"/>
    <w:uiPriority w:val="99"/>
    <w:rsid w:val="00036F1B"/>
    <w:rPr>
      <w:color w:val="0000FF"/>
      <w:u w:val="none"/>
    </w:rPr>
  </w:style>
  <w:style w:type="character" w:styleId="FollowedHyperlink">
    <w:name w:val="FollowedHyperlink"/>
    <w:uiPriority w:val="99"/>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1">
    <w:name w:val="Heading 1 Char1"/>
    <w:aliases w:val="Table_G Char"/>
    <w:link w:val="Heading1"/>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rsid w:val="005B04F3"/>
    <w:rPr>
      <w:rFonts w:ascii="SimHei" w:hAnsi="SimHei"/>
      <w:b/>
      <w:bCs/>
      <w:kern w:val="14"/>
      <w:sz w:val="28"/>
      <w:szCs w:val="26"/>
    </w:rPr>
  </w:style>
  <w:style w:type="character" w:customStyle="1" w:styleId="Heading3Char">
    <w:name w:val="Heading 3 Char"/>
    <w:aliases w:val="Char Знак Знак Знак Char"/>
    <w:link w:val="Heading3"/>
    <w:rsid w:val="005B04F3"/>
    <w:rPr>
      <w:rFonts w:ascii="SimSun" w:hAnsi="SimSun"/>
      <w:b/>
      <w:bCs/>
      <w:kern w:val="14"/>
      <w:sz w:val="32"/>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Heading4Char">
    <w:name w:val="Heading 4 Char"/>
    <w:link w:val="Heading4"/>
    <w:rsid w:val="00D977B9"/>
    <w:rPr>
      <w:snapToGrid/>
      <w:sz w:val="21"/>
      <w:u w:val="single"/>
    </w:rPr>
  </w:style>
  <w:style w:type="character" w:customStyle="1" w:styleId="Heading5Char">
    <w:name w:val="Heading 5 Char"/>
    <w:link w:val="Heading5"/>
    <w:rsid w:val="00D977B9"/>
    <w:rPr>
      <w:rFonts w:eastAsia="SimHei"/>
      <w:bCs/>
      <w:snapToGrid/>
      <w:sz w:val="21"/>
      <w:szCs w:val="36"/>
    </w:rPr>
  </w:style>
  <w:style w:type="character" w:customStyle="1" w:styleId="Heading6Char">
    <w:name w:val="Heading 6 Char"/>
    <w:link w:val="Heading6"/>
    <w:rsid w:val="00D977B9"/>
    <w:rPr>
      <w:rFonts w:ascii="Arial" w:eastAsia="SimHei" w:hAnsi="Arial"/>
      <w:b/>
      <w:bCs/>
      <w:snapToGrid/>
      <w:sz w:val="21"/>
      <w:szCs w:val="24"/>
    </w:rPr>
  </w:style>
  <w:style w:type="character" w:customStyle="1" w:styleId="Heading7Char">
    <w:name w:val="Heading 7 Char"/>
    <w:link w:val="Heading7"/>
    <w:uiPriority w:val="99"/>
    <w:rsid w:val="00D977B9"/>
    <w:rPr>
      <w:b/>
      <w:bCs/>
      <w:snapToGrid/>
      <w:sz w:val="21"/>
      <w:szCs w:val="24"/>
    </w:rPr>
  </w:style>
  <w:style w:type="character" w:customStyle="1" w:styleId="Heading8Char">
    <w:name w:val="Heading 8 Char"/>
    <w:link w:val="Heading8"/>
    <w:uiPriority w:val="99"/>
    <w:rsid w:val="00D977B9"/>
    <w:rPr>
      <w:rFonts w:ascii="Arial" w:eastAsia="SimHei" w:hAnsi="Arial"/>
      <w:snapToGrid/>
      <w:sz w:val="21"/>
      <w:szCs w:val="24"/>
    </w:rPr>
  </w:style>
  <w:style w:type="character" w:customStyle="1" w:styleId="Heading9Char">
    <w:name w:val="Heading 9 Char"/>
    <w:link w:val="Heading9"/>
    <w:uiPriority w:val="99"/>
    <w:rsid w:val="00D977B9"/>
    <w:rPr>
      <w:rFonts w:ascii="Arial" w:eastAsia="SimHei" w:hAnsi="Arial"/>
      <w:snapToGrid/>
      <w:sz w:val="21"/>
      <w:szCs w:val="21"/>
    </w:rPr>
  </w:style>
  <w:style w:type="paragraph" w:customStyle="1" w:styleId="DashGC">
    <w:name w:val="_Dash_GC"/>
    <w:basedOn w:val="Normal"/>
    <w:rsid w:val="00D977B9"/>
    <w:pPr>
      <w:numPr>
        <w:numId w:val="5"/>
      </w:numPr>
      <w:spacing w:after="120"/>
      <w:ind w:right="1134"/>
    </w:pPr>
    <w:rPr>
      <w:lang w:val="fr-CH"/>
    </w:rPr>
  </w:style>
  <w:style w:type="paragraph" w:customStyle="1" w:styleId="a">
    <w:name w:val="缩进正文"/>
    <w:basedOn w:val="SingleTxtGC"/>
    <w:rsid w:val="00D977B9"/>
    <w:pPr>
      <w:ind w:left="1565"/>
    </w:pPr>
  </w:style>
  <w:style w:type="paragraph" w:customStyle="1" w:styleId="a0">
    <w:name w:val="表中标题"/>
    <w:basedOn w:val="SingleTxtGC"/>
    <w:rsid w:val="00D977B9"/>
    <w:pPr>
      <w:spacing w:before="80" w:after="80" w:line="200" w:lineRule="exact"/>
      <w:ind w:left="0" w:right="113"/>
    </w:pPr>
    <w:rPr>
      <w:rFonts w:eastAsia="KaiTi_GB2312"/>
      <w:sz w:val="18"/>
    </w:rPr>
  </w:style>
  <w:style w:type="paragraph" w:customStyle="1" w:styleId="a1">
    <w:name w:val="目录段页次"/>
    <w:basedOn w:val="Normal"/>
    <w:rsid w:val="00D977B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D977B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link w:val="MacroTextChar"/>
    <w:rsid w:val="00D977B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MacroTextChar">
    <w:name w:val="Macro Text Char"/>
    <w:link w:val="MacroText"/>
    <w:rsid w:val="00D977B9"/>
    <w:rPr>
      <w:kern w:val="24"/>
      <w:sz w:val="24"/>
      <w:lang w:bidi="ar-SA"/>
    </w:rPr>
  </w:style>
  <w:style w:type="character" w:styleId="PageNumber">
    <w:name w:val="page number"/>
    <w:rsid w:val="00D977B9"/>
    <w:rPr>
      <w:rFonts w:ascii="Times New Roman" w:hAnsi="Times New Roman"/>
      <w:b/>
      <w:spacing w:val="0"/>
      <w:kern w:val="0"/>
      <w:sz w:val="18"/>
    </w:rPr>
  </w:style>
  <w:style w:type="paragraph" w:customStyle="1" w:styleId="Bullet1GC">
    <w:name w:val="_Bullet 1_GC"/>
    <w:basedOn w:val="Normal"/>
    <w:rsid w:val="00D977B9"/>
    <w:pPr>
      <w:numPr>
        <w:numId w:val="3"/>
      </w:numPr>
      <w:spacing w:after="120"/>
      <w:ind w:right="1134"/>
    </w:pPr>
  </w:style>
  <w:style w:type="paragraph" w:customStyle="1" w:styleId="Bullet2GC">
    <w:name w:val="_Bullet 2_GC"/>
    <w:basedOn w:val="Normal"/>
    <w:rsid w:val="00D977B9"/>
    <w:pPr>
      <w:numPr>
        <w:numId w:val="4"/>
      </w:numPr>
      <w:spacing w:after="120"/>
      <w:ind w:right="1134"/>
    </w:pPr>
  </w:style>
  <w:style w:type="paragraph" w:styleId="Title">
    <w:name w:val="Title"/>
    <w:basedOn w:val="Normal"/>
    <w:link w:val="TitleChar"/>
    <w:qFormat/>
    <w:rsid w:val="00D977B9"/>
    <w:pPr>
      <w:spacing w:before="240" w:after="60"/>
      <w:jc w:val="center"/>
      <w:outlineLvl w:val="0"/>
    </w:pPr>
    <w:rPr>
      <w:rFonts w:ascii="Arial" w:hAnsi="Arial"/>
      <w:b/>
      <w:bCs/>
      <w:sz w:val="32"/>
      <w:szCs w:val="32"/>
      <w:lang/>
    </w:rPr>
  </w:style>
  <w:style w:type="character" w:customStyle="1" w:styleId="TitleChar">
    <w:name w:val="Title Char"/>
    <w:link w:val="Title"/>
    <w:rsid w:val="00D977B9"/>
    <w:rPr>
      <w:rFonts w:ascii="Arial" w:hAnsi="Arial" w:cs="Arial"/>
      <w:b/>
      <w:bCs/>
      <w:snapToGrid/>
      <w:sz w:val="32"/>
      <w:szCs w:val="32"/>
    </w:rPr>
  </w:style>
  <w:style w:type="paragraph" w:customStyle="1" w:styleId="HMGC">
    <w:name w:val="_ H __M_GC"/>
    <w:basedOn w:val="Normal"/>
    <w:next w:val="SingleTxtGC"/>
    <w:link w:val="HMGCChar"/>
    <w:rsid w:val="00D977B9"/>
    <w:pPr>
      <w:keepNext/>
      <w:keepLines/>
      <w:tabs>
        <w:tab w:val="clear" w:pos="431"/>
        <w:tab w:val="right" w:pos="851"/>
      </w:tabs>
      <w:spacing w:before="240" w:after="240" w:line="440" w:lineRule="exact"/>
      <w:ind w:left="1134" w:right="1134" w:hanging="1134"/>
      <w:outlineLvl w:val="0"/>
    </w:pPr>
    <w:rPr>
      <w:rFonts w:eastAsia="SimHei"/>
      <w:sz w:val="34"/>
      <w:lang/>
    </w:rPr>
  </w:style>
  <w:style w:type="paragraph" w:customStyle="1" w:styleId="HChGC">
    <w:name w:val="_ H _Ch_GC"/>
    <w:basedOn w:val="Normal"/>
    <w:next w:val="SingleTxtGC"/>
    <w:rsid w:val="00D977B9"/>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977B9"/>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977B9"/>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977B9"/>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977B9"/>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D977B9"/>
    <w:pPr>
      <w:tabs>
        <w:tab w:val="left" w:pos="1134"/>
        <w:tab w:val="left" w:pos="1565"/>
        <w:tab w:val="left" w:pos="1996"/>
        <w:tab w:val="left" w:pos="2427"/>
      </w:tabs>
      <w:spacing w:after="120"/>
      <w:ind w:left="1134" w:right="1134"/>
    </w:pPr>
    <w:rPr>
      <w:lang/>
    </w:rPr>
  </w:style>
  <w:style w:type="paragraph" w:customStyle="1" w:styleId="SLGC">
    <w:name w:val="__S_L_GC"/>
    <w:basedOn w:val="Normal"/>
    <w:next w:val="SingleTxtGC"/>
    <w:rsid w:val="00D977B9"/>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977B9"/>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977B9"/>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977B9"/>
    <w:pPr>
      <w:keepNext/>
      <w:keepLines/>
      <w:spacing w:before="240" w:after="240" w:line="420" w:lineRule="exact"/>
      <w:ind w:left="1134" w:right="1134"/>
      <w:jc w:val="left"/>
    </w:pPr>
    <w:rPr>
      <w:rFonts w:eastAsia="SimHei"/>
      <w:sz w:val="40"/>
    </w:rPr>
  </w:style>
  <w:style w:type="paragraph" w:customStyle="1" w:styleId="a3">
    <w:name w:val="悬挂"/>
    <w:basedOn w:val="SingleTxtGC"/>
    <w:rsid w:val="00D977B9"/>
    <w:pPr>
      <w:ind w:left="1565" w:hanging="431"/>
    </w:pPr>
  </w:style>
  <w:style w:type="paragraph" w:customStyle="1" w:styleId="a4">
    <w:name w:val="表中文字"/>
    <w:basedOn w:val="SingleTxtGC"/>
    <w:rsid w:val="00D977B9"/>
    <w:pPr>
      <w:spacing w:before="40" w:line="240" w:lineRule="atLeast"/>
      <w:ind w:left="0" w:right="113"/>
    </w:pPr>
    <w:rPr>
      <w:sz w:val="18"/>
    </w:rPr>
  </w:style>
  <w:style w:type="paragraph" w:customStyle="1" w:styleId="a5">
    <w:name w:val="表数文字"/>
    <w:basedOn w:val="SingleTxtGC"/>
    <w:rsid w:val="00D977B9"/>
    <w:pPr>
      <w:spacing w:before="40" w:after="40" w:line="240" w:lineRule="atLeast"/>
      <w:ind w:left="0" w:right="113"/>
    </w:pPr>
    <w:rPr>
      <w:sz w:val="18"/>
    </w:rPr>
  </w:style>
  <w:style w:type="table" w:styleId="TableGrid">
    <w:name w:val="Table Grid"/>
    <w:basedOn w:val="TableNormal"/>
    <w:uiPriority w:val="99"/>
    <w:rsid w:val="00D977B9"/>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link w:val="FootnoteText"/>
    <w:rsid w:val="00D977B9"/>
    <w:rPr>
      <w:noProof/>
      <w:kern w:val="14"/>
      <w:sz w:val="18"/>
    </w:rPr>
  </w:style>
  <w:style w:type="paragraph" w:styleId="DocumentMap">
    <w:name w:val="Document Map"/>
    <w:basedOn w:val="Normal"/>
    <w:link w:val="DocumentMapChar1"/>
    <w:rsid w:val="00D977B9"/>
    <w:pPr>
      <w:shd w:val="clear" w:color="auto" w:fill="000080"/>
      <w:tabs>
        <w:tab w:val="clear" w:pos="431"/>
      </w:tabs>
      <w:overflowPunct/>
      <w:adjustRightInd/>
      <w:snapToGrid/>
    </w:pPr>
    <w:rPr>
      <w:rFonts w:ascii="SimSun"/>
      <w:snapToGrid/>
      <w:kern w:val="14"/>
      <w:lang/>
    </w:rPr>
  </w:style>
  <w:style w:type="character" w:customStyle="1" w:styleId="DocumentMapChar1">
    <w:name w:val="Document Map Char1"/>
    <w:link w:val="DocumentMap"/>
    <w:rsid w:val="00D977B9"/>
    <w:rPr>
      <w:rFonts w:ascii="SimSun"/>
      <w:kern w:val="14"/>
      <w:sz w:val="21"/>
      <w:shd w:val="clear" w:color="auto" w:fill="000080"/>
      <w:lang/>
    </w:rPr>
  </w:style>
  <w:style w:type="paragraph" w:customStyle="1" w:styleId="HMG">
    <w:name w:val="_ H __M_G"/>
    <w:basedOn w:val="Normal"/>
    <w:next w:val="Normal"/>
    <w:rsid w:val="00D977B9"/>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D977B9"/>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rsid w:val="00D977B9"/>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uiPriority w:val="99"/>
    <w:rsid w:val="00D977B9"/>
    <w:pPr>
      <w:tabs>
        <w:tab w:val="clear" w:pos="431"/>
      </w:tabs>
      <w:suppressAutoHyphens/>
      <w:overflowPunct/>
      <w:adjustRightInd/>
      <w:snapToGrid/>
      <w:spacing w:line="240" w:lineRule="atLeast"/>
      <w:jc w:val="left"/>
    </w:pPr>
    <w:rPr>
      <w:snapToGrid/>
      <w:sz w:val="20"/>
      <w:lang w:val="en-GB" w:eastAsia="en-US"/>
    </w:rPr>
  </w:style>
  <w:style w:type="character" w:customStyle="1" w:styleId="PlainTextChar">
    <w:name w:val="Plain Text Char"/>
    <w:link w:val="PlainText"/>
    <w:uiPriority w:val="99"/>
    <w:rsid w:val="00D977B9"/>
    <w:rPr>
      <w:lang w:val="en-GB" w:eastAsia="en-US"/>
    </w:rPr>
  </w:style>
  <w:style w:type="paragraph" w:styleId="BodyText">
    <w:name w:val="Body Text"/>
    <w:aliases w:val="Знак8"/>
    <w:basedOn w:val="Normal"/>
    <w:next w:val="Normal"/>
    <w:link w:val="BodyTextChar2"/>
    <w:rsid w:val="00D977B9"/>
    <w:pPr>
      <w:tabs>
        <w:tab w:val="clear" w:pos="431"/>
      </w:tabs>
      <w:suppressAutoHyphens/>
      <w:overflowPunct/>
      <w:adjustRightInd/>
      <w:snapToGrid/>
      <w:spacing w:line="240" w:lineRule="atLeast"/>
      <w:jc w:val="left"/>
    </w:pPr>
    <w:rPr>
      <w:snapToGrid/>
      <w:sz w:val="20"/>
      <w:lang w:val="en-GB" w:eastAsia="en-US"/>
    </w:rPr>
  </w:style>
  <w:style w:type="character" w:customStyle="1" w:styleId="BodyTextChar2">
    <w:name w:val="Body Text Char2"/>
    <w:aliases w:val="Знак8 Char1"/>
    <w:link w:val="BodyText"/>
    <w:rsid w:val="00D977B9"/>
    <w:rPr>
      <w:lang w:val="en-GB" w:eastAsia="en-US"/>
    </w:rPr>
  </w:style>
  <w:style w:type="paragraph" w:styleId="BodyTextIndent">
    <w:name w:val="Body Text Indent"/>
    <w:aliases w:val="Знак1"/>
    <w:basedOn w:val="Normal"/>
    <w:link w:val="BodyTextIndentChar"/>
    <w:rsid w:val="00D977B9"/>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BodyTextIndentChar">
    <w:name w:val="Body Text Indent Char"/>
    <w:aliases w:val="Знак1 Char"/>
    <w:link w:val="BodyTextIndent"/>
    <w:rsid w:val="00D977B9"/>
    <w:rPr>
      <w:lang w:val="en-GB" w:eastAsia="en-US"/>
    </w:rPr>
  </w:style>
  <w:style w:type="paragraph" w:styleId="BlockText">
    <w:name w:val="Block Text"/>
    <w:basedOn w:val="Normal"/>
    <w:rsid w:val="00D977B9"/>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D977B9"/>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D977B9"/>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D977B9"/>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D977B9"/>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D977B9"/>
    <w:pPr>
      <w:numPr>
        <w:numId w:val="9"/>
      </w:numPr>
      <w:tabs>
        <w:tab w:val="clear" w:pos="431"/>
      </w:tabs>
      <w:suppressAutoHyphens/>
      <w:overflowPunct/>
      <w:adjustRightInd/>
      <w:snapToGrid/>
      <w:spacing w:after="120" w:line="240" w:lineRule="atLeast"/>
      <w:ind w:right="1134"/>
    </w:pPr>
    <w:rPr>
      <w:snapToGrid/>
      <w:sz w:val="20"/>
      <w:lang w:val="en-GB" w:eastAsia="en-US"/>
    </w:rPr>
  </w:style>
  <w:style w:type="character" w:styleId="LineNumber">
    <w:name w:val="line number"/>
    <w:uiPriority w:val="99"/>
    <w:rsid w:val="00D977B9"/>
    <w:rPr>
      <w:sz w:val="14"/>
    </w:rPr>
  </w:style>
  <w:style w:type="paragraph" w:customStyle="1" w:styleId="Bullet2G">
    <w:name w:val="_Bullet 2_G"/>
    <w:basedOn w:val="Normal"/>
    <w:rsid w:val="00D977B9"/>
    <w:pPr>
      <w:numPr>
        <w:numId w:val="10"/>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D977B9"/>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D977B9"/>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D977B9"/>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D977B9"/>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rsid w:val="00D977B9"/>
    <w:pPr>
      <w:numPr>
        <w:numId w:val="6"/>
      </w:numPr>
    </w:pPr>
  </w:style>
  <w:style w:type="numbering" w:styleId="1ai">
    <w:name w:val="Outline List 1"/>
    <w:basedOn w:val="NoList"/>
    <w:rsid w:val="00D977B9"/>
    <w:pPr>
      <w:numPr>
        <w:numId w:val="7"/>
      </w:numPr>
    </w:pPr>
  </w:style>
  <w:style w:type="numbering" w:styleId="ArticleSection">
    <w:name w:val="Outline List 3"/>
    <w:basedOn w:val="NoList"/>
    <w:rsid w:val="00D977B9"/>
    <w:pPr>
      <w:numPr>
        <w:numId w:val="8"/>
      </w:numPr>
    </w:pPr>
  </w:style>
  <w:style w:type="paragraph" w:styleId="BodyText2">
    <w:name w:val="Body Text 2"/>
    <w:basedOn w:val="Normal"/>
    <w:link w:val="BodyText2Char"/>
    <w:rsid w:val="00D977B9"/>
    <w:pPr>
      <w:tabs>
        <w:tab w:val="clear" w:pos="431"/>
      </w:tabs>
      <w:suppressAutoHyphens/>
      <w:overflowPunct/>
      <w:adjustRightInd/>
      <w:snapToGrid/>
      <w:spacing w:after="120" w:line="480" w:lineRule="auto"/>
      <w:jc w:val="left"/>
    </w:pPr>
    <w:rPr>
      <w:snapToGrid/>
      <w:sz w:val="20"/>
      <w:lang w:val="en-GB" w:eastAsia="en-US"/>
    </w:rPr>
  </w:style>
  <w:style w:type="character" w:customStyle="1" w:styleId="BodyText2Char">
    <w:name w:val="Body Text 2 Char"/>
    <w:link w:val="BodyText2"/>
    <w:rsid w:val="00D977B9"/>
    <w:rPr>
      <w:lang w:val="en-GB" w:eastAsia="en-US"/>
    </w:rPr>
  </w:style>
  <w:style w:type="paragraph" w:styleId="BodyText3">
    <w:name w:val="Body Text 3"/>
    <w:aliases w:val="Знак"/>
    <w:basedOn w:val="Normal"/>
    <w:link w:val="BodyText3Char"/>
    <w:rsid w:val="00D977B9"/>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BodyText3Char">
    <w:name w:val="Body Text 3 Char"/>
    <w:aliases w:val="Знак Char"/>
    <w:link w:val="BodyText3"/>
    <w:rsid w:val="00D977B9"/>
    <w:rPr>
      <w:sz w:val="16"/>
      <w:szCs w:val="16"/>
      <w:lang w:val="en-GB" w:eastAsia="en-US"/>
    </w:rPr>
  </w:style>
  <w:style w:type="paragraph" w:styleId="BodyTextFirstIndent">
    <w:name w:val="Body Text First Indent"/>
    <w:basedOn w:val="BodyText"/>
    <w:link w:val="BodyTextFirstIndentChar"/>
    <w:rsid w:val="00D977B9"/>
    <w:pPr>
      <w:spacing w:after="120"/>
      <w:ind w:firstLine="210"/>
    </w:pPr>
  </w:style>
  <w:style w:type="character" w:customStyle="1" w:styleId="BodyTextFirstIndentChar">
    <w:name w:val="Body Text First Indent Char"/>
    <w:basedOn w:val="BodyTextChar2"/>
    <w:link w:val="BodyTextFirstIndent"/>
    <w:rsid w:val="00D977B9"/>
  </w:style>
  <w:style w:type="paragraph" w:styleId="BodyTextFirstIndent2">
    <w:name w:val="Body Text First Indent 2"/>
    <w:basedOn w:val="BodyTextIndent"/>
    <w:link w:val="BodyTextFirstIndent2Char"/>
    <w:rsid w:val="00D977B9"/>
    <w:pPr>
      <w:ind w:firstLine="210"/>
    </w:pPr>
  </w:style>
  <w:style w:type="character" w:customStyle="1" w:styleId="BodyTextFirstIndent2Char">
    <w:name w:val="Body Text First Indent 2 Char"/>
    <w:basedOn w:val="BodyTextIndentChar"/>
    <w:link w:val="BodyTextFirstIndent2"/>
    <w:rsid w:val="00D977B9"/>
  </w:style>
  <w:style w:type="paragraph" w:styleId="BodyTextIndent2">
    <w:name w:val="Body Text Indent 2"/>
    <w:basedOn w:val="Normal"/>
    <w:link w:val="BodyTextIndent2Char"/>
    <w:rsid w:val="00D977B9"/>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BodyTextIndent2Char">
    <w:name w:val="Body Text Indent 2 Char"/>
    <w:link w:val="BodyTextIndent2"/>
    <w:rsid w:val="00D977B9"/>
    <w:rPr>
      <w:lang w:val="en-GB" w:eastAsia="en-US"/>
    </w:rPr>
  </w:style>
  <w:style w:type="paragraph" w:styleId="BodyTextIndent3">
    <w:name w:val="Body Text Indent 3"/>
    <w:basedOn w:val="Normal"/>
    <w:link w:val="BodyTextIndent3Char"/>
    <w:rsid w:val="00D977B9"/>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BodyTextIndent3Char">
    <w:name w:val="Body Text Indent 3 Char"/>
    <w:link w:val="BodyTextIndent3"/>
    <w:rsid w:val="00D977B9"/>
    <w:rPr>
      <w:sz w:val="16"/>
      <w:szCs w:val="16"/>
      <w:lang w:val="en-GB" w:eastAsia="en-US"/>
    </w:rPr>
  </w:style>
  <w:style w:type="paragraph" w:styleId="Closing">
    <w:name w:val="Closing"/>
    <w:basedOn w:val="Normal"/>
    <w:link w:val="ClosingChar"/>
    <w:rsid w:val="00D977B9"/>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losingChar">
    <w:name w:val="Closing Char"/>
    <w:link w:val="Closing"/>
    <w:rsid w:val="00D977B9"/>
    <w:rPr>
      <w:lang w:val="en-GB" w:eastAsia="en-US"/>
    </w:rPr>
  </w:style>
  <w:style w:type="paragraph" w:styleId="Date">
    <w:name w:val="Date"/>
    <w:basedOn w:val="Normal"/>
    <w:next w:val="Normal"/>
    <w:link w:val="DateChar"/>
    <w:rsid w:val="00D977B9"/>
    <w:pPr>
      <w:tabs>
        <w:tab w:val="clear" w:pos="431"/>
      </w:tabs>
      <w:suppressAutoHyphens/>
      <w:overflowPunct/>
      <w:adjustRightInd/>
      <w:snapToGrid/>
      <w:spacing w:line="240" w:lineRule="atLeast"/>
      <w:jc w:val="left"/>
    </w:pPr>
    <w:rPr>
      <w:snapToGrid/>
      <w:sz w:val="20"/>
      <w:lang w:val="en-GB" w:eastAsia="en-US"/>
    </w:rPr>
  </w:style>
  <w:style w:type="character" w:customStyle="1" w:styleId="DateChar">
    <w:name w:val="Date Char"/>
    <w:link w:val="Date"/>
    <w:rsid w:val="00D977B9"/>
    <w:rPr>
      <w:lang w:val="en-GB" w:eastAsia="en-US"/>
    </w:rPr>
  </w:style>
  <w:style w:type="paragraph" w:styleId="E-mailSignature">
    <w:name w:val="E-mail Signature"/>
    <w:basedOn w:val="Normal"/>
    <w:link w:val="E-mailSignatureChar"/>
    <w:rsid w:val="00D977B9"/>
    <w:pPr>
      <w:tabs>
        <w:tab w:val="clear" w:pos="431"/>
      </w:tabs>
      <w:suppressAutoHyphens/>
      <w:overflowPunct/>
      <w:adjustRightInd/>
      <w:snapToGrid/>
      <w:spacing w:line="240" w:lineRule="atLeast"/>
      <w:jc w:val="left"/>
    </w:pPr>
    <w:rPr>
      <w:snapToGrid/>
      <w:sz w:val="20"/>
      <w:lang w:val="en-GB" w:eastAsia="en-US"/>
    </w:rPr>
  </w:style>
  <w:style w:type="character" w:customStyle="1" w:styleId="E-mailSignatureChar">
    <w:name w:val="E-mail Signature Char"/>
    <w:link w:val="E-mailSignature"/>
    <w:rsid w:val="00D977B9"/>
    <w:rPr>
      <w:lang w:val="en-GB" w:eastAsia="en-US"/>
    </w:rPr>
  </w:style>
  <w:style w:type="character" w:styleId="Emphasis">
    <w:name w:val="Emphasis"/>
    <w:qFormat/>
    <w:rsid w:val="00D977B9"/>
    <w:rPr>
      <w:i/>
      <w:iCs/>
    </w:rPr>
  </w:style>
  <w:style w:type="paragraph" w:styleId="EnvelopeReturn">
    <w:name w:val="envelope return"/>
    <w:basedOn w:val="Normal"/>
    <w:rsid w:val="00D977B9"/>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rsid w:val="00D977B9"/>
  </w:style>
  <w:style w:type="paragraph" w:styleId="HTMLAddress">
    <w:name w:val="HTML Address"/>
    <w:basedOn w:val="Normal"/>
    <w:link w:val="HTMLAddressChar"/>
    <w:rsid w:val="00D977B9"/>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AddressChar">
    <w:name w:val="HTML Address Char"/>
    <w:link w:val="HTMLAddress"/>
    <w:rsid w:val="00D977B9"/>
    <w:rPr>
      <w:i/>
      <w:iCs/>
      <w:lang w:val="en-GB" w:eastAsia="en-US"/>
    </w:rPr>
  </w:style>
  <w:style w:type="character" w:styleId="HTMLCite">
    <w:name w:val="HTML Cite"/>
    <w:rsid w:val="00D977B9"/>
    <w:rPr>
      <w:i/>
      <w:iCs/>
    </w:rPr>
  </w:style>
  <w:style w:type="character" w:styleId="HTMLCode">
    <w:name w:val="HTML Code"/>
    <w:rsid w:val="00D977B9"/>
    <w:rPr>
      <w:rFonts w:ascii="Courier New" w:hAnsi="Courier New" w:cs="Courier New"/>
      <w:sz w:val="20"/>
      <w:szCs w:val="20"/>
    </w:rPr>
  </w:style>
  <w:style w:type="character" w:styleId="HTMLDefinition">
    <w:name w:val="HTML Definition"/>
    <w:rsid w:val="00D977B9"/>
    <w:rPr>
      <w:i/>
      <w:iCs/>
    </w:rPr>
  </w:style>
  <w:style w:type="character" w:styleId="HTMLKeyboard">
    <w:name w:val="HTML Keyboard"/>
    <w:rsid w:val="00D977B9"/>
    <w:rPr>
      <w:rFonts w:ascii="Courier New" w:hAnsi="Courier New" w:cs="Courier New"/>
      <w:sz w:val="20"/>
      <w:szCs w:val="20"/>
    </w:rPr>
  </w:style>
  <w:style w:type="paragraph" w:styleId="HTMLPreformatted">
    <w:name w:val="HTML Preformatted"/>
    <w:basedOn w:val="Normal"/>
    <w:link w:val="HTMLPreformattedChar"/>
    <w:rsid w:val="00D977B9"/>
    <w:pPr>
      <w:tabs>
        <w:tab w:val="clear" w:pos="431"/>
      </w:tabs>
      <w:suppressAutoHyphens/>
      <w:overflowPunct/>
      <w:adjustRightInd/>
      <w:snapToGrid/>
      <w:spacing w:line="240" w:lineRule="atLeast"/>
      <w:jc w:val="left"/>
    </w:pPr>
    <w:rPr>
      <w:rFonts w:ascii="Courier New" w:hAnsi="Courier New"/>
      <w:snapToGrid/>
      <w:sz w:val="20"/>
      <w:lang w:val="en-GB" w:eastAsia="en-US"/>
    </w:rPr>
  </w:style>
  <w:style w:type="character" w:customStyle="1" w:styleId="HTMLPreformattedChar">
    <w:name w:val="HTML Preformatted Char"/>
    <w:link w:val="HTMLPreformatted"/>
    <w:rsid w:val="00D977B9"/>
    <w:rPr>
      <w:rFonts w:ascii="Courier New" w:hAnsi="Courier New"/>
      <w:lang w:val="en-GB" w:eastAsia="en-US"/>
    </w:rPr>
  </w:style>
  <w:style w:type="character" w:styleId="HTMLSample">
    <w:name w:val="HTML Sample"/>
    <w:rsid w:val="00D977B9"/>
    <w:rPr>
      <w:rFonts w:ascii="Courier New" w:hAnsi="Courier New" w:cs="Courier New"/>
    </w:rPr>
  </w:style>
  <w:style w:type="character" w:styleId="HTMLTypewriter">
    <w:name w:val="HTML Typewriter"/>
    <w:rsid w:val="00D977B9"/>
    <w:rPr>
      <w:rFonts w:ascii="Courier New" w:hAnsi="Courier New" w:cs="Courier New"/>
      <w:sz w:val="20"/>
      <w:szCs w:val="20"/>
    </w:rPr>
  </w:style>
  <w:style w:type="character" w:styleId="HTMLVariable">
    <w:name w:val="HTML Variable"/>
    <w:rsid w:val="00D977B9"/>
    <w:rPr>
      <w:i/>
      <w:iCs/>
    </w:rPr>
  </w:style>
  <w:style w:type="paragraph" w:styleId="List">
    <w:name w:val="List"/>
    <w:basedOn w:val="Normal"/>
    <w:rsid w:val="00D977B9"/>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rsid w:val="00D977B9"/>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rsid w:val="00D977B9"/>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rsid w:val="00D977B9"/>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rsid w:val="00D977B9"/>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rsid w:val="00D977B9"/>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rsid w:val="00D977B9"/>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rsid w:val="00D977B9"/>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rsid w:val="00D977B9"/>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rsid w:val="00D977B9"/>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rsid w:val="00D977B9"/>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rsid w:val="00D977B9"/>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rsid w:val="00D977B9"/>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rsid w:val="00D977B9"/>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rsid w:val="00D977B9"/>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rsid w:val="00D977B9"/>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rsid w:val="00D977B9"/>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rsid w:val="00D977B9"/>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rsid w:val="00D977B9"/>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rsid w:val="00D977B9"/>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rsid w:val="00D977B9"/>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snapToGrid/>
      <w:sz w:val="24"/>
      <w:szCs w:val="24"/>
      <w:lang w:val="en-GB" w:eastAsia="en-US"/>
    </w:rPr>
  </w:style>
  <w:style w:type="character" w:customStyle="1" w:styleId="MessageHeaderChar">
    <w:name w:val="Message Header Char"/>
    <w:link w:val="MessageHeader"/>
    <w:rsid w:val="00D977B9"/>
    <w:rPr>
      <w:rFonts w:ascii="Arial" w:hAnsi="Arial" w:cs="Arial"/>
      <w:sz w:val="24"/>
      <w:szCs w:val="24"/>
      <w:shd w:val="pct20" w:color="auto" w:fill="auto"/>
      <w:lang w:val="en-GB" w:eastAsia="en-US"/>
    </w:rPr>
  </w:style>
  <w:style w:type="paragraph" w:styleId="NormalIndent">
    <w:name w:val="Normal Indent"/>
    <w:basedOn w:val="Normal"/>
    <w:rsid w:val="00D977B9"/>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rsid w:val="00D977B9"/>
    <w:pPr>
      <w:tabs>
        <w:tab w:val="clear" w:pos="431"/>
      </w:tabs>
      <w:suppressAutoHyphens/>
      <w:overflowPunct/>
      <w:adjustRightInd/>
      <w:snapToGrid/>
      <w:spacing w:line="240" w:lineRule="atLeast"/>
      <w:jc w:val="left"/>
    </w:pPr>
    <w:rPr>
      <w:snapToGrid/>
      <w:sz w:val="20"/>
      <w:lang w:val="en-GB" w:eastAsia="en-US"/>
    </w:rPr>
  </w:style>
  <w:style w:type="character" w:customStyle="1" w:styleId="NoteHeadingChar">
    <w:name w:val="Note Heading Char"/>
    <w:link w:val="NoteHeading"/>
    <w:rsid w:val="00D977B9"/>
    <w:rPr>
      <w:lang w:val="en-GB" w:eastAsia="en-US"/>
    </w:rPr>
  </w:style>
  <w:style w:type="paragraph" w:styleId="Salutation">
    <w:name w:val="Salutation"/>
    <w:basedOn w:val="Normal"/>
    <w:next w:val="Normal"/>
    <w:link w:val="SalutationChar"/>
    <w:rsid w:val="00D977B9"/>
    <w:pPr>
      <w:tabs>
        <w:tab w:val="clear" w:pos="431"/>
      </w:tabs>
      <w:suppressAutoHyphens/>
      <w:overflowPunct/>
      <w:adjustRightInd/>
      <w:snapToGrid/>
      <w:spacing w:line="240" w:lineRule="atLeast"/>
      <w:jc w:val="left"/>
    </w:pPr>
    <w:rPr>
      <w:snapToGrid/>
      <w:sz w:val="20"/>
      <w:lang w:val="en-GB" w:eastAsia="en-US"/>
    </w:rPr>
  </w:style>
  <w:style w:type="character" w:customStyle="1" w:styleId="SalutationChar">
    <w:name w:val="Salutation Char"/>
    <w:link w:val="Salutation"/>
    <w:rsid w:val="00D977B9"/>
    <w:rPr>
      <w:lang w:val="en-GB" w:eastAsia="en-US"/>
    </w:rPr>
  </w:style>
  <w:style w:type="paragraph" w:styleId="Signature">
    <w:name w:val="Signature"/>
    <w:basedOn w:val="Normal"/>
    <w:link w:val="SignatureChar"/>
    <w:rsid w:val="00D977B9"/>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SignatureChar">
    <w:name w:val="Signature Char"/>
    <w:link w:val="Signature"/>
    <w:rsid w:val="00D977B9"/>
    <w:rPr>
      <w:lang w:val="en-GB" w:eastAsia="en-US"/>
    </w:rPr>
  </w:style>
  <w:style w:type="character" w:styleId="Strong">
    <w:name w:val="Strong"/>
    <w:qFormat/>
    <w:rsid w:val="00D977B9"/>
    <w:rPr>
      <w:b/>
      <w:bCs/>
    </w:rPr>
  </w:style>
  <w:style w:type="paragraph" w:styleId="Subtitle">
    <w:name w:val="Subtitle"/>
    <w:basedOn w:val="Normal"/>
    <w:link w:val="SubtitleChar"/>
    <w:qFormat/>
    <w:rsid w:val="00D977B9"/>
    <w:pPr>
      <w:tabs>
        <w:tab w:val="clear" w:pos="431"/>
      </w:tabs>
      <w:suppressAutoHyphens/>
      <w:overflowPunct/>
      <w:adjustRightInd/>
      <w:snapToGrid/>
      <w:spacing w:after="60" w:line="240" w:lineRule="atLeast"/>
      <w:jc w:val="center"/>
      <w:outlineLvl w:val="1"/>
    </w:pPr>
    <w:rPr>
      <w:rFonts w:ascii="Arial" w:hAnsi="Arial"/>
      <w:snapToGrid/>
      <w:sz w:val="24"/>
      <w:szCs w:val="24"/>
      <w:lang w:val="en-GB" w:eastAsia="en-US"/>
    </w:rPr>
  </w:style>
  <w:style w:type="character" w:customStyle="1" w:styleId="SubtitleChar">
    <w:name w:val="Subtitle Char"/>
    <w:link w:val="Subtitle"/>
    <w:rsid w:val="00D977B9"/>
    <w:rPr>
      <w:rFonts w:ascii="Arial" w:hAnsi="Arial" w:cs="Arial"/>
      <w:sz w:val="24"/>
      <w:szCs w:val="24"/>
      <w:lang w:val="en-GB" w:eastAsia="en-US"/>
    </w:rPr>
  </w:style>
  <w:style w:type="table" w:styleId="Table3Deffects1">
    <w:name w:val="Table 3D effects 1"/>
    <w:basedOn w:val="TableNormal"/>
    <w:rsid w:val="00D977B9"/>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977B9"/>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977B9"/>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977B9"/>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977B9"/>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977B9"/>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977B9"/>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977B9"/>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977B9"/>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977B9"/>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977B9"/>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977B9"/>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977B9"/>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977B9"/>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977B9"/>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977B9"/>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977B9"/>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D977B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977B9"/>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977B9"/>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977B9"/>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977B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977B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977B9"/>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977B9"/>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977B9"/>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977B9"/>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977B9"/>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977B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977B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977B9"/>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977B9"/>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977B9"/>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977B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977B9"/>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977B9"/>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977B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977B9"/>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977B9"/>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977B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D977B9"/>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977B9"/>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977B9"/>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D977B9"/>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NoSpacing1">
    <w:name w:val="No Spacing1"/>
    <w:qFormat/>
    <w:rsid w:val="00D977B9"/>
    <w:pPr>
      <w:widowControl w:val="0"/>
      <w:wordWrap w:val="0"/>
      <w:autoSpaceDE w:val="0"/>
      <w:autoSpaceDN w:val="0"/>
      <w:jc w:val="both"/>
    </w:pPr>
    <w:rPr>
      <w:rFonts w:ascii="Malgun Gothic" w:eastAsia="Malgun Gothic" w:hAnsi="Malgun Gothic"/>
      <w:kern w:val="2"/>
      <w:szCs w:val="22"/>
      <w:lang w:eastAsia="ko-KR"/>
    </w:rPr>
  </w:style>
  <w:style w:type="paragraph" w:customStyle="1" w:styleId="ListParagraph1">
    <w:name w:val="List Paragraph1"/>
    <w:basedOn w:val="Normal"/>
    <w:qFormat/>
    <w:rsid w:val="00D977B9"/>
    <w:pPr>
      <w:widowControl w:val="0"/>
      <w:tabs>
        <w:tab w:val="clear" w:pos="431"/>
      </w:tabs>
      <w:wordWrap w:val="0"/>
      <w:overflowPunct/>
      <w:autoSpaceDE w:val="0"/>
      <w:autoSpaceDN w:val="0"/>
      <w:adjustRightInd/>
      <w:snapToGrid/>
      <w:spacing w:after="200" w:line="276" w:lineRule="auto"/>
      <w:ind w:leftChars="400" w:left="800"/>
    </w:pPr>
    <w:rPr>
      <w:rFonts w:ascii="Malgun Gothic" w:eastAsia="Malgun Gothic" w:hAnsi="Malgun Gothic"/>
      <w:snapToGrid/>
      <w:kern w:val="2"/>
      <w:sz w:val="20"/>
      <w:szCs w:val="22"/>
      <w:lang w:eastAsia="ko-KR"/>
    </w:rPr>
  </w:style>
  <w:style w:type="paragraph" w:customStyle="1" w:styleId="a6">
    <w:name w:val="바탕글"/>
    <w:basedOn w:val="Normal"/>
    <w:rsid w:val="00D977B9"/>
    <w:pPr>
      <w:tabs>
        <w:tab w:val="clear" w:pos="431"/>
      </w:tabs>
      <w:overflowPunct/>
      <w:adjustRightInd/>
      <w:spacing w:line="384" w:lineRule="auto"/>
    </w:pPr>
    <w:rPr>
      <w:rFonts w:ascii="Batang" w:eastAsia="Batang" w:hAnsi="Batang" w:cs="Gulim"/>
      <w:snapToGrid/>
      <w:color w:val="000000"/>
      <w:sz w:val="20"/>
      <w:lang w:eastAsia="ko-KR"/>
    </w:rPr>
  </w:style>
  <w:style w:type="character" w:customStyle="1" w:styleId="FooterChar1">
    <w:name w:val="Footer Char1"/>
    <w:link w:val="Footer"/>
    <w:uiPriority w:val="99"/>
    <w:locked/>
    <w:rsid w:val="00D977B9"/>
    <w:rPr>
      <w:b/>
      <w:noProof/>
      <w:sz w:val="18"/>
      <w:szCs w:val="18"/>
      <w:lang w:bidi="ar-SA"/>
    </w:rPr>
  </w:style>
  <w:style w:type="character" w:customStyle="1" w:styleId="BalloonTextChar1">
    <w:name w:val="Balloon Text Char1"/>
    <w:link w:val="BalloonText"/>
    <w:uiPriority w:val="99"/>
    <w:locked/>
    <w:rsid w:val="00D977B9"/>
    <w:rPr>
      <w:kern w:val="14"/>
      <w:sz w:val="18"/>
      <w:szCs w:val="18"/>
    </w:rPr>
  </w:style>
  <w:style w:type="paragraph" w:customStyle="1" w:styleId="15">
    <w:name w:val="작은제목(중고딕15)"/>
    <w:basedOn w:val="Normal"/>
    <w:rsid w:val="00D977B9"/>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character" w:customStyle="1" w:styleId="HeaderChar1">
    <w:name w:val="Header Char1"/>
    <w:link w:val="Header"/>
    <w:uiPriority w:val="99"/>
    <w:rsid w:val="00D977B9"/>
    <w:rPr>
      <w:noProof/>
      <w:sz w:val="18"/>
      <w:lang w:bidi="ar-SA"/>
    </w:rPr>
  </w:style>
  <w:style w:type="paragraph" w:customStyle="1" w:styleId="Char2CharCharChar">
    <w:name w:val=" Char2 Char Char Char"/>
    <w:basedOn w:val="Normal"/>
    <w:rsid w:val="00D977B9"/>
    <w:pPr>
      <w:tabs>
        <w:tab w:val="clear" w:pos="431"/>
      </w:tabs>
      <w:overflowPunct/>
      <w:adjustRightInd/>
      <w:snapToGrid/>
      <w:spacing w:after="160" w:line="240" w:lineRule="exact"/>
      <w:jc w:val="left"/>
    </w:pPr>
    <w:rPr>
      <w:rFonts w:ascii="Verdana" w:hAnsi="Verdana"/>
      <w:snapToGrid/>
      <w:sz w:val="20"/>
      <w:lang w:eastAsia="en-US"/>
    </w:rPr>
  </w:style>
  <w:style w:type="paragraph" w:customStyle="1" w:styleId="Style">
    <w:name w:val="Style"/>
    <w:rsid w:val="00D977B9"/>
    <w:pPr>
      <w:widowControl w:val="0"/>
      <w:autoSpaceDE w:val="0"/>
      <w:autoSpaceDN w:val="0"/>
      <w:adjustRightInd w:val="0"/>
    </w:pPr>
    <w:rPr>
      <w:rFonts w:ascii="Arial" w:hAnsi="Arial" w:cs="Arial"/>
      <w:sz w:val="24"/>
      <w:szCs w:val="24"/>
    </w:rPr>
  </w:style>
  <w:style w:type="character" w:customStyle="1" w:styleId="CharChar8">
    <w:name w:val=" Char Char8"/>
    <w:rsid w:val="00D977B9"/>
    <w:rPr>
      <w:sz w:val="22"/>
      <w:szCs w:val="22"/>
      <w:lang w:eastAsia="en-US"/>
    </w:rPr>
  </w:style>
  <w:style w:type="character" w:customStyle="1" w:styleId="CharChar7">
    <w:name w:val=" Char Char7"/>
    <w:rsid w:val="00D977B9"/>
    <w:rPr>
      <w:sz w:val="22"/>
      <w:szCs w:val="22"/>
      <w:lang w:eastAsia="en-US"/>
    </w:rPr>
  </w:style>
  <w:style w:type="character" w:customStyle="1" w:styleId="CharChar5">
    <w:name w:val=" Char Char5"/>
    <w:semiHidden/>
    <w:rsid w:val="00D977B9"/>
    <w:rPr>
      <w:rFonts w:ascii="Tahoma" w:hAnsi="Tahoma" w:cs="Tahoma"/>
      <w:sz w:val="16"/>
      <w:szCs w:val="16"/>
      <w:lang w:val="en-ZA" w:eastAsia="en-US"/>
    </w:rPr>
  </w:style>
  <w:style w:type="character" w:customStyle="1" w:styleId="CommentTextChar3">
    <w:name w:val="Comment Text Char3"/>
    <w:link w:val="CommentText"/>
    <w:uiPriority w:val="99"/>
    <w:rsid w:val="00D977B9"/>
    <w:rPr>
      <w:kern w:val="14"/>
      <w:sz w:val="21"/>
    </w:rPr>
  </w:style>
  <w:style w:type="character" w:customStyle="1" w:styleId="CommentSubjectChar">
    <w:name w:val="Comment Subject Char"/>
    <w:link w:val="CommentSubject"/>
    <w:uiPriority w:val="99"/>
    <w:rsid w:val="00D977B9"/>
    <w:rPr>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D977B9"/>
    <w:rPr>
      <w:spacing w:val="5"/>
      <w:w w:val="104"/>
      <w:kern w:val="14"/>
      <w:sz w:val="17"/>
      <w:lang w:val="en-GB" w:eastAsia="en-US"/>
    </w:rPr>
  </w:style>
  <w:style w:type="paragraph" w:customStyle="1" w:styleId="Default">
    <w:name w:val="Default"/>
    <w:rsid w:val="00D977B9"/>
    <w:pPr>
      <w:autoSpaceDE w:val="0"/>
      <w:autoSpaceDN w:val="0"/>
      <w:adjustRightInd w:val="0"/>
    </w:pPr>
    <w:rPr>
      <w:color w:val="000000"/>
      <w:sz w:val="24"/>
      <w:szCs w:val="24"/>
      <w:lang w:val="en-SG" w:eastAsia="en-SG"/>
    </w:rPr>
  </w:style>
  <w:style w:type="character" w:customStyle="1" w:styleId="apple-style-span">
    <w:name w:val="apple-style-span"/>
    <w:rsid w:val="00D977B9"/>
  </w:style>
  <w:style w:type="character" w:customStyle="1" w:styleId="text">
    <w:name w:val="text"/>
    <w:rsid w:val="00D977B9"/>
    <w:rPr>
      <w:bdr w:val="none" w:sz="0" w:space="0" w:color="auto" w:frame="1"/>
    </w:rPr>
  </w:style>
  <w:style w:type="character" w:customStyle="1" w:styleId="apple-converted-space">
    <w:name w:val="apple-converted-space"/>
    <w:rsid w:val="00D977B9"/>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locked/>
    <w:rsid w:val="00D977B9"/>
  </w:style>
  <w:style w:type="character" w:customStyle="1" w:styleId="IntenseEmphasis1">
    <w:name w:val="Intense Emphasis1"/>
    <w:qFormat/>
    <w:rsid w:val="00D977B9"/>
    <w:rPr>
      <w:b/>
      <w:bCs/>
      <w:i/>
      <w:iCs/>
      <w:color w:val="4F81BD"/>
      <w:sz w:val="24"/>
    </w:rPr>
  </w:style>
  <w:style w:type="character" w:customStyle="1" w:styleId="longtext1">
    <w:name w:val="long_text1"/>
    <w:rsid w:val="00D977B9"/>
    <w:rPr>
      <w:sz w:val="20"/>
      <w:szCs w:val="20"/>
    </w:rPr>
  </w:style>
  <w:style w:type="character" w:customStyle="1" w:styleId="trans">
    <w:name w:val="trans"/>
    <w:rsid w:val="00D977B9"/>
  </w:style>
  <w:style w:type="character" w:customStyle="1" w:styleId="H23GChar">
    <w:name w:val="_ H_2/3_G Char"/>
    <w:link w:val="H23G"/>
    <w:locked/>
    <w:rsid w:val="00D977B9"/>
    <w:rPr>
      <w:b/>
      <w:lang w:val="en-GB" w:eastAsia="en-US"/>
    </w:rPr>
  </w:style>
  <w:style w:type="character" w:customStyle="1" w:styleId="meta1">
    <w:name w:val="meta1"/>
    <w:rsid w:val="00D977B9"/>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
    <w:uiPriority w:val="99"/>
    <w:locked/>
    <w:rsid w:val="00D977B9"/>
    <w:rPr>
      <w:rFonts w:cs="Times New Roman"/>
      <w:spacing w:val="5"/>
      <w:w w:val="104"/>
      <w:kern w:val="14"/>
      <w:sz w:val="17"/>
      <w:lang w:val="en-GB" w:eastAsia="en-US"/>
    </w:rPr>
  </w:style>
  <w:style w:type="character" w:customStyle="1" w:styleId="hps">
    <w:name w:val="hps"/>
    <w:rsid w:val="00D977B9"/>
  </w:style>
  <w:style w:type="paragraph" w:customStyle="1" w:styleId="PargrafodaLista">
    <w:name w:val="Parágrafo da Lista"/>
    <w:basedOn w:val="Normal"/>
    <w:rsid w:val="00D977B9"/>
    <w:pPr>
      <w:tabs>
        <w:tab w:val="clear" w:pos="431"/>
      </w:tabs>
      <w:overflowPunct/>
      <w:adjustRightInd/>
      <w:snapToGrid/>
      <w:spacing w:after="200" w:line="276" w:lineRule="auto"/>
      <w:ind w:left="720"/>
      <w:contextualSpacing/>
      <w:jc w:val="left"/>
    </w:pPr>
    <w:rPr>
      <w:rFonts w:ascii="Calibri" w:hAnsi="Calibri"/>
      <w:snapToGrid/>
      <w:sz w:val="22"/>
      <w:szCs w:val="22"/>
      <w:lang w:val="pt-PT" w:eastAsia="en-US"/>
    </w:rPr>
  </w:style>
  <w:style w:type="character" w:customStyle="1" w:styleId="H1GChar">
    <w:name w:val="_ H_1_G Char"/>
    <w:link w:val="H1G"/>
    <w:rsid w:val="00D977B9"/>
    <w:rPr>
      <w:b/>
      <w:sz w:val="24"/>
      <w:lang w:val="en-GB" w:eastAsia="en-US"/>
    </w:rPr>
  </w:style>
  <w:style w:type="character" w:customStyle="1" w:styleId="Heading1Char">
    <w:name w:val="Heading 1 Char"/>
    <w:rsid w:val="00D977B9"/>
    <w:rPr>
      <w:rFonts w:ascii="Cambria" w:eastAsia="SimSun" w:hAnsi="Cambria" w:cs="Times New Roman"/>
      <w:b/>
      <w:bCs/>
      <w:color w:val="365F91"/>
      <w:sz w:val="28"/>
      <w:szCs w:val="28"/>
      <w:lang w:eastAsia="en-US"/>
    </w:rPr>
  </w:style>
  <w:style w:type="character" w:customStyle="1" w:styleId="Heading2Char">
    <w:name w:val="Heading 2 Char"/>
    <w:rsid w:val="00D977B9"/>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D977B9"/>
    <w:rPr>
      <w:rFonts w:ascii="Times New Roman" w:eastAsia="Times New Roman" w:hAnsi="Times New Roman"/>
      <w:sz w:val="24"/>
      <w:lang w:val="en-GB"/>
    </w:rPr>
  </w:style>
  <w:style w:type="character" w:customStyle="1" w:styleId="BodyTextChar">
    <w:name w:val="Body Text Char"/>
    <w:aliases w:val="Знак8 Char"/>
    <w:rsid w:val="00D977B9"/>
    <w:rPr>
      <w:sz w:val="22"/>
      <w:szCs w:val="22"/>
      <w:lang w:eastAsia="en-US"/>
    </w:rPr>
  </w:style>
  <w:style w:type="paragraph" w:customStyle="1" w:styleId="Bodytext0">
    <w:name w:val="Body text"/>
    <w:basedOn w:val="Normal"/>
    <w:rsid w:val="00D977B9"/>
    <w:pPr>
      <w:tabs>
        <w:tab w:val="clear" w:pos="431"/>
      </w:tabs>
      <w:overflowPunct/>
      <w:adjustRightInd/>
      <w:snapToGrid/>
      <w:spacing w:line="240" w:lineRule="auto"/>
    </w:pPr>
    <w:rPr>
      <w:rFonts w:ascii="Arial" w:hAnsi="Arial"/>
      <w:snapToGrid/>
      <w:sz w:val="20"/>
      <w:lang w:val="en-GB" w:eastAsia="en-US"/>
    </w:rPr>
  </w:style>
  <w:style w:type="paragraph" w:customStyle="1" w:styleId="Normal0">
    <w:name w:val="[Normal]"/>
    <w:rsid w:val="00D977B9"/>
    <w:pPr>
      <w:widowControl w:val="0"/>
      <w:autoSpaceDE w:val="0"/>
      <w:autoSpaceDN w:val="0"/>
      <w:adjustRightInd w:val="0"/>
    </w:pPr>
    <w:rPr>
      <w:rFonts w:ascii="Arial" w:eastAsia="Calibri" w:hAnsi="Arial" w:cs="Arial"/>
      <w:sz w:val="24"/>
      <w:szCs w:val="24"/>
    </w:rPr>
  </w:style>
  <w:style w:type="character" w:customStyle="1" w:styleId="yshortcuts">
    <w:name w:val="yshortcuts"/>
    <w:rsid w:val="00D977B9"/>
  </w:style>
  <w:style w:type="character" w:customStyle="1" w:styleId="CommentTextChar">
    <w:name w:val="Comment Text Char"/>
    <w:semiHidden/>
    <w:rsid w:val="00D977B9"/>
    <w:rPr>
      <w:lang w:eastAsia="en-US"/>
    </w:rPr>
  </w:style>
  <w:style w:type="character" w:customStyle="1" w:styleId="CommentTextChar2">
    <w:name w:val="Comment Text Char2"/>
    <w:semiHidden/>
    <w:rsid w:val="00D977B9"/>
    <w:rPr>
      <w:rFonts w:ascii="Times New Roman" w:eastAsia="Times New Roman" w:hAnsi="Times New Roman"/>
      <w:lang w:val="ru-RU" w:eastAsia="ru-RU"/>
    </w:rPr>
  </w:style>
  <w:style w:type="character" w:customStyle="1" w:styleId="BalloonTextChar">
    <w:name w:val="Balloon Text Char"/>
    <w:rsid w:val="00D977B9"/>
    <w:rPr>
      <w:rFonts w:ascii="Tahoma" w:hAnsi="Tahoma" w:cs="Tahoma"/>
      <w:sz w:val="16"/>
      <w:szCs w:val="16"/>
      <w:lang w:eastAsia="en-US"/>
    </w:rPr>
  </w:style>
  <w:style w:type="paragraph" w:customStyle="1" w:styleId="abzacixml">
    <w:name w:val="abzaci_xml"/>
    <w:basedOn w:val="PlainText"/>
    <w:rsid w:val="00D977B9"/>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D977B9"/>
    <w:pPr>
      <w:keepLines/>
      <w:tabs>
        <w:tab w:val="clear" w:pos="431"/>
      </w:tabs>
      <w:overflowPunct/>
      <w:adjustRightInd/>
      <w:snapToGrid/>
      <w:spacing w:before="240" w:line="240" w:lineRule="exact"/>
      <w:ind w:left="850" w:hanging="850"/>
      <w:jc w:val="left"/>
    </w:pPr>
    <w:rPr>
      <w:rFonts w:ascii="Sylfaen" w:eastAsia="Sylfaen" w:hAnsi="Sylfaen"/>
      <w:b/>
      <w:snapToGrid/>
      <w:sz w:val="22"/>
      <w:lang w:eastAsia="en-US"/>
    </w:rPr>
  </w:style>
  <w:style w:type="paragraph" w:customStyle="1" w:styleId="tavisataurixml">
    <w:name w:val="tavi_satauri_xml"/>
    <w:basedOn w:val="Normal"/>
    <w:rsid w:val="00D977B9"/>
    <w:pPr>
      <w:tabs>
        <w:tab w:val="clear" w:pos="431"/>
      </w:tabs>
      <w:overflowPunct/>
      <w:adjustRightInd/>
      <w:snapToGrid/>
      <w:spacing w:after="240" w:line="240" w:lineRule="auto"/>
      <w:jc w:val="center"/>
    </w:pPr>
    <w:rPr>
      <w:rFonts w:ascii="Sylfaen" w:eastAsia="Sylfaen" w:hAnsi="Sylfaen"/>
      <w:b/>
      <w:snapToGrid/>
      <w:sz w:val="22"/>
      <w:lang w:eastAsia="en-US"/>
    </w:rPr>
  </w:style>
  <w:style w:type="paragraph" w:customStyle="1" w:styleId="Text0">
    <w:name w:val="Text"/>
    <w:basedOn w:val="Normal"/>
    <w:rsid w:val="00D977B9"/>
    <w:pPr>
      <w:tabs>
        <w:tab w:val="clear" w:pos="431"/>
      </w:tabs>
      <w:overflowPunct/>
      <w:adjustRightInd/>
      <w:snapToGrid/>
      <w:spacing w:before="120" w:after="120" w:line="240" w:lineRule="auto"/>
    </w:pPr>
    <w:rPr>
      <w:snapToGrid/>
      <w:color w:val="000000"/>
      <w:kern w:val="28"/>
      <w:sz w:val="16"/>
      <w:szCs w:val="16"/>
      <w:lang w:eastAsia="en-US"/>
    </w:rPr>
  </w:style>
  <w:style w:type="paragraph" w:customStyle="1" w:styleId="Unit">
    <w:name w:val="Unit"/>
    <w:basedOn w:val="Normal"/>
    <w:rsid w:val="00D977B9"/>
    <w:pPr>
      <w:tabs>
        <w:tab w:val="clear" w:pos="431"/>
      </w:tabs>
      <w:overflowPunct/>
      <w:adjustRightInd/>
      <w:snapToGrid/>
      <w:spacing w:before="20" w:after="20" w:line="240" w:lineRule="auto"/>
      <w:jc w:val="right"/>
    </w:pPr>
    <w:rPr>
      <w:snapToGrid/>
      <w:color w:val="000000"/>
      <w:kern w:val="28"/>
      <w:sz w:val="14"/>
      <w:szCs w:val="14"/>
      <w:lang w:eastAsia="en-US"/>
    </w:rPr>
  </w:style>
  <w:style w:type="paragraph" w:customStyle="1" w:styleId="Sourse">
    <w:name w:val="Sourse"/>
    <w:basedOn w:val="Normal"/>
    <w:rsid w:val="00D977B9"/>
    <w:pPr>
      <w:tabs>
        <w:tab w:val="clear" w:pos="431"/>
      </w:tabs>
      <w:overflowPunct/>
      <w:adjustRightInd/>
      <w:snapToGrid/>
      <w:spacing w:before="20" w:after="20" w:line="240" w:lineRule="auto"/>
    </w:pPr>
    <w:rPr>
      <w:snapToGrid/>
      <w:color w:val="000000"/>
      <w:kern w:val="28"/>
      <w:sz w:val="14"/>
      <w:szCs w:val="14"/>
      <w:lang w:eastAsia="en-US"/>
    </w:rPr>
  </w:style>
  <w:style w:type="paragraph" w:customStyle="1" w:styleId="yiv77541397msonormal">
    <w:name w:val="yiv77541397msonormal"/>
    <w:basedOn w:val="Normal"/>
    <w:rsid w:val="00D977B9"/>
    <w:pPr>
      <w:tabs>
        <w:tab w:val="clear" w:pos="431"/>
      </w:tabs>
      <w:overflowPunct/>
      <w:adjustRightInd/>
      <w:snapToGrid/>
      <w:spacing w:before="100" w:beforeAutospacing="1" w:after="100" w:afterAutospacing="1" w:line="240" w:lineRule="auto"/>
      <w:jc w:val="left"/>
    </w:pPr>
    <w:rPr>
      <w:snapToGrid/>
      <w:sz w:val="24"/>
      <w:szCs w:val="24"/>
      <w:lang w:eastAsia="en-US"/>
    </w:rPr>
  </w:style>
  <w:style w:type="character" w:customStyle="1" w:styleId="HeaderChar">
    <w:name w:val="Header Char"/>
    <w:rsid w:val="00D977B9"/>
    <w:rPr>
      <w:sz w:val="22"/>
      <w:szCs w:val="22"/>
      <w:lang w:eastAsia="en-US"/>
    </w:rPr>
  </w:style>
  <w:style w:type="character" w:customStyle="1" w:styleId="FooterChar">
    <w:name w:val="Footer Char"/>
    <w:rsid w:val="00D977B9"/>
    <w:rPr>
      <w:sz w:val="22"/>
      <w:szCs w:val="22"/>
      <w:lang w:eastAsia="en-US"/>
    </w:rPr>
  </w:style>
  <w:style w:type="character" w:customStyle="1" w:styleId="DocumentMapChar">
    <w:name w:val="Document Map Char"/>
    <w:semiHidden/>
    <w:locked/>
    <w:rsid w:val="00D977B9"/>
    <w:rPr>
      <w:rFonts w:ascii="Tahoma" w:hAnsi="Tahoma"/>
      <w:shd w:val="clear" w:color="auto" w:fill="000080"/>
      <w:lang w:val="en-AU" w:eastAsia="ru-RU"/>
    </w:rPr>
  </w:style>
  <w:style w:type="character" w:customStyle="1" w:styleId="DocumentMapChar2">
    <w:name w:val="Document Map Char2"/>
    <w:rsid w:val="00D977B9"/>
    <w:rPr>
      <w:rFonts w:ascii="Tahoma" w:hAnsi="Tahoma" w:cs="Tahoma"/>
      <w:sz w:val="16"/>
      <w:szCs w:val="16"/>
      <w:lang w:eastAsia="en-US"/>
    </w:rPr>
  </w:style>
  <w:style w:type="character" w:customStyle="1" w:styleId="CommentTextChar1">
    <w:name w:val="Comment Text Char1"/>
    <w:semiHidden/>
    <w:locked/>
    <w:rsid w:val="00D977B9"/>
    <w:rPr>
      <w:rFonts w:cs="Times New Roman"/>
      <w:sz w:val="20"/>
      <w:szCs w:val="20"/>
    </w:rPr>
  </w:style>
  <w:style w:type="table" w:customStyle="1" w:styleId="MediumShading1Accent5">
    <w:name w:val="Medium Shading 1 Accent 5"/>
    <w:rsid w:val="00D977B9"/>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D977B9"/>
    <w:rPr>
      <w:rFonts w:ascii="LitNusx" w:hAnsi="LitNusx" w:cs="Times New Roman"/>
      <w:sz w:val="20"/>
      <w:szCs w:val="20"/>
      <w:lang w:eastAsia="ru-RU"/>
    </w:rPr>
  </w:style>
  <w:style w:type="paragraph" w:customStyle="1" w:styleId="muxlixml0">
    <w:name w:val="muxlixml0"/>
    <w:basedOn w:val="Normal"/>
    <w:rsid w:val="00D977B9"/>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abzacixml0">
    <w:name w:val="abzacixml"/>
    <w:basedOn w:val="Normal"/>
    <w:rsid w:val="00D977B9"/>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Pa9">
    <w:name w:val="Pa9"/>
    <w:basedOn w:val="Normal"/>
    <w:next w:val="Normal"/>
    <w:rsid w:val="00D977B9"/>
    <w:pPr>
      <w:tabs>
        <w:tab w:val="clear" w:pos="431"/>
      </w:tabs>
      <w:overflowPunct/>
      <w:autoSpaceDE w:val="0"/>
      <w:autoSpaceDN w:val="0"/>
      <w:snapToGrid/>
      <w:spacing w:line="221" w:lineRule="atLeast"/>
      <w:jc w:val="left"/>
    </w:pPr>
    <w:rPr>
      <w:rFonts w:ascii="Arial" w:hAnsi="Arial" w:cs="Arial"/>
      <w:snapToGrid/>
      <w:sz w:val="24"/>
      <w:szCs w:val="24"/>
      <w:lang w:val="ru-RU" w:eastAsia="ru-RU"/>
    </w:rPr>
  </w:style>
  <w:style w:type="character" w:customStyle="1" w:styleId="il">
    <w:name w:val="il"/>
    <w:rsid w:val="00D977B9"/>
  </w:style>
  <w:style w:type="paragraph" w:customStyle="1" w:styleId="yiv401499452msoplaintext">
    <w:name w:val="yiv401499452msoplaintext"/>
    <w:basedOn w:val="Normal"/>
    <w:rsid w:val="00D977B9"/>
    <w:pPr>
      <w:tabs>
        <w:tab w:val="clear" w:pos="431"/>
      </w:tabs>
      <w:overflowPunct/>
      <w:adjustRightInd/>
      <w:snapToGrid/>
      <w:spacing w:before="100" w:beforeAutospacing="1" w:after="100" w:afterAutospacing="1" w:line="240" w:lineRule="auto"/>
      <w:jc w:val="left"/>
    </w:pPr>
    <w:rPr>
      <w:snapToGrid/>
      <w:sz w:val="24"/>
      <w:szCs w:val="24"/>
      <w:lang w:val="en-GB" w:eastAsia="en-GB"/>
    </w:rPr>
  </w:style>
  <w:style w:type="paragraph" w:customStyle="1" w:styleId="Web">
    <w:name w:val="Κανονικό (Web)"/>
    <w:basedOn w:val="Normal"/>
    <w:rsid w:val="00D977B9"/>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Arial Unicode MS"/>
      <w:snapToGrid/>
      <w:color w:val="000000"/>
      <w:sz w:val="24"/>
      <w:szCs w:val="24"/>
      <w:lang w:val="el-GR" w:eastAsia="el-GR"/>
    </w:rPr>
  </w:style>
  <w:style w:type="character" w:customStyle="1" w:styleId="HChGChar">
    <w:name w:val="_ H _Ch_G Char"/>
    <w:link w:val="HChG"/>
    <w:rsid w:val="00D977B9"/>
    <w:rPr>
      <w:b/>
      <w:sz w:val="28"/>
      <w:lang w:val="en-GB" w:eastAsia="en-US"/>
    </w:rPr>
  </w:style>
  <w:style w:type="paragraph" w:styleId="TOC1">
    <w:name w:val="toc 1"/>
    <w:basedOn w:val="Normal"/>
    <w:next w:val="Normal"/>
    <w:autoRedefine/>
    <w:rsid w:val="00D977B9"/>
    <w:pPr>
      <w:tabs>
        <w:tab w:val="clear" w:pos="431"/>
        <w:tab w:val="left" w:pos="1418"/>
        <w:tab w:val="right" w:leader="dot" w:pos="8080"/>
      </w:tabs>
      <w:overflowPunct/>
      <w:adjustRightInd/>
      <w:snapToGrid/>
      <w:spacing w:before="120" w:after="120"/>
      <w:ind w:leftChars="405" w:left="1417" w:hangingChars="270" w:hanging="567"/>
      <w:jc w:val="left"/>
    </w:pPr>
    <w:rPr>
      <w:rFonts w:ascii="Calibri" w:hAnsi="Calibri" w:cs="Calibri"/>
      <w:b/>
      <w:bCs/>
      <w:caps/>
      <w:snapToGrid/>
      <w:kern w:val="14"/>
      <w:sz w:val="20"/>
    </w:rPr>
  </w:style>
  <w:style w:type="paragraph" w:styleId="TOC2">
    <w:name w:val="toc 2"/>
    <w:basedOn w:val="Normal"/>
    <w:next w:val="Normal"/>
    <w:autoRedefine/>
    <w:rsid w:val="00D977B9"/>
    <w:pPr>
      <w:tabs>
        <w:tab w:val="clear" w:pos="431"/>
      </w:tabs>
      <w:overflowPunct/>
      <w:adjustRightInd/>
      <w:snapToGrid/>
      <w:ind w:left="210"/>
      <w:jc w:val="left"/>
    </w:pPr>
    <w:rPr>
      <w:rFonts w:ascii="Calibri" w:hAnsi="Calibri" w:cs="Calibri"/>
      <w:smallCaps/>
      <w:snapToGrid/>
      <w:kern w:val="14"/>
      <w:sz w:val="20"/>
    </w:rPr>
  </w:style>
  <w:style w:type="paragraph" w:styleId="TOC3">
    <w:name w:val="toc 3"/>
    <w:basedOn w:val="Normal"/>
    <w:next w:val="Normal"/>
    <w:autoRedefine/>
    <w:rsid w:val="00D977B9"/>
    <w:pPr>
      <w:tabs>
        <w:tab w:val="clear" w:pos="431"/>
      </w:tabs>
      <w:overflowPunct/>
      <w:adjustRightInd/>
      <w:snapToGrid/>
      <w:ind w:left="420"/>
      <w:jc w:val="left"/>
    </w:pPr>
    <w:rPr>
      <w:rFonts w:ascii="Calibri" w:hAnsi="Calibri" w:cs="Calibri"/>
      <w:i/>
      <w:iCs/>
      <w:snapToGrid/>
      <w:kern w:val="14"/>
      <w:sz w:val="20"/>
    </w:rPr>
  </w:style>
  <w:style w:type="paragraph" w:styleId="TOC4">
    <w:name w:val="toc 4"/>
    <w:basedOn w:val="Normal"/>
    <w:next w:val="Normal"/>
    <w:autoRedefine/>
    <w:rsid w:val="00D977B9"/>
    <w:pPr>
      <w:tabs>
        <w:tab w:val="clear" w:pos="431"/>
      </w:tabs>
      <w:overflowPunct/>
      <w:adjustRightInd/>
      <w:snapToGrid/>
      <w:ind w:left="630"/>
      <w:jc w:val="left"/>
    </w:pPr>
    <w:rPr>
      <w:rFonts w:ascii="Calibri" w:hAnsi="Calibri" w:cs="Calibri"/>
      <w:snapToGrid/>
      <w:kern w:val="14"/>
      <w:sz w:val="18"/>
      <w:szCs w:val="18"/>
    </w:rPr>
  </w:style>
  <w:style w:type="paragraph" w:styleId="TOC5">
    <w:name w:val="toc 5"/>
    <w:basedOn w:val="Normal"/>
    <w:next w:val="Normal"/>
    <w:autoRedefine/>
    <w:rsid w:val="00D977B9"/>
    <w:pPr>
      <w:tabs>
        <w:tab w:val="clear" w:pos="431"/>
      </w:tabs>
      <w:overflowPunct/>
      <w:adjustRightInd/>
      <w:snapToGrid/>
      <w:ind w:left="840"/>
      <w:jc w:val="left"/>
    </w:pPr>
    <w:rPr>
      <w:rFonts w:ascii="Calibri" w:hAnsi="Calibri" w:cs="Calibri"/>
      <w:snapToGrid/>
      <w:kern w:val="14"/>
      <w:sz w:val="18"/>
      <w:szCs w:val="18"/>
    </w:rPr>
  </w:style>
  <w:style w:type="paragraph" w:styleId="TOC6">
    <w:name w:val="toc 6"/>
    <w:basedOn w:val="Normal"/>
    <w:next w:val="Normal"/>
    <w:autoRedefine/>
    <w:rsid w:val="00D977B9"/>
    <w:pPr>
      <w:tabs>
        <w:tab w:val="clear" w:pos="431"/>
      </w:tabs>
      <w:overflowPunct/>
      <w:adjustRightInd/>
      <w:snapToGrid/>
      <w:ind w:left="1050"/>
      <w:jc w:val="left"/>
    </w:pPr>
    <w:rPr>
      <w:rFonts w:ascii="Calibri" w:hAnsi="Calibri" w:cs="Calibri"/>
      <w:snapToGrid/>
      <w:kern w:val="14"/>
      <w:sz w:val="18"/>
      <w:szCs w:val="18"/>
    </w:rPr>
  </w:style>
  <w:style w:type="paragraph" w:styleId="TOC7">
    <w:name w:val="toc 7"/>
    <w:basedOn w:val="Normal"/>
    <w:next w:val="Normal"/>
    <w:autoRedefine/>
    <w:rsid w:val="00D977B9"/>
    <w:pPr>
      <w:tabs>
        <w:tab w:val="clear" w:pos="431"/>
      </w:tabs>
      <w:overflowPunct/>
      <w:adjustRightInd/>
      <w:snapToGrid/>
      <w:ind w:left="1260"/>
      <w:jc w:val="left"/>
    </w:pPr>
    <w:rPr>
      <w:rFonts w:ascii="Calibri" w:hAnsi="Calibri" w:cs="Calibri"/>
      <w:snapToGrid/>
      <w:kern w:val="14"/>
      <w:sz w:val="18"/>
      <w:szCs w:val="18"/>
    </w:rPr>
  </w:style>
  <w:style w:type="paragraph" w:styleId="TOC8">
    <w:name w:val="toc 8"/>
    <w:basedOn w:val="Normal"/>
    <w:next w:val="Normal"/>
    <w:autoRedefine/>
    <w:rsid w:val="00D977B9"/>
    <w:pPr>
      <w:tabs>
        <w:tab w:val="clear" w:pos="431"/>
      </w:tabs>
      <w:overflowPunct/>
      <w:adjustRightInd/>
      <w:snapToGrid/>
      <w:ind w:left="1470"/>
      <w:jc w:val="left"/>
    </w:pPr>
    <w:rPr>
      <w:rFonts w:ascii="Calibri" w:hAnsi="Calibri" w:cs="Calibri"/>
      <w:snapToGrid/>
      <w:kern w:val="14"/>
      <w:sz w:val="18"/>
      <w:szCs w:val="18"/>
    </w:rPr>
  </w:style>
  <w:style w:type="paragraph" w:styleId="TOC9">
    <w:name w:val="toc 9"/>
    <w:basedOn w:val="Normal"/>
    <w:next w:val="Normal"/>
    <w:autoRedefine/>
    <w:rsid w:val="00D977B9"/>
    <w:pPr>
      <w:tabs>
        <w:tab w:val="clear" w:pos="431"/>
      </w:tabs>
      <w:overflowPunct/>
      <w:adjustRightInd/>
      <w:snapToGrid/>
      <w:ind w:left="1680"/>
      <w:jc w:val="left"/>
    </w:pPr>
    <w:rPr>
      <w:rFonts w:ascii="Calibri" w:hAnsi="Calibri" w:cs="Calibri"/>
      <w:snapToGrid/>
      <w:kern w:val="14"/>
      <w:sz w:val="18"/>
      <w:szCs w:val="18"/>
    </w:rPr>
  </w:style>
  <w:style w:type="character" w:customStyle="1" w:styleId="SingleTxtGCChar">
    <w:name w:val="_ Single Txt_GC Char"/>
    <w:link w:val="SingleTxtGC"/>
    <w:locked/>
    <w:rsid w:val="00D977B9"/>
    <w:rPr>
      <w:snapToGrid/>
      <w:sz w:val="21"/>
    </w:rPr>
  </w:style>
  <w:style w:type="character" w:customStyle="1" w:styleId="HMGCChar">
    <w:name w:val="_ H __M_GC Char"/>
    <w:link w:val="HMGC"/>
    <w:rsid w:val="00D977B9"/>
    <w:rPr>
      <w:rFonts w:eastAsia="SimHei"/>
      <w:snapToGrid/>
      <w:sz w:val="34"/>
    </w:rPr>
  </w:style>
  <w:style w:type="character" w:customStyle="1" w:styleId="EndnoteTextChar">
    <w:name w:val="Endnote Text Char"/>
    <w:link w:val="EndnoteText"/>
    <w:uiPriority w:val="99"/>
    <w:locked/>
    <w:rsid w:val="00D977B9"/>
    <w:rPr>
      <w:noProof/>
      <w:kern w:val="14"/>
      <w:sz w:val="18"/>
    </w:rPr>
  </w:style>
  <w:style w:type="paragraph" w:customStyle="1" w:styleId="AgendaTitle0">
    <w:name w:val="AgendaTitle"/>
    <w:basedOn w:val="Normal"/>
    <w:next w:val="Normal"/>
    <w:uiPriority w:val="99"/>
    <w:rsid w:val="00D977B9"/>
    <w:pPr>
      <w:tabs>
        <w:tab w:val="clear" w:pos="431"/>
      </w:tabs>
      <w:suppressAutoHyphens/>
      <w:overflowPunct/>
      <w:adjustRightInd/>
      <w:snapToGrid/>
      <w:spacing w:line="240" w:lineRule="exact"/>
      <w:jc w:val="left"/>
    </w:pPr>
    <w:rPr>
      <w:snapToGrid/>
      <w:spacing w:val="4"/>
      <w:w w:val="103"/>
      <w:kern w:val="14"/>
      <w:sz w:val="20"/>
      <w:lang w:val="en-GB" w:eastAsia="en-US"/>
    </w:rPr>
  </w:style>
  <w:style w:type="paragraph" w:customStyle="1" w:styleId="Committee0">
    <w:name w:val="Committee"/>
    <w:basedOn w:val="H1"/>
    <w:uiPriority w:val="99"/>
    <w:rsid w:val="00D977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1267"/>
      <w:jc w:val="left"/>
    </w:pPr>
    <w:rPr>
      <w:rFonts w:ascii="Times New Roman" w:eastAsia="SimSun"/>
      <w:b/>
      <w:spacing w:val="4"/>
      <w:w w:val="103"/>
      <w:lang w:val="en-GB" w:eastAsia="en-US"/>
    </w:rPr>
  </w:style>
  <w:style w:type="paragraph" w:customStyle="1" w:styleId="Session0">
    <w:name w:val="Session"/>
    <w:basedOn w:val="H23"/>
    <w:uiPriority w:val="99"/>
    <w:rsid w:val="00D977B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SimSun"/>
      <w:b/>
      <w:spacing w:val="4"/>
      <w:w w:val="103"/>
      <w:sz w:val="20"/>
      <w:lang w:val="en-GB" w:eastAsia="en-US"/>
    </w:rPr>
  </w:style>
  <w:style w:type="paragraph" w:customStyle="1" w:styleId="Sponsors0">
    <w:name w:val="Sponsors"/>
    <w:basedOn w:val="H23"/>
    <w:uiPriority w:val="99"/>
    <w:rsid w:val="00D977B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jc w:val="left"/>
    </w:pPr>
    <w:rPr>
      <w:rFonts w:ascii="Times New Roman" w:eastAsia="SimSun"/>
      <w:b/>
      <w:w w:val="103"/>
      <w:sz w:val="20"/>
      <w:lang w:val="en-GB" w:eastAsia="en-US"/>
    </w:rPr>
  </w:style>
  <w:style w:type="paragraph" w:customStyle="1" w:styleId="Title1">
    <w:name w:val="Title 1"/>
    <w:basedOn w:val="HCh"/>
    <w:uiPriority w:val="99"/>
    <w:rsid w:val="00D977B9"/>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jc w:val="left"/>
    </w:pPr>
    <w:rPr>
      <w:rFonts w:ascii="Times New Roman" w:eastAsia="SimSun"/>
      <w:b/>
      <w:spacing w:val="-2"/>
      <w:w w:val="103"/>
      <w:lang w:val="en-GB" w:eastAsia="en-US"/>
    </w:rPr>
  </w:style>
  <w:style w:type="paragraph" w:customStyle="1" w:styleId="Title2">
    <w:name w:val="Title 2"/>
    <w:basedOn w:val="H1"/>
    <w:uiPriority w:val="99"/>
    <w:rsid w:val="00D977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jc w:val="left"/>
    </w:pPr>
    <w:rPr>
      <w:rFonts w:ascii="Times New Roman" w:eastAsia="SimSun"/>
      <w:b/>
      <w:spacing w:val="4"/>
      <w:w w:val="103"/>
      <w:lang w:val="en-GB" w:eastAsia="en-US"/>
    </w:rPr>
  </w:style>
  <w:style w:type="paragraph" w:customStyle="1" w:styleId="Type0">
    <w:name w:val="Type"/>
    <w:basedOn w:val="H23"/>
    <w:autoRedefine/>
    <w:uiPriority w:val="99"/>
    <w:rsid w:val="00D977B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576"/>
      <w:jc w:val="left"/>
    </w:pPr>
    <w:rPr>
      <w:rFonts w:ascii="Times New Roman" w:eastAsia="SimSun"/>
      <w:b/>
      <w:w w:val="103"/>
      <w:sz w:val="20"/>
      <w:lang w:val="en-GB" w:eastAsia="en-US"/>
    </w:rPr>
  </w:style>
  <w:style w:type="paragraph" w:customStyle="1" w:styleId="Distribution">
    <w:name w:val="Distribution"/>
    <w:next w:val="Normal"/>
    <w:uiPriority w:val="99"/>
    <w:rsid w:val="00D977B9"/>
    <w:pPr>
      <w:spacing w:before="240"/>
    </w:pPr>
    <w:rPr>
      <w:spacing w:val="4"/>
      <w:w w:val="103"/>
      <w:kern w:val="14"/>
      <w:lang w:val="en-GB"/>
    </w:rPr>
  </w:style>
  <w:style w:type="paragraph" w:customStyle="1" w:styleId="Publication0">
    <w:name w:val="Publication"/>
    <w:next w:val="Normal"/>
    <w:uiPriority w:val="99"/>
    <w:rsid w:val="00D977B9"/>
    <w:rPr>
      <w:spacing w:val="4"/>
      <w:w w:val="103"/>
      <w:kern w:val="14"/>
      <w:lang w:val="en-GB"/>
    </w:rPr>
  </w:style>
  <w:style w:type="paragraph" w:customStyle="1" w:styleId="Original0">
    <w:name w:val="Original"/>
    <w:next w:val="Normal"/>
    <w:uiPriority w:val="99"/>
    <w:rsid w:val="00D977B9"/>
    <w:rPr>
      <w:spacing w:val="4"/>
      <w:w w:val="103"/>
      <w:kern w:val="14"/>
      <w:lang w:val="en-GB"/>
    </w:rPr>
  </w:style>
  <w:style w:type="paragraph" w:customStyle="1" w:styleId="ReleaseDate">
    <w:name w:val="Release Date"/>
    <w:next w:val="Footer"/>
    <w:uiPriority w:val="99"/>
    <w:rsid w:val="00D977B9"/>
    <w:rPr>
      <w:spacing w:val="4"/>
      <w:w w:val="103"/>
      <w:kern w:val="14"/>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HRI/GEN/2/Rev.1/Add.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icef.org/lac/Break_the_Silence--Introduction_.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42</Pages>
  <Words>18299</Words>
  <Characters>19397</Characters>
  <Application>Microsoft Office Outlook</Application>
  <DocSecurity>4</DocSecurity>
  <Lines>746</Lines>
  <Paragraphs>554</Paragraphs>
  <ScaleCrop>false</ScaleCrop>
  <Company>United Nations</Company>
  <LinksUpToDate>false</LinksUpToDate>
  <CharactersWithSpaces>37142</CharactersWithSpaces>
  <SharedDoc>false</SharedDoc>
  <HLinks>
    <vt:vector size="18" baseType="variant">
      <vt:variant>
        <vt:i4>3932281</vt:i4>
      </vt:variant>
      <vt:variant>
        <vt:i4>0</vt:i4>
      </vt:variant>
      <vt:variant>
        <vt:i4>0</vt:i4>
      </vt:variant>
      <vt:variant>
        <vt:i4>5</vt:i4>
      </vt:variant>
      <vt:variant>
        <vt:lpwstr>http://undocs.org/HRI/GEN/2/Rev.1/Add.2</vt:lpwstr>
      </vt:variant>
      <vt:variant>
        <vt:lpwstr/>
      </vt:variant>
      <vt:variant>
        <vt:i4>589844</vt:i4>
      </vt:variant>
      <vt:variant>
        <vt:i4>3</vt:i4>
      </vt:variant>
      <vt:variant>
        <vt:i4>0</vt:i4>
      </vt:variant>
      <vt:variant>
        <vt:i4>5</vt:i4>
      </vt:variant>
      <vt:variant>
        <vt:lpwstr>http://www.weventurescope.com/en/Home/Ranking</vt:lpwstr>
      </vt:variant>
      <vt:variant>
        <vt:lpwstr/>
      </vt:variant>
      <vt:variant>
        <vt:i4>196654</vt:i4>
      </vt:variant>
      <vt:variant>
        <vt:i4>0</vt:i4>
      </vt:variant>
      <vt:variant>
        <vt:i4>0</vt:i4>
      </vt:variant>
      <vt:variant>
        <vt:i4>5</vt:i4>
      </vt:variant>
      <vt:variant>
        <vt:lpwstr>http://www.unicef.org/lac/Break_the_Silence--Introduction_.pdf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Ctpu1</dc:creator>
  <cp:keywords/>
  <dc:description/>
  <cp:lastModifiedBy>Ctpu1</cp:lastModifiedBy>
  <cp:revision>12</cp:revision>
  <cp:lastPrinted>2015-05-04T13:35:00Z</cp:lastPrinted>
  <dcterms:created xsi:type="dcterms:W3CDTF">2015-05-04T13:06:00Z</dcterms:created>
  <dcterms:modified xsi:type="dcterms:W3CDTF">2015-05-04T13:35:00Z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1503080</vt:lpwstr>
  </property>
  <property fmtid="{D5CDD505-2E9C-101B-9397-08002B2CF9AE}" pid="3" name="ODSRefJobNo">
    <vt:lpwstr>1505552C</vt:lpwstr>
  </property>
  <property fmtid="{D5CDD505-2E9C-101B-9397-08002B2CF9AE}" pid="4" name="Symbol1">
    <vt:lpwstr>CEDAW/C/TTO/4-7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March 2015</vt:lpwstr>
  </property>
  <property fmtid="{D5CDD505-2E9C-101B-9397-08002B2CF9AE}" pid="9" name="Original">
    <vt:lpwstr>English</vt:lpwstr>
  </property>
  <property fmtid="{D5CDD505-2E9C-101B-9397-08002B2CF9AE}" pid="10" name="Release Date">
    <vt:lpwstr>040515</vt:lpwstr>
  </property>
  <property fmtid="{D5CDD505-2E9C-101B-9397-08002B2CF9AE}" pid="11" name="Comment">
    <vt:lpwstr/>
  </property>
  <property fmtid="{D5CDD505-2E9C-101B-9397-08002B2CF9AE}" pid="12" name="DraftPages">
    <vt:lpwstr> </vt:lpwstr>
  </property>
  <property fmtid="{D5CDD505-2E9C-101B-9397-08002B2CF9AE}" pid="13" name="Operator">
    <vt:lpwstr>wu</vt:lpwstr>
  </property>
</Properties>
</file>