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4446EF" w:rsidRDefault="004446EF" w:rsidP="00C12756">
            <w:pPr>
              <w:wordWrap w:val="0"/>
              <w:spacing w:line="240" w:lineRule="atLeast"/>
              <w:jc w:val="right"/>
              <w:rPr>
                <w:sz w:val="20"/>
                <w:szCs w:val="21"/>
              </w:rPr>
            </w:pPr>
            <w:r w:rsidRPr="004446EF">
              <w:rPr>
                <w:sz w:val="40"/>
                <w:szCs w:val="21"/>
              </w:rPr>
              <w:t>CCPR</w:t>
            </w:r>
            <w:r>
              <w:rPr>
                <w:sz w:val="20"/>
                <w:szCs w:val="21"/>
              </w:rPr>
              <w:t>/C/PRT/CO/</w:t>
            </w:r>
            <w:r w:rsidR="0000668A">
              <w:rPr>
                <w:sz w:val="20"/>
                <w:szCs w:val="21"/>
              </w:rPr>
              <w:t>5</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6F1ECC" w:rsidRPr="006F1ECC" w:rsidRDefault="00CE1D1C" w:rsidP="006F1ECC">
            <w:pPr>
              <w:spacing w:before="240"/>
              <w:rPr>
                <w:sz w:val="20"/>
              </w:rPr>
            </w:pPr>
            <w:r w:rsidRPr="006F1ECC">
              <w:rPr>
                <w:sz w:val="20"/>
              </w:rPr>
              <w:t>Distr.:</w:t>
            </w:r>
            <w:r w:rsidR="006F1ECC" w:rsidRPr="006F1ECC">
              <w:rPr>
                <w:sz w:val="20"/>
              </w:rPr>
              <w:t xml:space="preserve"> General</w:t>
            </w:r>
          </w:p>
          <w:p w:rsidR="00CE1D1C" w:rsidRPr="006F1ECC" w:rsidRDefault="006F1ECC" w:rsidP="006F1ECC">
            <w:pPr>
              <w:spacing w:line="240" w:lineRule="atLeast"/>
              <w:rPr>
                <w:sz w:val="20"/>
              </w:rPr>
            </w:pPr>
            <w:r w:rsidRPr="006F1ECC">
              <w:rPr>
                <w:sz w:val="20"/>
              </w:rPr>
              <w:t>28 April 2020</w:t>
            </w:r>
          </w:p>
          <w:p w:rsidR="00CE1D1C" w:rsidRPr="006F1ECC" w:rsidRDefault="00CE1D1C" w:rsidP="00B614C4">
            <w:pPr>
              <w:spacing w:line="240" w:lineRule="atLeast"/>
              <w:rPr>
                <w:sz w:val="20"/>
              </w:rPr>
            </w:pPr>
            <w:r w:rsidRPr="006F1ECC">
              <w:rPr>
                <w:sz w:val="20"/>
              </w:rPr>
              <w:t>Chinese</w:t>
            </w:r>
          </w:p>
          <w:p w:rsidR="00CE1D1C" w:rsidRPr="00F124C6" w:rsidRDefault="00CE1D1C" w:rsidP="00B614C4">
            <w:pPr>
              <w:spacing w:line="240" w:lineRule="atLeast"/>
            </w:pPr>
            <w:r w:rsidRPr="006F1ECC">
              <w:rPr>
                <w:sz w:val="20"/>
              </w:rPr>
              <w:t>Original: English</w:t>
            </w:r>
          </w:p>
        </w:tc>
      </w:tr>
    </w:tbl>
    <w:p w:rsidR="009D4A5F" w:rsidRDefault="009D4A5F" w:rsidP="009D4A5F">
      <w:pPr>
        <w:spacing w:before="120"/>
        <w:rPr>
          <w:b/>
          <w:snapToGrid/>
          <w:sz w:val="24"/>
        </w:rPr>
      </w:pPr>
      <w:r>
        <w:rPr>
          <w:rFonts w:eastAsia="黑体" w:hint="eastAsia"/>
          <w:bCs/>
          <w:sz w:val="24"/>
          <w:szCs w:val="24"/>
        </w:rPr>
        <w:t>人权事务委员会</w:t>
      </w:r>
    </w:p>
    <w:p w:rsidR="009D4A5F" w:rsidRDefault="009D4A5F" w:rsidP="00852B3D">
      <w:pPr>
        <w:pStyle w:val="HChGC"/>
        <w:rPr>
          <w:b/>
          <w:sz w:val="20"/>
        </w:rPr>
      </w:pPr>
      <w:r>
        <w:tab/>
      </w:r>
      <w:r>
        <w:tab/>
      </w:r>
      <w:r>
        <w:rPr>
          <w:rFonts w:hint="eastAsia"/>
        </w:rPr>
        <w:t>关于葡萄牙第五次定期报告的结论性意见</w:t>
      </w:r>
      <w:r w:rsidR="00D6297F" w:rsidRPr="00D6297F">
        <w:rPr>
          <w:rStyle w:val="a8"/>
          <w:rFonts w:eastAsia="黑体"/>
          <w:sz w:val="28"/>
          <w:vertAlign w:val="baseline"/>
        </w:rPr>
        <w:footnoteReference w:customMarkFollows="1" w:id="2"/>
        <w:t>*</w:t>
      </w:r>
    </w:p>
    <w:p w:rsidR="009D4A5F" w:rsidRDefault="009D4A5F" w:rsidP="001118BA">
      <w:pPr>
        <w:pStyle w:val="SingleTxtGC"/>
        <w:tabs>
          <w:tab w:val="clear" w:pos="431"/>
          <w:tab w:val="clear" w:pos="1134"/>
          <w:tab w:val="clear" w:pos="1565"/>
          <w:tab w:val="clear" w:pos="1996"/>
          <w:tab w:val="clear" w:pos="2427"/>
          <w:tab w:val="left" w:pos="1701"/>
        </w:tabs>
        <w:rPr>
          <w:sz w:val="20"/>
        </w:rPr>
      </w:pPr>
      <w:r>
        <w:t>1.</w:t>
      </w:r>
      <w:r>
        <w:tab/>
      </w:r>
      <w:r>
        <w:rPr>
          <w:rFonts w:hint="eastAsia"/>
        </w:rPr>
        <w:t>人权事务委员会在</w:t>
      </w:r>
      <w:r>
        <w:t>2020</w:t>
      </w:r>
      <w:r>
        <w:rPr>
          <w:rFonts w:hint="eastAsia"/>
        </w:rPr>
        <w:t>年</w:t>
      </w:r>
      <w:r>
        <w:t>3</w:t>
      </w:r>
      <w:r>
        <w:rPr>
          <w:rFonts w:hint="eastAsia"/>
        </w:rPr>
        <w:t>月</w:t>
      </w:r>
      <w:r>
        <w:t>5</w:t>
      </w:r>
      <w:r>
        <w:rPr>
          <w:rFonts w:hint="eastAsia"/>
        </w:rPr>
        <w:t>日和</w:t>
      </w:r>
      <w:r>
        <w:t>6</w:t>
      </w:r>
      <w:r>
        <w:rPr>
          <w:rFonts w:hint="eastAsia"/>
        </w:rPr>
        <w:t>日举行的第</w:t>
      </w:r>
      <w:r>
        <w:t>3696</w:t>
      </w:r>
      <w:r>
        <w:rPr>
          <w:rFonts w:hint="eastAsia"/>
        </w:rPr>
        <w:t>次和第</w:t>
      </w:r>
      <w:r>
        <w:t>3697</w:t>
      </w:r>
      <w:r>
        <w:rPr>
          <w:rFonts w:hint="eastAsia"/>
        </w:rPr>
        <w:t>次会议</w:t>
      </w:r>
      <w:r>
        <w:t>(</w:t>
      </w:r>
      <w:r>
        <w:rPr>
          <w:rFonts w:hint="eastAsia"/>
        </w:rPr>
        <w:t>见</w:t>
      </w:r>
      <w:r>
        <w:t>CCPR/C/SR.3696</w:t>
      </w:r>
      <w:r>
        <w:rPr>
          <w:rFonts w:hint="eastAsia"/>
        </w:rPr>
        <w:t>和</w:t>
      </w:r>
      <w:r>
        <w:t>3697)</w:t>
      </w:r>
      <w:r>
        <w:rPr>
          <w:rFonts w:hint="eastAsia"/>
        </w:rPr>
        <w:t>上审议了葡萄牙的第五次定期报告</w:t>
      </w:r>
      <w:r>
        <w:t>(CCPR/C/</w:t>
      </w:r>
      <w:r w:rsidR="000F7D0D">
        <w:t xml:space="preserve"> </w:t>
      </w:r>
      <w:r>
        <w:t>PRT/RQ/5)</w:t>
      </w:r>
      <w:r>
        <w:rPr>
          <w:rFonts w:hint="eastAsia"/>
        </w:rPr>
        <w:t>。</w:t>
      </w:r>
      <w:r>
        <w:t>2020</w:t>
      </w:r>
      <w:r>
        <w:rPr>
          <w:rFonts w:hint="eastAsia"/>
        </w:rPr>
        <w:t>年</w:t>
      </w:r>
      <w:r>
        <w:t>3</w:t>
      </w:r>
      <w:r>
        <w:rPr>
          <w:rFonts w:hint="eastAsia"/>
        </w:rPr>
        <w:t>月</w:t>
      </w:r>
      <w:r>
        <w:t>27</w:t>
      </w:r>
      <w:r>
        <w:rPr>
          <w:rFonts w:hint="eastAsia"/>
        </w:rPr>
        <w:t>日，委员会通过了本结论性意见。</w:t>
      </w:r>
    </w:p>
    <w:p w:rsidR="009D4A5F" w:rsidRDefault="009D4A5F" w:rsidP="00E3254F">
      <w:pPr>
        <w:pStyle w:val="H1GC"/>
        <w:tabs>
          <w:tab w:val="left" w:pos="1560"/>
        </w:tabs>
      </w:pPr>
      <w:r>
        <w:tab/>
        <w:t>A.</w:t>
      </w:r>
      <w:r>
        <w:tab/>
      </w:r>
      <w:r>
        <w:rPr>
          <w:rFonts w:hint="eastAsia"/>
        </w:rPr>
        <w:t>导言</w:t>
      </w:r>
    </w:p>
    <w:p w:rsidR="009D4A5F" w:rsidRDefault="009D4A5F" w:rsidP="001118BA">
      <w:pPr>
        <w:pStyle w:val="SingleTxtGC"/>
        <w:tabs>
          <w:tab w:val="clear" w:pos="431"/>
          <w:tab w:val="clear" w:pos="1134"/>
          <w:tab w:val="clear" w:pos="1565"/>
          <w:tab w:val="clear" w:pos="1996"/>
          <w:tab w:val="clear" w:pos="2427"/>
          <w:tab w:val="left" w:pos="1701"/>
        </w:tabs>
      </w:pPr>
      <w:r>
        <w:t>2.</w:t>
      </w:r>
      <w:r>
        <w:tab/>
      </w:r>
      <w:r>
        <w:rPr>
          <w:rFonts w:hint="eastAsia"/>
        </w:rPr>
        <w:t>委员会欢迎葡萄牙按时提交第五次定期报告和其中所载资料。委员会赞赏有机会再次与缔约国代表团开展建设性对话，讨论缔约国在报告所述期间为执行《公约》规定而采取的措施。委员会感谢缔约国对问题清单</w:t>
      </w:r>
      <w:r>
        <w:t>(CCPR/C/PRT/Q/5)</w:t>
      </w:r>
      <w:r>
        <w:rPr>
          <w:rFonts w:hint="eastAsia"/>
        </w:rPr>
        <w:t>的书面答复</w:t>
      </w:r>
      <w:r>
        <w:t>(CCPR/C/PRT/</w:t>
      </w:r>
      <w:r w:rsidRPr="00B30359">
        <w:t>RQ/</w:t>
      </w:r>
      <w:r>
        <w:t>5)</w:t>
      </w:r>
      <w:r>
        <w:rPr>
          <w:rFonts w:hint="eastAsia"/>
        </w:rPr>
        <w:t>和代表团通过口头答复所作的补充以及提交的书面补充资料。</w:t>
      </w:r>
    </w:p>
    <w:p w:rsidR="009D4A5F" w:rsidRDefault="00E128D6" w:rsidP="00E3254F">
      <w:pPr>
        <w:pStyle w:val="H1GC"/>
        <w:tabs>
          <w:tab w:val="left" w:pos="1560"/>
        </w:tabs>
      </w:pPr>
      <w:r>
        <w:tab/>
      </w:r>
      <w:r w:rsidR="009D4A5F">
        <w:t>B.</w:t>
      </w:r>
      <w:r w:rsidR="009D4A5F">
        <w:tab/>
      </w:r>
      <w:r w:rsidR="009D4A5F">
        <w:rPr>
          <w:rFonts w:hint="eastAsia"/>
        </w:rPr>
        <w:t>积极方面</w:t>
      </w:r>
    </w:p>
    <w:p w:rsidR="009D4A5F" w:rsidRDefault="009D4A5F" w:rsidP="006E48B9">
      <w:pPr>
        <w:pStyle w:val="SingleTxtGC"/>
        <w:tabs>
          <w:tab w:val="clear" w:pos="431"/>
          <w:tab w:val="clear" w:pos="1134"/>
          <w:tab w:val="clear" w:pos="1565"/>
          <w:tab w:val="clear" w:pos="1996"/>
          <w:tab w:val="clear" w:pos="2427"/>
          <w:tab w:val="left" w:pos="1701"/>
        </w:tabs>
      </w:pPr>
      <w:r>
        <w:t>3.</w:t>
      </w:r>
      <w:r w:rsidR="00E128D6">
        <w:tab/>
      </w:r>
      <w:r>
        <w:rPr>
          <w:rFonts w:hint="eastAsia"/>
        </w:rPr>
        <w:t>委员会欢迎缔约国采取以下立法和政策措施：</w:t>
      </w:r>
    </w:p>
    <w:p w:rsidR="009D4A5F" w:rsidRDefault="009D4A5F" w:rsidP="006E48B9">
      <w:pPr>
        <w:pStyle w:val="SingleTxtGC"/>
        <w:tabs>
          <w:tab w:val="clear" w:pos="431"/>
          <w:tab w:val="clear" w:pos="1134"/>
          <w:tab w:val="clear" w:pos="1565"/>
          <w:tab w:val="clear" w:pos="1996"/>
          <w:tab w:val="clear" w:pos="2427"/>
          <w:tab w:val="left" w:pos="1701"/>
        </w:tabs>
      </w:pPr>
      <w:r>
        <w:tab/>
        <w:t>(a)</w:t>
      </w:r>
      <w:r>
        <w:tab/>
      </w:r>
      <w:r>
        <w:rPr>
          <w:rFonts w:hint="eastAsia"/>
        </w:rPr>
        <w:t>设立了透明度实体，这是宪法法院内的一个独立机构，负责评估和监督政治事务官员和高级公职人员的收入申报、资产和利益</w:t>
      </w:r>
      <w:r>
        <w:t>(2019</w:t>
      </w:r>
      <w:r>
        <w:rPr>
          <w:rFonts w:hint="eastAsia"/>
        </w:rPr>
        <w:t>年</w:t>
      </w:r>
      <w:r>
        <w:t>9</w:t>
      </w:r>
      <w:r>
        <w:rPr>
          <w:rFonts w:hint="eastAsia"/>
        </w:rPr>
        <w:t>月</w:t>
      </w:r>
      <w:r>
        <w:t>13</w:t>
      </w:r>
      <w:r>
        <w:rPr>
          <w:rFonts w:hint="eastAsia"/>
        </w:rPr>
        <w:t>日第</w:t>
      </w:r>
      <w:r>
        <w:t>4/2019</w:t>
      </w:r>
      <w:r>
        <w:rPr>
          <w:rFonts w:hint="eastAsia"/>
        </w:rPr>
        <w:t>号组织法</w:t>
      </w:r>
      <w:r>
        <w:t>)</w:t>
      </w:r>
      <w:r>
        <w:rPr>
          <w:rFonts w:hint="eastAsia"/>
        </w:rPr>
        <w:t>；</w:t>
      </w:r>
    </w:p>
    <w:p w:rsidR="009D4A5F" w:rsidRDefault="009D4A5F" w:rsidP="006E48B9">
      <w:pPr>
        <w:pStyle w:val="SingleTxtGC"/>
        <w:tabs>
          <w:tab w:val="clear" w:pos="431"/>
          <w:tab w:val="clear" w:pos="1134"/>
          <w:tab w:val="clear" w:pos="1565"/>
          <w:tab w:val="clear" w:pos="1996"/>
          <w:tab w:val="clear" w:pos="2427"/>
          <w:tab w:val="left" w:pos="1701"/>
        </w:tabs>
      </w:pPr>
      <w:r>
        <w:tab/>
        <w:t>(b)</w:t>
      </w:r>
      <w:r>
        <w:tab/>
      </w:r>
      <w:r>
        <w:rPr>
          <w:lang w:eastAsia="pt-PT"/>
        </w:rPr>
        <w:t>2019</w:t>
      </w:r>
      <w:r>
        <w:rPr>
          <w:rFonts w:hint="eastAsia"/>
          <w:lang w:eastAsia="pt-PT"/>
        </w:rPr>
        <w:t>年</w:t>
      </w:r>
      <w:r>
        <w:rPr>
          <w:lang w:eastAsia="pt-PT"/>
        </w:rPr>
        <w:t>3</w:t>
      </w:r>
      <w:r>
        <w:rPr>
          <w:rFonts w:hint="eastAsia"/>
          <w:lang w:eastAsia="pt-PT"/>
        </w:rPr>
        <w:t>月</w:t>
      </w:r>
      <w:r>
        <w:rPr>
          <w:lang w:eastAsia="pt-PT"/>
        </w:rPr>
        <w:t>29</w:t>
      </w:r>
      <w:r>
        <w:rPr>
          <w:rFonts w:hint="eastAsia"/>
          <w:lang w:eastAsia="pt-PT"/>
        </w:rPr>
        <w:t>日</w:t>
      </w:r>
      <w:r>
        <w:rPr>
          <w:rFonts w:hint="eastAsia"/>
        </w:rPr>
        <w:t>《</w:t>
      </w:r>
      <w:r>
        <w:rPr>
          <w:rFonts w:hint="eastAsia"/>
          <w:lang w:eastAsia="pt-PT"/>
        </w:rPr>
        <w:t>第</w:t>
      </w:r>
      <w:r>
        <w:rPr>
          <w:lang w:eastAsia="pt-PT"/>
        </w:rPr>
        <w:t>1/2019</w:t>
      </w:r>
      <w:r>
        <w:rPr>
          <w:rFonts w:hint="eastAsia"/>
          <w:lang w:eastAsia="pt-PT"/>
        </w:rPr>
        <w:t>号组织法</w:t>
      </w:r>
      <w:r>
        <w:rPr>
          <w:rFonts w:hint="eastAsia"/>
        </w:rPr>
        <w:t>》</w:t>
      </w:r>
      <w:r>
        <w:rPr>
          <w:rFonts w:hint="eastAsia"/>
          <w:lang w:eastAsia="pt-PT"/>
        </w:rPr>
        <w:t>，</w:t>
      </w:r>
      <w:r>
        <w:rPr>
          <w:rFonts w:hint="eastAsia"/>
        </w:rPr>
        <w:t>该法</w:t>
      </w:r>
      <w:r>
        <w:rPr>
          <w:rFonts w:hint="eastAsia"/>
          <w:lang w:eastAsia="pt-PT"/>
        </w:rPr>
        <w:t>将国家和欧洲议会、</w:t>
      </w:r>
      <w:r>
        <w:rPr>
          <w:rFonts w:hint="eastAsia"/>
        </w:rPr>
        <w:t>市政选举机构和教区委员会成员选举名单中妇女人数的最低门槛从</w:t>
      </w:r>
      <w:r>
        <w:rPr>
          <w:lang w:eastAsia="pt-PT"/>
        </w:rPr>
        <w:t>33.3%</w:t>
      </w:r>
      <w:r>
        <w:rPr>
          <w:rFonts w:hint="eastAsia"/>
          <w:lang w:eastAsia="pt-PT"/>
        </w:rPr>
        <w:t>提高到</w:t>
      </w:r>
      <w:r>
        <w:rPr>
          <w:lang w:eastAsia="pt-PT"/>
        </w:rPr>
        <w:t>40%</w:t>
      </w:r>
      <w:r>
        <w:rPr>
          <w:rFonts w:hint="eastAsia"/>
          <w:lang w:eastAsia="pt-PT"/>
        </w:rPr>
        <w:t>；</w:t>
      </w:r>
    </w:p>
    <w:p w:rsidR="009D4A5F" w:rsidRDefault="009D4A5F" w:rsidP="006E48B9">
      <w:pPr>
        <w:pStyle w:val="SingleTxtGC"/>
        <w:tabs>
          <w:tab w:val="clear" w:pos="431"/>
          <w:tab w:val="clear" w:pos="1134"/>
          <w:tab w:val="clear" w:pos="1565"/>
          <w:tab w:val="clear" w:pos="1996"/>
          <w:tab w:val="clear" w:pos="2427"/>
          <w:tab w:val="left" w:pos="1701"/>
        </w:tabs>
        <w:rPr>
          <w:lang w:eastAsia="pt-PT"/>
        </w:rPr>
      </w:pPr>
      <w:r>
        <w:rPr>
          <w:lang w:eastAsia="pt-PT"/>
        </w:rPr>
        <w:tab/>
        <w:t>(c)</w:t>
      </w:r>
      <w:r>
        <w:rPr>
          <w:lang w:eastAsia="pt-PT"/>
        </w:rPr>
        <w:tab/>
        <w:t>2019</w:t>
      </w:r>
      <w:r>
        <w:rPr>
          <w:rFonts w:hint="eastAsia"/>
          <w:lang w:eastAsia="pt-PT"/>
        </w:rPr>
        <w:t>年</w:t>
      </w:r>
      <w:r>
        <w:rPr>
          <w:lang w:eastAsia="pt-PT"/>
        </w:rPr>
        <w:t>3</w:t>
      </w:r>
      <w:r>
        <w:rPr>
          <w:rFonts w:hint="eastAsia"/>
          <w:lang w:eastAsia="pt-PT"/>
        </w:rPr>
        <w:t>月</w:t>
      </w:r>
      <w:r>
        <w:rPr>
          <w:lang w:eastAsia="pt-PT"/>
        </w:rPr>
        <w:t>28</w:t>
      </w:r>
      <w:r>
        <w:rPr>
          <w:rFonts w:hint="eastAsia"/>
          <w:lang w:eastAsia="pt-PT"/>
        </w:rPr>
        <w:t>日</w:t>
      </w:r>
      <w:r>
        <w:rPr>
          <w:rFonts w:hint="eastAsia"/>
        </w:rPr>
        <w:t>《</w:t>
      </w:r>
      <w:r>
        <w:rPr>
          <w:rFonts w:hint="eastAsia"/>
          <w:lang w:eastAsia="pt-PT"/>
        </w:rPr>
        <w:t>第</w:t>
      </w:r>
      <w:r>
        <w:rPr>
          <w:lang w:eastAsia="pt-PT"/>
        </w:rPr>
        <w:t>26/2019</w:t>
      </w:r>
      <w:r>
        <w:rPr>
          <w:rFonts w:hint="eastAsia"/>
          <w:lang w:eastAsia="pt-PT"/>
        </w:rPr>
        <w:t>号法</w:t>
      </w:r>
      <w:r>
        <w:rPr>
          <w:rFonts w:hint="eastAsia"/>
        </w:rPr>
        <w:t>》</w:t>
      </w:r>
      <w:r>
        <w:rPr>
          <w:rFonts w:hint="eastAsia"/>
          <w:lang w:eastAsia="pt-PT"/>
        </w:rPr>
        <w:t>，该法规定在公共行政部门、</w:t>
      </w:r>
      <w:r>
        <w:rPr>
          <w:rFonts w:hint="eastAsia"/>
        </w:rPr>
        <w:t>公立</w:t>
      </w:r>
      <w:r>
        <w:rPr>
          <w:rFonts w:hint="eastAsia"/>
          <w:lang w:eastAsia="pt-PT"/>
        </w:rPr>
        <w:t>高等教育机构和公共协会的高级公务员中，妇女</w:t>
      </w:r>
      <w:r>
        <w:rPr>
          <w:rFonts w:hint="eastAsia"/>
        </w:rPr>
        <w:t>至少占</w:t>
      </w:r>
      <w:r>
        <w:rPr>
          <w:lang w:eastAsia="pt-PT"/>
        </w:rPr>
        <w:t>40%</w:t>
      </w:r>
      <w:r>
        <w:rPr>
          <w:rFonts w:hint="eastAsia"/>
        </w:rPr>
        <w:t>的门槛</w:t>
      </w:r>
      <w:r>
        <w:rPr>
          <w:rFonts w:hint="eastAsia"/>
          <w:lang w:eastAsia="pt-PT"/>
        </w:rPr>
        <w:t>；</w:t>
      </w:r>
    </w:p>
    <w:p w:rsidR="009D4A5F" w:rsidRDefault="009D4A5F" w:rsidP="006E48B9">
      <w:pPr>
        <w:pStyle w:val="SingleTxtGC"/>
        <w:tabs>
          <w:tab w:val="clear" w:pos="431"/>
          <w:tab w:val="clear" w:pos="1134"/>
          <w:tab w:val="clear" w:pos="1565"/>
          <w:tab w:val="clear" w:pos="1996"/>
          <w:tab w:val="clear" w:pos="2427"/>
          <w:tab w:val="left" w:pos="1701"/>
        </w:tabs>
        <w:rPr>
          <w:lang w:val="en-GB"/>
        </w:rPr>
      </w:pPr>
      <w:r>
        <w:rPr>
          <w:lang w:eastAsia="pt-PT"/>
        </w:rPr>
        <w:tab/>
        <w:t>(d)</w:t>
      </w:r>
      <w:r>
        <w:rPr>
          <w:lang w:eastAsia="pt-PT"/>
        </w:rPr>
        <w:tab/>
      </w:r>
      <w:r>
        <w:rPr>
          <w:rFonts w:hint="eastAsia"/>
        </w:rPr>
        <w:t>关于男女同性恋、双性恋、跨性别者和双性者权利的</w:t>
      </w:r>
      <w:r>
        <w:t>2018</w:t>
      </w:r>
      <w:r>
        <w:rPr>
          <w:rFonts w:hint="eastAsia"/>
        </w:rPr>
        <w:t>年</w:t>
      </w:r>
      <w:r>
        <w:t>8</w:t>
      </w:r>
      <w:r>
        <w:rPr>
          <w:rFonts w:hint="eastAsia"/>
        </w:rPr>
        <w:t>月</w:t>
      </w:r>
      <w:r>
        <w:t>7</w:t>
      </w:r>
      <w:r>
        <w:rPr>
          <w:rFonts w:hint="eastAsia"/>
        </w:rPr>
        <w:t>日《第</w:t>
      </w:r>
      <w:r>
        <w:t>38/2018</w:t>
      </w:r>
      <w:r>
        <w:rPr>
          <w:rFonts w:hint="eastAsia"/>
        </w:rPr>
        <w:t>号法》；</w:t>
      </w:r>
    </w:p>
    <w:p w:rsidR="009D4A5F" w:rsidRDefault="009D4A5F" w:rsidP="006E48B9">
      <w:pPr>
        <w:pStyle w:val="SingleTxtGC"/>
        <w:tabs>
          <w:tab w:val="clear" w:pos="431"/>
          <w:tab w:val="clear" w:pos="1134"/>
          <w:tab w:val="clear" w:pos="1565"/>
          <w:tab w:val="clear" w:pos="1996"/>
          <w:tab w:val="clear" w:pos="2427"/>
          <w:tab w:val="left" w:pos="1701"/>
        </w:tabs>
      </w:pPr>
      <w:r>
        <w:lastRenderedPageBreak/>
        <w:tab/>
        <w:t>(e)</w:t>
      </w:r>
      <w:r>
        <w:tab/>
      </w:r>
      <w:r>
        <w:rPr>
          <w:rFonts w:hint="eastAsia"/>
        </w:rPr>
        <w:t>关于防止、禁止和打击基于种族和族裔出身、肤色、国籍、血统以及原籍地的歧视的</w:t>
      </w:r>
      <w:r>
        <w:t>2017</w:t>
      </w:r>
      <w:r>
        <w:rPr>
          <w:rFonts w:hint="eastAsia"/>
        </w:rPr>
        <w:t>年</w:t>
      </w:r>
      <w:r>
        <w:t>8</w:t>
      </w:r>
      <w:r>
        <w:rPr>
          <w:rFonts w:hint="eastAsia"/>
        </w:rPr>
        <w:t>月</w:t>
      </w:r>
      <w:r>
        <w:t>23</w:t>
      </w:r>
      <w:r>
        <w:rPr>
          <w:rFonts w:hint="eastAsia"/>
        </w:rPr>
        <w:t>日《第</w:t>
      </w:r>
      <w:r>
        <w:t>93/2017</w:t>
      </w:r>
      <w:r>
        <w:rPr>
          <w:rFonts w:hint="eastAsia"/>
        </w:rPr>
        <w:t>号法》；</w:t>
      </w:r>
    </w:p>
    <w:p w:rsidR="009D4A5F" w:rsidRDefault="009D4A5F" w:rsidP="006E48B9">
      <w:pPr>
        <w:pStyle w:val="SingleTxtGC"/>
        <w:tabs>
          <w:tab w:val="clear" w:pos="431"/>
          <w:tab w:val="clear" w:pos="1134"/>
          <w:tab w:val="clear" w:pos="1565"/>
          <w:tab w:val="clear" w:pos="1996"/>
          <w:tab w:val="clear" w:pos="2427"/>
          <w:tab w:val="left" w:pos="1701"/>
        </w:tabs>
      </w:pPr>
      <w:r>
        <w:tab/>
        <w:t>(f)</w:t>
      </w:r>
      <w:r>
        <w:tab/>
        <w:t>2017</w:t>
      </w:r>
      <w:r>
        <w:rPr>
          <w:rFonts w:hint="eastAsia"/>
        </w:rPr>
        <w:t>年</w:t>
      </w:r>
      <w:r>
        <w:t>8</w:t>
      </w:r>
      <w:r>
        <w:rPr>
          <w:rFonts w:hint="eastAsia"/>
        </w:rPr>
        <w:t>月</w:t>
      </w:r>
      <w:r>
        <w:t>23</w:t>
      </w:r>
      <w:r>
        <w:rPr>
          <w:rFonts w:hint="eastAsia"/>
        </w:rPr>
        <w:t>日《第</w:t>
      </w:r>
      <w:r>
        <w:t>94/2017</w:t>
      </w:r>
      <w:r>
        <w:rPr>
          <w:rFonts w:hint="eastAsia"/>
        </w:rPr>
        <w:t>号法》，该法律规定了一种可能的监禁方式，即通过以电子监测方式进行的软禁执行最高两年的监禁；</w:t>
      </w:r>
    </w:p>
    <w:p w:rsidR="009D4A5F" w:rsidRDefault="009D4A5F" w:rsidP="006E48B9">
      <w:pPr>
        <w:pStyle w:val="SingleTxtGC"/>
        <w:tabs>
          <w:tab w:val="clear" w:pos="431"/>
          <w:tab w:val="clear" w:pos="1134"/>
          <w:tab w:val="clear" w:pos="1565"/>
          <w:tab w:val="clear" w:pos="1996"/>
          <w:tab w:val="clear" w:pos="2427"/>
          <w:tab w:val="left" w:pos="1701"/>
        </w:tabs>
        <w:rPr>
          <w:color w:val="000000" w:themeColor="text1"/>
        </w:rPr>
      </w:pPr>
      <w:r>
        <w:tab/>
        <w:t>(g)</w:t>
      </w:r>
      <w:r>
        <w:tab/>
      </w:r>
      <w:r>
        <w:rPr>
          <w:rFonts w:hint="eastAsia"/>
          <w:color w:val="000000" w:themeColor="text1"/>
        </w:rPr>
        <w:t>预防和打击暴力侵害妇女行为和家庭暴力行动计划</w:t>
      </w:r>
      <w:r>
        <w:rPr>
          <w:color w:val="000000" w:themeColor="text1"/>
        </w:rPr>
        <w:t>(2018-2030</w:t>
      </w:r>
      <w:r>
        <w:rPr>
          <w:rFonts w:hint="eastAsia"/>
          <w:color w:val="000000" w:themeColor="text1"/>
        </w:rPr>
        <w:t>年</w:t>
      </w:r>
      <w:r>
        <w:rPr>
          <w:color w:val="000000" w:themeColor="text1"/>
        </w:rPr>
        <w:t>)</w:t>
      </w:r>
      <w:r>
        <w:rPr>
          <w:rFonts w:hint="eastAsia"/>
          <w:color w:val="000000" w:themeColor="text1"/>
        </w:rPr>
        <w:t>。</w:t>
      </w:r>
    </w:p>
    <w:p w:rsidR="009D4A5F" w:rsidRDefault="009D4A5F" w:rsidP="00E3254F">
      <w:pPr>
        <w:pStyle w:val="H1GC"/>
        <w:tabs>
          <w:tab w:val="left" w:pos="1560"/>
        </w:tabs>
      </w:pPr>
      <w:r>
        <w:tab/>
        <w:t>C.</w:t>
      </w:r>
      <w:r>
        <w:tab/>
      </w:r>
      <w:r>
        <w:rPr>
          <w:rFonts w:hint="eastAsia"/>
        </w:rPr>
        <w:t>关注的主要问题及建议</w:t>
      </w:r>
    </w:p>
    <w:p w:rsidR="009D4A5F" w:rsidRDefault="009D4A5F" w:rsidP="00E3254F">
      <w:pPr>
        <w:pStyle w:val="H23GC"/>
        <w:tabs>
          <w:tab w:val="left" w:pos="1560"/>
        </w:tabs>
      </w:pPr>
      <w:r>
        <w:tab/>
      </w:r>
      <w:r>
        <w:tab/>
      </w:r>
      <w:r>
        <w:rPr>
          <w:rFonts w:hint="eastAsia"/>
        </w:rPr>
        <w:t>执行《公约》及其任择议定书</w:t>
      </w:r>
    </w:p>
    <w:p w:rsidR="009D4A5F" w:rsidRDefault="009D4A5F" w:rsidP="001118BA">
      <w:pPr>
        <w:pStyle w:val="SingleTxtGC"/>
        <w:tabs>
          <w:tab w:val="clear" w:pos="431"/>
          <w:tab w:val="clear" w:pos="1134"/>
          <w:tab w:val="clear" w:pos="1565"/>
          <w:tab w:val="clear" w:pos="1996"/>
          <w:tab w:val="clear" w:pos="2427"/>
          <w:tab w:val="left" w:pos="1701"/>
        </w:tabs>
        <w:rPr>
          <w:color w:val="000000" w:themeColor="text1"/>
        </w:rPr>
      </w:pPr>
      <w:r>
        <w:rPr>
          <w:color w:val="000000" w:themeColor="text1"/>
        </w:rPr>
        <w:t>4.</w:t>
      </w:r>
      <w:r>
        <w:rPr>
          <w:color w:val="000000" w:themeColor="text1"/>
        </w:rPr>
        <w:tab/>
      </w:r>
      <w:r w:rsidRPr="00E3254F">
        <w:rPr>
          <w:rFonts w:hint="eastAsia"/>
        </w:rPr>
        <w:t>委员会</w:t>
      </w:r>
      <w:r>
        <w:rPr>
          <w:rFonts w:hint="eastAsia"/>
          <w:color w:val="000000" w:themeColor="text1"/>
        </w:rPr>
        <w:t>注意到，法院在审查国内案件时援引了《公约》的条款。委员会注意到《宪法》第</w:t>
      </w:r>
      <w:r>
        <w:rPr>
          <w:color w:val="000000" w:themeColor="text1"/>
        </w:rPr>
        <w:t>8</w:t>
      </w:r>
      <w:r>
        <w:rPr>
          <w:rFonts w:hint="eastAsia"/>
          <w:color w:val="000000" w:themeColor="text1"/>
        </w:rPr>
        <w:t>条第</w:t>
      </w:r>
      <w:r>
        <w:rPr>
          <w:color w:val="000000" w:themeColor="text1"/>
        </w:rPr>
        <w:t>2</w:t>
      </w:r>
      <w:r>
        <w:rPr>
          <w:rFonts w:hint="eastAsia"/>
          <w:color w:val="000000" w:themeColor="text1"/>
        </w:rPr>
        <w:t>款规定，经批准的国际公约在国内法中生效，但委员会感到关切的是，国内立法与《公约》第十四条第三款</w:t>
      </w:r>
      <w:r>
        <w:rPr>
          <w:color w:val="000000" w:themeColor="text1"/>
        </w:rPr>
        <w:t>(</w:t>
      </w:r>
      <w:r>
        <w:rPr>
          <w:rFonts w:hint="eastAsia"/>
          <w:color w:val="000000" w:themeColor="text1"/>
        </w:rPr>
        <w:t>卯</w:t>
      </w:r>
      <w:r>
        <w:rPr>
          <w:color w:val="000000" w:themeColor="text1"/>
        </w:rPr>
        <w:t>)</w:t>
      </w:r>
      <w:r>
        <w:rPr>
          <w:rFonts w:hint="eastAsia"/>
          <w:color w:val="000000" w:themeColor="text1"/>
        </w:rPr>
        <w:t>项和第五款。在这方面，委员会注意到代表团提供的解释，即《公约》第十四条第五款所载的由一个较高级法庭对其定罪进行复审的权利已经提交宪法法院，正在等待宪法法院作出决定。然而，委员会对缔约国对执行《公约》第十四条第三款</w:t>
      </w:r>
      <w:r>
        <w:rPr>
          <w:color w:val="000000" w:themeColor="text1"/>
        </w:rPr>
        <w:t>(</w:t>
      </w:r>
      <w:r>
        <w:rPr>
          <w:rFonts w:hint="eastAsia"/>
          <w:color w:val="000000" w:themeColor="text1"/>
        </w:rPr>
        <w:t>卯</w:t>
      </w:r>
      <w:r>
        <w:rPr>
          <w:color w:val="000000" w:themeColor="text1"/>
        </w:rPr>
        <w:t>)</w:t>
      </w:r>
      <w:r>
        <w:rPr>
          <w:rFonts w:hint="eastAsia"/>
          <w:color w:val="000000" w:themeColor="text1"/>
        </w:rPr>
        <w:t>项的现有立场感到遗憾，这是委员会在</w:t>
      </w:r>
      <w:r>
        <w:rPr>
          <w:color w:val="000000" w:themeColor="text1"/>
        </w:rPr>
        <w:t>2006</w:t>
      </w:r>
      <w:r>
        <w:rPr>
          <w:rFonts w:hint="eastAsia"/>
          <w:color w:val="000000" w:themeColor="text1"/>
        </w:rPr>
        <w:t>年</w:t>
      </w:r>
      <w:r>
        <w:rPr>
          <w:color w:val="000000" w:themeColor="text1"/>
        </w:rPr>
        <w:t>3</w:t>
      </w:r>
      <w:r>
        <w:rPr>
          <w:rFonts w:hint="eastAsia"/>
          <w:color w:val="000000" w:themeColor="text1"/>
        </w:rPr>
        <w:t>月通过的第</w:t>
      </w:r>
      <w:r>
        <w:rPr>
          <w:color w:val="000000" w:themeColor="text1"/>
        </w:rPr>
        <w:t>1123/2002 (Correia de Matos)</w:t>
      </w:r>
      <w:r>
        <w:rPr>
          <w:rFonts w:hint="eastAsia"/>
          <w:color w:val="000000" w:themeColor="text1"/>
        </w:rPr>
        <w:t>号来文</w:t>
      </w:r>
      <w:r>
        <w:rPr>
          <w:color w:val="000000" w:themeColor="text1"/>
        </w:rPr>
        <w:t>(CCPR/C/86/D/1123/2002</w:t>
      </w:r>
      <w:r>
        <w:rPr>
          <w:rFonts w:hint="eastAsia"/>
          <w:color w:val="000000" w:themeColor="text1"/>
        </w:rPr>
        <w:t>和</w:t>
      </w:r>
      <w:r>
        <w:rPr>
          <w:color w:val="000000" w:themeColor="text1"/>
        </w:rPr>
        <w:t>Rev.1)</w:t>
      </w:r>
      <w:r>
        <w:rPr>
          <w:rFonts w:hint="eastAsia"/>
          <w:color w:val="000000" w:themeColor="text1"/>
        </w:rPr>
        <w:t>中的意见所涉的对象</w:t>
      </w:r>
      <w:r>
        <w:rPr>
          <w:color w:val="000000" w:themeColor="text1"/>
        </w:rPr>
        <w:t>(</w:t>
      </w:r>
      <w:r>
        <w:rPr>
          <w:rFonts w:hint="eastAsia"/>
          <w:color w:val="000000" w:themeColor="text1"/>
        </w:rPr>
        <w:t>第二条</w:t>
      </w:r>
      <w:r>
        <w:rPr>
          <w:color w:val="000000" w:themeColor="text1"/>
        </w:rPr>
        <w:t>)</w:t>
      </w:r>
      <w:r>
        <w:rPr>
          <w:rFonts w:hint="eastAsia"/>
          <w:color w:val="000000" w:themeColor="text1"/>
        </w:rPr>
        <w:t>。</w:t>
      </w:r>
    </w:p>
    <w:p w:rsidR="009D4A5F" w:rsidRPr="00CA6F80" w:rsidRDefault="009D4A5F" w:rsidP="006E48B9">
      <w:pPr>
        <w:pStyle w:val="SingleTxtGC"/>
        <w:tabs>
          <w:tab w:val="clear" w:pos="431"/>
          <w:tab w:val="clear" w:pos="1134"/>
          <w:tab w:val="clear" w:pos="1565"/>
          <w:tab w:val="clear" w:pos="1996"/>
          <w:tab w:val="clear" w:pos="2427"/>
          <w:tab w:val="left" w:pos="1701"/>
        </w:tabs>
        <w:rPr>
          <w:rFonts w:eastAsia="黑体"/>
        </w:rPr>
      </w:pPr>
      <w:r w:rsidRPr="00CA6F80">
        <w:rPr>
          <w:rFonts w:eastAsia="黑体"/>
        </w:rPr>
        <w:t>5.</w:t>
      </w:r>
      <w:r w:rsidR="00CA6F80" w:rsidRPr="00CA6F80">
        <w:rPr>
          <w:rFonts w:eastAsia="黑体"/>
        </w:rPr>
        <w:tab/>
      </w:r>
      <w:r w:rsidRPr="00CA6F80">
        <w:rPr>
          <w:rFonts w:eastAsia="黑体" w:hint="eastAsia"/>
        </w:rPr>
        <w:t>缔约国应采取一切必要的体制和立法措施，确保在国内法律制度中充分落实《公约》保护的权利，并确保充分落实委员会通过的结论性意见和来文意见，以便根据《公约》第二条第二和第三款，保障在发生违反《公约》的情况下受害者获得有效补救的权利。缔约国应考虑修订其立法，以确保与《公约》第十四条第三款</w:t>
      </w:r>
      <w:r w:rsidRPr="00CA6F80">
        <w:rPr>
          <w:rFonts w:eastAsia="黑体"/>
        </w:rPr>
        <w:t>(</w:t>
      </w:r>
      <w:r w:rsidRPr="00CA6F80">
        <w:rPr>
          <w:rFonts w:eastAsia="黑体" w:hint="eastAsia"/>
        </w:rPr>
        <w:t>卯</w:t>
      </w:r>
      <w:r w:rsidRPr="00CA6F80">
        <w:rPr>
          <w:rFonts w:eastAsia="黑体"/>
        </w:rPr>
        <w:t>)</w:t>
      </w:r>
      <w:r w:rsidRPr="00CA6F80">
        <w:rPr>
          <w:rFonts w:eastAsia="黑体" w:hint="eastAsia"/>
        </w:rPr>
        <w:t>项和第五款。缔约国应继续努力向律师、检察官、法官、执法人员和公众宣传《公约》及其《任择议定书》，并为他们提供这方面的教育。</w:t>
      </w:r>
    </w:p>
    <w:p w:rsidR="009D4A5F" w:rsidRDefault="009D4A5F" w:rsidP="00E3254F">
      <w:pPr>
        <w:pStyle w:val="H23GC"/>
        <w:tabs>
          <w:tab w:val="left" w:pos="1560"/>
        </w:tabs>
      </w:pPr>
      <w:r>
        <w:rPr>
          <w:color w:val="FF0000"/>
        </w:rPr>
        <w:tab/>
      </w:r>
      <w:r>
        <w:rPr>
          <w:color w:val="FF0000"/>
        </w:rPr>
        <w:tab/>
      </w:r>
      <w:r>
        <w:rPr>
          <w:rFonts w:hint="eastAsia"/>
        </w:rPr>
        <w:t>国家人权机构</w:t>
      </w:r>
    </w:p>
    <w:p w:rsidR="009D4A5F" w:rsidRDefault="009D4A5F" w:rsidP="006E48B9">
      <w:pPr>
        <w:pStyle w:val="SingleTxtGC"/>
        <w:tabs>
          <w:tab w:val="clear" w:pos="431"/>
          <w:tab w:val="clear" w:pos="1134"/>
          <w:tab w:val="clear" w:pos="1565"/>
          <w:tab w:val="clear" w:pos="1996"/>
          <w:tab w:val="clear" w:pos="2427"/>
          <w:tab w:val="left" w:pos="1701"/>
        </w:tabs>
        <w:rPr>
          <w:color w:val="000000" w:themeColor="text1"/>
        </w:rPr>
      </w:pPr>
      <w:r>
        <w:rPr>
          <w:color w:val="000000" w:themeColor="text1"/>
        </w:rPr>
        <w:t>6.</w:t>
      </w:r>
      <w:r>
        <w:rPr>
          <w:color w:val="000000" w:themeColor="text1"/>
        </w:rPr>
        <w:tab/>
      </w:r>
      <w:r>
        <w:rPr>
          <w:rFonts w:hint="eastAsia"/>
          <w:color w:val="000000" w:themeColor="text1"/>
        </w:rPr>
        <w:t>委员会欢迎葡萄牙监察员办公室获得</w:t>
      </w:r>
      <w:r>
        <w:rPr>
          <w:color w:val="000000" w:themeColor="text1"/>
        </w:rPr>
        <w:t>A</w:t>
      </w:r>
      <w:r>
        <w:rPr>
          <w:rFonts w:hint="eastAsia"/>
          <w:color w:val="000000" w:themeColor="text1"/>
        </w:rPr>
        <w:t>类地位，但感到关切的是，有报告称，该办公室缺乏有效履行任务所需的财政资源</w:t>
      </w:r>
      <w:r>
        <w:rPr>
          <w:color w:val="000000" w:themeColor="text1"/>
        </w:rPr>
        <w:t>(</w:t>
      </w:r>
      <w:r>
        <w:rPr>
          <w:rFonts w:hint="eastAsia"/>
          <w:color w:val="000000" w:themeColor="text1"/>
        </w:rPr>
        <w:t>第二条</w:t>
      </w:r>
      <w:r>
        <w:rPr>
          <w:color w:val="000000" w:themeColor="text1"/>
        </w:rPr>
        <w:t>)</w:t>
      </w:r>
      <w:r>
        <w:rPr>
          <w:rFonts w:hint="eastAsia"/>
          <w:color w:val="000000" w:themeColor="text1"/>
        </w:rPr>
        <w:t>。</w:t>
      </w:r>
    </w:p>
    <w:p w:rsidR="009D4A5F" w:rsidRPr="00A91497" w:rsidRDefault="009D4A5F" w:rsidP="006E48B9">
      <w:pPr>
        <w:pStyle w:val="SingleTxtGC"/>
        <w:tabs>
          <w:tab w:val="clear" w:pos="431"/>
          <w:tab w:val="clear" w:pos="1134"/>
          <w:tab w:val="clear" w:pos="1565"/>
          <w:tab w:val="clear" w:pos="1996"/>
          <w:tab w:val="clear" w:pos="2427"/>
          <w:tab w:val="left" w:pos="1701"/>
        </w:tabs>
        <w:rPr>
          <w:rFonts w:eastAsia="黑体"/>
        </w:rPr>
      </w:pPr>
      <w:r w:rsidRPr="00A91497">
        <w:rPr>
          <w:rFonts w:eastAsia="黑体"/>
        </w:rPr>
        <w:t>7.</w:t>
      </w:r>
      <w:r w:rsidRPr="00A91497">
        <w:rPr>
          <w:rFonts w:eastAsia="黑体"/>
        </w:rPr>
        <w:tab/>
      </w:r>
      <w:r w:rsidRPr="00A91497">
        <w:rPr>
          <w:rFonts w:eastAsia="黑体" w:hint="eastAsia"/>
        </w:rPr>
        <w:t>缔约国应审查葡萄牙监察员办公室的财政资源需求，并确保其拥有有效和独立履行任务所需的财政资源。</w:t>
      </w:r>
    </w:p>
    <w:p w:rsidR="009D4A5F" w:rsidRPr="00A91497" w:rsidRDefault="009D4A5F" w:rsidP="00933F29">
      <w:pPr>
        <w:pStyle w:val="H23GC"/>
      </w:pPr>
      <w:r w:rsidRPr="00A91497">
        <w:tab/>
      </w:r>
      <w:r w:rsidRPr="00A91497">
        <w:tab/>
      </w:r>
      <w:r w:rsidRPr="00A91497">
        <w:rPr>
          <w:rFonts w:hint="eastAsia"/>
        </w:rPr>
        <w:t>反腐败措施</w:t>
      </w:r>
    </w:p>
    <w:p w:rsidR="009D4A5F" w:rsidRDefault="009D4A5F" w:rsidP="006E48B9">
      <w:pPr>
        <w:pStyle w:val="SingleTxtGC"/>
        <w:tabs>
          <w:tab w:val="clear" w:pos="431"/>
          <w:tab w:val="clear" w:pos="1134"/>
          <w:tab w:val="clear" w:pos="1565"/>
          <w:tab w:val="clear" w:pos="1996"/>
          <w:tab w:val="clear" w:pos="2427"/>
          <w:tab w:val="left" w:pos="1701"/>
        </w:tabs>
        <w:rPr>
          <w:color w:val="000000" w:themeColor="text1"/>
        </w:rPr>
      </w:pPr>
      <w:r>
        <w:rPr>
          <w:color w:val="000000" w:themeColor="text1"/>
        </w:rPr>
        <w:t>8.</w:t>
      </w:r>
      <w:r>
        <w:rPr>
          <w:color w:val="000000" w:themeColor="text1"/>
        </w:rPr>
        <w:tab/>
      </w:r>
      <w:r>
        <w:rPr>
          <w:rFonts w:hint="eastAsia"/>
          <w:color w:val="000000" w:themeColor="text1"/>
        </w:rPr>
        <w:t>委员会赞赏缔约国提供的关于为预防和打击腐败而采取的立法、体制和执法措施的资料，但对缔约国最近涉及高层腐败案件的丑闻感到关切</w:t>
      </w:r>
      <w:r>
        <w:rPr>
          <w:color w:val="000000" w:themeColor="text1"/>
        </w:rPr>
        <w:t>(</w:t>
      </w:r>
      <w:r>
        <w:rPr>
          <w:rFonts w:hint="eastAsia"/>
          <w:color w:val="000000" w:themeColor="text1"/>
        </w:rPr>
        <w:t>第一、第二和第二十五条</w:t>
      </w:r>
      <w:r>
        <w:rPr>
          <w:color w:val="000000" w:themeColor="text1"/>
        </w:rPr>
        <w:t>)</w:t>
      </w:r>
      <w:r>
        <w:rPr>
          <w:rFonts w:hint="eastAsia"/>
          <w:color w:val="000000" w:themeColor="text1"/>
        </w:rPr>
        <w:t>。</w:t>
      </w:r>
    </w:p>
    <w:p w:rsidR="009D4A5F" w:rsidRPr="00A91497" w:rsidRDefault="009D4A5F" w:rsidP="006E48B9">
      <w:pPr>
        <w:pStyle w:val="SingleTxtGC"/>
        <w:tabs>
          <w:tab w:val="clear" w:pos="431"/>
          <w:tab w:val="clear" w:pos="1134"/>
          <w:tab w:val="clear" w:pos="1565"/>
          <w:tab w:val="clear" w:pos="1996"/>
          <w:tab w:val="clear" w:pos="2427"/>
          <w:tab w:val="left" w:pos="1701"/>
        </w:tabs>
        <w:rPr>
          <w:rFonts w:eastAsia="黑体"/>
        </w:rPr>
      </w:pPr>
      <w:r w:rsidRPr="00A91497">
        <w:rPr>
          <w:rFonts w:eastAsia="黑体"/>
        </w:rPr>
        <w:t>9.</w:t>
      </w:r>
      <w:r w:rsidRPr="00A91497">
        <w:rPr>
          <w:rFonts w:eastAsia="黑体"/>
        </w:rPr>
        <w:tab/>
      </w:r>
      <w:r w:rsidRPr="00A91497">
        <w:rPr>
          <w:rFonts w:eastAsia="黑体" w:hint="eastAsia"/>
        </w:rPr>
        <w:t>缔约国应继续努力，包括通过国际合作和有效执行立法和预防措施，打击腐败，促进善治、透明度和问责制。缔约国应向执法机构、检察官和法官提供有关发现、调查和起诉腐败以及加强处理腐败案件的执法机构和检察官的业务和结构独立性和专业化的相关培训，以便能够调查复杂的高层腐败案件。</w:t>
      </w:r>
    </w:p>
    <w:p w:rsidR="00DF51BA" w:rsidRDefault="00DF51BA">
      <w:pPr>
        <w:tabs>
          <w:tab w:val="clear" w:pos="431"/>
        </w:tabs>
        <w:overflowPunct/>
        <w:adjustRightInd/>
        <w:snapToGrid/>
        <w:spacing w:line="240" w:lineRule="auto"/>
        <w:jc w:val="left"/>
        <w:rPr>
          <w:rFonts w:eastAsia="黑体"/>
          <w:snapToGrid/>
          <w:sz w:val="22"/>
          <w:szCs w:val="22"/>
        </w:rPr>
      </w:pPr>
      <w:r>
        <w:br w:type="page"/>
      </w:r>
    </w:p>
    <w:p w:rsidR="009D4A5F" w:rsidRDefault="009D4A5F" w:rsidP="00933F29">
      <w:pPr>
        <w:pStyle w:val="H23GC"/>
        <w:rPr>
          <w:b/>
        </w:rPr>
      </w:pPr>
      <w:r>
        <w:tab/>
      </w:r>
      <w:r>
        <w:tab/>
      </w:r>
      <w:r>
        <w:rPr>
          <w:rFonts w:hint="eastAsia"/>
        </w:rPr>
        <w:t>反歧视法律框架</w:t>
      </w:r>
    </w:p>
    <w:p w:rsidR="009D4A5F" w:rsidRDefault="009D4A5F" w:rsidP="006E48B9">
      <w:pPr>
        <w:pStyle w:val="SingleTxtGC"/>
        <w:tabs>
          <w:tab w:val="clear" w:pos="431"/>
          <w:tab w:val="clear" w:pos="1134"/>
          <w:tab w:val="clear" w:pos="1565"/>
          <w:tab w:val="clear" w:pos="1996"/>
          <w:tab w:val="clear" w:pos="2427"/>
          <w:tab w:val="left" w:pos="1701"/>
        </w:tabs>
      </w:pPr>
      <w:bookmarkStart w:id="0" w:name="_Hlk38615504"/>
      <w:r>
        <w:t>10.</w:t>
      </w:r>
      <w:r>
        <w:tab/>
      </w:r>
      <w:bookmarkEnd w:id="0"/>
      <w:r w:rsidRPr="00933F29">
        <w:rPr>
          <w:rFonts w:hint="eastAsia"/>
          <w:color w:val="000000" w:themeColor="text1"/>
        </w:rPr>
        <w:t>尽管</w:t>
      </w:r>
      <w:r>
        <w:rPr>
          <w:rFonts w:hint="eastAsia"/>
        </w:rPr>
        <w:t>代表团提供了解释，但委员会关切地注意到，将歧视定为刑事犯罪的《刑法》第</w:t>
      </w:r>
      <w:r>
        <w:t>240</w:t>
      </w:r>
      <w:r>
        <w:rPr>
          <w:rFonts w:hint="eastAsia"/>
        </w:rPr>
        <w:t>条将犯罪范围限制为“有组织的宣传活动”，并不包括煽动歧</w:t>
      </w:r>
      <w:r>
        <w:rPr>
          <w:rFonts w:hint="eastAsia"/>
        </w:rPr>
        <w:lastRenderedPageBreak/>
        <w:t>视。委员会还注意到，第</w:t>
      </w:r>
      <w:r>
        <w:t>240</w:t>
      </w:r>
      <w:r>
        <w:rPr>
          <w:rFonts w:hint="eastAsia"/>
        </w:rPr>
        <w:t>条没有按照《公约》的要求涵盖基于语言和其他地位的歧视。委员会注意到缔约国的立场，即缔约国批准的《保护人权与基本自由公约</w:t>
      </w:r>
      <w:r w:rsidR="007327E6">
        <w:rPr>
          <w:rFonts w:hint="eastAsia"/>
        </w:rPr>
        <w:t>(</w:t>
      </w:r>
      <w:r>
        <w:rPr>
          <w:rFonts w:hint="eastAsia"/>
        </w:rPr>
        <w:t>欧洲人权公约</w:t>
      </w:r>
      <w:r w:rsidR="007327E6">
        <w:rPr>
          <w:rFonts w:hint="eastAsia"/>
        </w:rPr>
        <w:t>)</w:t>
      </w:r>
      <w:r>
        <w:rPr>
          <w:rFonts w:hint="eastAsia"/>
        </w:rPr>
        <w:t>第</w:t>
      </w:r>
      <w:r>
        <w:t>12</w:t>
      </w:r>
      <w:r>
        <w:rPr>
          <w:rFonts w:hint="eastAsia"/>
        </w:rPr>
        <w:t>号议定书》禁止基于语言的歧视，但缔约国没有向委员会提供资料，说明在实践中如何切实保护人们免受基于语言的歧视</w:t>
      </w:r>
      <w:r>
        <w:t>(</w:t>
      </w:r>
      <w:r>
        <w:rPr>
          <w:rFonts w:hint="eastAsia"/>
        </w:rPr>
        <w:t>第二和第二十六条</w:t>
      </w:r>
      <w:r>
        <w:t>)</w:t>
      </w:r>
      <w:r>
        <w:rPr>
          <w:rFonts w:hint="eastAsia"/>
        </w:rPr>
        <w:t>。</w:t>
      </w:r>
    </w:p>
    <w:p w:rsidR="009D4A5F" w:rsidRPr="00A91497" w:rsidRDefault="009D4A5F" w:rsidP="006E48B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91497">
        <w:rPr>
          <w:rFonts w:asciiTheme="majorBidi" w:eastAsia="黑体" w:hAnsiTheme="majorBidi" w:cstheme="majorBidi"/>
        </w:rPr>
        <w:t>11.</w:t>
      </w:r>
      <w:r w:rsidRPr="00A91497">
        <w:rPr>
          <w:rFonts w:asciiTheme="majorBidi" w:eastAsia="黑体" w:hAnsiTheme="majorBidi" w:cstheme="majorBidi"/>
        </w:rPr>
        <w:tab/>
      </w:r>
      <w:r w:rsidRPr="00A91497">
        <w:rPr>
          <w:rFonts w:asciiTheme="majorBidi" w:eastAsia="黑体" w:hAnsiTheme="majorBidi" w:cstheme="majorBidi"/>
        </w:rPr>
        <w:t>缔约国应考虑修订《刑法》第</w:t>
      </w:r>
      <w:r w:rsidRPr="00A91497">
        <w:rPr>
          <w:rFonts w:asciiTheme="majorBidi" w:eastAsia="黑体" w:hAnsiTheme="majorBidi" w:cstheme="majorBidi"/>
        </w:rPr>
        <w:t>240</w:t>
      </w:r>
      <w:r w:rsidRPr="00A91497">
        <w:rPr>
          <w:rFonts w:asciiTheme="majorBidi" w:eastAsia="黑体" w:hAnsiTheme="majorBidi" w:cstheme="majorBidi"/>
        </w:rPr>
        <w:t>条，以确保它符合《公约》第二十条和第二十六条，并采取一切措施确保其适用提供全面和有效的实质性和程序性保护，在所有领域和部门防止基于《公约》禁止的所有理由的歧视，包括煽动歧视。缔约国应保证遭受歧视的受害者能够获得有效和适当的补救。</w:t>
      </w:r>
    </w:p>
    <w:p w:rsidR="009D4A5F" w:rsidRDefault="009D4A5F" w:rsidP="0003155E">
      <w:pPr>
        <w:pStyle w:val="H23GC"/>
      </w:pPr>
      <w:r>
        <w:tab/>
      </w:r>
      <w:r>
        <w:tab/>
      </w:r>
      <w:r>
        <w:rPr>
          <w:rFonts w:hint="eastAsia"/>
        </w:rPr>
        <w:t>对非洲人后裔的歧视</w:t>
      </w:r>
    </w:p>
    <w:p w:rsidR="009D4A5F" w:rsidRDefault="009D4A5F" w:rsidP="006E48B9">
      <w:pPr>
        <w:pStyle w:val="SingleTxtGC"/>
        <w:tabs>
          <w:tab w:val="clear" w:pos="431"/>
          <w:tab w:val="clear" w:pos="1134"/>
          <w:tab w:val="clear" w:pos="1565"/>
          <w:tab w:val="clear" w:pos="1996"/>
          <w:tab w:val="clear" w:pos="2427"/>
          <w:tab w:val="left" w:pos="1701"/>
        </w:tabs>
      </w:pPr>
      <w:r>
        <w:t>12.</w:t>
      </w:r>
      <w:r>
        <w:tab/>
      </w:r>
      <w:r>
        <w:rPr>
          <w:rFonts w:hint="eastAsia"/>
        </w:rPr>
        <w:t>委员会欢迎改善罗姆人和非洲人后裔状况的各种方案以及在某些领域取得的进展，但感到关切的是，有报告称，这些社区继续遭受歧视，特别是在教育、就业和住房领域。委员会特别感到关切的是，这些群体的辍学率较高、就业率较低。委员会感到关切的是，《宪法》禁止收集按种族或族裔分类的数据，这对进一步打击歧视的能力产生了负面影响</w:t>
      </w:r>
      <w:r>
        <w:t>(</w:t>
      </w:r>
      <w:r>
        <w:rPr>
          <w:rFonts w:hint="eastAsia"/>
        </w:rPr>
        <w:t>第二、第二十四、第二十六和第二十七条</w:t>
      </w:r>
      <w:r>
        <w:t>)</w:t>
      </w:r>
      <w:r>
        <w:rPr>
          <w:rFonts w:hint="eastAsia"/>
        </w:rPr>
        <w:t>。</w:t>
      </w:r>
    </w:p>
    <w:p w:rsidR="009D4A5F" w:rsidRPr="00A91497" w:rsidRDefault="009D4A5F" w:rsidP="006E48B9">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t>13.</w:t>
      </w:r>
      <w:r w:rsidRPr="00A91497">
        <w:rPr>
          <w:rFonts w:asciiTheme="majorBidi" w:eastAsia="黑体" w:hAnsiTheme="majorBidi" w:cstheme="majorBidi"/>
          <w:snapToGrid/>
        </w:rPr>
        <w:tab/>
      </w:r>
      <w:r w:rsidRPr="00A91497">
        <w:rPr>
          <w:rFonts w:asciiTheme="majorBidi" w:eastAsia="黑体" w:hAnsiTheme="majorBidi" w:cstheme="majorBidi" w:hint="eastAsia"/>
          <w:snapToGrid/>
        </w:rPr>
        <w:t>缔约国应加紧努力，处理对罗姆人和非洲人后裔的污名化和歧视，并确保申诉得到调查，受害者能够获得补救。缔约国应考虑采取措施，确保罗姆人和非洲人后裔进入劳动力市场，并提高教育系统中这些群体的入学率和毕业率。缔约国应考虑允许收集关于不同少数群体的相关分类数据，开发评估和确保种族和族裔少数群体实际享有所有人权和基本自由的工具，并利用这些数据进行规划和评价。</w:t>
      </w:r>
    </w:p>
    <w:p w:rsidR="009D4A5F" w:rsidRDefault="009D4A5F" w:rsidP="00E23F31">
      <w:pPr>
        <w:pStyle w:val="H23GC"/>
      </w:pPr>
      <w:r>
        <w:tab/>
      </w:r>
      <w:r>
        <w:tab/>
      </w:r>
      <w:r>
        <w:rPr>
          <w:rFonts w:hint="eastAsia"/>
        </w:rPr>
        <w:t>仇恨言论和仇恨犯罪</w:t>
      </w:r>
    </w:p>
    <w:p w:rsidR="009D4A5F" w:rsidRDefault="009D4A5F" w:rsidP="006E48B9">
      <w:pPr>
        <w:pStyle w:val="SingleTxtGC"/>
        <w:tabs>
          <w:tab w:val="clear" w:pos="431"/>
          <w:tab w:val="clear" w:pos="1134"/>
          <w:tab w:val="clear" w:pos="1565"/>
          <w:tab w:val="clear" w:pos="1996"/>
          <w:tab w:val="clear" w:pos="2427"/>
          <w:tab w:val="left" w:pos="1701"/>
        </w:tabs>
      </w:pPr>
      <w:r>
        <w:t>14.</w:t>
      </w:r>
      <w:r>
        <w:tab/>
      </w:r>
      <w:r>
        <w:rPr>
          <w:rFonts w:hint="eastAsia"/>
        </w:rPr>
        <w:t>委员会注意到缔约国为打击仇恨言论和仇恨犯罪而采取的立法措施和其他措施，但感到关切的是，有报告称，缔约国存在针对包括罗姆人、非洲人后裔、穆斯林及男女同性恋、双性恋和跨性别者在内的弱势群体和少数群体的不容忍、偏见、仇恨言论和仇恨犯罪，特别是在媒体和社交网络上。委员会还感到关切的是，申诉数量很少，而且缺乏关于仇恨罪定罪的信息和关于所施加处罚的信息，这是信息都被纳入了缔约国统计保密政策所涵盖的范围</w:t>
      </w:r>
      <w:r>
        <w:t>(</w:t>
      </w:r>
      <w:r>
        <w:rPr>
          <w:rFonts w:hint="eastAsia"/>
        </w:rPr>
        <w:t>第二、第十九、第二十和第二十六条</w:t>
      </w:r>
      <w:r>
        <w:t>)</w:t>
      </w:r>
      <w:r>
        <w:rPr>
          <w:rFonts w:hint="eastAsia"/>
        </w:rPr>
        <w:t>。</w:t>
      </w:r>
    </w:p>
    <w:p w:rsidR="009D4A5F" w:rsidRPr="00A91497" w:rsidRDefault="009D4A5F" w:rsidP="006E48B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91497">
        <w:rPr>
          <w:rFonts w:asciiTheme="majorBidi" w:eastAsia="黑体" w:hAnsiTheme="majorBidi" w:cstheme="majorBidi"/>
        </w:rPr>
        <w:t>15.</w:t>
      </w:r>
      <w:r w:rsidRPr="00A91497">
        <w:rPr>
          <w:rFonts w:asciiTheme="majorBidi" w:eastAsia="黑体" w:hAnsiTheme="majorBidi" w:cstheme="majorBidi"/>
        </w:rPr>
        <w:tab/>
      </w:r>
      <w:r w:rsidRPr="00A91497">
        <w:rPr>
          <w:rFonts w:asciiTheme="majorBidi" w:eastAsia="黑体" w:hAnsiTheme="majorBidi" w:cstheme="majorBidi" w:hint="eastAsia"/>
        </w:rPr>
        <w:t>缔约国应：</w:t>
      </w:r>
    </w:p>
    <w:p w:rsidR="009D4A5F" w:rsidRPr="00A91497" w:rsidRDefault="009D4A5F" w:rsidP="006E48B9">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tab/>
        <w:t>(a)</w:t>
      </w:r>
      <w:r w:rsidRPr="00A91497">
        <w:rPr>
          <w:rFonts w:asciiTheme="majorBidi" w:eastAsia="黑体" w:hAnsiTheme="majorBidi" w:cstheme="majorBidi"/>
          <w:snapToGrid/>
        </w:rPr>
        <w:tab/>
      </w:r>
      <w:r w:rsidRPr="006E48B9">
        <w:rPr>
          <w:rFonts w:asciiTheme="majorBidi" w:eastAsia="黑体" w:hAnsiTheme="majorBidi" w:cstheme="majorBidi" w:hint="eastAsia"/>
          <w:snapToGrid/>
        </w:rPr>
        <w:t>加强努</w:t>
      </w:r>
      <w:r w:rsidRPr="00A91497">
        <w:rPr>
          <w:rFonts w:asciiTheme="majorBidi" w:eastAsia="黑体" w:hAnsiTheme="majorBidi" w:cstheme="majorBidi" w:hint="eastAsia"/>
          <w:snapToGrid/>
        </w:rPr>
        <w:t>力，打击针对包括罗姆人、非洲人后裔、穆斯林及男女同性恋、双性恋和跨性别者在内的弱势群体和少数群体的不容忍、成见、偏见和歧视；除其他外，加强对执法人员、检察官和司法人员的培训，并开展提高认识运动，提高公众对多样性的敏感性和尊重；</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tab/>
        <w:t>(b)</w:t>
      </w:r>
      <w:r w:rsidRPr="00A91497">
        <w:rPr>
          <w:rFonts w:asciiTheme="majorBidi" w:eastAsia="黑体" w:hAnsiTheme="majorBidi" w:cstheme="majorBidi"/>
          <w:snapToGrid/>
        </w:rPr>
        <w:tab/>
      </w:r>
      <w:r w:rsidRPr="00A91497">
        <w:rPr>
          <w:rFonts w:asciiTheme="majorBidi" w:eastAsia="黑体" w:hAnsiTheme="majorBidi" w:cstheme="majorBidi" w:hint="eastAsia"/>
          <w:snapToGrid/>
        </w:rPr>
        <w:t>加大努力防止仇恨言论和仇恨犯罪，并根据《公约》第十九和第二十条以及委员会关于见解自由和言论自由的第</w:t>
      </w:r>
      <w:r w:rsidRPr="00A91497">
        <w:rPr>
          <w:rFonts w:asciiTheme="majorBidi" w:eastAsia="黑体" w:hAnsiTheme="majorBidi" w:cstheme="majorBidi"/>
          <w:snapToGrid/>
        </w:rPr>
        <w:t>34</w:t>
      </w:r>
      <w:r w:rsidRPr="00A91497">
        <w:rPr>
          <w:rFonts w:asciiTheme="majorBidi" w:eastAsia="黑体" w:hAnsiTheme="majorBidi" w:cstheme="majorBidi" w:hint="eastAsia"/>
          <w:snapToGrid/>
        </w:rPr>
        <w:t>号一般性意见</w:t>
      </w:r>
      <w:r w:rsidRPr="00A91497">
        <w:rPr>
          <w:rFonts w:asciiTheme="majorBidi" w:eastAsia="黑体" w:hAnsiTheme="majorBidi" w:cstheme="majorBidi"/>
          <w:snapToGrid/>
        </w:rPr>
        <w:t>(2011</w:t>
      </w:r>
      <w:r w:rsidRPr="00A91497">
        <w:rPr>
          <w:rFonts w:asciiTheme="majorBidi" w:eastAsia="黑体" w:hAnsiTheme="majorBidi" w:cstheme="majorBidi" w:hint="eastAsia"/>
          <w:snapToGrid/>
        </w:rPr>
        <w:t>年</w:t>
      </w:r>
      <w:r w:rsidRPr="00A91497">
        <w:rPr>
          <w:rFonts w:asciiTheme="majorBidi" w:eastAsia="黑体" w:hAnsiTheme="majorBidi" w:cstheme="majorBidi"/>
          <w:snapToGrid/>
        </w:rPr>
        <w:t>)</w:t>
      </w:r>
      <w:r w:rsidRPr="00A91497">
        <w:rPr>
          <w:rFonts w:asciiTheme="majorBidi" w:eastAsia="黑体" w:hAnsiTheme="majorBidi" w:cstheme="majorBidi" w:hint="eastAsia"/>
          <w:snapToGrid/>
        </w:rPr>
        <w:t>，确保法律禁止任何鼓吹民族、种族或宗教仇恨、敌视或暴力的行为；</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tab/>
        <w:t>(c)</w:t>
      </w:r>
      <w:r w:rsidRPr="00A91497">
        <w:rPr>
          <w:rFonts w:asciiTheme="majorBidi" w:eastAsia="黑体" w:hAnsiTheme="majorBidi" w:cstheme="majorBidi"/>
          <w:snapToGrid/>
        </w:rPr>
        <w:tab/>
      </w:r>
      <w:r w:rsidRPr="00A91497">
        <w:rPr>
          <w:rFonts w:asciiTheme="majorBidi" w:eastAsia="黑体" w:hAnsiTheme="majorBidi" w:cstheme="majorBidi" w:hint="eastAsia"/>
          <w:snapToGrid/>
        </w:rPr>
        <w:t>鼓励举报仇恨犯罪和仇恨言论，并确保查明和登记此类犯罪，包括通过建立全面的分类数据收集系统；</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lastRenderedPageBreak/>
        <w:tab/>
        <w:t>(d)</w:t>
      </w:r>
      <w:r w:rsidRPr="00A91497">
        <w:rPr>
          <w:rFonts w:asciiTheme="majorBidi" w:eastAsia="黑体" w:hAnsiTheme="majorBidi" w:cstheme="majorBidi"/>
          <w:snapToGrid/>
        </w:rPr>
        <w:tab/>
      </w:r>
      <w:r w:rsidRPr="00A91497">
        <w:rPr>
          <w:rFonts w:asciiTheme="majorBidi" w:eastAsia="黑体" w:hAnsiTheme="majorBidi" w:cstheme="majorBidi" w:hint="eastAsia"/>
          <w:snapToGrid/>
        </w:rPr>
        <w:t>加强执法人员对仇恨犯罪和犯罪仇恨言论的调查能力，包括在互联网上的调查能力，并确保所有案件都得到系统的调查，犯罪人受到问责及与罪行相称的惩罚，受害者获得充分赔偿。</w:t>
      </w:r>
    </w:p>
    <w:p w:rsidR="009D4A5F" w:rsidRDefault="009D4A5F" w:rsidP="00CE0968">
      <w:pPr>
        <w:pStyle w:val="H23GC"/>
      </w:pPr>
      <w:r>
        <w:tab/>
      </w:r>
      <w:r>
        <w:tab/>
      </w:r>
      <w:r>
        <w:rPr>
          <w:rFonts w:hint="eastAsia"/>
        </w:rPr>
        <w:t>性取向、性别认同和双性人问题</w:t>
      </w:r>
    </w:p>
    <w:p w:rsidR="009D4A5F" w:rsidRDefault="009D4A5F" w:rsidP="004910A1">
      <w:pPr>
        <w:pStyle w:val="SingleTxtGC"/>
        <w:tabs>
          <w:tab w:val="clear" w:pos="431"/>
          <w:tab w:val="clear" w:pos="1134"/>
          <w:tab w:val="clear" w:pos="1565"/>
          <w:tab w:val="clear" w:pos="1996"/>
          <w:tab w:val="clear" w:pos="2427"/>
          <w:tab w:val="left" w:pos="1701"/>
        </w:tabs>
        <w:rPr>
          <w:rFonts w:ascii="宋体" w:hAnsi="宋体" w:cs="宋体"/>
        </w:rPr>
      </w:pPr>
      <w:r>
        <w:t>16.</w:t>
      </w:r>
      <w:r>
        <w:tab/>
      </w:r>
      <w:r>
        <w:rPr>
          <w:rFonts w:ascii="宋体" w:hAnsi="宋体" w:cs="宋体" w:hint="eastAsia"/>
        </w:rPr>
        <w:t>委员会欢迎缔约国最近通过第</w:t>
      </w:r>
      <w:r>
        <w:t>38/2018</w:t>
      </w:r>
      <w:r>
        <w:rPr>
          <w:rFonts w:ascii="宋体" w:hAnsi="宋体" w:cs="宋体" w:hint="eastAsia"/>
        </w:rPr>
        <w:t>号法律，但关切地注意到，有报告称，出生时具有双性人特征的儿童有时要接受侵入性和不可逆转的医疗程序，以便赋予他们一个性别，这种行动往往基于对性别角色的成见，而且是在有关个人达到自由和知情同意的年龄之前进行的</w:t>
      </w:r>
      <w:r>
        <w:t>(</w:t>
      </w:r>
      <w:r>
        <w:rPr>
          <w:rFonts w:ascii="宋体" w:hAnsi="宋体" w:cs="宋体" w:hint="eastAsia"/>
        </w:rPr>
        <w:t>第三、第七、第九、第十七、第二十四和第二十六条</w:t>
      </w:r>
      <w:r>
        <w:t>)</w:t>
      </w:r>
      <w:r>
        <w:rPr>
          <w:rFonts w:ascii="宋体" w:hAnsi="宋体" w:cs="宋体" w:hint="eastAsia"/>
        </w:rPr>
        <w:t>。</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91497">
        <w:rPr>
          <w:rFonts w:asciiTheme="majorBidi" w:eastAsia="黑体" w:hAnsiTheme="majorBidi" w:cstheme="majorBidi"/>
        </w:rPr>
        <w:t>17.</w:t>
      </w:r>
      <w:r w:rsidRPr="00A91497">
        <w:rPr>
          <w:rFonts w:asciiTheme="majorBidi" w:eastAsia="黑体" w:hAnsiTheme="majorBidi" w:cstheme="majorBidi"/>
        </w:rPr>
        <w:tab/>
      </w:r>
      <w:r w:rsidRPr="00A91497">
        <w:rPr>
          <w:rFonts w:asciiTheme="majorBidi" w:eastAsia="黑体" w:hAnsiTheme="majorBidi" w:cstheme="majorBidi" w:hint="eastAsia"/>
        </w:rPr>
        <w:t>缔约国应加强措施，终止对尚不能够给予自由和知情同意的双性儿童实施不可逆转的医疗行为，特别是外科手术，除非出于医疗原因绝对需要采取此类干预。</w:t>
      </w:r>
    </w:p>
    <w:p w:rsidR="009D4A5F" w:rsidRPr="00A91497" w:rsidRDefault="009D4A5F" w:rsidP="00E3254F">
      <w:pPr>
        <w:pStyle w:val="SingleTxtGC"/>
        <w:tabs>
          <w:tab w:val="clear" w:pos="1565"/>
          <w:tab w:val="left" w:pos="1560"/>
        </w:tabs>
        <w:rPr>
          <w:rFonts w:asciiTheme="majorBidi" w:eastAsia="黑体" w:hAnsiTheme="majorBidi" w:cstheme="majorBidi"/>
        </w:rPr>
      </w:pPr>
      <w:r w:rsidRPr="00A91497">
        <w:rPr>
          <w:rFonts w:asciiTheme="majorBidi" w:eastAsia="黑体" w:hAnsiTheme="majorBidi" w:cstheme="majorBidi" w:hint="eastAsia"/>
        </w:rPr>
        <w:t>社会心理残疾人或智力残疾人</w:t>
      </w:r>
    </w:p>
    <w:p w:rsidR="009D4A5F" w:rsidRDefault="009D4A5F" w:rsidP="004910A1">
      <w:pPr>
        <w:pStyle w:val="SingleTxtGC"/>
        <w:tabs>
          <w:tab w:val="clear" w:pos="431"/>
          <w:tab w:val="clear" w:pos="1134"/>
          <w:tab w:val="clear" w:pos="1565"/>
          <w:tab w:val="clear" w:pos="1996"/>
          <w:tab w:val="clear" w:pos="2427"/>
          <w:tab w:val="left" w:pos="1701"/>
        </w:tabs>
      </w:pPr>
      <w:r>
        <w:t>18.</w:t>
      </w:r>
      <w:r>
        <w:tab/>
      </w:r>
      <w:r>
        <w:rPr>
          <w:rFonts w:hint="eastAsia"/>
        </w:rPr>
        <w:t>委员会注意到代表团就向残疾人提供社会福利的障碍以及为克服这种情况而采取的措施所作的解释，但委员会感到关切的是，有报告称，在发放社会福利方面存在延误，涉及医学检查以及津贴的处理和随后的支付。委员会还感到关切的是，缔约国没有提供资料说明针对被宣布为无法律能力的残疾人的强制医疗干预的标准，包括终止妊娠和精神外科干预的标准，以及这方面的统计数据。委员会还关切地注意到，对精神残疾人的投票权施加了不当限制。</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91497">
        <w:rPr>
          <w:rFonts w:asciiTheme="majorBidi" w:eastAsia="黑体" w:hAnsiTheme="majorBidi" w:cstheme="majorBidi"/>
        </w:rPr>
        <w:t>19.</w:t>
      </w:r>
      <w:r w:rsidRPr="00A91497">
        <w:rPr>
          <w:rFonts w:asciiTheme="majorBidi" w:eastAsia="黑体" w:hAnsiTheme="majorBidi" w:cstheme="majorBidi"/>
        </w:rPr>
        <w:tab/>
      </w:r>
      <w:r w:rsidRPr="00A91497">
        <w:rPr>
          <w:rFonts w:asciiTheme="majorBidi" w:eastAsia="黑体" w:hAnsiTheme="majorBidi" w:cstheme="majorBidi" w:hint="eastAsia"/>
        </w:rPr>
        <w:t>缔约国应</w:t>
      </w:r>
      <w:r w:rsidR="009256EA">
        <w:rPr>
          <w:rFonts w:asciiTheme="majorBidi" w:eastAsia="黑体" w:hAnsiTheme="majorBidi" w:cstheme="majorBidi" w:hint="eastAsia"/>
        </w:rPr>
        <w:t>：</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tab/>
        <w:t>(a)</w:t>
      </w:r>
      <w:r w:rsidRPr="00A91497">
        <w:rPr>
          <w:rFonts w:asciiTheme="majorBidi" w:eastAsia="黑体" w:hAnsiTheme="majorBidi" w:cstheme="majorBidi"/>
          <w:snapToGrid/>
        </w:rPr>
        <w:tab/>
      </w:r>
      <w:r w:rsidRPr="00A91497">
        <w:rPr>
          <w:rFonts w:asciiTheme="majorBidi" w:eastAsia="黑体" w:hAnsiTheme="majorBidi" w:cstheme="majorBidi" w:hint="eastAsia"/>
          <w:snapToGrid/>
        </w:rPr>
        <w:t>继续努力克服在向残疾人发放社会福利方面的不足和延误，包括向相关部门分配充足的财政和人力资源，并提供追补发放；</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tab/>
        <w:t>(b)</w:t>
      </w:r>
      <w:r w:rsidRPr="00A91497">
        <w:rPr>
          <w:rFonts w:asciiTheme="majorBidi" w:eastAsia="黑体" w:hAnsiTheme="majorBidi" w:cstheme="majorBidi"/>
          <w:snapToGrid/>
        </w:rPr>
        <w:tab/>
      </w:r>
      <w:r w:rsidRPr="00A91497">
        <w:rPr>
          <w:rFonts w:asciiTheme="majorBidi" w:eastAsia="黑体" w:hAnsiTheme="majorBidi" w:cstheme="majorBidi" w:hint="eastAsia"/>
          <w:snapToGrid/>
        </w:rPr>
        <w:t>确保对被无法律能力的残疾人实施的医疗或外科手术符合尽一切努力获得相关个人自由、事先和知情同意的需要，并根据适当的法律和程序保障措施进行；保证有效的法律补救；并确保切实调查和起诉任何滥用行为；</w:t>
      </w:r>
    </w:p>
    <w:p w:rsidR="009D4A5F" w:rsidRPr="00A91497"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A91497">
        <w:rPr>
          <w:rFonts w:asciiTheme="majorBidi" w:eastAsia="黑体" w:hAnsiTheme="majorBidi" w:cstheme="majorBidi"/>
          <w:snapToGrid/>
        </w:rPr>
        <w:tab/>
        <w:t>(c)</w:t>
      </w:r>
      <w:r w:rsidRPr="00A91497">
        <w:rPr>
          <w:rFonts w:asciiTheme="majorBidi" w:eastAsia="黑体" w:hAnsiTheme="majorBidi" w:cstheme="majorBidi"/>
          <w:snapToGrid/>
        </w:rPr>
        <w:tab/>
      </w:r>
      <w:r w:rsidRPr="00A91497">
        <w:rPr>
          <w:rFonts w:asciiTheme="majorBidi" w:eastAsia="黑体" w:hAnsiTheme="majorBidi" w:cstheme="majorBidi" w:hint="eastAsia"/>
          <w:snapToGrid/>
        </w:rPr>
        <w:t>确保不歧视精神残疾人、智力残疾人或社会心理残疾人，不基于不相称的理由或与其投票能力没有合理和客观联系的理由剥夺他们的投票权，同时考虑到《公约》第二十五条。</w:t>
      </w:r>
    </w:p>
    <w:p w:rsidR="00DF51BA" w:rsidRDefault="00DF51BA">
      <w:pPr>
        <w:tabs>
          <w:tab w:val="clear" w:pos="431"/>
        </w:tabs>
        <w:overflowPunct/>
        <w:adjustRightInd/>
        <w:snapToGrid/>
        <w:spacing w:line="240" w:lineRule="auto"/>
        <w:jc w:val="left"/>
        <w:rPr>
          <w:rFonts w:eastAsia="黑体"/>
          <w:snapToGrid/>
          <w:sz w:val="22"/>
          <w:szCs w:val="22"/>
        </w:rPr>
      </w:pPr>
      <w:r>
        <w:br w:type="page"/>
      </w:r>
    </w:p>
    <w:p w:rsidR="009D4A5F" w:rsidRDefault="009D4A5F" w:rsidP="009256EA">
      <w:pPr>
        <w:pStyle w:val="H23GC"/>
      </w:pPr>
      <w:bookmarkStart w:id="1" w:name="_GoBack"/>
      <w:bookmarkEnd w:id="1"/>
      <w:r>
        <w:tab/>
      </w:r>
      <w:r>
        <w:tab/>
      </w:r>
      <w:r>
        <w:rPr>
          <w:rFonts w:hint="eastAsia"/>
        </w:rPr>
        <w:t>男女平等</w:t>
      </w:r>
    </w:p>
    <w:p w:rsidR="009D4A5F" w:rsidRDefault="009D4A5F" w:rsidP="004910A1">
      <w:pPr>
        <w:pStyle w:val="SingleTxtGC"/>
        <w:tabs>
          <w:tab w:val="clear" w:pos="431"/>
          <w:tab w:val="clear" w:pos="1134"/>
          <w:tab w:val="clear" w:pos="1565"/>
          <w:tab w:val="clear" w:pos="1996"/>
          <w:tab w:val="clear" w:pos="2427"/>
          <w:tab w:val="left" w:pos="1701"/>
        </w:tabs>
      </w:pPr>
      <w:r>
        <w:t>20.</w:t>
      </w:r>
      <w:r>
        <w:tab/>
      </w:r>
      <w:r>
        <w:rPr>
          <w:rFonts w:hint="eastAsia"/>
        </w:rPr>
        <w:t>委员会注意到为促进性别平等采取的各种措施，但对妇女在私营部门高级职位中所占比例一直很低感到关切</w:t>
      </w:r>
      <w:r w:rsidR="007327E6">
        <w:rPr>
          <w:rFonts w:hint="eastAsia"/>
        </w:rPr>
        <w:t>(</w:t>
      </w:r>
      <w:r>
        <w:rPr>
          <w:rFonts w:hint="eastAsia"/>
        </w:rPr>
        <w:t>第二、第三、第二十五和第二十六条</w:t>
      </w:r>
      <w:r w:rsidR="007327E6">
        <w:rPr>
          <w:rFonts w:hint="eastAsia"/>
        </w:rPr>
        <w:t>)</w:t>
      </w:r>
      <w:r>
        <w:rPr>
          <w:rFonts w:hint="eastAsia"/>
        </w:rPr>
        <w:t>。</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91497">
        <w:rPr>
          <w:rFonts w:asciiTheme="majorBidi" w:eastAsia="黑体" w:hAnsiTheme="majorBidi" w:cstheme="majorBidi"/>
        </w:rPr>
        <w:t>21.</w:t>
      </w:r>
      <w:r w:rsidRPr="00A91497">
        <w:rPr>
          <w:rFonts w:asciiTheme="majorBidi" w:eastAsia="黑体" w:hAnsiTheme="majorBidi" w:cstheme="majorBidi"/>
        </w:rPr>
        <w:tab/>
      </w:r>
      <w:r w:rsidRPr="00A91497">
        <w:rPr>
          <w:rFonts w:asciiTheme="majorBidi" w:eastAsia="黑体" w:hAnsiTheme="majorBidi" w:cstheme="majorBidi" w:hint="eastAsia"/>
        </w:rPr>
        <w:t>缔约国应继续努力增加妇女在公共和私营部门的参与，并提高她们在最高</w:t>
      </w:r>
      <w:r w:rsidRPr="003B4945">
        <w:rPr>
          <w:rFonts w:asciiTheme="majorBidi" w:eastAsia="黑体" w:hAnsiTheme="majorBidi" w:cstheme="majorBidi" w:hint="eastAsia"/>
        </w:rPr>
        <w:t>级别的代表性。缔约国还应加强提高公众认识的战略，以期消除家庭和社会中的性别成见。</w:t>
      </w:r>
    </w:p>
    <w:p w:rsidR="009D4A5F" w:rsidRDefault="009D4A5F" w:rsidP="00D13644">
      <w:pPr>
        <w:pStyle w:val="H23GC"/>
      </w:pPr>
      <w:r>
        <w:tab/>
      </w:r>
      <w:r>
        <w:tab/>
      </w:r>
      <w:r>
        <w:rPr>
          <w:rFonts w:hint="eastAsia"/>
        </w:rPr>
        <w:t>暴力侵害妇女</w:t>
      </w:r>
    </w:p>
    <w:p w:rsidR="009D4A5F" w:rsidRDefault="009D4A5F" w:rsidP="004910A1">
      <w:pPr>
        <w:pStyle w:val="SingleTxtGC"/>
        <w:tabs>
          <w:tab w:val="clear" w:pos="431"/>
          <w:tab w:val="clear" w:pos="1134"/>
          <w:tab w:val="clear" w:pos="1565"/>
          <w:tab w:val="clear" w:pos="1996"/>
          <w:tab w:val="clear" w:pos="2427"/>
          <w:tab w:val="left" w:pos="1701"/>
        </w:tabs>
        <w:rPr>
          <w:color w:val="000000" w:themeColor="text1"/>
        </w:rPr>
      </w:pPr>
      <w:r>
        <w:rPr>
          <w:color w:val="000000" w:themeColor="text1"/>
        </w:rPr>
        <w:t>22.</w:t>
      </w:r>
      <w:r>
        <w:rPr>
          <w:color w:val="000000" w:themeColor="text1"/>
        </w:rPr>
        <w:tab/>
      </w:r>
      <w:r>
        <w:rPr>
          <w:rFonts w:ascii="宋体" w:hAnsi="宋体" w:cs="宋体" w:hint="eastAsia"/>
        </w:rPr>
        <w:t>委员会注意到，缔约国为打击暴力侵害妇女行为采取了一些重要步骤，包括通过了预防和打击暴力侵害妇女和家庭暴力行为行动计划</w:t>
      </w:r>
      <w:r>
        <w:t>(2018-2030</w:t>
      </w:r>
      <w:r>
        <w:rPr>
          <w:rFonts w:ascii="宋体" w:hAnsi="宋体" w:cs="宋体" w:hint="eastAsia"/>
        </w:rPr>
        <w:t>年</w:t>
      </w:r>
      <w:r>
        <w:t>)</w:t>
      </w:r>
      <w:r>
        <w:rPr>
          <w:rFonts w:ascii="宋体" w:hAnsi="宋体" w:cs="宋体" w:hint="eastAsia"/>
        </w:rPr>
        <w:t>。然而，委员会感到关切的是，针对妇女的家庭暴力持续存在。委员会特别感到关切</w:t>
      </w:r>
      <w:r>
        <w:rPr>
          <w:rFonts w:ascii="宋体" w:hAnsi="宋体" w:cs="宋体" w:hint="eastAsia"/>
        </w:rPr>
        <w:lastRenderedPageBreak/>
        <w:t>的是，性别暴力报案率很低，对犯罪者的起诉和定罪率也很低。委员会注意到代表团就调查家庭暴力案件中遇到的困难所作的解释，包括在受害者拒绝或无法配合调查的情况下所遇到的困难，但委员会提醒缔约国它有义务采取一切必要措施实现《公约》所载的权利</w:t>
      </w:r>
      <w:r>
        <w:t>(</w:t>
      </w:r>
      <w:r>
        <w:rPr>
          <w:rFonts w:ascii="宋体" w:hAnsi="宋体" w:cs="宋体" w:hint="eastAsia"/>
        </w:rPr>
        <w:t>第二、第三、第六、第七和第二十六条</w:t>
      </w:r>
      <w:r>
        <w:t>)</w:t>
      </w:r>
      <w:r>
        <w:rPr>
          <w:rFonts w:ascii="宋体" w:hAnsi="宋体" w:cs="宋体" w:hint="eastAsia"/>
        </w:rPr>
        <w:t>。</w:t>
      </w:r>
    </w:p>
    <w:p w:rsidR="009D4A5F" w:rsidRDefault="009D4A5F" w:rsidP="004910A1">
      <w:pPr>
        <w:pStyle w:val="SingleTxtGC"/>
        <w:tabs>
          <w:tab w:val="clear" w:pos="431"/>
          <w:tab w:val="clear" w:pos="1134"/>
          <w:tab w:val="clear" w:pos="1565"/>
          <w:tab w:val="clear" w:pos="1996"/>
          <w:tab w:val="clear" w:pos="2427"/>
          <w:tab w:val="left" w:pos="1701"/>
        </w:tabs>
        <w:rPr>
          <w:b/>
        </w:rPr>
      </w:pPr>
      <w:r w:rsidRPr="003B4945">
        <w:rPr>
          <w:rFonts w:asciiTheme="majorBidi" w:eastAsia="黑体" w:hAnsiTheme="majorBidi" w:cstheme="majorBidi"/>
          <w:snapToGrid/>
        </w:rPr>
        <w:t>23.</w:t>
      </w:r>
      <w:r w:rsidRPr="003B4945">
        <w:rPr>
          <w:rFonts w:asciiTheme="majorBidi" w:eastAsia="黑体" w:hAnsiTheme="majorBidi" w:cstheme="majorBidi"/>
          <w:snapToGrid/>
        </w:rPr>
        <w:tab/>
      </w:r>
      <w:r w:rsidRPr="003B4945">
        <w:rPr>
          <w:rFonts w:asciiTheme="majorBidi" w:eastAsia="黑体" w:hAnsiTheme="majorBidi" w:cstheme="majorBidi" w:hint="eastAsia"/>
          <w:snapToGrid/>
        </w:rPr>
        <w:t>缔约国应确保切实执行预防和打击暴力侵害妇女和家庭暴力行为行动计划，</w:t>
      </w:r>
      <w:r w:rsidRPr="00C75AAE">
        <w:rPr>
          <w:rFonts w:asciiTheme="majorBidi" w:eastAsia="黑体" w:hAnsiTheme="majorBidi" w:cstheme="majorBidi" w:hint="eastAsia"/>
          <w:snapToGrid/>
        </w:rPr>
        <w:t>包括</w:t>
      </w:r>
      <w:r w:rsidR="00D13644">
        <w:rPr>
          <w:rFonts w:hint="eastAsia"/>
          <w:b/>
        </w:rPr>
        <w:t>：</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3B4945">
        <w:rPr>
          <w:rFonts w:asciiTheme="majorBidi" w:eastAsia="黑体" w:hAnsiTheme="majorBidi" w:cstheme="majorBidi"/>
          <w:snapToGrid/>
        </w:rPr>
        <w:tab/>
        <w:t>(a)</w:t>
      </w:r>
      <w:r w:rsidRPr="003B4945">
        <w:rPr>
          <w:rFonts w:asciiTheme="majorBidi" w:eastAsia="黑体" w:hAnsiTheme="majorBidi" w:cstheme="majorBidi"/>
          <w:snapToGrid/>
        </w:rPr>
        <w:tab/>
      </w:r>
      <w:r w:rsidRPr="003B4945">
        <w:rPr>
          <w:rFonts w:asciiTheme="majorBidi" w:eastAsia="黑体" w:hAnsiTheme="majorBidi" w:cstheme="majorBidi" w:hint="eastAsia"/>
          <w:snapToGrid/>
        </w:rPr>
        <w:t>开展活动，宣传暴力侵害妇女行为是一种具有不利影响的不可接受的行为，系统地向妇女宣传她们的权利以及获得保护、援助和补救的途径；</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B4945">
        <w:rPr>
          <w:rFonts w:asciiTheme="majorBidi" w:eastAsia="黑体" w:hAnsiTheme="majorBidi" w:cstheme="majorBidi"/>
        </w:rPr>
        <w:tab/>
        <w:t>(b)</w:t>
      </w:r>
      <w:r w:rsidRPr="003B4945">
        <w:rPr>
          <w:rFonts w:asciiTheme="majorBidi" w:eastAsia="黑体" w:hAnsiTheme="majorBidi" w:cstheme="majorBidi"/>
        </w:rPr>
        <w:tab/>
      </w:r>
      <w:r w:rsidRPr="003B4945">
        <w:rPr>
          <w:rFonts w:asciiTheme="majorBidi" w:eastAsia="黑体" w:hAnsiTheme="majorBidi" w:cstheme="majorBidi" w:hint="eastAsia"/>
        </w:rPr>
        <w:t>鼓励举报暴力侵害妇女的案件，并确保遭受暴力侵害的妇女能够利用适当的举报机制；</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B4945">
        <w:rPr>
          <w:rFonts w:asciiTheme="majorBidi" w:eastAsia="黑体" w:hAnsiTheme="majorBidi" w:cstheme="majorBidi"/>
          <w:snapToGrid/>
        </w:rPr>
        <w:tab/>
        <w:t>(c)</w:t>
      </w:r>
      <w:r w:rsidRPr="003B4945">
        <w:rPr>
          <w:rFonts w:asciiTheme="majorBidi" w:eastAsia="黑体" w:hAnsiTheme="majorBidi" w:cstheme="majorBidi"/>
          <w:snapToGrid/>
        </w:rPr>
        <w:tab/>
      </w:r>
      <w:r w:rsidRPr="003B4945">
        <w:rPr>
          <w:rFonts w:asciiTheme="majorBidi" w:eastAsia="黑体" w:hAnsiTheme="majorBidi" w:cstheme="majorBidi" w:hint="eastAsia"/>
          <w:snapToGrid/>
        </w:rPr>
        <w:t>确保执法人员、检察官和其他有关的利益攸关方接受有关以性别敏感方式</w:t>
      </w:r>
      <w:r w:rsidRPr="003B4945">
        <w:rPr>
          <w:rFonts w:asciiTheme="majorBidi" w:eastAsia="黑体" w:hAnsiTheme="majorBidi" w:cstheme="majorBidi" w:hint="eastAsia"/>
        </w:rPr>
        <w:t>发现、处理、调查和起诉暴力侵害妇女案件的适当培训；</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B4945">
        <w:rPr>
          <w:rFonts w:asciiTheme="majorBidi" w:eastAsia="黑体" w:hAnsiTheme="majorBidi" w:cstheme="majorBidi"/>
        </w:rPr>
        <w:tab/>
        <w:t>(d)</w:t>
      </w:r>
      <w:r w:rsidRPr="003B4945">
        <w:rPr>
          <w:rFonts w:asciiTheme="majorBidi" w:eastAsia="黑体" w:hAnsiTheme="majorBidi" w:cstheme="majorBidi"/>
        </w:rPr>
        <w:tab/>
      </w:r>
      <w:r w:rsidRPr="00C75AAE">
        <w:rPr>
          <w:rFonts w:asciiTheme="majorBidi" w:eastAsia="黑体" w:hAnsiTheme="majorBidi" w:cstheme="majorBidi" w:hint="eastAsia"/>
          <w:snapToGrid/>
        </w:rPr>
        <w:t>确保</w:t>
      </w:r>
      <w:r w:rsidRPr="003B4945">
        <w:rPr>
          <w:rFonts w:asciiTheme="majorBidi" w:eastAsia="黑体" w:hAnsiTheme="majorBidi" w:cstheme="majorBidi" w:hint="eastAsia"/>
        </w:rPr>
        <w:t>彻查暴力侵害妇女案件，起诉犯罪者，如被定罪，予以适当惩处，并确保受害者获得有效补救。</w:t>
      </w:r>
    </w:p>
    <w:p w:rsidR="009D4A5F" w:rsidRPr="003B4945" w:rsidRDefault="009D4A5F" w:rsidP="00C75AAE">
      <w:pPr>
        <w:pStyle w:val="H23GC"/>
      </w:pPr>
      <w:r w:rsidRPr="003B4945">
        <w:tab/>
      </w:r>
      <w:r w:rsidRPr="003B4945">
        <w:tab/>
      </w:r>
      <w:r w:rsidRPr="00C75AAE">
        <w:rPr>
          <w:rFonts w:hint="eastAsia"/>
          <w:snapToGrid w:val="0"/>
        </w:rPr>
        <w:t>过度</w:t>
      </w:r>
      <w:r w:rsidRPr="003B4945">
        <w:rPr>
          <w:rFonts w:hint="eastAsia"/>
        </w:rPr>
        <w:t>使用武力</w:t>
      </w:r>
    </w:p>
    <w:p w:rsidR="009D4A5F" w:rsidRDefault="009D4A5F" w:rsidP="004910A1">
      <w:pPr>
        <w:pStyle w:val="SingleTxtGC"/>
        <w:tabs>
          <w:tab w:val="clear" w:pos="431"/>
          <w:tab w:val="clear" w:pos="1134"/>
          <w:tab w:val="clear" w:pos="1565"/>
          <w:tab w:val="clear" w:pos="1996"/>
          <w:tab w:val="clear" w:pos="2427"/>
          <w:tab w:val="left" w:pos="1701"/>
        </w:tabs>
        <w:rPr>
          <w:color w:val="000000" w:themeColor="text1"/>
        </w:rPr>
      </w:pPr>
      <w:r>
        <w:t>24.</w:t>
      </w:r>
      <w:r>
        <w:tab/>
      </w:r>
      <w:r>
        <w:rPr>
          <w:rFonts w:hint="eastAsia"/>
        </w:rPr>
        <w:t>委员会感到关切的是，持续有报告称，警察对族裔少数群体成员，特别是罗姆人和非洲人后裔实施暴力。委员会感到关切的是，这些罪行没有得到充分调查和起诉，定罪数量很少。尽管代表团提供了解释，但委员会关切地注意到，有报告称，派往族裔少数群体人口密集地区工作的警察没有得到足够的培训</w:t>
      </w:r>
      <w:r>
        <w:t>(</w:t>
      </w:r>
      <w:r>
        <w:rPr>
          <w:rFonts w:hint="eastAsia"/>
        </w:rPr>
        <w:t>第七和第二十四条</w:t>
      </w:r>
      <w:r>
        <w:t>)</w:t>
      </w:r>
      <w:r>
        <w:rPr>
          <w:rFonts w:hint="eastAsia"/>
        </w:rPr>
        <w:t>。</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B4945">
        <w:rPr>
          <w:rFonts w:asciiTheme="majorBidi" w:eastAsia="黑体" w:hAnsiTheme="majorBidi" w:cstheme="majorBidi"/>
        </w:rPr>
        <w:t>25.</w:t>
      </w:r>
      <w:r w:rsidRPr="003B4945">
        <w:rPr>
          <w:rFonts w:asciiTheme="majorBidi" w:eastAsia="黑体" w:hAnsiTheme="majorBidi" w:cstheme="majorBidi"/>
        </w:rPr>
        <w:tab/>
      </w:r>
      <w:r w:rsidRPr="003B4945">
        <w:rPr>
          <w:rFonts w:asciiTheme="majorBidi" w:eastAsia="黑体" w:hAnsiTheme="majorBidi" w:cstheme="majorBidi" w:hint="eastAsia"/>
        </w:rPr>
        <w:t>缔约国应确保建立便于使用的申诉机制，彻底调查所有有关暴力行为报告，并确保在调查有正当依据的情况下，作出相称的惩处。缔约国还应考虑在适当的情况下使用执法记录仪，并对其进行适当的隐私控制。此外，缔约国应加强努力，消除对族裔少数群体，特别是罗姆人和非洲人后裔的成见和歧视，开展公共宣传运动，倡导容忍和尊重多样性，并向所有执法人员，特别是在敏感领域工作的执法人员提供适当培训。</w:t>
      </w:r>
    </w:p>
    <w:p w:rsidR="009D4A5F" w:rsidRDefault="009D4A5F" w:rsidP="00C75AAE">
      <w:pPr>
        <w:pStyle w:val="H23GC"/>
      </w:pPr>
      <w:r>
        <w:tab/>
      </w:r>
      <w:r>
        <w:tab/>
      </w:r>
      <w:r>
        <w:rPr>
          <w:rFonts w:hint="eastAsia"/>
        </w:rPr>
        <w:t>禁止酷刑和残忍、不人道或有辱人格的待遇以及过度使用武力</w:t>
      </w:r>
    </w:p>
    <w:p w:rsidR="009D4A5F" w:rsidRDefault="009D4A5F" w:rsidP="004910A1">
      <w:pPr>
        <w:pStyle w:val="SingleTxtGC"/>
        <w:tabs>
          <w:tab w:val="clear" w:pos="431"/>
          <w:tab w:val="clear" w:pos="1134"/>
          <w:tab w:val="clear" w:pos="1565"/>
          <w:tab w:val="clear" w:pos="1996"/>
          <w:tab w:val="clear" w:pos="2427"/>
          <w:tab w:val="left" w:pos="1701"/>
        </w:tabs>
        <w:rPr>
          <w:color w:val="FF0000"/>
        </w:rPr>
      </w:pPr>
      <w:r>
        <w:rPr>
          <w:color w:val="000000" w:themeColor="text1"/>
        </w:rPr>
        <w:t>26.</w:t>
      </w:r>
      <w:r>
        <w:rPr>
          <w:color w:val="000000" w:themeColor="text1"/>
        </w:rPr>
        <w:tab/>
      </w:r>
      <w:r>
        <w:rPr>
          <w:rFonts w:hint="eastAsia"/>
        </w:rPr>
        <w:t>委员会感到关切的是，有指控称，执法人员在逮捕和审讯期间以及在拘留中心过度使用武力，包括酷刑和虐待，而且此类案件的起诉和定罪数量很少。委员会还感到遗憾的是，缺乏关于向酷刑和虐待行为受害者提供赔偿的信息</w:t>
      </w:r>
      <w:r>
        <w:t>(</w:t>
      </w:r>
      <w:r>
        <w:rPr>
          <w:rFonts w:hint="eastAsia"/>
        </w:rPr>
        <w:t>第七和第十条</w:t>
      </w:r>
      <w:r>
        <w:t>)</w:t>
      </w:r>
      <w:r>
        <w:rPr>
          <w:rFonts w:hint="eastAsia"/>
        </w:rPr>
        <w:t>。</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B4945">
        <w:rPr>
          <w:rFonts w:asciiTheme="majorBidi" w:eastAsia="黑体" w:hAnsiTheme="majorBidi" w:cstheme="majorBidi"/>
        </w:rPr>
        <w:t>27.</w:t>
      </w:r>
      <w:r w:rsidRPr="003B4945">
        <w:rPr>
          <w:rFonts w:asciiTheme="majorBidi" w:eastAsia="黑体" w:hAnsiTheme="majorBidi" w:cstheme="majorBidi"/>
        </w:rPr>
        <w:tab/>
      </w:r>
      <w:r w:rsidRPr="003B4945">
        <w:rPr>
          <w:rFonts w:asciiTheme="majorBidi" w:eastAsia="黑体" w:hAnsiTheme="majorBidi" w:cstheme="majorBidi" w:hint="eastAsia"/>
        </w:rPr>
        <w:t>缔约国应确保对执法人员在逮捕、审讯期间和拘留中心过度使用武力，包括酷刑和虐待的所有指控进行迅速、公正、彻底和有效的调查；犯罪者受到起诉和适当惩处；受害者得到充分赔偿。缔约国还应确保执法人员培训方案包括调查和防范酷刑和虐待的指导。</w:t>
      </w:r>
    </w:p>
    <w:p w:rsidR="009D4A5F" w:rsidRDefault="009D4A5F" w:rsidP="00F00817">
      <w:pPr>
        <w:pStyle w:val="H23GC"/>
      </w:pPr>
      <w:r>
        <w:tab/>
      </w:r>
      <w:r>
        <w:tab/>
      </w:r>
      <w:r>
        <w:rPr>
          <w:rFonts w:hint="eastAsia"/>
        </w:rPr>
        <w:t>拘留条件</w:t>
      </w:r>
    </w:p>
    <w:p w:rsidR="009D4A5F" w:rsidRDefault="009D4A5F" w:rsidP="004910A1">
      <w:pPr>
        <w:pStyle w:val="SingleTxtGC"/>
        <w:tabs>
          <w:tab w:val="clear" w:pos="431"/>
          <w:tab w:val="clear" w:pos="1134"/>
          <w:tab w:val="clear" w:pos="1565"/>
          <w:tab w:val="clear" w:pos="1996"/>
          <w:tab w:val="clear" w:pos="2427"/>
          <w:tab w:val="left" w:pos="1701"/>
        </w:tabs>
      </w:pPr>
      <w:r>
        <w:t>28.</w:t>
      </w:r>
      <w:r>
        <w:tab/>
      </w:r>
      <w:r>
        <w:rPr>
          <w:rFonts w:hint="eastAsia"/>
        </w:rPr>
        <w:t>委员</w:t>
      </w:r>
      <w:r w:rsidRPr="00F00817">
        <w:rPr>
          <w:rFonts w:hint="eastAsia"/>
          <w:spacing w:val="-8"/>
        </w:rPr>
        <w:t>会欢迎为改善囚犯</w:t>
      </w:r>
      <w:r w:rsidRPr="00F00817">
        <w:rPr>
          <w:rFonts w:hint="eastAsia"/>
        </w:rPr>
        <w:t>生活条件和囚犯</w:t>
      </w:r>
      <w:r w:rsidRPr="00F00817">
        <w:rPr>
          <w:rFonts w:hint="eastAsia"/>
          <w:spacing w:val="-8"/>
        </w:rPr>
        <w:t>权利而采取的措施，以及代表团关于缔约国的状况已</w:t>
      </w:r>
      <w:r w:rsidRPr="001A759A">
        <w:rPr>
          <w:rFonts w:hint="eastAsia"/>
        </w:rPr>
        <w:t>有显著改善的保证，但委员会仍感关切的是，</w:t>
      </w:r>
      <w:r w:rsidRPr="001A759A">
        <w:t>(CCPR/C/PRT/CO/4</w:t>
      </w:r>
      <w:r w:rsidRPr="001A759A">
        <w:rPr>
          <w:rFonts w:hint="eastAsia"/>
        </w:rPr>
        <w:t>，</w:t>
      </w:r>
      <w:r w:rsidRPr="001A759A">
        <w:rPr>
          <w:rFonts w:hint="eastAsia"/>
        </w:rPr>
        <w:lastRenderedPageBreak/>
        <w:t>第</w:t>
      </w:r>
      <w:r w:rsidRPr="001A759A">
        <w:t>11</w:t>
      </w:r>
      <w:r w:rsidRPr="001A759A">
        <w:rPr>
          <w:rFonts w:hint="eastAsia"/>
        </w:rPr>
        <w:t>段</w:t>
      </w:r>
      <w:r w:rsidRPr="001A759A">
        <w:t>)</w:t>
      </w:r>
      <w:r w:rsidRPr="001A759A">
        <w:rPr>
          <w:rFonts w:hint="eastAsia"/>
        </w:rPr>
        <w:t>，最近有报告称，剥</w:t>
      </w:r>
      <w:r>
        <w:rPr>
          <w:rFonts w:hint="eastAsia"/>
        </w:rPr>
        <w:t>夺自由场所条件恶劣且过度拥挤。委员会还感到关切的是，有报告表明，被拘留者可以利用的申诉机制缺乏有效性。委员会还感到关切的是，被拘留者自杀率高，智力残疾人和社会心理残疾人被关押在监狱的精神病病房，得不到足够的护理，缺乏适当的治疗</w:t>
      </w:r>
      <w:r>
        <w:t>(</w:t>
      </w:r>
      <w:r>
        <w:rPr>
          <w:rFonts w:hint="eastAsia"/>
        </w:rPr>
        <w:t>第六、第七、第九、第十和第十四条</w:t>
      </w:r>
      <w:r>
        <w:t>)</w:t>
      </w:r>
      <w:r>
        <w:rPr>
          <w:rFonts w:hint="eastAsia"/>
        </w:rPr>
        <w:t>。</w:t>
      </w:r>
    </w:p>
    <w:p w:rsidR="009D4A5F" w:rsidRPr="003B4945"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B4945">
        <w:rPr>
          <w:rFonts w:asciiTheme="majorBidi" w:eastAsia="黑体" w:hAnsiTheme="majorBidi" w:cstheme="majorBidi"/>
        </w:rPr>
        <w:t>29.</w:t>
      </w:r>
      <w:r w:rsidRPr="003B4945">
        <w:rPr>
          <w:rFonts w:asciiTheme="majorBidi" w:eastAsia="黑体" w:hAnsiTheme="majorBidi" w:cstheme="majorBidi"/>
        </w:rPr>
        <w:tab/>
      </w:r>
      <w:r w:rsidRPr="003B4945">
        <w:rPr>
          <w:rFonts w:asciiTheme="majorBidi" w:eastAsia="黑体" w:hAnsiTheme="majorBidi" w:cstheme="majorBidi" w:hint="eastAsia"/>
        </w:rPr>
        <w:t>缔约国应</w:t>
      </w:r>
      <w:r w:rsidR="006B4891">
        <w:rPr>
          <w:rFonts w:asciiTheme="majorBidi" w:eastAsia="黑体" w:hAnsiTheme="majorBidi" w:cstheme="majorBidi"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(a)</w:t>
      </w:r>
      <w:r w:rsidRPr="0068645C">
        <w:rPr>
          <w:rFonts w:asciiTheme="majorBidi" w:eastAsia="黑体" w:hAnsiTheme="majorBidi" w:cstheme="majorBidi"/>
        </w:rPr>
        <w:tab/>
      </w:r>
      <w:r w:rsidRPr="0068645C">
        <w:rPr>
          <w:rFonts w:asciiTheme="majorBidi" w:eastAsia="黑体" w:hAnsiTheme="majorBidi" w:cstheme="majorBidi" w:hint="eastAsia"/>
        </w:rPr>
        <w:t>考虑拘留的替代办法，包括保释，并确保审前拘留是基于个人情况的例外、合理和必要的措施，并且期限尽可能短；</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(b)</w:t>
      </w:r>
      <w:r w:rsidRPr="0068645C">
        <w:rPr>
          <w:rFonts w:asciiTheme="majorBidi" w:eastAsia="黑体" w:hAnsiTheme="majorBidi" w:cstheme="majorBidi"/>
        </w:rPr>
        <w:tab/>
      </w:r>
      <w:r w:rsidRPr="0068645C">
        <w:rPr>
          <w:rFonts w:asciiTheme="majorBidi" w:eastAsia="黑体" w:hAnsiTheme="majorBidi" w:cstheme="majorBidi" w:hint="eastAsia"/>
        </w:rPr>
        <w:t>采取措施，防止被拘留者自杀，包括制定有效的早期干预战略和方案，并加强对有自杀风险者的识别；</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(c)</w:t>
      </w:r>
      <w:r w:rsidRPr="0068645C">
        <w:rPr>
          <w:rFonts w:asciiTheme="majorBidi" w:eastAsia="黑体" w:hAnsiTheme="majorBidi" w:cstheme="majorBidi"/>
        </w:rPr>
        <w:tab/>
      </w:r>
      <w:r w:rsidRPr="0068645C">
        <w:rPr>
          <w:rFonts w:asciiTheme="majorBidi" w:eastAsia="黑体" w:hAnsiTheme="majorBidi" w:cstheme="majorBidi" w:hint="eastAsia"/>
        </w:rPr>
        <w:t>加快努力，改善剥夺自由场所的条件，减少过度拥挤状况，并确保拘留场所的条件符合《联合国囚犯待遇最低限度标准规则》</w:t>
      </w:r>
      <w:r w:rsidRPr="0068645C">
        <w:rPr>
          <w:rFonts w:asciiTheme="majorBidi" w:eastAsia="黑体" w:hAnsiTheme="majorBidi" w:cstheme="majorBidi"/>
        </w:rPr>
        <w:t>(</w:t>
      </w:r>
      <w:r w:rsidRPr="0068645C">
        <w:rPr>
          <w:rFonts w:asciiTheme="majorBidi" w:eastAsia="黑体" w:hAnsiTheme="majorBidi" w:cstheme="majorBidi" w:hint="eastAsia"/>
        </w:rPr>
        <w:t>《纳尔逊</w:t>
      </w:r>
      <w:r w:rsidR="006B4891">
        <w:rPr>
          <w:rFonts w:hint="eastAsia"/>
        </w:rPr>
        <w:t>·</w:t>
      </w:r>
      <w:r w:rsidRPr="0068645C">
        <w:rPr>
          <w:rFonts w:ascii="黑体" w:eastAsia="黑体" w:hAnsi="黑体" w:cs="黑体" w:hint="eastAsia"/>
        </w:rPr>
        <w:t>曼德拉规则》</w:t>
      </w:r>
      <w:r w:rsidRPr="0068645C">
        <w:rPr>
          <w:rFonts w:asciiTheme="majorBidi" w:eastAsia="黑体" w:hAnsiTheme="majorBidi" w:cstheme="majorBidi"/>
        </w:rPr>
        <w:t>)</w:t>
      </w:r>
      <w:r w:rsidRPr="0068645C">
        <w:rPr>
          <w:rFonts w:asciiTheme="majorBidi" w:eastAsia="黑体" w:hAnsiTheme="majorBidi" w:cstheme="majorBidi"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(d)</w:t>
      </w:r>
      <w:r w:rsidRPr="0068645C">
        <w:rPr>
          <w:rFonts w:asciiTheme="majorBidi" w:eastAsia="黑体" w:hAnsiTheme="majorBidi" w:cstheme="majorBidi"/>
        </w:rPr>
        <w:tab/>
      </w:r>
      <w:r w:rsidRPr="0068645C">
        <w:rPr>
          <w:rFonts w:asciiTheme="majorBidi" w:eastAsia="黑体" w:hAnsiTheme="majorBidi" w:cstheme="majorBidi" w:hint="eastAsia"/>
        </w:rPr>
        <w:t>确保在实践中被剥夺自由者从被剥夺自由一开始就获得所有法律保障；</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(e)</w:t>
      </w:r>
      <w:r w:rsidRPr="0068645C">
        <w:rPr>
          <w:rFonts w:asciiTheme="majorBidi" w:eastAsia="黑体" w:hAnsiTheme="majorBidi" w:cstheme="majorBidi"/>
        </w:rPr>
        <w:tab/>
      </w:r>
      <w:r w:rsidRPr="0068645C">
        <w:rPr>
          <w:rFonts w:asciiTheme="majorBidi" w:eastAsia="黑体" w:hAnsiTheme="majorBidi" w:cstheme="majorBidi" w:hint="eastAsia"/>
        </w:rPr>
        <w:t>对监狱中精神失常患者更多地使用剥夺自由的替代措施。</w:t>
      </w:r>
    </w:p>
    <w:p w:rsidR="009D4A5F" w:rsidRDefault="009D4A5F" w:rsidP="00A300FF">
      <w:pPr>
        <w:pStyle w:val="H23GC"/>
      </w:pPr>
      <w:r>
        <w:tab/>
      </w:r>
      <w:r>
        <w:tab/>
      </w:r>
      <w:r>
        <w:rPr>
          <w:rFonts w:hint="eastAsia"/>
        </w:rPr>
        <w:t>单独监禁</w:t>
      </w:r>
    </w:p>
    <w:p w:rsidR="009D4A5F" w:rsidRDefault="009D4A5F" w:rsidP="004910A1">
      <w:pPr>
        <w:pStyle w:val="SingleTxtGC"/>
        <w:tabs>
          <w:tab w:val="clear" w:pos="431"/>
          <w:tab w:val="clear" w:pos="1134"/>
          <w:tab w:val="clear" w:pos="1565"/>
          <w:tab w:val="clear" w:pos="1996"/>
          <w:tab w:val="clear" w:pos="2427"/>
          <w:tab w:val="left" w:pos="1701"/>
        </w:tabs>
      </w:pPr>
      <w:r>
        <w:t>30.</w:t>
      </w:r>
      <w:r>
        <w:tab/>
      </w:r>
      <w:r>
        <w:rPr>
          <w:rFonts w:hint="eastAsia"/>
        </w:rPr>
        <w:t>尽管代表团提供资料表明，根据</w:t>
      </w:r>
      <w:r>
        <w:t>2019</w:t>
      </w:r>
      <w:r>
        <w:rPr>
          <w:rFonts w:hint="eastAsia"/>
        </w:rPr>
        <w:t>年</w:t>
      </w:r>
      <w:r>
        <w:t>11</w:t>
      </w:r>
      <w:r>
        <w:rPr>
          <w:rFonts w:hint="eastAsia"/>
        </w:rPr>
        <w:t>月发布的一项建议，单独监禁不得超过</w:t>
      </w:r>
      <w:r>
        <w:t>15</w:t>
      </w:r>
      <w:r>
        <w:rPr>
          <w:rFonts w:hint="eastAsia"/>
        </w:rPr>
        <w:t>天，但委员会感到关切的是，现行立法</w:t>
      </w:r>
      <w:r>
        <w:t>(</w:t>
      </w:r>
      <w:r>
        <w:rPr>
          <w:rFonts w:hint="eastAsia"/>
        </w:rPr>
        <w:t>《第</w:t>
      </w:r>
      <w:r>
        <w:t>115/2009</w:t>
      </w:r>
      <w:r>
        <w:rPr>
          <w:rFonts w:hint="eastAsia"/>
        </w:rPr>
        <w:t>号法》第</w:t>
      </w:r>
      <w:r>
        <w:t>105</w:t>
      </w:r>
      <w:r>
        <w:rPr>
          <w:rFonts w:hint="eastAsia"/>
        </w:rPr>
        <w:t>条</w:t>
      </w:r>
      <w:r>
        <w:t>)</w:t>
      </w:r>
      <w:r>
        <w:rPr>
          <w:rFonts w:hint="eastAsia"/>
        </w:rPr>
        <w:t>允许作为纪律处罚实施长达</w:t>
      </w:r>
      <w:r>
        <w:t>30</w:t>
      </w:r>
      <w:r>
        <w:rPr>
          <w:rFonts w:hint="eastAsia"/>
        </w:rPr>
        <w:t>天的单独监禁。委员会特别感到关切的是，这种措施可对</w:t>
      </w:r>
      <w:r>
        <w:t>18</w:t>
      </w:r>
      <w:r>
        <w:rPr>
          <w:rFonts w:hint="eastAsia"/>
        </w:rPr>
        <w:t>岁以下的未成年人实施</w:t>
      </w:r>
      <w:r>
        <w:t>(</w:t>
      </w:r>
      <w:r>
        <w:rPr>
          <w:rFonts w:hint="eastAsia"/>
        </w:rPr>
        <w:t>第七、第九和第十条</w:t>
      </w:r>
      <w:r>
        <w:t>)</w:t>
      </w:r>
      <w:r>
        <w:rPr>
          <w:rFonts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31.</w:t>
      </w:r>
      <w:r w:rsidRPr="0068645C">
        <w:rPr>
          <w:rFonts w:asciiTheme="majorBidi" w:eastAsia="黑体" w:hAnsiTheme="majorBidi" w:cstheme="majorBidi"/>
        </w:rPr>
        <w:tab/>
      </w:r>
      <w:r w:rsidRPr="0068645C">
        <w:rPr>
          <w:rFonts w:asciiTheme="majorBidi" w:eastAsia="黑体" w:hAnsiTheme="majorBidi" w:cstheme="majorBidi" w:hint="eastAsia"/>
        </w:rPr>
        <w:t>缔约国应使其关于单独监禁的立法和做法符合《联合国囚犯待遇最低限度标准规则》</w:t>
      </w:r>
      <w:r w:rsidRPr="0068645C">
        <w:rPr>
          <w:rFonts w:asciiTheme="majorBidi" w:eastAsia="黑体" w:hAnsiTheme="majorBidi" w:cstheme="majorBidi"/>
        </w:rPr>
        <w:t>(</w:t>
      </w:r>
      <w:r w:rsidRPr="0068645C">
        <w:rPr>
          <w:rFonts w:asciiTheme="majorBidi" w:eastAsia="黑体" w:hAnsiTheme="majorBidi" w:cstheme="majorBidi" w:hint="eastAsia"/>
        </w:rPr>
        <w:t>《纳尔逊</w:t>
      </w:r>
      <w:r w:rsidR="00542EBE">
        <w:rPr>
          <w:rFonts w:hint="eastAsia"/>
        </w:rPr>
        <w:t>·</w:t>
      </w:r>
      <w:r w:rsidRPr="0068645C">
        <w:rPr>
          <w:rFonts w:asciiTheme="majorBidi" w:eastAsia="黑体" w:hAnsiTheme="majorBidi" w:cstheme="majorBidi" w:hint="eastAsia"/>
        </w:rPr>
        <w:t>曼德拉规则》</w:t>
      </w:r>
      <w:r w:rsidRPr="0068645C">
        <w:rPr>
          <w:rFonts w:asciiTheme="majorBidi" w:eastAsia="黑体" w:hAnsiTheme="majorBidi" w:cstheme="majorBidi"/>
        </w:rPr>
        <w:t>)</w:t>
      </w:r>
      <w:r w:rsidRPr="0068645C">
        <w:rPr>
          <w:rFonts w:asciiTheme="majorBidi" w:eastAsia="黑体" w:hAnsiTheme="majorBidi" w:cstheme="majorBidi" w:hint="eastAsia"/>
        </w:rPr>
        <w:t>所反映的国际标准，废除对未成年人的单独监禁，即使作为最后手段使用单独监禁，也应审查对还押拘留者的可允许单独监禁的总时间。缔约国应定期评价单独监禁的影响，以便继续减少这种单独监禁，并在必要时制定替代措施。</w:t>
      </w:r>
    </w:p>
    <w:p w:rsidR="009D4A5F" w:rsidRDefault="009D4A5F" w:rsidP="00950DCF">
      <w:pPr>
        <w:pStyle w:val="H23GC"/>
      </w:pPr>
      <w:r>
        <w:tab/>
      </w:r>
      <w:r>
        <w:tab/>
      </w:r>
      <w:r>
        <w:rPr>
          <w:rFonts w:hint="eastAsia"/>
        </w:rPr>
        <w:t>人口贩运</w:t>
      </w:r>
    </w:p>
    <w:p w:rsidR="009D4A5F" w:rsidRDefault="009D4A5F" w:rsidP="004910A1">
      <w:pPr>
        <w:pStyle w:val="SingleTxtGC"/>
        <w:tabs>
          <w:tab w:val="clear" w:pos="431"/>
          <w:tab w:val="clear" w:pos="1134"/>
          <w:tab w:val="clear" w:pos="1565"/>
          <w:tab w:val="clear" w:pos="1996"/>
          <w:tab w:val="clear" w:pos="2427"/>
          <w:tab w:val="left" w:pos="1701"/>
        </w:tabs>
      </w:pPr>
      <w:r>
        <w:t>32.</w:t>
      </w:r>
      <w:r>
        <w:tab/>
      </w:r>
      <w:r>
        <w:rPr>
          <w:rFonts w:hint="eastAsia"/>
        </w:rPr>
        <w:t>委员会注意到缔约国努力遏制人口贩运行为，但仍感关切的是，关于此类罪行的举报率很低，起诉和定罪率也很低。委员会感到关切的是，在庇护程序，包括在儿童庇护程序中，缺少对人口贩运受害者的适当识别机制</w:t>
      </w:r>
      <w:r>
        <w:t>(</w:t>
      </w:r>
      <w:r>
        <w:rPr>
          <w:rFonts w:hint="eastAsia"/>
        </w:rPr>
        <w:t>第八和第二十四条</w:t>
      </w:r>
      <w:r>
        <w:t>)</w:t>
      </w:r>
      <w:r>
        <w:rPr>
          <w:rFonts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33.</w:t>
      </w:r>
      <w:r w:rsidRPr="0068645C">
        <w:rPr>
          <w:rFonts w:asciiTheme="majorBidi" w:eastAsia="黑体" w:hAnsiTheme="majorBidi" w:cstheme="majorBidi"/>
        </w:rPr>
        <w:tab/>
      </w:r>
      <w:r w:rsidRPr="0068645C">
        <w:rPr>
          <w:rFonts w:asciiTheme="majorBidi" w:eastAsia="黑体" w:hAnsiTheme="majorBidi" w:cstheme="majorBidi" w:hint="eastAsia"/>
        </w:rPr>
        <w:t>缔约国应</w:t>
      </w:r>
      <w:r w:rsidR="00950DCF">
        <w:rPr>
          <w:rFonts w:asciiTheme="majorBidi" w:eastAsia="黑体" w:hAnsiTheme="majorBidi" w:cstheme="majorBidi" w:hint="eastAsia"/>
        </w:rPr>
        <w:t>：</w:t>
      </w:r>
    </w:p>
    <w:p w:rsidR="009D4A5F" w:rsidRPr="0068645C" w:rsidRDefault="00950DC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Pr>
          <w:rFonts w:asciiTheme="majorBidi" w:eastAsia="黑体" w:hAnsiTheme="majorBidi" w:cstheme="majorBidi"/>
        </w:rPr>
        <w:tab/>
      </w:r>
      <w:r w:rsidR="009D4A5F" w:rsidRPr="0068645C">
        <w:rPr>
          <w:rFonts w:asciiTheme="majorBidi" w:eastAsia="黑体" w:hAnsiTheme="majorBidi" w:cstheme="majorBidi"/>
        </w:rPr>
        <w:t>(a)</w:t>
      </w:r>
      <w:r w:rsidR="009D4A5F" w:rsidRPr="0068645C">
        <w:rPr>
          <w:rFonts w:asciiTheme="majorBidi" w:eastAsia="黑体" w:hAnsiTheme="majorBidi" w:cstheme="majorBidi"/>
        </w:rPr>
        <w:tab/>
      </w:r>
      <w:r w:rsidR="009D4A5F" w:rsidRPr="0068645C">
        <w:rPr>
          <w:rFonts w:asciiTheme="majorBidi" w:eastAsia="黑体" w:hAnsiTheme="majorBidi" w:cstheme="majorBidi" w:hint="eastAsia"/>
        </w:rPr>
        <w:t>确保彻查人口贩运案件，起诉责任人，如果认定有罪，则判处适当刑罚，并向受害者提供充分赔偿以及适当的保护和援助；</w:t>
      </w:r>
    </w:p>
    <w:p w:rsidR="009D4A5F" w:rsidRPr="0068645C" w:rsidRDefault="00950DC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Pr>
          <w:rFonts w:asciiTheme="majorBidi" w:eastAsia="黑体" w:hAnsiTheme="majorBidi" w:cstheme="majorBidi"/>
        </w:rPr>
        <w:tab/>
      </w:r>
      <w:r w:rsidR="009D4A5F" w:rsidRPr="0068645C">
        <w:rPr>
          <w:rFonts w:asciiTheme="majorBidi" w:eastAsia="黑体" w:hAnsiTheme="majorBidi" w:cstheme="majorBidi"/>
        </w:rPr>
        <w:t>(b)</w:t>
      </w:r>
      <w:r w:rsidR="009D4A5F" w:rsidRPr="0068645C">
        <w:rPr>
          <w:rFonts w:asciiTheme="majorBidi" w:eastAsia="黑体" w:hAnsiTheme="majorBidi" w:cstheme="majorBidi"/>
        </w:rPr>
        <w:tab/>
      </w:r>
      <w:r w:rsidR="009D4A5F" w:rsidRPr="0068645C">
        <w:rPr>
          <w:rFonts w:asciiTheme="majorBidi" w:eastAsia="黑体" w:hAnsiTheme="majorBidi" w:cstheme="majorBidi" w:hint="eastAsia"/>
        </w:rPr>
        <w:t>向法官、检察官、执法人员、移民官员和所有接待设施的工作人员提供适当的培训，包括关于人口贩运受害者识别程序的培训；</w:t>
      </w:r>
    </w:p>
    <w:p w:rsidR="009D4A5F" w:rsidRPr="0068645C" w:rsidRDefault="00950DC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Pr>
          <w:rFonts w:asciiTheme="majorBidi" w:eastAsia="黑体" w:hAnsiTheme="majorBidi" w:cstheme="majorBidi"/>
        </w:rPr>
        <w:tab/>
      </w:r>
      <w:r w:rsidR="009D4A5F" w:rsidRPr="0068645C">
        <w:rPr>
          <w:rFonts w:asciiTheme="majorBidi" w:eastAsia="黑体" w:hAnsiTheme="majorBidi" w:cstheme="majorBidi"/>
        </w:rPr>
        <w:t>(c)</w:t>
      </w:r>
      <w:r w:rsidR="009D4A5F" w:rsidRPr="0068645C">
        <w:rPr>
          <w:rFonts w:asciiTheme="majorBidi" w:eastAsia="黑体" w:hAnsiTheme="majorBidi" w:cstheme="majorBidi"/>
        </w:rPr>
        <w:tab/>
      </w:r>
      <w:r w:rsidR="009D4A5F" w:rsidRPr="0068645C">
        <w:rPr>
          <w:rFonts w:asciiTheme="majorBidi" w:eastAsia="黑体" w:hAnsiTheme="majorBidi" w:cstheme="majorBidi" w:hint="eastAsia"/>
        </w:rPr>
        <w:t>确保人口贩运受害者能够利用庇护程序确定他们的潜在需求。</w:t>
      </w:r>
    </w:p>
    <w:p w:rsidR="009D4A5F" w:rsidRDefault="009D4A5F" w:rsidP="00A54174">
      <w:pPr>
        <w:pStyle w:val="H23GC"/>
      </w:pPr>
      <w:r>
        <w:rPr>
          <w:color w:val="FF0000"/>
        </w:rPr>
        <w:lastRenderedPageBreak/>
        <w:tab/>
      </w:r>
      <w:r>
        <w:tab/>
      </w:r>
      <w:r>
        <w:rPr>
          <w:rFonts w:hint="eastAsia"/>
        </w:rPr>
        <w:t>包括移民、难民和寻求庇护者在内的外国人的权利</w:t>
      </w:r>
    </w:p>
    <w:p w:rsidR="009D4A5F" w:rsidRDefault="009D4A5F" w:rsidP="004910A1">
      <w:pPr>
        <w:pStyle w:val="SingleTxtGC"/>
        <w:tabs>
          <w:tab w:val="clear" w:pos="431"/>
          <w:tab w:val="clear" w:pos="1134"/>
          <w:tab w:val="clear" w:pos="1565"/>
          <w:tab w:val="clear" w:pos="1996"/>
          <w:tab w:val="clear" w:pos="2427"/>
          <w:tab w:val="left" w:pos="1701"/>
        </w:tabs>
      </w:pPr>
      <w:r>
        <w:t>34.</w:t>
      </w:r>
      <w:r>
        <w:tab/>
      </w:r>
      <w:r>
        <w:rPr>
          <w:rFonts w:hint="eastAsia"/>
        </w:rPr>
        <w:t>委员会承认</w:t>
      </w:r>
      <w:r w:rsidRPr="005772C1">
        <w:rPr>
          <w:rFonts w:hint="eastAsia"/>
          <w:spacing w:val="-4"/>
        </w:rPr>
        <w:t>抵达缔约国领土的移民越来越多，也承认所涉及的挑战和缔约国为满足这些移民的</w:t>
      </w:r>
      <w:r>
        <w:rPr>
          <w:rFonts w:hint="eastAsia"/>
        </w:rPr>
        <w:t>需求所作的努力，但委员会感到关切的是，为处理移民涌入而采取的一些措施可能会侵犯《公约》所保护的权利。委员会特别感到关切的是</w:t>
      </w:r>
      <w:r w:rsidR="00A54174">
        <w:rPr>
          <w:rFonts w:hint="eastAsia"/>
        </w:rPr>
        <w:t>：</w:t>
      </w:r>
    </w:p>
    <w:p w:rsidR="009D4A5F" w:rsidRPr="005772C1" w:rsidRDefault="009D4A5F" w:rsidP="004910A1">
      <w:pPr>
        <w:pStyle w:val="SingleTxtGC"/>
        <w:tabs>
          <w:tab w:val="clear" w:pos="431"/>
          <w:tab w:val="clear" w:pos="1134"/>
          <w:tab w:val="clear" w:pos="1565"/>
          <w:tab w:val="clear" w:pos="1996"/>
          <w:tab w:val="clear" w:pos="2427"/>
          <w:tab w:val="left" w:pos="1701"/>
        </w:tabs>
        <w:rPr>
          <w:bCs/>
          <w:color w:val="000000" w:themeColor="text1"/>
          <w:spacing w:val="-4"/>
        </w:rPr>
      </w:pPr>
      <w:r>
        <w:rPr>
          <w:bCs/>
          <w:color w:val="000000" w:themeColor="text1"/>
        </w:rPr>
        <w:tab/>
        <w:t>(a)</w:t>
      </w:r>
      <w:r>
        <w:rPr>
          <w:bCs/>
          <w:color w:val="000000" w:themeColor="text1"/>
        </w:rPr>
        <w:tab/>
      </w:r>
      <w:r>
        <w:rPr>
          <w:rFonts w:hint="eastAsia"/>
          <w:bCs/>
          <w:color w:val="000000" w:themeColor="text1"/>
        </w:rPr>
        <w:t>有</w:t>
      </w:r>
      <w:r w:rsidRPr="005772C1">
        <w:rPr>
          <w:rFonts w:hint="eastAsia"/>
          <w:bCs/>
          <w:color w:val="000000" w:themeColor="text1"/>
          <w:spacing w:val="-4"/>
        </w:rPr>
        <w:t>报告称，在处理常规庇护申请以及发放和延长居留证方面存在拖延；</w:t>
      </w:r>
    </w:p>
    <w:p w:rsidR="009D4A5F" w:rsidRDefault="009D4A5F" w:rsidP="004910A1">
      <w:pPr>
        <w:pStyle w:val="SingleTxtGC"/>
        <w:tabs>
          <w:tab w:val="clear" w:pos="431"/>
          <w:tab w:val="clear" w:pos="1134"/>
          <w:tab w:val="clear" w:pos="1565"/>
          <w:tab w:val="clear" w:pos="1996"/>
          <w:tab w:val="clear" w:pos="2427"/>
          <w:tab w:val="left" w:pos="1701"/>
        </w:tabs>
      </w:pPr>
      <w:r>
        <w:tab/>
        <w:t>(b)</w:t>
      </w:r>
      <w:r>
        <w:tab/>
      </w:r>
      <w:r>
        <w:rPr>
          <w:rFonts w:hint="eastAsia"/>
          <w:bCs/>
        </w:rPr>
        <w:t>过度使用加速程序，这可能损害申请评估的质量，并增加推回的风险；</w:t>
      </w:r>
    </w:p>
    <w:p w:rsidR="009D4A5F" w:rsidRDefault="009D4A5F" w:rsidP="004910A1">
      <w:pPr>
        <w:pStyle w:val="SingleTxtGC"/>
        <w:tabs>
          <w:tab w:val="clear" w:pos="431"/>
          <w:tab w:val="clear" w:pos="1134"/>
          <w:tab w:val="clear" w:pos="1565"/>
          <w:tab w:val="clear" w:pos="1996"/>
          <w:tab w:val="clear" w:pos="2427"/>
          <w:tab w:val="left" w:pos="1701"/>
        </w:tabs>
        <w:rPr>
          <w:color w:val="000000" w:themeColor="text1"/>
        </w:rPr>
      </w:pPr>
      <w:r>
        <w:rPr>
          <w:color w:val="000000" w:themeColor="text1"/>
        </w:rPr>
        <w:tab/>
        <w:t>(c)</w:t>
      </w:r>
      <w:r>
        <w:rPr>
          <w:color w:val="000000" w:themeColor="text1"/>
        </w:rPr>
        <w:tab/>
      </w:r>
      <w:r>
        <w:rPr>
          <w:rFonts w:hint="eastAsia"/>
          <w:bCs/>
          <w:color w:val="000000" w:themeColor="text1"/>
        </w:rPr>
        <w:t>缺乏适当的识别机制来识别弱势寻求庇护者，包括无国籍人；</w:t>
      </w:r>
    </w:p>
    <w:p w:rsidR="009D4A5F" w:rsidRDefault="009D4A5F" w:rsidP="004910A1">
      <w:pPr>
        <w:pStyle w:val="SingleTxtGC"/>
        <w:tabs>
          <w:tab w:val="clear" w:pos="431"/>
          <w:tab w:val="clear" w:pos="1134"/>
          <w:tab w:val="clear" w:pos="1565"/>
          <w:tab w:val="clear" w:pos="1996"/>
          <w:tab w:val="clear" w:pos="2427"/>
          <w:tab w:val="left" w:pos="1701"/>
        </w:tabs>
        <w:rPr>
          <w:color w:val="000000" w:themeColor="text1"/>
        </w:rPr>
      </w:pPr>
      <w:r>
        <w:rPr>
          <w:color w:val="000000" w:themeColor="text1"/>
        </w:rPr>
        <w:tab/>
        <w:t>(d)</w:t>
      </w:r>
      <w:r>
        <w:rPr>
          <w:color w:val="000000" w:themeColor="text1"/>
        </w:rPr>
        <w:tab/>
      </w:r>
      <w:r>
        <w:rPr>
          <w:rFonts w:hint="eastAsia"/>
          <w:bCs/>
          <w:color w:val="000000" w:themeColor="text1"/>
        </w:rPr>
        <w:t>有报告称，寻求庇护者在边境被长期拘留；</w:t>
      </w:r>
    </w:p>
    <w:p w:rsidR="009D4A5F" w:rsidRDefault="009D4A5F" w:rsidP="004910A1">
      <w:pPr>
        <w:pStyle w:val="SingleTxtGC"/>
        <w:tabs>
          <w:tab w:val="clear" w:pos="431"/>
          <w:tab w:val="clear" w:pos="1134"/>
          <w:tab w:val="clear" w:pos="1565"/>
          <w:tab w:val="clear" w:pos="1996"/>
          <w:tab w:val="clear" w:pos="2427"/>
          <w:tab w:val="left" w:pos="1701"/>
        </w:tabs>
      </w:pPr>
      <w:r>
        <w:tab/>
        <w:t>(e)</w:t>
      </w:r>
      <w:r>
        <w:tab/>
      </w:r>
      <w:r>
        <w:rPr>
          <w:rFonts w:hint="eastAsia"/>
        </w:rPr>
        <w:t>有报告称，不令人满意的拘留条件，包括过度拥挤对移民造成不利影响</w:t>
      </w:r>
      <w:r>
        <w:t>(</w:t>
      </w:r>
      <w:r>
        <w:rPr>
          <w:rFonts w:hint="eastAsia"/>
        </w:rPr>
        <w:t>第二、第七、第九、第十和第十三条</w:t>
      </w:r>
      <w:r>
        <w:t>)</w:t>
      </w:r>
      <w:r>
        <w:rPr>
          <w:rFonts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35.</w:t>
      </w:r>
      <w:r w:rsidRPr="0068645C">
        <w:rPr>
          <w:rFonts w:asciiTheme="majorBidi" w:eastAsia="黑体" w:hAnsiTheme="majorBidi" w:cstheme="majorBidi"/>
        </w:rPr>
        <w:tab/>
      </w:r>
      <w:r w:rsidRPr="0068645C">
        <w:rPr>
          <w:rFonts w:asciiTheme="majorBidi" w:eastAsia="黑体" w:hAnsiTheme="majorBidi" w:cstheme="majorBidi" w:hint="eastAsia"/>
        </w:rPr>
        <w:t>缔约国应</w:t>
      </w:r>
      <w:r w:rsidR="008B1F14">
        <w:rPr>
          <w:rFonts w:asciiTheme="majorBidi" w:eastAsia="黑体" w:hAnsiTheme="majorBidi" w:cstheme="majorBidi"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(a)</w:t>
      </w:r>
      <w:r w:rsidRPr="0068645C">
        <w:rPr>
          <w:rFonts w:asciiTheme="majorBidi" w:eastAsia="黑体" w:hAnsiTheme="majorBidi" w:cstheme="majorBidi"/>
        </w:rPr>
        <w:tab/>
      </w:r>
      <w:r w:rsidRPr="0068645C">
        <w:rPr>
          <w:rFonts w:asciiTheme="majorBidi" w:eastAsia="黑体" w:hAnsiTheme="majorBidi" w:cstheme="majorBidi" w:hint="eastAsia"/>
        </w:rPr>
        <w:t>确保在边境以及在接待和拘留设施迅速接收、登记并向庇护当局转交所有国际保护申请；</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(b)</w:t>
      </w:r>
      <w:r w:rsidRPr="0068645C">
        <w:rPr>
          <w:rFonts w:asciiTheme="majorBidi" w:eastAsia="黑体" w:hAnsiTheme="majorBidi" w:cstheme="majorBidi"/>
        </w:rPr>
        <w:tab/>
      </w:r>
      <w:r w:rsidRPr="0068645C">
        <w:rPr>
          <w:rFonts w:asciiTheme="majorBidi" w:eastAsia="黑体" w:hAnsiTheme="majorBidi" w:cstheme="majorBidi" w:hint="eastAsia"/>
        </w:rPr>
        <w:t>继续努力保持和加强其难民地位确定程序的质量，以便公平和有效地查明和承认需要国际保护的人，并为遵守《公约》规定的不推回原则提供充分保障；</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(c)</w:t>
      </w:r>
      <w:r w:rsidRPr="0068645C">
        <w:rPr>
          <w:rFonts w:asciiTheme="majorBidi" w:eastAsia="黑体" w:hAnsiTheme="majorBidi" w:cstheme="majorBidi"/>
        </w:rPr>
        <w:tab/>
      </w:r>
      <w:r w:rsidRPr="0068645C">
        <w:rPr>
          <w:rFonts w:asciiTheme="majorBidi" w:eastAsia="黑体" w:hAnsiTheme="majorBidi" w:cstheme="majorBidi" w:hint="eastAsia"/>
        </w:rPr>
        <w:t>建立有效机制，识别弱势申请人，特别是无国籍人；</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(d)</w:t>
      </w:r>
      <w:r w:rsidRPr="0068645C">
        <w:rPr>
          <w:rFonts w:asciiTheme="majorBidi" w:eastAsia="黑体" w:hAnsiTheme="majorBidi" w:cstheme="majorBidi"/>
        </w:rPr>
        <w:tab/>
      </w:r>
      <w:r w:rsidRPr="0068645C">
        <w:rPr>
          <w:rFonts w:asciiTheme="majorBidi" w:eastAsia="黑体" w:hAnsiTheme="majorBidi" w:cstheme="majorBidi" w:hint="eastAsia"/>
        </w:rPr>
        <w:t>根据委员会关于人身自由和安全的第</w:t>
      </w:r>
      <w:r w:rsidRPr="0068645C">
        <w:rPr>
          <w:rFonts w:asciiTheme="majorBidi" w:eastAsia="黑体" w:hAnsiTheme="majorBidi" w:cstheme="majorBidi"/>
        </w:rPr>
        <w:t>35</w:t>
      </w:r>
      <w:r w:rsidRPr="0068645C">
        <w:rPr>
          <w:rFonts w:asciiTheme="majorBidi" w:eastAsia="黑体" w:hAnsiTheme="majorBidi" w:cstheme="majorBidi" w:hint="eastAsia"/>
        </w:rPr>
        <w:t>号一般性意见</w:t>
      </w:r>
      <w:r w:rsidRPr="0068645C">
        <w:rPr>
          <w:rFonts w:asciiTheme="majorBidi" w:eastAsia="黑体" w:hAnsiTheme="majorBidi" w:cstheme="majorBidi"/>
        </w:rPr>
        <w:t>(2014</w:t>
      </w:r>
      <w:r w:rsidRPr="0068645C">
        <w:rPr>
          <w:rFonts w:asciiTheme="majorBidi" w:eastAsia="黑体" w:hAnsiTheme="majorBidi" w:cstheme="majorBidi" w:hint="eastAsia"/>
        </w:rPr>
        <w:t>年</w:t>
      </w:r>
      <w:r w:rsidRPr="0068645C">
        <w:rPr>
          <w:rFonts w:asciiTheme="majorBidi" w:eastAsia="黑体" w:hAnsiTheme="majorBidi" w:cstheme="majorBidi"/>
        </w:rPr>
        <w:t>)</w:t>
      </w:r>
      <w:r w:rsidRPr="0068645C">
        <w:rPr>
          <w:rFonts w:asciiTheme="majorBidi" w:eastAsia="黑体" w:hAnsiTheme="majorBidi" w:cstheme="majorBidi" w:hint="eastAsia"/>
        </w:rPr>
        <w:t>，确保对移民和寻求庇护者的拘留是合理、必要和相称的，并确保在实践中找到拘留的替代办法；</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(e)</w:t>
      </w:r>
      <w:r w:rsidRPr="0068645C">
        <w:rPr>
          <w:rFonts w:asciiTheme="majorBidi" w:eastAsia="黑体" w:hAnsiTheme="majorBidi" w:cstheme="majorBidi"/>
        </w:rPr>
        <w:tab/>
      </w:r>
      <w:r w:rsidRPr="0068645C">
        <w:rPr>
          <w:rFonts w:asciiTheme="majorBidi" w:eastAsia="黑体" w:hAnsiTheme="majorBidi" w:cstheme="majorBidi" w:hint="eastAsia"/>
        </w:rPr>
        <w:t>确保移民拘留中心的生活条件和待遇符合国际标准；</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ab/>
        <w:t>(f)</w:t>
      </w:r>
      <w:r w:rsidRPr="0068645C">
        <w:rPr>
          <w:rFonts w:asciiTheme="majorBidi" w:eastAsia="黑体" w:hAnsiTheme="majorBidi" w:cstheme="majorBidi"/>
        </w:rPr>
        <w:tab/>
      </w:r>
      <w:r w:rsidRPr="0068645C">
        <w:rPr>
          <w:rFonts w:asciiTheme="majorBidi" w:eastAsia="黑体" w:hAnsiTheme="majorBidi" w:cstheme="majorBidi" w:hint="eastAsia"/>
        </w:rPr>
        <w:t>加强对移民机构工作人员和边境人员的培训，使他们了解《公约》和其他国际标准规定的寻求庇护者和难民的权利。</w:t>
      </w:r>
    </w:p>
    <w:p w:rsidR="009D4A5F" w:rsidRDefault="009D4A5F" w:rsidP="001019F1">
      <w:pPr>
        <w:pStyle w:val="H23GC"/>
      </w:pPr>
      <w:r>
        <w:tab/>
      </w:r>
      <w:r>
        <w:tab/>
      </w:r>
      <w:r>
        <w:rPr>
          <w:rFonts w:hint="eastAsia"/>
        </w:rPr>
        <w:t>孤身未成年人</w:t>
      </w:r>
    </w:p>
    <w:p w:rsidR="009D4A5F" w:rsidRDefault="009D4A5F" w:rsidP="004910A1">
      <w:pPr>
        <w:pStyle w:val="SingleTxtGC"/>
        <w:tabs>
          <w:tab w:val="clear" w:pos="431"/>
          <w:tab w:val="clear" w:pos="1134"/>
          <w:tab w:val="clear" w:pos="1565"/>
          <w:tab w:val="clear" w:pos="1996"/>
          <w:tab w:val="clear" w:pos="2427"/>
          <w:tab w:val="left" w:pos="1701"/>
        </w:tabs>
      </w:pPr>
      <w:r>
        <w:t>36.</w:t>
      </w:r>
      <w:r>
        <w:tab/>
      </w:r>
      <w:r>
        <w:rPr>
          <w:rFonts w:hint="eastAsia"/>
        </w:rPr>
        <w:t>委员会注意到代表团提供的信息，即葡萄牙法律不允许以移民为由拘留</w:t>
      </w:r>
      <w:r>
        <w:t>18</w:t>
      </w:r>
      <w:r>
        <w:rPr>
          <w:rFonts w:hint="eastAsia"/>
        </w:rPr>
        <w:t>岁以下的未成年人，但委员会注意到内政部于</w:t>
      </w:r>
      <w:r>
        <w:t>2018</w:t>
      </w:r>
      <w:r>
        <w:rPr>
          <w:rFonts w:hint="eastAsia"/>
        </w:rPr>
        <w:t>年</w:t>
      </w:r>
      <w:r>
        <w:t>7</w:t>
      </w:r>
      <w:r>
        <w:rPr>
          <w:rFonts w:hint="eastAsia"/>
        </w:rPr>
        <w:t>月发出通知，将拘留</w:t>
      </w:r>
      <w:r>
        <w:t>16</w:t>
      </w:r>
      <w:r>
        <w:rPr>
          <w:rFonts w:hint="eastAsia"/>
        </w:rPr>
        <w:t>岁以下儿童的期限限制在最多</w:t>
      </w:r>
      <w:r>
        <w:t>7</w:t>
      </w:r>
      <w:r>
        <w:rPr>
          <w:rFonts w:hint="eastAsia"/>
        </w:rPr>
        <w:t>天。委员会感到关切的是，在这方面缺乏明确的立法，包括关于</w:t>
      </w:r>
      <w:r>
        <w:t>16</w:t>
      </w:r>
      <w:r>
        <w:rPr>
          <w:rFonts w:hint="eastAsia"/>
        </w:rPr>
        <w:t>岁以下儿童的规定，委员会还对关于儿童在机场被拘留的报告感到关切</w:t>
      </w:r>
      <w:r>
        <w:t>(</w:t>
      </w:r>
      <w:r>
        <w:rPr>
          <w:rFonts w:hint="eastAsia"/>
        </w:rPr>
        <w:t>第二、第七、第九、第十三和第二十四条</w:t>
      </w:r>
      <w:r>
        <w:t>)</w:t>
      </w:r>
      <w:r>
        <w:rPr>
          <w:rFonts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37.</w:t>
      </w:r>
      <w:r w:rsidRPr="0068645C">
        <w:rPr>
          <w:rFonts w:asciiTheme="majorBidi" w:eastAsia="黑体" w:hAnsiTheme="majorBidi" w:cstheme="majorBidi"/>
        </w:rPr>
        <w:tab/>
      </w:r>
      <w:r w:rsidRPr="0068645C">
        <w:rPr>
          <w:rFonts w:asciiTheme="majorBidi" w:eastAsia="黑体" w:hAnsiTheme="majorBidi" w:cstheme="majorBidi" w:hint="eastAsia"/>
        </w:rPr>
        <w:t>缔约国应确保不拘留儿童和孤身未成年人，除非用作最后手段且时间尽可能短，同时在拘留期限和条件及特殊照料需求方面应首要考虑他们的最大利益。缔约国应确保所有移民拘留和接待中心的实际条件符合国际标准。缔约国还应确保提供保障，保护寻求庇护的儿童，特别是孤身儿童，确保他们能够获得适当的教育、保健、社会和心理服务以及法律援助，并毫不拖延地为他们提供法律代表和</w:t>
      </w:r>
      <w:r w:rsidRPr="0068645C">
        <w:rPr>
          <w:rFonts w:asciiTheme="majorBidi" w:eastAsia="黑体" w:hAnsiTheme="majorBidi" w:cstheme="majorBidi"/>
        </w:rPr>
        <w:t>/</w:t>
      </w:r>
      <w:r w:rsidRPr="0068645C">
        <w:rPr>
          <w:rFonts w:asciiTheme="majorBidi" w:eastAsia="黑体" w:hAnsiTheme="majorBidi" w:cstheme="majorBidi" w:hint="eastAsia"/>
        </w:rPr>
        <w:t>或监护人。</w:t>
      </w:r>
    </w:p>
    <w:p w:rsidR="009D4A5F" w:rsidRDefault="009D4A5F" w:rsidP="005C3766">
      <w:pPr>
        <w:pStyle w:val="H23GC"/>
      </w:pPr>
      <w:r>
        <w:lastRenderedPageBreak/>
        <w:tab/>
      </w:r>
      <w:r>
        <w:tab/>
      </w:r>
      <w:r>
        <w:rPr>
          <w:rFonts w:hint="eastAsia"/>
        </w:rPr>
        <w:t>公正审判权</w:t>
      </w:r>
    </w:p>
    <w:p w:rsidR="009D4A5F" w:rsidRDefault="009D4A5F" w:rsidP="004910A1">
      <w:pPr>
        <w:pStyle w:val="SingleTxtGC"/>
        <w:tabs>
          <w:tab w:val="clear" w:pos="431"/>
          <w:tab w:val="clear" w:pos="1134"/>
          <w:tab w:val="clear" w:pos="1565"/>
          <w:tab w:val="clear" w:pos="1996"/>
          <w:tab w:val="clear" w:pos="2427"/>
          <w:tab w:val="left" w:pos="1701"/>
        </w:tabs>
      </w:pPr>
      <w:r>
        <w:t>38.</w:t>
      </w:r>
      <w:r>
        <w:tab/>
      </w:r>
      <w:r>
        <w:rPr>
          <w:rFonts w:hint="eastAsia"/>
        </w:rPr>
        <w:t>委员会注意到代表团就向被拘留者提供信息和免费法律援助机会问题以书面</w:t>
      </w:r>
      <w:r>
        <w:t>(CCPR/C/PRT/5</w:t>
      </w:r>
      <w:r>
        <w:rPr>
          <w:rFonts w:hint="eastAsia"/>
        </w:rPr>
        <w:t>，第</w:t>
      </w:r>
      <w:r>
        <w:t>148</w:t>
      </w:r>
      <w:r w:rsidR="00567A88">
        <w:t>-</w:t>
      </w:r>
      <w:r>
        <w:t>156</w:t>
      </w:r>
      <w:r>
        <w:rPr>
          <w:rFonts w:hint="eastAsia"/>
        </w:rPr>
        <w:t>段</w:t>
      </w:r>
      <w:r>
        <w:t>)</w:t>
      </w:r>
      <w:r>
        <w:rPr>
          <w:rFonts w:hint="eastAsia"/>
        </w:rPr>
        <w:t>和口头形式作出的澄清，但仍感关切的是，有报告称，并非总是以被拘留者，特别是被拘留的外国人懂得的语言及时告知他们的权利，包括他们从被捕时起就享有获得法律顾问的权利。委员会还感到关切的是，被拘留者缺少切实获得法律援助的机会</w:t>
      </w:r>
      <w:r>
        <w:t>(</w:t>
      </w:r>
      <w:r>
        <w:rPr>
          <w:rFonts w:hint="eastAsia"/>
        </w:rPr>
        <w:t>第七、第九和第十条</w:t>
      </w:r>
      <w:r>
        <w:t>)</w:t>
      </w:r>
      <w:r>
        <w:rPr>
          <w:rFonts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39.</w:t>
      </w:r>
      <w:r w:rsidRPr="0068645C">
        <w:rPr>
          <w:rFonts w:asciiTheme="majorBidi" w:eastAsia="黑体" w:hAnsiTheme="majorBidi" w:cstheme="majorBidi"/>
        </w:rPr>
        <w:tab/>
      </w:r>
      <w:r w:rsidRPr="0068645C">
        <w:rPr>
          <w:rFonts w:asciiTheme="majorBidi" w:eastAsia="黑体" w:hAnsiTheme="majorBidi" w:cstheme="majorBidi" w:hint="eastAsia"/>
        </w:rPr>
        <w:t>缔约国应回顾委员会先前的建议</w:t>
      </w:r>
      <w:r w:rsidRPr="0068645C">
        <w:rPr>
          <w:rFonts w:asciiTheme="majorBidi" w:eastAsia="黑体" w:hAnsiTheme="majorBidi" w:cstheme="majorBidi"/>
        </w:rPr>
        <w:t>(CCPR/C/PRT/CO/4</w:t>
      </w:r>
      <w:r w:rsidRPr="0068645C">
        <w:rPr>
          <w:rFonts w:asciiTheme="majorBidi" w:eastAsia="黑体" w:hAnsiTheme="majorBidi" w:cstheme="majorBidi" w:hint="eastAsia"/>
        </w:rPr>
        <w:t>，第</w:t>
      </w:r>
      <w:r w:rsidRPr="0068645C">
        <w:rPr>
          <w:rFonts w:asciiTheme="majorBidi" w:eastAsia="黑体" w:hAnsiTheme="majorBidi" w:cstheme="majorBidi"/>
        </w:rPr>
        <w:t>8</w:t>
      </w:r>
      <w:r w:rsidRPr="0068645C">
        <w:rPr>
          <w:rFonts w:asciiTheme="majorBidi" w:eastAsia="黑体" w:hAnsiTheme="majorBidi" w:cstheme="majorBidi" w:hint="eastAsia"/>
        </w:rPr>
        <w:t>段</w:t>
      </w:r>
      <w:r w:rsidRPr="0068645C">
        <w:rPr>
          <w:rFonts w:asciiTheme="majorBidi" w:eastAsia="黑体" w:hAnsiTheme="majorBidi" w:cstheme="majorBidi"/>
        </w:rPr>
        <w:t>)</w:t>
      </w:r>
      <w:r w:rsidRPr="0068645C">
        <w:rPr>
          <w:rFonts w:asciiTheme="majorBidi" w:eastAsia="黑体" w:hAnsiTheme="majorBidi" w:cstheme="majorBidi" w:hint="eastAsia"/>
        </w:rPr>
        <w:t>，加强措施，确保被拘留者从被警方拘捕之时起就切实享有获得法律顾问的权利，并确保执法人员遵守法律义务，以被剥夺自由者懂得的语言告知他们可享有的权利。</w:t>
      </w:r>
    </w:p>
    <w:p w:rsidR="009D4A5F" w:rsidRDefault="009D4A5F" w:rsidP="005B00DA">
      <w:pPr>
        <w:pStyle w:val="H23GC"/>
        <w:rPr>
          <w:color w:val="000000" w:themeColor="text1"/>
        </w:rPr>
      </w:pPr>
      <w:r>
        <w:rPr>
          <w:color w:val="FF0000"/>
        </w:rPr>
        <w:tab/>
      </w:r>
      <w:r>
        <w:rPr>
          <w:color w:val="FF0000"/>
        </w:rPr>
        <w:tab/>
      </w:r>
      <w:r>
        <w:rPr>
          <w:rFonts w:hint="eastAsia"/>
        </w:rPr>
        <w:t>审前拘留</w:t>
      </w:r>
    </w:p>
    <w:p w:rsidR="009D4A5F" w:rsidRDefault="009D4A5F" w:rsidP="004910A1">
      <w:pPr>
        <w:pStyle w:val="SingleTxtGC"/>
        <w:tabs>
          <w:tab w:val="clear" w:pos="431"/>
          <w:tab w:val="clear" w:pos="1134"/>
          <w:tab w:val="clear" w:pos="1565"/>
          <w:tab w:val="clear" w:pos="1996"/>
          <w:tab w:val="clear" w:pos="2427"/>
          <w:tab w:val="left" w:pos="1701"/>
        </w:tabs>
      </w:pPr>
      <w:r>
        <w:t>40.</w:t>
      </w:r>
      <w:r>
        <w:tab/>
      </w:r>
      <w:r>
        <w:rPr>
          <w:rFonts w:hint="eastAsia"/>
          <w:spacing w:val="-2"/>
        </w:rPr>
        <w:t>委员会欢迎缔约国通过关于以电子监测方式进行软禁的第</w:t>
      </w:r>
      <w:r>
        <w:rPr>
          <w:spacing w:val="-2"/>
        </w:rPr>
        <w:t>94/2017</w:t>
      </w:r>
      <w:r>
        <w:rPr>
          <w:rFonts w:hint="eastAsia"/>
          <w:spacing w:val="-2"/>
        </w:rPr>
        <w:t>号法律，并欢迎审前拘留率有所下降，但委员会仍感关切的是，《刑事诉讼法》第</w:t>
      </w:r>
      <w:r>
        <w:rPr>
          <w:spacing w:val="-2"/>
        </w:rPr>
        <w:t>215</w:t>
      </w:r>
      <w:r>
        <w:rPr>
          <w:rFonts w:hint="eastAsia"/>
          <w:spacing w:val="-2"/>
        </w:rPr>
        <w:t>条规定的审前拘留期限过长。委员会对缺少关于审前拘留平均时间的统计数据感到遗憾，并感到关切的是，有报告称，有人遭到长期的审前拘留。委员会还感到遗憾的是，缺乏关于为缩短调查时间和提高司法效率而采取的措施的信息</w:t>
      </w:r>
      <w:r>
        <w:rPr>
          <w:spacing w:val="-2"/>
        </w:rPr>
        <w:t>(</w:t>
      </w:r>
      <w:r>
        <w:rPr>
          <w:rFonts w:hint="eastAsia"/>
          <w:spacing w:val="-2"/>
        </w:rPr>
        <w:t>第九和第十条</w:t>
      </w:r>
      <w:r>
        <w:rPr>
          <w:spacing w:val="-2"/>
        </w:rPr>
        <w:t>)</w:t>
      </w:r>
      <w:r>
        <w:rPr>
          <w:rFonts w:hint="eastAsia"/>
          <w:spacing w:val="-2"/>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8645C">
        <w:rPr>
          <w:rFonts w:asciiTheme="majorBidi" w:eastAsia="黑体" w:hAnsiTheme="majorBidi" w:cstheme="majorBidi"/>
        </w:rPr>
        <w:t>41.</w:t>
      </w:r>
      <w:r w:rsidRPr="0068645C">
        <w:rPr>
          <w:rFonts w:asciiTheme="majorBidi" w:eastAsia="黑体" w:hAnsiTheme="majorBidi" w:cstheme="majorBidi"/>
        </w:rPr>
        <w:tab/>
      </w:r>
      <w:r w:rsidRPr="0068645C">
        <w:rPr>
          <w:rFonts w:asciiTheme="majorBidi" w:eastAsia="黑体" w:hAnsiTheme="majorBidi" w:cstheme="majorBidi" w:hint="eastAsia"/>
        </w:rPr>
        <w:t>缔约国应回顾委员会先前的建议</w:t>
      </w:r>
      <w:r w:rsidRPr="0068645C">
        <w:rPr>
          <w:rFonts w:asciiTheme="majorBidi" w:eastAsia="黑体" w:hAnsiTheme="majorBidi" w:cstheme="majorBidi"/>
        </w:rPr>
        <w:t>(CCPR/C/PRT/CO/4</w:t>
      </w:r>
      <w:r w:rsidRPr="0068645C">
        <w:rPr>
          <w:rFonts w:asciiTheme="majorBidi" w:eastAsia="黑体" w:hAnsiTheme="majorBidi" w:cstheme="majorBidi" w:hint="eastAsia"/>
        </w:rPr>
        <w:t>，第</w:t>
      </w:r>
      <w:r w:rsidRPr="0068645C">
        <w:rPr>
          <w:rFonts w:asciiTheme="majorBidi" w:eastAsia="黑体" w:hAnsiTheme="majorBidi" w:cstheme="majorBidi"/>
        </w:rPr>
        <w:t>9</w:t>
      </w:r>
      <w:r w:rsidRPr="0068645C">
        <w:rPr>
          <w:rFonts w:asciiTheme="majorBidi" w:eastAsia="黑体" w:hAnsiTheme="majorBidi" w:cstheme="majorBidi" w:hint="eastAsia"/>
        </w:rPr>
        <w:t>段</w:t>
      </w:r>
      <w:r w:rsidRPr="0068645C">
        <w:rPr>
          <w:rFonts w:asciiTheme="majorBidi" w:eastAsia="黑体" w:hAnsiTheme="majorBidi" w:cstheme="majorBidi"/>
        </w:rPr>
        <w:t>)</w:t>
      </w:r>
      <w:r w:rsidRPr="0068645C">
        <w:rPr>
          <w:rFonts w:asciiTheme="majorBidi" w:eastAsia="黑体" w:hAnsiTheme="majorBidi" w:cstheme="majorBidi" w:hint="eastAsia"/>
        </w:rPr>
        <w:t>，根据《公约》的规定，确保审前拘留仅作为最后手段使用，时间尽可能短，并对审前拘留进行定期审查。缔约国应继续推广非羁押式替代措施，系统地实施这些措施，并应缩短调查时间，采取措施提高司法效率。</w:t>
      </w:r>
    </w:p>
    <w:p w:rsidR="009D4A5F" w:rsidRDefault="009D4A5F" w:rsidP="00306166">
      <w:pPr>
        <w:pStyle w:val="H23GC"/>
        <w:rPr>
          <w:b/>
        </w:rPr>
      </w:pPr>
      <w:r>
        <w:rPr>
          <w:color w:val="FF0000"/>
        </w:rPr>
        <w:tab/>
      </w:r>
      <w:r>
        <w:rPr>
          <w:color w:val="FF0000"/>
        </w:rPr>
        <w:tab/>
      </w:r>
      <w:r>
        <w:rPr>
          <w:rFonts w:ascii="宋体" w:hAnsi="宋体" w:cs="宋体" w:hint="eastAsia"/>
        </w:rPr>
        <w:t>诽谤</w:t>
      </w:r>
    </w:p>
    <w:p w:rsidR="009D4A5F" w:rsidRDefault="009D4A5F" w:rsidP="004910A1">
      <w:pPr>
        <w:pStyle w:val="SingleTxtGC"/>
        <w:tabs>
          <w:tab w:val="clear" w:pos="431"/>
          <w:tab w:val="clear" w:pos="1134"/>
          <w:tab w:val="clear" w:pos="1565"/>
          <w:tab w:val="clear" w:pos="1996"/>
          <w:tab w:val="clear" w:pos="2427"/>
          <w:tab w:val="left" w:pos="1701"/>
        </w:tabs>
      </w:pPr>
      <w:r>
        <w:t>42.</w:t>
      </w:r>
      <w:r>
        <w:tab/>
      </w:r>
      <w:r>
        <w:rPr>
          <w:rFonts w:hint="eastAsia"/>
        </w:rPr>
        <w:t>委员会关切地注意到，葡萄牙《刑法》将诽谤定为刑事犯罪，缔约国没有考虑修改这项法律。委员会还对自诉可能对言论自由产生的寒蝉效应表示关切</w:t>
      </w:r>
      <w:r>
        <w:t>(</w:t>
      </w:r>
      <w:r>
        <w:rPr>
          <w:rFonts w:hint="eastAsia"/>
        </w:rPr>
        <w:t>第十九条</w:t>
      </w:r>
      <w:r>
        <w:t>)</w:t>
      </w:r>
      <w:r>
        <w:rPr>
          <w:rFonts w:hint="eastAsia"/>
        </w:rPr>
        <w:t>。</w:t>
      </w:r>
    </w:p>
    <w:p w:rsidR="009D4A5F" w:rsidRPr="0068645C"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snapToGrid/>
        </w:rPr>
      </w:pPr>
      <w:r w:rsidRPr="0068645C">
        <w:rPr>
          <w:rFonts w:asciiTheme="majorBidi" w:eastAsia="黑体" w:hAnsiTheme="majorBidi" w:cstheme="majorBidi"/>
          <w:snapToGrid/>
        </w:rPr>
        <w:t>43.</w:t>
      </w:r>
      <w:r w:rsidRPr="0068645C">
        <w:rPr>
          <w:rFonts w:asciiTheme="majorBidi" w:eastAsia="黑体" w:hAnsiTheme="majorBidi" w:cstheme="majorBidi"/>
          <w:snapToGrid/>
        </w:rPr>
        <w:tab/>
      </w:r>
      <w:r w:rsidRPr="0068645C">
        <w:rPr>
          <w:rFonts w:asciiTheme="majorBidi" w:eastAsia="黑体" w:hAnsiTheme="majorBidi" w:cstheme="majorBidi" w:hint="eastAsia"/>
          <w:snapToGrid/>
        </w:rPr>
        <w:t>缔约国应考虑取消对诽谤的定罪，无论是何种情况，仅在最严重的案件中诉诸刑法，同时铭记，正如关于见解自由和言论自由的第</w:t>
      </w:r>
      <w:r w:rsidRPr="0068645C">
        <w:rPr>
          <w:rFonts w:asciiTheme="majorBidi" w:eastAsia="黑体" w:hAnsiTheme="majorBidi" w:cstheme="majorBidi"/>
          <w:snapToGrid/>
        </w:rPr>
        <w:t>34</w:t>
      </w:r>
      <w:r w:rsidRPr="0068645C">
        <w:rPr>
          <w:rFonts w:asciiTheme="majorBidi" w:eastAsia="黑体" w:hAnsiTheme="majorBidi" w:cstheme="majorBidi" w:hint="eastAsia"/>
          <w:snapToGrid/>
        </w:rPr>
        <w:t>号一般性意见</w:t>
      </w:r>
      <w:r w:rsidRPr="0068645C">
        <w:rPr>
          <w:rFonts w:asciiTheme="majorBidi" w:eastAsia="黑体" w:hAnsiTheme="majorBidi" w:cstheme="majorBidi"/>
          <w:snapToGrid/>
        </w:rPr>
        <w:t>(2011</w:t>
      </w:r>
      <w:r w:rsidRPr="0068645C">
        <w:rPr>
          <w:rFonts w:asciiTheme="majorBidi" w:eastAsia="黑体" w:hAnsiTheme="majorBidi" w:cstheme="majorBidi" w:hint="eastAsia"/>
          <w:snapToGrid/>
        </w:rPr>
        <w:t>年</w:t>
      </w:r>
      <w:r w:rsidRPr="0068645C">
        <w:rPr>
          <w:rFonts w:asciiTheme="majorBidi" w:eastAsia="黑体" w:hAnsiTheme="majorBidi" w:cstheme="majorBidi"/>
          <w:snapToGrid/>
        </w:rPr>
        <w:t>)</w:t>
      </w:r>
      <w:r w:rsidRPr="0068645C">
        <w:rPr>
          <w:rFonts w:asciiTheme="majorBidi" w:eastAsia="黑体" w:hAnsiTheme="majorBidi" w:cstheme="majorBidi" w:hint="eastAsia"/>
          <w:snapToGrid/>
        </w:rPr>
        <w:t>所述，监禁绝不是对诽谤的适当处罚。</w:t>
      </w:r>
    </w:p>
    <w:p w:rsidR="009D4A5F" w:rsidRPr="002D528F" w:rsidRDefault="009D4A5F" w:rsidP="00E3254F">
      <w:pPr>
        <w:pStyle w:val="H1G"/>
        <w:tabs>
          <w:tab w:val="left" w:pos="1560"/>
        </w:tabs>
        <w:rPr>
          <w:rFonts w:asciiTheme="majorBidi" w:eastAsia="黑体" w:hAnsiTheme="majorBidi" w:cstheme="majorBidi"/>
          <w:b w:val="0"/>
          <w:bCs/>
          <w:lang w:eastAsia="zh-CN"/>
        </w:rPr>
      </w:pPr>
      <w:r w:rsidRPr="002D528F">
        <w:rPr>
          <w:rFonts w:asciiTheme="majorBidi" w:eastAsia="黑体" w:hAnsiTheme="majorBidi" w:cstheme="majorBidi"/>
          <w:b w:val="0"/>
          <w:bCs/>
          <w:lang w:eastAsia="zh-CN"/>
        </w:rPr>
        <w:tab/>
        <w:t>D.</w:t>
      </w:r>
      <w:r w:rsidRPr="002D528F">
        <w:rPr>
          <w:rFonts w:asciiTheme="majorBidi" w:eastAsia="黑体" w:hAnsiTheme="majorBidi" w:cstheme="majorBidi"/>
          <w:b w:val="0"/>
          <w:bCs/>
          <w:lang w:eastAsia="zh-CN"/>
        </w:rPr>
        <w:tab/>
      </w:r>
      <w:r w:rsidRPr="002D528F">
        <w:rPr>
          <w:rFonts w:asciiTheme="majorBidi" w:eastAsia="黑体" w:hAnsiTheme="majorBidi" w:cstheme="majorBidi"/>
          <w:b w:val="0"/>
          <w:bCs/>
          <w:lang w:eastAsia="zh-CN"/>
        </w:rPr>
        <w:t>传播和后续行动</w:t>
      </w:r>
    </w:p>
    <w:p w:rsidR="009D4A5F" w:rsidRPr="002D528F"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bCs/>
        </w:rPr>
      </w:pPr>
      <w:r w:rsidRPr="002D528F">
        <w:rPr>
          <w:rFonts w:asciiTheme="majorBidi" w:eastAsia="黑体" w:hAnsiTheme="majorBidi" w:cstheme="majorBidi"/>
          <w:bCs/>
        </w:rPr>
        <w:t>44.</w:t>
      </w:r>
      <w:r w:rsidRPr="002D528F">
        <w:rPr>
          <w:rFonts w:asciiTheme="majorBidi" w:eastAsia="黑体" w:hAnsiTheme="majorBidi" w:cstheme="majorBidi"/>
          <w:bCs/>
        </w:rPr>
        <w:tab/>
      </w:r>
      <w:r w:rsidRPr="002D528F">
        <w:rPr>
          <w:rFonts w:asciiTheme="majorBidi" w:eastAsia="黑体" w:hAnsiTheme="majorBidi" w:cstheme="majorBidi"/>
          <w:bCs/>
        </w:rPr>
        <w:t>缔约国应广泛传播《公约》及其两项任择议定书、缔约国的第五次定期报告、对委员会问题清单的书面答复和本结论性意见，以提高司法、立法和行政部门以及在缔约国开展活动的民间社会团体和非政府组织及广大公众对《公约》所载权利的认识。缔约国应确保将报告和本结论性意见译成缔约国的官方语言。</w:t>
      </w:r>
    </w:p>
    <w:p w:rsidR="009D4A5F" w:rsidRPr="002D528F"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bCs/>
        </w:rPr>
      </w:pPr>
      <w:r w:rsidRPr="002D528F">
        <w:rPr>
          <w:rFonts w:asciiTheme="majorBidi" w:eastAsia="黑体" w:hAnsiTheme="majorBidi" w:cstheme="majorBidi"/>
          <w:bCs/>
        </w:rPr>
        <w:t>45.</w:t>
      </w:r>
      <w:r w:rsidRPr="002D528F">
        <w:rPr>
          <w:rFonts w:asciiTheme="majorBidi" w:eastAsia="黑体" w:hAnsiTheme="majorBidi" w:cstheme="majorBidi"/>
          <w:bCs/>
        </w:rPr>
        <w:tab/>
      </w:r>
      <w:r w:rsidRPr="002D528F">
        <w:rPr>
          <w:rFonts w:asciiTheme="majorBidi" w:eastAsia="黑体" w:hAnsiTheme="majorBidi" w:cstheme="majorBidi"/>
          <w:bCs/>
        </w:rPr>
        <w:t>根据委员会议事规则第</w:t>
      </w:r>
      <w:r w:rsidRPr="002D528F">
        <w:rPr>
          <w:rFonts w:asciiTheme="majorBidi" w:eastAsia="黑体" w:hAnsiTheme="majorBidi" w:cstheme="majorBidi"/>
          <w:bCs/>
        </w:rPr>
        <w:t>75</w:t>
      </w:r>
      <w:r w:rsidRPr="002D528F">
        <w:rPr>
          <w:rFonts w:asciiTheme="majorBidi" w:eastAsia="黑体" w:hAnsiTheme="majorBidi" w:cstheme="majorBidi"/>
          <w:bCs/>
        </w:rPr>
        <w:t>条第</w:t>
      </w:r>
      <w:r w:rsidRPr="002D528F">
        <w:rPr>
          <w:rFonts w:asciiTheme="majorBidi" w:eastAsia="黑体" w:hAnsiTheme="majorBidi" w:cstheme="majorBidi"/>
          <w:bCs/>
        </w:rPr>
        <w:t>1</w:t>
      </w:r>
      <w:r w:rsidRPr="002D528F">
        <w:rPr>
          <w:rFonts w:asciiTheme="majorBidi" w:eastAsia="黑体" w:hAnsiTheme="majorBidi" w:cstheme="majorBidi"/>
          <w:bCs/>
        </w:rPr>
        <w:t>款，缔约国应在</w:t>
      </w:r>
      <w:r w:rsidRPr="002D528F">
        <w:rPr>
          <w:rFonts w:asciiTheme="majorBidi" w:eastAsia="黑体" w:hAnsiTheme="majorBidi" w:cstheme="majorBidi"/>
          <w:bCs/>
        </w:rPr>
        <w:t>2021</w:t>
      </w:r>
      <w:r w:rsidRPr="002D528F">
        <w:rPr>
          <w:rFonts w:asciiTheme="majorBidi" w:eastAsia="黑体" w:hAnsiTheme="majorBidi" w:cstheme="majorBidi"/>
          <w:bCs/>
        </w:rPr>
        <w:t>年</w:t>
      </w:r>
      <w:r w:rsidRPr="002D528F">
        <w:rPr>
          <w:rFonts w:asciiTheme="majorBidi" w:eastAsia="黑体" w:hAnsiTheme="majorBidi" w:cstheme="majorBidi"/>
          <w:bCs/>
        </w:rPr>
        <w:t>7</w:t>
      </w:r>
      <w:r w:rsidRPr="002D528F">
        <w:rPr>
          <w:rFonts w:asciiTheme="majorBidi" w:eastAsia="黑体" w:hAnsiTheme="majorBidi" w:cstheme="majorBidi"/>
          <w:bCs/>
        </w:rPr>
        <w:t>月</w:t>
      </w:r>
      <w:r w:rsidRPr="002D528F">
        <w:rPr>
          <w:rFonts w:asciiTheme="majorBidi" w:eastAsia="黑体" w:hAnsiTheme="majorBidi" w:cstheme="majorBidi"/>
          <w:bCs/>
        </w:rPr>
        <w:t>26</w:t>
      </w:r>
      <w:r w:rsidRPr="002D528F">
        <w:rPr>
          <w:rFonts w:asciiTheme="majorBidi" w:eastAsia="黑体" w:hAnsiTheme="majorBidi" w:cstheme="majorBidi"/>
          <w:bCs/>
        </w:rPr>
        <w:t>日前提供资料，说明委员会在上文第</w:t>
      </w:r>
      <w:r w:rsidRPr="002D528F">
        <w:rPr>
          <w:rFonts w:asciiTheme="majorBidi" w:eastAsia="黑体" w:hAnsiTheme="majorBidi" w:cstheme="majorBidi"/>
          <w:bCs/>
        </w:rPr>
        <w:t>33</w:t>
      </w:r>
      <w:r w:rsidRPr="002D528F">
        <w:rPr>
          <w:rFonts w:asciiTheme="majorBidi" w:eastAsia="黑体" w:hAnsiTheme="majorBidi" w:cstheme="majorBidi"/>
          <w:bCs/>
        </w:rPr>
        <w:t>段</w:t>
      </w:r>
      <w:r w:rsidR="007327E6">
        <w:rPr>
          <w:rFonts w:asciiTheme="majorBidi" w:eastAsia="黑体" w:hAnsiTheme="majorBidi" w:cstheme="majorBidi"/>
          <w:bCs/>
        </w:rPr>
        <w:t>(</w:t>
      </w:r>
      <w:r w:rsidRPr="002D528F">
        <w:rPr>
          <w:rFonts w:asciiTheme="majorBidi" w:eastAsia="黑体" w:hAnsiTheme="majorBidi" w:cstheme="majorBidi"/>
          <w:bCs/>
        </w:rPr>
        <w:t>人口贩运</w:t>
      </w:r>
      <w:r w:rsidR="007327E6">
        <w:rPr>
          <w:rFonts w:asciiTheme="majorBidi" w:eastAsia="黑体" w:hAnsiTheme="majorBidi" w:cstheme="majorBidi"/>
          <w:bCs/>
        </w:rPr>
        <w:t>)</w:t>
      </w:r>
      <w:r w:rsidRPr="002D528F">
        <w:rPr>
          <w:rFonts w:asciiTheme="majorBidi" w:eastAsia="黑体" w:hAnsiTheme="majorBidi" w:cstheme="majorBidi"/>
          <w:bCs/>
        </w:rPr>
        <w:t>、第</w:t>
      </w:r>
      <w:r w:rsidRPr="002D528F">
        <w:rPr>
          <w:rFonts w:asciiTheme="majorBidi" w:eastAsia="黑体" w:hAnsiTheme="majorBidi" w:cstheme="majorBidi"/>
          <w:bCs/>
        </w:rPr>
        <w:t>37</w:t>
      </w:r>
      <w:r w:rsidRPr="002D528F">
        <w:rPr>
          <w:rFonts w:asciiTheme="majorBidi" w:eastAsia="黑体" w:hAnsiTheme="majorBidi" w:cstheme="majorBidi"/>
          <w:bCs/>
        </w:rPr>
        <w:t>段</w:t>
      </w:r>
      <w:r w:rsidR="007327E6">
        <w:rPr>
          <w:rFonts w:asciiTheme="majorBidi" w:eastAsia="黑体" w:hAnsiTheme="majorBidi" w:cstheme="majorBidi"/>
          <w:bCs/>
        </w:rPr>
        <w:t>(</w:t>
      </w:r>
      <w:r w:rsidRPr="002D528F">
        <w:rPr>
          <w:rFonts w:asciiTheme="majorBidi" w:eastAsia="黑体" w:hAnsiTheme="majorBidi" w:cstheme="majorBidi"/>
          <w:bCs/>
        </w:rPr>
        <w:t>孤身未成年人</w:t>
      </w:r>
      <w:r w:rsidR="007327E6">
        <w:rPr>
          <w:rFonts w:asciiTheme="majorBidi" w:eastAsia="黑体" w:hAnsiTheme="majorBidi" w:cstheme="majorBidi"/>
          <w:bCs/>
        </w:rPr>
        <w:t>)</w:t>
      </w:r>
      <w:r w:rsidRPr="002D528F">
        <w:rPr>
          <w:rFonts w:asciiTheme="majorBidi" w:eastAsia="黑体" w:hAnsiTheme="majorBidi" w:cstheme="majorBidi"/>
          <w:bCs/>
        </w:rPr>
        <w:t>和第</w:t>
      </w:r>
      <w:r w:rsidRPr="002D528F">
        <w:rPr>
          <w:rFonts w:asciiTheme="majorBidi" w:eastAsia="黑体" w:hAnsiTheme="majorBidi" w:cstheme="majorBidi"/>
          <w:bCs/>
        </w:rPr>
        <w:t>41</w:t>
      </w:r>
      <w:r w:rsidRPr="002D528F">
        <w:rPr>
          <w:rFonts w:asciiTheme="majorBidi" w:eastAsia="黑体" w:hAnsiTheme="majorBidi" w:cstheme="majorBidi"/>
          <w:bCs/>
        </w:rPr>
        <w:t>段</w:t>
      </w:r>
      <w:r w:rsidR="007327E6">
        <w:rPr>
          <w:rFonts w:asciiTheme="majorBidi" w:eastAsia="黑体" w:hAnsiTheme="majorBidi" w:cstheme="majorBidi"/>
          <w:bCs/>
        </w:rPr>
        <w:t>(</w:t>
      </w:r>
      <w:r w:rsidRPr="002D528F">
        <w:rPr>
          <w:rFonts w:asciiTheme="majorBidi" w:eastAsia="黑体" w:hAnsiTheme="majorBidi" w:cstheme="majorBidi"/>
          <w:bCs/>
        </w:rPr>
        <w:t>审前拘留</w:t>
      </w:r>
      <w:r w:rsidR="007327E6">
        <w:rPr>
          <w:rFonts w:asciiTheme="majorBidi" w:eastAsia="黑体" w:hAnsiTheme="majorBidi" w:cstheme="majorBidi"/>
          <w:bCs/>
        </w:rPr>
        <w:t>)</w:t>
      </w:r>
      <w:r w:rsidRPr="002D528F">
        <w:rPr>
          <w:rFonts w:asciiTheme="majorBidi" w:eastAsia="黑体" w:hAnsiTheme="majorBidi" w:cstheme="majorBidi"/>
          <w:bCs/>
        </w:rPr>
        <w:t>所提建议的落实情况。</w:t>
      </w:r>
    </w:p>
    <w:p w:rsidR="009D4A5F" w:rsidRDefault="009D4A5F"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bCs/>
        </w:rPr>
      </w:pPr>
      <w:r w:rsidRPr="002D528F">
        <w:rPr>
          <w:rFonts w:asciiTheme="majorBidi" w:eastAsia="黑体" w:hAnsiTheme="majorBidi" w:cstheme="majorBidi"/>
          <w:bCs/>
        </w:rPr>
        <w:t>46.</w:t>
      </w:r>
      <w:r w:rsidRPr="002D528F">
        <w:rPr>
          <w:rFonts w:asciiTheme="majorBidi" w:eastAsia="黑体" w:hAnsiTheme="majorBidi" w:cstheme="majorBidi"/>
          <w:bCs/>
        </w:rPr>
        <w:tab/>
      </w:r>
      <w:r w:rsidRPr="002D528F">
        <w:rPr>
          <w:rFonts w:asciiTheme="majorBidi" w:eastAsia="黑体" w:hAnsiTheme="majorBidi" w:cstheme="majorBidi"/>
          <w:bCs/>
        </w:rPr>
        <w:t>按照委员会可预测的审议周期，缔约国将在</w:t>
      </w:r>
      <w:r w:rsidRPr="002D528F">
        <w:rPr>
          <w:rFonts w:asciiTheme="majorBidi" w:eastAsia="黑体" w:hAnsiTheme="majorBidi" w:cstheme="majorBidi"/>
          <w:bCs/>
        </w:rPr>
        <w:t>2026</w:t>
      </w:r>
      <w:r w:rsidRPr="002D528F">
        <w:rPr>
          <w:rFonts w:asciiTheme="majorBidi" w:eastAsia="黑体" w:hAnsiTheme="majorBidi" w:cstheme="majorBidi"/>
          <w:bCs/>
        </w:rPr>
        <w:t>年收到委员会的提交前问题清单，并应在一年内提交对问题清单的答复，该答复即构成缔约国第六次定期报告。委员会还请缔约国在编写报告时广泛征求在缔约国开展活动的民间社会</w:t>
      </w:r>
      <w:r w:rsidRPr="002D528F">
        <w:rPr>
          <w:rFonts w:asciiTheme="majorBidi" w:eastAsia="黑体" w:hAnsiTheme="majorBidi" w:cstheme="majorBidi"/>
          <w:bCs/>
        </w:rPr>
        <w:lastRenderedPageBreak/>
        <w:t>团体和非政府组织的意见。按照大会第</w:t>
      </w:r>
      <w:r w:rsidRPr="002D528F">
        <w:rPr>
          <w:rFonts w:asciiTheme="majorBidi" w:eastAsia="黑体" w:hAnsiTheme="majorBidi" w:cstheme="majorBidi"/>
          <w:bCs/>
        </w:rPr>
        <w:t>68/268</w:t>
      </w:r>
      <w:r w:rsidRPr="002D528F">
        <w:rPr>
          <w:rFonts w:asciiTheme="majorBidi" w:eastAsia="黑体" w:hAnsiTheme="majorBidi" w:cstheme="majorBidi"/>
          <w:bCs/>
        </w:rPr>
        <w:t>号决议，报告字数应限制在</w:t>
      </w:r>
      <w:r w:rsidRPr="002D528F">
        <w:rPr>
          <w:rFonts w:asciiTheme="majorBidi" w:eastAsia="黑体" w:hAnsiTheme="majorBidi" w:cstheme="majorBidi"/>
          <w:bCs/>
        </w:rPr>
        <w:t>21,200</w:t>
      </w:r>
      <w:r w:rsidRPr="002D528F">
        <w:rPr>
          <w:rFonts w:asciiTheme="majorBidi" w:eastAsia="黑体" w:hAnsiTheme="majorBidi" w:cstheme="majorBidi"/>
          <w:bCs/>
        </w:rPr>
        <w:t>字以内。与缔约国的下一次建设性对话将于</w:t>
      </w:r>
      <w:r w:rsidRPr="002D528F">
        <w:rPr>
          <w:rFonts w:asciiTheme="majorBidi" w:eastAsia="黑体" w:hAnsiTheme="majorBidi" w:cstheme="majorBidi"/>
          <w:bCs/>
        </w:rPr>
        <w:t>2028</w:t>
      </w:r>
      <w:r w:rsidRPr="002D528F">
        <w:rPr>
          <w:rFonts w:asciiTheme="majorBidi" w:eastAsia="黑体" w:hAnsiTheme="majorBidi" w:cstheme="majorBidi"/>
          <w:bCs/>
        </w:rPr>
        <w:t>年在日内瓦举行。</w:t>
      </w:r>
    </w:p>
    <w:p w:rsidR="007444A5" w:rsidRPr="002D6A9C" w:rsidRDefault="007444A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444A5" w:rsidRPr="002D528F" w:rsidRDefault="007444A5" w:rsidP="004910A1">
      <w:pPr>
        <w:pStyle w:val="SingleTxtGC"/>
        <w:tabs>
          <w:tab w:val="clear" w:pos="431"/>
          <w:tab w:val="clear" w:pos="1134"/>
          <w:tab w:val="clear" w:pos="1565"/>
          <w:tab w:val="clear" w:pos="1996"/>
          <w:tab w:val="clear" w:pos="2427"/>
          <w:tab w:val="left" w:pos="1701"/>
        </w:tabs>
        <w:rPr>
          <w:rFonts w:asciiTheme="majorBidi" w:eastAsia="黑体" w:hAnsiTheme="majorBidi" w:cstheme="majorBidi"/>
          <w:bCs/>
        </w:rPr>
      </w:pPr>
    </w:p>
    <w:p w:rsidR="004446EF" w:rsidRPr="009D4A5F" w:rsidRDefault="004446EF" w:rsidP="009D4A5F">
      <w:pPr>
        <w:pStyle w:val="a9"/>
      </w:pPr>
    </w:p>
    <w:sectPr w:rsidR="004446EF" w:rsidRPr="009D4A5F" w:rsidSect="00B42D3C">
      <w:headerReference w:type="even" r:id="rId9"/>
      <w:headerReference w:type="default" r:id="rId10"/>
      <w:footerReference w:type="even" r:id="rId11"/>
      <w:footerReference w:type="default" r:id="rId12"/>
      <w:footerReference w:type="first" r:id="rId13"/>
      <w:footnotePr>
        <w:numRestart w:val="eachPage"/>
      </w:footnotePr>
      <w:endnotePr>
        <w:numFmt w:val="decimal"/>
      </w:endnotePr>
      <w:type w:val="continuous"/>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31D" w:rsidRPr="000D319F" w:rsidRDefault="008A531D" w:rsidP="000D319F">
      <w:pPr>
        <w:pStyle w:val="af0"/>
        <w:spacing w:after="240"/>
        <w:ind w:left="907"/>
        <w:rPr>
          <w:rFonts w:asciiTheme="majorBidi" w:eastAsia="宋体" w:hAnsiTheme="majorBidi" w:cstheme="majorBidi"/>
          <w:sz w:val="21"/>
          <w:szCs w:val="21"/>
          <w:lang w:val="en-US"/>
        </w:rPr>
      </w:pPr>
    </w:p>
    <w:p w:rsidR="008A531D" w:rsidRPr="000D319F" w:rsidRDefault="008A531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A531D" w:rsidRPr="000D319F" w:rsidRDefault="008A531D" w:rsidP="000D319F">
      <w:pPr>
        <w:pStyle w:val="af0"/>
      </w:pPr>
    </w:p>
  </w:endnote>
  <w:endnote w:type="continuationNotice" w:id="1">
    <w:p w:rsidR="008A531D" w:rsidRDefault="008A53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黑体">
    <w:altName w:val="黑体"/>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31D" w:rsidRPr="004446EF" w:rsidRDefault="008A531D" w:rsidP="004446E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446EF">
      <w:rPr>
        <w:rStyle w:val="af2"/>
        <w:b w:val="0"/>
        <w:snapToGrid w:val="0"/>
        <w:sz w:val="16"/>
      </w:rPr>
      <w:t>GE.20-06132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31D" w:rsidRPr="004446EF" w:rsidRDefault="008A531D" w:rsidP="004446EF">
    <w:pPr>
      <w:pStyle w:val="af0"/>
      <w:tabs>
        <w:tab w:val="clear" w:pos="431"/>
        <w:tab w:val="right" w:pos="9638"/>
      </w:tabs>
      <w:rPr>
        <w:rStyle w:val="af2"/>
      </w:rPr>
    </w:pPr>
    <w:r>
      <w:t>GE.20-06132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31D" w:rsidRPr="004F0C2F" w:rsidRDefault="008A531D" w:rsidP="007710C4">
    <w:pPr>
      <w:pStyle w:val="af0"/>
      <w:tabs>
        <w:tab w:val="clear" w:pos="431"/>
        <w:tab w:val="left" w:pos="1701"/>
        <w:tab w:val="left" w:pos="2552"/>
        <w:tab w:val="left" w:pos="8448"/>
      </w:tabs>
      <w:spacing w:before="360"/>
      <w:rPr>
        <w:rFonts w:ascii="Time New Roman" w:eastAsia="宋体" w:hAnsi="Time New Roman"/>
        <w:b/>
        <w:sz w:val="21"/>
        <w:lang w:eastAsia="zh-CN"/>
      </w:rPr>
    </w:pPr>
    <w:r>
      <w:rPr>
        <w:sz w:val="20"/>
        <w:lang w:eastAsia="zh-CN"/>
      </w:rPr>
      <w:t>GE.20-06132</w:t>
    </w:r>
    <w:r w:rsidRPr="00EE277A">
      <w:rPr>
        <w:sz w:val="20"/>
        <w:lang w:eastAsia="zh-CN"/>
      </w:rPr>
      <w:t xml:space="preserve"> (C)</w:t>
    </w:r>
    <w:r>
      <w:rPr>
        <w:sz w:val="20"/>
        <w:lang w:eastAsia="zh-CN"/>
      </w:rPr>
      <w:tab/>
    </w:r>
    <w:r w:rsidRPr="004F0C2F">
      <w:rPr>
        <w:rFonts w:ascii="Time New Roman" w:eastAsia="宋体" w:hAnsi="Time New Roman"/>
        <w:sz w:val="20"/>
        <w:lang w:eastAsia="zh-CN"/>
      </w:rPr>
      <w:t>0</w:t>
    </w:r>
    <w:r w:rsidRPr="004F0C2F">
      <w:rPr>
        <w:rFonts w:ascii="Time New Roman" w:eastAsia="宋体" w:hAnsi="Time New Roman" w:hint="eastAsia"/>
        <w:sz w:val="20"/>
        <w:lang w:eastAsia="zh-CN"/>
      </w:rPr>
      <w:t>4</w:t>
    </w:r>
    <w:r w:rsidRPr="004F0C2F">
      <w:rPr>
        <w:rFonts w:ascii="Time New Roman" w:eastAsia="宋体" w:hAnsi="Time New Roman"/>
        <w:sz w:val="20"/>
        <w:lang w:eastAsia="zh-CN"/>
      </w:rPr>
      <w:t>0</w:t>
    </w:r>
    <w:r w:rsidRPr="004F0C2F">
      <w:rPr>
        <w:rFonts w:ascii="Time New Roman" w:eastAsia="宋体" w:hAnsi="Time New Roman" w:cstheme="majorBidi"/>
        <w:sz w:val="20"/>
        <w:lang w:eastAsia="zh-CN"/>
      </w:rPr>
      <w:t>5</w:t>
    </w:r>
    <w:r w:rsidRPr="004F0C2F">
      <w:rPr>
        <w:rFonts w:ascii="Time New Roman" w:eastAsia="宋体" w:hAnsi="Time New Roman"/>
        <w:sz w:val="20"/>
        <w:lang w:eastAsia="zh-CN"/>
      </w:rPr>
      <w:t>20</w:t>
    </w:r>
    <w:r w:rsidRPr="004F0C2F">
      <w:rPr>
        <w:rFonts w:ascii="Time New Roman" w:eastAsia="宋体" w:hAnsi="Time New Roman"/>
        <w:sz w:val="20"/>
        <w:lang w:eastAsia="zh-CN"/>
      </w:rPr>
      <w:tab/>
    </w:r>
    <w:r w:rsidR="00103350" w:rsidRPr="004F0C2F">
      <w:rPr>
        <w:rFonts w:ascii="Time New Roman" w:eastAsia="宋体" w:hAnsi="Time New Roman"/>
        <w:sz w:val="20"/>
        <w:lang w:eastAsia="zh-CN"/>
      </w:rPr>
      <w:t>1</w:t>
    </w:r>
    <w:r w:rsidR="009A60C0">
      <w:rPr>
        <w:rFonts w:ascii="Time New Roman" w:eastAsia="宋体" w:hAnsi="Time New Roman"/>
        <w:sz w:val="20"/>
        <w:lang w:eastAsia="zh-CN"/>
      </w:rPr>
      <w:t>4</w:t>
    </w:r>
    <w:r w:rsidRPr="004F0C2F">
      <w:rPr>
        <w:rFonts w:ascii="Time New Roman" w:eastAsia="宋体" w:hAnsi="Time New Roman"/>
        <w:sz w:val="20"/>
        <w:lang w:eastAsia="zh-CN"/>
      </w:rPr>
      <w:t>0</w:t>
    </w:r>
    <w:r w:rsidR="00103350" w:rsidRPr="004F0C2F">
      <w:rPr>
        <w:rFonts w:ascii="Time New Roman" w:eastAsia="宋体" w:hAnsi="Time New Roman"/>
        <w:sz w:val="20"/>
        <w:lang w:eastAsia="zh-CN"/>
      </w:rPr>
      <w:t>5</w:t>
    </w:r>
    <w:r w:rsidRPr="004F0C2F">
      <w:rPr>
        <w:rFonts w:ascii="Time New Roman" w:eastAsia="宋体" w:hAnsi="Time New Roman"/>
        <w:sz w:val="20"/>
        <w:lang w:eastAsia="zh-CN"/>
      </w:rPr>
      <w:t>20</w:t>
    </w:r>
  </w:p>
  <w:p w:rsidR="008A531D" w:rsidRPr="00487939" w:rsidRDefault="008A531D" w:rsidP="008A531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728"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PRT/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38E2">
      <w:rPr>
        <w:bCs/>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31D" w:rsidRPr="000157B1" w:rsidRDefault="008A531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A531D" w:rsidRPr="000157B1" w:rsidRDefault="008A531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A531D" w:rsidRDefault="008A531D"/>
  </w:footnote>
  <w:footnote w:id="2">
    <w:p w:rsidR="00D6297F" w:rsidRPr="00D6297F" w:rsidRDefault="00D6297F">
      <w:pPr>
        <w:pStyle w:val="a6"/>
        <w:rPr>
          <w:rFonts w:hint="eastAsia"/>
        </w:rPr>
      </w:pPr>
      <w:r w:rsidRPr="00D6297F">
        <w:rPr>
          <w:rStyle w:val="a8"/>
          <w:rFonts w:eastAsia="宋体"/>
          <w:vertAlign w:val="baseline"/>
        </w:rPr>
        <w:tab/>
        <w:t>*</w:t>
      </w:r>
      <w:r w:rsidRPr="00D6297F">
        <w:tab/>
      </w:r>
      <w:r w:rsidRPr="000D5565">
        <w:rPr>
          <w:rFonts w:hint="eastAsia"/>
        </w:rPr>
        <w:t>委员会第一二八届会议</w:t>
      </w:r>
      <w:r w:rsidRPr="000D5565">
        <w:rPr>
          <w:rFonts w:hint="eastAsia"/>
        </w:rPr>
        <w:t>(2020</w:t>
      </w:r>
      <w:r w:rsidRPr="000D5565">
        <w:rPr>
          <w:rFonts w:hint="eastAsia"/>
        </w:rPr>
        <w:t>年</w:t>
      </w:r>
      <w:r w:rsidRPr="000D5565">
        <w:rPr>
          <w:rFonts w:hint="eastAsia"/>
        </w:rPr>
        <w:t>3</w:t>
      </w:r>
      <w:r w:rsidRPr="000D5565">
        <w:rPr>
          <w:rFonts w:hint="eastAsia"/>
        </w:rPr>
        <w:t>月</w:t>
      </w:r>
      <w:r w:rsidRPr="000D5565">
        <w:rPr>
          <w:rFonts w:hint="eastAsia"/>
        </w:rPr>
        <w:t>2</w:t>
      </w:r>
      <w:r w:rsidRPr="000D5565">
        <w:rPr>
          <w:rFonts w:hint="eastAsia"/>
        </w:rPr>
        <w:t>日至</w:t>
      </w:r>
      <w:r w:rsidRPr="000D5565">
        <w:rPr>
          <w:rFonts w:hint="eastAsia"/>
        </w:rPr>
        <w:t>27</w:t>
      </w:r>
      <w:r w:rsidRPr="000D5565">
        <w:rPr>
          <w:rFonts w:hint="eastAsia"/>
        </w:rPr>
        <w:t>日</w:t>
      </w:r>
      <w:r w:rsidRPr="000D5565">
        <w:rPr>
          <w:rFonts w:hint="eastAsia"/>
        </w:rPr>
        <w:t>)</w:t>
      </w:r>
      <w:r w:rsidRPr="000D556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31D" w:rsidRDefault="008A531D" w:rsidP="004446EF">
    <w:pPr>
      <w:pStyle w:val="af3"/>
    </w:pPr>
    <w:r>
      <w:t>CCPR/C/PRT/CO/5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31D" w:rsidRPr="00202A30" w:rsidRDefault="008A531D" w:rsidP="004446EF">
    <w:pPr>
      <w:pStyle w:val="af3"/>
      <w:jc w:val="right"/>
    </w:pPr>
    <w:r>
      <w:t>CCPR/C/PRT/CO/5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0CB60C5"/>
    <w:multiLevelType w:val="hybridMultilevel"/>
    <w:tmpl w:val="8BE07F3C"/>
    <w:lvl w:ilvl="0" w:tplc="70DC021E">
      <w:start w:val="28"/>
      <w:numFmt w:val="bullet"/>
      <w:lvlText w:val=""/>
      <w:lvlJc w:val="left"/>
      <w:pPr>
        <w:ind w:left="1305" w:hanging="360"/>
      </w:pPr>
      <w:rPr>
        <w:rFonts w:ascii="Symbol" w:eastAsia="宋体" w:hAnsi="Symbol" w:cs="Times New Roman" w:hint="default"/>
        <w:color w:val="0000FF"/>
        <w:sz w:val="21"/>
      </w:rPr>
    </w:lvl>
    <w:lvl w:ilvl="1" w:tplc="04090003" w:tentative="1">
      <w:start w:val="1"/>
      <w:numFmt w:val="bullet"/>
      <w:lvlText w:val=""/>
      <w:lvlJc w:val="left"/>
      <w:pPr>
        <w:ind w:left="1785" w:hanging="420"/>
      </w:pPr>
      <w:rPr>
        <w:rFonts w:ascii="Wingdings" w:hAnsi="Wingdings" w:hint="default"/>
      </w:rPr>
    </w:lvl>
    <w:lvl w:ilvl="2" w:tplc="04090005" w:tentative="1">
      <w:start w:val="1"/>
      <w:numFmt w:val="bullet"/>
      <w:lvlText w:val=""/>
      <w:lvlJc w:val="left"/>
      <w:pPr>
        <w:ind w:left="2205" w:hanging="420"/>
      </w:pPr>
      <w:rPr>
        <w:rFonts w:ascii="Wingdings" w:hAnsi="Wingdings" w:hint="default"/>
      </w:rPr>
    </w:lvl>
    <w:lvl w:ilvl="3" w:tplc="04090001" w:tentative="1">
      <w:start w:val="1"/>
      <w:numFmt w:val="bullet"/>
      <w:lvlText w:val=""/>
      <w:lvlJc w:val="left"/>
      <w:pPr>
        <w:ind w:left="2625" w:hanging="420"/>
      </w:pPr>
      <w:rPr>
        <w:rFonts w:ascii="Wingdings" w:hAnsi="Wingdings" w:hint="default"/>
      </w:rPr>
    </w:lvl>
    <w:lvl w:ilvl="4" w:tplc="04090003" w:tentative="1">
      <w:start w:val="1"/>
      <w:numFmt w:val="bullet"/>
      <w:lvlText w:val=""/>
      <w:lvlJc w:val="left"/>
      <w:pPr>
        <w:ind w:left="3045" w:hanging="420"/>
      </w:pPr>
      <w:rPr>
        <w:rFonts w:ascii="Wingdings" w:hAnsi="Wingdings" w:hint="default"/>
      </w:rPr>
    </w:lvl>
    <w:lvl w:ilvl="5" w:tplc="04090005" w:tentative="1">
      <w:start w:val="1"/>
      <w:numFmt w:val="bullet"/>
      <w:lvlText w:val=""/>
      <w:lvlJc w:val="left"/>
      <w:pPr>
        <w:ind w:left="3465" w:hanging="420"/>
      </w:pPr>
      <w:rPr>
        <w:rFonts w:ascii="Wingdings" w:hAnsi="Wingdings" w:hint="default"/>
      </w:rPr>
    </w:lvl>
    <w:lvl w:ilvl="6" w:tplc="04090001" w:tentative="1">
      <w:start w:val="1"/>
      <w:numFmt w:val="bullet"/>
      <w:lvlText w:val=""/>
      <w:lvlJc w:val="left"/>
      <w:pPr>
        <w:ind w:left="3885" w:hanging="420"/>
      </w:pPr>
      <w:rPr>
        <w:rFonts w:ascii="Wingdings" w:hAnsi="Wingdings" w:hint="default"/>
      </w:rPr>
    </w:lvl>
    <w:lvl w:ilvl="7" w:tplc="04090003" w:tentative="1">
      <w:start w:val="1"/>
      <w:numFmt w:val="bullet"/>
      <w:lvlText w:val=""/>
      <w:lvlJc w:val="left"/>
      <w:pPr>
        <w:ind w:left="4305" w:hanging="420"/>
      </w:pPr>
      <w:rPr>
        <w:rFonts w:ascii="Wingdings" w:hAnsi="Wingdings" w:hint="default"/>
      </w:rPr>
    </w:lvl>
    <w:lvl w:ilvl="8" w:tplc="04090005" w:tentative="1">
      <w:start w:val="1"/>
      <w:numFmt w:val="bullet"/>
      <w:lvlText w:val=""/>
      <w:lvlJc w:val="left"/>
      <w:pPr>
        <w:ind w:left="4725" w:hanging="42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4"/>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numRestart w:val="eachPage"/>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F5533"/>
    <w:rsid w:val="0000668A"/>
    <w:rsid w:val="00011483"/>
    <w:rsid w:val="0003155E"/>
    <w:rsid w:val="000328FF"/>
    <w:rsid w:val="0004554F"/>
    <w:rsid w:val="000B42F0"/>
    <w:rsid w:val="000B7561"/>
    <w:rsid w:val="000D319F"/>
    <w:rsid w:val="000D5565"/>
    <w:rsid w:val="000E4D0E"/>
    <w:rsid w:val="000F5533"/>
    <w:rsid w:val="000F5EB8"/>
    <w:rsid w:val="000F7D0D"/>
    <w:rsid w:val="001019F1"/>
    <w:rsid w:val="00103350"/>
    <w:rsid w:val="0010707C"/>
    <w:rsid w:val="001118BA"/>
    <w:rsid w:val="00132BFA"/>
    <w:rsid w:val="00144B69"/>
    <w:rsid w:val="00153E86"/>
    <w:rsid w:val="00172E04"/>
    <w:rsid w:val="001A759A"/>
    <w:rsid w:val="001B1BD1"/>
    <w:rsid w:val="001C3EF2"/>
    <w:rsid w:val="001C4489"/>
    <w:rsid w:val="001D17F6"/>
    <w:rsid w:val="00204B42"/>
    <w:rsid w:val="0021265F"/>
    <w:rsid w:val="002231C3"/>
    <w:rsid w:val="00233FC5"/>
    <w:rsid w:val="0024417F"/>
    <w:rsid w:val="00250F8D"/>
    <w:rsid w:val="002B290E"/>
    <w:rsid w:val="002D528F"/>
    <w:rsid w:val="002E1C97"/>
    <w:rsid w:val="002F5834"/>
    <w:rsid w:val="003006AB"/>
    <w:rsid w:val="00306166"/>
    <w:rsid w:val="00312E2F"/>
    <w:rsid w:val="00313C63"/>
    <w:rsid w:val="00326EBF"/>
    <w:rsid w:val="00327FE4"/>
    <w:rsid w:val="003333CC"/>
    <w:rsid w:val="003B4945"/>
    <w:rsid w:val="003F5F3B"/>
    <w:rsid w:val="00427F63"/>
    <w:rsid w:val="00434D38"/>
    <w:rsid w:val="00435058"/>
    <w:rsid w:val="004446EF"/>
    <w:rsid w:val="004611E1"/>
    <w:rsid w:val="004910A1"/>
    <w:rsid w:val="00494EB8"/>
    <w:rsid w:val="004C4A0A"/>
    <w:rsid w:val="004D0A00"/>
    <w:rsid w:val="004D5AEB"/>
    <w:rsid w:val="004E473D"/>
    <w:rsid w:val="004F0C2F"/>
    <w:rsid w:val="004F348E"/>
    <w:rsid w:val="00501220"/>
    <w:rsid w:val="00542EBE"/>
    <w:rsid w:val="00567A88"/>
    <w:rsid w:val="005772C1"/>
    <w:rsid w:val="00583240"/>
    <w:rsid w:val="005B00DA"/>
    <w:rsid w:val="005C3766"/>
    <w:rsid w:val="005E306B"/>
    <w:rsid w:val="005E403A"/>
    <w:rsid w:val="005E4086"/>
    <w:rsid w:val="0060122D"/>
    <w:rsid w:val="00604D91"/>
    <w:rsid w:val="006257FE"/>
    <w:rsid w:val="0065402C"/>
    <w:rsid w:val="00654DD9"/>
    <w:rsid w:val="00670DEE"/>
    <w:rsid w:val="00680656"/>
    <w:rsid w:val="0068645C"/>
    <w:rsid w:val="006B1119"/>
    <w:rsid w:val="006B4891"/>
    <w:rsid w:val="006D3757"/>
    <w:rsid w:val="006D37EB"/>
    <w:rsid w:val="006D6BBC"/>
    <w:rsid w:val="006E3E46"/>
    <w:rsid w:val="006E48B9"/>
    <w:rsid w:val="006E71B1"/>
    <w:rsid w:val="006F1404"/>
    <w:rsid w:val="006F1ECC"/>
    <w:rsid w:val="0070593B"/>
    <w:rsid w:val="00705D89"/>
    <w:rsid w:val="00731A42"/>
    <w:rsid w:val="007327E6"/>
    <w:rsid w:val="007444A5"/>
    <w:rsid w:val="00755487"/>
    <w:rsid w:val="00767E69"/>
    <w:rsid w:val="0077079A"/>
    <w:rsid w:val="007710C4"/>
    <w:rsid w:val="00771504"/>
    <w:rsid w:val="007A38E2"/>
    <w:rsid w:val="007A5599"/>
    <w:rsid w:val="00852B3D"/>
    <w:rsid w:val="00856233"/>
    <w:rsid w:val="00860F27"/>
    <w:rsid w:val="008A3B9B"/>
    <w:rsid w:val="008A531D"/>
    <w:rsid w:val="008B0560"/>
    <w:rsid w:val="008B1F14"/>
    <w:rsid w:val="008B2BFA"/>
    <w:rsid w:val="008D31F4"/>
    <w:rsid w:val="008E6A3F"/>
    <w:rsid w:val="00923557"/>
    <w:rsid w:val="009256EA"/>
    <w:rsid w:val="00933F29"/>
    <w:rsid w:val="00936F03"/>
    <w:rsid w:val="00943B69"/>
    <w:rsid w:val="00944CB3"/>
    <w:rsid w:val="00950DCF"/>
    <w:rsid w:val="0096722F"/>
    <w:rsid w:val="00986624"/>
    <w:rsid w:val="009A60C0"/>
    <w:rsid w:val="009B09D7"/>
    <w:rsid w:val="009D35ED"/>
    <w:rsid w:val="009D4A5F"/>
    <w:rsid w:val="009F3A34"/>
    <w:rsid w:val="00A03CB6"/>
    <w:rsid w:val="00A1364C"/>
    <w:rsid w:val="00A21076"/>
    <w:rsid w:val="00A300FF"/>
    <w:rsid w:val="00A31BA8"/>
    <w:rsid w:val="00A3739A"/>
    <w:rsid w:val="00A524E4"/>
    <w:rsid w:val="00A52DAF"/>
    <w:rsid w:val="00A54174"/>
    <w:rsid w:val="00A84072"/>
    <w:rsid w:val="00A91497"/>
    <w:rsid w:val="00B035FC"/>
    <w:rsid w:val="00B16570"/>
    <w:rsid w:val="00B23B03"/>
    <w:rsid w:val="00B30359"/>
    <w:rsid w:val="00B42D3C"/>
    <w:rsid w:val="00B43EB7"/>
    <w:rsid w:val="00B53320"/>
    <w:rsid w:val="00B614C4"/>
    <w:rsid w:val="00B96AF2"/>
    <w:rsid w:val="00BC6522"/>
    <w:rsid w:val="00C121D5"/>
    <w:rsid w:val="00C12756"/>
    <w:rsid w:val="00C17349"/>
    <w:rsid w:val="00C3177F"/>
    <w:rsid w:val="00C351AA"/>
    <w:rsid w:val="00C654A8"/>
    <w:rsid w:val="00C70852"/>
    <w:rsid w:val="00C7253F"/>
    <w:rsid w:val="00C75AAE"/>
    <w:rsid w:val="00C90707"/>
    <w:rsid w:val="00CA6F80"/>
    <w:rsid w:val="00CE0968"/>
    <w:rsid w:val="00CE1D1C"/>
    <w:rsid w:val="00D13644"/>
    <w:rsid w:val="00D26A05"/>
    <w:rsid w:val="00D5229A"/>
    <w:rsid w:val="00D6297F"/>
    <w:rsid w:val="00D72816"/>
    <w:rsid w:val="00D77C64"/>
    <w:rsid w:val="00D9309B"/>
    <w:rsid w:val="00D97B98"/>
    <w:rsid w:val="00DA2AFA"/>
    <w:rsid w:val="00DC671F"/>
    <w:rsid w:val="00DE4DA7"/>
    <w:rsid w:val="00DF51BA"/>
    <w:rsid w:val="00E02C13"/>
    <w:rsid w:val="00E128D6"/>
    <w:rsid w:val="00E23F31"/>
    <w:rsid w:val="00E3254F"/>
    <w:rsid w:val="00E33B38"/>
    <w:rsid w:val="00E42B8A"/>
    <w:rsid w:val="00E442A1"/>
    <w:rsid w:val="00E47FE5"/>
    <w:rsid w:val="00E574AF"/>
    <w:rsid w:val="00E861CC"/>
    <w:rsid w:val="00EA7E67"/>
    <w:rsid w:val="00F00817"/>
    <w:rsid w:val="00F24E6D"/>
    <w:rsid w:val="00F714DA"/>
    <w:rsid w:val="00F860BF"/>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00B6B84"/>
  <w15:docId w15:val="{0C4D4901-7AB7-4029-956B-DFAA71C2D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9D4A5F"/>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9D4A5F"/>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9D4A5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character" w:customStyle="1" w:styleId="SingleTxtGChar">
    <w:name w:val="_ Single Txt_G Char"/>
    <w:link w:val="SingleTxtG"/>
    <w:locked/>
    <w:rsid w:val="009D4A5F"/>
  </w:style>
  <w:style w:type="paragraph" w:customStyle="1" w:styleId="SingleTxtG">
    <w:name w:val="_ Single Txt_G"/>
    <w:basedOn w:val="a"/>
    <w:link w:val="SingleTxtGChar"/>
    <w:rsid w:val="009D4A5F"/>
    <w:pPr>
      <w:tabs>
        <w:tab w:val="clear" w:pos="431"/>
      </w:tabs>
      <w:suppressAutoHyphens/>
      <w:overflowPunct/>
      <w:adjustRightInd/>
      <w:snapToGrid/>
      <w:spacing w:after="120" w:line="240" w:lineRule="atLeast"/>
      <w:ind w:left="1134" w:right="1134"/>
    </w:pPr>
    <w:rPr>
      <w:snapToGrid/>
      <w:sz w:val="20"/>
    </w:rPr>
  </w:style>
  <w:style w:type="character" w:customStyle="1" w:styleId="tlid-translation">
    <w:name w:val="tlid-translation"/>
    <w:basedOn w:val="a0"/>
    <w:rsid w:val="00461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55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17AE3-B3EE-48BA-AC42-28C0AC3C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7614</Words>
  <Characters>8185</Characters>
  <Application>Microsoft Office Word</Application>
  <DocSecurity>0</DocSecurity>
  <Lines>304</Lines>
  <Paragraphs>116</Paragraphs>
  <ScaleCrop>false</ScaleCrop>
  <Company>DCM</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CCPR/C/PRT/CO/5</dc:title>
  <dc:subject>2006132</dc:subject>
  <dc:creator>WUJS</dc:creator>
  <cp:keywords/>
  <dc:description/>
  <cp:lastModifiedBy>Xiangli FERSCHIN-JI</cp:lastModifiedBy>
  <cp:revision>2</cp:revision>
  <cp:lastPrinted>2014-05-09T11:28:00Z</cp:lastPrinted>
  <dcterms:created xsi:type="dcterms:W3CDTF">2020-05-14T13:33:00Z</dcterms:created>
  <dcterms:modified xsi:type="dcterms:W3CDTF">2020-05-14T13:33:00Z</dcterms:modified>
</cp:coreProperties>
</file>