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774" w:rsidRPr="00FB7A24" w:rsidRDefault="004F3774" w:rsidP="004F3774">
      <w:pPr>
        <w:spacing w:line="240" w:lineRule="auto"/>
        <w:rPr>
          <w:sz w:val="6"/>
        </w:rPr>
        <w:sectPr w:rsidR="004F3774" w:rsidRPr="00FB7A24" w:rsidSect="0060014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FB7A24">
        <w:rPr>
          <w:rStyle w:val="CommentReference"/>
        </w:rPr>
        <w:commentReference w:id="0"/>
      </w:r>
    </w:p>
    <w:p w:rsidR="00EE62C3" w:rsidRDefault="00FB7A24" w:rsidP="00FB7A2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Comité para la Eliminación de la Discriminación</w:t>
      </w:r>
    </w:p>
    <w:p w:rsidR="000A1971" w:rsidRDefault="00FB7A24" w:rsidP="00FB7A2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contra la Mujer</w:t>
      </w:r>
    </w:p>
    <w:p w:rsidR="00EE62C3" w:rsidRDefault="00EE62C3" w:rsidP="00EE62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Grupo de trabajo anterior al 37° período de sesiones</w:t>
      </w:r>
    </w:p>
    <w:p w:rsidR="00FB7A24" w:rsidRDefault="00FB7A24" w:rsidP="008246C3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15 </w:t>
      </w:r>
      <w:r w:rsidR="00EE62C3">
        <w:t xml:space="preserve">de enero a </w:t>
      </w:r>
      <w:r>
        <w:t xml:space="preserve">2 </w:t>
      </w:r>
      <w:r w:rsidR="00EE62C3">
        <w:t>de f</w:t>
      </w:r>
      <w:r>
        <w:t>ebr</w:t>
      </w:r>
      <w:r w:rsidR="00EE62C3">
        <w:t>ero de</w:t>
      </w:r>
      <w:r>
        <w:t xml:space="preserve"> 2007</w:t>
      </w:r>
    </w:p>
    <w:p w:rsidR="00EE62C3" w:rsidRPr="00EE62C3" w:rsidRDefault="00EE62C3" w:rsidP="00EE62C3">
      <w:pPr>
        <w:pStyle w:val="SingleTxt"/>
        <w:spacing w:after="0" w:line="120" w:lineRule="exact"/>
        <w:rPr>
          <w:sz w:val="10"/>
        </w:rPr>
      </w:pPr>
    </w:p>
    <w:p w:rsidR="00EE62C3" w:rsidRDefault="00EE62C3" w:rsidP="00EE62C3">
      <w:pPr>
        <w:pStyle w:val="SingleTxt"/>
        <w:spacing w:after="0" w:line="120" w:lineRule="exact"/>
        <w:rPr>
          <w:sz w:val="10"/>
        </w:rPr>
      </w:pPr>
    </w:p>
    <w:p w:rsidR="00EE62C3" w:rsidRPr="00EE62C3" w:rsidRDefault="00EE62C3" w:rsidP="00EE62C3">
      <w:pPr>
        <w:pStyle w:val="SingleTxt"/>
        <w:spacing w:after="0" w:line="120" w:lineRule="exact"/>
        <w:rPr>
          <w:sz w:val="10"/>
        </w:rPr>
      </w:pPr>
    </w:p>
    <w:p w:rsidR="00EE62C3" w:rsidRPr="00EE62C3" w:rsidRDefault="00EE62C3" w:rsidP="00EE62C3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EE62C3" w:rsidRPr="00EE62C3" w:rsidRDefault="00EE62C3" w:rsidP="00EE62C3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EE62C3">
        <w:rPr>
          <w:noProof/>
          <w:w w:val="100"/>
          <w:sz w:val="6"/>
          <w:lang w:val="en-US"/>
        </w:rPr>
        <w:pict>
          <v:line id="_x0000_s1026" style="position:absolute;z-index:1;mso-position-horizontal-relative:page" from="108pt,-1pt" to="180pt,-1pt" strokeweight=".25pt">
            <w10:wrap type="tight" anchorx="page"/>
          </v:line>
        </w:pict>
      </w:r>
    </w:p>
    <w:p w:rsidR="00EE62C3" w:rsidRPr="00EE62C3" w:rsidRDefault="00EE62C3" w:rsidP="00EE62C3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Las referencias de página incluidas en este documento están basadas en la versión en español de los informes periódicos quinto y sexto combinados (CEDAW/C/COL/5-6).</w:t>
      </w:r>
    </w:p>
    <w:p w:rsidR="00FB7A24" w:rsidRDefault="00EE62C3" w:rsidP="008246C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 xml:space="preserve">Lista de </w:t>
      </w:r>
      <w:r>
        <w:t>cuestiones y preguntas relativas al</w:t>
      </w:r>
      <w:r w:rsidR="009E7FC4">
        <w:t xml:space="preserve"> </w:t>
      </w:r>
      <w:r w:rsidR="00FB7A24">
        <w:t>examen</w:t>
      </w:r>
      <w:r w:rsidR="009E7FC4">
        <w:br/>
      </w:r>
      <w:r w:rsidR="00FB7A24">
        <w:t>de los informes periódicos</w:t>
      </w:r>
      <w:r w:rsidRPr="008246C3">
        <w:rPr>
          <w:b w:val="0"/>
          <w:spacing w:val="4"/>
          <w:sz w:val="20"/>
        </w:rPr>
        <w:t>*</w:t>
      </w:r>
    </w:p>
    <w:p w:rsidR="00EE62C3" w:rsidRDefault="00EE62C3" w:rsidP="00EE62C3">
      <w:pPr>
        <w:pStyle w:val="SingleTxt"/>
        <w:spacing w:after="0" w:line="120" w:lineRule="exact"/>
        <w:rPr>
          <w:sz w:val="10"/>
        </w:rPr>
      </w:pPr>
    </w:p>
    <w:p w:rsidR="00EE62C3" w:rsidRPr="00EE62C3" w:rsidRDefault="00EE62C3" w:rsidP="00EE62C3">
      <w:pPr>
        <w:pStyle w:val="SingleTxt"/>
        <w:spacing w:after="0" w:line="120" w:lineRule="exact"/>
        <w:rPr>
          <w:sz w:val="10"/>
        </w:rPr>
      </w:pPr>
    </w:p>
    <w:p w:rsidR="00FB7A24" w:rsidRPr="00FB7A24" w:rsidRDefault="00EE62C3" w:rsidP="00EE62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E62C3">
        <w:tab/>
      </w:r>
      <w:r w:rsidRPr="00EE62C3">
        <w:tab/>
      </w:r>
      <w:smartTag w:uri="urn:schemas-microsoft-com:office:smarttags" w:element="place">
        <w:smartTag w:uri="urn:schemas-microsoft-com:office:smarttags" w:element="country-region">
          <w:r w:rsidR="00FB7A24" w:rsidRPr="00FB7A24">
            <w:rPr>
              <w:lang w:val="en-US"/>
            </w:rPr>
            <w:t>Colombia</w:t>
          </w:r>
        </w:smartTag>
      </w:smartTag>
    </w:p>
    <w:p w:rsidR="00EE62C3" w:rsidRPr="00EE62C3" w:rsidRDefault="00EE62C3" w:rsidP="00EE62C3">
      <w:pPr>
        <w:pStyle w:val="SingleTxt"/>
        <w:suppressAutoHyphens/>
        <w:spacing w:after="0" w:line="120" w:lineRule="exact"/>
        <w:rPr>
          <w:sz w:val="10"/>
          <w:lang w:val="en-US"/>
        </w:rPr>
      </w:pPr>
    </w:p>
    <w:p w:rsidR="00EE62C3" w:rsidRPr="00EE62C3" w:rsidRDefault="00EE62C3" w:rsidP="00EE62C3">
      <w:pPr>
        <w:pStyle w:val="SingleTxt"/>
        <w:suppressAutoHyphens/>
        <w:spacing w:after="0" w:line="120" w:lineRule="exact"/>
        <w:rPr>
          <w:sz w:val="10"/>
          <w:lang w:val="en-US"/>
        </w:rPr>
      </w:pPr>
    </w:p>
    <w:p w:rsidR="00FB7A24" w:rsidRDefault="00601ED7" w:rsidP="00FB7A24">
      <w:pPr>
        <w:pStyle w:val="SingleTxt"/>
        <w:suppressAutoHyphens/>
      </w:pPr>
      <w:r>
        <w:rPr>
          <w:lang w:val="en-US"/>
        </w:rPr>
        <w:tab/>
      </w:r>
      <w:r w:rsidRPr="00601ED7">
        <w:t>El equipo de trabajo anterior al período de sesiones examin</w:t>
      </w:r>
      <w:r>
        <w:t>ó los informes periódicos quinto y sexto combinados de Colombia</w:t>
      </w:r>
      <w:r w:rsidR="00FB7A24" w:rsidRPr="00601ED7">
        <w:t xml:space="preserve"> (CEDAW/C/COL/5</w:t>
      </w:r>
      <w:r w:rsidR="00820322">
        <w:t>-</w:t>
      </w:r>
      <w:r w:rsidR="00FB7A24" w:rsidRPr="00601ED7">
        <w:t>6).</w:t>
      </w:r>
    </w:p>
    <w:p w:rsidR="00601ED7" w:rsidRPr="00601ED7" w:rsidRDefault="00601ED7" w:rsidP="00601ED7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601ED7" w:rsidP="00601E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Legislación, mecanismo para el avance de la mujer y</w:t>
      </w:r>
      <w:r w:rsidR="00F73A83">
        <w:t xml:space="preserve"> </w:t>
      </w:r>
      <w:r w:rsidR="00FB7A24">
        <w:t>planes nacionales</w:t>
      </w:r>
    </w:p>
    <w:p w:rsidR="00601ED7" w:rsidRPr="00601ED7" w:rsidRDefault="00601ED7" w:rsidP="00601ED7">
      <w:pPr>
        <w:pStyle w:val="SingleTxt"/>
        <w:spacing w:after="0" w:line="120" w:lineRule="exact"/>
        <w:rPr>
          <w:sz w:val="10"/>
        </w:rPr>
      </w:pPr>
    </w:p>
    <w:p w:rsidR="00FB7A24" w:rsidRDefault="00601ED7" w:rsidP="008246C3">
      <w:pPr>
        <w:pStyle w:val="SingleTxt"/>
        <w:numPr>
          <w:ilvl w:val="0"/>
          <w:numId w:val="18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/>
      </w:pPr>
      <w:r>
        <w:t>Sírvanse i</w:t>
      </w:r>
      <w:r w:rsidR="00FB7A24">
        <w:t xml:space="preserve">ndicar cuál fue el proceso para realizar el presente informe periódico. </w:t>
      </w:r>
      <w:r w:rsidR="00976761">
        <w:t>Sírvanse e</w:t>
      </w:r>
      <w:r w:rsidR="00FB7A24">
        <w:t xml:space="preserve">specificar si fue presentado al Parlamento y adoptado por el Gobierno, y si en la preparación hubo interacción con organizaciones no gubernamentales y grupos de mujeres. 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En </w:t>
      </w:r>
      <w:r w:rsidR="00976761">
        <w:t>el examen d</w:t>
      </w:r>
      <w:r>
        <w:t xml:space="preserve">el cuarto informe periódico, el Comité recomendó al </w:t>
      </w:r>
      <w:r w:rsidR="00D2182B">
        <w:t>E</w:t>
      </w:r>
      <w:r>
        <w:t xml:space="preserve">stado </w:t>
      </w:r>
      <w:r w:rsidR="00D2182B">
        <w:t>p</w:t>
      </w:r>
      <w:r>
        <w:t>arte reforzar el papel del mecanismo nacional para el adelanto de la mujer mediante una ley nacional que elev</w:t>
      </w:r>
      <w:r w:rsidR="00D2182B">
        <w:t>ara</w:t>
      </w:r>
      <w:r>
        <w:t xml:space="preserve"> su rango al de organismo autónomo con todas las prerrogativas y los recursos requeridos (A/54/38</w:t>
      </w:r>
      <w:r w:rsidR="00D2182B">
        <w:t>, párr. 366</w:t>
      </w:r>
      <w:r>
        <w:t xml:space="preserve">). </w:t>
      </w:r>
      <w:r w:rsidR="00D2182B">
        <w:t xml:space="preserve">Sírvanse </w:t>
      </w:r>
      <w:r>
        <w:t xml:space="preserve">especificar si el rango de </w:t>
      </w:r>
      <w:r w:rsidR="00D2182B">
        <w:t>“</w:t>
      </w:r>
      <w:r>
        <w:t>Consejería</w:t>
      </w:r>
      <w:r w:rsidR="00D2182B">
        <w:t xml:space="preserve"> </w:t>
      </w:r>
      <w:r>
        <w:t>Presidencial</w:t>
      </w:r>
      <w:r w:rsidR="00D2182B">
        <w:t>”</w:t>
      </w:r>
      <w:r>
        <w:t xml:space="preserve"> le otorga al mecanismo nacional para el adelanto de la mujer estas facultades</w:t>
      </w:r>
      <w:r w:rsidR="00D2182B">
        <w:t>. En</w:t>
      </w:r>
      <w:r>
        <w:t xml:space="preserve"> caso de que no, </w:t>
      </w:r>
      <w:r w:rsidR="00D2182B">
        <w:t xml:space="preserve">sírvanse </w:t>
      </w:r>
      <w:r>
        <w:t>indicar qué medidas se planean para garantizarlas.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Según el informe</w:t>
      </w:r>
      <w:r w:rsidR="00D2182B">
        <w:t>,</w:t>
      </w:r>
      <w:r>
        <w:t xml:space="preserve"> el mecanismo de seguimiento a los avances en materia de género en los ámbitos normativo, administrativo, jurisprudencial y estadístico se realiza a través de los Observatorios de Género.</w:t>
      </w:r>
      <w:r w:rsidR="00D2182B">
        <w:t xml:space="preserve"> Sírvanse proporcionar</w:t>
      </w:r>
      <w:r>
        <w:t xml:space="preserve"> información detallada acerca de su funcionamiento especificando los recursos humanos y financieros con los que cuentan, así como su conformación.</w:t>
      </w:r>
      <w:r w:rsidR="00D2182B">
        <w:t xml:space="preserve"> </w:t>
      </w:r>
      <w:r>
        <w:t>Adicionalmente</w:t>
      </w:r>
      <w:r w:rsidR="00D2182B">
        <w:t>, sírvanse</w:t>
      </w:r>
      <w:r>
        <w:t xml:space="preserve"> incluir información sobre el funcionamiento, logros y resultados del Observatorio de Género del ámbito normativo.</w:t>
      </w:r>
    </w:p>
    <w:p w:rsidR="00D2182B" w:rsidRPr="00D2182B" w:rsidRDefault="00D2182B" w:rsidP="00D2182B">
      <w:pPr>
        <w:pStyle w:val="SingleTxt"/>
        <w:suppressAutoHyphens/>
        <w:spacing w:after="0" w:line="120" w:lineRule="exact"/>
        <w:rPr>
          <w:sz w:val="10"/>
        </w:rPr>
      </w:pPr>
    </w:p>
    <w:p w:rsidR="00D2182B" w:rsidRPr="00D2182B" w:rsidRDefault="00D2182B" w:rsidP="00D2182B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D2182B" w:rsidP="00D218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Violencia contra la mujer</w:t>
      </w:r>
    </w:p>
    <w:p w:rsidR="00D2182B" w:rsidRPr="00D2182B" w:rsidRDefault="00D2182B" w:rsidP="00D2182B">
      <w:pPr>
        <w:pStyle w:val="SingleTxt"/>
        <w:spacing w:after="0" w:line="120" w:lineRule="exact"/>
        <w:rPr>
          <w:sz w:val="10"/>
        </w:rPr>
      </w:pP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Según el informe</w:t>
      </w:r>
      <w:r w:rsidR="00D2182B">
        <w:t>,</w:t>
      </w:r>
      <w:r>
        <w:t xml:space="preserve"> los operadores de justicia </w:t>
      </w:r>
      <w:r w:rsidR="004D4740">
        <w:t>“</w:t>
      </w:r>
      <w:r>
        <w:t>no han hecho un uso adecuado de la figura [conciliación], mal</w:t>
      </w:r>
      <w:r w:rsidR="004D4740">
        <w:t xml:space="preserve"> </w:t>
      </w:r>
      <w:r>
        <w:t xml:space="preserve">entendiéndola como una </w:t>
      </w:r>
      <w:r w:rsidR="005A0728">
        <w:t>‘</w:t>
      </w:r>
      <w:r>
        <w:t>reconciliación</w:t>
      </w:r>
      <w:r w:rsidR="005A0728">
        <w:t>’</w:t>
      </w:r>
      <w:r>
        <w:t xml:space="preserve"> que prioriza la preservación de una mal concebida </w:t>
      </w:r>
      <w:r w:rsidR="005A0728">
        <w:t>‘</w:t>
      </w:r>
      <w:r>
        <w:t>unidad familiar’ y que deja de lado la protección de la v</w:t>
      </w:r>
      <w:r w:rsidR="005A0728">
        <w:t>í</w:t>
      </w:r>
      <w:r>
        <w:t>ctima</w:t>
      </w:r>
      <w:r w:rsidR="005A0728">
        <w:t>”</w:t>
      </w:r>
      <w:r>
        <w:t xml:space="preserve"> (p</w:t>
      </w:r>
      <w:r w:rsidR="005A0728">
        <w:t>ág.</w:t>
      </w:r>
      <w:r w:rsidR="008246C3">
        <w:t xml:space="preserve"> </w:t>
      </w:r>
      <w:r>
        <w:t xml:space="preserve">149). </w:t>
      </w:r>
      <w:r w:rsidR="005A0728">
        <w:t>Sírvanse i</w:t>
      </w:r>
      <w:r>
        <w:t xml:space="preserve">ndicar qué acciones se prevén para asegurar que los operadores de justicia a nivel nacional interpreten adecuadamente el marco jurídico de la conciliación, los casos en los que se debe aplicar y los asuntos susceptibles de conciliación por los delitos de violencia intrafamiliar. 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Se indica que la Ley 575</w:t>
      </w:r>
      <w:r w:rsidR="0090733B">
        <w:t>,</w:t>
      </w:r>
      <w:r>
        <w:t xml:space="preserve"> adoptada en 2000</w:t>
      </w:r>
      <w:r w:rsidR="003661B1">
        <w:t>,</w:t>
      </w:r>
      <w:r>
        <w:t xml:space="preserve"> traslada la competencia en materia de violencia intrafamiliar de los jueces de familia a los comisarios de familia y a falta de éstos a los inspectores de policía (p</w:t>
      </w:r>
      <w:r w:rsidR="0090733B">
        <w:t xml:space="preserve">ág. </w:t>
      </w:r>
      <w:r>
        <w:t>145).</w:t>
      </w:r>
      <w:r w:rsidR="00D2182B">
        <w:t xml:space="preserve"> </w:t>
      </w:r>
      <w:r>
        <w:t xml:space="preserve">Se indica además que </w:t>
      </w:r>
      <w:r w:rsidR="0090733B">
        <w:t>“</w:t>
      </w:r>
      <w:r>
        <w:t>uno de los principales problemas en la aplicación de la Ley 575 consiste en la falta de presencia de las comisarías de familia en todo el territorio nacional</w:t>
      </w:r>
      <w:r w:rsidR="0090733B">
        <w:t>”</w:t>
      </w:r>
      <w:r>
        <w:t xml:space="preserve">, así como la falta de un </w:t>
      </w:r>
      <w:r w:rsidR="0090733B">
        <w:t>“</w:t>
      </w:r>
      <w:r>
        <w:t>equipo interdisciplinario, el cual es fundamental para dar un tratamiento adecuado a la problemática familiar</w:t>
      </w:r>
      <w:r w:rsidR="0090733B">
        <w:t>”</w:t>
      </w:r>
      <w:r>
        <w:t xml:space="preserve"> (p</w:t>
      </w:r>
      <w:r w:rsidR="0090733B">
        <w:t>ág</w:t>
      </w:r>
      <w:r>
        <w:t xml:space="preserve">. 150). </w:t>
      </w:r>
      <w:r w:rsidR="0090733B">
        <w:t>Sírvanse i</w:t>
      </w:r>
      <w:r>
        <w:t>ndicar qué medidas se han adoptado o planean</w:t>
      </w:r>
      <w:r w:rsidR="00D2182B">
        <w:t xml:space="preserve"> </w:t>
      </w:r>
      <w:r>
        <w:t xml:space="preserve">adoptar para superar estos obstáculos. </w:t>
      </w:r>
    </w:p>
    <w:p w:rsidR="00FB7A24" w:rsidRDefault="00E320D1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La Relatora Especial sobre la violencia contra la mujer instó al Estado parte a aumentar los fondos a disposición de la Unidad de Derechos Humanos de la Fiscalía y a nombrar un asesor jurídico de alto nivel sobre la violencia sexual basada en género, en vista del alto grado de impunidad por violaciones de los derechos contra la mujer (E/CN.4/2002/83/</w:t>
      </w:r>
      <w:r w:rsidR="00F444ED">
        <w:t>Add.</w:t>
      </w:r>
      <w:r>
        <w:t xml:space="preserve">3, párr. 113). </w:t>
      </w:r>
      <w:r w:rsidR="0090733B">
        <w:t>Sírvanse i</w:t>
      </w:r>
      <w:r w:rsidR="00FB7A24">
        <w:t xml:space="preserve">nformar qué medidas se han tomado al respecto. </w:t>
      </w:r>
    </w:p>
    <w:p w:rsidR="00FB7A24" w:rsidRDefault="00E320D1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indicar qué acciones se han tomado para implementar la recomendación de la Relatora Especial de impartir capacitación a todas las dependencias del sistema de justicia penal y a los militares respecto de la violencia basada en el género y los derechos humanos de la mujer y si se han integrado cursos de esta índole en el programa de formación en materia de derechos humanos (E/CN.4/2002/83/</w:t>
      </w:r>
      <w:r w:rsidR="00021645">
        <w:t>Add.</w:t>
      </w:r>
      <w:r>
        <w:t xml:space="preserve">3, párr. 104). </w:t>
      </w:r>
      <w:r w:rsidR="00FB7A24">
        <w:t>En las páginas 178</w:t>
      </w:r>
      <w:r w:rsidR="0090733B">
        <w:t xml:space="preserve"> y 17</w:t>
      </w:r>
      <w:r w:rsidR="00FB7A24">
        <w:t xml:space="preserve">9 del informe se indica sobre cursos de capacitación a procuradores judiciales de familia. </w:t>
      </w:r>
      <w:r w:rsidR="0090733B">
        <w:t>Sírvanse i</w:t>
      </w:r>
      <w:r w:rsidR="00FB7A24">
        <w:t xml:space="preserve">ndicar si este tipo de cursos también han sido dirigidos a los demás funcionarios del sistema de justicia penal y </w:t>
      </w:r>
      <w:r w:rsidR="0090733B">
        <w:t xml:space="preserve">a los </w:t>
      </w:r>
      <w:r w:rsidR="00FB7A24">
        <w:t xml:space="preserve">militares. </w:t>
      </w:r>
    </w:p>
    <w:p w:rsidR="00FB7A24" w:rsidRDefault="00E320D1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Una de las recomendaciones de la </w:t>
      </w:r>
      <w:r w:rsidR="008246C3">
        <w:t xml:space="preserve">Relatora Especial </w:t>
      </w:r>
      <w:r>
        <w:t>sobre la violencia contra la mujer fue que el Estado debería establecer un sistema de compilación de estadísticas en que se indicara lo que le ha ocurrido a una mujer antes de perecer en una matanza, con el fin de tener constancia real de la generalización de la violencia basada en género durante el conflicto (E/CN.4/2002/83/</w:t>
      </w:r>
      <w:r w:rsidR="00307DFF">
        <w:t>Add</w:t>
      </w:r>
      <w:r>
        <w:t xml:space="preserve">.3, </w:t>
      </w:r>
      <w:r w:rsidR="00307DFF">
        <w:t>p</w:t>
      </w:r>
      <w:r>
        <w:t xml:space="preserve">árr. 115). </w:t>
      </w:r>
      <w:r w:rsidR="00AB1B0E">
        <w:t>Sírvanse i</w:t>
      </w:r>
      <w:r w:rsidR="00FB7A24">
        <w:t>ndicar qué acciones se han tomado al respecto.</w:t>
      </w:r>
      <w:r w:rsidR="00D2182B">
        <w:t xml:space="preserve"> 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El Comité de Derechos Humanos recomendó al Estado parte revisar la legislación sobre las investigaciones por violaciones sexuales con respecto al rol del consentimiento de la víctima en el proceso (CCPR/CO/80/COL</w:t>
      </w:r>
      <w:r w:rsidR="00AB1B0E">
        <w:t>, párr. 14</w:t>
      </w:r>
      <w:r>
        <w:t xml:space="preserve">). </w:t>
      </w:r>
      <w:r w:rsidR="00AB1B0E">
        <w:t xml:space="preserve">Sírvanse </w:t>
      </w:r>
      <w:r>
        <w:t>indicar qué medidas se han tomado al respecto.</w:t>
      </w:r>
    </w:p>
    <w:p w:rsidR="00AB1B0E" w:rsidRPr="00AB1B0E" w:rsidRDefault="00AB1B0E" w:rsidP="00AB1B0E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AB1B0E" w:rsidP="00AB1B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Estereotipos y educación</w:t>
      </w:r>
    </w:p>
    <w:p w:rsidR="00AB1B0E" w:rsidRPr="00AB1B0E" w:rsidRDefault="00AB1B0E" w:rsidP="00AB1B0E">
      <w:pPr>
        <w:pStyle w:val="SingleTxt"/>
        <w:spacing w:after="0" w:line="120" w:lineRule="exact"/>
        <w:rPr>
          <w:sz w:val="10"/>
        </w:rPr>
      </w:pP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Según el informe, el Ministerio de </w:t>
      </w:r>
      <w:r w:rsidR="008246C3">
        <w:t xml:space="preserve">Educación </w:t>
      </w:r>
      <w:r>
        <w:t xml:space="preserve">propone </w:t>
      </w:r>
      <w:r w:rsidR="00131CD9">
        <w:t>“</w:t>
      </w:r>
      <w:r>
        <w:t>incorporar la educación de género desde el nivel 1 hasta el 11</w:t>
      </w:r>
      <w:r w:rsidR="00AB1B0E">
        <w:t>” (pág. 52)</w:t>
      </w:r>
      <w:r>
        <w:t xml:space="preserve">. </w:t>
      </w:r>
      <w:r w:rsidR="00AB1B0E">
        <w:t xml:space="preserve">Sírvanse </w:t>
      </w:r>
      <w:r>
        <w:t>indicar si dicha propuesta ha sido materializada y</w:t>
      </w:r>
      <w:r w:rsidR="00AB1B0E">
        <w:t>,</w:t>
      </w:r>
      <w:r>
        <w:t xml:space="preserve"> de ser así, </w:t>
      </w:r>
      <w:r w:rsidR="00AB1B0E">
        <w:t xml:space="preserve">sírvanse </w:t>
      </w:r>
      <w:r>
        <w:t xml:space="preserve">indicar su alcance en las instituciones educativas públicas y privadas a nivel nacional. </w:t>
      </w:r>
    </w:p>
    <w:p w:rsidR="00FB7A24" w:rsidRDefault="00AB1B0E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i</w:t>
      </w:r>
      <w:r w:rsidR="00FB7A24">
        <w:t xml:space="preserve">ndicar si se ha realizado una evaluación de impacto para identificar los principales logros y obstáculos del Plan Decenal de Educación 1996-2005, y si en base a éste se han aplicado medidas correctivas. En particular </w:t>
      </w:r>
      <w:r>
        <w:t xml:space="preserve">sírvanse </w:t>
      </w:r>
      <w:r w:rsidR="00FB7A24">
        <w:t>indicar q</w:t>
      </w:r>
      <w:r>
        <w:t>ué</w:t>
      </w:r>
      <w:r w:rsidR="00FB7A24">
        <w:t xml:space="preserve"> acciones específicas, y sus resultados, se han realizado para eliminar los estereotipos en los textos escolares</w:t>
      </w:r>
      <w:r>
        <w:t>,</w:t>
      </w:r>
      <w:r w:rsidR="00FB7A24">
        <w:t xml:space="preserve"> lo cual forma parte de los objetivos del mencionado Plan. </w:t>
      </w:r>
    </w:p>
    <w:p w:rsidR="000041B7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Durante </w:t>
      </w:r>
      <w:r w:rsidR="000041B7">
        <w:t>el examen</w:t>
      </w:r>
      <w:r>
        <w:t xml:space="preserve"> del cuarto informe periódico el Comité expres</w:t>
      </w:r>
      <w:r w:rsidR="000041B7">
        <w:t>ó</w:t>
      </w:r>
      <w:r>
        <w:t xml:space="preserve"> preocupación acerca de los estereotipos sexistas en los medios de comunicación (</w:t>
      </w:r>
      <w:r w:rsidR="000041B7">
        <w:t xml:space="preserve">CEDAW/C/COL/4, </w:t>
      </w:r>
      <w:r w:rsidR="00D958D0">
        <w:t>párrs</w:t>
      </w:r>
      <w:r>
        <w:t>. 169</w:t>
      </w:r>
      <w:r w:rsidR="000041B7">
        <w:t xml:space="preserve"> y </w:t>
      </w:r>
      <w:r>
        <w:t>170). En el informe se presentan los resultados de la estrategia de comunicaciones que consisten en publicaciones, entrevistas y programas que lograron la visibilidad de los derechos de la mujer (p</w:t>
      </w:r>
      <w:r w:rsidR="000041B7">
        <w:t>ág</w:t>
      </w:r>
      <w:r>
        <w:t>.</w:t>
      </w:r>
      <w:r w:rsidR="000041B7">
        <w:t xml:space="preserve"> </w:t>
      </w:r>
      <w:r>
        <w:t xml:space="preserve">55). </w:t>
      </w:r>
      <w:r w:rsidR="000041B7">
        <w:t xml:space="preserve">Sírvanse </w:t>
      </w:r>
      <w:r>
        <w:t>indicar si existen planes o acciones encaminadas a erradicar las imágenes estereotipadas de las mujeres en los medios de comunicación mediante sanciones o incentivos.</w:t>
      </w:r>
    </w:p>
    <w:p w:rsidR="000041B7" w:rsidRPr="000041B7" w:rsidRDefault="000041B7" w:rsidP="000041B7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0041B7" w:rsidP="000041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Trata y explotación de la prostitución</w:t>
      </w:r>
    </w:p>
    <w:p w:rsidR="000041B7" w:rsidRPr="000041B7" w:rsidRDefault="000041B7" w:rsidP="000041B7">
      <w:pPr>
        <w:pStyle w:val="SingleTxt"/>
        <w:spacing w:after="0" w:line="120" w:lineRule="exact"/>
        <w:rPr>
          <w:sz w:val="10"/>
        </w:rPr>
      </w:pP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Con respecto a la reintegración de las víctimas de trata el informe menciona el Convenio de Cooperación Técnica entre la </w:t>
      </w:r>
      <w:r w:rsidR="000041B7">
        <w:t>P</w:t>
      </w:r>
      <w:r>
        <w:t xml:space="preserve">rocuraduría y la </w:t>
      </w:r>
      <w:r w:rsidR="000041B7">
        <w:t xml:space="preserve">Organización Internacional para las Migraciones, </w:t>
      </w:r>
      <w:r>
        <w:t>que tiene como fin fortalecer la prevención, asistencia, protección, capacitación y reintegración para las víctimas de trata (p</w:t>
      </w:r>
      <w:r w:rsidR="000041B7">
        <w:t>ág</w:t>
      </w:r>
      <w:r w:rsidR="00895AA0">
        <w:t xml:space="preserve">. </w:t>
      </w:r>
      <w:r>
        <w:t xml:space="preserve">62). </w:t>
      </w:r>
      <w:r w:rsidR="000041B7">
        <w:t>Sírvanse p</w:t>
      </w:r>
      <w:r>
        <w:t>roporcionar detalles acerca de las acciones específicas que se han realizado al respecto y</w:t>
      </w:r>
      <w:r w:rsidR="00710757">
        <w:t>,</w:t>
      </w:r>
      <w:r>
        <w:t xml:space="preserve"> de ser el caso, de otros programas de reintegración de víctimas y </w:t>
      </w:r>
      <w:r w:rsidR="004431D5">
        <w:t xml:space="preserve">de </w:t>
      </w:r>
      <w:r>
        <w:t>sus resultados.</w:t>
      </w:r>
    </w:p>
    <w:p w:rsidR="00FB7A24" w:rsidRDefault="004431D5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p</w:t>
      </w:r>
      <w:r w:rsidR="00FB7A24">
        <w:t>roporcionar información detallada acerca de la situación de las mujeres que están involucradas en el tráfico de drogas, la magnitud del problema</w:t>
      </w:r>
      <w:r>
        <w:t xml:space="preserve"> y</w:t>
      </w:r>
      <w:r w:rsidR="00FB7A24">
        <w:t xml:space="preserve"> sus causas y consecuencias</w:t>
      </w:r>
      <w:r>
        <w:t>,</w:t>
      </w:r>
      <w:r w:rsidR="00FB7A24">
        <w:t xml:space="preserve"> así como los factores que conllevan a esta situación a las mujeres.</w:t>
      </w:r>
    </w:p>
    <w:p w:rsidR="004431D5" w:rsidRPr="004431D5" w:rsidRDefault="004431D5" w:rsidP="004431D5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4431D5" w:rsidP="004431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Vida pública y política</w:t>
      </w:r>
    </w:p>
    <w:p w:rsidR="004431D5" w:rsidRPr="004431D5" w:rsidRDefault="004431D5" w:rsidP="004431D5">
      <w:pPr>
        <w:pStyle w:val="SingleTxt"/>
        <w:spacing w:after="0" w:line="120" w:lineRule="exact"/>
        <w:rPr>
          <w:sz w:val="10"/>
        </w:rPr>
      </w:pPr>
    </w:p>
    <w:p w:rsidR="00FB7A24" w:rsidRDefault="004431D5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</w:t>
      </w:r>
      <w:r w:rsidR="00FB7A24">
        <w:t>indicar si existen iniciativas, y de ser así</w:t>
      </w:r>
      <w:r>
        <w:t>,</w:t>
      </w:r>
      <w:r w:rsidR="00FB7A24">
        <w:t xml:space="preserve"> </w:t>
      </w:r>
      <w:r>
        <w:t xml:space="preserve">sírvanse </w:t>
      </w:r>
      <w:r w:rsidR="00FB7A24">
        <w:t xml:space="preserve">proporcionar información detallada, acerca de cursos de liderazgo para mujeres con el fin de asegurar que las mujeres que ejercen cargos, a través de la promulgación de la </w:t>
      </w:r>
      <w:r>
        <w:t>L</w:t>
      </w:r>
      <w:r w:rsidR="00FB7A24">
        <w:t>ey 581, tengan acceso a cursos de capacitación para desempeñar sus cargos efectivamente.</w:t>
      </w:r>
    </w:p>
    <w:p w:rsidR="00FB7A24" w:rsidRDefault="004431D5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p</w:t>
      </w:r>
      <w:r w:rsidR="00FB7A24">
        <w:t xml:space="preserve">roporcionar datos estadísticos actualizados sobre la participación política de las mujeres, incluidas las mujeres indígenas y </w:t>
      </w:r>
      <w:r w:rsidR="00E320D1">
        <w:t>afro descendientes</w:t>
      </w:r>
      <w:r w:rsidR="00FB7A24">
        <w:t xml:space="preserve">, en cargos de la administración pública, </w:t>
      </w:r>
      <w:r>
        <w:t>por ejemplo,</w:t>
      </w:r>
      <w:r w:rsidR="00FB7A24">
        <w:t xml:space="preserve"> autoridades locales en zonas rurales y urbanas y en el</w:t>
      </w:r>
      <w:r w:rsidR="00D2182B">
        <w:t xml:space="preserve"> </w:t>
      </w:r>
      <w:r w:rsidR="00FB7A24">
        <w:t>Parlamento. Indicar cuál ha sido la tendencia desde el último informe periódico.</w:t>
      </w:r>
    </w:p>
    <w:p w:rsidR="004431D5" w:rsidRPr="004431D5" w:rsidRDefault="004431D5" w:rsidP="004431D5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4431D5" w:rsidP="004431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Empleo</w:t>
      </w:r>
    </w:p>
    <w:p w:rsidR="004431D5" w:rsidRPr="004431D5" w:rsidRDefault="004431D5" w:rsidP="004431D5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El Comité recomendó tomar medidas para lograr la igualdad de remuneración por trabajo de igual valor (A/54/38</w:t>
      </w:r>
      <w:r w:rsidR="004431D5">
        <w:t>, párr. 388</w:t>
      </w:r>
      <w:r>
        <w:t xml:space="preserve">). </w:t>
      </w:r>
      <w:r w:rsidR="004431D5">
        <w:t>Sírvanse i</w:t>
      </w:r>
      <w:r>
        <w:t>ndicar qué medidas específicas se han tomado para asegurar el cumplimiento del artículo 13 de la Constitución Nacional (p</w:t>
      </w:r>
      <w:r w:rsidR="004431D5">
        <w:t>ág</w:t>
      </w:r>
      <w:r>
        <w:t>.</w:t>
      </w:r>
      <w:r w:rsidR="004431D5">
        <w:t xml:space="preserve"> </w:t>
      </w:r>
      <w:r>
        <w:t>90)</w:t>
      </w:r>
      <w:r w:rsidR="004431D5">
        <w:t>,</w:t>
      </w:r>
      <w:r>
        <w:t xml:space="preserve"> que establece este principio</w:t>
      </w:r>
      <w:r w:rsidR="004431D5">
        <w:t>,</w:t>
      </w:r>
      <w:r>
        <w:t xml:space="preserve"> y qué mecanismo existe para asegurar su efectiva aplicación tanto en el sector privado como </w:t>
      </w:r>
      <w:r w:rsidR="004431D5">
        <w:t xml:space="preserve">en el </w:t>
      </w:r>
      <w:r>
        <w:t>público.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Las páginas 92</w:t>
      </w:r>
      <w:r w:rsidR="004431D5">
        <w:t xml:space="preserve"> y </w:t>
      </w:r>
      <w:r>
        <w:t xml:space="preserve">93 presentan las acciones que se han realizado con respecto a la protección de los derechos de las mujeres en el ámbito laboral. </w:t>
      </w:r>
      <w:r w:rsidR="004431D5">
        <w:t xml:space="preserve">Sírvanse </w:t>
      </w:r>
      <w:r>
        <w:t>informar sobre el impacto de estas acciones y los resultados respectivos.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En el cuarto informe periódico se presentó un análisis sobre la situación de las mujeres en el sector informal (CEDAW/C/COL/4, p</w:t>
      </w:r>
      <w:r w:rsidR="004431D5">
        <w:t>ág</w:t>
      </w:r>
      <w:r>
        <w:t>.</w:t>
      </w:r>
      <w:r w:rsidR="00755862">
        <w:t xml:space="preserve"> </w:t>
      </w:r>
      <w:r>
        <w:t>158), mientras que en el presente informe s</w:t>
      </w:r>
      <w:r w:rsidR="004431D5">
        <w:t>ó</w:t>
      </w:r>
      <w:r>
        <w:t>lo se indica que se incrementó el porcentaje de mujeres jefas de hogar en el sector informal, pasando de</w:t>
      </w:r>
      <w:r w:rsidR="00755862">
        <w:t>l</w:t>
      </w:r>
      <w:r>
        <w:t xml:space="preserve"> 56% en 1992 a</w:t>
      </w:r>
      <w:r w:rsidR="00755862">
        <w:t>l</w:t>
      </w:r>
      <w:r>
        <w:t xml:space="preserve"> 60% en 2001 (p</w:t>
      </w:r>
      <w:r w:rsidR="004431D5">
        <w:t>ág</w:t>
      </w:r>
      <w:r>
        <w:t xml:space="preserve">. 99). </w:t>
      </w:r>
      <w:r w:rsidR="004431D5">
        <w:t xml:space="preserve">Sírvanse </w:t>
      </w:r>
      <w:r>
        <w:t>proporcionar datos estadístic</w:t>
      </w:r>
      <w:r w:rsidR="004431D5">
        <w:t>o</w:t>
      </w:r>
      <w:r>
        <w:t>s más detallados y actualizados</w:t>
      </w:r>
      <w:r w:rsidR="004431D5">
        <w:t xml:space="preserve"> e</w:t>
      </w:r>
      <w:r>
        <w:t xml:space="preserve"> información sobre las condiciones de las mujeres empleadas en el sector informal, y de los programas existentes para garantizar sus derechos humanos. 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En el presente informe no consta información sobre la presencia de la mujer en el sector privado. </w:t>
      </w:r>
      <w:r w:rsidR="002B2D44">
        <w:t xml:space="preserve">Sírvanse </w:t>
      </w:r>
      <w:r>
        <w:t>incluir esta información</w:t>
      </w:r>
      <w:r w:rsidR="002B2D44">
        <w:t>,</w:t>
      </w:r>
      <w:r>
        <w:t xml:space="preserve"> especificando la presencia de las mujeres en altos cargos administrativos y directivos. </w:t>
      </w:r>
      <w:r w:rsidR="002B2D44">
        <w:t>Sírvanse i</w:t>
      </w:r>
      <w:r>
        <w:t>ndicar cuál ha sido la tendencia en los últimos años y los cambios en cuanto al ámbito administrativo a directivo.</w:t>
      </w:r>
      <w:r w:rsidR="00D2182B">
        <w:t xml:space="preserve"> </w:t>
      </w:r>
    </w:p>
    <w:p w:rsidR="002B2D44" w:rsidRPr="002B2D44" w:rsidRDefault="002B2D44" w:rsidP="002B2D44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2B2D44" w:rsidP="002B2D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Salud</w:t>
      </w:r>
    </w:p>
    <w:p w:rsidR="002B2D44" w:rsidRPr="002B2D44" w:rsidRDefault="002B2D44" w:rsidP="002B2D44">
      <w:pPr>
        <w:pStyle w:val="SingleTxt"/>
        <w:spacing w:after="0" w:line="120" w:lineRule="exact"/>
        <w:rPr>
          <w:sz w:val="10"/>
        </w:rPr>
      </w:pP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Según el informe, el aborto es </w:t>
      </w:r>
      <w:r w:rsidR="002B2D44">
        <w:t>“</w:t>
      </w:r>
      <w:r>
        <w:t>tipificado penalmente</w:t>
      </w:r>
      <w:r w:rsidR="002B2D44">
        <w:t>”</w:t>
      </w:r>
      <w:r>
        <w:t xml:space="preserve"> y el </w:t>
      </w:r>
      <w:r w:rsidR="002B2D44">
        <w:t>“</w:t>
      </w:r>
      <w:r>
        <w:t>juez puede prescindir de la pena</w:t>
      </w:r>
      <w:r w:rsidR="002B2D44">
        <w:t>”</w:t>
      </w:r>
      <w:r>
        <w:t xml:space="preserve"> cuando se cumplan ciertos requisitos (p</w:t>
      </w:r>
      <w:r w:rsidR="002B2D44">
        <w:t>ág</w:t>
      </w:r>
      <w:r w:rsidR="00257926">
        <w:t>s</w:t>
      </w:r>
      <w:r>
        <w:t>.</w:t>
      </w:r>
      <w:r w:rsidR="002B2D44">
        <w:t xml:space="preserve"> </w:t>
      </w:r>
      <w:r>
        <w:t>105</w:t>
      </w:r>
      <w:r w:rsidR="002B2D44">
        <w:t xml:space="preserve"> y 10</w:t>
      </w:r>
      <w:r>
        <w:t>6). Los últimos desarrollos</w:t>
      </w:r>
      <w:r w:rsidR="0069766C">
        <w:t xml:space="preserve"> relacionados </w:t>
      </w:r>
      <w:r>
        <w:t>con la despenalización del aborto en Colombia indica</w:t>
      </w:r>
      <w:r w:rsidR="0069766C">
        <w:t>n</w:t>
      </w:r>
      <w:r>
        <w:t xml:space="preserve"> que en mayo de 2006 la Corte Constitucional de Colombia falló a favor de la demanda que pedía la despenalización del aborto en tres circunstancias: cuando se encuentra en peligro la vida o la salud de la mujer; cuando el embarazo es el resultado de una violación, y/o cuando existe una grave malformación del feto incompatible con la vida extrauterina. </w:t>
      </w:r>
      <w:r w:rsidR="0069766C">
        <w:t xml:space="preserve">Sírvanse </w:t>
      </w:r>
      <w:r>
        <w:t>indicar qué acciones se han tomado o planean tomar para asegurar que los jueces de cortes menores tomen en cuenta la decisión de la Corte Constitucional en sus decisiones.</w:t>
      </w:r>
      <w:r w:rsidR="00D2182B">
        <w:t xml:space="preserve"> </w:t>
      </w:r>
      <w:r>
        <w:t>Además</w:t>
      </w:r>
      <w:r w:rsidR="0069766C">
        <w:t xml:space="preserve">, sírvanse </w:t>
      </w:r>
      <w:r>
        <w:t xml:space="preserve">indicar si la decisión de la Corte Constitucional podría tener </w:t>
      </w:r>
      <w:r w:rsidR="0069766C">
        <w:t xml:space="preserve">un </w:t>
      </w:r>
      <w:r>
        <w:t xml:space="preserve">impacto en la posible revisión legislativa sobre el aborto. </w:t>
      </w:r>
    </w:p>
    <w:p w:rsidR="00FB7A24" w:rsidRDefault="0069766C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i</w:t>
      </w:r>
      <w:r w:rsidR="00FB7A24">
        <w:t>ndicar la cobertura de las actividades que se han llevado a cabo para implementar la Política de Salud Sexual y Reproductiva (p</w:t>
      </w:r>
      <w:r>
        <w:t>ág</w:t>
      </w:r>
      <w:r w:rsidR="00FB7A24">
        <w:t>.</w:t>
      </w:r>
      <w:r>
        <w:t xml:space="preserve"> </w:t>
      </w:r>
      <w:r w:rsidR="00FB7A24">
        <w:t>110)</w:t>
      </w:r>
      <w:r>
        <w:t>,</w:t>
      </w:r>
      <w:r w:rsidR="00FB7A24">
        <w:t xml:space="preserve"> mencionando el número de beneficiarios, y además</w:t>
      </w:r>
      <w:r>
        <w:t xml:space="preserve"> sí</w:t>
      </w:r>
      <w:r w:rsidR="00156248">
        <w:t>r</w:t>
      </w:r>
      <w:r>
        <w:t>vanse</w:t>
      </w:r>
      <w:r w:rsidR="00FB7A24">
        <w:t xml:space="preserve"> indicar si se ha realizado un estudio de impacto en las áreas rurales y urbanas. 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En el informe se identifican los siguientes problemas: la inequidad de servicios prenatales para las madres del área rural y de bajo nivel educativo (p</w:t>
      </w:r>
      <w:r w:rsidR="00084B0D">
        <w:t xml:space="preserve">ág. </w:t>
      </w:r>
      <w:r>
        <w:t>119); la alta fecundidad entre las adolescentes desplazadas cuyas cifras presentan 10 puntos porcentuales más alta que las cifras de promedio nacional;</w:t>
      </w:r>
      <w:r w:rsidR="00D2182B">
        <w:t xml:space="preserve"> </w:t>
      </w:r>
      <w:r>
        <w:t>y la demanda insatisfecha de métodos anticonceptivos del 60% (p</w:t>
      </w:r>
      <w:r w:rsidR="00084B0D">
        <w:t>ág</w:t>
      </w:r>
      <w:r>
        <w:t>.</w:t>
      </w:r>
      <w:r w:rsidR="00084B0D">
        <w:t xml:space="preserve"> </w:t>
      </w:r>
      <w:r>
        <w:t xml:space="preserve">123). </w:t>
      </w:r>
      <w:r w:rsidR="00084B0D">
        <w:t>Sírvanse i</w:t>
      </w:r>
      <w:r>
        <w:t>ndicar qué acciones se planean o han llevado a cabo, y de ser así</w:t>
      </w:r>
      <w:r w:rsidR="00257926">
        <w:t>,</w:t>
      </w:r>
      <w:r>
        <w:t xml:space="preserve"> sus resultados, para remediar estas situaciones.</w:t>
      </w:r>
    </w:p>
    <w:p w:rsidR="00FB7A24" w:rsidRDefault="00FB7A24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Se indica en el informe que la incidencia del VIH/SIDA ha aumentado en grupos de población distintos a los tradicionales, </w:t>
      </w:r>
      <w:r w:rsidR="00C402F8">
        <w:t>por ejemplo,</w:t>
      </w:r>
      <w:r>
        <w:t xml:space="preserve"> niños y niñas</w:t>
      </w:r>
      <w:r w:rsidR="00C402F8">
        <w:t>,</w:t>
      </w:r>
      <w:r>
        <w:t xml:space="preserve"> como resultado de la transmisión de la madre al hijo y mujeres en edad fértil. Se indica además que parte de la Política de Salud Sexual y Reproductiva incluye programas de prevención de VIH/SIDA. </w:t>
      </w:r>
      <w:r w:rsidR="00C402F8">
        <w:t>Sírvanse i</w:t>
      </w:r>
      <w:r>
        <w:t xml:space="preserve">ndicar si las mujeres embarazadas y en edad fértil tienen acceso a tratamiento </w:t>
      </w:r>
      <w:r w:rsidR="00E320D1">
        <w:t>antirretroviral</w:t>
      </w:r>
      <w:r>
        <w:t xml:space="preserve"> contra el VIH/SIDA. Además</w:t>
      </w:r>
      <w:r w:rsidR="00E553C7">
        <w:t xml:space="preserve">, sírvanse </w:t>
      </w:r>
      <w:r>
        <w:t xml:space="preserve">informar qué acciones preventivas y de atención están dirigidas a este grupo poblacional y si la cobertura de la Política incluye zonas rurales y urbanas y otros grupos vulnerables como son las mujeres desplazadas e indígenas. </w:t>
      </w:r>
    </w:p>
    <w:p w:rsidR="00E553C7" w:rsidRPr="00E553C7" w:rsidRDefault="00E553C7" w:rsidP="00E553C7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E553C7" w:rsidP="00E553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Grupos vulnerables de mujeres y mujeres rurales</w:t>
      </w:r>
    </w:p>
    <w:p w:rsidR="00E553C7" w:rsidRPr="00E553C7" w:rsidRDefault="00E553C7" w:rsidP="00E553C7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E320D1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 xml:space="preserve">Se indica en el informe que “la Dirección General de Etnias del Ministerio del Interior y de Justicia ejecuta sus funciones (…) para lograr que las mujeres negras sean reconocidas en condiciones reales de igualdad” (pág. 46). </w:t>
      </w:r>
      <w:r w:rsidR="00E553C7">
        <w:t xml:space="preserve">Sírvanse </w:t>
      </w:r>
      <w:r w:rsidR="00FB7A24">
        <w:t>indicar qué medidas concretas se han tomado, aparte de los programas educativos (p</w:t>
      </w:r>
      <w:r w:rsidR="00E553C7">
        <w:t>ág</w:t>
      </w:r>
      <w:r w:rsidR="00FB7A24">
        <w:t xml:space="preserve">. 48), y sus resultados, para asegurar el respeto de los derechos humanos de este grupo de mujeres. </w:t>
      </w:r>
    </w:p>
    <w:p w:rsidR="00FB7A24" w:rsidRDefault="00E553C7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p</w:t>
      </w:r>
      <w:r w:rsidR="00FB7A24">
        <w:t>roporcionar información detallada acerca del impacto del conflicto armado en las mujeres, como por ejemplo la magnitud de los desplazamientos y sus consecuencias</w:t>
      </w:r>
      <w:r>
        <w:t>,</w:t>
      </w:r>
      <w:r w:rsidR="00FB7A24">
        <w:t xml:space="preserve"> y los cambios dentro de la vida familiar. </w:t>
      </w:r>
      <w:r>
        <w:t>Sírvanse i</w:t>
      </w:r>
      <w:r w:rsidR="00FB7A24">
        <w:t>ndicar qué medidas existen o se planean para ayudar a las mujeres que han sido afectadas.</w:t>
      </w:r>
    </w:p>
    <w:p w:rsidR="00FB7A24" w:rsidRDefault="00E553C7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i</w:t>
      </w:r>
      <w:r w:rsidR="00FB7A24">
        <w:t>nformar cuáles han sido los resultados del Plan de Mejoramiento “Mujer Cabeza de Familia” (p</w:t>
      </w:r>
      <w:r>
        <w:t>ág</w:t>
      </w:r>
      <w:r w:rsidR="00FB7A24">
        <w:t>.</w:t>
      </w:r>
      <w:r w:rsidR="00C42238">
        <w:t xml:space="preserve"> </w:t>
      </w:r>
      <w:r w:rsidR="00FB7A24">
        <w:t>126).</w:t>
      </w:r>
    </w:p>
    <w:p w:rsidR="00E553C7" w:rsidRPr="00E553C7" w:rsidRDefault="00E553C7" w:rsidP="00E553C7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E553C7" w:rsidP="00E553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B7A24">
        <w:t>Protocolo Facultativo</w:t>
      </w:r>
    </w:p>
    <w:p w:rsidR="00E553C7" w:rsidRPr="00E553C7" w:rsidRDefault="00E553C7" w:rsidP="00E553C7">
      <w:pPr>
        <w:pStyle w:val="SingleTxt"/>
        <w:suppressAutoHyphens/>
        <w:spacing w:after="0" w:line="120" w:lineRule="exact"/>
        <w:rPr>
          <w:sz w:val="10"/>
        </w:rPr>
      </w:pPr>
    </w:p>
    <w:p w:rsidR="00FB7A24" w:rsidRDefault="00E553C7" w:rsidP="008246C3">
      <w:pPr>
        <w:pStyle w:val="SingleTxt"/>
        <w:numPr>
          <w:ilvl w:val="0"/>
          <w:numId w:val="18"/>
        </w:numPr>
        <w:tabs>
          <w:tab w:val="clear" w:pos="475"/>
          <w:tab w:val="num" w:pos="1742"/>
        </w:tabs>
        <w:suppressAutoHyphens/>
        <w:ind w:left="1267"/>
      </w:pPr>
      <w:r>
        <w:t>Sírvanse i</w:t>
      </w:r>
      <w:r w:rsidR="00FB7A24">
        <w:t xml:space="preserve">ndicar cuál es el estatus de la ratificación del </w:t>
      </w:r>
      <w:r>
        <w:t>P</w:t>
      </w:r>
      <w:r w:rsidR="00FB7A24">
        <w:t xml:space="preserve">rotocolo </w:t>
      </w:r>
      <w:r>
        <w:t>F</w:t>
      </w:r>
      <w:r w:rsidR="00FB7A24">
        <w:t>acultativo a partir de su radicación como proyecto de ley ante la secretaría del Congreso el 25 de marzo de 2005 (p</w:t>
      </w:r>
      <w:r>
        <w:t>ág</w:t>
      </w:r>
      <w:r w:rsidR="00FB7A24">
        <w:t>. 19).</w:t>
      </w:r>
    </w:p>
    <w:p w:rsidR="00E553C7" w:rsidRDefault="00E553C7" w:rsidP="00E553C7">
      <w:pPr>
        <w:pStyle w:val="SingleTxt"/>
      </w:pPr>
      <w:r>
        <w:rPr>
          <w:noProof/>
          <w:w w:val="100"/>
          <w:lang w:val="en-US"/>
        </w:rPr>
        <w:pict>
          <v:line id="_x0000_s1027" style="position:absolute;left:0;text-align:left;z-index:2" from="209pt,15pt" to="281pt,15pt" wrapcoords="1 1 97 1 97 1 1 1 1 1" strokeweight=".25pt">
            <w10:wrap type="tight"/>
          </v:line>
        </w:pict>
      </w:r>
    </w:p>
    <w:sectPr w:rsidR="00E553C7" w:rsidSect="00600148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5T14:45:00Z" w:initials="Start">
    <w:p w:rsidR="00D958D0" w:rsidRPr="00FB7A24" w:rsidRDefault="00D958D0">
      <w:pPr>
        <w:pStyle w:val="CommentText"/>
        <w:rPr>
          <w:lang w:val="en-US"/>
        </w:rPr>
      </w:pPr>
      <w:r>
        <w:fldChar w:fldCharType="begin"/>
      </w:r>
      <w:r w:rsidRPr="00FB7A24">
        <w:rPr>
          <w:rStyle w:val="CommentReference"/>
          <w:lang w:val="en-US"/>
        </w:rPr>
        <w:instrText xml:space="preserve"> </w:instrText>
      </w:r>
      <w:r w:rsidRPr="00FB7A24">
        <w:rPr>
          <w:lang w:val="en-US"/>
        </w:rPr>
        <w:instrText>PAGE \# "'Page: '#'</w:instrText>
      </w:r>
      <w:r w:rsidRPr="00FB7A24">
        <w:rPr>
          <w:lang w:val="en-US"/>
        </w:rPr>
        <w:br/>
        <w:instrText>'"</w:instrText>
      </w:r>
      <w:r w:rsidRPr="00FB7A2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B7A24">
        <w:rPr>
          <w:lang w:val="en-US"/>
        </w:rPr>
        <w:t>&lt;&lt;ODS JOB NO&gt;&gt;N0646850S&lt;&lt;ODS JOB NO&gt;&gt;</w:t>
      </w:r>
    </w:p>
    <w:p w:rsidR="00D958D0" w:rsidRPr="00FB7A24" w:rsidRDefault="00D958D0">
      <w:pPr>
        <w:pStyle w:val="CommentText"/>
        <w:rPr>
          <w:lang w:val="en-US"/>
        </w:rPr>
      </w:pPr>
      <w:r w:rsidRPr="00FB7A24">
        <w:rPr>
          <w:lang w:val="en-US"/>
        </w:rPr>
        <w:t>&lt;&lt;ODS DOC SYMBOL1&gt;&gt;CEDAW/C/COL/Q/6&lt;&lt;ODS DOC SYMBOL1&gt;&gt;</w:t>
      </w:r>
    </w:p>
    <w:p w:rsidR="00D958D0" w:rsidRPr="00FB7A24" w:rsidRDefault="00D958D0">
      <w:pPr>
        <w:pStyle w:val="CommentText"/>
        <w:rPr>
          <w:lang w:val="en-US"/>
        </w:rPr>
      </w:pPr>
      <w:r w:rsidRPr="00FB7A2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8D0" w:rsidRDefault="00D958D0" w:rsidP="004F3774">
      <w:r>
        <w:separator/>
      </w:r>
    </w:p>
  </w:endnote>
  <w:endnote w:type="continuationSeparator" w:id="0">
    <w:p w:rsidR="00D958D0" w:rsidRDefault="00D958D0" w:rsidP="004F3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958D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958D0" w:rsidRPr="004F3774" w:rsidRDefault="00D958D0" w:rsidP="004F3774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83A2A">
            <w:rPr>
              <w:b w:val="0"/>
              <w:w w:val="103"/>
              <w:sz w:val="14"/>
            </w:rPr>
            <w:t>06-46850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958D0" w:rsidRPr="004F3774" w:rsidRDefault="00D958D0" w:rsidP="004F377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83A2A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D958D0" w:rsidRPr="004F3774" w:rsidRDefault="00D958D0" w:rsidP="004F37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958D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958D0" w:rsidRPr="004F3774" w:rsidRDefault="00D958D0" w:rsidP="004F377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83A2A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958D0" w:rsidRPr="004F3774" w:rsidRDefault="00D958D0" w:rsidP="004F3774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83A2A">
            <w:rPr>
              <w:b w:val="0"/>
              <w:w w:val="103"/>
              <w:sz w:val="14"/>
            </w:rPr>
            <w:t>06-46850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D958D0" w:rsidRPr="004F3774" w:rsidRDefault="00D958D0" w:rsidP="004F377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8D0" w:rsidRDefault="00D958D0" w:rsidP="004F377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83A2A">
      <w:rPr>
        <w:b w:val="0"/>
        <w:sz w:val="20"/>
      </w:rPr>
      <w:t>06-46850 (S)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050906    050906</w:t>
    </w:r>
  </w:p>
  <w:p w:rsidR="00D958D0" w:rsidRPr="004F3774" w:rsidRDefault="00D958D0" w:rsidP="004F377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83A2A">
      <w:rPr>
        <w:rFonts w:ascii="Barcode 3 of 9 by request" w:hAnsi="Barcode 3 of 9 by request"/>
        <w:b w:val="0"/>
        <w:sz w:val="24"/>
      </w:rPr>
      <w:t>*0646850*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8D0" w:rsidRDefault="00D958D0" w:rsidP="004F3774">
      <w:r>
        <w:separator/>
      </w:r>
    </w:p>
  </w:footnote>
  <w:footnote w:type="continuationSeparator" w:id="0">
    <w:p w:rsidR="00D958D0" w:rsidRDefault="00D958D0" w:rsidP="004F3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958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58D0" w:rsidRPr="004F3774" w:rsidRDefault="00D958D0" w:rsidP="004F377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83A2A">
            <w:rPr>
              <w:b/>
            </w:rPr>
            <w:t>CEDAW/C/COL/Q/6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958D0" w:rsidRDefault="00D958D0" w:rsidP="004F3774">
          <w:pPr>
            <w:pStyle w:val="Header"/>
          </w:pPr>
        </w:p>
      </w:tc>
    </w:tr>
  </w:tbl>
  <w:p w:rsidR="00D958D0" w:rsidRPr="004F3774" w:rsidRDefault="00D958D0" w:rsidP="004F37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958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58D0" w:rsidRDefault="00D958D0" w:rsidP="004F377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958D0" w:rsidRPr="004F3774" w:rsidRDefault="00D958D0" w:rsidP="004F377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83A2A">
            <w:rPr>
              <w:b/>
            </w:rPr>
            <w:t>CEDAW/C/COL/Q/6</w:t>
          </w:r>
          <w:r>
            <w:rPr>
              <w:b/>
            </w:rPr>
            <w:fldChar w:fldCharType="end"/>
          </w:r>
        </w:p>
      </w:tc>
    </w:tr>
  </w:tbl>
  <w:p w:rsidR="00D958D0" w:rsidRPr="004F3774" w:rsidRDefault="00D958D0" w:rsidP="004F37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D958D0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958D0" w:rsidRDefault="00D958D0" w:rsidP="004F3774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958D0" w:rsidRPr="004F3774" w:rsidRDefault="00D958D0" w:rsidP="004F377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958D0" w:rsidRDefault="00D958D0" w:rsidP="004F3774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958D0" w:rsidRPr="004F3774" w:rsidRDefault="00D958D0" w:rsidP="004F3774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/C/COL/Q/6</w:t>
          </w:r>
        </w:p>
      </w:tc>
    </w:tr>
    <w:tr w:rsidR="00D958D0" w:rsidRPr="004F377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58D0" w:rsidRDefault="00D958D0" w:rsidP="004F377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958D0" w:rsidRPr="004F3774" w:rsidRDefault="00D958D0" w:rsidP="004F377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58D0" w:rsidRPr="004F3774" w:rsidRDefault="00D958D0" w:rsidP="004F377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58D0" w:rsidRPr="00FB7A24" w:rsidRDefault="00D958D0" w:rsidP="004F3774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58D0" w:rsidRDefault="00D958D0" w:rsidP="004F3774">
          <w:pPr>
            <w:spacing w:before="240"/>
          </w:pPr>
          <w:r>
            <w:t>Distr. general</w:t>
          </w:r>
        </w:p>
        <w:p w:rsidR="00D958D0" w:rsidRDefault="00D958D0" w:rsidP="004F3774">
          <w:r>
            <w:t>14 de agosto de 2006</w:t>
          </w:r>
        </w:p>
        <w:p w:rsidR="00D958D0" w:rsidRDefault="00D958D0" w:rsidP="004F3774"/>
        <w:p w:rsidR="00D958D0" w:rsidRPr="004F3774" w:rsidRDefault="00D958D0" w:rsidP="004F3774">
          <w:r>
            <w:t>Original: español</w:t>
          </w:r>
        </w:p>
      </w:tc>
    </w:tr>
  </w:tbl>
  <w:p w:rsidR="00D958D0" w:rsidRPr="004F3774" w:rsidRDefault="00D958D0" w:rsidP="004F3774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96F4A"/>
    <w:multiLevelType w:val="hybridMultilevel"/>
    <w:tmpl w:val="0D804B9A"/>
    <w:lvl w:ilvl="0" w:tplc="EBB64F92">
      <w:start w:val="9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">
    <w:nsid w:val="38623467"/>
    <w:multiLevelType w:val="singleLevel"/>
    <w:tmpl w:val="DB5ABF0C"/>
    <w:lvl w:ilvl="0">
      <w:start w:val="4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">
    <w:nsid w:val="39AB15A2"/>
    <w:multiLevelType w:val="hybridMultilevel"/>
    <w:tmpl w:val="5A9EE59A"/>
    <w:lvl w:ilvl="0" w:tplc="4F340EE2">
      <w:start w:val="1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3">
    <w:nsid w:val="4A4C7AEC"/>
    <w:multiLevelType w:val="singleLevel"/>
    <w:tmpl w:val="DD9E7442"/>
    <w:lvl w:ilvl="0">
      <w:start w:val="10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4">
    <w:nsid w:val="4E9B630A"/>
    <w:multiLevelType w:val="singleLevel"/>
    <w:tmpl w:val="CAFEECB0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5">
    <w:nsid w:val="67BD1B42"/>
    <w:multiLevelType w:val="singleLevel"/>
    <w:tmpl w:val="66846A0A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6">
    <w:nsid w:val="6B47547A"/>
    <w:multiLevelType w:val="singleLevel"/>
    <w:tmpl w:val="CAFEECB0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7">
    <w:nsid w:val="77C810ED"/>
    <w:multiLevelType w:val="singleLevel"/>
    <w:tmpl w:val="AAFAC68E"/>
    <w:lvl w:ilvl="0">
      <w:start w:val="8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8">
    <w:nsid w:val="7BB80404"/>
    <w:multiLevelType w:val="hybridMultilevel"/>
    <w:tmpl w:val="2F8ED8D0"/>
    <w:lvl w:ilvl="0" w:tplc="D4FC4BD2">
      <w:start w:val="6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9">
    <w:nsid w:val="7D1269F3"/>
    <w:multiLevelType w:val="hybridMultilevel"/>
    <w:tmpl w:val="B59471A2"/>
    <w:lvl w:ilvl="0" w:tplc="9216FF46">
      <w:start w:val="5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9"/>
  </w:num>
  <w:num w:numId="5">
    <w:abstractNumId w:val="6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6">
    <w:abstractNumId w:val="8"/>
  </w:num>
  <w:num w:numId="7">
    <w:abstractNumId w:val="1"/>
  </w:num>
  <w:num w:numId="8">
    <w:abstractNumId w:val="1"/>
    <w:lvlOverride w:ilvl="0">
      <w:lvl w:ilvl="0">
        <w:start w:val="5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9">
    <w:abstractNumId w:val="0"/>
  </w:num>
  <w:num w:numId="10">
    <w:abstractNumId w:val="1"/>
    <w:lvlOverride w:ilvl="0">
      <w:lvl w:ilvl="0">
        <w:start w:val="5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1">
    <w:abstractNumId w:val="7"/>
  </w:num>
  <w:num w:numId="12">
    <w:abstractNumId w:val="3"/>
  </w:num>
  <w:num w:numId="13">
    <w:abstractNumId w:val="3"/>
    <w:lvlOverride w:ilvl="0">
      <w:lvl w:ilvl="0">
        <w:start w:val="1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4">
    <w:abstractNumId w:val="3"/>
    <w:lvlOverride w:ilvl="0">
      <w:lvl w:ilvl="0">
        <w:start w:val="1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5">
    <w:abstractNumId w:val="3"/>
    <w:lvlOverride w:ilvl="0">
      <w:lvl w:ilvl="0">
        <w:start w:val="1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6">
    <w:abstractNumId w:val="3"/>
    <w:lvlOverride w:ilvl="0">
      <w:lvl w:ilvl="0">
        <w:start w:val="1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7">
    <w:abstractNumId w:val="3"/>
    <w:lvlOverride w:ilvl="0">
      <w:lvl w:ilvl="0">
        <w:start w:val="1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8">
    <w:abstractNumId w:val="5"/>
  </w:num>
  <w:num w:numId="19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0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1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2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3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4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5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6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7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8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9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0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1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2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3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4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5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6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7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850*"/>
    <w:docVar w:name="CreationDt" w:val="05/09/2006 14:45:27"/>
    <w:docVar w:name="DocCategory" w:val="Doc"/>
    <w:docVar w:name="DocType" w:val="Final"/>
    <w:docVar w:name="FooterJN" w:val="06-46850"/>
    <w:docVar w:name="jobn" w:val="06-46850 (S)"/>
    <w:docVar w:name="jobnDT" w:val="06-46850 (S)   050906"/>
    <w:docVar w:name="jobnDTDT" w:val="06-46850 (S)   050906   050906"/>
    <w:docVar w:name="JobNo" w:val="0646850S"/>
    <w:docVar w:name="OandT" w:val="aída"/>
    <w:docVar w:name="sss1" w:val="CEDAW/C/COL/Q/6"/>
    <w:docVar w:name="sss2" w:val="-"/>
    <w:docVar w:name="Symbol1" w:val="CEDAW/C/COL/Q/6"/>
    <w:docVar w:name="Symbol2" w:val="-"/>
  </w:docVars>
  <w:rsids>
    <w:rsidRoot w:val="00816340"/>
    <w:rsid w:val="000041B7"/>
    <w:rsid w:val="00021645"/>
    <w:rsid w:val="00084B0D"/>
    <w:rsid w:val="000A1971"/>
    <w:rsid w:val="00131CD9"/>
    <w:rsid w:val="00156248"/>
    <w:rsid w:val="001634C8"/>
    <w:rsid w:val="00257926"/>
    <w:rsid w:val="002B2D44"/>
    <w:rsid w:val="00307DFF"/>
    <w:rsid w:val="003661B1"/>
    <w:rsid w:val="004431D5"/>
    <w:rsid w:val="004D4740"/>
    <w:rsid w:val="004F3774"/>
    <w:rsid w:val="005A0728"/>
    <w:rsid w:val="00600148"/>
    <w:rsid w:val="00601ED7"/>
    <w:rsid w:val="0069766C"/>
    <w:rsid w:val="00710757"/>
    <w:rsid w:val="00755862"/>
    <w:rsid w:val="007C566A"/>
    <w:rsid w:val="00816340"/>
    <w:rsid w:val="00820322"/>
    <w:rsid w:val="008246C3"/>
    <w:rsid w:val="00862C3B"/>
    <w:rsid w:val="00895AA0"/>
    <w:rsid w:val="0090733B"/>
    <w:rsid w:val="009540A8"/>
    <w:rsid w:val="00976761"/>
    <w:rsid w:val="00983A2A"/>
    <w:rsid w:val="0099003E"/>
    <w:rsid w:val="009E7FC4"/>
    <w:rsid w:val="00A23E03"/>
    <w:rsid w:val="00AB1B0E"/>
    <w:rsid w:val="00B93EEF"/>
    <w:rsid w:val="00C07988"/>
    <w:rsid w:val="00C11892"/>
    <w:rsid w:val="00C402F8"/>
    <w:rsid w:val="00C42238"/>
    <w:rsid w:val="00CD4760"/>
    <w:rsid w:val="00D2182B"/>
    <w:rsid w:val="00D958D0"/>
    <w:rsid w:val="00E31D49"/>
    <w:rsid w:val="00E320D1"/>
    <w:rsid w:val="00E553C7"/>
    <w:rsid w:val="00EE62C3"/>
    <w:rsid w:val="00F444ED"/>
    <w:rsid w:val="00F73A83"/>
    <w:rsid w:val="00FB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F3774"/>
  </w:style>
  <w:style w:type="paragraph" w:styleId="CommentSubject">
    <w:name w:val="annotation subject"/>
    <w:basedOn w:val="CommentText"/>
    <w:next w:val="CommentText"/>
    <w:semiHidden/>
    <w:rsid w:val="004F3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147</TotalTime>
  <Pages>3</Pages>
  <Words>2047</Words>
  <Characters>10871</Characters>
  <Application>Microsoft Office Word</Application>
  <DocSecurity>4</DocSecurity>
  <Lines>217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12865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Jimenez, Aida</dc:creator>
  <cp:keywords/>
  <dc:description/>
  <cp:lastModifiedBy>Marquez, Nelly</cp:lastModifiedBy>
  <cp:revision>55</cp:revision>
  <cp:lastPrinted>2006-09-05T17:03:00Z</cp:lastPrinted>
  <dcterms:created xsi:type="dcterms:W3CDTF">2006-09-05T13:42:00Z</dcterms:created>
  <dcterms:modified xsi:type="dcterms:W3CDTF">2006-09-05T17:03:00Z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0646850</vt:lpwstr>
  </property>
  <property fmtid="{D5CDD505-2E9C-101B-9397-08002B2CF9AE}" pid="3" name="Symbol1">
    <vt:lpwstr>CEDAW/C/COL/Q/6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</vt:lpwstr>
  </property>
  <property fmtid="{D5CDD505-2E9C-101B-9397-08002B2CF9AE}" pid="8" name="Operator">
    <vt:lpwstr>aída/Nelly</vt:lpwstr>
  </property>
</Properties>
</file>