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6602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90"/>
        <w:rPr>
          <w:lang w:val="es-ES_tradnl"/>
        </w:rPr>
      </w:pPr>
      <w:r>
        <w:t>Distr.</w:t>
      </w:r>
      <w:r>
        <w:br/>
      </w:r>
      <w:r>
        <w:rPr>
          <w:lang w:val="es-ES_tradnl"/>
        </w:rPr>
        <w:t>GENERAL</w:t>
      </w:r>
    </w:p>
    <w:p w:rsidR="00000000" w:rsidRDefault="00000000">
      <w:pPr>
        <w:spacing w:after="240"/>
        <w:ind w:left="7290"/>
        <w:rPr>
          <w:lang w:val="es-ES_tradnl"/>
        </w:rPr>
      </w:pPr>
      <w:r>
        <w:rPr>
          <w:lang w:val="es-ES_tradnl"/>
        </w:rPr>
        <w:t>CRC/GC/2003/4</w:t>
      </w:r>
      <w:r>
        <w:rPr>
          <w:lang w:val="es-ES_tradnl"/>
        </w:rPr>
        <w:br/>
        <w:t>21 de julio de 2003</w:t>
      </w:r>
    </w:p>
    <w:p w:rsidR="00000000" w:rsidRDefault="00000000">
      <w:pPr>
        <w:spacing w:after="480"/>
        <w:ind w:left="7290"/>
        <w:rPr>
          <w:lang w:val="es-ES_tradnl"/>
        </w:rPr>
      </w:pPr>
      <w:r>
        <w:rPr>
          <w:lang w:val="es-ES_tradnl"/>
        </w:rPr>
        <w:t>ESPAÑOL</w:t>
      </w:r>
      <w:r>
        <w:rPr>
          <w:lang w:val="es-ES_tradnl"/>
        </w:rPr>
        <w:br/>
        <w:t>Original:  INGLÉS</w:t>
      </w:r>
    </w:p>
    <w:p w:rsidR="00000000" w:rsidRDefault="00000000">
      <w:pPr>
        <w:spacing w:after="480"/>
      </w:pPr>
      <w:r>
        <w:t>COMITÉ DE LOS DERECHOS DEL NIÑO</w:t>
      </w:r>
      <w:r>
        <w:br/>
        <w:t>33º período de sesiones</w:t>
      </w:r>
      <w:r>
        <w:br/>
        <w:t>19 de mayo a 6 de junio de 2003</w:t>
      </w:r>
    </w:p>
    <w:p w:rsidR="00000000" w:rsidRDefault="00000000">
      <w:pPr>
        <w:spacing w:after="240"/>
        <w:jc w:val="center"/>
        <w:rPr>
          <w:b/>
          <w:bCs/>
        </w:rPr>
      </w:pPr>
      <w:r>
        <w:rPr>
          <w:b/>
          <w:bCs/>
        </w:rPr>
        <w:t>OBSERVACIÓN GENERAL Nº 4 (2003)</w:t>
      </w:r>
    </w:p>
    <w:p w:rsidR="00000000" w:rsidRDefault="00000000">
      <w:pPr>
        <w:spacing w:after="480"/>
        <w:jc w:val="center"/>
        <w:rPr>
          <w:b/>
          <w:bCs/>
        </w:rPr>
      </w:pPr>
      <w:r>
        <w:rPr>
          <w:b/>
          <w:bCs/>
        </w:rPr>
        <w:t>La salud y el desarrollo de los adolescentes en el contexto</w:t>
      </w:r>
      <w:r>
        <w:rPr>
          <w:b/>
          <w:bCs/>
        </w:rPr>
        <w:br/>
        <w:t>de la Convención sobre los Derechos del Niño</w:t>
      </w:r>
    </w:p>
    <w:p w:rsidR="00000000" w:rsidRDefault="00000000">
      <w:pPr>
        <w:spacing w:after="240"/>
        <w:jc w:val="center"/>
        <w:rPr>
          <w:b/>
          <w:bCs/>
        </w:rPr>
      </w:pPr>
      <w:r>
        <w:rPr>
          <w:b/>
          <w:bCs/>
        </w:rPr>
        <w:t>INTRODUCCIÓN</w:t>
      </w:r>
    </w:p>
    <w:p w:rsidR="00000000" w:rsidRDefault="00000000">
      <w:pPr>
        <w:spacing w:after="240"/>
      </w:pPr>
      <w:r>
        <w:t>1.</w:t>
      </w:r>
      <w:r>
        <w:tab/>
        <w:t>La Convención sobre los Derechos del Niño define al niño como "todo ser humano menor de 18 años de edad, salvo que en virtud de la ley que le sea aplicable, haya alcanzado antes la mayoría de edad" (art. 1).  En consecuencia, los adolescentes de hasta 18 años de edad son titulares de todos los derechos consagrados en la Convención; tienen derecho a medidas especiales de protección y, en consonancia con la evolución de sus facultades, pueden ejercer progresivamente sus derechos (art. 5).</w:t>
      </w:r>
    </w:p>
    <w:p w:rsidR="00000000" w:rsidRDefault="00000000">
      <w:pPr>
        <w:spacing w:after="240"/>
      </w:pPr>
      <w:r>
        <w:t>2.</w:t>
      </w:r>
      <w:r>
        <w:tab/>
        <w:t>La adolescencia es un período caracterizado por rápidos cambios físicos, cognoscitivos y sociales, incluida la madurez sexual y reproductiva; la adquisición gradual de la capacidad para asumir comportamientos y funciones de adultos, que implican nuevas obligaciones y exigen nuevos conocimientos teóricos y prácticos.  Aunque en general los adolescentes constituyen un grupo de población sano, la adolescencia plantea también nuevos retos a la salud y al desarrollo debido a su relativa vulnerabilidad y a la presión ejercida por la sociedad, incluso por los propios adolescentes para adoptar comportamientos arriesgados para la salud.  Entre éstos figura la adquisición de una identidad personal y la gestión de su propia sexualidad.  El período de transición dinámica a la edad adulta es también generalmente un período de cambios positivos inspirados por la importante capacidad de los adolescentes para aprender rápidamente, experimentar nuevas y diversas situaciones, desarrollar y utilizar el pensamiento crítico y familiarizarse con la libertad, ser creativos y socializar.</w:t>
      </w:r>
    </w:p>
    <w:p w:rsidR="00000000" w:rsidRDefault="00000000"/>
    <w:p w:rsidR="00000000" w:rsidRDefault="00000000">
      <w:r>
        <w:t>GE.03-42727  (S)    070803    080803</w:t>
      </w:r>
    </w:p>
    <w:p w:rsidR="00000000" w:rsidRDefault="00000000">
      <w:pPr>
        <w:spacing w:after="240"/>
      </w:pPr>
      <w:r>
        <w:t>3.</w:t>
      </w:r>
      <w:r>
        <w:tab/>
        <w:t>El Comité de los Derechos del Niño observa con inquietud que los Estados Partes no han prestado suficiente atención, en cumplimiento de las obligaciones que les impone la Convención, a las preocupaciones específicas de los adolescentes como titulares de derechos ni a la promoción de su salud y desarrollo.  Esta ha sido la causa de que el Comité adopte la siguiente observación general para sensibilizar a los Estados Partes y facilitarles orientación y apoyo en sus esfuerzos para garantizar el respeto, protección y cumplimiento de los derechos de los adolescentes, incluso mediante la formulación de estrategias y políticas específicas.</w:t>
      </w:r>
    </w:p>
    <w:p w:rsidR="00000000" w:rsidRDefault="00000000">
      <w:pPr>
        <w:spacing w:after="480"/>
      </w:pPr>
      <w:r>
        <w:t>4.</w:t>
      </w:r>
      <w:r>
        <w:tab/>
        <w:t>El Comité entiende que las ideas de "salud y desarrollo" tienen un sentido más amplio que el estrictamente derivado de las disposiciones contenidas en los artículos 6 (Derecho a la vida, supervivencia y desarrollo) y 24 (Derecho a la salud) de la Convención.  Uno de los principales objetivos de esta observación general es precisamente determinar los principales derechos humanos que han de fomentarse y protegerse para garantizar a los adolescentes el disfrute del más alto nivel posible de salud, el desarrollo de forma equilibrada y una preparación adecuada para entrar en la edad adulta y asumir un papel constructivo en sus comunidades y sociedades en general.  Esta observación general deberá ser compatible con la Convención y con sus dos Protocolos Facultativos sobre los derechos del niño, la prostitución infantil y la utilización de niños en la pornografía, y sobre la participación de niños en los conflictos armados, así como con otras normas y reglas internacionales pertinentes sobre derechos humanos</w:t>
      </w:r>
      <w:r>
        <w:rPr>
          <w:rStyle w:val="FootnoteReference"/>
        </w:rPr>
        <w:footnoteReference w:id="1"/>
      </w:r>
      <w:r>
        <w:t>.</w:t>
      </w:r>
    </w:p>
    <w:p w:rsidR="00000000" w:rsidRDefault="00000000">
      <w:pPr>
        <w:spacing w:after="240"/>
        <w:ind w:left="284" w:hanging="284"/>
        <w:jc w:val="center"/>
        <w:rPr>
          <w:b/>
          <w:bCs/>
        </w:rPr>
      </w:pPr>
      <w:r>
        <w:rPr>
          <w:b/>
          <w:bCs/>
        </w:rPr>
        <w:t>I.  PRINCIPIOS FUNDAMENTALES Y OTRAS OBLIGACIONES</w:t>
      </w:r>
      <w:r>
        <w:rPr>
          <w:b/>
          <w:bCs/>
        </w:rPr>
        <w:br/>
        <w:t>DE LOS ESTADOS PARTES</w:t>
      </w:r>
    </w:p>
    <w:p w:rsidR="00000000" w:rsidRDefault="00000000">
      <w:pPr>
        <w:spacing w:after="240"/>
      </w:pPr>
      <w:r>
        <w:t>5.</w:t>
      </w:r>
      <w:r>
        <w:tab/>
        <w:t>Como reconoció la Conferencia Mundial de Derechos Humanos en 1993 y repetidamente ha reafirmado el Comité, los derechos del niño son también indivisibles e interdependientes.  Además de los artículos 6 y 24, otras disposiciones y principios de la Convención son cruciales para garantizar a los adolescentes el pleno disfrute de sus derechos a la salud y el desarrollo.</w:t>
      </w:r>
    </w:p>
    <w:p w:rsidR="00000000" w:rsidRDefault="00000000">
      <w:pPr>
        <w:spacing w:after="240"/>
        <w:rPr>
          <w:b/>
          <w:bCs/>
        </w:rPr>
      </w:pPr>
      <w:r>
        <w:rPr>
          <w:b/>
          <w:bCs/>
        </w:rPr>
        <w:t>El derecho a la no discriminación</w:t>
      </w:r>
    </w:p>
    <w:p w:rsidR="00000000" w:rsidRDefault="00000000">
      <w:pPr>
        <w:spacing w:after="240"/>
      </w:pPr>
      <w:r>
        <w:t>6.</w:t>
      </w:r>
      <w:r>
        <w:tab/>
        <w:t>Los Estados Partes tienen la obligación de garantizar a todos los seres humanos de menos de 18 años el disfrute de todos los derechos enunciados en la Convención, sin distinción alguna (art. 2), independientemente de "la raza, el color, el sexo, el idioma, la religión, la opinión pública o de otra índole, el origen nacional, étnico o social, la posición económica, los impedimentos físicos, el nacimiento o cualquier otra condición del niño".  Deben añadirse también la orientación sexual y el estado salud del niño (con inclusión del VIH/SIDA y la salud mental).  Los adolescentes que son objeto de discriminación son más vulnerables a los abusos, a otros tipos de violencia y explotación y su salud y desarrollo corren grandes peligros.  Por ello tienen derecho a atención y protección especiales de todos los segmentos de la sociedad.</w:t>
      </w:r>
    </w:p>
    <w:p w:rsidR="00000000" w:rsidRDefault="00000000">
      <w:pPr>
        <w:spacing w:after="240"/>
        <w:rPr>
          <w:b/>
          <w:bCs/>
        </w:rPr>
      </w:pPr>
      <w:r>
        <w:rPr>
          <w:b/>
          <w:bCs/>
        </w:rPr>
        <w:t>Orientación adecuada en el ejercicio de los derechos</w:t>
      </w:r>
    </w:p>
    <w:p w:rsidR="00000000" w:rsidRDefault="00000000">
      <w:pPr>
        <w:spacing w:after="240"/>
      </w:pPr>
      <w:r>
        <w:t>7.</w:t>
      </w:r>
      <w:r>
        <w:tab/>
        <w:t>La Convención reconoce las responsabilidades, derechos y obligaciones de los padres (o de cualquier otra persona encargada legalmente del niño) "de impartirle, en consonancia y con la evolución de sus facultades, dirección y orientación apropiadas para que el niño ejerza los derechos reconocidos en la presente Convención" (art. 5).  El Comité cree que los padres o cualesquiera otras personas legalmente responsables del  niño están obligadas a cumplir cuidadosamente con sus derechos y obligaciones de proporcionar dirección y orientación al niño en el ejercicio por estos últimos de sus derechos.  Tienen la obligación de tener en cuenta las opiniones de los adolescentes, de acuerdo con su edad y madurez y proporcionarles un entorno seguro y propicio en el que el adolescente pueda desarrollarse.  Los adolescentes necesitan que los miembros de su entorno familiar les reconozcan como titulares activos de derecho que tienen capacidad para convertirse en ciudadanos responsables y de pleno derecho cuando se les facilita la orientación y dirección adecuadas.</w:t>
      </w:r>
    </w:p>
    <w:p w:rsidR="00000000" w:rsidRDefault="00000000">
      <w:pPr>
        <w:spacing w:after="240"/>
        <w:rPr>
          <w:b/>
          <w:bCs/>
        </w:rPr>
      </w:pPr>
      <w:r>
        <w:rPr>
          <w:b/>
          <w:bCs/>
        </w:rPr>
        <w:t>Respeto a las opiniones del niño</w:t>
      </w:r>
    </w:p>
    <w:p w:rsidR="00000000" w:rsidRDefault="00000000">
      <w:pPr>
        <w:spacing w:after="240"/>
      </w:pPr>
      <w:r>
        <w:t>8.</w:t>
      </w:r>
      <w:r>
        <w:tab/>
        <w:t>También es fundamental en la realización de los derechos del niño a la salud y el desarrollo, el derecho a expresar su opinión libremente y a que se tengan debidamente en cuenta sus opiniones (art. 12).  Los Estados Partes necesitan tener la seguridad de que se da a los adolescentes una posibilidad genuina de expresar sus opiniones libremente en todos los asuntos que le afectan, especialmente en el seno de la familia, en la escuela y en sus respectivas comunidades.  Para que los adolescentes puedan ejercer debidamente y con seguridad este derecho las autoridades públicas, los padres y cualesquiera otros adultos que trabajen con los niños o en favor de éstos necesitan crear un entorno basado en la confianza, la compartición de información, la capacidad de escuchar toda opinión razonable que lleve a participar a los adolescentes en condiciones de igualdad, inclusive la adopción de decisiones.</w:t>
      </w:r>
    </w:p>
    <w:p w:rsidR="00000000" w:rsidRDefault="00000000">
      <w:pPr>
        <w:spacing w:after="240"/>
        <w:rPr>
          <w:lang w:val="es-ES_tradnl"/>
        </w:rPr>
      </w:pPr>
      <w:r>
        <w:rPr>
          <w:b/>
          <w:bCs/>
          <w:lang w:val="es-ES_tradnl"/>
        </w:rPr>
        <w:t>Medidas y procedimientos legales y judiciales</w:t>
      </w:r>
    </w:p>
    <w:p w:rsidR="00000000" w:rsidRDefault="00000000">
      <w:pPr>
        <w:spacing w:after="240"/>
        <w:rPr>
          <w:lang w:val="es-ES_tradnl"/>
        </w:rPr>
      </w:pPr>
      <w:r>
        <w:rPr>
          <w:lang w:val="es-ES_tradnl"/>
        </w:rPr>
        <w:t>9.</w:t>
      </w:r>
      <w:r>
        <w:rPr>
          <w:lang w:val="es-ES_tradnl"/>
        </w:rPr>
        <w:tab/>
        <w:t>El artículo 4 de la Convención establece que "los Estados Partes adoptarán todas las medidas administrativas, legislativas y de otra índole para dar efectividad a los derechos reconocidos" en ella.  En el contexto de los derechos de los adolescentes a la salud y el desarrollo, los Estados Partes tienen necesidad de asegurar que ciertas disposiciones jurídicas específicas estén garantizadas en derecho interno, entre ellas las relativas al establecimiento de la edad mínima para el consentimiento sexual, el matrimonio y la posibilidad de tratamiento médico sin consentimiento de los padres.  Estas edades mínimas deben ser las mismas para los niños y las niñas (artículo 2 de la Convención) y reflejar fielmente el reconocimiento de la condición de seres humanos a los menores de 18 años de edad en cuanto titulares de derecho en consonancia con la evolución de sus facultades y en función de la edad y la madurez del niño (arts. 5 y 12 a 17).  Además, los adolescentes necesitan tener fácil acceso a los procedimientos de quejas individuales así como a los mecanismos de reparación judicial y no judicial adecuados que garanticen un proceso justo con las debidas garantías, prestando especialmente atención al derecho a la intimidad (art. 16).</w:t>
      </w:r>
    </w:p>
    <w:p w:rsidR="00000000" w:rsidRDefault="00000000">
      <w:pPr>
        <w:keepNext/>
        <w:spacing w:after="240"/>
        <w:rPr>
          <w:b/>
          <w:bCs/>
          <w:lang w:val="es-ES_tradnl"/>
        </w:rPr>
      </w:pPr>
      <w:r>
        <w:rPr>
          <w:b/>
          <w:bCs/>
          <w:lang w:val="es-ES_tradnl"/>
        </w:rPr>
        <w:t>Derechos civiles y libertades</w:t>
      </w:r>
    </w:p>
    <w:p w:rsidR="00000000" w:rsidRDefault="00000000">
      <w:pPr>
        <w:spacing w:after="240"/>
        <w:rPr>
          <w:lang w:val="es-ES_tradnl"/>
        </w:rPr>
      </w:pPr>
      <w:r>
        <w:rPr>
          <w:lang w:val="es-ES_tradnl"/>
        </w:rPr>
        <w:t>10.</w:t>
      </w:r>
      <w:r>
        <w:rPr>
          <w:lang w:val="es-ES_tradnl"/>
        </w:rPr>
        <w:tab/>
        <w:t>La Convención define en los artículos 13 a 17 los derechos civiles y las libertades de los niños y adolescentes, que son esenciales para garantizar el derecho a la salud y el desarrollo de los adolescentes.  El artículo 17 establece que el niño "tenga acceso a información y material procedentes de diversas fuentes nacionales e internacionales, en especial la información y el material que tengan por finalidad promover su bienestar social, espiritual y moral y su salud física y mental".  El derecho de los adolescentes a tener acceso a información adecuada es fundamental si los Estados Partes han de promover medidas económicamente racionales, incluso a través de leyes, políticas y programas, con respecto a numerosas situaciones relacionadas con la salud, como las incluidas en los artículos 24 y 33 relativas a la planificación familiar, la prevención de accidentes, la protección contra prácticas tradicionales peligrosas, con inclusión de los matrimonios precoces, la mutilación genital de la mujer, y el abuso de alcohol, tabaco y otras sustancias perjudiciales.</w:t>
      </w:r>
    </w:p>
    <w:p w:rsidR="00000000" w:rsidRDefault="00000000">
      <w:pPr>
        <w:spacing w:after="240"/>
        <w:rPr>
          <w:lang w:val="es-ES_tradnl"/>
        </w:rPr>
      </w:pPr>
      <w:r>
        <w:rPr>
          <w:lang w:val="es-ES_tradnl"/>
        </w:rPr>
        <w:t>11.</w:t>
      </w:r>
      <w:r>
        <w:rPr>
          <w:lang w:val="es-ES_tradnl"/>
        </w:rPr>
        <w:tab/>
        <w:t>Al objeto de promover la salud y el desarrollo de las adolescentes, se alienta asimismo a los Estados Partes a respetar estrictamente el derecho a la intimidad y la confidencialidad incluso en lo que hace al asesoramiento y las consultas sobre cuestiones de salud (art. 16).  Los trabajadores de la salud tienen obligación de asegurar la confidencialidad de la información médica relativa a las adolescentes, teniendo en cuenta principios básicos de la Convención.  Esa información sólo puede divulgarse con consentimiento del adolescente o sujeta a los mismos requisitos que se aplican en el caso de la confidencialidad de los adultos.  Los adolescentes a quienes se considere suficientemente maduros para recibir asesoramiento fuera de la presencia de los padres o de otras personas, tienen derecho a la intimidad y pueden solicitar servicios confidenciales, e incluso tratamiento confidencial.</w:t>
      </w:r>
    </w:p>
    <w:p w:rsidR="00000000" w:rsidRDefault="00000000">
      <w:pPr>
        <w:spacing w:after="240"/>
        <w:rPr>
          <w:b/>
          <w:bCs/>
          <w:lang w:val="es-ES_tradnl"/>
        </w:rPr>
      </w:pPr>
      <w:r>
        <w:rPr>
          <w:b/>
          <w:bCs/>
          <w:lang w:val="es-ES_tradnl"/>
        </w:rPr>
        <w:t>Protección contra toda forma de abuso, descuido, violencia y explotación</w:t>
      </w:r>
      <w:r>
        <w:rPr>
          <w:rStyle w:val="FootnoteReference"/>
          <w:lang w:val="es-ES_tradnl"/>
        </w:rPr>
        <w:footnoteReference w:id="2"/>
      </w:r>
      <w:r>
        <w:rPr>
          <w:b/>
          <w:bCs/>
          <w:lang w:val="es-ES_tradnl"/>
        </w:rPr>
        <w:t xml:space="preserve"> </w:t>
      </w:r>
    </w:p>
    <w:p w:rsidR="00000000" w:rsidRDefault="00000000">
      <w:pPr>
        <w:spacing w:after="240"/>
        <w:rPr>
          <w:lang w:val="es-ES_tradnl"/>
        </w:rPr>
      </w:pPr>
      <w:r>
        <w:rPr>
          <w:lang w:val="es-ES_tradnl"/>
        </w:rPr>
        <w:t>12.</w:t>
      </w:r>
      <w:r>
        <w:rPr>
          <w:lang w:val="es-ES_tradnl"/>
        </w:rPr>
        <w:tab/>
        <w:t>Los Estados Partes han de adoptar medidas eficaces para proteger a los adolescentes contra toda forma de violencia, abuso, descuido y explotación (arts. 19, 32 a 36 y 38), dedicando especial atención a las formas específicas de abuso, descuido, violencia y explotación que afectan a este grupo de edad.  Deben adoptar concretamente medidas especiales para proteger la integridad física, sexual y mental de los adolescentes impedidos, que son especialmente vulnerables a los abusos y los descuidos.  Deben asimismo asegurar que no se considere delincuentes a los adolescentes afectados por la pobreza que estén socialmente marginados.  Para ello es necesario asignar recursos financieros y humanos para promover la realización de estudios que informen sobre la adopción de leyes, políticas y programas eficaces a nivel local y nacional.  Debería procederse periódicamente a un examen de las políticas y estrategias y a su consecuente revisión.  Al adoptar estas medidas los Estados Partes han de tener en cuenta la evolución de las facultades de los adolescentes y hacer que participen de forma adecuada en la elaboración de medidas, como son los programas destinados a su protección.  En este contexto el Comité hace hincapié en las consecuencias positivas que puede tener la educación interpares y la positiva influencia de los modelos adecuados de comportamiento, especialmente los modelos tomados del mundo de las artes, los espectáculos y los deportes.</w:t>
      </w:r>
    </w:p>
    <w:p w:rsidR="00000000" w:rsidRDefault="00000000">
      <w:pPr>
        <w:spacing w:after="240"/>
        <w:rPr>
          <w:b/>
          <w:bCs/>
          <w:lang w:val="es-ES_tradnl"/>
        </w:rPr>
      </w:pPr>
      <w:r>
        <w:rPr>
          <w:b/>
          <w:bCs/>
          <w:lang w:val="es-ES_tradnl"/>
        </w:rPr>
        <w:t>Recopilación de datos</w:t>
      </w:r>
    </w:p>
    <w:p w:rsidR="00000000" w:rsidRDefault="00000000">
      <w:pPr>
        <w:spacing w:after="480"/>
        <w:rPr>
          <w:lang w:val="es-ES_tradnl"/>
        </w:rPr>
      </w:pPr>
      <w:r>
        <w:rPr>
          <w:lang w:val="es-ES_tradnl"/>
        </w:rPr>
        <w:t>13.</w:t>
      </w:r>
      <w:r>
        <w:rPr>
          <w:lang w:val="es-ES_tradnl"/>
        </w:rPr>
        <w:tab/>
        <w:t>Es necesaria la recopilación sistemática de datos para que los Estados Partes puedan supervisar la salud y el desarrollo de los adolescentes.  Los Estados Partes deberían adoptar un mecanismo de recopilación de datos que permitiera desglosarlos por sexo, edad, origen y condición socioeconómica para poder seguir la situación de los distintos grupos.  También se deberían recoger datos y estudiar la situación de grupos específicos como son las minorías étnicas y/o indígenas, los adolescentes migrantes o refugiados, los adolescentes impedidos, los adolescentes trabajadores, etc.  Siempre que fuera conveniente, los adolescentes deberían participar en un análisis para entender y utilizar la información de forma que tenga en cuenta la sensibilidad de los adolescentes.</w:t>
      </w:r>
    </w:p>
    <w:p w:rsidR="00000000" w:rsidRDefault="00000000">
      <w:pPr>
        <w:spacing w:after="240"/>
        <w:jc w:val="center"/>
        <w:rPr>
          <w:lang w:val="es-ES_tradnl"/>
        </w:rPr>
      </w:pPr>
      <w:r>
        <w:rPr>
          <w:b/>
          <w:bCs/>
          <w:lang w:val="es-ES_tradnl"/>
        </w:rPr>
        <w:t>III.  CREACIÓN DE UN ENTORNO SANO Y PROPICIO</w:t>
      </w:r>
    </w:p>
    <w:p w:rsidR="00000000" w:rsidRDefault="00000000">
      <w:pPr>
        <w:spacing w:after="240"/>
        <w:rPr>
          <w:lang w:val="es-ES_tradnl"/>
        </w:rPr>
      </w:pPr>
      <w:r>
        <w:rPr>
          <w:lang w:val="es-ES_tradnl"/>
        </w:rPr>
        <w:t>14.</w:t>
      </w:r>
      <w:r>
        <w:rPr>
          <w:lang w:val="es-ES_tradnl"/>
        </w:rPr>
        <w:tab/>
        <w:t xml:space="preserve">La salud y el desarrollo de los adolescentes están fuertemente condicionados por el entorno en que viven.  La creación de un entorno seguro y propicio supone abordar las actitudes y actividades tanto del entorno inmediato de los adolescentes </w:t>
      </w:r>
      <w:r>
        <w:rPr>
          <w:lang w:val="es-ES_tradnl"/>
        </w:rPr>
        <w:noBreakHyphen/>
        <w:t>la familia, los otros adolescentes, las escuelas y los servicios- como del entorno más amplio formado por, entre otros elementos, la comunidad, los dirigentes religiosos, los medios de comunicación y las políticas y leyes nacionales y locales.  La promoción y aplicación de las disposiciones, especialmente de los artículos 2 a 6, 12 a 17, 24, 28, 29 y 31, son claves para garantizar el derecho de los adolescentes a la salud y el desarrollo.  Los Estados Partes deben adoptar medidas para sensibilizar sobre este particular, estimular y/o establecer medidas a través de la formulación de políticas o la adopción de normas legales y la aplicación de programas específicamente destinados a los adolescentes.</w:t>
      </w:r>
    </w:p>
    <w:p w:rsidR="00000000" w:rsidRDefault="00000000">
      <w:pPr>
        <w:spacing w:after="240"/>
        <w:rPr>
          <w:lang w:val="es-ES_tradnl"/>
        </w:rPr>
      </w:pPr>
      <w:r>
        <w:rPr>
          <w:lang w:val="es-ES_tradnl"/>
        </w:rPr>
        <w:t>15.</w:t>
      </w:r>
      <w:r>
        <w:rPr>
          <w:lang w:val="es-ES_tradnl"/>
        </w:rPr>
        <w:tab/>
        <w:t>El Comité subraya la importancia del entorno familiar, que incluye a los miembros de la familia ampliada y de la comunidad así como a otras personas legalmente responsables de los niños o adolescentes (arts. 5 y 18).  Si bien la mayoría de los adolescentes crece en entornos familiares que funcionan debidamente, para algunos la familia no constituye un medio seguro y propicio.</w:t>
      </w:r>
    </w:p>
    <w:p w:rsidR="00000000" w:rsidRDefault="00000000">
      <w:pPr>
        <w:spacing w:after="240"/>
        <w:rPr>
          <w:lang w:val="es-ES_tradnl"/>
        </w:rPr>
      </w:pPr>
      <w:r>
        <w:rPr>
          <w:lang w:val="es-ES_tradnl"/>
        </w:rPr>
        <w:t>16.</w:t>
      </w:r>
      <w:r>
        <w:rPr>
          <w:lang w:val="es-ES_tradnl"/>
        </w:rPr>
        <w:tab/>
        <w:t>El Comité pide a los Estados Partes que elaboren y apliquen de forma compatible con la evolución de las facultades de los adolescentes, normas legislativas, políticas y programas para promover la salud y el desarrollo de los adolescentes:  a) facilitando a los padres (o tutores legales) asistencia adecuada a través de la creación de instituciones, establecimientos y servicios que presten el debido apoyo al bienestar de los adolescentes e incluso cuando sea necesario proporcionen asistencia material y programas de apoyo con respecto a la nutrición, el desarrollo y la vivienda (art. 27 3));  b) proporcionando información adecuada y apoyo a los padres para facilitar el establecimiento de una relación de confianza y seguridad en las que las cuestiones relativas, por ejemplo, a la sexualidad, el comportamiento sexual y los estilos de vida peligrosos puedan discutirse abiertamente y encontrarse soluciones aceptables que respeten los derechos de los adolescentes (art. 27 3));  c) proporcionando a las madres y padres de los adolescentes apoyo y orientación para conseguir el bienestar tanto propio como de sus hijos (art. 24 f)), 27 (2-3));  d) facilitando el respeto de los valores y normas de las minorías étnicas y de otra índole, especial atención, orientación y apoyo a los adolescentes y a los padres (o los tutores legales), cuyas tradiciones y normas difieran de las de la sociedad en la que viven; y  e) asegurando que las intervenciones en la familia para proteger al adolescente y, cuando sea necesario, apartarlo de la familia, como por ejemplo en caso de abusos o descuidos, se haga de conformidad con la ley y los procedimientos aplicables.  Deberían revisarse esas leyes de procedimientos para asegurar que están de acuerdo con los principios de la Convención.</w:t>
      </w:r>
    </w:p>
    <w:p w:rsidR="00000000" w:rsidRDefault="00000000">
      <w:pPr>
        <w:spacing w:after="240"/>
        <w:rPr>
          <w:lang w:val="es-ES_tradnl"/>
        </w:rPr>
      </w:pPr>
      <w:r>
        <w:rPr>
          <w:lang w:val="es-ES_tradnl"/>
        </w:rPr>
        <w:t>17.</w:t>
      </w:r>
      <w:r>
        <w:rPr>
          <w:lang w:val="es-ES_tradnl"/>
        </w:rPr>
        <w:tab/>
        <w:t>La escuela desempeña una importante función en la vida de muchos adolescentes, por ser el lugar de enseñanza, desarrollo y socialización.  El apartado 1 del artículo 29 establece que la educación del niño deberá estar encaminada a "desarrollar la personalidad, las actitudes y la capacidad mental y física del niño hasta el máximo de sus posibilidades".  Además, en la Observación general Nº 1 sobre los propósitos de la educación se afirma que la educación también debe tener por objeto velar "por que ningún niño termine su escolaridad sin contar con los elementos básicos que le permitan hacer frente a las dificultades con las que previsiblemente topará en su camino".  Los conocimientos básicos deben incluir..."la capacidad de adoptar decisiones ponderadas; resolver conflictos de forma no violenta; llevar una vida sana [y] tener relaciones sociales satisfactorias...".  Habida cuenta de la importancia de una educación adecuada en la salud y el desarrollo actual y futuro de los adolescentes, así como en la de sus hijos, el Comité insta a los Estados Partes de conformidad con los artículos 28 y 29 de la Convención a:  a) garantizar una enseñanza primaria de calidad que sea obligatoria y gratuita para todos y una educación secundaria y superior que sea accesible a todos los adolescentes;  b) proporcionar escuelas e instalaciones recreativas que funcionen debidamente y no supongan un peligro para la salud de los estudiantes, como por ejemplo la instalación de agua y de servicios sanitarios y el acceso en condiciones de seguridad a la escuela;  c) adoptar las medidas necesarias para prevenir y prohibir toda forma de violencia y abuso, incluidos los abusos sexuales, el castigo corporal y otros tratos o penas inhumanos, degradantes o humillantes en las escuelas por el personal docente o entre los estudiantes;  d) iniciar y prestar apoyo a las medidas, actitudes y actividades que fomenten un comportamiento sano mediante la inclusión de los temas pertinentes en los programas escolares.</w:t>
      </w:r>
    </w:p>
    <w:p w:rsidR="00000000" w:rsidRDefault="00000000">
      <w:pPr>
        <w:spacing w:after="240"/>
        <w:rPr>
          <w:lang w:val="es-ES_tradnl"/>
        </w:rPr>
      </w:pPr>
      <w:r>
        <w:rPr>
          <w:lang w:val="es-ES_tradnl"/>
        </w:rPr>
        <w:t>18.</w:t>
      </w:r>
      <w:r>
        <w:rPr>
          <w:lang w:val="es-ES_tradnl"/>
        </w:rPr>
        <w:tab/>
        <w:t>Durante la adolescencia, un número cada vez mayor de jóvenes abandonan la escuela y empiezan a trabajar para ayudar a sus familias o para obtener un salario en el sector estructurado o no estructurado.  La participación en actividades laborales de conformidad con las normas internacionales puede ser beneficioso para el desarrollo de los adolescentes en la medida que no ponga en peligro el disfrute de ninguno de los otros derechos de los adolescentes, como son la salud y la educación.  El Comité insta a los Estados Partes a adoptar todas las medidas para abolir todas las formas de trabajo infantil, comenzando por las formas más graves, a proceder al examen continuo de los reglamentos nacionales sobre edades mínimas de empleo al objeto de hacerlas compatibles con las normas internacionales, y a regular el entorno laboral y las condiciones de trabajo de los adolescentes (de conformidad con el artículo 32 de la Convención así como las Convenciones Nos. 138 y 182 de la OIT), al objeto de garantizar su plena protección y el acceso a mecanismos legales de reparación.</w:t>
      </w:r>
    </w:p>
    <w:p w:rsidR="00000000" w:rsidRDefault="00000000">
      <w:pPr>
        <w:spacing w:after="240"/>
        <w:rPr>
          <w:lang w:val="es-ES_tradnl"/>
        </w:rPr>
      </w:pPr>
      <w:r>
        <w:rPr>
          <w:lang w:val="es-ES_tradnl"/>
        </w:rPr>
        <w:t>19.</w:t>
      </w:r>
      <w:r>
        <w:rPr>
          <w:lang w:val="es-ES_tradnl"/>
        </w:rPr>
        <w:tab/>
        <w:t>El Comité subraya asimismo que de conformidad con el párrafo 3 del artículo 23 de la Convención deben tenerse en cuenta los derechos especiales de los adolescentes impedidos y facilitar asistencia para que los niños/adolescentes impedidos tengan acceso efectivo a una enseñanza de buena calidad.  Los Estados deben reconocer el principio de igualdad de oportunidades en materia de enseñanza primaria, secundaria y terciaria para los niños/adolescentes impedidos, siempre que sea posible en escuelas normales.</w:t>
      </w:r>
    </w:p>
    <w:p w:rsidR="00000000" w:rsidRDefault="00000000">
      <w:pPr>
        <w:spacing w:after="240"/>
        <w:rPr>
          <w:lang w:val="es-ES_tradnl"/>
        </w:rPr>
      </w:pPr>
      <w:r>
        <w:rPr>
          <w:lang w:val="es-ES_tradnl"/>
        </w:rPr>
        <w:t>20.</w:t>
      </w:r>
      <w:r>
        <w:rPr>
          <w:lang w:val="es-ES_tradnl"/>
        </w:rPr>
        <w:tab/>
        <w:t>Preocupa al Comité que los matrimonios y embarazos precoces constituyan un importante factor en los problemas sanitarios relacionados con la salud sexual y reproductiva, con inclusión del VIH/SIDA.  En varios Estados Partes siguen siendo todavía muy bajas tanto la edad mínima legal para el matrimonio como la edad efectiva de celebración del matrimonio, especialmente en el caso de las niñas.  Estas preocupaciones no siempre están relacionadas con la salud, ya que los niños que contraen matrimonio, especialmente las niñas se ven frecuentemente obligadas a abandonar la enseñanza y quedan al margen de las actividades sociales.  Además, en algunos Estados Partes los niños casados se consideran legalmente adultos aunque tengan menos de 18 años, privándoles de todas las medidas especiales de protección a que tienen derecho en virtud de la Convención.  El Comité recomienda firmemente que los Estados Partes examinen y, cuando sea necesario, reformen sus leyes y prácticas para aumentar la edad mínima para el matrimonio, con o sin acuerdo de los padres, a los 18 años tanto para las chicas como para los chicos.  El Comité para la Eliminación de la Discriminación contra la Mujer ha hecho una recomendación similar (Observación general Nº 21 de 1994).</w:t>
      </w:r>
    </w:p>
    <w:p w:rsidR="00000000" w:rsidRDefault="00000000">
      <w:pPr>
        <w:spacing w:after="240"/>
        <w:rPr>
          <w:lang w:val="es-ES_tradnl"/>
        </w:rPr>
      </w:pPr>
      <w:r>
        <w:rPr>
          <w:lang w:val="es-ES_tradnl"/>
        </w:rPr>
        <w:t>21.</w:t>
      </w:r>
      <w:r>
        <w:rPr>
          <w:lang w:val="es-ES_tradnl"/>
        </w:rPr>
        <w:tab/>
        <w:t>En muchos países las lesiones causadas por accidentes o debidas a la violencia son una de las principales causas de muerte o de discapacidad permanente de los adolescentes.  A este respecto preocupa al Comité las lesiones y las muertes producidas por accidentes de tráfico por carretera que afecta a los adolescentes en forma desproporcionada.  Los Estados Partes deben adoptar y aplicar leyes y programas para mejorar la seguridad viaria, como son la enseñanza y el examen de conducción a los adolescentes así como la adopción o el fortalecimiento de las normas legales conocidas por ser de gran eficacia, como la obligación de tener un permiso válido de conducir, llevar cinturones de seguridad y cascos y el establecimiento de zonas peatonales.</w:t>
      </w:r>
    </w:p>
    <w:p w:rsidR="00000000" w:rsidRDefault="00000000">
      <w:pPr>
        <w:spacing w:after="240"/>
        <w:rPr>
          <w:lang w:val="es-ES_tradnl"/>
        </w:rPr>
      </w:pPr>
      <w:r>
        <w:rPr>
          <w:lang w:val="es-ES_tradnl"/>
        </w:rPr>
        <w:t>22.</w:t>
      </w:r>
      <w:r>
        <w:rPr>
          <w:lang w:val="es-ES_tradnl"/>
        </w:rPr>
        <w:tab/>
        <w:t>El Comité se muestra asimismo muy preocupado por la elevada tasa de suicidios entre este grupo de edad.  Los desequilibrios mentales y las enfermedades psicosociales son relativamente comunes entre los adolescentes.  En muchos países están aumentando síntomas tales como la depresión, los desarreglos en la comida y los comportamientos autodestructivos que algunas veces llevan a producirse a sí mismos lesiones y al suicidio.  Es posible que estén relacionados con, entre otras causas, la violencia, los malos tratos, los abusos y los descuidos, con inclusión de los abusos sexuales, las expectativas disparatadamente elevadas y/o la intimidación y las novatadas dentro y fuera de la escuela.  Los Estados Partes deberían proporcionar a estos adolescentes todos los servicios necesarios.</w:t>
      </w:r>
    </w:p>
    <w:p w:rsidR="00000000" w:rsidRDefault="00000000">
      <w:pPr>
        <w:spacing w:after="240"/>
        <w:rPr>
          <w:lang w:val="es-ES_tradnl"/>
        </w:rPr>
      </w:pPr>
      <w:r>
        <w:rPr>
          <w:lang w:val="es-ES_tradnl"/>
        </w:rPr>
        <w:t>23.</w:t>
      </w:r>
      <w:r>
        <w:rPr>
          <w:lang w:val="es-ES_tradnl"/>
        </w:rPr>
        <w:tab/>
        <w:t>La violencia es el resultado de una compleja interacción de factores individuales, familiares, comunitarios y societarios.  Están especialmente expuestos tanto a la violencia institucional como interpersonal los adolescentes vulnerables, como son los que carecen de hogar o viven en establecimientos públicos, pertenecen a pandillas o han sido reclutados como niños soldados.  En virtud del artículo 19 de la Convención, los Estados Partes deben adoptar todas las medidas adecuadas</w:t>
      </w:r>
      <w:r>
        <w:rPr>
          <w:rStyle w:val="FootnoteReference"/>
          <w:lang w:val="es-ES_tradnl"/>
        </w:rPr>
        <w:footnoteReference w:id="3"/>
      </w:r>
      <w:r>
        <w:rPr>
          <w:lang w:val="es-ES_tradnl"/>
        </w:rPr>
        <w:t xml:space="preserve"> para impedir y eliminar:  a) la violencia institucional contra los adolescentes incluida la ejercida a través de medidas legislativas y administrativas en relación con establecimientos públicos y privados para adolescentes (escuelas, establecimientos para adolescentes discapacitados, reformatorios, etc.) y la formación y supervisión de personal encargado de niños ingresados en establecimientos especializados o que están en contacto con niños en razón de su trabajo, con inclusión de la policía; y  b) la violencia interpersonal entre adolescentes, incluido el apoyo a una educación adecuada de los padres y a las oportunidades de desarrollo social y docente en la infancia, la promoción de normas y valores culturales no violentos (como se prevé en el artículo 29 de la Convención), la estricta fiscalización de las armas de fuego y la limitación del acceso al alcohol y las drogas.</w:t>
      </w:r>
    </w:p>
    <w:p w:rsidR="00000000" w:rsidRDefault="00000000">
      <w:pPr>
        <w:spacing w:after="240"/>
        <w:rPr>
          <w:lang w:val="es-ES_tradnl"/>
        </w:rPr>
      </w:pPr>
      <w:r>
        <w:rPr>
          <w:lang w:val="es-ES_tradnl"/>
        </w:rPr>
        <w:t>24.</w:t>
      </w:r>
      <w:r>
        <w:rPr>
          <w:lang w:val="es-ES_tradnl"/>
        </w:rPr>
        <w:tab/>
        <w:t>A la luz de los artículos 3, 6, 12, 19 y el párrafo 3 del artículo 24 de las observaciones los Estados Partes están obligados a adoptar todas las medidas eficaces para eliminar cuantos actos y actividades amenacen al derecho a la vida de los adolescentes, incluidas las muertes por cuestiones de honor.  El Comité insta vivamente a los Estados Partes a que elaboren y realicen campañas de sensibilización, programas de educación y leyes encaminadas a cambiar las actitudes predominantes y a abordar las funciones y los estereotipos en relación con el género que inspiran las prácticas tradicionales perjudiciales.  Además, los Estados Partes deben facilitar el establecimiento de información multidisciplinaria y prestar asesoramiento a los centros respecto a los aspectos perjudiciales de algunas prácticas tradicionales, como son los matrimonios precoces y la mutilación genital de la mujer.</w:t>
      </w:r>
    </w:p>
    <w:p w:rsidR="00000000" w:rsidRDefault="00000000">
      <w:pPr>
        <w:spacing w:after="480"/>
        <w:rPr>
          <w:lang w:val="es-ES_tradnl"/>
        </w:rPr>
      </w:pPr>
      <w:r>
        <w:rPr>
          <w:lang w:val="es-ES_tradnl"/>
        </w:rPr>
        <w:t>25.</w:t>
      </w:r>
      <w:r>
        <w:rPr>
          <w:lang w:val="es-ES_tradnl"/>
        </w:rPr>
        <w:tab/>
        <w:t>El Comité se muestra preocupado por la influencia ejercida en los comportamientos de salud de los adolescentes por la comercialización de productos y estilos de vida malsanos.  De acuerdo con el artículo 17 de la Convención, se insta a los Estados Partes a proteger a los adolescentes contra la información que sea dañosa a su salud y desarrollo recalcando su derecho a información y material de distintas fuentes nacionales e internacionales.  Se insta en consecuencia a los Estados Partes a reglamentar o prohibir la información y la comercialización relativa a sustancias como el alcohol y el tabaco, especialmente cuando están dirigidas a niños y adolescentes</w:t>
      </w:r>
      <w:r>
        <w:rPr>
          <w:rStyle w:val="FootnoteReference"/>
          <w:lang w:val="es-ES_tradnl"/>
        </w:rPr>
        <w:footnoteReference w:id="4"/>
      </w:r>
      <w:r>
        <w:rPr>
          <w:lang w:val="es-ES_tradnl"/>
        </w:rPr>
        <w:t>.</w:t>
      </w:r>
    </w:p>
    <w:p w:rsidR="00000000" w:rsidRDefault="00000000">
      <w:pPr>
        <w:spacing w:after="240"/>
        <w:ind w:left="390" w:hanging="390"/>
        <w:jc w:val="center"/>
        <w:rPr>
          <w:b/>
          <w:bCs/>
          <w:lang w:val="es-ES_tradnl"/>
        </w:rPr>
      </w:pPr>
      <w:r>
        <w:rPr>
          <w:b/>
          <w:bCs/>
          <w:lang w:val="es-ES_tradnl"/>
        </w:rPr>
        <w:t>IV.  INFORMACIÓN, DESARROLLO DE APTITUDES,</w:t>
      </w:r>
      <w:r>
        <w:rPr>
          <w:b/>
          <w:bCs/>
          <w:lang w:val="es-ES_tradnl"/>
        </w:rPr>
        <w:br/>
        <w:t>ASESORAMIENTO Y SERVICIOS DE SALUD</w:t>
      </w:r>
    </w:p>
    <w:p w:rsidR="00000000" w:rsidRDefault="00000000">
      <w:pPr>
        <w:spacing w:after="240"/>
        <w:rPr>
          <w:lang w:val="es-ES_tradnl"/>
        </w:rPr>
      </w:pPr>
      <w:r>
        <w:rPr>
          <w:lang w:val="es-ES_tradnl"/>
        </w:rPr>
        <w:t>26.</w:t>
      </w:r>
      <w:r>
        <w:rPr>
          <w:lang w:val="es-ES_tradnl"/>
        </w:rPr>
        <w:tab/>
        <w:t>Los adolescentes tienen derecho a acceder a información adecuada que sea esencial para su salud y desarrollo así como para su capacidad de tener una participación significativa en la sociedad.  Es obligación de los Estados Partes asegurar que se proporciona, y no se les niega, a todas las chicas y chicos adolescentes, tanto dentro como fuera de la escuela, formación precisa y adecuada sobre la forma de proteger su salud y desarrollo y de observar un comportamiento sano.  Debería incluir información sobre el uso y abuso del tabaco, el alcohol y otras sustancias, los comportamientos sociales y sexuales sanos y respetuosos, las dietas y las actividades físicas.</w:t>
      </w:r>
    </w:p>
    <w:p w:rsidR="00000000" w:rsidRDefault="00000000">
      <w:pPr>
        <w:spacing w:after="240"/>
        <w:rPr>
          <w:lang w:val="es-ES_tradnl"/>
        </w:rPr>
      </w:pPr>
      <w:r>
        <w:rPr>
          <w:lang w:val="es-ES_tradnl"/>
        </w:rPr>
        <w:t>27.</w:t>
      </w:r>
      <w:r>
        <w:rPr>
          <w:lang w:val="es-ES_tradnl"/>
        </w:rPr>
        <w:tab/>
        <w:t>Al objeto de actuar adecuadamente sobre la base de la información, los adolescentes necesitan desarrollar las aptitudes necesarias, con inclusión de las dedicadas a su propio cuidado como son la forma de planificar y preparar comidas nutricionalmente equilibradas y de adoptar hábitos higiénicos y personales adecuados, así como las aptitudes para hacer frente a situaciones sociales especiales tales como la comunicación interpersonal, la adopción de decisiones, la lucha contra las tensiones y los conflictos.  Los Estados Partes deberían estimular y prestar apoyo a toda oportunidad de desarrollar estas aptitudes mediante, entre otros procedimientos, la educación escolar y no escolar, los programas de capacitación de las organizaciones juveniles y los medios de comunicación.</w:t>
      </w:r>
    </w:p>
    <w:p w:rsidR="00000000" w:rsidRDefault="00000000">
      <w:pPr>
        <w:spacing w:after="240"/>
        <w:rPr>
          <w:lang w:val="es-ES_tradnl"/>
        </w:rPr>
      </w:pPr>
      <w:r>
        <w:rPr>
          <w:lang w:val="es-ES_tradnl"/>
        </w:rPr>
        <w:t>28.</w:t>
      </w:r>
      <w:r>
        <w:rPr>
          <w:lang w:val="es-ES_tradnl"/>
        </w:rPr>
        <w:tab/>
        <w:t>A la luz de los artículos 3, 17 y 24 de la Convención, los Estados Partes deberían facilitar a los adolescentes acceso a información sexual y reproductiva, con inclusión de la planificación familiar y de los contraceptivos, los peligros de un embarazo precoz, la prevención del VIH/SIDA y la prevención y tratamiento de las enfermedades de transmisión sexual (ETS).  Además, los Estados Partes deberían garantizar el acceso a información adecuada, independientemente de su estado civil y de que tengan o no el consentimiento de sus padres o tutores.  Es fundamental encontrar los medios y métodos adecuados de facilitar información apropiada que tenga en cuenta las particularidades y los derechos específicos de las chicas y chicos adolescentes.  Para ello se alienta a los Estados Partes a que consigan la participación activa de los adolescentes en la preparación y difusión de información a través de una diversidad de canales fuera de la escuela, con inclusión de las organizaciones juveniles, los grupos religiosos, comunitarios y de otra índole y los medios de comunicación.</w:t>
      </w:r>
    </w:p>
    <w:p w:rsidR="00000000" w:rsidRDefault="00000000">
      <w:pPr>
        <w:spacing w:after="240"/>
        <w:rPr>
          <w:lang w:val="es-ES_tradnl"/>
        </w:rPr>
      </w:pPr>
      <w:r>
        <w:rPr>
          <w:lang w:val="es-ES_tradnl"/>
        </w:rPr>
        <w:t>29.</w:t>
      </w:r>
      <w:r>
        <w:rPr>
          <w:lang w:val="es-ES_tradnl"/>
        </w:rPr>
        <w:tab/>
        <w:t>En el artículo 24 de la Convención, se pide a los Estados Partes que proporcionen tratamiento y rehabilitación adecuados a los adolescentes con perturbaciones mentales para que la comunidad conozca los primeros indicios y síntomas y la gravedad de estas enfermedades y sea posible proteger a los adolescentes de indebidas presiones, como la tensión psicosocial.  Se insta asimismo a los Estados Partes a luchar contra la discriminación y el estigma que acompañan a las perturbaciones mentales de acuerdo con sus obligaciones en el marco del artículo 2.  Los adolescentes con perturbaciones mentales tienen derecho a tratamiento y atención, en la medida de lo posible, en la comunidad en la que viven.  Cuando sea necesaria la hospitalización o el internamiento en un establecimiento psiquiátrico, la decisión debe ser adoptada de conformidad con el principio del interés superior del niño.  En caso de ingreso en un hospital o asilo, debe concederse al paciente el máximo posible de oportunidades para disfrutar de todos sus derechos que le son reconocidos en la Convención, entre ellos los derechos a la educación y a tener acceso a actividades recreativas</w:t>
      </w:r>
      <w:r>
        <w:rPr>
          <w:rStyle w:val="FootnoteReference"/>
          <w:lang w:val="es-ES_tradnl"/>
        </w:rPr>
        <w:footnoteReference w:id="5"/>
      </w:r>
      <w:r>
        <w:rPr>
          <w:lang w:val="es-ES_tradnl"/>
        </w:rPr>
        <w:t>.  Siempre que se considere adecuado, los adolescentes deben estar separados de los adultos.  Los Estados Partes tienen que asegurar que los adolescentes tienen acceso a un representante personal que no sea un miembro de su familia, para que represente sus intereses siempre que sea necesario y adecuado</w:t>
      </w:r>
      <w:r>
        <w:rPr>
          <w:rStyle w:val="FootnoteReference"/>
          <w:lang w:val="es-ES_tradnl"/>
        </w:rPr>
        <w:footnoteReference w:id="6"/>
      </w:r>
      <w:r>
        <w:rPr>
          <w:lang w:val="es-ES_tradnl"/>
        </w:rPr>
        <w:t>.  De conformidad con el artículo 25 de la Convención, los Estados Partes deben efectuar un examen periódico del tratamiento que se da a los adolescentes en los hospitales o establecimientos psiquiátricos.</w:t>
      </w:r>
    </w:p>
    <w:p w:rsidR="00000000" w:rsidRDefault="00000000">
      <w:pPr>
        <w:spacing w:after="240"/>
        <w:rPr>
          <w:lang w:val="es-ES_tradnl"/>
        </w:rPr>
      </w:pPr>
      <w:r>
        <w:rPr>
          <w:lang w:val="es-ES_tradnl"/>
        </w:rPr>
        <w:t>30.</w:t>
      </w:r>
      <w:r>
        <w:rPr>
          <w:lang w:val="es-ES_tradnl"/>
        </w:rPr>
        <w:tab/>
        <w:t>Los adolescentes, ya sean niñas o niños, corren el peligro de sufrir el contagio y las consiguientes consecuencias de ETS, como es por ejemplo el VIH/SIDA</w:t>
      </w:r>
      <w:r>
        <w:rPr>
          <w:rStyle w:val="FootnoteReference"/>
          <w:lang w:val="es-ES_tradnl"/>
        </w:rPr>
        <w:footnoteReference w:id="7"/>
      </w:r>
      <w:r>
        <w:rPr>
          <w:lang w:val="es-ES_tradnl"/>
        </w:rPr>
        <w:t>.  Los Estados deberían garantizar la existencia y fácil acceso a los bienes, servicios e información adecuados para prevenir y tratar estas infecciones, incluido el VIH/SIDA.  Con este fin, se insta a los Estados Partes a:  a) elaborar programas de prevención efectiva, entre ellas medidas encaminadas a cambiar las actitudes culturales sobre las necesidades de los adolescentes en materia de contracepción y de prevención de estas infecciones y abordar tabúes culturales y de otra índole que rodean la sexualidad de los adolescentes;  b) adoptar normas legislativas para luchar contra las prácticas que o bien aumentan el riesgo de infección de los adolescentes o contribuyen a la marginalización de los adolescentes que tienen ya una ETS, con inclusión del VIH; y  c) adoptar medidas para eliminar todas los obstáculos que impiden el acceso de los adolescentes a la información y a las medidas preventivas, como los preservativos y la adopción de precauciones.</w:t>
      </w:r>
    </w:p>
    <w:p w:rsidR="00000000" w:rsidRDefault="00000000">
      <w:pPr>
        <w:spacing w:after="240"/>
        <w:rPr>
          <w:lang w:val="es-ES_tradnl"/>
        </w:rPr>
      </w:pPr>
      <w:r>
        <w:rPr>
          <w:lang w:val="es-ES_tradnl"/>
        </w:rPr>
        <w:t>31.</w:t>
      </w:r>
      <w:r>
        <w:rPr>
          <w:lang w:val="es-ES_tradnl"/>
        </w:rPr>
        <w:tab/>
        <w:t>Los niños y adolescentes deben tener acceso a la información sobre el daño que puede causar un matrimonio y un embarazo precoces y las que estén embarazadas deberían tener acceso a los servicios de salud que sean adecuados a sus derechos y necesidades particulares.  Los Estados Partes deben adoptar medidas para reducir la morbimortalidad materna y la mortalidad de las niñas adolescentes, producida especialmente por el embarazo y las prácticas de aborto peligrosas, y prestar apoyo a los padres de las adolescentes.  Las jóvenes madres, especialmente cuando no disponen de apoyo, pueden ser propensas a la depresión y a la ansiedad, poniendo en peligro su capacidad para cuidar de su hijo.  El Comité insta a los Estados Partes a:  a) elaborar y ejecutar programas que proporcionen acceso a los servicios de salud sexual y reproductiva, incluida la planificación familiar, los contraceptivos y las prácticas abortivas sin riesgo cuando el aborto no esté prohibido por la ley, y a cuidados y asesoramiento generales y adecuados en materia de obstetricia;  b) promover las actitudes positivas y de apoyo a la maternidad de las adolescentes por parte de sus madres y padres; y  c) elaborar políticas que permitan continuar su educación.</w:t>
      </w:r>
    </w:p>
    <w:p w:rsidR="00000000" w:rsidRDefault="00000000">
      <w:pPr>
        <w:spacing w:after="240"/>
        <w:rPr>
          <w:lang w:val="es-ES_tradnl"/>
        </w:rPr>
      </w:pPr>
      <w:r>
        <w:rPr>
          <w:lang w:val="es-ES_tradnl"/>
        </w:rPr>
        <w:t>32.</w:t>
      </w:r>
      <w:r>
        <w:rPr>
          <w:lang w:val="es-ES_tradnl"/>
        </w:rPr>
        <w:tab/>
        <w:t>Antes de que los padres den su consentimiento, es necesario que los adolescentes tengan oportunidad de exponer sus opiniones libremente y que esas opiniones sean debidamente tenidas en cuenta, de conformidad con el artículo 12 de la Convención.  Sin embargo, si el adolescente es suficientemente maduro, deberá obtenerse el consentimiento fundamentado del propio adolescente y se informará al mismo tiempo a los padres de que se trata del "interés superior del niño" (art. 3).</w:t>
      </w:r>
    </w:p>
    <w:p w:rsidR="00000000" w:rsidRDefault="00000000">
      <w:pPr>
        <w:spacing w:after="480"/>
        <w:rPr>
          <w:lang w:val="es-ES_tradnl"/>
        </w:rPr>
      </w:pPr>
      <w:r>
        <w:rPr>
          <w:lang w:val="es-ES_tradnl"/>
        </w:rPr>
        <w:t>33.</w:t>
      </w:r>
      <w:r>
        <w:rPr>
          <w:lang w:val="es-ES_tradnl"/>
        </w:rPr>
        <w:tab/>
        <w:t>Por lo que respecta a la intimidad y a la confidencialidad y a la cuestión conexa del consentimiento fundamentado al tratamiento, los Estados Partes deben:  a) promulgar leyes o dictar reglamentos para que se proporcione a los adolescentes asesoramiento confidencial sobre el tratamiento, al objeto de que puedan prestar el consentimiento con conocimiento de causa.  En dichas leyes o reglamentos deberá figurar la edad requerida para ello o hacer referencia a la evolución de las facultades del niño; y  b) proporcionar capacitación al personal de salud sobre los derechos de los adolescentes a la intimidad y la confidencialidad y a ser informados sobre el tratamiento previsto y a prestar su consentimiento fundamentado  al tratamiento.</w:t>
      </w:r>
    </w:p>
    <w:p w:rsidR="00000000" w:rsidRDefault="00000000">
      <w:pPr>
        <w:spacing w:after="240"/>
        <w:jc w:val="center"/>
        <w:rPr>
          <w:b/>
          <w:bCs/>
          <w:lang w:val="es-ES_tradnl"/>
        </w:rPr>
      </w:pPr>
      <w:r>
        <w:rPr>
          <w:b/>
          <w:bCs/>
          <w:lang w:val="es-ES_tradnl"/>
        </w:rPr>
        <w:t>V.  VULNERABILIDAD Y RIESGOS</w:t>
      </w:r>
    </w:p>
    <w:p w:rsidR="00000000" w:rsidRDefault="00000000">
      <w:pPr>
        <w:spacing w:after="240"/>
        <w:rPr>
          <w:lang w:val="es-ES_tradnl"/>
        </w:rPr>
      </w:pPr>
      <w:r>
        <w:rPr>
          <w:lang w:val="es-ES_tradnl"/>
        </w:rPr>
        <w:t>34.</w:t>
      </w:r>
      <w:r>
        <w:rPr>
          <w:lang w:val="es-ES_tradnl"/>
        </w:rPr>
        <w:tab/>
        <w:t>Para garantizar el respeto de los derechos de los adolescentes a la salud y el desarrollo deben tenerse en cuenta tanto los comportamientos individuales como los factores ambientales que aumentan los riesgos y su vulnerabilidad.  Los factores ambientales como los conflictos armados o la exclusión social aumentan la vulnerabilidad de los adolescentes a los abusos, a otras formas de violencia y a la explotación, limitando de esa forma gravemente la capacidad de los adolescentes para elegir comportamientos individuales sanos.  Por ejemplo, la decisión de tener relaciones sexuales sin protección aumenta el riesgo del adolescente a una mala salud.</w:t>
      </w:r>
    </w:p>
    <w:p w:rsidR="00000000" w:rsidRDefault="00000000">
      <w:pPr>
        <w:spacing w:after="240"/>
        <w:rPr>
          <w:lang w:val="es-ES_tradnl"/>
        </w:rPr>
      </w:pPr>
      <w:r>
        <w:rPr>
          <w:lang w:val="es-ES_tradnl"/>
        </w:rPr>
        <w:t>35.</w:t>
      </w:r>
      <w:r>
        <w:rPr>
          <w:lang w:val="es-ES_tradnl"/>
        </w:rPr>
        <w:tab/>
        <w:t>De conformidad con el artículo 23 de la Convención, los adolescentes que estén mental o físicamente impedidos tienen igualmente derecho al más alto nivel posible de salud física y mental.  Los Estados Partes tienen la obligación de proporcionar a los adolescentes impedidos los medios necesarios para el ejercicio de sus derechos</w:t>
      </w:r>
      <w:r>
        <w:rPr>
          <w:rStyle w:val="FootnoteReference"/>
          <w:lang w:val="es-ES_tradnl"/>
        </w:rPr>
        <w:footnoteReference w:id="8"/>
      </w:r>
      <w:r>
        <w:rPr>
          <w:lang w:val="es-ES_tradnl"/>
        </w:rPr>
        <w:t>.  Los Estados Partes deben:  a) proporcionar instalaciones, bienes y servicios sanitarios que sean accesibles a todos los adolescentes con discapacidades y conseguir que esas instalaciones y servicios promuevan su autoconfianza y su participación activa en la comunidad;  b) asegurar la disponibilidad del necesario apoyo en forma de equipo y personal para permitirle que puedan desplazarse, participar y comunicar;  c) prestar específica atención a las necesidades especiales relativas a la sexualidad de los adolescentes impedidos; y  d) eliminar los obstáculos que impiden a los adolescentes con discapacidades el ejercicio de sus derechos.</w:t>
      </w:r>
    </w:p>
    <w:p w:rsidR="00000000" w:rsidRDefault="00000000">
      <w:pPr>
        <w:spacing w:after="240"/>
        <w:rPr>
          <w:lang w:val="es-ES_tradnl"/>
        </w:rPr>
      </w:pPr>
      <w:r>
        <w:rPr>
          <w:lang w:val="es-ES_tradnl"/>
        </w:rPr>
        <w:t>36.</w:t>
      </w:r>
      <w:r>
        <w:rPr>
          <w:lang w:val="es-ES_tradnl"/>
        </w:rPr>
        <w:tab/>
        <w:t>Los Estados Partes han de dispensar especial protección a los adolescentes sin hogar incluso a los que trabajan en el sector no estructurado.  Los adolescentes sin hogar son especialmente vulnerables a la violencia, los abusos y la explotación sexual de los demás, a los comportamientos de autodestrucción, al consumo indebido de sustancias tóxicas y a las perturbaciones mentales.  Pide a este respecto a los Estados Partes que:  a) elaboren políticas y promulguen y hagan cumplir leyes que protejan a esos adolescentes contra la violencia, por ejemplo, por medio de los funcionarios encargados de aplicar la ley;  b) que elaboren estrategias para proporcionar una educación adecuada y el acceso a la atención de salud, así como oportunidades para el desarrollo de su destreza para ganarse la vida.</w:t>
      </w:r>
    </w:p>
    <w:p w:rsidR="00000000" w:rsidRDefault="00000000">
      <w:pPr>
        <w:spacing w:after="240"/>
        <w:rPr>
          <w:lang w:val="es-ES_tradnl"/>
        </w:rPr>
      </w:pPr>
      <w:r>
        <w:rPr>
          <w:lang w:val="es-ES_tradnl"/>
        </w:rPr>
        <w:t>37.</w:t>
      </w:r>
      <w:r>
        <w:rPr>
          <w:lang w:val="es-ES_tradnl"/>
        </w:rPr>
        <w:tab/>
        <w:t>Los adolescentes que están explotados sexualmente, por ejemplo, mediante la prostitución y la pornografía, se encuentran expuestos a importantes riesgos de salud como son las ETS, el VIH/SIDA, los embarazos no deseados, los abortos peligrosos, la violencia y los agotamientos psicológicos.  Tienen derecho a la recuperación física y psicológica y a la reinserción social en un entorno que fomente su salud, el respeto de sí mismo y su dignidad (art. 39).  Es obligación de los Estados Partes promulgar y hacer cumplir leyes que prohíban toda forma de explotación sexual y del tráfico con ella relacionado; y colaborar con otros Estados Partes para eliminar el tráfico entre países; y proporcionar servicios adecuados de salud y asesoramiento a los adolescentes que han sido sexualmente explotados, asegurando que se les trata como víctimas y no como delincuentes.</w:t>
      </w:r>
    </w:p>
    <w:p w:rsidR="00000000" w:rsidRDefault="00000000">
      <w:pPr>
        <w:spacing w:after="480"/>
        <w:rPr>
          <w:lang w:val="es-ES_tradnl"/>
        </w:rPr>
      </w:pPr>
      <w:r>
        <w:rPr>
          <w:lang w:val="es-ES_tradnl"/>
        </w:rPr>
        <w:t>38.</w:t>
      </w:r>
      <w:r>
        <w:rPr>
          <w:lang w:val="es-ES_tradnl"/>
        </w:rPr>
        <w:tab/>
        <w:t>Además, pueden ser especialmente vulnerables los adolescentes que padecen pobreza, son víctimas de los conflictos armados, de cualquier forma de injusticia, crisis familiar, inestabilidad política, social y económica y de toda clase de migraciones.  Esas situaciones pueden constituir un grave obstáculo a su salud y desarrollo.  Mediante fuertes inversiones en políticas y medidas preventivas, los Estados Partes pueden reducir profundamente los niveles de vulnerabilidad y los factores de riesgo, y proporciona también medios poco costosos a la sociedad para que ayude a los adolescentes a conseguir un desarrollo armónico en una sociedad libre.</w:t>
      </w:r>
    </w:p>
    <w:p w:rsidR="00000000" w:rsidRDefault="00000000">
      <w:pPr>
        <w:spacing w:after="240"/>
        <w:jc w:val="center"/>
        <w:rPr>
          <w:b/>
          <w:bCs/>
          <w:lang w:val="es-ES_tradnl"/>
        </w:rPr>
      </w:pPr>
      <w:r>
        <w:rPr>
          <w:b/>
          <w:bCs/>
          <w:lang w:val="es-ES_tradnl"/>
        </w:rPr>
        <w:t>VI.  NATURALEZA DE LAS OBLIGACIONES DE LOS ESTADOS</w:t>
      </w:r>
    </w:p>
    <w:p w:rsidR="00000000" w:rsidRDefault="00000000">
      <w:pPr>
        <w:spacing w:after="240"/>
        <w:rPr>
          <w:lang w:val="es-ES_tradnl"/>
        </w:rPr>
      </w:pPr>
      <w:r>
        <w:rPr>
          <w:lang w:val="es-ES_tradnl"/>
        </w:rPr>
        <w:t>39.</w:t>
      </w:r>
      <w:r>
        <w:rPr>
          <w:lang w:val="es-ES_tradnl"/>
        </w:rPr>
        <w:tab/>
        <w:t>En el cumplimiento de sus obligaciones en relación con la salud y el desarrollo de los adolescentes, los Estados Partes tendrán siempre plenamente en cuenta los cuatro principios de la Convención.  Es opinión del Comité que los Estados Partes tienen que tomar todo tipo de medidas adecuadas de orden legislativo, administrativo o de otra índole para dar cumplimiento y supervisar los derechos de los adolescentes a la salud y el desarrollo, como se reconoce en la Convención.  Con este fin, los Estados Partes deben cumplir en especial las siguientes obligaciones:</w:t>
      </w:r>
    </w:p>
    <w:p w:rsidR="00000000" w:rsidRDefault="00000000">
      <w:pPr>
        <w:spacing w:after="240"/>
        <w:ind w:left="1134" w:hanging="567"/>
        <w:rPr>
          <w:lang w:val="es-ES_tradnl"/>
        </w:rPr>
      </w:pPr>
      <w:r>
        <w:rPr>
          <w:lang w:val="es-ES_tradnl"/>
        </w:rPr>
        <w:t>a)</w:t>
      </w:r>
      <w:r>
        <w:rPr>
          <w:lang w:val="es-ES_tradnl"/>
        </w:rPr>
        <w:tab/>
        <w:t>Crear un entorno seguro y propicio para los adolescentes, incluso en el seno de la familia, en las escuelas, y en todo tipo de establecimientos en los que vivan, en el lugar del trabajo y/o en la sociedad en general;</w:t>
      </w:r>
    </w:p>
    <w:p w:rsidR="00000000" w:rsidRDefault="00000000">
      <w:pPr>
        <w:spacing w:after="240"/>
        <w:ind w:left="1134" w:hanging="567"/>
        <w:rPr>
          <w:lang w:val="es-ES_tradnl"/>
        </w:rPr>
      </w:pPr>
      <w:r>
        <w:rPr>
          <w:lang w:val="es-ES_tradnl"/>
        </w:rPr>
        <w:t>b)</w:t>
      </w:r>
      <w:r>
        <w:rPr>
          <w:lang w:val="es-ES_tradnl"/>
        </w:rPr>
        <w:tab/>
        <w:t>Garantizar el acceso de los adolescentes a la información que sea esencial para su salud y desarrollo y la posibilidad de que participen en las decisiones que afectan a su salud (en especial mediante un consentimiento fundamentado y el derecho a la confidencialidad), la adquisición de experiencia, la obtención de información adecuada y apropiada para su edad y la elección de comportamientos de salud adecuados;</w:t>
      </w:r>
    </w:p>
    <w:p w:rsidR="00000000" w:rsidRDefault="00000000">
      <w:pPr>
        <w:spacing w:after="240"/>
        <w:ind w:left="1134" w:hanging="567"/>
        <w:rPr>
          <w:lang w:val="es-ES_tradnl"/>
        </w:rPr>
      </w:pPr>
      <w:r>
        <w:rPr>
          <w:lang w:val="es-ES_tradnl"/>
        </w:rPr>
        <w:t>c)</w:t>
      </w:r>
      <w:r>
        <w:rPr>
          <w:lang w:val="es-ES_tradnl"/>
        </w:rPr>
        <w:tab/>
        <w:t>Garantizar que todos los adolescentes puedan disponer de instalaciones, bienes y servicios sanitarios con inclusión de servicios sustantivos y de asesoramiento en materia de salud mental, sexual y reproductiva de cualidad apropiada y adaptados a los problemas de los adolescentes;</w:t>
      </w:r>
    </w:p>
    <w:p w:rsidR="00000000" w:rsidRDefault="00000000">
      <w:pPr>
        <w:spacing w:after="240"/>
        <w:ind w:left="1134" w:hanging="567"/>
        <w:rPr>
          <w:lang w:val="es-ES_tradnl"/>
        </w:rPr>
      </w:pPr>
      <w:r>
        <w:rPr>
          <w:lang w:val="es-ES_tradnl"/>
        </w:rPr>
        <w:t>d)</w:t>
      </w:r>
      <w:r>
        <w:rPr>
          <w:lang w:val="es-ES_tradnl"/>
        </w:rPr>
        <w:tab/>
        <w:t>Garantizar que todas las niñas y niños adolescentes tienen la oportunidad de participar activamente en la planificación y programación de su propia salud y desarrollo;</w:t>
      </w:r>
    </w:p>
    <w:p w:rsidR="00000000" w:rsidRDefault="00000000">
      <w:pPr>
        <w:spacing w:after="240"/>
        <w:ind w:left="1134" w:hanging="567"/>
        <w:rPr>
          <w:lang w:val="es-ES_tradnl"/>
        </w:rPr>
      </w:pPr>
      <w:r>
        <w:rPr>
          <w:lang w:val="es-ES_tradnl"/>
        </w:rPr>
        <w:t>e)</w:t>
      </w:r>
      <w:r>
        <w:rPr>
          <w:lang w:val="es-ES_tradnl"/>
        </w:rPr>
        <w:tab/>
        <w:t>Proteger a los adolescentes contra toda forma de trabajo que pueda poner en peligro el ejercicio de sus derechos, especialmente prohibiendo toda forma de trabajo infantil y reglamentando el entorno laboral y las condiciones de trabajo de conformidad con las normas internacionales;</w:t>
      </w:r>
    </w:p>
    <w:p w:rsidR="00000000" w:rsidRDefault="00000000">
      <w:pPr>
        <w:spacing w:after="240"/>
        <w:ind w:left="1134" w:hanging="567"/>
        <w:rPr>
          <w:lang w:val="es-ES_tradnl"/>
        </w:rPr>
      </w:pPr>
      <w:r>
        <w:rPr>
          <w:lang w:val="es-ES_tradnl"/>
        </w:rPr>
        <w:t>f)</w:t>
      </w:r>
      <w:r>
        <w:rPr>
          <w:lang w:val="es-ES_tradnl"/>
        </w:rPr>
        <w:tab/>
        <w:t>Proteger a los adolescentes contra toda forma de lesiones deliberadas o no, con inclusión de las producidas por la violencia y los accidentes del tráfico por carretera;</w:t>
      </w:r>
    </w:p>
    <w:p w:rsidR="00000000" w:rsidRDefault="00000000">
      <w:pPr>
        <w:spacing w:after="240"/>
        <w:ind w:left="1134" w:hanging="567"/>
        <w:rPr>
          <w:lang w:val="es-ES_tradnl"/>
        </w:rPr>
      </w:pPr>
      <w:r>
        <w:rPr>
          <w:lang w:val="es-ES_tradnl"/>
        </w:rPr>
        <w:t>g)</w:t>
      </w:r>
      <w:r>
        <w:rPr>
          <w:lang w:val="es-ES_tradnl"/>
        </w:rPr>
        <w:tab/>
        <w:t>Proteger a los adolescentes contra las prácticas tradicionales perjudiciales, como son los matrimonios precoces, las muertes por cuestiones de honor y la mutilación genital femenina;</w:t>
      </w:r>
    </w:p>
    <w:p w:rsidR="00000000" w:rsidRDefault="00000000">
      <w:pPr>
        <w:spacing w:after="240"/>
        <w:ind w:left="1134" w:hanging="567"/>
        <w:rPr>
          <w:lang w:val="es-ES_tradnl"/>
        </w:rPr>
      </w:pPr>
      <w:r>
        <w:rPr>
          <w:lang w:val="es-ES_tradnl"/>
        </w:rPr>
        <w:t>h)</w:t>
      </w:r>
      <w:r>
        <w:rPr>
          <w:lang w:val="es-ES_tradnl"/>
        </w:rPr>
        <w:tab/>
        <w:t>Asegurar que se tienen plenamente en cuenta a los adolescentes pertenecientes a grupos especialmente vulnerables en el cumplimiento de todas las obligaciones antes mencionadas;</w:t>
      </w:r>
    </w:p>
    <w:p w:rsidR="00000000" w:rsidRDefault="00000000">
      <w:pPr>
        <w:spacing w:after="240"/>
        <w:ind w:left="1134" w:hanging="567"/>
        <w:rPr>
          <w:lang w:val="es-ES_tradnl"/>
        </w:rPr>
      </w:pPr>
      <w:r>
        <w:rPr>
          <w:lang w:val="es-ES_tradnl"/>
        </w:rPr>
        <w:t>i)</w:t>
      </w:r>
      <w:r>
        <w:rPr>
          <w:lang w:val="es-ES_tradnl"/>
        </w:rPr>
        <w:tab/>
        <w:t>Aplicar medidas para la prevención de las perturbaciones mentales y la promoción de la salud mental en los adolescentes.</w:t>
      </w:r>
    </w:p>
    <w:p w:rsidR="00000000" w:rsidRDefault="00000000">
      <w:pPr>
        <w:spacing w:after="240"/>
        <w:rPr>
          <w:lang w:val="es-ES_tradnl"/>
        </w:rPr>
      </w:pPr>
      <w:r>
        <w:rPr>
          <w:lang w:val="es-ES_tradnl"/>
        </w:rPr>
        <w:t>40.</w:t>
      </w:r>
      <w:r>
        <w:rPr>
          <w:lang w:val="es-ES_tradnl"/>
        </w:rPr>
        <w:tab/>
        <w:t>Señala a la atención de los Estados Partes la Observación general Nº 14 del Comité de Derechos Económicos, Sociales y Culturales en la que se dice que "los Estados Partes deben proporcionar a los adolescentes un entorno seguro y propicio que les permita participar en la adopción de decisiones que afectan a su salud, adquirir experiencia, tener acceso a la información adecuada, recibir consejos y negociar sobre las cuestiones que afectan a su salud.  El ejercicio del derecho a la salud de los adolescentes depende de una atención respetuosa de la salud de los jóvenes que tiene en cuenta la confidencialidad y la vida privada y prevé el establecimiento de servicios adecuados de salud sexual y reproductiva".</w:t>
      </w:r>
    </w:p>
    <w:p w:rsidR="00000000" w:rsidRDefault="00000000">
      <w:pPr>
        <w:spacing w:after="240"/>
        <w:rPr>
          <w:lang w:val="es-ES_tradnl"/>
        </w:rPr>
      </w:pPr>
      <w:r>
        <w:rPr>
          <w:lang w:val="es-ES_tradnl"/>
        </w:rPr>
        <w:t>41.</w:t>
      </w:r>
      <w:r>
        <w:rPr>
          <w:lang w:val="es-ES_tradnl"/>
        </w:rPr>
        <w:tab/>
        <w:t>De conformidad con los artículos 24, 39 y otras disposiciones conexas de la Convención, los Estados Partes deben proporcionar servicios de salud que estén adecuados a las especiales necesidades y derechos humanos de todos los adolescentes, prestando atención a las siguientes características:</w:t>
      </w:r>
    </w:p>
    <w:p w:rsidR="00000000" w:rsidRDefault="00000000">
      <w:pPr>
        <w:spacing w:after="240"/>
        <w:ind w:left="1134" w:hanging="567"/>
        <w:rPr>
          <w:lang w:val="es-ES_tradnl"/>
        </w:rPr>
      </w:pPr>
      <w:r>
        <w:rPr>
          <w:lang w:val="es-ES_tradnl"/>
        </w:rPr>
        <w:t>a)</w:t>
      </w:r>
      <w:r>
        <w:rPr>
          <w:lang w:val="es-ES_tradnl"/>
        </w:rPr>
        <w:tab/>
      </w:r>
      <w:r>
        <w:rPr>
          <w:i/>
          <w:iCs/>
          <w:lang w:val="es-ES_tradnl"/>
        </w:rPr>
        <w:t>Disponibilidad</w:t>
      </w:r>
      <w:r>
        <w:rPr>
          <w:lang w:val="es-ES_tradnl"/>
        </w:rPr>
        <w:t>.  La atención primaria de salud debe incluir servicios adecuados a las necesidades de los adolescentes, concediendo especial atención a la salud sexual y reproductiva y a la salud mental.</w:t>
      </w:r>
    </w:p>
    <w:p w:rsidR="00000000" w:rsidRDefault="00000000">
      <w:pPr>
        <w:spacing w:after="240"/>
        <w:ind w:left="1134" w:hanging="567"/>
        <w:rPr>
          <w:lang w:val="es-ES_tradnl"/>
        </w:rPr>
      </w:pPr>
      <w:r>
        <w:rPr>
          <w:lang w:val="es-ES_tradnl"/>
        </w:rPr>
        <w:t>b)</w:t>
      </w:r>
      <w:r>
        <w:rPr>
          <w:lang w:val="es-ES_tradnl"/>
        </w:rPr>
        <w:tab/>
      </w:r>
      <w:r>
        <w:rPr>
          <w:i/>
          <w:iCs/>
          <w:lang w:val="es-ES_tradnl"/>
        </w:rPr>
        <w:t>Accesibilidad</w:t>
      </w:r>
      <w:r>
        <w:rPr>
          <w:lang w:val="es-ES_tradnl"/>
        </w:rPr>
        <w:t>.  Deben conocerse las instalaciones, bienes y servicios de salud y ser de fácil acceso (económica, física y socialmente) a todos los adolescentes sin distinción alguna.  Debe garantizarse la confidencialidad cuando sea necesaria.</w:t>
      </w:r>
    </w:p>
    <w:p w:rsidR="00000000" w:rsidRDefault="00000000">
      <w:pPr>
        <w:spacing w:after="240"/>
        <w:ind w:left="1134" w:hanging="567"/>
        <w:rPr>
          <w:lang w:val="es-ES_tradnl"/>
        </w:rPr>
      </w:pPr>
      <w:r>
        <w:rPr>
          <w:lang w:val="es-ES_tradnl"/>
        </w:rPr>
        <w:t>c)</w:t>
      </w:r>
      <w:r>
        <w:rPr>
          <w:lang w:val="es-ES_tradnl"/>
        </w:rPr>
        <w:tab/>
      </w:r>
      <w:r>
        <w:rPr>
          <w:i/>
          <w:iCs/>
          <w:lang w:val="es-ES_tradnl"/>
        </w:rPr>
        <w:t>Aceptabilidad</w:t>
      </w:r>
      <w:r>
        <w:rPr>
          <w:lang w:val="es-ES_tradnl"/>
        </w:rPr>
        <w:t>.  Además de respetar plenamente las disposiciones y principios de la Convención, todas las instalaciones, bienes y servicios sanitarios deben respetar los valores culturales, las diferencias entre los géneros, la ética médica y ser aceptables tanto para los adolescentes como para las comunidades en que viven.</w:t>
      </w:r>
    </w:p>
    <w:p w:rsidR="00000000" w:rsidRDefault="00000000">
      <w:pPr>
        <w:spacing w:after="240"/>
        <w:ind w:left="1134" w:hanging="567"/>
        <w:rPr>
          <w:lang w:val="es-ES_tradnl"/>
        </w:rPr>
      </w:pPr>
      <w:r>
        <w:rPr>
          <w:lang w:val="es-ES_tradnl"/>
        </w:rPr>
        <w:t>d)</w:t>
      </w:r>
      <w:r>
        <w:rPr>
          <w:lang w:val="es-ES_tradnl"/>
        </w:rPr>
        <w:tab/>
      </w:r>
      <w:r>
        <w:rPr>
          <w:i/>
          <w:iCs/>
          <w:lang w:val="es-ES_tradnl"/>
        </w:rPr>
        <w:t>Calidad</w:t>
      </w:r>
      <w:r>
        <w:rPr>
          <w:lang w:val="es-ES_tradnl"/>
        </w:rPr>
        <w:t>.  Los servicios y los bienes de salud deben ser científica y médicamente adecuados para lo cual es necesario personal capacitado para cuidar de los adolescentes, instalaciones adecuadas y métodos científicamente aceptados.</w:t>
      </w:r>
    </w:p>
    <w:p w:rsidR="00000000" w:rsidRDefault="00000000">
      <w:pPr>
        <w:spacing w:after="240"/>
        <w:rPr>
          <w:lang w:val="es-ES_tradnl"/>
        </w:rPr>
      </w:pPr>
      <w:r>
        <w:rPr>
          <w:lang w:val="es-ES_tradnl"/>
        </w:rPr>
        <w:t>42.</w:t>
      </w:r>
      <w:r>
        <w:rPr>
          <w:lang w:val="es-ES_tradnl"/>
        </w:rPr>
        <w:tab/>
        <w:t>Los Estados Partes deben adoptar, siempre que sean factibles, un enfoque multisectorial para promover y proteger la salud y el desarrollo de los adolescentes, facilitando las vinculaciones y las asociaciones efectivas y sostenibles entre todos los actores importantes.  A nivel nacional, el enfoque impone una colaboración y una coordinación estrechas y sistemáticas dentro del gobierno, así como la necesaria participación de todas las entidades gubernamentales pertinentes.  Deben alentarse asimismo los servicios públicos de salud y de otro tipo utilizados por los adolescentes y ayudarles en la búsqueda de colaborar, por ejemplo, con los profesionales privados y/o tradicionales, las asociaciones profesionales, las farmacias y las organizaciones que proporcionen servicios a los grupos de adolescentes vulnerables.</w:t>
      </w:r>
    </w:p>
    <w:p w:rsidR="00000000" w:rsidRDefault="00000000">
      <w:pPr>
        <w:spacing w:after="240"/>
        <w:rPr>
          <w:lang w:val="es-ES_tradnl"/>
        </w:rPr>
      </w:pPr>
      <w:r>
        <w:rPr>
          <w:lang w:val="es-ES_tradnl"/>
        </w:rPr>
        <w:t>43.</w:t>
      </w:r>
      <w:r>
        <w:rPr>
          <w:lang w:val="es-ES_tradnl"/>
        </w:rPr>
        <w:tab/>
        <w:t>Ningún enfoque multisectorial a la promoción y protección de la salud y el desarrollo de los adolescentes será efectivo sin cooperación internacional.  Por consiguiente, los Estados Partes deben buscar, cuando lo consideren adecuado, la cooperación con los organismos especializados, los programas y órganos de las Naciones Unidas, las organizaciones no gubernamentales internacionales y los organismos de ayuda bilateral, las asociaciones profesionales internacionales y otros actores no estatales.</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w:t>
      </w:r>
      <w:r>
        <w:rPr>
          <w:lang w:val="es-ES_tradnl"/>
        </w:rPr>
        <w:t>Entre ellos figuran el Pacto Internacional de Derechos Civiles y Políticos, el Pacto Internacional de Derechos Económicos, Sociales y Culturales, la Convención contra la Tortura y Otros Tratos o Penas Crueles, Inhumanos o Degradantes, la Convención Internacional sobre la Eliminación de todas las Formas de Discriminación Racial, la Convención internacional sobre la protección de los derechos de todos los trabajadores migratorios y de sus familias y la Convención sobre la eliminación de todas las formas de discriminación contra la mujer.</w:t>
      </w:r>
    </w:p>
  </w:footnote>
  <w:footnote w:id="2">
    <w:p w:rsidR="00000000" w:rsidRDefault="00000000">
      <w:pPr>
        <w:pStyle w:val="FootnoteText"/>
        <w:spacing w:line="240" w:lineRule="auto"/>
      </w:pPr>
      <w:r>
        <w:rPr>
          <w:rStyle w:val="FootnoteReference"/>
        </w:rPr>
        <w:footnoteRef/>
      </w:r>
      <w:r>
        <w:t xml:space="preserve"> Véanse también los informes del Comité sobre los días de debate temático relativo a la violencia contra los niños, celebrados en 2000 y 2001 y las recomendaciones adoptadas al respecto (véase CRC/C/100, cap. V y CRC/C/111, cap.V).</w:t>
      </w:r>
    </w:p>
  </w:footnote>
  <w:footnote w:id="3">
    <w:p w:rsidR="00000000" w:rsidRDefault="00000000">
      <w:pPr>
        <w:pStyle w:val="FootnoteText"/>
        <w:spacing w:line="240" w:lineRule="auto"/>
      </w:pPr>
      <w:r>
        <w:rPr>
          <w:rStyle w:val="FootnoteReference"/>
        </w:rPr>
        <w:footnoteRef/>
      </w:r>
      <w:r>
        <w:t xml:space="preserve"> Ibíd.</w:t>
      </w:r>
    </w:p>
  </w:footnote>
  <w:footnote w:id="4">
    <w:p w:rsidR="00000000" w:rsidRDefault="00000000">
      <w:pPr>
        <w:pStyle w:val="FootnoteText"/>
        <w:spacing w:line="240" w:lineRule="auto"/>
      </w:pPr>
      <w:r>
        <w:rPr>
          <w:rStyle w:val="FootnoteReference"/>
        </w:rPr>
        <w:footnoteRef/>
      </w:r>
      <w:r>
        <w:t xml:space="preserve"> Como se propone en el Convenio Marco para el Control del Tabaco (2003) de la Organización Mundial de la Salud.</w:t>
      </w:r>
    </w:p>
  </w:footnote>
  <w:footnote w:id="5">
    <w:p w:rsidR="00000000" w:rsidRDefault="00000000">
      <w:pPr>
        <w:pStyle w:val="FootnoteText"/>
        <w:spacing w:line="240" w:lineRule="auto"/>
      </w:pPr>
      <w:r>
        <w:rPr>
          <w:rStyle w:val="FootnoteReference"/>
        </w:rPr>
        <w:footnoteRef/>
      </w:r>
      <w:r>
        <w:t xml:space="preserve"> Para mayor orientación sobre este tema, véanse los Principios para la protección de los enfermos mentales y para el mejoramiento de la atención de la salud mental (resolución de la Asamblea General 46/119, de 17 de diciembre de 1991, anexo).</w:t>
      </w:r>
    </w:p>
  </w:footnote>
  <w:footnote w:id="6">
    <w:p w:rsidR="00000000" w:rsidRDefault="00000000">
      <w:pPr>
        <w:pStyle w:val="FootnoteText"/>
        <w:spacing w:line="240" w:lineRule="auto"/>
      </w:pPr>
      <w:r>
        <w:rPr>
          <w:rStyle w:val="FootnoteReference"/>
        </w:rPr>
        <w:footnoteRef/>
      </w:r>
      <w:r>
        <w:t xml:space="preserve"> Ibíd., en especial los principios 2, 3 y 7.</w:t>
      </w:r>
    </w:p>
  </w:footnote>
  <w:footnote w:id="7">
    <w:p w:rsidR="00000000" w:rsidRDefault="00000000">
      <w:pPr>
        <w:pStyle w:val="FootnoteText"/>
        <w:spacing w:line="240" w:lineRule="auto"/>
      </w:pPr>
      <w:r>
        <w:rPr>
          <w:rStyle w:val="FootnoteReference"/>
        </w:rPr>
        <w:footnoteRef/>
      </w:r>
      <w:r>
        <w:t xml:space="preserve"> Para más orientaciones sobre esta cuestión, véase la Observación general Nº 3 (2003) sobre VIH/SIDA y los derechos del niño.</w:t>
      </w:r>
    </w:p>
  </w:footnote>
  <w:footnote w:id="8">
    <w:p w:rsidR="00000000" w:rsidRDefault="00000000">
      <w:pPr>
        <w:pStyle w:val="FootnoteText"/>
        <w:spacing w:line="240" w:lineRule="auto"/>
      </w:pPr>
      <w:r>
        <w:rPr>
          <w:rStyle w:val="FootnoteReference"/>
        </w:rPr>
        <w:footnoteRef/>
      </w:r>
      <w:r>
        <w:t xml:space="preserve"> Normas Uniformes sobre la igualdad de oportunidades para las personas con discapacidad,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CRC/GC/2003/4</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pPr>
    <w:r>
      <w:tab/>
      <w:t>CRC/GC/2003/4</w:t>
    </w:r>
  </w:p>
  <w:p w:rsidR="00000000" w:rsidRDefault="00000000">
    <w:pPr>
      <w:tabs>
        <w:tab w:val="left" w:pos="7650"/>
      </w:tabs>
    </w:pPr>
    <w:r>
      <w:tab/>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6226</Words>
  <Characters>35490</Characters>
  <Application>Microsoft Office Word</Application>
  <DocSecurity>4</DocSecurity>
  <Lines>295</Lines>
  <Paragraphs>70</Paragraphs>
  <ScaleCrop>false</ScaleCrop>
  <HeadingPairs>
    <vt:vector size="2" baseType="variant">
      <vt:variant>
        <vt:lpstr>Título</vt:lpstr>
      </vt:variant>
      <vt:variant>
        <vt:i4>1</vt:i4>
      </vt:variant>
    </vt:vector>
  </HeadingPairs>
  <TitlesOfParts>
    <vt:vector size="1" baseType="lpstr">
      <vt:lpstr>CRC/GC/2003/4</vt:lpstr>
    </vt:vector>
  </TitlesOfParts>
  <Company>ONU</Company>
  <LinksUpToDate>false</LinksUpToDate>
  <CharactersWithSpaces>43584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CRC/GC/2003/4</dc:title>
  <dc:subject>03-42727</dc:subject>
  <dc:creator>ROSA SATORRE</dc:creator>
  <cp:keywords/>
  <dc:description/>
  <cp:lastModifiedBy>PDF</cp:lastModifiedBy>
  <cp:revision>2</cp:revision>
  <cp:lastPrinted>2003-08-08T14:03:00Z</cp:lastPrinted>
  <dcterms:created xsi:type="dcterms:W3CDTF">2003-08-08T14:06:00Z</dcterms:created>
  <dcterms:modified xsi:type="dcterms:W3CDTF">2003-08-08T14:06:00Z</dcterms:modified>
</cp:coreProperties>
</file>