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7188D07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9DB1E4" w14:textId="77777777" w:rsidR="002D5AAC" w:rsidRDefault="002D5AAC" w:rsidP="004638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EBE3BDC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30B646D" w14:textId="5ECCA96E" w:rsidR="002D5AAC" w:rsidRDefault="00463864" w:rsidP="00463864">
            <w:pPr>
              <w:jc w:val="right"/>
            </w:pPr>
            <w:r w:rsidRPr="00463864">
              <w:rPr>
                <w:sz w:val="40"/>
              </w:rPr>
              <w:t>CMW</w:t>
            </w:r>
            <w:r>
              <w:t>/C/SEN/CO/4</w:t>
            </w:r>
          </w:p>
        </w:tc>
      </w:tr>
      <w:tr w:rsidR="002D5AAC" w:rsidRPr="00463864" w14:paraId="7EA55C5D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E720CF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92F21B" wp14:editId="6F5EBB7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E261D1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3993344" w14:textId="77777777" w:rsidR="002D5AAC" w:rsidRPr="00463864" w:rsidRDefault="00463864" w:rsidP="007A2AE0">
            <w:pPr>
              <w:spacing w:before="240"/>
              <w:rPr>
                <w:lang w:val="en-US"/>
              </w:rPr>
            </w:pPr>
            <w:r w:rsidRPr="00463864">
              <w:rPr>
                <w:lang w:val="en-US"/>
              </w:rPr>
              <w:t>Distr.: General</w:t>
            </w:r>
          </w:p>
          <w:p w14:paraId="16892318" w14:textId="77777777" w:rsidR="00463864" w:rsidRPr="00463864" w:rsidRDefault="00463864" w:rsidP="00463864">
            <w:pPr>
              <w:spacing w:line="240" w:lineRule="exact"/>
              <w:rPr>
                <w:lang w:val="en-US"/>
              </w:rPr>
            </w:pPr>
            <w:r w:rsidRPr="00463864">
              <w:rPr>
                <w:lang w:val="en-US"/>
              </w:rPr>
              <w:t>10 July 2024</w:t>
            </w:r>
          </w:p>
          <w:p w14:paraId="40D3D06D" w14:textId="77777777" w:rsidR="00463864" w:rsidRPr="00463864" w:rsidRDefault="00463864" w:rsidP="00463864">
            <w:pPr>
              <w:spacing w:line="240" w:lineRule="exact"/>
              <w:rPr>
                <w:lang w:val="en-US"/>
              </w:rPr>
            </w:pPr>
            <w:r w:rsidRPr="00463864">
              <w:rPr>
                <w:lang w:val="en-US"/>
              </w:rPr>
              <w:t>Russian</w:t>
            </w:r>
          </w:p>
          <w:p w14:paraId="1BCF66BF" w14:textId="1A0E165B" w:rsidR="00463864" w:rsidRPr="00463864" w:rsidRDefault="00463864" w:rsidP="00463864">
            <w:pPr>
              <w:spacing w:line="240" w:lineRule="exact"/>
              <w:rPr>
                <w:lang w:val="en-US"/>
              </w:rPr>
            </w:pPr>
            <w:r w:rsidRPr="00463864">
              <w:rPr>
                <w:lang w:val="en-US"/>
              </w:rPr>
              <w:t xml:space="preserve">Original: </w:t>
            </w:r>
            <w:r w:rsidR="0021607B">
              <w:rPr>
                <w:lang w:val="en-US"/>
              </w:rPr>
              <w:t>French</w:t>
            </w:r>
          </w:p>
        </w:tc>
      </w:tr>
    </w:tbl>
    <w:p w14:paraId="535D8020" w14:textId="77777777" w:rsidR="00DD550B" w:rsidRPr="004B4FEE" w:rsidRDefault="00DD550B" w:rsidP="00DD550B">
      <w:pPr>
        <w:spacing w:before="120"/>
        <w:rPr>
          <w:b/>
          <w:sz w:val="24"/>
          <w:szCs w:val="24"/>
        </w:rPr>
      </w:pPr>
      <w:r w:rsidRPr="006B21C2">
        <w:rPr>
          <w:b/>
          <w:bCs/>
          <w:sz w:val="24"/>
          <w:szCs w:val="24"/>
        </w:rPr>
        <w:t>Международная конвенция о защите прав</w:t>
      </w:r>
      <w:r w:rsidRPr="004B4FEE">
        <w:rPr>
          <w:b/>
          <w:bCs/>
          <w:sz w:val="24"/>
          <w:szCs w:val="24"/>
        </w:rPr>
        <w:br/>
      </w:r>
      <w:r w:rsidRPr="006B21C2">
        <w:rPr>
          <w:b/>
          <w:bCs/>
          <w:sz w:val="24"/>
          <w:szCs w:val="24"/>
        </w:rPr>
        <w:t>всех трудящихся-мигрантов и членов их семей</w:t>
      </w:r>
    </w:p>
    <w:p w14:paraId="450923F7" w14:textId="77777777" w:rsidR="00DD550B" w:rsidRPr="004B4FEE" w:rsidRDefault="00DD550B" w:rsidP="00DD550B">
      <w:pPr>
        <w:pStyle w:val="HChG"/>
        <w:rPr>
          <w:b w:val="0"/>
          <w:sz w:val="20"/>
        </w:rPr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Сенегала</w:t>
      </w:r>
      <w:r w:rsidRPr="0021607B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0AB59A7E" w14:textId="60FE3D66" w:rsidR="00DD550B" w:rsidRPr="004B4FEE" w:rsidRDefault="00DD550B" w:rsidP="00DD550B">
      <w:pPr>
        <w:pStyle w:val="SingleTxtG"/>
      </w:pPr>
      <w:r>
        <w:t>1.</w:t>
      </w:r>
      <w:r>
        <w:tab/>
        <w:t>Комитет рассмотрел четвертый периодический доклад Сенегала</w:t>
      </w:r>
      <w:r w:rsidRPr="0060564B">
        <w:rPr>
          <w:rStyle w:val="aa"/>
        </w:rPr>
        <w:footnoteReference w:id="2"/>
      </w:r>
      <w:r>
        <w:t xml:space="preserve"> на своих</w:t>
      </w:r>
      <w:r w:rsidR="0021607B" w:rsidRPr="0021607B">
        <w:br/>
      </w:r>
      <w:r>
        <w:t>554-м и 555-м заседаниях</w:t>
      </w:r>
      <w:r w:rsidRPr="0060564B">
        <w:rPr>
          <w:rStyle w:val="aa"/>
        </w:rPr>
        <w:footnoteReference w:id="3"/>
      </w:r>
      <w:r>
        <w:t>, состоявшихся 4 и 5 июня 2024 года. Он принял настоящие заключительные замечания на своем 570-м заседании, состоявшемся 14 июня</w:t>
      </w:r>
      <w:r w:rsidR="0021607B" w:rsidRPr="0021607B">
        <w:br/>
      </w:r>
      <w:r>
        <w:t>2024 года.</w:t>
      </w:r>
    </w:p>
    <w:p w14:paraId="73F48C7E" w14:textId="77777777" w:rsidR="00DD550B" w:rsidRPr="004B4FEE" w:rsidRDefault="00DD550B" w:rsidP="00DD550B">
      <w:pPr>
        <w:pStyle w:val="H1G"/>
      </w:pPr>
      <w:r w:rsidRPr="004B4FEE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07BEAADF" w14:textId="77777777" w:rsidR="00DD550B" w:rsidRPr="004B4FEE" w:rsidRDefault="00DD550B" w:rsidP="00DD550B">
      <w:pPr>
        <w:pStyle w:val="SingleTxtG"/>
      </w:pPr>
      <w:r>
        <w:t>2.</w:t>
      </w:r>
      <w:r>
        <w:tab/>
        <w:t xml:space="preserve">Комитет </w:t>
      </w:r>
      <w:r w:rsidRPr="0017584E">
        <w:t xml:space="preserve">выражает признательность государству-участнику за представление </w:t>
      </w:r>
      <w:r>
        <w:t>четвертого периодического доклада, который был подготовлен в ответ на перечень вопросов, препровождаемых до представления доклада</w:t>
      </w:r>
      <w:r w:rsidRPr="0060564B">
        <w:rPr>
          <w:rStyle w:val="aa"/>
        </w:rPr>
        <w:footnoteReference w:id="4"/>
      </w:r>
      <w:r>
        <w:t>. Он также приветствует дополнительную информацию, которую делегация во главе с Постоянным представителем Сенегала при Отделении Организации Объединенных Наций в Женеве, г-ном Коли Секом, предоставила в ходе диалога.</w:t>
      </w:r>
    </w:p>
    <w:p w14:paraId="38ADF279" w14:textId="77777777" w:rsidR="00DD550B" w:rsidRPr="004B4FEE" w:rsidRDefault="00DD550B" w:rsidP="00DD550B">
      <w:pPr>
        <w:pStyle w:val="SingleTxtG"/>
      </w:pPr>
      <w:r>
        <w:t>3.</w:t>
      </w:r>
      <w:r>
        <w:tab/>
        <w:t>Комитет высоко оценивает диалог, состоявшийся с делегацией, и благодарит представителей государства-участника за предоставленную ему информацию и проявленный конструктивный подход, позволившие провести совместный анализ и разбор ситуации.</w:t>
      </w:r>
    </w:p>
    <w:p w14:paraId="043BCE0C" w14:textId="77777777" w:rsidR="00DD550B" w:rsidRPr="004B4FEE" w:rsidRDefault="00DD550B" w:rsidP="00DD550B">
      <w:pPr>
        <w:pStyle w:val="SingleTxtG"/>
      </w:pPr>
      <w:r>
        <w:t>4.</w:t>
      </w:r>
      <w:r>
        <w:tab/>
        <w:t>Комитет признает, что Сенегал как страна происхождения трудящихся-мигрантов добился прогресса в защите прав своих граждан, работающих за рубежом. В то же время он отмечает, что в качестве страны происхождения, транзита и назначения государство-участник сталкивается с рядом проблем в том, что касается защиты прав трудящихся-мигрантов и членов их семей.</w:t>
      </w:r>
    </w:p>
    <w:p w14:paraId="055C5DC8" w14:textId="77777777" w:rsidR="00DD550B" w:rsidRPr="004B4FEE" w:rsidRDefault="00DD550B" w:rsidP="00DD550B">
      <w:pPr>
        <w:pStyle w:val="H1G"/>
      </w:pPr>
      <w:r w:rsidRPr="004B4FEE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438676B5" w14:textId="77777777" w:rsidR="00DD550B" w:rsidRPr="004B4FEE" w:rsidRDefault="00DD550B" w:rsidP="00DD550B">
      <w:pPr>
        <w:pStyle w:val="SingleTxtG"/>
        <w:keepNext/>
      </w:pPr>
      <w:r>
        <w:t>5.</w:t>
      </w:r>
      <w:r>
        <w:tab/>
        <w:t>Комитет с удовлетворением отмечает ратификацию государством-участником следующих международных договоров или присоединение к ним:</w:t>
      </w:r>
    </w:p>
    <w:p w14:paraId="1884C84F" w14:textId="77777777" w:rsidR="00DD550B" w:rsidRPr="004B4FEE" w:rsidRDefault="00DD550B" w:rsidP="00DD550B">
      <w:pPr>
        <w:pStyle w:val="SingleTxtG"/>
        <w:ind w:firstLine="567"/>
      </w:pPr>
      <w:r>
        <w:t>a)</w:t>
      </w:r>
      <w:r>
        <w:tab/>
        <w:t xml:space="preserve">Конвенции 1981 года о безопасности и гигиене труда (№ 155) Международной организации труда (МОТ) в марте 2021 года; </w:t>
      </w:r>
    </w:p>
    <w:p w14:paraId="39054E46" w14:textId="2562BCCA" w:rsidR="00DD550B" w:rsidRPr="004B4FEE" w:rsidRDefault="00DD550B" w:rsidP="00DD550B">
      <w:pPr>
        <w:pStyle w:val="SingleTxtG"/>
        <w:ind w:firstLine="567"/>
      </w:pPr>
      <w:r>
        <w:t>b)</w:t>
      </w:r>
      <w:r>
        <w:tab/>
        <w:t>Конвенции 1985 года о службах гигиены труда (№ 161) МОТ в марте 2021</w:t>
      </w:r>
      <w:r w:rsidR="007633A7">
        <w:rPr>
          <w:lang w:val="en-US"/>
        </w:rPr>
        <w:t> </w:t>
      </w:r>
      <w:r>
        <w:t>года;</w:t>
      </w:r>
    </w:p>
    <w:p w14:paraId="1B98A986" w14:textId="77777777" w:rsidR="00DD550B" w:rsidRPr="004B4FEE" w:rsidRDefault="00DD550B" w:rsidP="00DD550B">
      <w:pPr>
        <w:pStyle w:val="SingleTxtG"/>
        <w:ind w:firstLine="567"/>
      </w:pPr>
      <w:r>
        <w:lastRenderedPageBreak/>
        <w:t>c)</w:t>
      </w:r>
      <w:r>
        <w:tab/>
        <w:t>Конвенции 2006 года об основах, содействующих безопасности и гигиене труда (№ 187), МОТ в марте 2021 года;</w:t>
      </w:r>
    </w:p>
    <w:p w14:paraId="4AAC4834" w14:textId="5F167024" w:rsidR="00DD550B" w:rsidRPr="004B4FEE" w:rsidRDefault="00DD550B" w:rsidP="00DD550B">
      <w:pPr>
        <w:pStyle w:val="SingleTxtG"/>
        <w:ind w:firstLine="567"/>
      </w:pPr>
      <w:r>
        <w:t>d)</w:t>
      </w:r>
      <w:r>
        <w:tab/>
        <w:t>двустороннего соглашения с Испанией о социальном обеспечении 22</w:t>
      </w:r>
      <w:r w:rsidR="007633A7">
        <w:rPr>
          <w:lang w:val="en-US"/>
        </w:rPr>
        <w:t> </w:t>
      </w:r>
      <w:r>
        <w:t>ноября 2020 года.</w:t>
      </w:r>
    </w:p>
    <w:p w14:paraId="4E5ADA84" w14:textId="77777777" w:rsidR="00DD550B" w:rsidRPr="004B4FEE" w:rsidRDefault="00DD550B" w:rsidP="00DD550B">
      <w:pPr>
        <w:pStyle w:val="SingleTxtG"/>
        <w:keepNext/>
      </w:pPr>
      <w:r>
        <w:t>6.</w:t>
      </w:r>
      <w:r>
        <w:tab/>
        <w:t>Комитет с удовлетворением отмечает принятие следующих законов и политических мер:</w:t>
      </w:r>
    </w:p>
    <w:p w14:paraId="0E7DDBD0" w14:textId="77777777" w:rsidR="00DD550B" w:rsidRPr="004B4FEE" w:rsidRDefault="00DD550B" w:rsidP="00DD550B">
      <w:pPr>
        <w:pStyle w:val="SingleTxtG"/>
        <w:ind w:firstLine="567"/>
      </w:pPr>
      <w:r>
        <w:t>a)</w:t>
      </w:r>
      <w:r>
        <w:tab/>
        <w:t>Закона № 2022-03 от 14 апреля 2022 года об изменении и дополнении некоторых положений закона № 1997-17 от 1 декабря 1997 года о Трудовом кодексе в части запрета дискриминации на рабочем месте;</w:t>
      </w:r>
    </w:p>
    <w:p w14:paraId="0D667695" w14:textId="740408FB" w:rsidR="00DD550B" w:rsidRPr="004B4FEE" w:rsidRDefault="00DD550B" w:rsidP="00DD550B">
      <w:pPr>
        <w:pStyle w:val="SingleTxtG"/>
        <w:ind w:firstLine="567"/>
      </w:pPr>
      <w:r>
        <w:t>b)</w:t>
      </w:r>
      <w:r>
        <w:tab/>
        <w:t>Закона № 2022-01 от 14 апреля 2022 года о статусе беженцев и лиц без гражданства и Национального плана действий по искоренению безгражданства (на</w:t>
      </w:r>
      <w:r w:rsidR="007633A7">
        <w:rPr>
          <w:lang w:val="en-US"/>
        </w:rPr>
        <w:t> </w:t>
      </w:r>
      <w:r>
        <w:t>период 2021−2024 годов), которые направлены, в частности, на обеспечение всеобщей регистрации рождений;</w:t>
      </w:r>
    </w:p>
    <w:p w14:paraId="2EDFF890" w14:textId="095D7306" w:rsidR="00DD550B" w:rsidRPr="004B4FEE" w:rsidRDefault="00DD550B" w:rsidP="00DD550B">
      <w:pPr>
        <w:pStyle w:val="SingleTxtG"/>
        <w:ind w:firstLine="567"/>
      </w:pPr>
      <w:r>
        <w:t>c)</w:t>
      </w:r>
      <w:r>
        <w:tab/>
        <w:t>мер по расширению участия представителей диаспоры в выборах на основании Закона № 2021-35 от 23 июля 2021 года об избирательном кодексе</w:t>
      </w:r>
      <w:r w:rsidR="007633A7" w:rsidRPr="007633A7">
        <w:br/>
      </w:r>
      <w:r>
        <w:t>(статья L-150);</w:t>
      </w:r>
    </w:p>
    <w:p w14:paraId="614F7C42" w14:textId="77777777" w:rsidR="00DD550B" w:rsidRPr="004B4FEE" w:rsidRDefault="00DD550B" w:rsidP="00DD550B">
      <w:pPr>
        <w:pStyle w:val="SingleTxtG"/>
        <w:ind w:firstLine="567"/>
      </w:pPr>
      <w:r>
        <w:t>d)</w:t>
      </w:r>
      <w:r>
        <w:tab/>
        <w:t>национальной стратегии по борьбе с нелегальной миграцией (на период 2023–2033 годов).</w:t>
      </w:r>
    </w:p>
    <w:p w14:paraId="415EE8E9" w14:textId="1B9F6159" w:rsidR="00DD550B" w:rsidRPr="004B4FEE" w:rsidRDefault="00DD550B" w:rsidP="00DD550B">
      <w:pPr>
        <w:pStyle w:val="H1G"/>
      </w:pPr>
      <w:r w:rsidRPr="004B4FEE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7633A7">
        <w:rPr>
          <w:bCs/>
          <w:lang w:val="en-US"/>
        </w:rPr>
        <w:t> </w:t>
      </w:r>
      <w:r>
        <w:rPr>
          <w:bCs/>
        </w:rPr>
        <w:t>рекомендации</w:t>
      </w:r>
    </w:p>
    <w:p w14:paraId="711A12ED" w14:textId="77777777" w:rsidR="00DD550B" w:rsidRPr="004B4FEE" w:rsidRDefault="00DD550B" w:rsidP="00DD550B">
      <w:pPr>
        <w:pStyle w:val="H23G"/>
      </w:pPr>
      <w:r w:rsidRPr="004B4FEE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Меры, касающиеся общего применения (статьи 73 и 84)</w:t>
      </w:r>
    </w:p>
    <w:p w14:paraId="1054F79A" w14:textId="77777777" w:rsidR="00DD550B" w:rsidRPr="004B4FEE" w:rsidRDefault="00DD550B" w:rsidP="00DD550B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26AB78D5" w14:textId="0E2F7CEA" w:rsidR="00DD550B" w:rsidRPr="004B4FEE" w:rsidRDefault="00DD550B" w:rsidP="00DD550B">
      <w:pPr>
        <w:pStyle w:val="SingleTxtG"/>
      </w:pPr>
      <w:r>
        <w:t>7.</w:t>
      </w:r>
      <w:r>
        <w:tab/>
        <w:t>Приветствуя принятие ряда законов, которые способствуют укреплению прав трудящихся-мигрантов и членов их семей, Комитет отмечает, что на стадии разработки остаются такие важные законопроекты, как проект Кодекса законов о детях, пересмотренный Семейный кодекс, законопроект о статусе школ изучения Корана («дааров») и предварительный законопроект о пересмотре Закона № 2005-06 о борьбе с торговлей людьми и связанными с ней видами практики и о защите жертв. Он</w:t>
      </w:r>
      <w:r w:rsidR="007633A7">
        <w:rPr>
          <w:lang w:val="en-US"/>
        </w:rPr>
        <w:t> </w:t>
      </w:r>
      <w:r>
        <w:t>отмечает, что Закон № 2022-01 о статусе беженцев и лиц без гражданства еще не окончательно вступил в силу, поскольку не были приняты постановления о порядке его применения, особенно в части создания механизма обжалования для лиц, получивших отказ в предоставлении убежища. Наконец, Комитет с обеспокоенностью отмечает, что по-прежнему остается в силе Закон № 71-10 от 25 января 1971 года об условиях въезда, пребывания и проживания иностранцев, предусматривающий уголовную ответственность за незаконное пребывание.</w:t>
      </w:r>
    </w:p>
    <w:p w14:paraId="1B474B76" w14:textId="77777777" w:rsidR="00DD550B" w:rsidRPr="004B4FEE" w:rsidRDefault="00DD550B" w:rsidP="00DD550B">
      <w:pPr>
        <w:pStyle w:val="SingleTxtG"/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ускорить принятие внутреннего законодательства, касающегося осуществления Конвенции, в том числе Кодекса законов о детях, пересмотренного Трудового кодекса и законодательства о борьбе с торговлей людьми и незаконным ввозом мигрантов, а также незамедлительно внести поправки в Закон № 71-10, чтобы привести эти законодательные акты в соответствие с правами, провозглашенными в Конвенции, в частности путем декриминализации нелегальной миграции.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постановления о порядке осуществления законодательных актов, чтобы ввести в действие положения, касающиеся эффективных средств правовой защиты, в соответствии с Законом № 2022-01 о статусе беженцев и лиц без гражданства.</w:t>
      </w:r>
    </w:p>
    <w:p w14:paraId="1926BDAB" w14:textId="77777777" w:rsidR="00DD550B" w:rsidRPr="004B4FEE" w:rsidRDefault="00DD550B" w:rsidP="00DD550B">
      <w:pPr>
        <w:pStyle w:val="H23G"/>
      </w:pPr>
      <w:r>
        <w:lastRenderedPageBreak/>
        <w:tab/>
      </w:r>
      <w:r>
        <w:tab/>
      </w:r>
      <w:r>
        <w:rPr>
          <w:bCs/>
        </w:rPr>
        <w:t>Статьи 76 и 77</w:t>
      </w:r>
    </w:p>
    <w:p w14:paraId="7E470DC0" w14:textId="77777777" w:rsidR="00DD550B" w:rsidRPr="004B4FEE" w:rsidRDefault="00DD550B" w:rsidP="00DD550B">
      <w:pPr>
        <w:pStyle w:val="SingleTxtG"/>
      </w:pPr>
      <w:r>
        <w:t>9.</w:t>
      </w:r>
      <w:r>
        <w:tab/>
        <w:t>Комитет отмечает, что в своем докладе государство-участник упомянуло отсутствие инициатив в поддержку заявлений, предусмотренных статьями 76 и 77 Конвенции</w:t>
      </w:r>
      <w:r w:rsidRPr="0060564B">
        <w:rPr>
          <w:rStyle w:val="aa"/>
        </w:rPr>
        <w:footnoteReference w:id="5"/>
      </w:r>
      <w:r>
        <w:t>.</w:t>
      </w:r>
    </w:p>
    <w:p w14:paraId="06E78DA4" w14:textId="77777777" w:rsidR="00DD550B" w:rsidRPr="004B4FEE" w:rsidRDefault="00DD550B" w:rsidP="00DD550B">
      <w:pPr>
        <w:pStyle w:val="SingleTxtG"/>
      </w:pPr>
      <w:r>
        <w:t>10.</w:t>
      </w:r>
      <w:r>
        <w:tab/>
      </w:r>
      <w:r>
        <w:rPr>
          <w:b/>
          <w:bCs/>
        </w:rPr>
        <w:t>Комитет повторяет рекомендацию, сформулированную в его предыдущих заключительных замечаниях</w:t>
      </w:r>
      <w:r w:rsidRPr="0060564B">
        <w:rPr>
          <w:rStyle w:val="aa"/>
        </w:rPr>
        <w:footnoteReference w:id="6"/>
      </w:r>
      <w:r>
        <w:rPr>
          <w:b/>
          <w:bCs/>
        </w:rPr>
        <w:t>, и призывает государство-участник сделать заявления, предусмотренные статьями 76 и 77 Конвенции, с учетом актуальных проблем в области прав человека.</w:t>
      </w:r>
    </w:p>
    <w:p w14:paraId="7C318F09" w14:textId="77777777" w:rsidR="00DD550B" w:rsidRPr="004B4FEE" w:rsidRDefault="00DD550B" w:rsidP="00DD550B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144950E5" w14:textId="552B0036" w:rsidR="00DD550B" w:rsidRPr="0017584E" w:rsidRDefault="00DD550B" w:rsidP="00DD550B">
      <w:pPr>
        <w:pStyle w:val="SingleTxtG"/>
      </w:pPr>
      <w:r>
        <w:t>11.</w:t>
      </w:r>
      <w:r>
        <w:tab/>
        <w:t>С удовлетворением принимая к сведению ратификацию государством-участником трех конвенций МОТ в 2021 году, Комитет отмечает, что государство-участник еще не ратифицировало Конвенцию (пересмотренную) 1949 года о работниках-мигрантах (№ 97), Конвенцию 1975 года о трудящихся-мигрантах (дополнительные положения) (№ 143), Конвенцию 2011 года о домашних работниках (№ 189) и Конвенцию 2019 года об искоренении насилия и домогательств в сфере труда (№ 190), а также Протокол 2014 года к Конвенции о принудительном труде 1930</w:t>
      </w:r>
      <w:r w:rsidR="002F7207">
        <w:rPr>
          <w:lang w:val="en-US"/>
        </w:rPr>
        <w:t> </w:t>
      </w:r>
      <w:r>
        <w:t>года (№ 29).</w:t>
      </w:r>
    </w:p>
    <w:p w14:paraId="5BB12826" w14:textId="77777777" w:rsidR="00DD550B" w:rsidRPr="0017584E" w:rsidRDefault="00DD550B" w:rsidP="00DD550B">
      <w:pPr>
        <w:pStyle w:val="SingleTxtG"/>
      </w:pPr>
      <w:r>
        <w:t>12.</w:t>
      </w:r>
      <w:r>
        <w:tab/>
      </w:r>
      <w:r>
        <w:rPr>
          <w:b/>
          <w:bCs/>
        </w:rPr>
        <w:t>Повторяя рекомендацию, сформулированную в его предыдущих заключительных замечаниях</w:t>
      </w:r>
      <w:r w:rsidRPr="0060564B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ратифицировать конвенции МОТ, в частности Конвенцию (пересмотренную) 1949 года о работниках-мигрантах (№ 97), Конвенцию 1975 года о трудящихся-мигрантах (дополнительные положения) (№ 143), Конвенцию 2011 года о домашних работниках (№ 189) и Конвенцию 2019 года об искоренении насилия и домогательств в сфере труда (№ 190), а также Протокол 2014 года к Конвенции о принудительном труде 1930 года (№ 29).</w:t>
      </w:r>
    </w:p>
    <w:p w14:paraId="365E142B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523891B5" w14:textId="77777777" w:rsidR="00DD550B" w:rsidRPr="0017584E" w:rsidRDefault="00DD550B" w:rsidP="00DD550B">
      <w:pPr>
        <w:pStyle w:val="SingleTxtG"/>
      </w:pPr>
      <w:r>
        <w:t>13.</w:t>
      </w:r>
      <w:r>
        <w:tab/>
        <w:t>Комитет отмечает принятие ряда законодательных актов и секторальных стратегий, в частности в сфере борьбы с торговлей людьми и нелегальной миграцией. Он также отмечает утверждение о том, что государство-участник приняло национальную политику в области миграции, однако выражает сожаление по поводу отсутствия ясности в отношении структуры этой политики, хода ее осуществления, характера воздействия и направленности на осуществление всех аспектов Конвенции. Кроме того, Комитет выражает сожаление по поводу отсутствия национального координационного механизма, который позволил бы объединить все действия государства-участника в сфере миграции.</w:t>
      </w:r>
    </w:p>
    <w:p w14:paraId="5F3AAFA8" w14:textId="77777777" w:rsidR="00DD550B" w:rsidRPr="0017584E" w:rsidRDefault="00DD550B" w:rsidP="00DD550B">
      <w:pPr>
        <w:pStyle w:val="SingleTxtG"/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обеспечить, чтобы национальная стратегия в области миграции охватывала все аспекты Конвенции, предусматривала учет гендерных аспектов и потребностей детей и опиралась на правозащитный подход.</w:t>
      </w:r>
      <w:r>
        <w:t xml:space="preserve"> </w:t>
      </w:r>
      <w:r>
        <w:rPr>
          <w:b/>
          <w:bCs/>
        </w:rPr>
        <w:t>В рамках стратегии следует предусмотреть эффективные меры, четкие сроки, показатели и контрольные параметры мониторинга и оценки.</w:t>
      </w:r>
      <w:r>
        <w:t xml:space="preserve"> </w:t>
      </w:r>
      <w:r>
        <w:rPr>
          <w:b/>
          <w:bCs/>
        </w:rPr>
        <w:t>Комитет рекомендует государству-участнику также обеспечить выделение достаточных людских, технических и финансовых ресурсов для реализации этой стратегии и включить в свой следующий периодический доклад подкрепленную статистическими данными информацию о достигнутых результатах и возникших трудностях.</w:t>
      </w:r>
    </w:p>
    <w:p w14:paraId="6971B73D" w14:textId="77777777" w:rsidR="00DD550B" w:rsidRPr="0017584E" w:rsidRDefault="00DD550B" w:rsidP="00DD550B">
      <w:pPr>
        <w:pStyle w:val="H23G"/>
      </w:pPr>
      <w:r>
        <w:tab/>
      </w:r>
      <w:r>
        <w:tab/>
      </w:r>
      <w:r>
        <w:tab/>
      </w:r>
      <w:r>
        <w:rPr>
          <w:bCs/>
        </w:rPr>
        <w:t>Сбор данных</w:t>
      </w:r>
    </w:p>
    <w:p w14:paraId="4A8F9EFD" w14:textId="77777777" w:rsidR="00DD550B" w:rsidRPr="0017584E" w:rsidRDefault="00DD550B" w:rsidP="00DD550B">
      <w:pPr>
        <w:pStyle w:val="SingleTxtG"/>
      </w:pPr>
      <w:r>
        <w:t>15.</w:t>
      </w:r>
      <w:r>
        <w:tab/>
        <w:t xml:space="preserve">Комитет отмечает работу по сбору данных, проделанную различными государственными субъектами, которые занимаются вопросами миграции, в частности </w:t>
      </w:r>
      <w:r>
        <w:lastRenderedPageBreak/>
        <w:t>соответствующими министерствами, а также Национальным агентством статистики и демографии, Национальным комитетом по борьбе с торговлей людьми и незаконным ввозом мигрантов и Межведомственным комитетом по борьбе с нелегальной миграцией. Вместе с тем Комитет отмечает недостаточный уровень координации этих ведомств и пробелы в процедурах обработки дезагрегированных данных, которые могли бы более эффективно подкреплять миграционную политику и принимаемые решения, — в том числе данных об условиях найма трудящихся-мигрантов, а также о женщинах-мигрантах, детях-мигрантах, мигрантах, не имеющих постоянного статуса, и представителях диаспоры.</w:t>
      </w:r>
    </w:p>
    <w:p w14:paraId="02D3251C" w14:textId="77777777" w:rsidR="00DD550B" w:rsidRPr="0017584E" w:rsidRDefault="00DD550B" w:rsidP="00DD550B">
      <w:pPr>
        <w:pStyle w:val="SingleTxtG"/>
        <w:keepNext/>
      </w:pPr>
      <w:r>
        <w:t>16.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60564B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государству-участнику:</w:t>
      </w:r>
    </w:p>
    <w:p w14:paraId="79434470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в соответствии с задачей 17.18 целей в области устойчивого развития и целью 1 Глобального договора о безопасной, упорядоченной и легальной миграции, активным сторонником осуществления которого является государство-участник, а также в сотрудничестве с Африканским наблюдательным центром по вопросам миграции ускорить создание охватывающей все аспекты Конвенции системы сбора данных о положении трудящихся-мигрантов, особенно не имеющих постоянного статуса, и членов их семей на своей территории;</w:t>
      </w:r>
    </w:p>
    <w:p w14:paraId="24A56F68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координацию, интеграцию и распространение таких данных и разработать показатели для оценки хода реализации и результатов политики и программ, основанных на таких данных;</w:t>
      </w:r>
    </w:p>
    <w:p w14:paraId="79AFB6C7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c)</w:t>
      </w:r>
      <w:r>
        <w:tab/>
      </w:r>
      <w:r>
        <w:rPr>
          <w:b/>
          <w:bCs/>
        </w:rPr>
        <w:t>если не представляется возможным получение точных данных, например данных о положении мигрантов, не имеющих постоянного статуса, государству-участнику рекомендуется представлять сведения, основанные на результатах исследований или прогнозов.</w:t>
      </w:r>
    </w:p>
    <w:p w14:paraId="6503F3DD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Независимый механизм мониторинга</w:t>
      </w:r>
    </w:p>
    <w:p w14:paraId="63AF63FD" w14:textId="77777777" w:rsidR="00DD550B" w:rsidRPr="0017584E" w:rsidRDefault="00DD550B" w:rsidP="00DD550B">
      <w:pPr>
        <w:pStyle w:val="SingleTxtG"/>
      </w:pPr>
      <w:r>
        <w:t>17.</w:t>
      </w:r>
      <w:r>
        <w:tab/>
        <w:t>Комитет приветствует расширение мандата Сенегальского комитета по правам человека, в результате которого он отныне может рассматривать индивидуальные жалобы. Тем не менее Комитет обеспокоен недостаточным объемом финансирования этого органа и отсутствием четкого, основанного на широком участии, транспарентного и плюралистического процесса отбора и назначения его членов. Кроме того, он обеспокоен тем, что некоторые назначенные члены работают на условиях неполного рабочего дня, а также тем, что у национального правозащитного учреждения отсутствует возможность назначать своих собственных сотрудников, и подчеркивает, что необходимо добиваться предоставления им такой возможности.</w:t>
      </w:r>
    </w:p>
    <w:p w14:paraId="5A9BC0AB" w14:textId="77777777" w:rsidR="00DD550B" w:rsidRPr="0017584E" w:rsidRDefault="00DD550B" w:rsidP="00DD550B">
      <w:pPr>
        <w:pStyle w:val="SingleTxtG"/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укреплять потенциал Сенегальского комитета по правам человека в плане финансовых и людских ресурсов, в частности посредством повышения эффективности процедуры назначения членов, с тем чтобы он мог эффективно, автономно и 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и в рамках этой деятельности заручиться консультационной помощью и поддержкой Управления Верховного комиссара Организации Объединенных Наций по правам человека.</w:t>
      </w:r>
    </w:p>
    <w:p w14:paraId="243B3F35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0FF49AFD" w14:textId="77777777" w:rsidR="00DD550B" w:rsidRPr="0017584E" w:rsidRDefault="00DD550B" w:rsidP="00DD550B">
      <w:pPr>
        <w:pStyle w:val="SingleTxtG"/>
      </w:pPr>
      <w:r>
        <w:t>19.</w:t>
      </w:r>
      <w:r>
        <w:tab/>
        <w:t xml:space="preserve">Комитет с интересом принимает к сведению проделанную государством-участником работу, связанную с учебной подготовкой и повышением осведомленности сотрудников органов правосудия о правах мигрантов. Тем не менее он отмечает, что учебная подготовка для сотрудников медицинских, посольских и </w:t>
      </w:r>
      <w:r>
        <w:lastRenderedPageBreak/>
        <w:t>консульских служб пока не проводилась. При этом он констатирует, что такое обучение не предлагается на систематической основе всем должностным лицам, имеющим дело с трудящимися-мигрантами. Он также с обеспокоенностью отмечает, что суды не применяют Конвенцию, несмотря на то, что ее положения были перенесены в национальное законодательство.</w:t>
      </w:r>
    </w:p>
    <w:p w14:paraId="35EAA15F" w14:textId="77777777" w:rsidR="00DD550B" w:rsidRPr="0017584E" w:rsidRDefault="00DD550B" w:rsidP="00DD550B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обеспечить систематическое проведение программ подготовки и распространения информации о Конвенции для всех государственных должностных лиц и сотрудников, занимающихся вопросами миграции, в частности сотрудников правоохранительных органов и пограничных служб, судей, прокуроров, консульских работников, членов парламента, гражданских служащих национального, регионального и местного уровней, сотрудников иммиграционной службы, инспекторов труда, медицинских и педагогических работников, социальных работников и членов организаций гражданского общества.</w:t>
      </w:r>
      <w:r>
        <w:t xml:space="preserve"> </w:t>
      </w:r>
      <w:r>
        <w:rPr>
          <w:b/>
          <w:bCs/>
        </w:rPr>
        <w:t>Комитет также рекомендует государству-участнику ввести учебные программы, основанные на независимой оценке Конвенции в связи с национальным законодательством и адаптированные к уровню школ и профессиональных училищ (для государственных служащих), а также учебных заведений по подготовке сотрудников правоохранительных органов и сил безопасности.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осуществлять Конвенцию и выполнять его рекомендации, поскольку применения одного лишь национального законодательства недостаточно.</w:t>
      </w:r>
    </w:p>
    <w:p w14:paraId="053D7B9A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22BB7E5E" w14:textId="77777777" w:rsidR="00DD550B" w:rsidRPr="0017584E" w:rsidRDefault="00DD550B" w:rsidP="00DD550B">
      <w:pPr>
        <w:pStyle w:val="SingleTxtG"/>
      </w:pPr>
      <w:r>
        <w:t>21.</w:t>
      </w:r>
      <w:r>
        <w:tab/>
        <w:t>Комитет выражает обеспокоенность по поводу ограниченного участия гражданского общества в подготовке докладов, представляемых Комитету, и в диалоге, направленном на содействие осуществлению Конвенции.</w:t>
      </w:r>
    </w:p>
    <w:p w14:paraId="0DEB9133" w14:textId="77777777" w:rsidR="00DD550B" w:rsidRPr="0017584E" w:rsidRDefault="00DD550B" w:rsidP="00DD550B">
      <w:pPr>
        <w:pStyle w:val="SingleTxtG"/>
        <w:keepNext/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12E1C15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предоставить организациям гражданского общества, работающим с трудящимися-мигрантами и членами их семей, необходимые инструменты и средства для эффективного участия в подготовке альтернативных докладов, осуществлении Конвенции и выполнении рекомендаций, содержащихся в настоящих заключительных замечаниях;</w:t>
      </w:r>
    </w:p>
    <w:p w14:paraId="00F82135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укреплять диалог с организациями гражданского общества и обеспечивать их участие в процессах надлежащего управления деятельностью, связанной с миграцией.</w:t>
      </w:r>
    </w:p>
    <w:p w14:paraId="4A1E9DFC" w14:textId="77777777" w:rsidR="00DD550B" w:rsidRPr="0017584E" w:rsidRDefault="00DD550B" w:rsidP="00DD550B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Общие принципы (ст. 7 и 83)</w:t>
      </w:r>
    </w:p>
    <w:p w14:paraId="139F9B13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Принцип недискриминации</w:t>
      </w:r>
    </w:p>
    <w:p w14:paraId="6D0CF4A0" w14:textId="6C1AAA6E" w:rsidR="00DD550B" w:rsidRPr="0017584E" w:rsidRDefault="00DD550B" w:rsidP="00DD550B">
      <w:pPr>
        <w:pStyle w:val="SingleTxtG"/>
      </w:pPr>
      <w:r>
        <w:t>23.</w:t>
      </w:r>
      <w:r>
        <w:tab/>
        <w:t>Комитет отмечает, что принцип равенства и недискриминации закреплен в Конституции и недавно был включен в положения Закона № 2022-03. Хотя перечень оснований для дискриминации, приведенный в статье L.29-2 bis, был значительно расширен, в него по-прежнему не входят некоторые запрещенные основания для дискриминации, перечисленные в Конвенции, в частности в статьях 1 (п. 1) и 7, например язык, гражданство или экономическое положение. Кроме того, Комитет выражает сожаление по поводу того, что государство-участник не предоставило ему количественных и качественных данных, которые позволили бы оценить степень реализации закрепленного в Конвенции права всех трудящихся-мигрантов (как</w:t>
      </w:r>
      <w:r w:rsidR="00960FA3">
        <w:rPr>
          <w:lang w:val="en-US"/>
        </w:rPr>
        <w:t> </w:t>
      </w:r>
      <w:r>
        <w:t>имеющих постоянный статус, так и не имеющих его) на недискриминацию.</w:t>
      </w:r>
    </w:p>
    <w:p w14:paraId="25119E54" w14:textId="77777777" w:rsidR="00DD550B" w:rsidRPr="0017584E" w:rsidRDefault="00DD550B" w:rsidP="00DD550B">
      <w:pPr>
        <w:pStyle w:val="SingleTxtG"/>
      </w:pPr>
      <w:r>
        <w:t>24.</w:t>
      </w:r>
      <w:r>
        <w:tab/>
      </w:r>
      <w:r>
        <w:rPr>
          <w:b/>
          <w:bCs/>
        </w:rPr>
        <w:t>Комитет повторяет рекомендацию, содержащуюся в его предыдущих заключительных замечаниях</w:t>
      </w:r>
      <w:r w:rsidRPr="0060564B">
        <w:rPr>
          <w:rStyle w:val="aa"/>
        </w:rPr>
        <w:footnoteReference w:id="9"/>
      </w:r>
      <w:r>
        <w:rPr>
          <w:b/>
          <w:bCs/>
        </w:rPr>
        <w:t xml:space="preserve">, а именно просит государство-участник принять все необходимые меры, в частности путем внесения поправок в действующее законодательство, для того чтобы все трудящиеся-мигранты и члены их семей, </w:t>
      </w:r>
      <w:r>
        <w:rPr>
          <w:b/>
          <w:bCs/>
        </w:rPr>
        <w:lastRenderedPageBreak/>
        <w:t>находящиеся на его территории или под его юрисдикцией, независимо от того, имеют ли они постоянный статус, могли пользоваться всеми закрепленными в Конвенции правами в соответствии с ее статьей 7.</w:t>
      </w:r>
      <w:r>
        <w:t xml:space="preserve"> </w:t>
      </w:r>
      <w:r>
        <w:rPr>
          <w:b/>
          <w:bCs/>
        </w:rPr>
        <w:t>Он также просит государство-участник представить, в том числе в приложении к своему следующему периодическому докладу, качественные и количественные данные, касающиеся дискриминационной практики во всех областях, жертвами которой могут стать трудящиеся-мигранты и члены их семей.</w:t>
      </w:r>
    </w:p>
    <w:p w14:paraId="2FF3CE44" w14:textId="77777777" w:rsidR="00DD550B" w:rsidRPr="0017584E" w:rsidRDefault="00DD550B" w:rsidP="00DD550B">
      <w:pPr>
        <w:pStyle w:val="H23G"/>
      </w:pPr>
      <w:r>
        <w:tab/>
      </w:r>
      <w:r>
        <w:tab/>
        <w:t>Право на эффективное средство правовой защиты</w:t>
      </w:r>
    </w:p>
    <w:p w14:paraId="373CC0B3" w14:textId="77777777" w:rsidR="00DD550B" w:rsidRPr="0017584E" w:rsidRDefault="00DD550B" w:rsidP="00DD550B">
      <w:pPr>
        <w:pStyle w:val="SingleTxtG"/>
      </w:pPr>
      <w:r>
        <w:t>25.</w:t>
      </w:r>
      <w:r>
        <w:tab/>
        <w:t>Комитет принимает к сведению недавние усилия государства-участника, направленные на практическое осуществление права трудящихся-мигрантов на эффективные средства правовой защиты в рамках трудовых отношений, закрепленного, в частности, в статьях L.29-3 и L.29.7 Закона № 2022-03, а также расширение полномочий национального правозащитного учреждения по рассмотрению индивидуальных жалоб. Вместе с тем он выражает сожаление по поводу отсутствия каких-либо данных о фактическом осуществлении права на эффективные средства правовой защиты в государстве-участнике, в частности данных о количестве судебных разбирательств, инициированных трудящимися-мигрантами и членами их семей, о числе тех из них, кто воспользовался юридической помощью, о характере жалоб, рассмотренных судебными и административными органами, а также о проведенных расследованиях и вынесенных решениях, в которых применялись положения Конвенции.</w:t>
      </w:r>
    </w:p>
    <w:p w14:paraId="30B95D22" w14:textId="77777777" w:rsidR="00DD550B" w:rsidRPr="0017584E" w:rsidRDefault="00DD550B" w:rsidP="00DD550B">
      <w:pPr>
        <w:pStyle w:val="SingleTxtG"/>
      </w:pPr>
      <w:r>
        <w:t>26.</w:t>
      </w:r>
      <w:r>
        <w:tab/>
      </w:r>
      <w:r>
        <w:rPr>
          <w:b/>
          <w:bCs/>
        </w:rPr>
        <w:t>Комитет повторяет рекомендацию, содержащуюся в его предыдущих заключительных замечаниях</w:t>
      </w:r>
      <w:r w:rsidRPr="0060564B">
        <w:rPr>
          <w:rStyle w:val="aa"/>
        </w:rPr>
        <w:footnoteReference w:id="10"/>
      </w:r>
      <w:r>
        <w:rPr>
          <w:b/>
          <w:bCs/>
        </w:rPr>
        <w:t>, и просит государство-участник представить в своем следующем периодическом докладе дезагрегированные данные в числовом формате, касающиеся фактического осуществления права трудящихся-мигрантов и членов их семей на эффективные средства правовой защиты, в том числе данные о количестве и типе жалоб, рассмотренных судебными и административными органами, о видах заявленных правонарушений и/или деяний и о результатах разбирательств, включая вынесенные приговоры, в которых применялись положения Конвенции.</w:t>
      </w:r>
    </w:p>
    <w:p w14:paraId="5236AD7A" w14:textId="77777777" w:rsidR="00DD550B" w:rsidRPr="0017584E" w:rsidRDefault="00DD550B" w:rsidP="00DD550B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16AA1024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Эксплуатация труда и другие формы ненадлежащего обращения</w:t>
      </w:r>
      <w:bookmarkStart w:id="0" w:name="_Hlk143708400"/>
      <w:bookmarkEnd w:id="0"/>
    </w:p>
    <w:p w14:paraId="153A015C" w14:textId="6B6262E7" w:rsidR="00DD550B" w:rsidRPr="0017584E" w:rsidRDefault="00DD550B" w:rsidP="00DD550B">
      <w:pPr>
        <w:pStyle w:val="SingleTxtG"/>
      </w:pPr>
      <w:r>
        <w:t>27.</w:t>
      </w:r>
      <w:r>
        <w:tab/>
        <w:t>Комитет по-прежнему обеспокоен поступающими из разных источников утверждениями об эксплуатации, в том числе некоторыми учителями Корана,</w:t>
      </w:r>
      <w:r w:rsidR="00960FA3" w:rsidRPr="00960FA3">
        <w:br/>
      </w:r>
      <w:r>
        <w:t>детей-талибе, особенно из соседних стран, таких как Гвинея, Мали, Гамбия</w:t>
      </w:r>
      <w:r w:rsidR="00BC1884">
        <w:br/>
      </w:r>
      <w:r>
        <w:t>и Гвинея-Бисау, и о неудачных попытках их повторного воссоединения с семьями. Он</w:t>
      </w:r>
      <w:r w:rsidR="00BC1884">
        <w:t> </w:t>
      </w:r>
      <w:r>
        <w:t>также отмечает утверждения, касающиеся экономической эксплуатации, особенно женщин-мигрантов, занимающихся домашним трудом, и наихудших форм детского труда, в частности на золотых приисках. Комитет выражает сожаление по поводу отсутствия фактического прогресса (как в законодательстве, так и на практике) в деле пресечения такого тревожного явления, как экономическая эксплуатация уличных детей, а также по поводу нехватки количественных данных по результатам проверок условий домашнего труда, особенно в неформальном секторе. Кроме того, он выражает сожаление по поводу отсутствия количественных и качественных данных о масштабе этих явлений.</w:t>
      </w:r>
    </w:p>
    <w:p w14:paraId="6D52D673" w14:textId="77777777" w:rsidR="00DD550B" w:rsidRPr="0017584E" w:rsidRDefault="00DD550B" w:rsidP="00960FA3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свои предыдущие рекомендации по данному вопросу</w:t>
      </w:r>
      <w:r w:rsidRPr="0060564B">
        <w:rPr>
          <w:rStyle w:val="aa"/>
        </w:rPr>
        <w:footnoteReference w:id="11"/>
      </w:r>
      <w:r>
        <w:t xml:space="preserve"> </w:t>
      </w:r>
      <w:r>
        <w:rPr>
          <w:b/>
          <w:bCs/>
        </w:rPr>
        <w:t>и в соответствии с задачами 8.7 и 16.2 целей в области устойчивого развития, Комитет настоятельно призывает государство-участник:</w:t>
      </w:r>
    </w:p>
    <w:p w14:paraId="1DF9E42E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a)</w:t>
      </w:r>
      <w:r>
        <w:tab/>
      </w:r>
      <w:r>
        <w:rPr>
          <w:b/>
          <w:bCs/>
        </w:rPr>
        <w:t>активизировать процессы трудовых инспекций, в частности в неформальном секторе экономики, в горнодобывающем секторе и в сфере домашнего труда, а также увеличить штат и расширить офисный фонд трудовых инспекций, особенно в районах с высокой плотностью трудящихся-мигрантов;</w:t>
      </w:r>
    </w:p>
    <w:p w14:paraId="16B3697E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принять необходимые меры для расследования всех случаев жестокого обращения, физического, психологического или сексуального насилия, а также всех случаев эксплуатации и принуждения к труду, в том числе в неформальном секторе, для привлечения к ответственности лиц, виновных в таких деяниях, и назначения им соответствующего наказания;</w:t>
      </w:r>
    </w:p>
    <w:p w14:paraId="7BE2C3C3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c)</w:t>
      </w:r>
      <w:r>
        <w:tab/>
      </w:r>
      <w:r>
        <w:rPr>
          <w:b/>
          <w:bCs/>
        </w:rPr>
        <w:t>адаптировать механизмы рассмотрения жалоб таким образом, чтобы они были доступны детям и правозащитникам;</w:t>
      </w:r>
    </w:p>
    <w:p w14:paraId="457D0A7F" w14:textId="5779BBA2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d)</w:t>
      </w:r>
      <w:r>
        <w:tab/>
      </w:r>
      <w:r>
        <w:rPr>
          <w:b/>
          <w:bCs/>
        </w:rPr>
        <w:t>совместно с государствами, гражданами которых являются</w:t>
      </w:r>
      <w:r w:rsidR="00960FA3" w:rsidRPr="00960FA3">
        <w:rPr>
          <w:b/>
          <w:bCs/>
        </w:rPr>
        <w:br/>
      </w:r>
      <w:r>
        <w:rPr>
          <w:b/>
          <w:bCs/>
        </w:rPr>
        <w:t>дети-талибе и дети-мигранты, активизировать кампании по информированию, просвещению и повышению осведомленности об опасностях, которым подвергаются дети, в целях предотвращения их отправки в Сенегал и эксплуатации в этой стране;</w:t>
      </w:r>
    </w:p>
    <w:p w14:paraId="69089150" w14:textId="77777777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e)</w:t>
      </w:r>
      <w:r>
        <w:tab/>
      </w:r>
      <w:r>
        <w:rPr>
          <w:b/>
          <w:bCs/>
        </w:rPr>
        <w:t>активизировать меры поддержки, в том числе юридической и психологической, чтобы обеспечить устойчивую реинтеграцию детей, находящихся в ситуациях улицы, в своих семьях или в специальных приемных центрах, с должным учетом наилучших интересов ребенка;</w:t>
      </w:r>
    </w:p>
    <w:p w14:paraId="08BB887A" w14:textId="2D6E7911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f)</w:t>
      </w:r>
      <w:r>
        <w:tab/>
      </w:r>
      <w:r>
        <w:rPr>
          <w:b/>
          <w:bCs/>
        </w:rPr>
        <w:t>собирать информацию о масштабах практики детского труда, в том числе практики привлечения к труду детей-мигрантов, с целью пресечь эту порочную практику и, в связи с эти</w:t>
      </w:r>
      <w:r w:rsidR="003F6E4F">
        <w:rPr>
          <w:b/>
          <w:bCs/>
        </w:rPr>
        <w:t>м</w:t>
      </w:r>
      <w:r>
        <w:rPr>
          <w:b/>
          <w:bCs/>
        </w:rPr>
        <w:t>, как можно скорее разработать политику, стратегии и механизмы правоприменения для обеспечения соответствия законодательной и политической базы государства-участника его обязательствам по Конвенции МОТ 1930 года о принудительном или обязательном труде (№ 29), Конвенции МОТ 1957 года об упразднении принудительного труда (№ 105), Конвенции МОТ 1973 года о минимальном возрасте (№ 138) и Конвенции МОТ 1999 года о наихудших формах детского труда</w:t>
      </w:r>
      <w:r w:rsidR="00960FA3">
        <w:rPr>
          <w:b/>
          <w:bCs/>
          <w:lang w:val="en-US"/>
        </w:rPr>
        <w:t> </w:t>
      </w:r>
      <w:r>
        <w:rPr>
          <w:b/>
          <w:bCs/>
        </w:rPr>
        <w:t>(№ 182).</w:t>
      </w:r>
    </w:p>
    <w:p w14:paraId="1D6F5EB4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Справедливое судопроизводство, содержание под стражей и равенство перед судом</w:t>
      </w:r>
    </w:p>
    <w:p w14:paraId="5490E393" w14:textId="77777777" w:rsidR="00DD550B" w:rsidRPr="0017584E" w:rsidRDefault="00DD550B" w:rsidP="00DD550B">
      <w:pPr>
        <w:pStyle w:val="SingleTxtG"/>
      </w:pPr>
      <w:r>
        <w:t>29.</w:t>
      </w:r>
      <w:r>
        <w:tab/>
        <w:t>Комитет приветствует сделанное государством-участником в своем докладе замечание о том, что Закон № 71-10, квалифицирующий незаконное пребывание как правонарушение, нуждается в пересмотре для приведения его в соответствие с международными обязательствами государства</w:t>
      </w:r>
      <w:r w:rsidRPr="0060564B">
        <w:rPr>
          <w:rStyle w:val="aa"/>
        </w:rPr>
        <w:footnoteReference w:id="12"/>
      </w:r>
      <w:r>
        <w:t>. Несмотря на сформулированное намерение, закон до сих пор не пересмотрен, а случаи задержания за незаконное пребывание уже зафиксированы. Комитет также обеспокоен отсутствием данных о числе мигрантов, содержащихся под стражей в Сенегале, в разбивке по миграционному статусу, полу, возрасту и другим основаниям для дискриминации.</w:t>
      </w:r>
    </w:p>
    <w:p w14:paraId="5577637B" w14:textId="77777777" w:rsidR="00DD550B" w:rsidRPr="0017584E" w:rsidRDefault="00DD550B" w:rsidP="00DD550B">
      <w:pPr>
        <w:pStyle w:val="SingleTxtG"/>
        <w:keepNext/>
        <w:rPr>
          <w:b/>
          <w:bCs/>
        </w:rPr>
      </w:pPr>
      <w:r>
        <w:t>30.</w:t>
      </w:r>
      <w:r>
        <w:tab/>
      </w:r>
      <w:r>
        <w:rPr>
          <w:b/>
          <w:bCs/>
        </w:rPr>
        <w:t>Повторяя рекомендацию, содержащуюся в его предыдущих заключительных замечаниях</w:t>
      </w:r>
      <w:r w:rsidRPr="00325045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государству-участнику:</w:t>
      </w:r>
    </w:p>
    <w:p w14:paraId="603040CB" w14:textId="710A6A94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внести в </w:t>
      </w:r>
      <w:r w:rsidR="003F6E4F">
        <w:rPr>
          <w:b/>
          <w:bCs/>
        </w:rPr>
        <w:t>З</w:t>
      </w:r>
      <w:r>
        <w:rPr>
          <w:b/>
          <w:bCs/>
        </w:rPr>
        <w:t xml:space="preserve">акон № 71-10 поправки, отменяющие уголовную ответственность за нелегальную миграцию, поскольку, по мнению Комитета, в соответствии с его замечанием общего порядка № 2 (2013) о правах трудящихся-мигрантов, не имеющих постоянного статуса, и членов их семей факт пребывания в стране без оформленного разрешения или без наличия необходимых документов либо проживания в стране после истечения срока действия вида на жительство не должен служить основанием для возбуждения уголовного дела, из-за которого трудящиеся-мигранты и члены их семей будут жить в постоянном страхе того, что о них сообщат, что ограничит их возможности </w:t>
      </w:r>
      <w:r>
        <w:rPr>
          <w:b/>
          <w:bCs/>
        </w:rPr>
        <w:lastRenderedPageBreak/>
        <w:t>пользоваться основными правами человека и их доступ к правосудию, а также усилит их уязвимость по отношению к злоупотреблениям, в том числе в сфере труда;</w:t>
      </w:r>
    </w:p>
    <w:p w14:paraId="3632A727" w14:textId="37A79FEF" w:rsidR="00DD550B" w:rsidRPr="0017584E" w:rsidRDefault="00DD550B" w:rsidP="00DD550B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следить за тем, чтобы задержание мигрантов использовалось только в качестве крайней меры и применялось на максимально короткий срок с обязательной предварительной оценкой его законности, необходимости и соразмерности в каждом конкретном случае, а также обеспечить соблюдение принципа невыдворения в соответствии с замечанием общего порядка № 5 (2021) Комитета о правах мигрантов на свободу, свободу от произвольного задержания и их связи с другими правами человека.</w:t>
      </w:r>
    </w:p>
    <w:p w14:paraId="5043633A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</w:p>
    <w:p w14:paraId="44427CAA" w14:textId="77777777" w:rsidR="00DD550B" w:rsidRPr="0017584E" w:rsidRDefault="00DD550B" w:rsidP="00DD550B">
      <w:pPr>
        <w:pStyle w:val="SingleTxtG"/>
      </w:pPr>
      <w:r>
        <w:t>31.</w:t>
      </w:r>
      <w:r>
        <w:tab/>
        <w:t>Комитет принимает к сведению представленную государством-участником информацию о том, что в рамках консульской помощи оно реализует программы по выявлению своих граждан, содержащихся под стражей в других странах. Вместе с тем он выражает сожаление по поводу отсутствия более точной информации о содержании этих программ, применяемой методологии, возникших проблемах, числе сенегальцев, которые, согласно собранным данным, содержатся под стражей в разных странах мира, числе тех из них, которые нуждаются в консульской помощи или репатриации (особенно несопровождаемых несовершеннолетних), количестве посещений этих лиц и результативности принятых мер в разбивке по полу, возрасту и факторам уязвимости.</w:t>
      </w:r>
    </w:p>
    <w:p w14:paraId="45B5625F" w14:textId="77777777" w:rsidR="00DD550B" w:rsidRPr="0017584E" w:rsidRDefault="00DD550B" w:rsidP="00DD550B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повторяет рекомендацию, содержащуюся в его предыдущих заключительных замечаниях</w:t>
      </w:r>
      <w:r w:rsidRPr="0060564B">
        <w:rPr>
          <w:rStyle w:val="aa"/>
        </w:rPr>
        <w:footnoteReference w:id="14"/>
      </w:r>
      <w:r>
        <w:rPr>
          <w:b/>
          <w:bCs/>
        </w:rPr>
        <w:t xml:space="preserve"> и касающуюся, в частности, обеспечения того, чтобы консульские службы государства-участника эффективно исполняли свои обязанности по защите и поощрению прав сенегальских трудящихся-мигрантов и членов их семей, а именно чтобы они оказывали необходимую помощь тем, кто нуждается в применении мер защиты, лишен свободы или согласно принятому решению подлежит высылке из страны.</w:t>
      </w:r>
      <w:r>
        <w:t xml:space="preserve"> </w:t>
      </w:r>
      <w:r>
        <w:rPr>
          <w:b/>
          <w:bCs/>
        </w:rPr>
        <w:t>В тех же случаях, когда консульские службы в той или иной стране отсутствуют, Комитет рекомендует государству-участнику принять все необходимые меры, основанные, в том числе, на двусторонних соглашениях с принимающей страной или соглашениях с другими странами, которые имеют представительства в странах проживания сенегальских трудящихся, и направленные, в частности, на обеспечение консульской помощи и защиты.</w:t>
      </w:r>
    </w:p>
    <w:p w14:paraId="5A8B9D78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</w:p>
    <w:p w14:paraId="3924DEF5" w14:textId="77777777" w:rsidR="00DD550B" w:rsidRPr="0017584E" w:rsidRDefault="00DD550B" w:rsidP="00DD550B">
      <w:pPr>
        <w:pStyle w:val="SingleTxtG"/>
      </w:pPr>
      <w:r>
        <w:t>33.</w:t>
      </w:r>
      <w:r>
        <w:tab/>
        <w:t>Комитет принимает к сведению проделанную государством-участником работу по обеспечению предоставления мигрантам, возвращающимся в Сенегал, права на социальные пособия, выплачиваемые в стране трудоустройства. Вместе с тем он выражает сожаление по поводу сохраняющихся пробелов в части предоставления населению, занятому в неформальном секторе, включая находящихся в государстве-участнике трудящихся-мигрантов, возможности пользоваться программами социального обеспечения, в частности в рамках упрощенной схемы для налогоплательщиков малого бизнеса.</w:t>
      </w:r>
    </w:p>
    <w:p w14:paraId="568A3917" w14:textId="77777777" w:rsidR="00DD550B" w:rsidRPr="0017584E" w:rsidRDefault="00DD550B" w:rsidP="00DD550B">
      <w:pPr>
        <w:pStyle w:val="SingleTxtG"/>
      </w:pPr>
      <w:r>
        <w:t>34.</w:t>
      </w:r>
      <w:r>
        <w:tab/>
      </w:r>
      <w:r>
        <w:rPr>
          <w:b/>
          <w:bCs/>
        </w:rPr>
        <w:t>Повторяя рекомендации, содержащиеся в его предыдущих заключительных замечаниях</w:t>
      </w:r>
      <w:r w:rsidRPr="00B93E21">
        <w:rPr>
          <w:rStyle w:val="aa"/>
        </w:rPr>
        <w:footnoteReference w:id="15"/>
      </w:r>
      <w:r>
        <w:rPr>
          <w:b/>
          <w:bCs/>
        </w:rPr>
        <w:t>, Комитет рекомендует государству-участнику гарантировать всем трудящимся-мигрантам и членам их семей, независимо от их миграционного статуса и того, работают ли они в формальном или неформальном секторе, одинаковое с сенегальскими трудящимися право на социальное обеспечение, а также предоставление им информации об их правах в этой области.</w:t>
      </w:r>
      <w:r>
        <w:t xml:space="preserve"> </w:t>
      </w:r>
      <w:r>
        <w:rPr>
          <w:b/>
          <w:bCs/>
        </w:rPr>
        <w:t xml:space="preserve">Он призывает государство-участник продолжать работу по систематическому включению положений, касающихся социального </w:t>
      </w:r>
      <w:r>
        <w:rPr>
          <w:b/>
          <w:bCs/>
        </w:rPr>
        <w:lastRenderedPageBreak/>
        <w:t>обеспечения, во все новые двусторонние и многосторонние соглашения о трудовой миграции, с тем чтобы в том числе облегчить перевод суммы взносов в фонды социального страхования, которые ранее эмигрировавшие и теперь возвращающиеся в страну сенегальцы накопили в странах трудоустройства.</w:t>
      </w:r>
    </w:p>
    <w:p w14:paraId="0FBD0A44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Неотложная медицинская помощь</w:t>
      </w:r>
    </w:p>
    <w:p w14:paraId="623F7D30" w14:textId="77777777" w:rsidR="00DD550B" w:rsidRPr="0017584E" w:rsidRDefault="00DD550B" w:rsidP="00DD550B">
      <w:pPr>
        <w:pStyle w:val="SingleTxtG"/>
      </w:pPr>
      <w:r>
        <w:t>35.</w:t>
      </w:r>
      <w:r>
        <w:tab/>
        <w:t>Комитет принимает к сведению утверждение государства-участника о том, что трудящиеся-мигранты и члены их семей не подвергаются никакой дискриминации, во всяком случае в том, что касается неотложной медицинской помощи. Вместе с тем Комитет обеспокоен отсутствием данных в поддержку этого утверждения, особенно в отношении доступа (как в законодательстве, так и на практике) к неотложной медицинской помощи для трудящихся-мигрантов и членов их семей, независимо от их миграционного статуса.</w:t>
      </w:r>
    </w:p>
    <w:p w14:paraId="38B273E7" w14:textId="489629DC" w:rsidR="00DD550B" w:rsidRPr="0017584E" w:rsidRDefault="00DD550B" w:rsidP="00DD550B">
      <w:pPr>
        <w:pStyle w:val="SingleTxtG"/>
      </w:pPr>
      <w:r>
        <w:t>36.</w:t>
      </w:r>
      <w:r>
        <w:tab/>
      </w:r>
      <w:r>
        <w:rPr>
          <w:b/>
          <w:bCs/>
        </w:rPr>
        <w:t>Комитет повторяет рекомендацию, содержащуюся в его предыдущих заключительных замечаниях</w:t>
      </w:r>
      <w:r w:rsidRPr="0060564B">
        <w:rPr>
          <w:rStyle w:val="aa"/>
        </w:rPr>
        <w:footnoteReference w:id="16"/>
      </w:r>
      <w:r>
        <w:rPr>
          <w:b/>
          <w:bCs/>
        </w:rPr>
        <w:t>, и просит государство-участник обеспечить, чтобы все трудящиеся-мигранты и члены их семей, включая трудящихся-мигрантов, не имеющих постоянного статуса, имели доступ к услугам неотложной медицинской помощи, а также включить количественные и качественные сведения по этому вопросу в свой следующий периодический доклад</w:t>
      </w:r>
      <w:r w:rsidR="00E5733E">
        <w:rPr>
          <w:b/>
          <w:bCs/>
        </w:rPr>
        <w:t>.</w:t>
      </w:r>
    </w:p>
    <w:p w14:paraId="31153A1D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1663322B" w14:textId="3CEBD166" w:rsidR="00DD550B" w:rsidRPr="0017584E" w:rsidRDefault="00DD550B" w:rsidP="00DD550B">
      <w:pPr>
        <w:pStyle w:val="SingleTxtG"/>
      </w:pPr>
      <w:r>
        <w:t>37.</w:t>
      </w:r>
      <w:r>
        <w:tab/>
        <w:t>Комитет отмечает прогресс, достигнутый на пути обеспечения всеобщей регистрации новорожденных (как граждан Сенегала, так и иностранцев). Вместе с тем он отмечает, что задача всеобщей регистрации не была достигнута: по данным государства-участника, регистрируется только 77 процентов новорожденных</w:t>
      </w:r>
      <w:r w:rsidRPr="0060564B">
        <w:rPr>
          <w:rStyle w:val="aa"/>
        </w:rPr>
        <w:footnoteReference w:id="17"/>
      </w:r>
      <w:r>
        <w:t>. Он</w:t>
      </w:r>
      <w:r w:rsidR="006214F1">
        <w:rPr>
          <w:lang w:val="en-US"/>
        </w:rPr>
        <w:t> </w:t>
      </w:r>
      <w:r>
        <w:t>выражает сожаление по поводу отсутствия сведений о препятствиях на пути к всеобщей регистрации, которые могут привести к ситуациям безгражданства, а также о стратегиях, разработанных для их преодоления.</w:t>
      </w:r>
    </w:p>
    <w:p w14:paraId="768867F8" w14:textId="7EA244B6" w:rsidR="00DD550B" w:rsidRPr="0017584E" w:rsidRDefault="00DD550B" w:rsidP="00DD550B">
      <w:pPr>
        <w:pStyle w:val="SingleTxtG"/>
      </w:pPr>
      <w:r>
        <w:t>38.</w:t>
      </w:r>
      <w:r>
        <w:tab/>
      </w:r>
      <w:r>
        <w:rPr>
          <w:b/>
          <w:bCs/>
        </w:rPr>
        <w:t>В соответствии с совместными замечаниями общего</w:t>
      </w:r>
      <w:r w:rsidR="006214F1" w:rsidRPr="006214F1">
        <w:rPr>
          <w:b/>
          <w:bCs/>
        </w:rPr>
        <w:t xml:space="preserve"> </w:t>
      </w:r>
      <w:r>
        <w:rPr>
          <w:b/>
          <w:bCs/>
        </w:rPr>
        <w:t>порядка №№ 3</w:t>
      </w:r>
      <w:r w:rsidR="006214F1" w:rsidRPr="006214F1">
        <w:rPr>
          <w:b/>
          <w:bCs/>
        </w:rPr>
        <w:br/>
      </w:r>
      <w:r>
        <w:rPr>
          <w:b/>
          <w:bCs/>
        </w:rPr>
        <w:t>и 4 (2017) Комитета по защите прав всех трудящихся-мигрантов и членов их семей и №№ 22 и 23 (2017) Комитета по правам ребенка, касающ</w:t>
      </w:r>
      <w:r w:rsidR="00E5733E">
        <w:rPr>
          <w:b/>
          <w:bCs/>
        </w:rPr>
        <w:t>ими</w:t>
      </w:r>
      <w:r>
        <w:rPr>
          <w:b/>
          <w:bCs/>
        </w:rPr>
        <w:t>ся прав человека детей в контексте международной миграции, а также с задачей 16.9 целей в области устойчивого развития Комитет напоминает о рекомендациях Комитета по правам ребенка</w:t>
      </w:r>
      <w:r w:rsidRPr="0060564B">
        <w:rPr>
          <w:rStyle w:val="aa"/>
        </w:rPr>
        <w:footnoteReference w:id="18"/>
      </w:r>
      <w:r>
        <w:rPr>
          <w:b/>
          <w:bCs/>
        </w:rPr>
        <w:t xml:space="preserve"> и просит государство-участник обеспечить регистрацию рождений для всех детей, в том числе детей трудящихся-мигрантов, независимо от их миграционного статуса, а также получение ими документов, удостоверяющих личность, и установление их гражданства, с тем чтобы предотвратить ситуации безгражданства.</w:t>
      </w:r>
      <w:r>
        <w:t xml:space="preserve"> </w:t>
      </w:r>
      <w:r>
        <w:rPr>
          <w:b/>
          <w:bCs/>
        </w:rPr>
        <w:t>В связи с этим Комитет рекомендует государству-участнику повышать осведомленность мигрантов о важности регистрации рождения их детей.</w:t>
      </w:r>
    </w:p>
    <w:p w14:paraId="6A0998D1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0D38705B" w14:textId="77777777" w:rsidR="00DD550B" w:rsidRPr="0017584E" w:rsidRDefault="00DD550B" w:rsidP="00DD550B">
      <w:pPr>
        <w:pStyle w:val="SingleTxtG"/>
      </w:pPr>
      <w:r>
        <w:t>39.</w:t>
      </w:r>
      <w:r>
        <w:tab/>
        <w:t xml:space="preserve">Комитет принимает к сведению принцип недискриминации в сфере образования, гарантированный внутренним законодательством. Тем не менее он выражает сожаление по поводу отсутствия статистических данных о доле детей-иностранцев, а также о порядке реализации указанных положений на практике в отношении трудящихся-мигрантов и членов их семей, в том числе не имеющих постоянного статуса. В частности, Комитет отмечает нехватку информации об осуществлении права на образование детей-талибе (как с иностранным, так и с сенегальским гражданством), особенно по вопросу о том, соблюдается ли в различного </w:t>
      </w:r>
      <w:r>
        <w:lastRenderedPageBreak/>
        <w:t>рода «даарах» право на образование, закрепленное в международно-правовых документах по правам человека.</w:t>
      </w:r>
    </w:p>
    <w:p w14:paraId="493B1226" w14:textId="4BE3CAB3" w:rsidR="00DD550B" w:rsidRPr="0017584E" w:rsidRDefault="00DD550B" w:rsidP="00DD550B">
      <w:pPr>
        <w:pStyle w:val="SingleTxtG"/>
      </w:pPr>
      <w:r>
        <w:t>40.</w:t>
      </w:r>
      <w:r>
        <w:tab/>
      </w:r>
      <w:r>
        <w:rPr>
          <w:b/>
          <w:bCs/>
        </w:rPr>
        <w:t>Принимая во внимание совместные замечания общего порядка № 3</w:t>
      </w:r>
      <w:r w:rsidR="00B56726" w:rsidRPr="00B56726">
        <w:rPr>
          <w:b/>
          <w:bCs/>
        </w:rPr>
        <w:br/>
      </w:r>
      <w:r>
        <w:rPr>
          <w:b/>
          <w:bCs/>
        </w:rPr>
        <w:t>и 4 (2017) Комитета по защите прав всех трудящихся-мигрантов и членов их семей и № 22 и 23 (2017) Комитета по правам ребенка, а также учитывая задачу</w:t>
      </w:r>
      <w:r w:rsidR="00B56726">
        <w:rPr>
          <w:b/>
          <w:bCs/>
          <w:lang w:val="en-US"/>
        </w:rPr>
        <w:t> </w:t>
      </w:r>
      <w:r>
        <w:rPr>
          <w:b/>
          <w:bCs/>
        </w:rPr>
        <w:t>4.1 целей в области устойчивого развития, Комитет рекомендует государству-участнику обеспечить детям-мигрантам (по закону и на практике) доступ к дошкольному, начальному и среднему образованию на равных условиях с его гражданами, а также обеспечить полноценное выполнение этих обязательств всеми структурами, в том числе религиозными.</w:t>
      </w:r>
      <w:r>
        <w:t xml:space="preserve"> </w:t>
      </w:r>
      <w:r>
        <w:rPr>
          <w:b/>
          <w:bCs/>
        </w:rPr>
        <w:t>Он также рекомендует государству-участнику принять меры по облегчению доступа трудящихся-мигрантов и членов их семей к профессиональному обучению и высшему образованию.</w:t>
      </w:r>
    </w:p>
    <w:p w14:paraId="7A341365" w14:textId="77777777" w:rsidR="00DD550B" w:rsidRPr="0017584E" w:rsidRDefault="00DD550B" w:rsidP="00DD550B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получение и распространение информации</w:t>
      </w:r>
    </w:p>
    <w:p w14:paraId="3AD8F07E" w14:textId="77777777" w:rsidR="00DD550B" w:rsidRPr="0017584E" w:rsidRDefault="00DD550B" w:rsidP="00DD550B">
      <w:pPr>
        <w:pStyle w:val="SingleTxtG"/>
      </w:pPr>
      <w:r>
        <w:t>41.</w:t>
      </w:r>
      <w:r>
        <w:tab/>
        <w:t>Комитет принимает к сведению внедрение программ информирования и повышения осведомленности, направленных на предотвращение нелегальной миграции. Вместе с тем он выражает сожаление по поводу отсутствия более адресных кампаний по повышению осведомленности, особенно в школах, сельских и малообеспеченных общинах, что позволило бы информировать людей об условиях въезда и пребывания в странах транзита и принимающих странах, а также предупреждать их об опасностях нелегальной миграции, особенно для детей и подростков.</w:t>
      </w:r>
    </w:p>
    <w:p w14:paraId="2F8EF3B5" w14:textId="77777777" w:rsidR="00DD550B" w:rsidRPr="0017584E" w:rsidRDefault="00DD550B" w:rsidP="00DD550B">
      <w:pPr>
        <w:pStyle w:val="SingleTxtG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распространению информации о правах трудящихся-мигрантов и членов их семей, признаваемых в соответствии с Конвенцией, и уделить особое внимание повышению осведомленности детей и подростков, планирующих покинуть страну, об опасностях использования каналов нелегальной миграции.</w:t>
      </w:r>
      <w:r>
        <w:t xml:space="preserve"> </w:t>
      </w:r>
      <w:r>
        <w:rPr>
          <w:b/>
          <w:bCs/>
        </w:rPr>
        <w:t>В связи с этим Комитет рекомендует государству-участнику проводить специальные программы для подготовки к отъезду за границу и получения необходимых знаний, в том числе путем консультаций с Сенегальским комитетом по правам человека, соответствующими неправительственными организациями, самими трудящимися-мигрантами и членами их семей и признанными и надежными агентствами по найму.</w:t>
      </w:r>
    </w:p>
    <w:p w14:paraId="1A2829BE" w14:textId="77777777" w:rsidR="00DD550B" w:rsidRPr="0017584E" w:rsidRDefault="00DD550B" w:rsidP="00DD550B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постоянный статус (ст. 36−56)</w:t>
      </w:r>
    </w:p>
    <w:p w14:paraId="11D62057" w14:textId="77777777" w:rsidR="00DD550B" w:rsidRPr="0017584E" w:rsidRDefault="00DD550B" w:rsidP="00DD550B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создание профсоюзов</w:t>
      </w:r>
    </w:p>
    <w:p w14:paraId="5EA35390" w14:textId="048B4FD8" w:rsidR="00DD550B" w:rsidRPr="0017584E" w:rsidRDefault="00DD550B" w:rsidP="00DD550B">
      <w:pPr>
        <w:pStyle w:val="SingleTxtG"/>
      </w:pPr>
      <w:r>
        <w:t>43.</w:t>
      </w:r>
      <w:r>
        <w:tab/>
        <w:t>Комитет вновь с сожалением отмечает</w:t>
      </w:r>
      <w:r w:rsidR="00024A22" w:rsidRPr="0060564B">
        <w:rPr>
          <w:rStyle w:val="aa"/>
        </w:rPr>
        <w:footnoteReference w:id="19"/>
      </w:r>
      <w:r>
        <w:t>, что в соответствии со статьей L.9 Трудового кодекса Сенегала право трудящихся-мигрантов занимать должности в руководящих органах ассоциаций и профессиональных союзов обусловлено наличием соглашения о взаимности, заключенного с их странами происхождения, и поэтому не гарантировано всем мигрантам на равной основе.</w:t>
      </w:r>
    </w:p>
    <w:p w14:paraId="3AC9B0BA" w14:textId="77777777" w:rsidR="00DD550B" w:rsidRPr="0017584E" w:rsidRDefault="00DD550B" w:rsidP="00DD550B">
      <w:pPr>
        <w:pStyle w:val="SingleTxtG"/>
      </w:pPr>
      <w:r>
        <w:t>44.</w:t>
      </w:r>
      <w:r>
        <w:tab/>
      </w:r>
      <w:r>
        <w:rPr>
          <w:b/>
          <w:bCs/>
        </w:rPr>
        <w:t>Комитет вновь рекомендует государству-участнику</w:t>
      </w:r>
      <w:r w:rsidRPr="0060564B">
        <w:rPr>
          <w:rStyle w:val="aa"/>
        </w:rPr>
        <w:footnoteReference w:id="20"/>
      </w:r>
      <w:r>
        <w:rPr>
          <w:b/>
          <w:bCs/>
        </w:rPr>
        <w:t xml:space="preserve"> принять все необходимые меры для того, чтобы гарантировать право на занятие должностей в руководящих органах ассоциаций или профессиональных союзов, членами которых они являются, всем законно проживающим в Сенегале трудящимся-мигрантам и членам их семей, без какого-либо условия о взаимности с их страной происхождения.</w:t>
      </w:r>
    </w:p>
    <w:p w14:paraId="668D9B3F" w14:textId="7E9BBB20" w:rsidR="00DD550B" w:rsidRPr="0017584E" w:rsidRDefault="00DD550B" w:rsidP="00DD550B">
      <w:pPr>
        <w:pStyle w:val="H23G"/>
      </w:pPr>
      <w:r>
        <w:rPr>
          <w:bCs/>
        </w:rPr>
        <w:lastRenderedPageBreak/>
        <w:tab/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</w:t>
      </w:r>
      <w:r w:rsidR="00024A22">
        <w:rPr>
          <w:bCs/>
        </w:rPr>
        <w:t>-мигрантов</w:t>
      </w:r>
      <w:r>
        <w:rPr>
          <w:bCs/>
        </w:rPr>
        <w:t xml:space="preserve"> и</w:t>
      </w:r>
      <w:r w:rsidR="00024A22">
        <w:rPr>
          <w:bCs/>
        </w:rPr>
        <w:t> </w:t>
      </w:r>
      <w:r>
        <w:rPr>
          <w:bCs/>
        </w:rPr>
        <w:t>членов их семей (ст. 64–71)</w:t>
      </w:r>
    </w:p>
    <w:p w14:paraId="6189AB42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797BE7FA" w14:textId="7C98777C" w:rsidR="00DD550B" w:rsidRPr="0017584E" w:rsidRDefault="00DD550B" w:rsidP="00DD550B">
      <w:pPr>
        <w:pStyle w:val="SingleTxtG"/>
      </w:pPr>
      <w:r>
        <w:t>45.</w:t>
      </w:r>
      <w:r>
        <w:tab/>
        <w:t>Комитет приветствует соглашения о сотрудничестве и меморандумы о взаимопонимании в области миграции, заключенные государством-участником с множеством принимающих стран. Он отмечает, что национальная стратегия государства-участника по борьбе с нелегальной миграцией (на период</w:t>
      </w:r>
      <w:r w:rsidR="00B56726" w:rsidRPr="00B56726">
        <w:br/>
      </w:r>
      <w:r>
        <w:t>2023−2033 годов) направлена, в частности, на увеличение числа и расширение сферы действия таких соглашений. Вместе с тем Комитет отмечает, что заключенные соглашения не обнародуются и не размещаются в открытом доступе, что препятствует ознакомлению с ними всех трудящихся-мигрантов и потенциальных эмигрантов. Комитет выражает сожаление по поводу того, что в связи с теми или иными трудностями соглашения до сих пор не заключены с рядом стран, включая страны Персидского залива, где прожива</w:t>
      </w:r>
      <w:r w:rsidR="00024A22">
        <w:t>ю</w:t>
      </w:r>
      <w:r>
        <w:t>т множество сенегальских трудящихся.</w:t>
      </w:r>
    </w:p>
    <w:p w14:paraId="217F5C55" w14:textId="77777777" w:rsidR="00DD550B" w:rsidRPr="0017584E" w:rsidRDefault="00DD550B" w:rsidP="00DD550B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продолжать работу в сфере международного сотрудничества с государствами транзита и назначения сенегальских трудящихся-мигрантов в целях развития официальных каналов миграции.</w:t>
      </w:r>
      <w:r>
        <w:t xml:space="preserve"> </w:t>
      </w:r>
      <w:r>
        <w:rPr>
          <w:b/>
          <w:bCs/>
        </w:rPr>
        <w:t>С этой целью Комитет рекомендует, в частности, увеличить число стран, с которыми заключаются подобные соглашения, расширить сферу их действия и обнародовать их, а также обеспечить учет в этих соглашениях обязательств, вытекающих из Конвенции и других документов по правам человека.</w:t>
      </w:r>
      <w:r>
        <w:t xml:space="preserve"> </w:t>
      </w:r>
      <w:r>
        <w:rPr>
          <w:b/>
          <w:bCs/>
        </w:rPr>
        <w:t>Комитет также рекомендует государству-участнику оценить воздействие всех указанных мер на права трудящихся-мигрантов и членов их семей и представить сведения об этом аспекте в своем следующем периодическом докладе.</w:t>
      </w:r>
    </w:p>
    <w:p w14:paraId="2E05DBC2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31CC61C4" w14:textId="77777777" w:rsidR="00DD550B" w:rsidRPr="0017584E" w:rsidRDefault="00DD550B" w:rsidP="00DD550B">
      <w:pPr>
        <w:pStyle w:val="SingleTxtG"/>
      </w:pPr>
      <w:r>
        <w:t>47.</w:t>
      </w:r>
      <w:r>
        <w:tab/>
        <w:t>Комитет отмечает создание многочисленных программ реинтеграции, реабилитации и экономической интеграции для возвращающихся мигрантов, в частности открытие пунктов приема, профессиональной ориентации и сопровождения. Вместе с тем он выражает сожаление по поводу отсутствия поддающихся количественной оценке данных об устойчивости финансирования этих программ и результатах соответствующих мер.</w:t>
      </w:r>
    </w:p>
    <w:p w14:paraId="08CF7034" w14:textId="77777777" w:rsidR="00DD550B" w:rsidRPr="0017584E" w:rsidRDefault="00DD550B" w:rsidP="00DD550B">
      <w:pPr>
        <w:pStyle w:val="SingleTxtG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продолжать принимать меры по обеспечению соответствующих социальных, экономических, правовых или иных условий, необходимых для содействия возвращению трудящихся-мигрантов и членов их семей в Сенегал и их прочной реинтеграции в государстве-участнике, как это предусмотрено в статье 67 Конвенции, и представить в своем следующем периодическом докладе сведения о воздействии этих мер и о возникших трудностях.</w:t>
      </w:r>
    </w:p>
    <w:p w14:paraId="19101FC2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Незаконный ввоз мигрантов и коррупция</w:t>
      </w:r>
    </w:p>
    <w:p w14:paraId="1A9F170B" w14:textId="2A7A77E7" w:rsidR="00DD550B" w:rsidRPr="0017584E" w:rsidRDefault="00DD550B" w:rsidP="00DD550B">
      <w:pPr>
        <w:pStyle w:val="SingleTxtG"/>
      </w:pPr>
      <w:r>
        <w:t>49.</w:t>
      </w:r>
      <w:r>
        <w:tab/>
        <w:t>Комитет отмечает предпринятые государством-участником усилия по информированию потенциальных эмигрантов об опасностях нелегальной миграции. Он также принимает к сведению представленную государством-</w:t>
      </w:r>
      <w:r w:rsidR="00B56726">
        <w:t>участником</w:t>
      </w:r>
      <w:r>
        <w:t xml:space="preserve"> информацию о том, что в рамках наблюдения за побережьем, с которого нелегальные эмигранты отправляются к европейским берегам, силы обороны и безопасности проводят операции со смешанным или комбинированным патрулированием. Вместе с тем он выражает сожаление по поводу отсутствия сведений о результатах патрулирования, а также о расследованиях в отношении тех или иных субъектов, занимающихся незаконным провозом мигрантов, в том числе в ситуациях возможного сговора, и о применяемых к ним наказаниях. Кроме того, Комитет выражает сожаление по поводу отсутствия у государства-участника количественных и качественных данных о числе пропавших без вести и умерших мигрантов, а также о </w:t>
      </w:r>
      <w:r>
        <w:lastRenderedPageBreak/>
        <w:t>мерах, принятых для обеспечения репатриации их тел в соответствующих случаях, в том числе в контексте международного сотрудничества.</w:t>
      </w:r>
    </w:p>
    <w:p w14:paraId="6443B1FF" w14:textId="11AD69D4" w:rsidR="00DD550B" w:rsidRPr="0017584E" w:rsidRDefault="00DD550B" w:rsidP="00DD550B">
      <w:pPr>
        <w:pStyle w:val="SingleTxtG"/>
        <w:keepNext/>
        <w:rPr>
          <w:b/>
          <w:bCs/>
        </w:rPr>
      </w:pPr>
      <w:r>
        <w:t>50.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правам человека на международных границах, подготовленными Управлением Верховного комиссара по правам человека</w:t>
      </w:r>
      <w:r w:rsidR="00B56726">
        <w:rPr>
          <w:b/>
          <w:bCs/>
          <w:lang w:val="en-US"/>
        </w:rPr>
        <w:t> </w:t>
      </w:r>
      <w:r>
        <w:rPr>
          <w:b/>
          <w:bCs/>
        </w:rPr>
        <w:t>(УВКПЧ), Комитет рекомендует государству-участнику:</w:t>
      </w:r>
    </w:p>
    <w:p w14:paraId="14107BE6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укреплять существующие механизмы выявления, предупреждения и пресечения нелегальных перемещений трудящихся-мигрантов, а также механизмы расследования, преследования и наказания лиц, виновных в преступлении незаконного ввоза мигрантов;</w:t>
      </w:r>
    </w:p>
    <w:p w14:paraId="576DEE7C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на местном уровне проведение ориентированных на все группы населения информационных кампаний, посвященных рискам нелегальной миграции, и продолжать оказывать помощь сенегальским трудящимся-мигрантам, находящимся в странах транзита;</w:t>
      </w:r>
    </w:p>
    <w:p w14:paraId="2F62F346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укреплять механизмы подотчетности и транспарентности, связанные с операциями смешанного или комбинированного патрулирования, которые выполняются совместно с европейскими властями на территории государства-участника, в том числе механизмы обнародования соответствующих соглашений о сотрудничестве;</w:t>
      </w:r>
    </w:p>
    <w:p w14:paraId="021B914F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осуществлять все возможные меры для поиска мигрантов, местонахождение которых неизвестно или которые пропали без вести, с целью по возможности находить их живыми;</w:t>
      </w:r>
    </w:p>
    <w:p w14:paraId="76A2451C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укреплять механизмы поддержания контактов, поиска и оперативного уведомления членов семей мигрантов, которые пропали без вести, умерли или были убиты, посредством введения единой процедуры, облегчающей сообщение о таких случаях, а также, при необходимости, репатриацию и передачу останков родственникам.</w:t>
      </w:r>
    </w:p>
    <w:p w14:paraId="4A4232F8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Агентства по найму</w:t>
      </w:r>
    </w:p>
    <w:p w14:paraId="68AA1EF2" w14:textId="2BA1EFD1" w:rsidR="00DD550B" w:rsidRPr="0017584E" w:rsidRDefault="00DD550B" w:rsidP="00DD550B">
      <w:pPr>
        <w:pStyle w:val="SingleTxtG"/>
      </w:pPr>
      <w:r>
        <w:t>51.</w:t>
      </w:r>
      <w:r>
        <w:tab/>
        <w:t>Комитет отмечает наличие в Трудовом кодексе положений (статьи L.33, L.223 и L.228), регулирующих на</w:t>
      </w:r>
      <w:r w:rsidR="00CC5943">
        <w:t>й</w:t>
      </w:r>
      <w:r>
        <w:t>м сенегальских трудящихся-мигрантов и направленных на борьбу с незаконным наймом трудящихся-мигрантов. Он также отмечает намерение государства-участника заключить соглашения со странами, принимающими работников домашнего труда, с целью регулирования этого рынка, на котором действуют недобросовестные посредники. Вместе с тем Комитет выражает сожаление по поводу отсутствия качественных и количественных данных о числе фактических или потенциальных мигрантов, нанятых посредством этих агентств, а также об эффективности принятых законодательных мер и масштабах деятельности трудовых инспекций в области контроля за методами работы агентств по найму.</w:t>
      </w:r>
    </w:p>
    <w:p w14:paraId="6172155C" w14:textId="77777777" w:rsidR="00DD550B" w:rsidRPr="0017584E" w:rsidRDefault="00DD550B" w:rsidP="00DD550B">
      <w:pPr>
        <w:pStyle w:val="SingleTxtG"/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укрепить процедуры контроля и инспектирования агентств по найму для обеспечения соблюдения прав всех трудящихся-мигрантов и членов их семей согласно положениям Конвенции.</w:t>
      </w:r>
      <w:r>
        <w:t xml:space="preserve"> </w:t>
      </w:r>
      <w:r>
        <w:rPr>
          <w:b/>
          <w:bCs/>
        </w:rPr>
        <w:t>Кроме того, он рекомендует государству-участнику расследовать случаи незаконной деятельности агентств по найму и в случае необходимости наказывать их, а также продолжать укреплять международное, региональное и двустороннее сотрудничество посредством заключения со странами происхождения, транзита и назначения соглашений о предотвращении и пресечении торговли людьми и принудительного труда, особенно в отношении женщин-мигрантов, работающих в сфере домашнего труда.</w:t>
      </w:r>
    </w:p>
    <w:p w14:paraId="70AA5664" w14:textId="77777777" w:rsidR="00DD550B" w:rsidRPr="0017584E" w:rsidRDefault="00DD550B" w:rsidP="00DD550B">
      <w:pPr>
        <w:pStyle w:val="H23G"/>
      </w:pPr>
      <w:r>
        <w:tab/>
      </w:r>
      <w:r>
        <w:tab/>
        <w:t>Торговля людьми</w:t>
      </w:r>
    </w:p>
    <w:p w14:paraId="51C130B7" w14:textId="77777777" w:rsidR="00DD550B" w:rsidRPr="0017584E" w:rsidRDefault="00DD550B" w:rsidP="00DD550B">
      <w:pPr>
        <w:pStyle w:val="SingleTxtG"/>
      </w:pPr>
      <w:r>
        <w:t>53.</w:t>
      </w:r>
      <w:r>
        <w:tab/>
        <w:t xml:space="preserve">Комитет отмечает усилия по наделению дополнительными ресурсами Национального комитета по борьбе с торговлей людьми и незаконным ввозом мигрантов, а также внедрение информационной системы «Systraite» для сбора данных о торговле людьми. Он выражает сожаление по поводу сохраняющихся трудностей, </w:t>
      </w:r>
      <w:r>
        <w:lastRenderedPageBreak/>
        <w:t xml:space="preserve">упомянутых государством-участником в ходе диалога и связанных, в частности, с нехваткой на всех уровнях судебной системы квалифицированных сотрудников, занимающихся вводом и обработкой данных в системе «Systraite». Комитет также выражает сожаление по поводу крайне ограниченных результатов принятых мер по борьбе с торговлей людьми, особенно в части борьбы с эксплуатацией детей в ситуациях улицы. </w:t>
      </w:r>
    </w:p>
    <w:p w14:paraId="7B76B604" w14:textId="67BDF19B" w:rsidR="00DD550B" w:rsidRPr="0017584E" w:rsidRDefault="00DD550B" w:rsidP="00DD550B">
      <w:pPr>
        <w:pStyle w:val="SingleTxtG"/>
        <w:keepNext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С учетом своего замечания общего порядка № 2 (2013) о правах трудящихся-мигрантов, не имеющих постоянного статуса, и членов их семей, </w:t>
      </w:r>
      <w:r w:rsidR="009623FD">
        <w:rPr>
          <w:b/>
          <w:bCs/>
        </w:rPr>
        <w:t>замечания общего порядка</w:t>
      </w:r>
      <w:r>
        <w:rPr>
          <w:b/>
          <w:bCs/>
        </w:rPr>
        <w:t xml:space="preserve"> № 38 (2020) Комитета по ликвидации дискриминации в отношении женщин о торговле женщинами и девочками в контексте глобальной миграции, рекомендуемых принципов и руководящих положений по вопросу о правах человека и торговле людьми Управления Верховного комиссара по правам человека и принимая во внимание задачи 8.7 и 16.2 целей в области устойчивого развития, Комитет повторяет рекомендации, содержащиеся в его предыдущих заключительных замечаниях</w:t>
      </w:r>
      <w:r w:rsidRPr="00FA0AEC">
        <w:rPr>
          <w:rStyle w:val="aa"/>
        </w:rPr>
        <w:footnoteReference w:id="21"/>
      </w:r>
      <w:r>
        <w:rPr>
          <w:b/>
          <w:bCs/>
        </w:rPr>
        <w:t>, и просит государство-участник:</w:t>
      </w:r>
    </w:p>
    <w:p w14:paraId="1431B9FB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оптимизировать обработку собранных данных в разбивке по полу, возрасту и происхождению для более эффективной борьбы с незаконным провозом людей и торговлей ими;</w:t>
      </w:r>
    </w:p>
    <w:p w14:paraId="52B895D8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усовершенствовать взаимодействие между службами, ответственными за предупреждение, выявление и пресечение торговли людьми;</w:t>
      </w:r>
    </w:p>
    <w:p w14:paraId="0E595A23" w14:textId="7CEAB96C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выделить людские и финансовые ресурсы, соразмерные масштабам проблемы, в частности Национальному комитету по борьбе с торговлей людьми и незаконным ввозом мигрантов, а также структурам, обеспечивающим функционирование базы данных «Systraite»;</w:t>
      </w:r>
    </w:p>
    <w:p w14:paraId="14E39BF4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активизировать процесс учебной подготовки всех служб, способных предотвращать и пресекать торговлю людьми;</w:t>
      </w:r>
    </w:p>
    <w:p w14:paraId="7AE28BB2" w14:textId="77777777" w:rsidR="00DD550B" w:rsidRPr="0017584E" w:rsidRDefault="00DD550B" w:rsidP="00DD550B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проведение расследований, судебное преследование и надлежащее наказание лиц, совершивших преступления, связанные с торговлей людьми, гарантировать полное возмещение ущерба жертвам, а также активизировать международное сотрудничество со странами происхождения, транзита и назначения в целях разработки совместных планов действий по предотвращению торговли людьми и выявлению транснациональных сетей организованной преступности.</w:t>
      </w:r>
    </w:p>
    <w:p w14:paraId="6016245F" w14:textId="77777777" w:rsidR="00DD550B" w:rsidRPr="0017584E" w:rsidRDefault="00DD550B" w:rsidP="00DD550B">
      <w:pPr>
        <w:pStyle w:val="H23G"/>
      </w:pPr>
      <w:r>
        <w:rPr>
          <w:bCs/>
        </w:rPr>
        <w:tab/>
        <w:t>6.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4C7E4254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2C366FC" w14:textId="77777777" w:rsidR="00DD550B" w:rsidRPr="0017584E" w:rsidRDefault="00DD550B" w:rsidP="00DD550B">
      <w:pPr>
        <w:pStyle w:val="SingleTxtG"/>
      </w:pPr>
      <w:r>
        <w:t>55.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министерств, парламентских органов, судебных органов и соответствующих местных органов власти, а также среди неправительственных организаций и других субъектов гражданского общества.</w:t>
      </w:r>
    </w:p>
    <w:p w14:paraId="3D529C8D" w14:textId="2D7E2670" w:rsidR="00DD550B" w:rsidRPr="0017584E" w:rsidRDefault="00DD550B" w:rsidP="00DD550B">
      <w:pPr>
        <w:pStyle w:val="SingleTxtG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обсуждать осуществление Конвенции и, в частности, настоящих заключительных замечаний с организациями гражданского общества и изучать предлагаемые ими решения специфических для Сенегала проблем в области миграции, поскольку эти организации хорошо знакомы с реальностью повседневной жизни мигрантов.</w:t>
      </w:r>
      <w:r>
        <w:t xml:space="preserve"> </w:t>
      </w:r>
      <w:r>
        <w:rPr>
          <w:b/>
          <w:bCs/>
        </w:rPr>
        <w:t>В</w:t>
      </w:r>
      <w:r w:rsidR="00EF296C">
        <w:rPr>
          <w:b/>
          <w:bCs/>
          <w:lang w:val="en-US"/>
        </w:rPr>
        <w:t> </w:t>
      </w:r>
      <w:r>
        <w:rPr>
          <w:b/>
          <w:bCs/>
        </w:rPr>
        <w:t>связи с этим Комитет рекомендует государству-участнику укрепить потенциал Национального консультативного совета по правам человека и международному гуманитарному праву, являющегося механизмом мониторинга и последующих действий в связи с выполнением рекомендаций договорных органов по правам человека, в целях регулярной оценки выполнения этих рекомендаций — при</w:t>
      </w:r>
      <w:r w:rsidR="009623FD">
        <w:rPr>
          <w:b/>
          <w:bCs/>
        </w:rPr>
        <w:t> </w:t>
      </w:r>
      <w:r>
        <w:rPr>
          <w:b/>
          <w:bCs/>
        </w:rPr>
        <w:t>поддержке со стороны учреждений Организации Объединенных Наций и национального правозащитного учреждения.</w:t>
      </w:r>
    </w:p>
    <w:p w14:paraId="254CA03F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07AC4E42" w14:textId="77777777" w:rsidR="00DD550B" w:rsidRPr="0017584E" w:rsidRDefault="00DD550B" w:rsidP="00DD550B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пользоваться международной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  <w:r>
        <w:t xml:space="preserve"> </w:t>
      </w:r>
      <w:r>
        <w:rPr>
          <w:b/>
          <w:bCs/>
        </w:rPr>
        <w:t>Комитет готов оказать государству-участнику техническую помощь в осуществлении Конвенции.</w:t>
      </w:r>
    </w:p>
    <w:p w14:paraId="7842E462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39407C76" w14:textId="43104D39" w:rsidR="00DD550B" w:rsidRPr="0017584E" w:rsidRDefault="00DD550B" w:rsidP="00DD550B">
      <w:pPr>
        <w:pStyle w:val="SingleTxtG"/>
      </w:pPr>
      <w:r>
        <w:t>58.</w:t>
      </w:r>
      <w:r>
        <w:tab/>
      </w:r>
      <w:r>
        <w:rPr>
          <w:b/>
          <w:bCs/>
        </w:rPr>
        <w:t>Комитет предлагает государству-участнику представить в течение двух</w:t>
      </w:r>
      <w:r w:rsidR="00CF66FC">
        <w:rPr>
          <w:b/>
          <w:bCs/>
        </w:rPr>
        <w:t> </w:t>
      </w:r>
      <w:r>
        <w:rPr>
          <w:b/>
          <w:bCs/>
        </w:rPr>
        <w:t>лет (</w:t>
      </w:r>
      <w:r w:rsidR="00CF66FC">
        <w:rPr>
          <w:b/>
          <w:bCs/>
        </w:rPr>
        <w:t>т. е.</w:t>
      </w:r>
      <w:r>
        <w:rPr>
          <w:b/>
          <w:bCs/>
        </w:rPr>
        <w:t xml:space="preserve"> не позднее 1 июля 2026 года) письменную информацию о выполнении рекомендаций, содержащихся в пунктах 14 (комплексная политика и стратегия), 16 (сбор данных), 28 (эксплуатация труда и другие формы ненадлежащего обращения) и 36 (неотложная медицинская помощь) выше.</w:t>
      </w:r>
    </w:p>
    <w:p w14:paraId="79F39441" w14:textId="77777777" w:rsidR="00DD550B" w:rsidRPr="0017584E" w:rsidRDefault="00DD550B" w:rsidP="00DD550B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108B7634" w14:textId="77777777" w:rsidR="00DD550B" w:rsidRPr="0017584E" w:rsidRDefault="00DD550B" w:rsidP="00DD550B">
      <w:pPr>
        <w:pStyle w:val="SingleTxtG"/>
      </w:pPr>
      <w:r>
        <w:t>59.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 не позднее 2 июля 2029 года.</w:t>
      </w:r>
      <w:r>
        <w:t xml:space="preserve"> </w:t>
      </w:r>
      <w:r>
        <w:rPr>
          <w:b/>
          <w:bCs/>
        </w:rPr>
        <w:t>Комитет утвердит перечень вопросов до представления доклада на одной из своих сессий, предшествующих этой дате, в соответствии с упрощенной процедурой представления докладов, если только государство-участник не сделает однозначного выбора в пользу традиционной процедуры представления докладов для своего пятого периодического доклада.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60564B">
        <w:rPr>
          <w:rStyle w:val="aa"/>
        </w:rPr>
        <w:footnoteReference w:id="22"/>
      </w:r>
      <w:r>
        <w:rPr>
          <w:b/>
          <w:bCs/>
        </w:rPr>
        <w:t>.</w:t>
      </w:r>
    </w:p>
    <w:p w14:paraId="70BC6A66" w14:textId="5B598298" w:rsidR="00381C24" w:rsidRPr="00EF296C" w:rsidRDefault="00DD550B" w:rsidP="00EF296C">
      <w:pPr>
        <w:pStyle w:val="SingleTxtG"/>
        <w:spacing w:before="240" w:after="0"/>
        <w:jc w:val="center"/>
        <w:rPr>
          <w:u w:val="single"/>
          <w:lang w:val="en-US"/>
        </w:rPr>
      </w:pPr>
      <w:r w:rsidRPr="0017584E">
        <w:rPr>
          <w:u w:val="single"/>
        </w:rPr>
        <w:tab/>
      </w:r>
      <w:r w:rsidRPr="0017584E">
        <w:rPr>
          <w:u w:val="single"/>
        </w:rPr>
        <w:tab/>
      </w:r>
      <w:r w:rsidRPr="0017584E">
        <w:rPr>
          <w:u w:val="single"/>
        </w:rPr>
        <w:tab/>
      </w:r>
    </w:p>
    <w:sectPr w:rsidR="00381C24" w:rsidRPr="00EF296C" w:rsidSect="0046386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C1C0E" w14:textId="77777777" w:rsidR="00EB6D85" w:rsidRPr="00A312BC" w:rsidRDefault="00EB6D85" w:rsidP="00A312BC"/>
  </w:endnote>
  <w:endnote w:type="continuationSeparator" w:id="0">
    <w:p w14:paraId="10B90A15" w14:textId="77777777" w:rsidR="00EB6D85" w:rsidRPr="00A312BC" w:rsidRDefault="00EB6D8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6163" w14:textId="26695D4F" w:rsidR="00463864" w:rsidRPr="00463864" w:rsidRDefault="00463864">
    <w:pPr>
      <w:pStyle w:val="a8"/>
    </w:pPr>
    <w:r w:rsidRPr="00463864">
      <w:rPr>
        <w:b/>
        <w:sz w:val="18"/>
      </w:rPr>
      <w:fldChar w:fldCharType="begin"/>
    </w:r>
    <w:r w:rsidRPr="00463864">
      <w:rPr>
        <w:b/>
        <w:sz w:val="18"/>
      </w:rPr>
      <w:instrText xml:space="preserve"> PAGE  \* MERGEFORMAT </w:instrText>
    </w:r>
    <w:r w:rsidRPr="00463864">
      <w:rPr>
        <w:b/>
        <w:sz w:val="18"/>
      </w:rPr>
      <w:fldChar w:fldCharType="separate"/>
    </w:r>
    <w:r w:rsidRPr="00463864">
      <w:rPr>
        <w:b/>
        <w:noProof/>
        <w:sz w:val="18"/>
      </w:rPr>
      <w:t>2</w:t>
    </w:r>
    <w:r w:rsidRPr="00463864">
      <w:rPr>
        <w:b/>
        <w:sz w:val="18"/>
      </w:rPr>
      <w:fldChar w:fldCharType="end"/>
    </w:r>
    <w:r>
      <w:rPr>
        <w:b/>
        <w:sz w:val="18"/>
      </w:rPr>
      <w:tab/>
    </w:r>
    <w:r>
      <w:t>GE.24-12224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D72F" w14:textId="24FA5952" w:rsidR="00463864" w:rsidRPr="00463864" w:rsidRDefault="00463864" w:rsidP="00463864">
    <w:pPr>
      <w:pStyle w:val="a8"/>
      <w:tabs>
        <w:tab w:val="clear" w:pos="9639"/>
        <w:tab w:val="right" w:pos="9638"/>
      </w:tabs>
      <w:rPr>
        <w:b/>
        <w:sz w:val="18"/>
      </w:rPr>
    </w:pPr>
    <w:r>
      <w:t>GE.24-12224</w:t>
    </w:r>
    <w:r>
      <w:tab/>
    </w:r>
    <w:r w:rsidRPr="00463864">
      <w:rPr>
        <w:b/>
        <w:sz w:val="18"/>
      </w:rPr>
      <w:fldChar w:fldCharType="begin"/>
    </w:r>
    <w:r w:rsidRPr="00463864">
      <w:rPr>
        <w:b/>
        <w:sz w:val="18"/>
      </w:rPr>
      <w:instrText xml:space="preserve"> PAGE  \* MERGEFORMAT </w:instrText>
    </w:r>
    <w:r w:rsidRPr="00463864">
      <w:rPr>
        <w:b/>
        <w:sz w:val="18"/>
      </w:rPr>
      <w:fldChar w:fldCharType="separate"/>
    </w:r>
    <w:r w:rsidRPr="00463864">
      <w:rPr>
        <w:b/>
        <w:noProof/>
        <w:sz w:val="18"/>
      </w:rPr>
      <w:t>3</w:t>
    </w:r>
    <w:r w:rsidRPr="004638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42E8" w14:textId="742B5B8A" w:rsidR="00042B72" w:rsidRPr="0021607B" w:rsidRDefault="00463864" w:rsidP="0046386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A5CDEA" wp14:editId="71D24EB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24-12224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5846F0C" wp14:editId="430BBEE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07B">
      <w:rPr>
        <w:lang w:val="en-US"/>
      </w:rPr>
      <w:t xml:space="preserve">  031024  071024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BA7C4" w14:textId="77777777" w:rsidR="00EB6D85" w:rsidRPr="001075E9" w:rsidRDefault="00EB6D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E5932C" w14:textId="77777777" w:rsidR="00EB6D85" w:rsidRDefault="00EB6D8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3A778E" w14:textId="77777777" w:rsidR="00DD550B" w:rsidRPr="004B4FEE" w:rsidRDefault="00DD550B" w:rsidP="00DD550B">
      <w:pPr>
        <w:pStyle w:val="ad"/>
      </w:pPr>
      <w:r>
        <w:tab/>
      </w:r>
      <w:r w:rsidRPr="0021607B">
        <w:rPr>
          <w:sz w:val="20"/>
        </w:rPr>
        <w:t>*</w:t>
      </w:r>
      <w:r>
        <w:tab/>
        <w:t>Приняты Комитетом на его тридцать восьмой сессии (3−14 июня 2024 года).</w:t>
      </w:r>
    </w:p>
  </w:footnote>
  <w:footnote w:id="2">
    <w:p w14:paraId="2309396F" w14:textId="270E8294" w:rsidR="00DD550B" w:rsidRPr="00691E0F" w:rsidRDefault="00DD550B" w:rsidP="00DD550B">
      <w:pPr>
        <w:pStyle w:val="ad"/>
        <w:rPr>
          <w:lang w:val="en-US"/>
        </w:rPr>
      </w:pPr>
      <w:r>
        <w:tab/>
      </w:r>
      <w:r w:rsidRPr="0060564B">
        <w:rPr>
          <w:rStyle w:val="aa"/>
        </w:rPr>
        <w:footnoteRef/>
      </w:r>
      <w:r w:rsidRPr="00691E0F">
        <w:rPr>
          <w:lang w:val="en-US"/>
        </w:rPr>
        <w:tab/>
      </w:r>
      <w:hyperlink r:id="rId1" w:history="1">
        <w:r w:rsidR="00901A79" w:rsidRPr="007633A7">
          <w:rPr>
            <w:rStyle w:val="af1"/>
            <w:lang w:val="en-US"/>
          </w:rPr>
          <w:t>CMW/C/SEN/4</w:t>
        </w:r>
      </w:hyperlink>
      <w:r w:rsidRPr="00691E0F">
        <w:rPr>
          <w:lang w:val="en-US"/>
        </w:rPr>
        <w:t>.</w:t>
      </w:r>
    </w:p>
  </w:footnote>
  <w:footnote w:id="3">
    <w:p w14:paraId="33ED2FAA" w14:textId="57C18FC0" w:rsidR="00DD550B" w:rsidRPr="00691E0F" w:rsidRDefault="00DD550B" w:rsidP="00DD550B">
      <w:pPr>
        <w:pStyle w:val="ad"/>
        <w:rPr>
          <w:lang w:val="en-US"/>
        </w:rPr>
      </w:pPr>
      <w:r w:rsidRPr="00691E0F">
        <w:rPr>
          <w:lang w:val="en-US"/>
        </w:rPr>
        <w:tab/>
      </w:r>
      <w:r w:rsidRPr="0060564B">
        <w:rPr>
          <w:rStyle w:val="aa"/>
        </w:rPr>
        <w:footnoteRef/>
      </w:r>
      <w:r w:rsidRPr="00691E0F">
        <w:rPr>
          <w:lang w:val="en-US"/>
        </w:rPr>
        <w:tab/>
      </w:r>
      <w:r>
        <w:t>См</w:t>
      </w:r>
      <w:r w:rsidRPr="00691E0F">
        <w:rPr>
          <w:lang w:val="en-US"/>
        </w:rPr>
        <w:t xml:space="preserve">. </w:t>
      </w:r>
      <w:hyperlink r:id="rId2" w:history="1">
        <w:r w:rsidRPr="007633A7">
          <w:rPr>
            <w:rStyle w:val="af1"/>
            <w:lang w:val="en-US"/>
          </w:rPr>
          <w:t>CMW/C/SR.554</w:t>
        </w:r>
      </w:hyperlink>
      <w:r w:rsidRPr="00691E0F">
        <w:rPr>
          <w:lang w:val="en-US"/>
        </w:rPr>
        <w:t xml:space="preserve"> </w:t>
      </w:r>
      <w:r>
        <w:t>и</w:t>
      </w:r>
      <w:r w:rsidRPr="00691E0F">
        <w:rPr>
          <w:lang w:val="en-US"/>
        </w:rPr>
        <w:t xml:space="preserve"> </w:t>
      </w:r>
      <w:hyperlink r:id="rId3" w:history="1">
        <w:r w:rsidRPr="007633A7">
          <w:rPr>
            <w:rStyle w:val="af1"/>
            <w:lang w:val="en-US"/>
          </w:rPr>
          <w:t>CMW/C/SR.555</w:t>
        </w:r>
      </w:hyperlink>
      <w:r w:rsidRPr="00691E0F">
        <w:rPr>
          <w:lang w:val="en-US"/>
        </w:rPr>
        <w:t>.</w:t>
      </w:r>
    </w:p>
  </w:footnote>
  <w:footnote w:id="4">
    <w:p w14:paraId="2D4A6C85" w14:textId="0AC46D49" w:rsidR="00DD550B" w:rsidRPr="004B4FEE" w:rsidRDefault="00DD550B" w:rsidP="00DD550B">
      <w:pPr>
        <w:pStyle w:val="ad"/>
        <w:rPr>
          <w:lang w:val="en-US"/>
        </w:rPr>
      </w:pPr>
      <w:r w:rsidRPr="00691E0F">
        <w:rPr>
          <w:lang w:val="en-US"/>
        </w:rPr>
        <w:tab/>
      </w:r>
      <w:r w:rsidRPr="0060564B">
        <w:rPr>
          <w:rStyle w:val="aa"/>
        </w:rPr>
        <w:footnoteRef/>
      </w:r>
      <w:r w:rsidRPr="004B4FEE">
        <w:rPr>
          <w:lang w:val="en-US"/>
        </w:rPr>
        <w:tab/>
      </w:r>
      <w:hyperlink r:id="rId4" w:history="1">
        <w:r w:rsidR="007633A7" w:rsidRPr="00B40FB5">
          <w:rPr>
            <w:rStyle w:val="af1"/>
            <w:lang w:val="en-US"/>
          </w:rPr>
          <w:t>CMW/C/SEN/QPR/4</w:t>
        </w:r>
      </w:hyperlink>
      <w:r w:rsidRPr="004B4FEE">
        <w:rPr>
          <w:lang w:val="en-US"/>
        </w:rPr>
        <w:t>.</w:t>
      </w:r>
    </w:p>
  </w:footnote>
  <w:footnote w:id="5">
    <w:p w14:paraId="1B31E30A" w14:textId="3C42E62B" w:rsidR="00DD550B" w:rsidRPr="004B4FEE" w:rsidRDefault="00DD550B" w:rsidP="00DD550B">
      <w:pPr>
        <w:pStyle w:val="ad"/>
        <w:rPr>
          <w:lang w:val="en-US"/>
        </w:rPr>
      </w:pPr>
      <w:r w:rsidRPr="004B4FEE">
        <w:rPr>
          <w:lang w:val="en-US"/>
        </w:rPr>
        <w:tab/>
      </w:r>
      <w:r w:rsidRPr="0060564B">
        <w:rPr>
          <w:rStyle w:val="aa"/>
        </w:rPr>
        <w:footnoteRef/>
      </w:r>
      <w:r w:rsidRPr="004B4FEE">
        <w:rPr>
          <w:lang w:val="en-US"/>
        </w:rPr>
        <w:tab/>
      </w:r>
      <w:hyperlink r:id="rId5" w:history="1">
        <w:r w:rsidR="00063A60" w:rsidRPr="00B40FB5">
          <w:rPr>
            <w:rStyle w:val="af1"/>
            <w:lang w:val="en-GB"/>
          </w:rPr>
          <w:t>CMW/C/SEN/4</w:t>
        </w:r>
      </w:hyperlink>
      <w:r w:rsidRPr="004B4FEE">
        <w:rPr>
          <w:lang w:val="en-US"/>
        </w:rPr>
        <w:t xml:space="preserve">, </w:t>
      </w:r>
      <w:r>
        <w:t>п</w:t>
      </w:r>
      <w:r w:rsidRPr="004B4FEE">
        <w:rPr>
          <w:lang w:val="en-US"/>
        </w:rPr>
        <w:t>. 220.</w:t>
      </w:r>
    </w:p>
  </w:footnote>
  <w:footnote w:id="6">
    <w:p w14:paraId="63DFBD5D" w14:textId="167D074D" w:rsidR="00DD550B" w:rsidRPr="004B4FEE" w:rsidRDefault="00DD550B" w:rsidP="00DD550B">
      <w:pPr>
        <w:pStyle w:val="ad"/>
        <w:rPr>
          <w:lang w:val="en-US"/>
        </w:rPr>
      </w:pPr>
      <w:r w:rsidRPr="004B4FEE">
        <w:rPr>
          <w:lang w:val="en-US"/>
        </w:rPr>
        <w:tab/>
      </w:r>
      <w:r w:rsidRPr="0060564B">
        <w:rPr>
          <w:rStyle w:val="aa"/>
        </w:rPr>
        <w:footnoteRef/>
      </w:r>
      <w:r w:rsidRPr="004B4FEE">
        <w:rPr>
          <w:lang w:val="en-US"/>
        </w:rPr>
        <w:tab/>
      </w:r>
      <w:hyperlink r:id="rId6" w:history="1">
        <w:r w:rsidRPr="005929F6">
          <w:rPr>
            <w:rStyle w:val="af1"/>
            <w:lang w:val="en-US"/>
          </w:rPr>
          <w:t>CMW/C/SEN/CO/2-3</w:t>
        </w:r>
      </w:hyperlink>
      <w:r w:rsidRPr="004B4FEE">
        <w:rPr>
          <w:lang w:val="en-US"/>
        </w:rPr>
        <w:t xml:space="preserve">, </w:t>
      </w:r>
      <w:r>
        <w:t>п</w:t>
      </w:r>
      <w:r w:rsidRPr="004B4FEE">
        <w:rPr>
          <w:lang w:val="en-US"/>
        </w:rPr>
        <w:t xml:space="preserve">. </w:t>
      </w:r>
      <w:proofErr w:type="gramStart"/>
      <w:r w:rsidRPr="004B4FEE">
        <w:rPr>
          <w:lang w:val="en-US"/>
        </w:rPr>
        <w:t>11</w:t>
      </w:r>
      <w:proofErr w:type="gramEnd"/>
      <w:r w:rsidRPr="004B4FEE">
        <w:rPr>
          <w:lang w:val="en-US"/>
        </w:rPr>
        <w:t>.</w:t>
      </w:r>
    </w:p>
  </w:footnote>
  <w:footnote w:id="7">
    <w:p w14:paraId="1970849C" w14:textId="77777777" w:rsidR="00DD550B" w:rsidRPr="00691E0F" w:rsidRDefault="00DD550B" w:rsidP="00DD550B">
      <w:pPr>
        <w:pStyle w:val="ad"/>
      </w:pPr>
      <w:r w:rsidRPr="004B4FEE">
        <w:rPr>
          <w:lang w:val="en-US"/>
        </w:rPr>
        <w:tab/>
      </w:r>
      <w:r w:rsidRPr="0060564B">
        <w:rPr>
          <w:rStyle w:val="aa"/>
        </w:rPr>
        <w:footnoteRef/>
      </w:r>
      <w:r>
        <w:tab/>
        <w:t>Там же, п. 13.</w:t>
      </w:r>
    </w:p>
  </w:footnote>
  <w:footnote w:id="8">
    <w:p w14:paraId="0C9C16C3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19.</w:t>
      </w:r>
    </w:p>
  </w:footnote>
  <w:footnote w:id="9">
    <w:p w14:paraId="5B21F242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23.</w:t>
      </w:r>
    </w:p>
  </w:footnote>
  <w:footnote w:id="10">
    <w:p w14:paraId="4057A964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25.</w:t>
      </w:r>
    </w:p>
  </w:footnote>
  <w:footnote w:id="11">
    <w:p w14:paraId="7E0A2BE1" w14:textId="77777777" w:rsidR="00DD550B" w:rsidRPr="0017584E" w:rsidRDefault="00DD550B" w:rsidP="00DD550B">
      <w:pPr>
        <w:pStyle w:val="ad"/>
        <w:rPr>
          <w:lang w:val="en-US"/>
        </w:rPr>
      </w:pPr>
      <w:r>
        <w:tab/>
      </w:r>
      <w:r w:rsidRPr="0060564B">
        <w:rPr>
          <w:rStyle w:val="aa"/>
        </w:rPr>
        <w:footnoteRef/>
      </w:r>
      <w:r w:rsidRPr="0017584E">
        <w:rPr>
          <w:lang w:val="en-US"/>
        </w:rPr>
        <w:tab/>
      </w:r>
      <w:r>
        <w:t>См</w:t>
      </w:r>
      <w:r w:rsidRPr="0017584E">
        <w:rPr>
          <w:lang w:val="en-US"/>
        </w:rPr>
        <w:t xml:space="preserve">., </w:t>
      </w:r>
      <w:r>
        <w:t>в</w:t>
      </w:r>
      <w:r w:rsidRPr="0017584E">
        <w:rPr>
          <w:lang w:val="en-US"/>
        </w:rPr>
        <w:t xml:space="preserve"> </w:t>
      </w:r>
      <w:r>
        <w:t>частности</w:t>
      </w:r>
      <w:r w:rsidRPr="0017584E">
        <w:rPr>
          <w:lang w:val="en-US"/>
        </w:rPr>
        <w:t xml:space="preserve">, </w:t>
      </w:r>
      <w:hyperlink r:id="rId7" w:history="1">
        <w:r w:rsidRPr="00914979">
          <w:rPr>
            <w:rStyle w:val="af1"/>
            <w:lang w:val="en-US"/>
          </w:rPr>
          <w:t>CERD/C/SEN/CO/19-23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19; </w:t>
      </w:r>
      <w:hyperlink r:id="rId8" w:history="1">
        <w:r w:rsidRPr="00914979">
          <w:rPr>
            <w:rStyle w:val="af1"/>
            <w:lang w:val="en-US"/>
          </w:rPr>
          <w:t>CRC/C/SEN/CO/6-7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21; </w:t>
      </w:r>
      <w:hyperlink r:id="rId9" w:history="1">
        <w:r w:rsidRPr="00914979">
          <w:rPr>
            <w:rStyle w:val="af1"/>
            <w:lang w:val="en-US"/>
          </w:rPr>
          <w:t>CEDAW/C/SEN/CO/8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26; </w:t>
      </w:r>
      <w:hyperlink r:id="rId10" w:history="1">
        <w:r w:rsidRPr="00914979">
          <w:rPr>
            <w:rStyle w:val="af1"/>
            <w:lang w:val="en-US"/>
          </w:rPr>
          <w:t>E/C.12/SEN/CO/3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27; </w:t>
      </w:r>
      <w:r>
        <w:t>и</w:t>
      </w:r>
      <w:r w:rsidRPr="0017584E">
        <w:rPr>
          <w:lang w:val="en-US"/>
        </w:rPr>
        <w:t xml:space="preserve"> </w:t>
      </w:r>
      <w:hyperlink r:id="rId11" w:history="1">
        <w:r w:rsidRPr="00914979">
          <w:rPr>
            <w:rStyle w:val="af1"/>
            <w:lang w:val="en-US"/>
          </w:rPr>
          <w:t>CCPR/C/SEN/CO/5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>. 41.</w:t>
      </w:r>
    </w:p>
  </w:footnote>
  <w:footnote w:id="12">
    <w:p w14:paraId="67424CAC" w14:textId="77777777" w:rsidR="00DD550B" w:rsidRPr="0017584E" w:rsidRDefault="00DD550B" w:rsidP="00DD550B">
      <w:pPr>
        <w:pStyle w:val="ad"/>
        <w:rPr>
          <w:lang w:val="en-US"/>
        </w:rPr>
      </w:pPr>
      <w:r w:rsidRPr="0017584E">
        <w:rPr>
          <w:lang w:val="en-US"/>
        </w:rPr>
        <w:tab/>
      </w:r>
      <w:r w:rsidRPr="0060564B">
        <w:rPr>
          <w:rStyle w:val="aa"/>
        </w:rPr>
        <w:footnoteRef/>
      </w:r>
      <w:r w:rsidRPr="0017584E">
        <w:rPr>
          <w:lang w:val="en-US"/>
        </w:rPr>
        <w:tab/>
      </w:r>
      <w:hyperlink r:id="rId12" w:history="1">
        <w:r w:rsidRPr="00914979">
          <w:rPr>
            <w:rStyle w:val="af1"/>
            <w:lang w:val="en-US"/>
          </w:rPr>
          <w:t>CMW/C/SEN/4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</w:t>
      </w:r>
      <w:proofErr w:type="gramStart"/>
      <w:r w:rsidRPr="0017584E">
        <w:rPr>
          <w:lang w:val="en-US"/>
        </w:rPr>
        <w:t>62</w:t>
      </w:r>
      <w:proofErr w:type="gramEnd"/>
      <w:r w:rsidRPr="0017584E">
        <w:rPr>
          <w:lang w:val="en-US"/>
        </w:rPr>
        <w:t>.</w:t>
      </w:r>
    </w:p>
  </w:footnote>
  <w:footnote w:id="13">
    <w:p w14:paraId="75845F16" w14:textId="77777777" w:rsidR="00DD550B" w:rsidRPr="0017584E" w:rsidRDefault="00DD550B" w:rsidP="00DD550B">
      <w:pPr>
        <w:pStyle w:val="ad"/>
        <w:rPr>
          <w:lang w:val="en-US"/>
        </w:rPr>
      </w:pPr>
      <w:r w:rsidRPr="0017584E">
        <w:rPr>
          <w:lang w:val="en-US"/>
        </w:rPr>
        <w:tab/>
      </w:r>
      <w:r w:rsidRPr="0060564B">
        <w:rPr>
          <w:rStyle w:val="aa"/>
        </w:rPr>
        <w:footnoteRef/>
      </w:r>
      <w:r w:rsidRPr="0017584E">
        <w:rPr>
          <w:lang w:val="en-US"/>
        </w:rPr>
        <w:tab/>
      </w:r>
      <w:hyperlink r:id="rId13" w:history="1">
        <w:r w:rsidRPr="00914979">
          <w:rPr>
            <w:rStyle w:val="af1"/>
            <w:lang w:val="en-US"/>
          </w:rPr>
          <w:t>CMW/C/SEN/CO/2-3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</w:t>
      </w:r>
      <w:proofErr w:type="gramStart"/>
      <w:r w:rsidRPr="0017584E">
        <w:rPr>
          <w:lang w:val="en-US"/>
        </w:rPr>
        <w:t>27</w:t>
      </w:r>
      <w:proofErr w:type="gramEnd"/>
      <w:r w:rsidRPr="0017584E">
        <w:rPr>
          <w:lang w:val="en-US"/>
        </w:rPr>
        <w:t xml:space="preserve"> </w:t>
      </w:r>
      <w:r>
        <w:t>а</w:t>
      </w:r>
      <w:r w:rsidRPr="0017584E">
        <w:rPr>
          <w:lang w:val="en-US"/>
        </w:rPr>
        <w:t>).</w:t>
      </w:r>
    </w:p>
  </w:footnote>
  <w:footnote w:id="14">
    <w:p w14:paraId="7240D1D0" w14:textId="77777777" w:rsidR="00DD550B" w:rsidRPr="0017584E" w:rsidRDefault="00DD550B" w:rsidP="00DD550B">
      <w:pPr>
        <w:pStyle w:val="ad"/>
      </w:pPr>
      <w:r w:rsidRPr="0017584E">
        <w:rPr>
          <w:lang w:val="en-US"/>
        </w:rPr>
        <w:tab/>
      </w:r>
      <w:r w:rsidRPr="0060564B">
        <w:rPr>
          <w:rStyle w:val="aa"/>
        </w:rPr>
        <w:footnoteRef/>
      </w:r>
      <w:r>
        <w:tab/>
        <w:t>Там же, п. 31.</w:t>
      </w:r>
    </w:p>
  </w:footnote>
  <w:footnote w:id="15">
    <w:p w14:paraId="3BBE1E76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33.</w:t>
      </w:r>
    </w:p>
  </w:footnote>
  <w:footnote w:id="16">
    <w:p w14:paraId="07A35F20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37.</w:t>
      </w:r>
    </w:p>
  </w:footnote>
  <w:footnote w:id="17">
    <w:p w14:paraId="21850254" w14:textId="77777777" w:rsidR="00DD550B" w:rsidRPr="00691E0F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 w:rsidRPr="00691E0F">
        <w:tab/>
      </w:r>
      <w:hyperlink r:id="rId14" w:history="1">
        <w:r w:rsidRPr="004318DF">
          <w:rPr>
            <w:rStyle w:val="af1"/>
            <w:lang w:val="en-US"/>
          </w:rPr>
          <w:t>CMW</w:t>
        </w:r>
        <w:r w:rsidRPr="00691E0F">
          <w:rPr>
            <w:rStyle w:val="af1"/>
          </w:rPr>
          <w:t>/</w:t>
        </w:r>
        <w:r w:rsidRPr="004318DF">
          <w:rPr>
            <w:rStyle w:val="af1"/>
            <w:lang w:val="en-US"/>
          </w:rPr>
          <w:t>C</w:t>
        </w:r>
        <w:r w:rsidRPr="00691E0F">
          <w:rPr>
            <w:rStyle w:val="af1"/>
          </w:rPr>
          <w:t>/</w:t>
        </w:r>
        <w:r w:rsidRPr="004318DF">
          <w:rPr>
            <w:rStyle w:val="af1"/>
            <w:lang w:val="en-US"/>
          </w:rPr>
          <w:t>SEN</w:t>
        </w:r>
        <w:r w:rsidRPr="00691E0F">
          <w:rPr>
            <w:rStyle w:val="af1"/>
          </w:rPr>
          <w:t>/4</w:t>
        </w:r>
      </w:hyperlink>
      <w:r w:rsidRPr="00691E0F">
        <w:t xml:space="preserve">, </w:t>
      </w:r>
      <w:r>
        <w:t>п</w:t>
      </w:r>
      <w:r w:rsidRPr="00691E0F">
        <w:t xml:space="preserve">. </w:t>
      </w:r>
      <w:proofErr w:type="gramStart"/>
      <w:r w:rsidRPr="00691E0F">
        <w:t>60</w:t>
      </w:r>
      <w:proofErr w:type="gramEnd"/>
      <w:r w:rsidRPr="00691E0F">
        <w:t>.</w:t>
      </w:r>
    </w:p>
  </w:footnote>
  <w:footnote w:id="18">
    <w:p w14:paraId="06B710BC" w14:textId="77777777" w:rsidR="00DD550B" w:rsidRPr="0017584E" w:rsidRDefault="00DD550B" w:rsidP="00DD550B">
      <w:pPr>
        <w:pStyle w:val="ad"/>
        <w:rPr>
          <w:lang w:val="en-US"/>
        </w:rPr>
      </w:pPr>
      <w:r w:rsidRPr="00691E0F">
        <w:tab/>
      </w:r>
      <w:r w:rsidRPr="0060564B">
        <w:rPr>
          <w:rStyle w:val="aa"/>
        </w:rPr>
        <w:footnoteRef/>
      </w:r>
      <w:r w:rsidRPr="0017584E">
        <w:rPr>
          <w:lang w:val="en-US"/>
        </w:rPr>
        <w:tab/>
      </w:r>
      <w:hyperlink r:id="rId15" w:history="1">
        <w:r w:rsidRPr="004318DF">
          <w:rPr>
            <w:rStyle w:val="af1"/>
            <w:lang w:val="en-US"/>
          </w:rPr>
          <w:t>CRC/C/SEN/CO/6-7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</w:t>
      </w:r>
      <w:proofErr w:type="gramStart"/>
      <w:r w:rsidRPr="0017584E">
        <w:rPr>
          <w:lang w:val="en-US"/>
        </w:rPr>
        <w:t>18</w:t>
      </w:r>
      <w:proofErr w:type="gramEnd"/>
      <w:r w:rsidRPr="0017584E">
        <w:rPr>
          <w:lang w:val="en-US"/>
        </w:rPr>
        <w:t>.</w:t>
      </w:r>
    </w:p>
  </w:footnote>
  <w:footnote w:id="19">
    <w:p w14:paraId="6F82BBCD" w14:textId="77777777" w:rsidR="00024A22" w:rsidRPr="0017584E" w:rsidRDefault="00024A22" w:rsidP="00024A22">
      <w:pPr>
        <w:pStyle w:val="ad"/>
        <w:rPr>
          <w:lang w:val="en-US"/>
        </w:rPr>
      </w:pPr>
      <w:r w:rsidRPr="0017584E">
        <w:rPr>
          <w:lang w:val="en-US"/>
        </w:rPr>
        <w:tab/>
      </w:r>
      <w:r w:rsidRPr="0060564B">
        <w:rPr>
          <w:rStyle w:val="aa"/>
        </w:rPr>
        <w:footnoteRef/>
      </w:r>
      <w:r w:rsidRPr="0017584E">
        <w:rPr>
          <w:lang w:val="en-US"/>
        </w:rPr>
        <w:tab/>
      </w:r>
      <w:hyperlink r:id="rId16" w:history="1">
        <w:r w:rsidRPr="004318DF">
          <w:rPr>
            <w:rStyle w:val="af1"/>
            <w:lang w:val="en-US"/>
          </w:rPr>
          <w:t>CMW/C/SEN/CO/2-3</w:t>
        </w:r>
      </w:hyperlink>
      <w:r w:rsidRPr="0017584E">
        <w:rPr>
          <w:lang w:val="en-US"/>
        </w:rPr>
        <w:t xml:space="preserve">, </w:t>
      </w:r>
      <w:r>
        <w:t>п</w:t>
      </w:r>
      <w:r w:rsidRPr="0017584E">
        <w:rPr>
          <w:lang w:val="en-US"/>
        </w:rPr>
        <w:t xml:space="preserve">. </w:t>
      </w:r>
      <w:proofErr w:type="gramStart"/>
      <w:r w:rsidRPr="0017584E">
        <w:rPr>
          <w:lang w:val="en-US"/>
        </w:rPr>
        <w:t>42</w:t>
      </w:r>
      <w:proofErr w:type="gramEnd"/>
      <w:r w:rsidRPr="0017584E">
        <w:rPr>
          <w:lang w:val="en-US"/>
        </w:rPr>
        <w:t>.</w:t>
      </w:r>
    </w:p>
  </w:footnote>
  <w:footnote w:id="20">
    <w:p w14:paraId="64BD86B7" w14:textId="77777777" w:rsidR="00DD550B" w:rsidRPr="0017584E" w:rsidRDefault="00DD550B" w:rsidP="00DD550B">
      <w:pPr>
        <w:pStyle w:val="ad"/>
      </w:pPr>
      <w:r w:rsidRPr="0017584E">
        <w:rPr>
          <w:lang w:val="en-US"/>
        </w:rPr>
        <w:tab/>
      </w:r>
      <w:r w:rsidRPr="0060564B">
        <w:rPr>
          <w:rStyle w:val="aa"/>
        </w:rPr>
        <w:footnoteRef/>
      </w:r>
      <w:r>
        <w:tab/>
        <w:t>Там же, п. 43.</w:t>
      </w:r>
    </w:p>
  </w:footnote>
  <w:footnote w:id="21">
    <w:p w14:paraId="55E60208" w14:textId="77777777" w:rsidR="00DD550B" w:rsidRPr="0017584E" w:rsidRDefault="00DD550B" w:rsidP="00DD550B">
      <w:pPr>
        <w:pStyle w:val="ad"/>
      </w:pPr>
      <w:r>
        <w:tab/>
      </w:r>
      <w:r w:rsidRPr="0060564B">
        <w:rPr>
          <w:rStyle w:val="aa"/>
        </w:rPr>
        <w:footnoteRef/>
      </w:r>
      <w:r>
        <w:tab/>
        <w:t>Там же, п. 57.</w:t>
      </w:r>
    </w:p>
  </w:footnote>
  <w:footnote w:id="22">
    <w:p w14:paraId="73E8C7CB" w14:textId="77777777" w:rsidR="00DD550B" w:rsidRPr="0060564B" w:rsidRDefault="00DD550B" w:rsidP="00DD550B">
      <w:pPr>
        <w:pStyle w:val="ad"/>
      </w:pPr>
      <w:r w:rsidRPr="00BC2F64">
        <w:tab/>
      </w:r>
      <w:r w:rsidRPr="0060564B">
        <w:rPr>
          <w:rStyle w:val="aa"/>
        </w:rPr>
        <w:footnoteRef/>
      </w:r>
      <w:r>
        <w:tab/>
      </w:r>
      <w:hyperlink r:id="rId17" w:history="1">
        <w:r w:rsidRPr="006B740D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46684" w14:textId="7165B48B" w:rsidR="00463864" w:rsidRPr="00463864" w:rsidRDefault="00463864">
    <w:pPr>
      <w:pStyle w:val="a5"/>
    </w:pPr>
    <w:fldSimple w:instr=" TITLE  \* MERGEFORMAT ">
      <w:r w:rsidR="002D6797">
        <w:t>CMW/C/SEN/CO/4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A1995" w14:textId="62F36773" w:rsidR="00463864" w:rsidRPr="00463864" w:rsidRDefault="00463864" w:rsidP="00463864">
    <w:pPr>
      <w:pStyle w:val="a5"/>
      <w:jc w:val="right"/>
    </w:pPr>
    <w:fldSimple w:instr=" TITLE  \* MERGEFORMAT ">
      <w:r w:rsidR="002D6797">
        <w:t>CMW/C/SEN/CO/4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D85"/>
    <w:rsid w:val="00024A22"/>
    <w:rsid w:val="00033EE1"/>
    <w:rsid w:val="00042B72"/>
    <w:rsid w:val="000558BD"/>
    <w:rsid w:val="00063A60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1607B"/>
    <w:rsid w:val="002A2EFC"/>
    <w:rsid w:val="002A7005"/>
    <w:rsid w:val="002B74B1"/>
    <w:rsid w:val="002C0E18"/>
    <w:rsid w:val="002D5AAC"/>
    <w:rsid w:val="002D6797"/>
    <w:rsid w:val="002E5067"/>
    <w:rsid w:val="002F405F"/>
    <w:rsid w:val="002F7207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3F6E4F"/>
    <w:rsid w:val="00407B78"/>
    <w:rsid w:val="004102E9"/>
    <w:rsid w:val="00424203"/>
    <w:rsid w:val="00452493"/>
    <w:rsid w:val="00453318"/>
    <w:rsid w:val="00454E07"/>
    <w:rsid w:val="00463864"/>
    <w:rsid w:val="00472C5C"/>
    <w:rsid w:val="004B3A26"/>
    <w:rsid w:val="0050108D"/>
    <w:rsid w:val="00513081"/>
    <w:rsid w:val="00517901"/>
    <w:rsid w:val="00526683"/>
    <w:rsid w:val="005709E0"/>
    <w:rsid w:val="00572E19"/>
    <w:rsid w:val="005929F6"/>
    <w:rsid w:val="005961C8"/>
    <w:rsid w:val="005966F1"/>
    <w:rsid w:val="005D5C09"/>
    <w:rsid w:val="005D7914"/>
    <w:rsid w:val="005E2B41"/>
    <w:rsid w:val="005F0B42"/>
    <w:rsid w:val="006214F1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633A7"/>
    <w:rsid w:val="007A2AE0"/>
    <w:rsid w:val="007C3495"/>
    <w:rsid w:val="00806737"/>
    <w:rsid w:val="00825F8D"/>
    <w:rsid w:val="00834B71"/>
    <w:rsid w:val="00837F45"/>
    <w:rsid w:val="00842DD5"/>
    <w:rsid w:val="0086445C"/>
    <w:rsid w:val="00864D2E"/>
    <w:rsid w:val="00894693"/>
    <w:rsid w:val="008A08D7"/>
    <w:rsid w:val="008B6909"/>
    <w:rsid w:val="00900A96"/>
    <w:rsid w:val="00901A79"/>
    <w:rsid w:val="00906890"/>
    <w:rsid w:val="00911BE4"/>
    <w:rsid w:val="0093403D"/>
    <w:rsid w:val="00951972"/>
    <w:rsid w:val="00953A1C"/>
    <w:rsid w:val="009608F3"/>
    <w:rsid w:val="00960FA3"/>
    <w:rsid w:val="009623FD"/>
    <w:rsid w:val="0098262B"/>
    <w:rsid w:val="0099652C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56726"/>
    <w:rsid w:val="00B62458"/>
    <w:rsid w:val="00BC1884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C5943"/>
    <w:rsid w:val="00CE5A1A"/>
    <w:rsid w:val="00CF55F6"/>
    <w:rsid w:val="00CF66FC"/>
    <w:rsid w:val="00D20E98"/>
    <w:rsid w:val="00D33D63"/>
    <w:rsid w:val="00D40EFD"/>
    <w:rsid w:val="00D90028"/>
    <w:rsid w:val="00D90138"/>
    <w:rsid w:val="00DA7285"/>
    <w:rsid w:val="00DD550B"/>
    <w:rsid w:val="00DD78D1"/>
    <w:rsid w:val="00DE32CD"/>
    <w:rsid w:val="00DF71B9"/>
    <w:rsid w:val="00E5733E"/>
    <w:rsid w:val="00E73F76"/>
    <w:rsid w:val="00EA2C9F"/>
    <w:rsid w:val="00EA420E"/>
    <w:rsid w:val="00EA5E41"/>
    <w:rsid w:val="00EB6D85"/>
    <w:rsid w:val="00ED0BDA"/>
    <w:rsid w:val="00EE7AC6"/>
    <w:rsid w:val="00EF1360"/>
    <w:rsid w:val="00EF296C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46F4E"/>
  <w15:docId w15:val="{9CB3B0A9-3C13-43FD-A5D0-6D9600E64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,16 Point,BVI fnr,Footnote,Footnote Refernece,Footnote symbol,Fußnotenzeichen_Raxen,Superscript 6 Point,Texto de nota al pie,ftref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HChGChar">
    <w:name w:val="_ H _Ch_G Char"/>
    <w:link w:val="HChG"/>
    <w:locked/>
    <w:rsid w:val="00DD550B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DD550B"/>
    <w:rPr>
      <w:lang w:val="ru-RU" w:eastAsia="en-US"/>
    </w:rPr>
  </w:style>
  <w:style w:type="character" w:customStyle="1" w:styleId="H1GChar">
    <w:name w:val="_ H_1_G Char"/>
    <w:link w:val="H1G"/>
    <w:locked/>
    <w:rsid w:val="00DD550B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DD550B"/>
    <w:rPr>
      <w:b/>
      <w:lang w:val="ru-RU" w:eastAsia="ru-RU"/>
    </w:rPr>
  </w:style>
  <w:style w:type="paragraph" w:styleId="af3">
    <w:name w:val="annotation text"/>
    <w:basedOn w:val="a"/>
    <w:link w:val="af4"/>
    <w:uiPriority w:val="99"/>
    <w:unhideWhenUsed/>
    <w:rsid w:val="00DD550B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cs="Times New Roman"/>
      <w:szCs w:val="20"/>
      <w:lang w:val="fr-CH"/>
    </w:rPr>
  </w:style>
  <w:style w:type="character" w:customStyle="1" w:styleId="af4">
    <w:name w:val="Текст примечания Знак"/>
    <w:basedOn w:val="a0"/>
    <w:link w:val="af3"/>
    <w:uiPriority w:val="99"/>
    <w:rsid w:val="00DD550B"/>
    <w:rPr>
      <w:rFonts w:eastAsiaTheme="minorHAnsi"/>
      <w:lang w:val="fr-CH" w:eastAsia="en-US"/>
    </w:rPr>
  </w:style>
  <w:style w:type="character" w:styleId="af5">
    <w:name w:val="annotation reference"/>
    <w:basedOn w:val="a0"/>
    <w:uiPriority w:val="99"/>
    <w:semiHidden/>
    <w:unhideWhenUsed/>
    <w:rsid w:val="00DD550B"/>
    <w:rPr>
      <w:sz w:val="16"/>
      <w:szCs w:val="16"/>
    </w:rPr>
  </w:style>
  <w:style w:type="character" w:styleId="af6">
    <w:name w:val="Unresolved Mention"/>
    <w:basedOn w:val="a0"/>
    <w:uiPriority w:val="99"/>
    <w:semiHidden/>
    <w:unhideWhenUsed/>
    <w:rsid w:val="00763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SEN/CO/6-7" TargetMode="External"/><Relationship Id="rId13" Type="http://schemas.openxmlformats.org/officeDocument/2006/relationships/hyperlink" Target="http://undocs.org/ru/CMW/C/SEN/CO/2-3" TargetMode="External"/><Relationship Id="rId3" Type="http://schemas.openxmlformats.org/officeDocument/2006/relationships/hyperlink" Target="http://undocs.org/ru/CMW/C/SR.555" TargetMode="External"/><Relationship Id="rId7" Type="http://schemas.openxmlformats.org/officeDocument/2006/relationships/hyperlink" Target="http://undocs.org/ru/CERD/C/SEN/CO/19-23" TargetMode="External"/><Relationship Id="rId12" Type="http://schemas.openxmlformats.org/officeDocument/2006/relationships/hyperlink" Target="http://undocs.org/fr/CMW/C/SEN/4" TargetMode="External"/><Relationship Id="rId1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CMW/C/SR.554" TargetMode="External"/><Relationship Id="rId16" Type="http://schemas.openxmlformats.org/officeDocument/2006/relationships/hyperlink" Target="http://undocs.org/ru/CMW/C/SEN/CO/2-3" TargetMode="External"/><Relationship Id="rId1" Type="http://schemas.openxmlformats.org/officeDocument/2006/relationships/hyperlink" Target="http://undocs.org/fr/CMW/C/SEN/4" TargetMode="External"/><Relationship Id="rId6" Type="http://schemas.openxmlformats.org/officeDocument/2006/relationships/hyperlink" Target="http://undocs.org/ru/CMW/C/SEN/CO/2-3" TargetMode="External"/><Relationship Id="rId11" Type="http://schemas.openxmlformats.org/officeDocument/2006/relationships/hyperlink" Target="http://undocs.org/ru/CCPR/C/SEN/CO/5" TargetMode="External"/><Relationship Id="rId5" Type="http://schemas.openxmlformats.org/officeDocument/2006/relationships/hyperlink" Target="http://undocs.org/fr/CMW/C/SEN/4" TargetMode="External"/><Relationship Id="rId15" Type="http://schemas.openxmlformats.org/officeDocument/2006/relationships/hyperlink" Target="http://undocs.org/ru/CRC/C/SEN/CO/6-7" TargetMode="External"/><Relationship Id="rId10" Type="http://schemas.openxmlformats.org/officeDocument/2006/relationships/hyperlink" Target="https://documents.un.org/doc/undoc/gen/g19/323/84/pdf/g1932384.pdf" TargetMode="External"/><Relationship Id="rId4" Type="http://schemas.openxmlformats.org/officeDocument/2006/relationships/hyperlink" Target="http://undocs.org/fr/CMW/C/SEN/QPR/4" TargetMode="External"/><Relationship Id="rId9" Type="http://schemas.openxmlformats.org/officeDocument/2006/relationships/hyperlink" Target="https://documents.un.org/doc/undoc/gen/n22/273/85/pdf/n2227385.pdf" TargetMode="External"/><Relationship Id="rId14" Type="http://schemas.openxmlformats.org/officeDocument/2006/relationships/hyperlink" Target="http://undocs.org/fr/CMW/C/SEN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14</Pages>
  <Words>5337</Words>
  <Characters>37311</Characters>
  <Application>Microsoft Office Word</Application>
  <DocSecurity>0</DocSecurity>
  <Lines>668</Lines>
  <Paragraphs>136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CMW/C/SEN/CO/4</vt:lpstr>
      <vt:lpstr>A/</vt:lpstr>
      <vt:lpstr>A/</vt:lpstr>
      <vt:lpstr>A/</vt:lpstr>
    </vt:vector>
  </TitlesOfParts>
  <Company>DCM</Company>
  <LinksUpToDate>false</LinksUpToDate>
  <CharactersWithSpaces>42571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CMW/C/SEN/CO/4</dc:title>
  <dc:subject/>
  <dc:creator>Uliana ANTIPOVA</dc:creator>
  <cp:keywords/>
  <cp:lastModifiedBy>Uliana Antipova</cp:lastModifiedBy>
  <cp:revision>3</cp:revision>
  <cp:lastPrinted>2024-10-07T15:37:00Z</cp:lastPrinted>
  <dcterms:created xsi:type="dcterms:W3CDTF">2024-10-07T15:37:00Z</dcterms:created>
  <dcterms:modified xsi:type="dcterms:W3CDTF">2024-10-07T15:37:00Z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