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hint="eastAsia"/>
        </w:rPr>
        <w:t>禁止酷刑委员会</w:t>
      </w:r>
    </w:p>
    <w:p w:rsidR="00000000" w:rsidRDefault="00000000">
      <w:pPr>
        <w:pStyle w:val="Heading2"/>
        <w:spacing w:before="300"/>
        <w:rPr>
          <w:rFonts w:ascii="Time New Roman" w:eastAsia="SimHei" w:hAnsi="Time New Roman"/>
        </w:rPr>
      </w:pPr>
      <w:bookmarkStart w:id="0" w:name="_Toc148327712"/>
      <w:r>
        <w:rPr>
          <w:rFonts w:ascii="Time New Roman" w:eastAsia="SimHei" w:hAnsi="Time New Roman" w:hint="eastAsia"/>
        </w:rPr>
        <w:t>审议缔约国根据《公约》第</w:t>
      </w:r>
      <w:r>
        <w:rPr>
          <w:rFonts w:ascii="Time New Roman" w:eastAsia="SimHei" w:hAnsi="Time New Roman" w:hint="eastAsia"/>
          <w:b/>
        </w:rPr>
        <w:t>19</w:t>
      </w:r>
      <w:r>
        <w:rPr>
          <w:rFonts w:ascii="Time New Roman" w:eastAsia="SimHei" w:hAnsi="Time New Roman" w:hint="eastAsia"/>
        </w:rPr>
        <w:t>条提交的报告</w:t>
      </w:r>
      <w:bookmarkEnd w:id="0"/>
    </w:p>
    <w:p w:rsidR="00000000" w:rsidRDefault="00000000">
      <w:pPr>
        <w:pStyle w:val="Heading3"/>
        <w:rPr>
          <w:rFonts w:ascii="Time New Roman" w:eastAsia="SimHei" w:hAnsi="Time New Roman" w:hint="eastAsia"/>
          <w:sz w:val="28"/>
          <w:u w:val="none"/>
        </w:rPr>
      </w:pPr>
      <w:bookmarkStart w:id="1" w:name="_Toc148327713"/>
      <w:r>
        <w:rPr>
          <w:rFonts w:ascii="Time New Roman" w:eastAsia="SimHei" w:hAnsi="Time New Roman" w:hint="eastAsia"/>
          <w:sz w:val="28"/>
          <w:u w:val="none"/>
        </w:rPr>
        <w:t>缔约国应于</w:t>
      </w:r>
      <w:r>
        <w:rPr>
          <w:rFonts w:ascii="Time New Roman" w:eastAsia="SimHei" w:hAnsi="Time New Roman"/>
          <w:b/>
          <w:sz w:val="28"/>
          <w:u w:val="none"/>
        </w:rPr>
        <w:t>200</w:t>
      </w:r>
      <w:r>
        <w:rPr>
          <w:rFonts w:ascii="Time New Roman" w:eastAsia="SimHei" w:hAnsi="Time New Roman" w:hint="eastAsia"/>
          <w:b/>
          <w:sz w:val="28"/>
          <w:u w:val="none"/>
        </w:rPr>
        <w:t>1</w:t>
      </w:r>
      <w:r>
        <w:rPr>
          <w:rFonts w:ascii="Time New Roman" w:eastAsia="SimHei" w:hAnsi="Time New Roman" w:hint="eastAsia"/>
          <w:sz w:val="28"/>
          <w:u w:val="none"/>
        </w:rPr>
        <w:t>年提交的第四次报告</w:t>
      </w:r>
      <w:bookmarkEnd w:id="1"/>
    </w:p>
    <w:p w:rsidR="00000000" w:rsidRDefault="00000000">
      <w:pPr>
        <w:pStyle w:val="Heading3"/>
        <w:rPr>
          <w:rFonts w:ascii="Time New Roman" w:eastAsia="SimHei" w:hAnsi="Time New Roman" w:hint="eastAsia"/>
          <w:u w:val="none"/>
        </w:rPr>
      </w:pPr>
      <w:bookmarkStart w:id="2" w:name="_Toc148327714"/>
      <w:r>
        <w:rPr>
          <w:rFonts w:ascii="Time New Roman" w:eastAsia="SimHei" w:hAnsi="Time New Roman" w:hint="eastAsia"/>
          <w:u w:val="none"/>
        </w:rPr>
        <w:t>增</w:t>
      </w:r>
      <w:r>
        <w:rPr>
          <w:rFonts w:ascii="Time New Roman" w:eastAsia="SimHei" w:hAnsi="Time New Roman"/>
          <w:u w:val="none"/>
        </w:rPr>
        <w:t xml:space="preserve">  </w:t>
      </w:r>
      <w:r>
        <w:rPr>
          <w:rFonts w:ascii="Time New Roman" w:eastAsia="SimHei" w:hAnsi="Time New Roman" w:hint="eastAsia"/>
          <w:u w:val="none"/>
        </w:rPr>
        <w:t>编</w:t>
      </w:r>
      <w:bookmarkEnd w:id="2"/>
    </w:p>
    <w:p w:rsidR="00000000" w:rsidRDefault="00000000">
      <w:pPr>
        <w:pStyle w:val="Heading3"/>
        <w:rPr>
          <w:rFonts w:ascii="Time New Roman" w:eastAsia="SimHei" w:hAnsi="Time New Roman" w:hint="eastAsia"/>
          <w:u w:val="none"/>
        </w:rPr>
      </w:pPr>
      <w:bookmarkStart w:id="3" w:name="_Toc148327715"/>
      <w:r>
        <w:rPr>
          <w:rFonts w:ascii="Time New Roman" w:eastAsia="SimHei" w:hAnsi="Time New Roman" w:hint="eastAsia"/>
          <w:sz w:val="28"/>
          <w:u w:val="none"/>
        </w:rPr>
        <w:t>澳门特别行政区</w:t>
      </w:r>
      <w:r>
        <w:rPr>
          <w:rStyle w:val="FootnoteReference"/>
          <w:rFonts w:ascii="Time New Roman" w:eastAsia="SimHei" w:hAnsi="Time New Roman"/>
          <w:kern w:val="0"/>
          <w:position w:val="6"/>
          <w:u w:val="none"/>
          <w:vertAlign w:val="baseline"/>
        </w:rPr>
        <w:footnoteReference w:customMarkFollows="1" w:id="1"/>
        <w:sym w:font="Symbol" w:char="F02A"/>
      </w:r>
      <w:r>
        <w:rPr>
          <w:rFonts w:ascii="Time New Roman" w:eastAsia="SimHei" w:hAnsi="Time New Roman" w:hint="eastAsia"/>
          <w:kern w:val="0"/>
          <w:position w:val="6"/>
          <w:u w:val="none"/>
        </w:rPr>
        <w:t xml:space="preserve"> </w:t>
      </w:r>
      <w:r>
        <w:rPr>
          <w:rStyle w:val="FootnoteReference"/>
          <w:rFonts w:ascii="Time New Roman" w:eastAsia="SimHei" w:hAnsi="Time New Roman"/>
          <w:bCs/>
          <w:kern w:val="0"/>
          <w:position w:val="6"/>
          <w:u w:val="none"/>
          <w:vertAlign w:val="baseline"/>
        </w:rPr>
        <w:footnoteReference w:customMarkFollows="1" w:id="2"/>
        <w:sym w:font="Symbol" w:char="F02A"/>
      </w:r>
      <w:r>
        <w:rPr>
          <w:rStyle w:val="FootnoteReference"/>
          <w:rFonts w:ascii="Time New Roman" w:eastAsia="SimHei" w:hAnsi="Time New Roman"/>
          <w:bCs/>
          <w:kern w:val="0"/>
          <w:position w:val="6"/>
          <w:u w:val="none"/>
          <w:vertAlign w:val="baseline"/>
        </w:rPr>
        <w:sym w:font="Symbol" w:char="F02A"/>
      </w:r>
      <w:r>
        <w:rPr>
          <w:rFonts w:ascii="Time New Roman" w:eastAsia="SimHei" w:hAnsi="Time New Roman" w:hint="eastAsia"/>
          <w:bCs/>
          <w:kern w:val="0"/>
          <w:position w:val="6"/>
          <w:u w:val="none"/>
        </w:rPr>
        <w:t xml:space="preserve"> </w:t>
      </w:r>
      <w:r>
        <w:rPr>
          <w:rStyle w:val="FootnoteReference"/>
          <w:rFonts w:ascii="Time New Roman" w:eastAsia="SimHei" w:hAnsi="Time New Roman"/>
          <w:kern w:val="0"/>
          <w:position w:val="6"/>
          <w:u w:val="none"/>
          <w:vertAlign w:val="baseline"/>
        </w:rPr>
        <w:footnoteReference w:customMarkFollows="1" w:id="3"/>
        <w:sym w:font="Symbol" w:char="F02A"/>
      </w:r>
      <w:r>
        <w:rPr>
          <w:rStyle w:val="FootnoteReference"/>
          <w:rFonts w:ascii="Time New Roman" w:eastAsia="SimHei" w:hAnsi="Time New Roman"/>
          <w:kern w:val="0"/>
          <w:position w:val="6"/>
          <w:u w:val="none"/>
          <w:vertAlign w:val="baseline"/>
        </w:rPr>
        <w:sym w:font="Symbol" w:char="F02A"/>
      </w:r>
      <w:r>
        <w:rPr>
          <w:rStyle w:val="FootnoteReference"/>
          <w:rFonts w:ascii="Time New Roman" w:eastAsia="SimHei" w:hAnsi="Time New Roman"/>
          <w:kern w:val="0"/>
          <w:position w:val="6"/>
          <w:u w:val="none"/>
          <w:vertAlign w:val="baseline"/>
        </w:rPr>
        <w:sym w:font="Symbol" w:char="F02A"/>
      </w:r>
      <w:bookmarkEnd w:id="3"/>
    </w:p>
    <w:p w:rsidR="00000000" w:rsidRDefault="00000000">
      <w:pPr>
        <w:jc w:val="right"/>
        <w:rPr>
          <w:rFonts w:hint="eastAsia"/>
        </w:rPr>
      </w:pPr>
      <w:r>
        <w:rPr>
          <w:rFonts w:hint="eastAsia"/>
        </w:rPr>
        <w:t>[2006</w:t>
      </w:r>
      <w:r>
        <w:rPr>
          <w:rFonts w:hint="eastAsia"/>
        </w:rPr>
        <w:t>年</w:t>
      </w:r>
      <w:r>
        <w:rPr>
          <w:rFonts w:hint="eastAsia"/>
        </w:rPr>
        <w:t>6</w:t>
      </w:r>
      <w:r>
        <w:rPr>
          <w:rFonts w:hint="eastAsia"/>
        </w:rPr>
        <w:t>月</w:t>
      </w:r>
      <w:r>
        <w:rPr>
          <w:rFonts w:hint="eastAsia"/>
        </w:rPr>
        <w:t>14</w:t>
      </w:r>
      <w:r>
        <w:rPr>
          <w:rFonts w:hint="eastAsia"/>
        </w:rPr>
        <w:t>日</w:t>
      </w:r>
      <w:r>
        <w:rPr>
          <w:rFonts w:hint="eastAsia"/>
        </w:rPr>
        <w:t>]</w:t>
      </w:r>
    </w:p>
    <w:p w:rsidR="00000000" w:rsidRDefault="00000000">
      <w:pPr>
        <w:pStyle w:val="a7"/>
        <w:spacing w:line="288" w:lineRule="auto"/>
        <w:jc w:val="center"/>
        <w:rPr>
          <w:snapToGrid/>
          <w:sz w:val="26"/>
        </w:rPr>
      </w:pPr>
      <w:r>
        <w:br w:type="page"/>
      </w:r>
      <w:r>
        <w:rPr>
          <w:rFonts w:hint="eastAsia"/>
          <w:snapToGrid/>
          <w:sz w:val="26"/>
        </w:rPr>
        <w:t>目</w:t>
      </w:r>
      <w:r>
        <w:rPr>
          <w:snapToGrid/>
          <w:sz w:val="26"/>
        </w:rPr>
        <w:tab/>
      </w:r>
      <w:r>
        <w:rPr>
          <w:rFonts w:hint="eastAsia"/>
          <w:snapToGrid/>
          <w:sz w:val="26"/>
        </w:rPr>
        <w:t>录</w:t>
      </w:r>
    </w:p>
    <w:p w:rsidR="00000000" w:rsidRDefault="00000000">
      <w:pPr>
        <w:pStyle w:val="a7"/>
        <w:keepNext/>
        <w:tabs>
          <w:tab w:val="clear" w:pos="7201"/>
          <w:tab w:val="clear" w:pos="8618"/>
          <w:tab w:val="left" w:pos="7088"/>
          <w:tab w:val="left" w:pos="8080"/>
          <w:tab w:val="left" w:pos="8640"/>
        </w:tabs>
        <w:spacing w:after="120" w:line="336" w:lineRule="auto"/>
        <w:rPr>
          <w:snapToGrid/>
          <w:sz w:val="26"/>
          <w:u w:val="single"/>
        </w:rPr>
      </w:pPr>
      <w:r>
        <w:rPr>
          <w:rFonts w:eastAsia="长城楷体" w:hint="eastAsia"/>
          <w:kern w:val="24"/>
          <w:sz w:val="26"/>
        </w:rPr>
        <w:tab/>
      </w:r>
      <w:r>
        <w:rPr>
          <w:rFonts w:eastAsia="长城楷体"/>
          <w:kern w:val="24"/>
          <w:sz w:val="26"/>
        </w:rPr>
        <w:tab/>
      </w:r>
      <w:r>
        <w:rPr>
          <w:rFonts w:eastAsia="长城楷体"/>
          <w:kern w:val="24"/>
          <w:sz w:val="26"/>
        </w:rPr>
        <w:tab/>
      </w:r>
      <w:r>
        <w:rPr>
          <w:rFonts w:eastAsia="长城楷体"/>
          <w:kern w:val="24"/>
          <w:sz w:val="26"/>
        </w:rPr>
        <w:tab/>
      </w:r>
      <w:r>
        <w:rPr>
          <w:rFonts w:eastAsia="长城楷体"/>
          <w:kern w:val="24"/>
          <w:sz w:val="26"/>
        </w:rPr>
        <w:tab/>
      </w:r>
      <w:r>
        <w:rPr>
          <w:rFonts w:hint="eastAsia"/>
          <w:snapToGrid/>
          <w:sz w:val="26"/>
          <w:u w:val="single"/>
        </w:rPr>
        <w:t>页</w:t>
      </w:r>
      <w:r>
        <w:rPr>
          <w:snapToGrid/>
          <w:sz w:val="26"/>
          <w:u w:val="single"/>
        </w:rPr>
        <w:tab/>
      </w:r>
      <w:r>
        <w:rPr>
          <w:rFonts w:hint="eastAsia"/>
          <w:snapToGrid/>
          <w:sz w:val="26"/>
          <w:u w:val="single"/>
        </w:rPr>
        <w:t>次</w:t>
      </w:r>
    </w:p>
    <w:p w:rsidR="00000000" w:rsidRDefault="00000000">
      <w:pPr>
        <w:pStyle w:val="aa"/>
        <w:tabs>
          <w:tab w:val="clear" w:pos="1531"/>
          <w:tab w:val="clear" w:pos="2041"/>
        </w:tabs>
        <w:spacing w:line="288" w:lineRule="auto"/>
        <w:rPr>
          <w:rFonts w:hint="eastAsia"/>
        </w:rPr>
      </w:pPr>
      <w:r>
        <w:rPr>
          <w:rFonts w:hint="eastAsia"/>
        </w:rPr>
        <w:t>序</w:t>
      </w:r>
      <w:r>
        <w:rPr>
          <w:rFonts w:hint="eastAsia"/>
        </w:rPr>
        <w:t xml:space="preserve">  </w:t>
      </w:r>
      <w:r>
        <w:rPr>
          <w:rFonts w:hint="eastAsia"/>
        </w:rPr>
        <w:t>言</w:t>
      </w:r>
      <w:r>
        <w:rPr>
          <w:rFonts w:hint="eastAsia"/>
        </w:rPr>
        <w:t>..............</w:t>
      </w:r>
      <w:r>
        <w:rPr>
          <w:rFonts w:hint="eastAsia"/>
        </w:rPr>
        <w:tab/>
      </w:r>
      <w:r>
        <w:rPr>
          <w:rFonts w:hint="eastAsia"/>
        </w:rPr>
        <w:tab/>
        <w:t>3</w:t>
      </w:r>
    </w:p>
    <w:p w:rsidR="00000000" w:rsidRDefault="00000000">
      <w:pPr>
        <w:pStyle w:val="aa"/>
        <w:tabs>
          <w:tab w:val="clear" w:pos="1531"/>
          <w:tab w:val="clear" w:pos="2041"/>
        </w:tabs>
        <w:spacing w:line="288" w:lineRule="auto"/>
        <w:rPr>
          <w:rFonts w:hint="eastAsia"/>
        </w:rPr>
      </w:pPr>
      <w:r>
        <w:rPr>
          <w:rFonts w:hint="eastAsia"/>
        </w:rPr>
        <w:t>第一部分</w:t>
      </w:r>
      <w:r>
        <w:rPr>
          <w:rFonts w:hint="eastAsia"/>
        </w:rPr>
        <w:t xml:space="preserve">  </w:t>
      </w:r>
      <w:r>
        <w:rPr>
          <w:rFonts w:hint="eastAsia"/>
        </w:rPr>
        <w:t>概</w:t>
      </w:r>
      <w:r>
        <w:rPr>
          <w:rFonts w:hint="eastAsia"/>
        </w:rPr>
        <w:t xml:space="preserve">  </w:t>
      </w:r>
      <w:r>
        <w:rPr>
          <w:rFonts w:hint="eastAsia"/>
        </w:rPr>
        <w:t>述</w:t>
      </w:r>
      <w:r>
        <w:rPr>
          <w:rFonts w:hint="eastAsia"/>
        </w:rPr>
        <w:tab/>
      </w:r>
      <w:r>
        <w:rPr>
          <w:rFonts w:hint="eastAsia"/>
        </w:rPr>
        <w:tab/>
        <w:t>4</w:t>
      </w:r>
    </w:p>
    <w:p w:rsidR="00000000" w:rsidRDefault="00000000">
      <w:pPr>
        <w:pStyle w:val="aa"/>
        <w:tabs>
          <w:tab w:val="clear" w:pos="1531"/>
          <w:tab w:val="clear" w:pos="2041"/>
        </w:tabs>
        <w:spacing w:line="288" w:lineRule="auto"/>
        <w:rPr>
          <w:rFonts w:hint="eastAsia"/>
        </w:rPr>
      </w:pPr>
      <w:r>
        <w:rPr>
          <w:rFonts w:hint="eastAsia"/>
        </w:rPr>
        <w:t>第二部分</w:t>
      </w:r>
      <w:r>
        <w:rPr>
          <w:rFonts w:hint="eastAsia"/>
        </w:rPr>
        <w:t xml:space="preserve">  </w:t>
      </w:r>
      <w:r>
        <w:rPr>
          <w:rFonts w:hint="eastAsia"/>
        </w:rPr>
        <w:t>关于公约第一部分各条分述</w:t>
      </w:r>
      <w:r>
        <w:rPr>
          <w:rFonts w:hint="eastAsia"/>
        </w:rPr>
        <w:tab/>
      </w:r>
      <w:r>
        <w:rPr>
          <w:rFonts w:hint="eastAsia"/>
        </w:rPr>
        <w:tab/>
        <w:t>7</w:t>
      </w:r>
    </w:p>
    <w:p w:rsidR="00000000" w:rsidRDefault="00000000">
      <w:pPr>
        <w:pStyle w:val="aa"/>
        <w:tabs>
          <w:tab w:val="clear" w:pos="1531"/>
          <w:tab w:val="clear" w:pos="2041"/>
        </w:tabs>
        <w:spacing w:line="288" w:lineRule="auto"/>
        <w:ind w:left="1010"/>
        <w:rPr>
          <w:rFonts w:hint="eastAsia"/>
        </w:rPr>
      </w:pPr>
      <w:r>
        <w:rPr>
          <w:rFonts w:hint="eastAsia"/>
        </w:rPr>
        <w:t>第一条</w:t>
      </w:r>
      <w:r>
        <w:rPr>
          <w:rFonts w:hint="eastAsia"/>
        </w:rPr>
        <w:tab/>
      </w:r>
      <w:r>
        <w:rPr>
          <w:rFonts w:hint="eastAsia"/>
        </w:rPr>
        <w:tab/>
        <w:t>7</w:t>
      </w:r>
    </w:p>
    <w:p w:rsidR="00000000" w:rsidRDefault="00000000">
      <w:pPr>
        <w:pStyle w:val="aa"/>
        <w:tabs>
          <w:tab w:val="clear" w:pos="1531"/>
          <w:tab w:val="clear" w:pos="2041"/>
        </w:tabs>
        <w:spacing w:line="288" w:lineRule="auto"/>
        <w:ind w:left="1010"/>
        <w:rPr>
          <w:rFonts w:hint="eastAsia"/>
        </w:rPr>
      </w:pPr>
      <w:r>
        <w:rPr>
          <w:rFonts w:hint="eastAsia"/>
        </w:rPr>
        <w:t>第二条</w:t>
      </w:r>
      <w:r>
        <w:rPr>
          <w:rFonts w:hint="eastAsia"/>
        </w:rPr>
        <w:tab/>
      </w:r>
      <w:r>
        <w:rPr>
          <w:rFonts w:hint="eastAsia"/>
        </w:rPr>
        <w:tab/>
        <w:t>9</w:t>
      </w:r>
    </w:p>
    <w:p w:rsidR="00000000" w:rsidRDefault="00000000">
      <w:pPr>
        <w:pStyle w:val="aa"/>
        <w:tabs>
          <w:tab w:val="clear" w:pos="1531"/>
          <w:tab w:val="clear" w:pos="2041"/>
        </w:tabs>
        <w:spacing w:line="288" w:lineRule="auto"/>
        <w:ind w:left="1510"/>
        <w:rPr>
          <w:rFonts w:hint="eastAsia"/>
        </w:rPr>
      </w:pPr>
      <w:r>
        <w:rPr>
          <w:rFonts w:hint="eastAsia"/>
        </w:rPr>
        <w:t>为阻止实施酷刑的措施</w:t>
      </w:r>
      <w:r>
        <w:rPr>
          <w:rFonts w:hint="eastAsia"/>
        </w:rPr>
        <w:tab/>
      </w:r>
      <w:r>
        <w:rPr>
          <w:rFonts w:hint="eastAsia"/>
        </w:rPr>
        <w:tab/>
        <w:t>9</w:t>
      </w:r>
    </w:p>
    <w:p w:rsidR="00000000" w:rsidRDefault="00000000">
      <w:pPr>
        <w:pStyle w:val="aa"/>
        <w:tabs>
          <w:tab w:val="clear" w:pos="1531"/>
          <w:tab w:val="clear" w:pos="2041"/>
        </w:tabs>
        <w:spacing w:line="288" w:lineRule="auto"/>
        <w:ind w:left="1510"/>
        <w:rPr>
          <w:rFonts w:hint="eastAsia"/>
        </w:rPr>
      </w:pPr>
      <w:r>
        <w:rPr>
          <w:rFonts w:hint="eastAsia"/>
        </w:rPr>
        <w:t>禁止在非常情况下施行酷刑</w:t>
      </w:r>
      <w:r>
        <w:rPr>
          <w:rFonts w:hint="eastAsia"/>
        </w:rPr>
        <w:tab/>
      </w:r>
      <w:r>
        <w:rPr>
          <w:rFonts w:hint="eastAsia"/>
        </w:rPr>
        <w:tab/>
        <w:t>15</w:t>
      </w:r>
    </w:p>
    <w:p w:rsidR="00000000" w:rsidRDefault="00000000">
      <w:pPr>
        <w:pStyle w:val="aa"/>
        <w:tabs>
          <w:tab w:val="clear" w:pos="1531"/>
          <w:tab w:val="clear" w:pos="2041"/>
        </w:tabs>
        <w:spacing w:line="288" w:lineRule="auto"/>
        <w:ind w:left="1510"/>
        <w:rPr>
          <w:rFonts w:hint="eastAsia"/>
        </w:rPr>
      </w:pPr>
      <w:r>
        <w:rPr>
          <w:rFonts w:hint="eastAsia"/>
        </w:rPr>
        <w:t>不得为执行上级官员或政府的命令而施行酷刑</w:t>
      </w:r>
      <w:r>
        <w:rPr>
          <w:rFonts w:hint="eastAsia"/>
        </w:rPr>
        <w:tab/>
      </w:r>
      <w:r>
        <w:rPr>
          <w:rFonts w:hint="eastAsia"/>
        </w:rPr>
        <w:tab/>
        <w:t>16</w:t>
      </w:r>
    </w:p>
    <w:p w:rsidR="00000000" w:rsidRDefault="00000000">
      <w:pPr>
        <w:pStyle w:val="aa"/>
        <w:tabs>
          <w:tab w:val="clear" w:pos="1531"/>
          <w:tab w:val="clear" w:pos="2041"/>
        </w:tabs>
        <w:spacing w:line="288" w:lineRule="auto"/>
        <w:ind w:left="1010"/>
        <w:rPr>
          <w:rFonts w:hint="eastAsia"/>
        </w:rPr>
      </w:pPr>
      <w:r>
        <w:rPr>
          <w:rFonts w:hint="eastAsia"/>
        </w:rPr>
        <w:t>第三条</w:t>
      </w:r>
      <w:r>
        <w:rPr>
          <w:rFonts w:hint="eastAsia"/>
        </w:rPr>
        <w:tab/>
      </w:r>
      <w:r>
        <w:rPr>
          <w:rFonts w:hint="eastAsia"/>
        </w:rPr>
        <w:tab/>
        <w:t>16</w:t>
      </w:r>
    </w:p>
    <w:p w:rsidR="00000000" w:rsidRDefault="00000000">
      <w:pPr>
        <w:pStyle w:val="aa"/>
        <w:tabs>
          <w:tab w:val="clear" w:pos="1531"/>
          <w:tab w:val="clear" w:pos="2041"/>
        </w:tabs>
        <w:spacing w:line="288" w:lineRule="auto"/>
        <w:ind w:left="1010"/>
        <w:rPr>
          <w:rFonts w:hint="eastAsia"/>
        </w:rPr>
      </w:pPr>
      <w:r>
        <w:rPr>
          <w:rFonts w:hint="eastAsia"/>
        </w:rPr>
        <w:t>第四条</w:t>
      </w:r>
      <w:r>
        <w:rPr>
          <w:rFonts w:hint="eastAsia"/>
        </w:rPr>
        <w:tab/>
      </w:r>
      <w:r>
        <w:rPr>
          <w:rFonts w:hint="eastAsia"/>
        </w:rPr>
        <w:tab/>
        <w:t>18</w:t>
      </w:r>
    </w:p>
    <w:p w:rsidR="00000000" w:rsidRDefault="00000000">
      <w:pPr>
        <w:pStyle w:val="aa"/>
        <w:tabs>
          <w:tab w:val="clear" w:pos="1531"/>
          <w:tab w:val="clear" w:pos="2041"/>
        </w:tabs>
        <w:spacing w:line="288" w:lineRule="auto"/>
        <w:ind w:left="1010"/>
        <w:rPr>
          <w:rFonts w:hint="eastAsia"/>
        </w:rPr>
      </w:pPr>
      <w:r>
        <w:rPr>
          <w:rFonts w:hint="eastAsia"/>
        </w:rPr>
        <w:t>第五条</w:t>
      </w:r>
      <w:r>
        <w:rPr>
          <w:rFonts w:hint="eastAsia"/>
        </w:rPr>
        <w:tab/>
      </w:r>
      <w:r>
        <w:rPr>
          <w:rFonts w:hint="eastAsia"/>
        </w:rPr>
        <w:tab/>
        <w:t>19</w:t>
      </w:r>
    </w:p>
    <w:p w:rsidR="00000000" w:rsidRDefault="00000000">
      <w:pPr>
        <w:pStyle w:val="aa"/>
        <w:tabs>
          <w:tab w:val="clear" w:pos="1531"/>
          <w:tab w:val="clear" w:pos="2041"/>
        </w:tabs>
        <w:spacing w:line="288" w:lineRule="auto"/>
        <w:ind w:left="1010"/>
        <w:rPr>
          <w:rFonts w:hint="eastAsia"/>
        </w:rPr>
      </w:pPr>
      <w:r>
        <w:rPr>
          <w:rFonts w:hint="eastAsia"/>
        </w:rPr>
        <w:t>第六条</w:t>
      </w:r>
      <w:r>
        <w:rPr>
          <w:rFonts w:hint="eastAsia"/>
        </w:rPr>
        <w:tab/>
      </w:r>
      <w:r>
        <w:rPr>
          <w:rFonts w:hint="eastAsia"/>
        </w:rPr>
        <w:tab/>
        <w:t>20</w:t>
      </w:r>
    </w:p>
    <w:p w:rsidR="00000000" w:rsidRDefault="00000000">
      <w:pPr>
        <w:pStyle w:val="aa"/>
        <w:tabs>
          <w:tab w:val="clear" w:pos="1531"/>
          <w:tab w:val="clear" w:pos="2041"/>
        </w:tabs>
        <w:spacing w:line="288" w:lineRule="auto"/>
        <w:ind w:left="1010"/>
        <w:rPr>
          <w:rFonts w:hint="eastAsia"/>
        </w:rPr>
      </w:pPr>
      <w:r>
        <w:rPr>
          <w:rFonts w:hint="eastAsia"/>
        </w:rPr>
        <w:t>第七条</w:t>
      </w:r>
      <w:r>
        <w:rPr>
          <w:rFonts w:hint="eastAsia"/>
        </w:rPr>
        <w:tab/>
      </w:r>
      <w:r>
        <w:rPr>
          <w:rFonts w:hint="eastAsia"/>
        </w:rPr>
        <w:tab/>
        <w:t>22</w:t>
      </w:r>
    </w:p>
    <w:p w:rsidR="00000000" w:rsidRDefault="00000000">
      <w:pPr>
        <w:pStyle w:val="aa"/>
        <w:tabs>
          <w:tab w:val="clear" w:pos="1531"/>
          <w:tab w:val="clear" w:pos="2041"/>
        </w:tabs>
        <w:spacing w:line="288" w:lineRule="auto"/>
        <w:ind w:left="1010"/>
        <w:rPr>
          <w:rFonts w:hint="eastAsia"/>
        </w:rPr>
      </w:pPr>
      <w:r>
        <w:rPr>
          <w:rFonts w:hint="eastAsia"/>
        </w:rPr>
        <w:t>第八条</w:t>
      </w:r>
      <w:r>
        <w:rPr>
          <w:rFonts w:hint="eastAsia"/>
        </w:rPr>
        <w:tab/>
      </w:r>
      <w:r>
        <w:rPr>
          <w:rFonts w:hint="eastAsia"/>
        </w:rPr>
        <w:tab/>
        <w:t>22</w:t>
      </w:r>
    </w:p>
    <w:p w:rsidR="00000000" w:rsidRDefault="00000000">
      <w:pPr>
        <w:pStyle w:val="aa"/>
        <w:tabs>
          <w:tab w:val="clear" w:pos="1531"/>
          <w:tab w:val="clear" w:pos="2041"/>
        </w:tabs>
        <w:spacing w:line="288" w:lineRule="auto"/>
        <w:ind w:left="1010"/>
        <w:rPr>
          <w:rFonts w:hint="eastAsia"/>
        </w:rPr>
      </w:pPr>
      <w:r>
        <w:rPr>
          <w:rFonts w:hint="eastAsia"/>
        </w:rPr>
        <w:t>第九条</w:t>
      </w:r>
      <w:r>
        <w:rPr>
          <w:rFonts w:hint="eastAsia"/>
        </w:rPr>
        <w:tab/>
      </w:r>
      <w:r>
        <w:rPr>
          <w:rFonts w:hint="eastAsia"/>
        </w:rPr>
        <w:tab/>
        <w:t>22</w:t>
      </w:r>
    </w:p>
    <w:p w:rsidR="00000000" w:rsidRDefault="00000000">
      <w:pPr>
        <w:pStyle w:val="aa"/>
        <w:tabs>
          <w:tab w:val="clear" w:pos="1531"/>
          <w:tab w:val="clear" w:pos="2041"/>
        </w:tabs>
        <w:spacing w:line="288" w:lineRule="auto"/>
        <w:ind w:left="1010"/>
        <w:rPr>
          <w:rFonts w:hint="eastAsia"/>
        </w:rPr>
      </w:pPr>
      <w:r>
        <w:rPr>
          <w:rFonts w:hint="eastAsia"/>
        </w:rPr>
        <w:t>第十条</w:t>
      </w:r>
      <w:r>
        <w:rPr>
          <w:rFonts w:hint="eastAsia"/>
        </w:rPr>
        <w:tab/>
      </w:r>
      <w:r>
        <w:rPr>
          <w:rFonts w:hint="eastAsia"/>
        </w:rPr>
        <w:tab/>
        <w:t>23</w:t>
      </w:r>
    </w:p>
    <w:p w:rsidR="00000000" w:rsidRDefault="00000000">
      <w:pPr>
        <w:pStyle w:val="aa"/>
        <w:tabs>
          <w:tab w:val="clear" w:pos="1531"/>
          <w:tab w:val="clear" w:pos="2041"/>
        </w:tabs>
        <w:spacing w:line="288" w:lineRule="auto"/>
        <w:ind w:left="1510"/>
        <w:rPr>
          <w:rFonts w:hint="eastAsia"/>
        </w:rPr>
      </w:pPr>
      <w:r>
        <w:rPr>
          <w:rFonts w:hint="eastAsia"/>
        </w:rPr>
        <w:t>警察</w:t>
      </w:r>
      <w:r>
        <w:rPr>
          <w:rFonts w:hint="eastAsia"/>
        </w:rPr>
        <w:tab/>
      </w:r>
      <w:r>
        <w:rPr>
          <w:rFonts w:hint="eastAsia"/>
        </w:rPr>
        <w:tab/>
        <w:t>23</w:t>
      </w:r>
    </w:p>
    <w:p w:rsidR="00000000" w:rsidRDefault="00000000">
      <w:pPr>
        <w:pStyle w:val="aa"/>
        <w:tabs>
          <w:tab w:val="clear" w:pos="1531"/>
          <w:tab w:val="clear" w:pos="2041"/>
        </w:tabs>
        <w:spacing w:line="288" w:lineRule="auto"/>
        <w:ind w:left="1510"/>
        <w:rPr>
          <w:rFonts w:hint="eastAsia"/>
        </w:rPr>
      </w:pPr>
      <w:r>
        <w:rPr>
          <w:rFonts w:hint="eastAsia"/>
        </w:rPr>
        <w:t>狱警</w:t>
      </w:r>
      <w:r>
        <w:rPr>
          <w:rFonts w:hint="eastAsia"/>
        </w:rPr>
        <w:tab/>
      </w:r>
      <w:r>
        <w:rPr>
          <w:rFonts w:hint="eastAsia"/>
        </w:rPr>
        <w:tab/>
        <w:t>24</w:t>
      </w:r>
    </w:p>
    <w:p w:rsidR="00000000" w:rsidRDefault="00000000">
      <w:pPr>
        <w:pStyle w:val="aa"/>
        <w:tabs>
          <w:tab w:val="clear" w:pos="1531"/>
          <w:tab w:val="clear" w:pos="2041"/>
        </w:tabs>
        <w:spacing w:line="288" w:lineRule="auto"/>
        <w:ind w:left="1510"/>
        <w:rPr>
          <w:rFonts w:hint="eastAsia"/>
        </w:rPr>
      </w:pPr>
      <w:r>
        <w:rPr>
          <w:rFonts w:hint="eastAsia"/>
        </w:rPr>
        <w:t>司法官</w:t>
      </w:r>
      <w:r>
        <w:rPr>
          <w:rFonts w:hint="eastAsia"/>
        </w:rPr>
        <w:tab/>
      </w:r>
      <w:r>
        <w:rPr>
          <w:rFonts w:hint="eastAsia"/>
        </w:rPr>
        <w:tab/>
        <w:t>24</w:t>
      </w:r>
    </w:p>
    <w:p w:rsidR="00000000" w:rsidRDefault="00000000">
      <w:pPr>
        <w:pStyle w:val="aa"/>
        <w:tabs>
          <w:tab w:val="clear" w:pos="1531"/>
          <w:tab w:val="clear" w:pos="2041"/>
        </w:tabs>
        <w:spacing w:line="288" w:lineRule="auto"/>
        <w:ind w:left="1510"/>
        <w:rPr>
          <w:rFonts w:hint="eastAsia"/>
        </w:rPr>
      </w:pPr>
      <w:r>
        <w:rPr>
          <w:rFonts w:hint="eastAsia"/>
        </w:rPr>
        <w:t>廉政公署调查员</w:t>
      </w:r>
      <w:r>
        <w:rPr>
          <w:rFonts w:hint="eastAsia"/>
        </w:rPr>
        <w:tab/>
      </w:r>
      <w:r>
        <w:rPr>
          <w:rFonts w:hint="eastAsia"/>
        </w:rPr>
        <w:tab/>
        <w:t>25</w:t>
      </w:r>
    </w:p>
    <w:p w:rsidR="00000000" w:rsidRDefault="00000000">
      <w:pPr>
        <w:pStyle w:val="aa"/>
        <w:tabs>
          <w:tab w:val="clear" w:pos="1531"/>
          <w:tab w:val="clear" w:pos="2041"/>
        </w:tabs>
        <w:spacing w:line="288" w:lineRule="auto"/>
        <w:ind w:left="1510"/>
        <w:rPr>
          <w:rFonts w:hint="eastAsia"/>
        </w:rPr>
      </w:pPr>
      <w:r>
        <w:rPr>
          <w:rFonts w:hint="eastAsia"/>
        </w:rPr>
        <w:t>医务人员</w:t>
      </w:r>
      <w:r>
        <w:rPr>
          <w:rFonts w:hint="eastAsia"/>
        </w:rPr>
        <w:tab/>
      </w:r>
      <w:r>
        <w:rPr>
          <w:rFonts w:hint="eastAsia"/>
        </w:rPr>
        <w:tab/>
        <w:t>25</w:t>
      </w:r>
    </w:p>
    <w:p w:rsidR="00000000" w:rsidRDefault="00000000">
      <w:pPr>
        <w:pStyle w:val="aa"/>
        <w:tabs>
          <w:tab w:val="clear" w:pos="1531"/>
          <w:tab w:val="clear" w:pos="2041"/>
        </w:tabs>
        <w:spacing w:line="288" w:lineRule="auto"/>
        <w:ind w:left="1510"/>
        <w:rPr>
          <w:rFonts w:hint="eastAsia"/>
        </w:rPr>
      </w:pPr>
      <w:r>
        <w:rPr>
          <w:rFonts w:hint="eastAsia"/>
        </w:rPr>
        <w:t>公共教学人员</w:t>
      </w:r>
      <w:r>
        <w:rPr>
          <w:rFonts w:hint="eastAsia"/>
        </w:rPr>
        <w:tab/>
      </w:r>
      <w:r>
        <w:rPr>
          <w:rFonts w:hint="eastAsia"/>
        </w:rPr>
        <w:tab/>
        <w:t>26</w:t>
      </w:r>
    </w:p>
    <w:p w:rsidR="00000000" w:rsidRDefault="00000000">
      <w:pPr>
        <w:pStyle w:val="aa"/>
        <w:tabs>
          <w:tab w:val="clear" w:pos="1531"/>
          <w:tab w:val="clear" w:pos="2041"/>
        </w:tabs>
        <w:spacing w:line="288" w:lineRule="auto"/>
        <w:ind w:left="1010"/>
        <w:rPr>
          <w:rFonts w:hint="eastAsia"/>
        </w:rPr>
      </w:pPr>
      <w:r>
        <w:rPr>
          <w:rFonts w:hint="eastAsia"/>
        </w:rPr>
        <w:t>第十一条</w:t>
      </w:r>
      <w:r>
        <w:rPr>
          <w:rFonts w:hint="eastAsia"/>
        </w:rPr>
        <w:tab/>
      </w:r>
      <w:r>
        <w:rPr>
          <w:rFonts w:hint="eastAsia"/>
        </w:rPr>
        <w:tab/>
        <w:t>27</w:t>
      </w:r>
    </w:p>
    <w:p w:rsidR="00000000" w:rsidRDefault="00000000">
      <w:pPr>
        <w:pStyle w:val="aa"/>
        <w:tabs>
          <w:tab w:val="clear" w:pos="1531"/>
          <w:tab w:val="clear" w:pos="2041"/>
        </w:tabs>
        <w:spacing w:line="288" w:lineRule="auto"/>
        <w:ind w:left="1010"/>
        <w:rPr>
          <w:rFonts w:hint="eastAsia"/>
        </w:rPr>
      </w:pPr>
      <w:r>
        <w:rPr>
          <w:rFonts w:hint="eastAsia"/>
        </w:rPr>
        <w:t>第十二条</w:t>
      </w:r>
      <w:r>
        <w:rPr>
          <w:rFonts w:hint="eastAsia"/>
        </w:rPr>
        <w:tab/>
      </w:r>
      <w:r>
        <w:rPr>
          <w:rFonts w:hint="eastAsia"/>
        </w:rPr>
        <w:tab/>
        <w:t>28</w:t>
      </w:r>
    </w:p>
    <w:p w:rsidR="00000000" w:rsidRDefault="00000000">
      <w:pPr>
        <w:pStyle w:val="aa"/>
        <w:tabs>
          <w:tab w:val="clear" w:pos="1531"/>
          <w:tab w:val="clear" w:pos="2041"/>
        </w:tabs>
        <w:spacing w:line="288" w:lineRule="auto"/>
        <w:ind w:left="1010"/>
        <w:rPr>
          <w:rFonts w:hint="eastAsia"/>
        </w:rPr>
      </w:pPr>
      <w:r>
        <w:rPr>
          <w:rFonts w:hint="eastAsia"/>
        </w:rPr>
        <w:t>第十三条</w:t>
      </w:r>
      <w:r>
        <w:rPr>
          <w:rFonts w:hint="eastAsia"/>
        </w:rPr>
        <w:tab/>
      </w:r>
      <w:r>
        <w:rPr>
          <w:rFonts w:hint="eastAsia"/>
        </w:rPr>
        <w:tab/>
        <w:t>29</w:t>
      </w:r>
    </w:p>
    <w:p w:rsidR="00000000" w:rsidRDefault="00000000">
      <w:pPr>
        <w:pStyle w:val="aa"/>
        <w:tabs>
          <w:tab w:val="clear" w:pos="1531"/>
          <w:tab w:val="clear" w:pos="2041"/>
        </w:tabs>
        <w:spacing w:line="288" w:lineRule="auto"/>
        <w:ind w:left="1010"/>
        <w:rPr>
          <w:rFonts w:hint="eastAsia"/>
        </w:rPr>
      </w:pPr>
      <w:r>
        <w:rPr>
          <w:rFonts w:hint="eastAsia"/>
        </w:rPr>
        <w:t>第十四条</w:t>
      </w:r>
      <w:r>
        <w:rPr>
          <w:rFonts w:hint="eastAsia"/>
        </w:rPr>
        <w:tab/>
      </w:r>
      <w:r>
        <w:rPr>
          <w:rFonts w:hint="eastAsia"/>
        </w:rPr>
        <w:tab/>
        <w:t>32</w:t>
      </w:r>
    </w:p>
    <w:p w:rsidR="00000000" w:rsidRDefault="00000000">
      <w:pPr>
        <w:pStyle w:val="aa"/>
        <w:tabs>
          <w:tab w:val="clear" w:pos="1531"/>
          <w:tab w:val="clear" w:pos="2041"/>
        </w:tabs>
        <w:spacing w:line="288" w:lineRule="auto"/>
        <w:ind w:left="1010"/>
        <w:rPr>
          <w:rFonts w:hint="eastAsia"/>
        </w:rPr>
      </w:pPr>
      <w:r>
        <w:rPr>
          <w:rFonts w:hint="eastAsia"/>
        </w:rPr>
        <w:t>第十五条</w:t>
      </w:r>
      <w:r>
        <w:rPr>
          <w:rFonts w:hint="eastAsia"/>
        </w:rPr>
        <w:tab/>
      </w:r>
      <w:r>
        <w:rPr>
          <w:rFonts w:hint="eastAsia"/>
        </w:rPr>
        <w:tab/>
        <w:t>34</w:t>
      </w:r>
    </w:p>
    <w:p w:rsidR="00000000" w:rsidRDefault="00000000">
      <w:pPr>
        <w:pStyle w:val="aa"/>
        <w:tabs>
          <w:tab w:val="clear" w:pos="1531"/>
          <w:tab w:val="clear" w:pos="2041"/>
        </w:tabs>
        <w:spacing w:line="288" w:lineRule="auto"/>
        <w:ind w:left="1010"/>
        <w:rPr>
          <w:rFonts w:hint="eastAsia"/>
        </w:rPr>
      </w:pPr>
      <w:r>
        <w:rPr>
          <w:rFonts w:hint="eastAsia"/>
        </w:rPr>
        <w:t>第十六条</w:t>
      </w:r>
      <w:r>
        <w:rPr>
          <w:rFonts w:hint="eastAsia"/>
        </w:rPr>
        <w:tab/>
      </w:r>
      <w:r>
        <w:rPr>
          <w:rFonts w:hint="eastAsia"/>
        </w:rPr>
        <w:tab/>
        <w:t>34</w:t>
      </w:r>
    </w:p>
    <w:p w:rsidR="00000000" w:rsidRDefault="00000000">
      <w:pPr>
        <w:pStyle w:val="aa"/>
        <w:tabs>
          <w:tab w:val="clear" w:pos="1531"/>
          <w:tab w:val="clear" w:pos="2041"/>
        </w:tabs>
        <w:spacing w:line="288" w:lineRule="auto"/>
        <w:rPr>
          <w:rFonts w:hint="eastAsia"/>
        </w:rPr>
      </w:pPr>
      <w:r>
        <w:rPr>
          <w:rFonts w:hint="eastAsia"/>
        </w:rPr>
        <w:t>附件一</w:t>
      </w:r>
      <w:r>
        <w:rPr>
          <w:rFonts w:hint="eastAsia"/>
        </w:rPr>
        <w:t xml:space="preserve">  </w:t>
      </w:r>
      <w:r>
        <w:rPr>
          <w:rFonts w:hint="eastAsia"/>
        </w:rPr>
        <w:t>法例索引</w:t>
      </w:r>
      <w:r>
        <w:rPr>
          <w:rFonts w:hint="eastAsia"/>
        </w:rPr>
        <w:tab/>
      </w:r>
      <w:r>
        <w:rPr>
          <w:rFonts w:hint="eastAsia"/>
        </w:rPr>
        <w:tab/>
        <w:t>36</w:t>
      </w:r>
    </w:p>
    <w:p w:rsidR="00000000" w:rsidRDefault="00000000">
      <w:pPr>
        <w:pStyle w:val="aa"/>
        <w:tabs>
          <w:tab w:val="clear" w:pos="1531"/>
          <w:tab w:val="clear" w:pos="2041"/>
        </w:tabs>
        <w:spacing w:line="288" w:lineRule="auto"/>
        <w:rPr>
          <w:rFonts w:hint="eastAsia"/>
        </w:rPr>
      </w:pPr>
      <w:r>
        <w:rPr>
          <w:rFonts w:hint="eastAsia"/>
        </w:rPr>
        <w:t>附件二</w:t>
      </w:r>
      <w:r>
        <w:rPr>
          <w:rFonts w:hint="eastAsia"/>
        </w:rPr>
        <w:t xml:space="preserve">  </w:t>
      </w:r>
      <w:r>
        <w:rPr>
          <w:rFonts w:hint="eastAsia"/>
        </w:rPr>
        <w:t>多边条约索引</w:t>
      </w:r>
      <w:r>
        <w:rPr>
          <w:rFonts w:hint="eastAsia"/>
        </w:rPr>
        <w:tab/>
      </w:r>
      <w:r>
        <w:rPr>
          <w:rFonts w:hint="eastAsia"/>
        </w:rPr>
        <w:tab/>
        <w:t>39</w:t>
      </w:r>
    </w:p>
    <w:p w:rsidR="00000000" w:rsidRDefault="00000000">
      <w:pPr>
        <w:pStyle w:val="Heading2"/>
      </w:pPr>
      <w:r>
        <w:br w:type="page"/>
      </w:r>
      <w:bookmarkStart w:id="4" w:name="_Toc139353431"/>
      <w:bookmarkStart w:id="5" w:name="_Toc148327716"/>
      <w:r>
        <w:rPr>
          <w:rFonts w:hint="eastAsia"/>
        </w:rPr>
        <w:t>序</w:t>
      </w:r>
      <w:r>
        <w:rPr>
          <w:rFonts w:hint="eastAsia"/>
        </w:rPr>
        <w:t xml:space="preserve">  </w:t>
      </w:r>
      <w:r>
        <w:rPr>
          <w:rFonts w:hint="eastAsia"/>
        </w:rPr>
        <w:t>言</w:t>
      </w:r>
      <w:bookmarkEnd w:id="4"/>
      <w:bookmarkEnd w:id="5"/>
    </w:p>
    <w:p w:rsidR="00000000" w:rsidRDefault="00000000">
      <w:pPr>
        <w:rPr>
          <w:rFonts w:hint="eastAsia"/>
        </w:rPr>
      </w:pPr>
      <w:r>
        <w:tab/>
      </w:r>
      <w:r>
        <w:rPr>
          <w:spacing w:val="20"/>
          <w:szCs w:val="22"/>
        </w:rPr>
        <w:t>1.</w:t>
      </w:r>
      <w:r>
        <w:t xml:space="preserve">  </w:t>
      </w:r>
      <w:r>
        <w:rPr>
          <w:rFonts w:hint="eastAsia"/>
        </w:rPr>
        <w:t>本报告的第三部分是中华人民共和国根据《禁止酷刑和其他残忍、不人道或有辱人格的待遇或处罚公约》</w:t>
      </w:r>
      <w:r>
        <w:rPr>
          <w:rFonts w:hint="eastAsia"/>
        </w:rPr>
        <w:t>(</w:t>
      </w:r>
      <w:r>
        <w:rPr>
          <w:rFonts w:hint="eastAsia"/>
          <w:color w:val="000000"/>
        </w:rPr>
        <w:t>下</w:t>
      </w:r>
      <w:r>
        <w:rPr>
          <w:rFonts w:hint="eastAsia"/>
        </w:rPr>
        <w:t>称“公约”</w:t>
      </w:r>
      <w:r>
        <w:rPr>
          <w:rFonts w:hint="eastAsia"/>
        </w:rPr>
        <w:t>)</w:t>
      </w:r>
      <w:r>
        <w:rPr>
          <w:rFonts w:hint="eastAsia"/>
        </w:rPr>
        <w:t>第十九条第一款的规定，就澳门特别行政区履约进行首次汇报，所涉期间为一九九九年十二月二十日至二零零四年十二月三十一日。</w:t>
      </w:r>
    </w:p>
    <w:p w:rsidR="00000000" w:rsidRDefault="00000000">
      <w:r>
        <w:tab/>
      </w:r>
      <w:r>
        <w:rPr>
          <w:spacing w:val="20"/>
          <w:szCs w:val="22"/>
        </w:rPr>
        <w:t>2.</w:t>
      </w:r>
      <w:r>
        <w:t xml:space="preserve">  </w:t>
      </w:r>
      <w:r>
        <w:rPr>
          <w:rFonts w:hint="eastAsia"/>
        </w:rPr>
        <w:t>上述部分是按照</w:t>
      </w:r>
      <w:r>
        <w:rPr>
          <w:rFonts w:hint="eastAsia"/>
          <w:i/>
          <w:iCs/>
        </w:rPr>
        <w:t>反对酷刑委员会关于缔约国根据公约第十九条第一款规定提交首份报告的形式和内容一般指引</w:t>
      </w:r>
      <w:r>
        <w:rPr>
          <w:rFonts w:hint="eastAsia"/>
        </w:rPr>
        <w:t>(</w:t>
      </w:r>
      <w:r>
        <w:rPr>
          <w:rFonts w:hint="eastAsia"/>
        </w:rPr>
        <w:t>载于</w:t>
      </w:r>
      <w:r>
        <w:t>CAT</w:t>
      </w:r>
      <w:r>
        <w:rPr>
          <w:rFonts w:hint="eastAsia"/>
          <w:spacing w:val="20"/>
        </w:rPr>
        <w:t>/</w:t>
      </w:r>
      <w:r>
        <w:t>C</w:t>
      </w:r>
      <w:r>
        <w:rPr>
          <w:rFonts w:hint="eastAsia"/>
          <w:spacing w:val="20"/>
        </w:rPr>
        <w:t>/</w:t>
      </w:r>
      <w:r>
        <w:t>4</w:t>
      </w:r>
      <w:r>
        <w:rPr>
          <w:rFonts w:hint="eastAsia"/>
          <w:spacing w:val="20"/>
        </w:rPr>
        <w:t>/</w:t>
      </w:r>
      <w:r>
        <w:t>Rev.2</w:t>
      </w:r>
      <w:r>
        <w:rPr>
          <w:rFonts w:hint="eastAsia"/>
        </w:rPr>
        <w:t>文件及</w:t>
      </w:r>
      <w:r>
        <w:t>HRI</w:t>
      </w:r>
      <w:r>
        <w:rPr>
          <w:rFonts w:hint="eastAsia"/>
          <w:spacing w:val="20"/>
        </w:rPr>
        <w:t>/</w:t>
      </w:r>
      <w:r>
        <w:t>GEN</w:t>
      </w:r>
      <w:r>
        <w:rPr>
          <w:rFonts w:hint="eastAsia"/>
          <w:spacing w:val="20"/>
        </w:rPr>
        <w:t>/</w:t>
      </w:r>
      <w:r>
        <w:t>2</w:t>
      </w:r>
      <w:r>
        <w:rPr>
          <w:rFonts w:hint="eastAsia"/>
          <w:spacing w:val="20"/>
        </w:rPr>
        <w:t>/</w:t>
      </w:r>
      <w:r>
        <w:t>Rev.1</w:t>
      </w:r>
      <w:r>
        <w:rPr>
          <w:rFonts w:hint="eastAsia"/>
        </w:rPr>
        <w:t>文件</w:t>
      </w:r>
      <w:r>
        <w:rPr>
          <w:rFonts w:hint="eastAsia"/>
        </w:rPr>
        <w:t>)</w:t>
      </w:r>
      <w:r>
        <w:rPr>
          <w:rFonts w:hint="eastAsia"/>
        </w:rPr>
        <w:t>而编制，并应与中国核心文件的第二修订本</w:t>
      </w:r>
      <w:r>
        <w:rPr>
          <w:rFonts w:hint="eastAsia"/>
        </w:rPr>
        <w:t>(</w:t>
      </w:r>
      <w:r>
        <w:t>HRI</w:t>
      </w:r>
      <w:r>
        <w:rPr>
          <w:rFonts w:hint="eastAsia"/>
          <w:spacing w:val="20"/>
        </w:rPr>
        <w:t>/</w:t>
      </w:r>
      <w:r>
        <w:t>CORE</w:t>
      </w:r>
      <w:r>
        <w:rPr>
          <w:rFonts w:hint="eastAsia"/>
          <w:spacing w:val="20"/>
        </w:rPr>
        <w:t>/</w:t>
      </w:r>
      <w:r>
        <w:t>1</w:t>
      </w:r>
      <w:r>
        <w:rPr>
          <w:rFonts w:hint="eastAsia"/>
          <w:spacing w:val="20"/>
        </w:rPr>
        <w:t>/</w:t>
      </w:r>
      <w:r>
        <w:t>Add.21</w:t>
      </w:r>
      <w:r>
        <w:rPr>
          <w:rFonts w:hint="eastAsia"/>
          <w:spacing w:val="20"/>
        </w:rPr>
        <w:t>/</w:t>
      </w:r>
      <w:r>
        <w:t>Rev.2</w:t>
      </w:r>
      <w:r>
        <w:rPr>
          <w:rFonts w:hint="eastAsia"/>
        </w:rPr>
        <w:t>)</w:t>
      </w:r>
      <w:r>
        <w:rPr>
          <w:rFonts w:hint="eastAsia"/>
        </w:rPr>
        <w:t>第三部分配合阅览。</w:t>
      </w:r>
    </w:p>
    <w:p w:rsidR="00000000" w:rsidRDefault="00000000">
      <w:pPr>
        <w:rPr>
          <w:rFonts w:hint="eastAsia"/>
        </w:rPr>
      </w:pPr>
      <w:r>
        <w:tab/>
      </w:r>
      <w:r>
        <w:rPr>
          <w:spacing w:val="20"/>
          <w:szCs w:val="22"/>
        </w:rPr>
        <w:t>3.</w:t>
      </w:r>
      <w:r>
        <w:t xml:space="preserve">  </w:t>
      </w:r>
      <w:r>
        <w:rPr>
          <w:rFonts w:hint="eastAsia"/>
        </w:rPr>
        <w:t>上述中国核心文件第三部分载有关于澳门特别行政区地域、居民、政治体制及法律框架下保护人权的一般制度的概况。</w:t>
      </w:r>
    </w:p>
    <w:p w:rsidR="00000000" w:rsidRDefault="00000000">
      <w:r>
        <w:tab/>
      </w:r>
      <w:r>
        <w:rPr>
          <w:spacing w:val="20"/>
          <w:szCs w:val="22"/>
        </w:rPr>
        <w:t>4.</w:t>
      </w:r>
      <w:r>
        <w:t xml:space="preserve">  </w:t>
      </w:r>
      <w:r>
        <w:rPr>
          <w:rFonts w:hint="eastAsia"/>
        </w:rPr>
        <w:t>公约文本公布于一九九八年三月十六日第</w:t>
      </w:r>
      <w:r>
        <w:t>11</w:t>
      </w:r>
      <w:r>
        <w:rPr>
          <w:rFonts w:hint="eastAsia"/>
        </w:rPr>
        <w:t>期《澳门政府公报》第一组，并于一九九九年六月十五日适用于澳门。</w:t>
      </w:r>
    </w:p>
    <w:p w:rsidR="00000000" w:rsidRDefault="00000000">
      <w:pPr>
        <w:rPr>
          <w:rFonts w:hint="eastAsia"/>
        </w:rPr>
      </w:pPr>
      <w:r>
        <w:tab/>
      </w:r>
      <w:r>
        <w:rPr>
          <w:spacing w:val="20"/>
          <w:szCs w:val="22"/>
        </w:rPr>
        <w:t>5.</w:t>
      </w:r>
      <w:r>
        <w:t xml:space="preserve">  </w:t>
      </w:r>
      <w:r>
        <w:rPr>
          <w:rFonts w:hint="eastAsia"/>
        </w:rPr>
        <w:t>一九九九年十月十九日，中华人民共和国通知联合国秘书长公约于一九九九年十二月二十日后将继续适用于澳门特别行政区，并声明中国对有关公约第二十条及第三十条第一款的保留亦将同样适用于澳门特别行政区。</w:t>
      </w:r>
    </w:p>
    <w:p w:rsidR="00000000" w:rsidRDefault="00000000">
      <w:pPr>
        <w:rPr>
          <w:rFonts w:hint="eastAsia"/>
        </w:rPr>
      </w:pPr>
      <w:r>
        <w:tab/>
      </w:r>
      <w:r>
        <w:rPr>
          <w:spacing w:val="20"/>
          <w:szCs w:val="22"/>
        </w:rPr>
        <w:t>6.</w:t>
      </w:r>
      <w:r>
        <w:t xml:space="preserve">  </w:t>
      </w:r>
      <w:r>
        <w:rPr>
          <w:rFonts w:hint="eastAsia"/>
        </w:rPr>
        <w:t>一九九九年十二月二十日，中华人民共和国恢复对澳门行使主权，澳门特别行政区成立，《澳门特别行政区基本法》</w:t>
      </w:r>
      <w:r>
        <w:rPr>
          <w:rFonts w:hint="eastAsia"/>
        </w:rPr>
        <w:t>(</w:t>
      </w:r>
      <w:r>
        <w:rPr>
          <w:rFonts w:hint="eastAsia"/>
          <w:color w:val="000000"/>
        </w:rPr>
        <w:t>下</w:t>
      </w:r>
      <w:r>
        <w:rPr>
          <w:rFonts w:hint="eastAsia"/>
        </w:rPr>
        <w:t>称“基本法”</w:t>
      </w:r>
      <w:r>
        <w:rPr>
          <w:rFonts w:hint="eastAsia"/>
        </w:rPr>
        <w:t>)</w:t>
      </w:r>
      <w:r>
        <w:rPr>
          <w:rFonts w:hint="eastAsia"/>
        </w:rPr>
        <w:t>开始实施。</w:t>
      </w:r>
    </w:p>
    <w:p w:rsidR="00000000" w:rsidRDefault="00000000">
      <w:pPr>
        <w:rPr>
          <w:rFonts w:hint="eastAsia"/>
        </w:rPr>
      </w:pPr>
      <w:r>
        <w:tab/>
      </w:r>
      <w:r>
        <w:rPr>
          <w:spacing w:val="20"/>
          <w:szCs w:val="22"/>
        </w:rPr>
        <w:t>7.</w:t>
      </w:r>
      <w:r>
        <w:t xml:space="preserve">  </w:t>
      </w:r>
      <w:r>
        <w:rPr>
          <w:rFonts w:hint="eastAsia"/>
        </w:rPr>
        <w:t>根据“</w:t>
      </w:r>
      <w:r>
        <w:rPr>
          <w:rFonts w:hint="eastAsia"/>
          <w:i/>
        </w:rPr>
        <w:t>一国两制</w:t>
      </w:r>
      <w:r>
        <w:rPr>
          <w:rFonts w:hint="eastAsia"/>
          <w:i/>
        </w:rPr>
        <w:t xml:space="preserve"> </w:t>
      </w:r>
      <w:r>
        <w:rPr>
          <w:rFonts w:hint="eastAsia"/>
        </w:rPr>
        <w:t>”方针，《基本法》制定澳门特别行政区的一般原则、政策和规则，并确定澳门特别行政区享有自治的范围。</w:t>
      </w:r>
    </w:p>
    <w:p w:rsidR="00000000" w:rsidRDefault="00000000">
      <w:pPr>
        <w:rPr>
          <w:rFonts w:hint="eastAsia"/>
        </w:rPr>
      </w:pPr>
      <w:r>
        <w:tab/>
      </w:r>
      <w:r>
        <w:rPr>
          <w:spacing w:val="20"/>
          <w:szCs w:val="22"/>
        </w:rPr>
        <w:t>8.</w:t>
      </w:r>
      <w:r>
        <w:t xml:space="preserve">  </w:t>
      </w:r>
      <w:r>
        <w:rPr>
          <w:rFonts w:hint="eastAsia"/>
        </w:rPr>
        <w:t>按照《基本法》第二条规定，“中华人民共和国全国人民代表大会授权澳门特别行政区</w:t>
      </w:r>
      <w:r>
        <w:rPr>
          <w:rFonts w:hint="eastAsia"/>
        </w:rPr>
        <w:t>......</w:t>
      </w:r>
      <w:r>
        <w:rPr>
          <w:rFonts w:hint="eastAsia"/>
        </w:rPr>
        <w:t>实行高度自治，享有行政管理权、立法权、独立的司法权和终审权”。</w:t>
      </w:r>
    </w:p>
    <w:p w:rsidR="00000000" w:rsidRDefault="00000000">
      <w:r>
        <w:tab/>
      </w:r>
      <w:r>
        <w:rPr>
          <w:spacing w:val="20"/>
          <w:szCs w:val="22"/>
        </w:rPr>
        <w:t>9.</w:t>
      </w:r>
      <w:r>
        <w:t xml:space="preserve">  </w:t>
      </w:r>
      <w:r>
        <w:rPr>
          <w:rFonts w:hint="eastAsia"/>
        </w:rPr>
        <w:t>《基本法》具有宪法价值，事实上，该法的第十一条第二款规定</w:t>
      </w:r>
      <w:r>
        <w:t>：</w:t>
      </w:r>
      <w:r>
        <w:rPr>
          <w:rFonts w:hint="eastAsia"/>
        </w:rPr>
        <w:t>“澳门特别行政区的任何法律、法令、行政法规和其他规范性文件均不得同本法相抵触”。</w:t>
      </w:r>
    </w:p>
    <w:p w:rsidR="00000000" w:rsidRDefault="00000000"/>
    <w:p w:rsidR="00000000" w:rsidRDefault="00000000">
      <w:pPr>
        <w:pStyle w:val="Heading2"/>
      </w:pPr>
      <w:bookmarkStart w:id="6" w:name="_Toc139353432"/>
      <w:bookmarkStart w:id="7" w:name="_Toc148327717"/>
      <w:r>
        <w:rPr>
          <w:rFonts w:hint="eastAsia"/>
        </w:rPr>
        <w:t>第一部分</w:t>
      </w:r>
      <w:r>
        <w:t xml:space="preserve">  </w:t>
      </w:r>
      <w:r>
        <w:rPr>
          <w:rFonts w:hint="eastAsia"/>
        </w:rPr>
        <w:t>概</w:t>
      </w:r>
      <w:r>
        <w:rPr>
          <w:rFonts w:hint="eastAsia"/>
        </w:rPr>
        <w:t xml:space="preserve">  </w:t>
      </w:r>
      <w:r>
        <w:rPr>
          <w:rFonts w:hint="eastAsia"/>
        </w:rPr>
        <w:t>述</w:t>
      </w:r>
      <w:bookmarkEnd w:id="6"/>
      <w:bookmarkEnd w:id="7"/>
    </w:p>
    <w:p w:rsidR="00000000" w:rsidRDefault="00000000">
      <w:pPr>
        <w:rPr>
          <w:rFonts w:hint="eastAsia"/>
        </w:rPr>
      </w:pPr>
      <w:r>
        <w:tab/>
        <w:t>1</w:t>
      </w:r>
      <w:r>
        <w:rPr>
          <w:spacing w:val="20"/>
          <w:szCs w:val="22"/>
        </w:rPr>
        <w:t>0.</w:t>
      </w:r>
      <w:r>
        <w:t xml:space="preserve">  </w:t>
      </w:r>
      <w:r>
        <w:rPr>
          <w:rFonts w:hint="eastAsia"/>
        </w:rPr>
        <w:t>《基本法》第四条规定</w:t>
      </w:r>
      <w:r>
        <w:t>：</w:t>
      </w:r>
      <w:r>
        <w:rPr>
          <w:rFonts w:hint="eastAsia"/>
        </w:rPr>
        <w:t>“澳门特别行政区依法保障澳门特别行政区居民和其他人的权利和自由”。</w:t>
      </w:r>
    </w:p>
    <w:p w:rsidR="00000000" w:rsidRDefault="00000000">
      <w:pPr>
        <w:rPr>
          <w:rFonts w:hint="eastAsia"/>
        </w:rPr>
      </w:pPr>
      <w:r>
        <w:tab/>
        <w:t>1</w:t>
      </w:r>
      <w:r>
        <w:rPr>
          <w:spacing w:val="20"/>
          <w:szCs w:val="22"/>
        </w:rPr>
        <w:t>1.</w:t>
      </w:r>
      <w:r>
        <w:t xml:space="preserve">  </w:t>
      </w:r>
      <w:r>
        <w:rPr>
          <w:rFonts w:hint="eastAsia"/>
        </w:rPr>
        <w:t>《基本法》第十一条第一款进一步规定</w:t>
      </w:r>
      <w:r>
        <w:t>：</w:t>
      </w:r>
      <w:r>
        <w:rPr>
          <w:rFonts w:hint="eastAsia"/>
        </w:rPr>
        <w:t>“根据中华人民共和国宪法</w:t>
      </w:r>
      <w:r>
        <w:rPr>
          <w:rFonts w:hint="eastAsia"/>
        </w:rPr>
        <w:t>......</w:t>
      </w:r>
      <w:r>
        <w:rPr>
          <w:rFonts w:hint="eastAsia"/>
        </w:rPr>
        <w:t>澳门特别行政区的制度和政策，包括</w:t>
      </w:r>
      <w:r>
        <w:rPr>
          <w:rFonts w:hint="eastAsia"/>
        </w:rPr>
        <w:t>......</w:t>
      </w:r>
      <w:r>
        <w:rPr>
          <w:rFonts w:hint="eastAsia"/>
        </w:rPr>
        <w:t>保障居民的基本权利和自由的制度</w:t>
      </w:r>
      <w:r>
        <w:rPr>
          <w:rFonts w:hint="eastAsia"/>
        </w:rPr>
        <w:t>......</w:t>
      </w:r>
      <w:r>
        <w:rPr>
          <w:rFonts w:hint="eastAsia"/>
        </w:rPr>
        <w:t>均以本法的规定为依据”。</w:t>
      </w:r>
    </w:p>
    <w:p w:rsidR="00000000" w:rsidRDefault="00000000">
      <w:pPr>
        <w:rPr>
          <w:rFonts w:hint="eastAsia"/>
        </w:rPr>
      </w:pPr>
      <w:r>
        <w:tab/>
        <w:t xml:space="preserve">12.  </w:t>
      </w:r>
      <w:r>
        <w:rPr>
          <w:rFonts w:hint="eastAsia"/>
        </w:rPr>
        <w:t>澳门特别行政区居民的基本权利和义务确立于《基本法》的第三章，其中第四十条第二款明确规定这些权利“</w:t>
      </w:r>
      <w:r>
        <w:rPr>
          <w:rFonts w:hint="eastAsia"/>
          <w:i/>
          <w:iCs/>
        </w:rPr>
        <w:t>除依法规定外不得限制</w:t>
      </w:r>
      <w:r>
        <w:rPr>
          <w:rFonts w:hint="eastAsia"/>
        </w:rPr>
        <w:t>”。第四十三条并指出</w:t>
      </w:r>
      <w:r>
        <w:t>：</w:t>
      </w:r>
      <w:r>
        <w:rPr>
          <w:rFonts w:hint="eastAsia"/>
        </w:rPr>
        <w:t>“</w:t>
      </w:r>
      <w:r>
        <w:rPr>
          <w:rFonts w:hint="eastAsia"/>
          <w:i/>
          <w:iCs/>
        </w:rPr>
        <w:t>在澳门特别行政区境内的澳门居民以外的其他人，依法享有</w:t>
      </w:r>
      <w:r>
        <w:rPr>
          <w:rFonts w:hint="eastAsia"/>
          <w:i/>
          <w:iCs/>
        </w:rPr>
        <w:t>......</w:t>
      </w:r>
      <w:r>
        <w:rPr>
          <w:rFonts w:hint="eastAsia"/>
          <w:i/>
          <w:iCs/>
        </w:rPr>
        <w:t>澳门居民的权利和自由</w:t>
      </w:r>
      <w:r>
        <w:rPr>
          <w:rFonts w:hint="eastAsia"/>
        </w:rPr>
        <w:t>”。</w:t>
      </w:r>
    </w:p>
    <w:p w:rsidR="00000000" w:rsidRDefault="00000000">
      <w:pPr>
        <w:rPr>
          <w:rFonts w:hint="eastAsia"/>
        </w:rPr>
      </w:pPr>
      <w:r>
        <w:tab/>
        <w:t xml:space="preserve">13.  </w:t>
      </w:r>
      <w:r>
        <w:rPr>
          <w:rFonts w:hint="eastAsia"/>
        </w:rPr>
        <w:t>须注意的一点是，《基本法》第三章第二十八条第四款规定</w:t>
      </w:r>
      <w:r>
        <w:t>：</w:t>
      </w:r>
      <w:r>
        <w:rPr>
          <w:rFonts w:hint="eastAsia"/>
        </w:rPr>
        <w:t>“</w:t>
      </w:r>
      <w:r>
        <w:rPr>
          <w:rFonts w:hint="eastAsia"/>
          <w:i/>
          <w:iCs/>
        </w:rPr>
        <w:t>禁止对居民施行酷刑或予以非人道的对待</w:t>
      </w:r>
      <w:r>
        <w:rPr>
          <w:rFonts w:hint="eastAsia"/>
        </w:rPr>
        <w:t>”。对此，本文将作详细论述。</w:t>
      </w:r>
    </w:p>
    <w:p w:rsidR="00000000" w:rsidRDefault="00000000">
      <w:pPr>
        <w:rPr>
          <w:rFonts w:hint="eastAsia"/>
        </w:rPr>
      </w:pPr>
      <w:r>
        <w:tab/>
        <w:t xml:space="preserve">14.  </w:t>
      </w:r>
      <w:r>
        <w:rPr>
          <w:rFonts w:hint="eastAsia"/>
        </w:rPr>
        <w:t>就原有法律制度的存续，《基本法》第八条规定：“澳门原有的法律、法令、行政法规和其他规范性文件，除同本法相抵触或经澳门特别行政区立法机关或其他有关机关依照法定程序作出修改者外，予以保留。”</w:t>
      </w:r>
      <w:r>
        <w:t xml:space="preserve"> </w:t>
      </w:r>
      <w:r>
        <w:rPr>
          <w:rFonts w:hint="eastAsia"/>
        </w:rPr>
        <w:t>第十八条第一款又规定：“在澳门特别行政区实行的法律为本法以及本法第八条规定的澳门原有法律和澳门特别行政区立法机关制定的法律”。</w:t>
      </w:r>
    </w:p>
    <w:p w:rsidR="00000000" w:rsidRDefault="00000000">
      <w:pPr>
        <w:rPr>
          <w:rFonts w:hint="eastAsia"/>
        </w:rPr>
      </w:pPr>
      <w:r>
        <w:tab/>
        <w:t xml:space="preserve">15.  </w:t>
      </w:r>
      <w:r>
        <w:rPr>
          <w:rFonts w:hint="eastAsia"/>
        </w:rPr>
        <w:t>第</w:t>
      </w:r>
      <w:r>
        <w:rPr>
          <w:rFonts w:hint="eastAsia"/>
        </w:rPr>
        <w:t>1/</w:t>
      </w:r>
      <w:r>
        <w:t>1</w:t>
      </w:r>
      <w:r>
        <w:rPr>
          <w:rFonts w:hint="eastAsia"/>
        </w:rPr>
        <w:t>99</w:t>
      </w:r>
      <w:r>
        <w:t>9</w:t>
      </w:r>
      <w:r>
        <w:rPr>
          <w:rFonts w:hint="eastAsia"/>
        </w:rPr>
        <w:t>号法律</w:t>
      </w:r>
      <w:r>
        <w:rPr>
          <w:rFonts w:hint="eastAsia"/>
        </w:rPr>
        <w:t>(</w:t>
      </w:r>
      <w:r>
        <w:rPr>
          <w:rFonts w:hint="eastAsia"/>
        </w:rPr>
        <w:t>回归法</w:t>
      </w:r>
      <w:r>
        <w:rPr>
          <w:rFonts w:hint="eastAsia"/>
        </w:rPr>
        <w:t>)</w:t>
      </w:r>
      <w:r>
        <w:rPr>
          <w:rFonts w:hint="eastAsia"/>
        </w:rPr>
        <w:t>重申保留原有法律制度的原则，列出因抵触《基本法》而不予采用的以前在澳门生效的法律、法令、规章及其他规范性文件。尽管如此，对于未被采纳为澳门特别行政区法律的法规所规范的内容，《回归法》是容许特区在制定新的法规前，可按《基本法》规定的原则和参照原有做法处理之。</w:t>
      </w:r>
    </w:p>
    <w:p w:rsidR="00000000" w:rsidRDefault="00000000">
      <w:pPr>
        <w:rPr>
          <w:rFonts w:hint="eastAsia"/>
        </w:rPr>
      </w:pPr>
      <w:r>
        <w:tab/>
        <w:t xml:space="preserve">16.  </w:t>
      </w:r>
      <w:r>
        <w:rPr>
          <w:rFonts w:hint="eastAsia"/>
        </w:rPr>
        <w:t>上述不被采用为澳门特别行政区的法规无一涉及人权。</w:t>
      </w:r>
    </w:p>
    <w:p w:rsidR="00000000" w:rsidRDefault="00000000">
      <w:r>
        <w:tab/>
        <w:t xml:space="preserve">17.  </w:t>
      </w:r>
      <w:r>
        <w:rPr>
          <w:rFonts w:hint="eastAsia"/>
        </w:rPr>
        <w:t>就普通法律而言，澳门《刑法典》第三编“危害和平及违反人道罪”中，规定并惩治酷刑及其他残忍、有辱人格或不人道之待遇罪，包括普通及加重犯罪形式</w:t>
      </w:r>
      <w:r>
        <w:rPr>
          <w:rFonts w:hint="eastAsia"/>
        </w:rPr>
        <w:t>(</w:t>
      </w:r>
      <w:r>
        <w:rPr>
          <w:rFonts w:hint="eastAsia"/>
        </w:rPr>
        <w:t>分别为第二百三十四条、第二百三十六条</w:t>
      </w:r>
      <w:r>
        <w:rPr>
          <w:rFonts w:hint="eastAsia"/>
        </w:rPr>
        <w:t>)</w:t>
      </w:r>
      <w:r>
        <w:rPr>
          <w:rFonts w:hint="eastAsia"/>
        </w:rPr>
        <w:t>，以及其他与此类行为相关的罪状，如“为施以酷刑而僭越职务”</w:t>
      </w:r>
      <w:r>
        <w:rPr>
          <w:rFonts w:hint="eastAsia"/>
        </w:rPr>
        <w:t>(</w:t>
      </w:r>
      <w:r>
        <w:rPr>
          <w:rFonts w:hint="eastAsia"/>
        </w:rPr>
        <w:t>由知悉下属犯有上述罪行的上级</w:t>
      </w:r>
      <w:r>
        <w:rPr>
          <w:rFonts w:hint="eastAsia"/>
        </w:rPr>
        <w:t>)</w:t>
      </w:r>
      <w:r>
        <w:rPr>
          <w:rFonts w:hint="eastAsia"/>
        </w:rPr>
        <w:t>及“检举之不作为”</w:t>
      </w:r>
      <w:r>
        <w:rPr>
          <w:rFonts w:hint="eastAsia"/>
        </w:rPr>
        <w:t>(</w:t>
      </w:r>
      <w:r>
        <w:rPr>
          <w:rFonts w:hint="eastAsia"/>
        </w:rPr>
        <w:t>分别为第二百三十五条与第二百三十七条</w:t>
      </w:r>
      <w:r>
        <w:rPr>
          <w:rFonts w:hint="eastAsia"/>
        </w:rPr>
        <w:t>)</w:t>
      </w:r>
      <w:r>
        <w:rPr>
          <w:rFonts w:hint="eastAsia"/>
        </w:rPr>
        <w:t>。</w:t>
      </w:r>
    </w:p>
    <w:p w:rsidR="00000000" w:rsidRDefault="00000000">
      <w:pPr>
        <w:rPr>
          <w:rFonts w:hint="eastAsia"/>
        </w:rPr>
      </w:pPr>
      <w:r>
        <w:tab/>
        <w:t xml:space="preserve">18.  </w:t>
      </w:r>
      <w:r>
        <w:rPr>
          <w:rFonts w:hint="eastAsia"/>
        </w:rPr>
        <w:t>另一方面，酷刑及其他残忍、有辱人格或不人道之待遇构成《刑法典》所规定的其他罪状的加重情节，例如，该等行为可被视为“灭绝种族”犯罪</w:t>
      </w:r>
      <w:r>
        <w:rPr>
          <w:rFonts w:hint="eastAsia"/>
        </w:rPr>
        <w:t>(</w:t>
      </w:r>
      <w:r>
        <w:rPr>
          <w:rFonts w:hint="eastAsia"/>
        </w:rPr>
        <w:t>第二百三十条</w:t>
      </w:r>
      <w:r>
        <w:t>c</w:t>
      </w:r>
      <w:r>
        <w:rPr>
          <w:rFonts w:hint="eastAsia"/>
        </w:rPr>
        <w:t>项</w:t>
      </w:r>
      <w:r>
        <w:rPr>
          <w:rFonts w:hint="eastAsia"/>
        </w:rPr>
        <w:t>)</w:t>
      </w:r>
      <w:r>
        <w:rPr>
          <w:rFonts w:hint="eastAsia"/>
        </w:rPr>
        <w:t>。</w:t>
      </w:r>
    </w:p>
    <w:p w:rsidR="00000000" w:rsidRDefault="00000000">
      <w:pPr>
        <w:rPr>
          <w:rFonts w:hint="eastAsia"/>
        </w:rPr>
      </w:pPr>
      <w:r>
        <w:rPr>
          <w:lang w:val="pt-PT"/>
        </w:rPr>
        <w:tab/>
        <w:t xml:space="preserve">19.  </w:t>
      </w:r>
      <w:r>
        <w:rPr>
          <w:rFonts w:hint="eastAsia"/>
        </w:rPr>
        <w:t>《刑法典》对于酷刑及其他残忍、有辱人格或不人道之待遇罪的规定范围并不宽于公约，这是因为只有在行为人担任特定职务</w:t>
      </w:r>
      <w:r>
        <w:rPr>
          <w:rFonts w:hint="eastAsia"/>
        </w:rPr>
        <w:t>(</w:t>
      </w:r>
      <w:r>
        <w:rPr>
          <w:rFonts w:hint="eastAsia"/>
        </w:rPr>
        <w:t>并非一定为公务人员或以公务名义行事者</w:t>
      </w:r>
      <w:r>
        <w:rPr>
          <w:rFonts w:hint="eastAsia"/>
        </w:rPr>
        <w:t>)</w:t>
      </w:r>
      <w:r>
        <w:rPr>
          <w:rFonts w:hint="eastAsia"/>
        </w:rPr>
        <w:t>，并意图扰乱被害人作出决定之能力或自由表达其意思的情况下，方构成有关罪状。</w:t>
      </w:r>
      <w:r>
        <w:rPr>
          <w:rFonts w:hint="eastAsia"/>
        </w:rPr>
        <w:t xml:space="preserve"> </w:t>
      </w:r>
    </w:p>
    <w:p w:rsidR="00000000" w:rsidRDefault="00000000">
      <w:pPr>
        <w:rPr>
          <w:rFonts w:hint="eastAsia"/>
        </w:rPr>
      </w:pPr>
      <w:r>
        <w:rPr>
          <w:lang w:val="pt-PT"/>
        </w:rPr>
        <w:tab/>
        <w:t xml:space="preserve">20.  </w:t>
      </w:r>
      <w:r>
        <w:rPr>
          <w:rFonts w:hint="eastAsia"/>
        </w:rPr>
        <w:t>就其他对于防范或惩治酷刑及其他残忍、有辱人格或不人道之待遇较为重要的特别法规，稍后将会提及。</w:t>
      </w:r>
    </w:p>
    <w:p w:rsidR="00000000" w:rsidRDefault="00000000">
      <w:pPr>
        <w:rPr>
          <w:rFonts w:hint="eastAsia"/>
        </w:rPr>
      </w:pPr>
      <w:r>
        <w:tab/>
        <w:t xml:space="preserve">21.  </w:t>
      </w:r>
      <w:r>
        <w:rPr>
          <w:rFonts w:hint="eastAsia"/>
        </w:rPr>
        <w:t>就关于酷刑的国际条约而言，须强调的是，一九六六年十二月十六日的《公民权利和政治权利的国际公约》第七条明文规定禁止酷刑或残忍的不人道的或侮辱性的待遇或刑罚，是适用于澳门特别行政区的。</w:t>
      </w:r>
    </w:p>
    <w:p w:rsidR="00000000" w:rsidRDefault="00000000">
      <w:pPr>
        <w:rPr>
          <w:rFonts w:hint="eastAsia"/>
        </w:rPr>
      </w:pPr>
      <w:r>
        <w:rPr>
          <w:lang w:val="pt-PT"/>
        </w:rPr>
        <w:tab/>
        <w:t xml:space="preserve">22.  </w:t>
      </w:r>
      <w:r>
        <w:rPr>
          <w:rFonts w:hint="eastAsia"/>
        </w:rPr>
        <w:t>《基本法》第四十条第一款规定：“《公民权利和政治权利国际公约》</w:t>
      </w:r>
      <w:r>
        <w:rPr>
          <w:rFonts w:hint="eastAsia"/>
        </w:rPr>
        <w:t>......</w:t>
      </w:r>
      <w:r>
        <w:rPr>
          <w:rFonts w:hint="eastAsia"/>
        </w:rPr>
        <w:t>的有关规定继续有效，通过澳门特别行政区的法律予以实施”。同条第二款又规定：“澳门居民享有的权利和自由，除依法规定外不得限制，此种限制不得与本条第一款规定抵触”。</w:t>
      </w:r>
    </w:p>
    <w:p w:rsidR="00000000" w:rsidRDefault="00000000">
      <w:r>
        <w:rPr>
          <w:lang w:val="pt-PT"/>
        </w:rPr>
        <w:tab/>
        <w:t xml:space="preserve">23.  </w:t>
      </w:r>
      <w:r>
        <w:rPr>
          <w:rFonts w:hint="eastAsia"/>
        </w:rPr>
        <w:t>尚须提及的是，明示或默示禁止酷刑的中国为成员国的有关武装冲突的</w:t>
      </w:r>
      <w:r>
        <w:rPr>
          <w:rFonts w:hint="eastAsia"/>
          <w:szCs w:val="22"/>
        </w:rPr>
        <w:t>一八九九年及一九零七年海牙公约、</w:t>
      </w:r>
      <w:r>
        <w:rPr>
          <w:rFonts w:hint="eastAsia"/>
        </w:rPr>
        <w:t>一九四九年八月十二日的四项日内瓦公约及其一九七七年六月八日的议定书等，同样适用于澳门特别行政区。</w:t>
      </w:r>
    </w:p>
    <w:p w:rsidR="00000000" w:rsidRDefault="00000000">
      <w:pPr>
        <w:rPr>
          <w:rFonts w:hint="eastAsia"/>
        </w:rPr>
      </w:pPr>
      <w:r>
        <w:tab/>
        <w:t xml:space="preserve">24.  </w:t>
      </w:r>
      <w:r>
        <w:rPr>
          <w:rFonts w:hint="eastAsia"/>
        </w:rPr>
        <w:t>就国际法的适用方面，澳门特别行政区的法制属大陆法系或民法法系，在特区生效的国际条约直接纳入特区适用的法律。</w:t>
      </w:r>
    </w:p>
    <w:p w:rsidR="00000000" w:rsidRDefault="00000000">
      <w:pPr>
        <w:rPr>
          <w:rFonts w:hint="eastAsia"/>
        </w:rPr>
      </w:pPr>
      <w:r>
        <w:rPr>
          <w:lang w:val="pt-PT"/>
        </w:rPr>
        <w:tab/>
        <w:t xml:space="preserve">25.  </w:t>
      </w:r>
      <w:r>
        <w:rPr>
          <w:rFonts w:hint="eastAsia"/>
        </w:rPr>
        <w:t>换言之，适用澳门特别行政区的国际条约在</w:t>
      </w:r>
      <w:r>
        <w:rPr>
          <w:rFonts w:ascii="PMingLiU" w:hint="eastAsia"/>
        </w:rPr>
        <w:t>《澳门特别行政区公报》公布后，直接在特区实施</w:t>
      </w:r>
      <w:r>
        <w:rPr>
          <w:rFonts w:hint="eastAsia"/>
        </w:rPr>
        <w:t>，有关规定可通过司法或非司法程序直接援引和适用。仅在条约的规定不得自行执行</w:t>
      </w:r>
      <w:r>
        <w:rPr>
          <w:rFonts w:hint="eastAsia"/>
        </w:rPr>
        <w:t>(</w:t>
      </w:r>
      <w:r>
        <w:rPr>
          <w:rFonts w:hint="eastAsia"/>
        </w:rPr>
        <w:t>如公约</w:t>
      </w:r>
      <w:r>
        <w:rPr>
          <w:rFonts w:hint="eastAsia"/>
        </w:rPr>
        <w:t>)</w:t>
      </w:r>
      <w:r>
        <w:rPr>
          <w:rFonts w:hint="eastAsia"/>
        </w:rPr>
        <w:t>的情况下，方制定本地法规以确保其落实。</w:t>
      </w:r>
    </w:p>
    <w:p w:rsidR="00000000" w:rsidRDefault="00000000">
      <w:pPr>
        <w:rPr>
          <w:rFonts w:hint="eastAsia"/>
        </w:rPr>
      </w:pPr>
      <w:r>
        <w:tab/>
        <w:t xml:space="preserve">26.  </w:t>
      </w:r>
      <w:r>
        <w:rPr>
          <w:rFonts w:hint="eastAsia"/>
        </w:rPr>
        <w:t>适用于澳门特别行政区之国际协约优于普通法律</w:t>
      </w:r>
      <w:r>
        <w:rPr>
          <w:rFonts w:hint="eastAsia"/>
        </w:rPr>
        <w:t>(</w:t>
      </w:r>
      <w:r>
        <w:rPr>
          <w:rFonts w:hint="eastAsia"/>
        </w:rPr>
        <w:t>《民法典》第一条第三款</w:t>
      </w:r>
      <w:r>
        <w:rPr>
          <w:rFonts w:hint="eastAsia"/>
        </w:rPr>
        <w:t>)</w:t>
      </w:r>
      <w:r>
        <w:rPr>
          <w:rFonts w:hint="eastAsia"/>
        </w:rPr>
        <w:t>。</w:t>
      </w:r>
    </w:p>
    <w:p w:rsidR="00000000" w:rsidRDefault="00000000">
      <w:pPr>
        <w:rPr>
          <w:rFonts w:hint="eastAsia"/>
        </w:rPr>
      </w:pPr>
      <w:r>
        <w:tab/>
        <w:t xml:space="preserve">27.  </w:t>
      </w:r>
      <w:r>
        <w:rPr>
          <w:rFonts w:hint="eastAsia"/>
        </w:rPr>
        <w:t>澳门特别行政区有权限介入涉及公约事务范围的首先是司法机关</w:t>
      </w:r>
      <w:r>
        <w:rPr>
          <w:rFonts w:hint="eastAsia"/>
        </w:rPr>
        <w:t>(</w:t>
      </w:r>
      <w:r>
        <w:rPr>
          <w:rFonts w:hint="eastAsia"/>
        </w:rPr>
        <w:t>即法院与检察院</w:t>
      </w:r>
      <w:r>
        <w:rPr>
          <w:rFonts w:hint="eastAsia"/>
        </w:rPr>
        <w:t>)</w:t>
      </w:r>
      <w:r>
        <w:rPr>
          <w:rFonts w:hint="eastAsia"/>
        </w:rPr>
        <w:t>及廉政公署。</w:t>
      </w:r>
    </w:p>
    <w:p w:rsidR="00000000" w:rsidRDefault="00000000">
      <w:pPr>
        <w:rPr>
          <w:rFonts w:hint="eastAsia"/>
        </w:rPr>
      </w:pPr>
      <w:r>
        <w:tab/>
        <w:t xml:space="preserve">28.  </w:t>
      </w:r>
      <w:r>
        <w:rPr>
          <w:rFonts w:hint="eastAsia"/>
        </w:rPr>
        <w:t>根据《基本法》第八十二条及第八十三条规定，“澳门特别行政区法院行使审判权”，“</w:t>
      </w:r>
      <w:r>
        <w:rPr>
          <w:rFonts w:hint="eastAsia"/>
        </w:rPr>
        <w:t>......</w:t>
      </w:r>
      <w:r>
        <w:rPr>
          <w:rFonts w:hint="eastAsia"/>
        </w:rPr>
        <w:t>独立进行审判，只服从法律，不受任何干涉”。</w:t>
      </w:r>
    </w:p>
    <w:p w:rsidR="00000000" w:rsidRDefault="00000000">
      <w:pPr>
        <w:rPr>
          <w:rFonts w:hint="eastAsia"/>
        </w:rPr>
      </w:pPr>
      <w:r>
        <w:tab/>
        <w:t xml:space="preserve">29.  </w:t>
      </w:r>
      <w:r>
        <w:rPr>
          <w:rFonts w:hint="eastAsia"/>
        </w:rPr>
        <w:t>《基本法》第八十四条规定澳门特别行政区设立第一审法院</w:t>
      </w:r>
      <w:r>
        <w:rPr>
          <w:rFonts w:hint="eastAsia"/>
        </w:rPr>
        <w:t>(</w:t>
      </w:r>
      <w:r>
        <w:rPr>
          <w:rFonts w:hint="eastAsia"/>
        </w:rPr>
        <w:t>初级法院及行政法院</w:t>
      </w:r>
      <w:r>
        <w:rPr>
          <w:rFonts w:hint="eastAsia"/>
        </w:rPr>
        <w:t>)</w:t>
      </w:r>
      <w:r>
        <w:rPr>
          <w:rFonts w:hint="eastAsia"/>
        </w:rPr>
        <w:t>、第二审法院</w:t>
      </w:r>
      <w:r>
        <w:rPr>
          <w:rFonts w:hint="eastAsia"/>
        </w:rPr>
        <w:t>(</w:t>
      </w:r>
      <w:r>
        <w:rPr>
          <w:rFonts w:hint="eastAsia"/>
        </w:rPr>
        <w:t>中级法院</w:t>
      </w:r>
      <w:r>
        <w:rPr>
          <w:rFonts w:hint="eastAsia"/>
        </w:rPr>
        <w:t>)</w:t>
      </w:r>
      <w:r>
        <w:rPr>
          <w:rFonts w:hint="eastAsia"/>
        </w:rPr>
        <w:t>和终审法院，后者负责特区的最终审判权力。</w:t>
      </w:r>
    </w:p>
    <w:p w:rsidR="00000000" w:rsidRDefault="00000000">
      <w:r>
        <w:rPr>
          <w:lang w:val="pt-PT"/>
        </w:rPr>
        <w:tab/>
        <w:t xml:space="preserve">30.  </w:t>
      </w:r>
      <w:r>
        <w:rPr>
          <w:rFonts w:hint="eastAsia"/>
        </w:rPr>
        <w:t>为实施《基本法》第八十四条的规定，经第</w:t>
      </w:r>
      <w:r>
        <w:t>9/2004</w:t>
      </w:r>
      <w:r>
        <w:rPr>
          <w:rFonts w:hint="eastAsia"/>
        </w:rPr>
        <w:t>号法律修改的第</w:t>
      </w:r>
      <w:r>
        <w:t>9/1999</w:t>
      </w:r>
      <w:r>
        <w:rPr>
          <w:rFonts w:hint="eastAsia"/>
        </w:rPr>
        <w:t>号法律</w:t>
      </w:r>
      <w:r>
        <w:rPr>
          <w:rFonts w:hint="eastAsia"/>
        </w:rPr>
        <w:t>(</w:t>
      </w:r>
      <w:r>
        <w:rPr>
          <w:rFonts w:hint="eastAsia"/>
        </w:rPr>
        <w:t>司法组织纲要法</w:t>
      </w:r>
      <w:r>
        <w:rPr>
          <w:rFonts w:hint="eastAsia"/>
        </w:rPr>
        <w:t>)</w:t>
      </w:r>
      <w:r>
        <w:rPr>
          <w:rFonts w:hint="eastAsia"/>
        </w:rPr>
        <w:t>，规范澳门特别行政区法院的组织、权限及运作。</w:t>
      </w:r>
    </w:p>
    <w:p w:rsidR="00000000" w:rsidRDefault="00000000">
      <w:pPr>
        <w:rPr>
          <w:rFonts w:hint="eastAsia"/>
        </w:rPr>
      </w:pPr>
      <w:r>
        <w:tab/>
        <w:t xml:space="preserve">31.  </w:t>
      </w:r>
      <w:r>
        <w:rPr>
          <w:rFonts w:hint="eastAsia"/>
        </w:rPr>
        <w:t>《司法组织纲要法》规定法院有职责维护受法律保护的权利及利益，遏止违反法律的行为，解决公、私利益冲突</w:t>
      </w:r>
      <w:r>
        <w:rPr>
          <w:rFonts w:hint="eastAsia"/>
        </w:rPr>
        <w:t>(</w:t>
      </w:r>
      <w:r>
        <w:rPr>
          <w:rFonts w:hint="eastAsia"/>
        </w:rPr>
        <w:t>第四条</w:t>
      </w:r>
      <w:r>
        <w:rPr>
          <w:rFonts w:hint="eastAsia"/>
        </w:rPr>
        <w:t>)</w:t>
      </w:r>
      <w:r>
        <w:rPr>
          <w:rFonts w:hint="eastAsia"/>
        </w:rPr>
        <w:t>。</w:t>
      </w:r>
    </w:p>
    <w:p w:rsidR="00000000" w:rsidRDefault="00000000">
      <w:pPr>
        <w:rPr>
          <w:rFonts w:hint="eastAsia"/>
        </w:rPr>
      </w:pPr>
      <w:r>
        <w:tab/>
        <w:t xml:space="preserve">32.  </w:t>
      </w:r>
      <w:r>
        <w:rPr>
          <w:rFonts w:hint="eastAsia"/>
        </w:rPr>
        <w:t>特别须提及的是，初级法院包括刑事起诉法庭，对执行徒刑和收容保安处分有管辖权〔《司法组织纲要法》第二十七条第二款，第二十九条第二款</w:t>
      </w:r>
      <w:r>
        <w:rPr>
          <w:rFonts w:hint="eastAsia"/>
        </w:rPr>
        <w:t>(</w:t>
      </w:r>
      <w:r>
        <w:rPr>
          <w:rFonts w:hint="eastAsia"/>
        </w:rPr>
        <w:t>二</w:t>
      </w:r>
      <w:r>
        <w:rPr>
          <w:rFonts w:hint="eastAsia"/>
        </w:rPr>
        <w:t>)</w:t>
      </w:r>
      <w:r>
        <w:rPr>
          <w:rFonts w:hint="eastAsia"/>
        </w:rPr>
        <w:t>、</w:t>
      </w:r>
      <w:r>
        <w:rPr>
          <w:rFonts w:hint="eastAsia"/>
        </w:rPr>
        <w:t>(</w:t>
      </w:r>
      <w:r>
        <w:rPr>
          <w:rFonts w:hint="eastAsia"/>
        </w:rPr>
        <w:t>三</w:t>
      </w:r>
      <w:r>
        <w:rPr>
          <w:rFonts w:hint="eastAsia"/>
        </w:rPr>
        <w:t>)</w:t>
      </w:r>
      <w:r>
        <w:rPr>
          <w:rFonts w:hint="eastAsia"/>
        </w:rPr>
        <w:t>、</w:t>
      </w:r>
      <w:r>
        <w:rPr>
          <w:rFonts w:hint="eastAsia"/>
        </w:rPr>
        <w:t>(</w:t>
      </w:r>
      <w:r>
        <w:rPr>
          <w:rFonts w:hint="eastAsia"/>
        </w:rPr>
        <w:t>十四</w:t>
      </w:r>
      <w:r>
        <w:rPr>
          <w:rFonts w:hint="eastAsia"/>
        </w:rPr>
        <w:t>)</w:t>
      </w:r>
      <w:r>
        <w:rPr>
          <w:rFonts w:hint="eastAsia"/>
        </w:rPr>
        <w:t>及</w:t>
      </w:r>
      <w:r>
        <w:rPr>
          <w:rFonts w:hint="eastAsia"/>
        </w:rPr>
        <w:t>(</w:t>
      </w:r>
      <w:r>
        <w:rPr>
          <w:rFonts w:hint="eastAsia"/>
        </w:rPr>
        <w:t>十五</w:t>
      </w:r>
      <w:r>
        <w:rPr>
          <w:rFonts w:hint="eastAsia"/>
        </w:rPr>
        <w:t>)</w:t>
      </w:r>
      <w:r>
        <w:rPr>
          <w:rFonts w:hint="eastAsia"/>
        </w:rPr>
        <w:t>项〕。</w:t>
      </w:r>
    </w:p>
    <w:p w:rsidR="00000000" w:rsidRDefault="00000000">
      <w:pPr>
        <w:rPr>
          <w:rFonts w:hint="eastAsia"/>
        </w:rPr>
      </w:pPr>
      <w:r>
        <w:rPr>
          <w:bCs/>
          <w:lang w:val="pt-PT"/>
        </w:rPr>
        <w:tab/>
        <w:t xml:space="preserve">33.  </w:t>
      </w:r>
      <w:r>
        <w:rPr>
          <w:rFonts w:hint="eastAsia"/>
        </w:rPr>
        <w:t>有关徒刑及收容保安处分之执行及其效果方面的司法介入制度，由十一月二十二日第</w:t>
      </w:r>
      <w:r>
        <w:t>86/99/M</w:t>
      </w:r>
      <w:r>
        <w:rPr>
          <w:rFonts w:hint="eastAsia"/>
        </w:rPr>
        <w:t>号法令规范，对此，将详细阐述。</w:t>
      </w:r>
    </w:p>
    <w:p w:rsidR="00000000" w:rsidRDefault="00000000">
      <w:pPr>
        <w:rPr>
          <w:rFonts w:hint="eastAsia"/>
        </w:rPr>
      </w:pPr>
      <w:r>
        <w:rPr>
          <w:lang w:val="pt-PT"/>
        </w:rPr>
        <w:tab/>
        <w:t xml:space="preserve">34.  </w:t>
      </w:r>
      <w:r>
        <w:rPr>
          <w:rFonts w:hint="eastAsia"/>
        </w:rPr>
        <w:t>检察院同样是“</w:t>
      </w:r>
      <w:r>
        <w:rPr>
          <w:rFonts w:hint="eastAsia"/>
          <w:i/>
          <w:iCs/>
        </w:rPr>
        <w:t>独立行使法律赋予的检察职能，不受任何干涉</w:t>
      </w:r>
      <w:r>
        <w:rPr>
          <w:rFonts w:hint="eastAsia"/>
        </w:rPr>
        <w:t>”</w:t>
      </w:r>
      <w:r>
        <w:rPr>
          <w:rFonts w:hint="eastAsia"/>
        </w:rPr>
        <w:t>(</w:t>
      </w:r>
      <w:r>
        <w:rPr>
          <w:rFonts w:hint="eastAsia"/>
        </w:rPr>
        <w:t>《基本法》第九十条第一款</w:t>
      </w:r>
      <w:r>
        <w:rPr>
          <w:rFonts w:hint="eastAsia"/>
        </w:rPr>
        <w:t>)</w:t>
      </w:r>
      <w:r>
        <w:rPr>
          <w:rFonts w:hint="eastAsia"/>
        </w:rPr>
        <w:t>。上述第</w:t>
      </w:r>
      <w:r>
        <w:t>9/1999</w:t>
      </w:r>
      <w:r>
        <w:rPr>
          <w:rFonts w:hint="eastAsia"/>
        </w:rPr>
        <w:t>号法律亦规范检察院的组织、权限及运作。</w:t>
      </w:r>
    </w:p>
    <w:p w:rsidR="00000000" w:rsidRDefault="00000000">
      <w:pPr>
        <w:rPr>
          <w:rFonts w:hint="eastAsia"/>
        </w:rPr>
      </w:pPr>
      <w:r>
        <w:rPr>
          <w:lang w:val="pt-PT"/>
        </w:rPr>
        <w:tab/>
        <w:t xml:space="preserve">35.  </w:t>
      </w:r>
      <w:r>
        <w:rPr>
          <w:rFonts w:hint="eastAsia"/>
        </w:rPr>
        <w:t>检察院的职责为实行刑事诉讼、领导刑事调查，以及监察、促进和合作进行预防犯罪的活动。除非诉讼法另有规定，检察院依职权参与诉讼</w:t>
      </w:r>
      <w:r>
        <w:rPr>
          <w:rFonts w:hint="eastAsia"/>
        </w:rPr>
        <w:t>(</w:t>
      </w:r>
      <w:r>
        <w:rPr>
          <w:rFonts w:hint="eastAsia"/>
        </w:rPr>
        <w:t>第</w:t>
      </w:r>
      <w:r>
        <w:t>9/1999</w:t>
      </w:r>
      <w:r>
        <w:rPr>
          <w:rFonts w:hint="eastAsia"/>
        </w:rPr>
        <w:t>号法律第五十六条第一款、第二款及第五十九条</w:t>
      </w:r>
      <w:r>
        <w:rPr>
          <w:rFonts w:hint="eastAsia"/>
        </w:rPr>
        <w:t>)</w:t>
      </w:r>
      <w:r>
        <w:rPr>
          <w:rFonts w:hint="eastAsia"/>
        </w:rPr>
        <w:t>。</w:t>
      </w:r>
    </w:p>
    <w:p w:rsidR="00000000" w:rsidRDefault="00000000">
      <w:pPr>
        <w:rPr>
          <w:rFonts w:hint="eastAsia"/>
        </w:rPr>
      </w:pPr>
      <w:r>
        <w:tab/>
        <w:t xml:space="preserve">36.  </w:t>
      </w:r>
      <w:r>
        <w:rPr>
          <w:rFonts w:hint="eastAsia"/>
        </w:rPr>
        <w:t>第</w:t>
      </w:r>
      <w:r>
        <w:t>10/1999</w:t>
      </w:r>
      <w:r>
        <w:rPr>
          <w:rFonts w:hint="eastAsia"/>
        </w:rPr>
        <w:t>号法律通过《司法官通则》，以确保独立行使职权必不可少的条件</w:t>
      </w:r>
      <w:r>
        <w:rPr>
          <w:rFonts w:hint="eastAsia"/>
        </w:rPr>
        <w:t>(</w:t>
      </w:r>
      <w:r>
        <w:rPr>
          <w:rFonts w:hint="eastAsia"/>
        </w:rPr>
        <w:t>第二条第二款</w:t>
      </w:r>
      <w:r>
        <w:rPr>
          <w:rFonts w:hint="eastAsia"/>
        </w:rPr>
        <w:t>)</w:t>
      </w:r>
      <w:r>
        <w:rPr>
          <w:rFonts w:hint="eastAsia"/>
        </w:rPr>
        <w:t>，其中包括法院司法官不可移调</w:t>
      </w:r>
      <w:r>
        <w:rPr>
          <w:rFonts w:hint="eastAsia"/>
        </w:rPr>
        <w:t>(</w:t>
      </w:r>
      <w:r>
        <w:rPr>
          <w:rFonts w:hint="eastAsia"/>
        </w:rPr>
        <w:t>除非在法律规定的情况下</w:t>
      </w:r>
      <w:r>
        <w:rPr>
          <w:rFonts w:hint="eastAsia"/>
        </w:rPr>
        <w:t>)</w:t>
      </w:r>
      <w:r>
        <w:rPr>
          <w:rFonts w:hint="eastAsia"/>
        </w:rPr>
        <w:t>及无须对所作的司法裁判负责，仅在法律规定的情况下，方可追究其民事</w:t>
      </w:r>
      <w:r>
        <w:rPr>
          <w:rFonts w:hint="eastAsia"/>
          <w:bCs/>
        </w:rPr>
        <w:t>、刑事或纪律责任</w:t>
      </w:r>
      <w:r>
        <w:rPr>
          <w:rFonts w:hint="eastAsia"/>
          <w:bCs/>
        </w:rPr>
        <w:t>(</w:t>
      </w:r>
      <w:r>
        <w:rPr>
          <w:rFonts w:hint="eastAsia"/>
          <w:bCs/>
        </w:rPr>
        <w:t>第四条，第五条第一款、第二款，第六条第一款、第二款</w:t>
      </w:r>
      <w:r>
        <w:rPr>
          <w:rFonts w:hint="eastAsia"/>
          <w:bCs/>
        </w:rPr>
        <w:t>)</w:t>
      </w:r>
      <w:r>
        <w:rPr>
          <w:rFonts w:hint="eastAsia"/>
          <w:bCs/>
        </w:rPr>
        <w:t>，以及保证</w:t>
      </w:r>
      <w:r>
        <w:rPr>
          <w:rFonts w:hint="eastAsia"/>
        </w:rPr>
        <w:t>检察院司法官的稳定性</w:t>
      </w:r>
      <w:r>
        <w:rPr>
          <w:rFonts w:hint="eastAsia"/>
        </w:rPr>
        <w:t>(</w:t>
      </w:r>
      <w:r>
        <w:rPr>
          <w:rFonts w:hint="eastAsia"/>
        </w:rPr>
        <w:t>第十条第一款、第二款</w:t>
      </w:r>
      <w:r>
        <w:rPr>
          <w:rFonts w:hint="eastAsia"/>
        </w:rPr>
        <w:t>)</w:t>
      </w:r>
      <w:r>
        <w:rPr>
          <w:rFonts w:hint="eastAsia"/>
        </w:rPr>
        <w:t>。</w:t>
      </w:r>
    </w:p>
    <w:p w:rsidR="00000000" w:rsidRDefault="00000000">
      <w:pPr>
        <w:rPr>
          <w:rFonts w:hint="eastAsia"/>
        </w:rPr>
      </w:pPr>
      <w:r>
        <w:tab/>
        <w:t xml:space="preserve">37.  </w:t>
      </w:r>
      <w:r>
        <w:rPr>
          <w:rFonts w:hint="eastAsia"/>
        </w:rPr>
        <w:t>廉政公署是一公共独立的机关，兼反贪与申诉性质的职责，尤其促使人的权利、自由、保障及正当利益受保护，并透过法律规定的途径</w:t>
      </w:r>
      <w:r>
        <w:rPr>
          <w:rFonts w:hint="eastAsia"/>
        </w:rPr>
        <w:t>(</w:t>
      </w:r>
      <w:r>
        <w:rPr>
          <w:rFonts w:hint="eastAsia"/>
        </w:rPr>
        <w:t>进行专案调查、将调查结果向有权限采取纪律行动的实体检举、跟进在有权限实体进行的刑事或纪律调查等</w:t>
      </w:r>
      <w:r>
        <w:rPr>
          <w:rFonts w:hint="eastAsia"/>
        </w:rPr>
        <w:t>)</w:t>
      </w:r>
      <w:r>
        <w:rPr>
          <w:rFonts w:hint="eastAsia"/>
        </w:rPr>
        <w:t>及其他非正式途径确保公共行政的公正、合法性及效率〔第</w:t>
      </w:r>
      <w:r>
        <w:t>10/2000</w:t>
      </w:r>
      <w:r>
        <w:rPr>
          <w:rFonts w:hint="eastAsia"/>
        </w:rPr>
        <w:t>号法律</w:t>
      </w:r>
      <w:r>
        <w:t>–</w:t>
      </w:r>
      <w:r>
        <w:rPr>
          <w:rFonts w:hint="eastAsia"/>
        </w:rPr>
        <w:t>廉政公署组织法第三条第一款</w:t>
      </w:r>
      <w:r>
        <w:rPr>
          <w:rFonts w:hint="eastAsia"/>
        </w:rPr>
        <w:t>(</w:t>
      </w:r>
      <w:r>
        <w:rPr>
          <w:rFonts w:hint="eastAsia"/>
        </w:rPr>
        <w:t>四</w:t>
      </w:r>
      <w:r>
        <w:rPr>
          <w:rFonts w:hint="eastAsia"/>
        </w:rPr>
        <w:t>)</w:t>
      </w:r>
      <w:r>
        <w:rPr>
          <w:rFonts w:hint="eastAsia"/>
        </w:rPr>
        <w:t>项〕。</w:t>
      </w:r>
    </w:p>
    <w:p w:rsidR="00000000" w:rsidRDefault="00000000">
      <w:pPr>
        <w:rPr>
          <w:rFonts w:hint="eastAsia"/>
        </w:rPr>
      </w:pPr>
      <w:r>
        <w:tab/>
        <w:t xml:space="preserve">38.  </w:t>
      </w:r>
      <w:r>
        <w:rPr>
          <w:rFonts w:hint="eastAsia"/>
        </w:rPr>
        <w:t>尚须提及的是，司法警察局与治安警察局</w:t>
      </w:r>
      <w:r>
        <w:rPr>
          <w:rFonts w:hint="eastAsia"/>
        </w:rPr>
        <w:t>(</w:t>
      </w:r>
      <w:r>
        <w:rPr>
          <w:rFonts w:hint="eastAsia"/>
        </w:rPr>
        <w:t>下称“司警”、“治安警”</w:t>
      </w:r>
      <w:r>
        <w:rPr>
          <w:rFonts w:hint="eastAsia"/>
        </w:rPr>
        <w:t>)</w:t>
      </w:r>
      <w:r>
        <w:rPr>
          <w:rFonts w:hint="eastAsia"/>
        </w:rPr>
        <w:t>，均为刑警机关，职责在于预防</w:t>
      </w:r>
      <w:r>
        <w:rPr>
          <w:rFonts w:hint="eastAsia"/>
          <w:bCs/>
        </w:rPr>
        <w:t>、侦查</w:t>
      </w:r>
      <w:r>
        <w:rPr>
          <w:rFonts w:hint="eastAsia"/>
        </w:rPr>
        <w:t>及打击犯罪〔有关重组司警的六月二十九日第</w:t>
      </w:r>
      <w:r>
        <w:t>27/98/M</w:t>
      </w:r>
      <w:r>
        <w:rPr>
          <w:rFonts w:hint="eastAsia"/>
        </w:rPr>
        <w:t>号法令第一条第一款、第二款和核准</w:t>
      </w:r>
      <w:r>
        <w:rPr>
          <w:rFonts w:ascii="PMingLiU" w:hAnsi="PMingLiU" w:hint="eastAsia"/>
        </w:rPr>
        <w:t>《</w:t>
      </w:r>
      <w:r>
        <w:rPr>
          <w:rFonts w:hint="eastAsia"/>
        </w:rPr>
        <w:t>治安警察局的组织与运作</w:t>
      </w:r>
      <w:r>
        <w:rPr>
          <w:rFonts w:ascii="PMingLiU" w:hAnsi="PMingLiU" w:hint="eastAsia"/>
        </w:rPr>
        <w:t>》</w:t>
      </w:r>
      <w:r>
        <w:rPr>
          <w:rFonts w:hint="eastAsia"/>
        </w:rPr>
        <w:t>的第</w:t>
      </w:r>
      <w:r>
        <w:t>22/2001</w:t>
      </w:r>
      <w:r>
        <w:rPr>
          <w:rFonts w:hint="eastAsia"/>
        </w:rPr>
        <w:t>号行政法规第一条第二款、第二条第一款</w:t>
      </w:r>
      <w:r>
        <w:rPr>
          <w:rFonts w:hint="eastAsia"/>
        </w:rPr>
        <w:t>(</w:t>
      </w:r>
      <w:r>
        <w:rPr>
          <w:rFonts w:hint="eastAsia"/>
        </w:rPr>
        <w:t>二</w:t>
      </w:r>
      <w:r>
        <w:rPr>
          <w:rFonts w:hint="eastAsia"/>
        </w:rPr>
        <w:t>)</w:t>
      </w:r>
      <w:r>
        <w:rPr>
          <w:rFonts w:hint="eastAsia"/>
        </w:rPr>
        <w:t>项〕。</w:t>
      </w:r>
    </w:p>
    <w:p w:rsidR="00000000" w:rsidRDefault="00000000">
      <w:pPr>
        <w:rPr>
          <w:rFonts w:hint="eastAsia"/>
        </w:rPr>
      </w:pPr>
      <w:r>
        <w:tab/>
        <w:t xml:space="preserve">39.  </w:t>
      </w:r>
      <w:r>
        <w:rPr>
          <w:rFonts w:hint="eastAsia"/>
        </w:rPr>
        <w:t>于刑事诉讼程序中，司警与治安警在职务上从属于司法当局，遵其指引，由司法当局授权其进行与侦查或预审有关的措施及调查〔第</w:t>
      </w:r>
      <w:r>
        <w:t>27/98/M</w:t>
      </w:r>
      <w:r>
        <w:rPr>
          <w:rFonts w:hint="eastAsia"/>
        </w:rPr>
        <w:t>号法令第一条第三款、第四条第一款及第</w:t>
      </w:r>
      <w:r>
        <w:t>22/2001</w:t>
      </w:r>
      <w:r>
        <w:rPr>
          <w:rFonts w:hint="eastAsia"/>
        </w:rPr>
        <w:t>号行政法规第一条第二款、第三条第一款</w:t>
      </w:r>
      <w:r>
        <w:rPr>
          <w:rFonts w:hint="eastAsia"/>
        </w:rPr>
        <w:t>(</w:t>
      </w:r>
      <w:r>
        <w:rPr>
          <w:rFonts w:hint="eastAsia"/>
        </w:rPr>
        <w:t>十</w:t>
      </w:r>
      <w:r>
        <w:rPr>
          <w:rFonts w:hint="eastAsia"/>
        </w:rPr>
        <w:t>)</w:t>
      </w:r>
      <w:r>
        <w:rPr>
          <w:rFonts w:hint="eastAsia"/>
        </w:rPr>
        <w:t>项〕。</w:t>
      </w:r>
    </w:p>
    <w:p w:rsidR="00000000" w:rsidRDefault="00000000">
      <w:pPr>
        <w:spacing w:after="240"/>
        <w:rPr>
          <w:rFonts w:hint="eastAsia"/>
        </w:rPr>
      </w:pPr>
      <w:r>
        <w:tab/>
        <w:t xml:space="preserve">40.  </w:t>
      </w:r>
      <w:r>
        <w:rPr>
          <w:rFonts w:hint="eastAsia"/>
        </w:rPr>
        <w:t>最后须提及的是，社会工作局</w:t>
      </w:r>
      <w:r>
        <w:rPr>
          <w:rFonts w:hint="eastAsia"/>
        </w:rPr>
        <w:t>(</w:t>
      </w:r>
      <w:r>
        <w:rPr>
          <w:rFonts w:hint="eastAsia"/>
        </w:rPr>
        <w:t>下称“社工局”</w:t>
      </w:r>
      <w:r>
        <w:rPr>
          <w:rFonts w:hint="eastAsia"/>
        </w:rPr>
        <w:t>)</w:t>
      </w:r>
      <w:r>
        <w:rPr>
          <w:rFonts w:hint="eastAsia"/>
        </w:rPr>
        <w:t>亦参与协助酷刑受害人，尤其跟进曾遭受虐待、强奸或其他身体或性方面的侵犯的人申请难民身份获确认的工作〔第</w:t>
      </w:r>
      <w:r>
        <w:rPr>
          <w:rFonts w:hint="eastAsia"/>
        </w:rPr>
        <w:t>1/2004</w:t>
      </w:r>
      <w:r>
        <w:rPr>
          <w:rFonts w:hint="eastAsia"/>
        </w:rPr>
        <w:t>号法律</w:t>
      </w:r>
      <w:r>
        <w:rPr>
          <w:rFonts w:hint="eastAsia"/>
        </w:rPr>
        <w:t>(</w:t>
      </w:r>
      <w:r>
        <w:rPr>
          <w:rFonts w:hint="eastAsia"/>
        </w:rPr>
        <w:t>承认及丧失难民地位制度</w:t>
      </w:r>
      <w:r>
        <w:rPr>
          <w:rFonts w:hint="eastAsia"/>
        </w:rPr>
        <w:t>)</w:t>
      </w:r>
      <w:r>
        <w:rPr>
          <w:rFonts w:hint="eastAsia"/>
        </w:rPr>
        <w:t>第三十四条</w:t>
      </w:r>
      <w:r>
        <w:rPr>
          <w:rFonts w:hint="eastAsia"/>
        </w:rPr>
        <w:t>)</w:t>
      </w:r>
      <w:r>
        <w:rPr>
          <w:rFonts w:hint="eastAsia"/>
        </w:rPr>
        <w:t>〕。</w:t>
      </w:r>
    </w:p>
    <w:p w:rsidR="00000000" w:rsidRDefault="00000000">
      <w:pPr>
        <w:pStyle w:val="Heading2"/>
        <w:rPr>
          <w:rFonts w:hint="eastAsia"/>
        </w:rPr>
      </w:pPr>
      <w:bookmarkStart w:id="8" w:name="_Toc139353433"/>
      <w:r>
        <w:rPr>
          <w:rFonts w:hint="eastAsia"/>
        </w:rPr>
        <w:t>第二部分</w:t>
      </w:r>
      <w:r>
        <w:tab/>
      </w:r>
      <w:r>
        <w:rPr>
          <w:rFonts w:hint="eastAsia"/>
        </w:rPr>
        <w:t>关于公约第一部分各条分述</w:t>
      </w:r>
      <w:bookmarkEnd w:id="8"/>
    </w:p>
    <w:p w:rsidR="00000000" w:rsidRDefault="00000000">
      <w:pPr>
        <w:pStyle w:val="Heading3"/>
      </w:pPr>
      <w:bookmarkStart w:id="9" w:name="_Toc139353434"/>
      <w:r>
        <w:rPr>
          <w:rFonts w:hint="eastAsia"/>
        </w:rPr>
        <w:t>第</w:t>
      </w:r>
      <w:r>
        <w:t xml:space="preserve"> </w:t>
      </w:r>
      <w:r>
        <w:rPr>
          <w:rFonts w:hint="eastAsia"/>
        </w:rPr>
        <w:t>一</w:t>
      </w:r>
      <w:r>
        <w:t xml:space="preserve"> </w:t>
      </w:r>
      <w:r>
        <w:rPr>
          <w:rFonts w:hint="eastAsia"/>
        </w:rPr>
        <w:t>条</w:t>
      </w:r>
      <w:bookmarkEnd w:id="9"/>
    </w:p>
    <w:p w:rsidR="00000000" w:rsidRDefault="00000000">
      <w:pPr>
        <w:rPr>
          <w:rFonts w:hint="eastAsia"/>
        </w:rPr>
      </w:pPr>
      <w:r>
        <w:tab/>
        <w:t xml:space="preserve">41.  </w:t>
      </w:r>
      <w:r>
        <w:rPr>
          <w:rFonts w:hint="eastAsia"/>
        </w:rPr>
        <w:t>如上所述，《基本法》的第三章确立澳门特别行政区居民的基本权利。</w:t>
      </w:r>
    </w:p>
    <w:p w:rsidR="00000000" w:rsidRDefault="00000000">
      <w:pPr>
        <w:rPr>
          <w:rFonts w:hint="eastAsia"/>
        </w:rPr>
      </w:pPr>
      <w:r>
        <w:rPr>
          <w:bCs/>
        </w:rPr>
        <w:tab/>
        <w:t xml:space="preserve">42.  </w:t>
      </w:r>
      <w:r>
        <w:rPr>
          <w:rFonts w:hint="eastAsia"/>
          <w:bCs/>
        </w:rPr>
        <w:t>《基本法》第二十八条第四款</w:t>
      </w:r>
      <w:r>
        <w:rPr>
          <w:rFonts w:hint="eastAsia"/>
          <w:bCs/>
        </w:rPr>
        <w:t xml:space="preserve"> (</w:t>
      </w:r>
      <w:r>
        <w:rPr>
          <w:rFonts w:hint="eastAsia"/>
          <w:bCs/>
        </w:rPr>
        <w:t>结合《基本法》第四十三条</w:t>
      </w:r>
      <w:r>
        <w:rPr>
          <w:rFonts w:hint="eastAsia"/>
          <w:bCs/>
        </w:rPr>
        <w:t xml:space="preserve">) </w:t>
      </w:r>
      <w:r>
        <w:rPr>
          <w:rFonts w:hint="eastAsia"/>
          <w:bCs/>
        </w:rPr>
        <w:t>明确规定禁止</w:t>
      </w:r>
      <w:r>
        <w:rPr>
          <w:rFonts w:hint="eastAsia"/>
        </w:rPr>
        <w:t>对人施行酷刑或予以非人道的对待，重申一点，《基本法》是一部具宪法性价值的法律。</w:t>
      </w:r>
    </w:p>
    <w:p w:rsidR="00000000" w:rsidRDefault="00000000">
      <w:pPr>
        <w:rPr>
          <w:rFonts w:hint="eastAsia"/>
          <w:bCs/>
        </w:rPr>
      </w:pPr>
      <w:r>
        <w:rPr>
          <w:bCs/>
        </w:rPr>
        <w:tab/>
        <w:t xml:space="preserve">43.  </w:t>
      </w:r>
      <w:r>
        <w:rPr>
          <w:rFonts w:hint="eastAsia"/>
          <w:bCs/>
        </w:rPr>
        <w:t>《刑法典》第二百三十四条第一款规定和惩治酷刑及其他残忍</w:t>
      </w:r>
      <w:r>
        <w:rPr>
          <w:rFonts w:hint="eastAsia"/>
        </w:rPr>
        <w:t>、有辱人格或不人道之待遇罪：“具有预防、追究、调查或审理刑事上之违法行为或违反纪律之行为之职务者，或具有执行相同性质之制裁之职务者，又或具有保护、看守或看管被拘留或被拘禁之人之职务者，对被拘留或被拘禁之人施以酷刑，或施以残忍、有辱人格或不人道之待遇，如按其他法律之规定不科处更重刑罚，则处二年至八年徒刑”。</w:t>
      </w:r>
    </w:p>
    <w:p w:rsidR="00000000" w:rsidRDefault="00000000">
      <w:pPr>
        <w:rPr>
          <w:rFonts w:hint="eastAsia"/>
          <w:bCs/>
        </w:rPr>
      </w:pPr>
      <w:r>
        <w:rPr>
          <w:bCs/>
        </w:rPr>
        <w:tab/>
        <w:t xml:space="preserve">44.  </w:t>
      </w:r>
      <w:r>
        <w:rPr>
          <w:rFonts w:hint="eastAsia"/>
        </w:rPr>
        <w:t>就订定的罪状而言，其中不包括因执行第二百三十四条第一款规定的制裁所当然产生的痛苦，或因执行该等制裁而引致的痛苦</w:t>
      </w:r>
      <w:r>
        <w:rPr>
          <w:rFonts w:hint="eastAsia"/>
        </w:rPr>
        <w:t>(</w:t>
      </w:r>
      <w:r>
        <w:rPr>
          <w:rFonts w:hint="eastAsia"/>
        </w:rPr>
        <w:t>同条第三款</w:t>
      </w:r>
      <w:r>
        <w:rPr>
          <w:rFonts w:hint="eastAsia"/>
        </w:rPr>
        <w:t>)</w:t>
      </w:r>
      <w:r>
        <w:rPr>
          <w:rFonts w:hint="eastAsia"/>
        </w:rPr>
        <w:t>。</w:t>
      </w:r>
    </w:p>
    <w:p w:rsidR="00000000" w:rsidRDefault="00000000">
      <w:pPr>
        <w:rPr>
          <w:rFonts w:hint="eastAsia"/>
        </w:rPr>
      </w:pPr>
      <w:r>
        <w:rPr>
          <w:bCs/>
        </w:rPr>
        <w:tab/>
        <w:t xml:space="preserve">45.  </w:t>
      </w:r>
      <w:r>
        <w:rPr>
          <w:rFonts w:hint="eastAsia"/>
          <w:bCs/>
        </w:rPr>
        <w:t>初看，上述罪状似乎只适用于担任特定公职的人，因</w:t>
      </w:r>
      <w:r>
        <w:rPr>
          <w:rFonts w:hint="eastAsia"/>
        </w:rPr>
        <w:t>预防、追究、调查及审理刑事上之违法行为或执行刑事制裁，以及保护、看守、看管被拘留或被拘禁之人，均属澳门特别行政区政府机关及公共部门的职能，其实不然，任何人都可能独犯</w:t>
      </w:r>
      <w:r>
        <w:rPr>
          <w:rFonts w:hint="eastAsia"/>
          <w:bCs/>
        </w:rPr>
        <w:t>《刑法典》第二百三十四条所指罪行，诸如</w:t>
      </w:r>
      <w:r>
        <w:rPr>
          <w:rFonts w:hint="eastAsia"/>
        </w:rPr>
        <w:t>在执行惩罚时，施行酷刑或作出残忍、有辱人格或不人道之待遇等行为。</w:t>
      </w:r>
    </w:p>
    <w:p w:rsidR="00000000" w:rsidRDefault="00000000">
      <w:pPr>
        <w:rPr>
          <w:rFonts w:hint="eastAsia"/>
        </w:rPr>
      </w:pPr>
      <w:r>
        <w:rPr>
          <w:bCs/>
        </w:rPr>
        <w:tab/>
        <w:t xml:space="preserve">46.  </w:t>
      </w:r>
      <w:r>
        <w:rPr>
          <w:rFonts w:hint="eastAsia"/>
          <w:bCs/>
        </w:rPr>
        <w:t>根据上条第二款的规定，“</w:t>
      </w:r>
      <w:r>
        <w:rPr>
          <w:rFonts w:hint="eastAsia"/>
          <w:i/>
          <w:iCs/>
        </w:rPr>
        <w:t>意图扰乱被害人作出决定之能力或自由表达其意思，而使其身体或心理受剧烈痛苦或严重疲劳，又或使用化学品、药物或</w:t>
      </w:r>
      <w:r>
        <w:rPr>
          <w:rFonts w:hint="eastAsia"/>
          <w:iCs/>
        </w:rPr>
        <w:t>其他</w:t>
      </w:r>
      <w:r>
        <w:rPr>
          <w:rFonts w:hint="eastAsia"/>
          <w:i/>
          <w:iCs/>
        </w:rPr>
        <w:t>天然或人造之工具等行为，视为酷刑、又或残忍、有辱人格或不人道之待遇</w:t>
      </w:r>
      <w:r>
        <w:rPr>
          <w:rFonts w:hint="eastAsia"/>
          <w:bCs/>
        </w:rPr>
        <w:t>”</w:t>
      </w:r>
      <w:r>
        <w:rPr>
          <w:rFonts w:hint="eastAsia"/>
        </w:rPr>
        <w:t>。如同公约</w:t>
      </w:r>
      <w:r>
        <w:rPr>
          <w:rFonts w:hint="eastAsia"/>
        </w:rPr>
        <w:t>(</w:t>
      </w:r>
      <w:r>
        <w:rPr>
          <w:rFonts w:hint="eastAsia"/>
        </w:rPr>
        <w:t>第一条及第十六条</w:t>
      </w:r>
      <w:r>
        <w:rPr>
          <w:rFonts w:hint="eastAsia"/>
        </w:rPr>
        <w:t>)</w:t>
      </w:r>
      <w:r>
        <w:rPr>
          <w:rFonts w:hint="eastAsia"/>
        </w:rPr>
        <w:t>做法，</w:t>
      </w:r>
      <w:r>
        <w:rPr>
          <w:rFonts w:hint="eastAsia"/>
          <w:bCs/>
        </w:rPr>
        <w:t>《刑法典》对</w:t>
      </w:r>
      <w:r>
        <w:rPr>
          <w:rFonts w:hint="eastAsia"/>
        </w:rPr>
        <w:t>酷刑及其余虐待行为亦不予区别。就剧烈痛苦与严重疲劳的界定，学术界的观点是，前者指切肤、强烈或极度的感受，后者指强烈、深切或极度的感受。这一列举仅属举例性，因为该条所指</w:t>
      </w:r>
      <w:r>
        <w:rPr>
          <w:rFonts w:hint="eastAsia"/>
          <w:bCs/>
        </w:rPr>
        <w:t>“</w:t>
      </w:r>
      <w:r>
        <w:rPr>
          <w:rFonts w:hint="eastAsia"/>
          <w:iCs/>
        </w:rPr>
        <w:t>其他</w:t>
      </w:r>
      <w:r>
        <w:rPr>
          <w:rFonts w:hint="eastAsia"/>
          <w:i/>
          <w:iCs/>
        </w:rPr>
        <w:t>天然或人造之工具等行为</w:t>
      </w:r>
      <w:r>
        <w:rPr>
          <w:rFonts w:hint="eastAsia"/>
          <w:bCs/>
        </w:rPr>
        <w:t>”得以包括多种行为，但须存在“</w:t>
      </w:r>
      <w:r>
        <w:rPr>
          <w:rFonts w:hint="eastAsia"/>
          <w:i/>
          <w:iCs/>
        </w:rPr>
        <w:t>意图扰乱被害人作出决定之能力或自由表达其意思</w:t>
      </w:r>
      <w:r>
        <w:rPr>
          <w:rFonts w:hint="eastAsia"/>
          <w:bCs/>
        </w:rPr>
        <w:t>”之基本要素</w:t>
      </w:r>
      <w:r>
        <w:rPr>
          <w:rFonts w:hint="eastAsia"/>
        </w:rPr>
        <w:t>。</w:t>
      </w:r>
      <w:r>
        <w:rPr>
          <w:rFonts w:hint="eastAsia"/>
        </w:rPr>
        <w:t xml:space="preserve"> </w:t>
      </w:r>
    </w:p>
    <w:p w:rsidR="00000000" w:rsidRDefault="00000000">
      <w:pPr>
        <w:rPr>
          <w:rFonts w:hint="eastAsia"/>
        </w:rPr>
      </w:pPr>
      <w:r>
        <w:rPr>
          <w:bCs/>
        </w:rPr>
        <w:tab/>
        <w:t xml:space="preserve">47.  </w:t>
      </w:r>
      <w:r>
        <w:rPr>
          <w:rFonts w:hint="eastAsia"/>
        </w:rPr>
        <w:t>就澳门特别行政区刑法而言，行为人具备“</w:t>
      </w:r>
      <w:r>
        <w:rPr>
          <w:rFonts w:hint="eastAsia"/>
          <w:i/>
          <w:iCs/>
        </w:rPr>
        <w:t>扰乱被害人作出决定之能力或自由表达其意思</w:t>
      </w:r>
      <w:r>
        <w:rPr>
          <w:rFonts w:hint="eastAsia"/>
          <w:bCs/>
        </w:rPr>
        <w:t>”之</w:t>
      </w:r>
      <w:r>
        <w:rPr>
          <w:rFonts w:hint="eastAsia"/>
        </w:rPr>
        <w:t>意图足以构成主观要件，这与公约有所不同，公约藉以非限定性举例方式，将可能的行为目的加以罗列，诸如：为取得情报或供状、处罚、恐吓或威胁受害人或第三人等。</w:t>
      </w:r>
    </w:p>
    <w:p w:rsidR="00000000" w:rsidRDefault="00000000">
      <w:pPr>
        <w:jc w:val="left"/>
        <w:rPr>
          <w:rFonts w:hint="eastAsia"/>
        </w:rPr>
      </w:pPr>
      <w:r>
        <w:tab/>
        <w:t xml:space="preserve">48.  </w:t>
      </w:r>
      <w:r>
        <w:rPr>
          <w:rFonts w:hint="eastAsia"/>
        </w:rPr>
        <w:t>澳门</w:t>
      </w:r>
      <w:r>
        <w:rPr>
          <w:rFonts w:hint="eastAsia"/>
          <w:bCs/>
        </w:rPr>
        <w:t>《刑法典》第二百三十五条</w:t>
      </w:r>
      <w:r>
        <w:rPr>
          <w:rFonts w:hint="eastAsia"/>
        </w:rPr>
        <w:t>规定“为施以酷刑而僭越职务”罪，即出于主动或因上级之命令，僭越第二百三十四条第一款所指之职务，以作出该款所叙述之任一行为者。须强调的是，行为人包括实际担任有关</w:t>
      </w:r>
      <w:r>
        <w:rPr>
          <w:rFonts w:hint="eastAsia"/>
          <w:bCs/>
        </w:rPr>
        <w:t>酷刑及其他残忍</w:t>
      </w:r>
      <w:r>
        <w:rPr>
          <w:rFonts w:hint="eastAsia"/>
        </w:rPr>
        <w:t>、有辱人格或不人道之待遇罪规定所指职务者。</w:t>
      </w:r>
    </w:p>
    <w:p w:rsidR="00000000" w:rsidRDefault="00000000">
      <w:pPr>
        <w:jc w:val="left"/>
        <w:rPr>
          <w:rFonts w:hint="eastAsia"/>
        </w:rPr>
      </w:pPr>
      <w:r>
        <w:tab/>
        <w:t xml:space="preserve">49.  </w:t>
      </w:r>
      <w:r>
        <w:rPr>
          <w:rFonts w:hint="eastAsia"/>
        </w:rPr>
        <w:t>澳门</w:t>
      </w:r>
      <w:r>
        <w:rPr>
          <w:rFonts w:hint="eastAsia"/>
          <w:bCs/>
        </w:rPr>
        <w:t>《刑法典》第二百三十六条</w:t>
      </w:r>
      <w:r>
        <w:rPr>
          <w:rFonts w:hint="eastAsia"/>
        </w:rPr>
        <w:t>规定“严重之酷刑及其他严重之残忍、有辱人格或不人道之待遇”罪，其中包括第二百三十四条及第二百三十五条所指事实，不同之处在于对酷刑特征的详细描述，以及加害人行为的惯常性</w:t>
      </w:r>
      <w:r>
        <w:rPr>
          <w:rFonts w:hint="eastAsia"/>
        </w:rPr>
        <w:t>(</w:t>
      </w:r>
      <w:r>
        <w:rPr>
          <w:rFonts w:hint="eastAsia"/>
        </w:rPr>
        <w:t>第一款</w:t>
      </w:r>
      <w:r>
        <w:t>a</w:t>
      </w:r>
      <w:r>
        <w:rPr>
          <w:rFonts w:hint="eastAsia"/>
        </w:rPr>
        <w:t>至</w:t>
      </w:r>
      <w:r>
        <w:t>c</w:t>
      </w:r>
      <w:r>
        <w:rPr>
          <w:rFonts w:hint="eastAsia"/>
        </w:rPr>
        <w:t>项</w:t>
      </w:r>
      <w:r>
        <w:rPr>
          <w:rFonts w:hint="eastAsia"/>
        </w:rPr>
        <w:t>)</w:t>
      </w:r>
      <w:r>
        <w:rPr>
          <w:rFonts w:hint="eastAsia"/>
        </w:rPr>
        <w:t>，严重酷刑指的是“</w:t>
      </w:r>
      <w:r>
        <w:rPr>
          <w:rFonts w:hint="eastAsia"/>
          <w:i/>
          <w:iCs/>
        </w:rPr>
        <w:t>造成身体完整性受严重伤害</w:t>
      </w:r>
      <w:r>
        <w:rPr>
          <w:rFonts w:hint="eastAsia"/>
        </w:rPr>
        <w:t>”或“</w:t>
      </w:r>
      <w:r>
        <w:rPr>
          <w:rFonts w:hint="eastAsia"/>
          <w:i/>
          <w:iCs/>
        </w:rPr>
        <w:t>使用特别严重之酷刑手段或方法，尤其系殴打、电击、假装处决或使用令人产生幻觉之物质</w:t>
      </w:r>
      <w:r>
        <w:rPr>
          <w:rFonts w:hint="eastAsia"/>
        </w:rPr>
        <w:t>”，以及行为人“</w:t>
      </w:r>
      <w:r>
        <w:rPr>
          <w:rFonts w:hint="eastAsia"/>
          <w:i/>
          <w:iCs/>
        </w:rPr>
        <w:t>惯常作出</w:t>
      </w:r>
      <w:r>
        <w:rPr>
          <w:rFonts w:hint="eastAsia"/>
        </w:rPr>
        <w:t>”第二百三十四条及第二百三十五条所指行为。刑法对这类行为“</w:t>
      </w:r>
      <w:r>
        <w:rPr>
          <w:rFonts w:hint="eastAsia"/>
          <w:i/>
          <w:iCs/>
        </w:rPr>
        <w:t>处三年至十五年徒刑</w:t>
      </w:r>
      <w:r>
        <w:rPr>
          <w:rFonts w:hint="eastAsia"/>
        </w:rPr>
        <w:t>”。</w:t>
      </w:r>
    </w:p>
    <w:p w:rsidR="00000000" w:rsidRDefault="00000000">
      <w:pPr>
        <w:rPr>
          <w:rFonts w:hint="eastAsia"/>
        </w:rPr>
      </w:pPr>
      <w:r>
        <w:tab/>
        <w:t xml:space="preserve">50.  </w:t>
      </w:r>
      <w:r>
        <w:rPr>
          <w:rFonts w:hint="eastAsia"/>
        </w:rPr>
        <w:t>因实施上述事实或第二百三十四条或第二百三十五条所述事实而引致被害人自杀或死亡</w:t>
      </w:r>
      <w:r>
        <w:rPr>
          <w:rFonts w:hint="eastAsia"/>
        </w:rPr>
        <w:t>(</w:t>
      </w:r>
      <w:r>
        <w:rPr>
          <w:rFonts w:hint="eastAsia"/>
        </w:rPr>
        <w:t>第二百三十六条第二款</w:t>
      </w:r>
      <w:r>
        <w:rPr>
          <w:rFonts w:hint="eastAsia"/>
        </w:rPr>
        <w:t>)</w:t>
      </w:r>
      <w:r>
        <w:rPr>
          <w:rFonts w:hint="eastAsia"/>
        </w:rPr>
        <w:t>，同样被视为“严重之酷刑及其他严重之残忍、有辱人格或不人道之待遇”罪，行为人因此“</w:t>
      </w:r>
      <w:r>
        <w:rPr>
          <w:rFonts w:hint="eastAsia"/>
          <w:i/>
          <w:iCs/>
        </w:rPr>
        <w:t>处十年至二十年徒刑</w:t>
      </w:r>
      <w:r>
        <w:rPr>
          <w:rFonts w:hint="eastAsia"/>
        </w:rPr>
        <w:t>”。</w:t>
      </w:r>
    </w:p>
    <w:p w:rsidR="00000000" w:rsidRDefault="00000000">
      <w:pPr>
        <w:rPr>
          <w:rFonts w:hint="eastAsia"/>
          <w:bCs/>
        </w:rPr>
      </w:pPr>
      <w:r>
        <w:tab/>
        <w:t xml:space="preserve">51.  </w:t>
      </w:r>
      <w:r>
        <w:rPr>
          <w:rFonts w:hint="eastAsia"/>
        </w:rPr>
        <w:t>此外，根据</w:t>
      </w:r>
      <w:r>
        <w:rPr>
          <w:rFonts w:hint="eastAsia"/>
          <w:bCs/>
        </w:rPr>
        <w:t>《刑法典》的规定，实施酷刑或残忍行为或</w:t>
      </w:r>
      <w:r>
        <w:rPr>
          <w:rFonts w:hint="eastAsia"/>
        </w:rPr>
        <w:t>有辱人格或不人道之待遇，同时或分别</w:t>
      </w:r>
      <w:r>
        <w:rPr>
          <w:rFonts w:hint="eastAsia"/>
          <w:bCs/>
        </w:rPr>
        <w:t>构成杀人</w:t>
      </w:r>
      <w:r>
        <w:rPr>
          <w:rFonts w:hint="eastAsia"/>
        </w:rPr>
        <w:t>、伤害身体完整性及剥夺他人行动自由罪的</w:t>
      </w:r>
      <w:r>
        <w:rPr>
          <w:rFonts w:hint="eastAsia"/>
          <w:bCs/>
        </w:rPr>
        <w:t>加重情节</w:t>
      </w:r>
      <w:r>
        <w:rPr>
          <w:rFonts w:hint="eastAsia"/>
          <w:bCs/>
        </w:rPr>
        <w:t>(</w:t>
      </w:r>
      <w:r>
        <w:rPr>
          <w:rFonts w:hint="eastAsia"/>
          <w:bCs/>
        </w:rPr>
        <w:t>第一百二十九条第二款</w:t>
      </w:r>
      <w:r>
        <w:rPr>
          <w:bCs/>
        </w:rPr>
        <w:t>b</w:t>
      </w:r>
      <w:r>
        <w:rPr>
          <w:rFonts w:hint="eastAsia"/>
          <w:bCs/>
        </w:rPr>
        <w:t>项</w:t>
      </w:r>
      <w:r>
        <w:rPr>
          <w:rFonts w:hint="eastAsia"/>
        </w:rPr>
        <w:t>、</w:t>
      </w:r>
      <w:r>
        <w:rPr>
          <w:rFonts w:hint="eastAsia"/>
          <w:bCs/>
        </w:rPr>
        <w:t>第一百四十条第一款及第二款及</w:t>
      </w:r>
      <w:r>
        <w:rPr>
          <w:rFonts w:hint="eastAsia"/>
        </w:rPr>
        <w:t>第一百五十二条第二款</w:t>
      </w:r>
      <w:r>
        <w:t>b</w:t>
      </w:r>
      <w:r>
        <w:rPr>
          <w:rFonts w:hint="eastAsia"/>
          <w:bCs/>
        </w:rPr>
        <w:t>项</w:t>
      </w:r>
      <w:r>
        <w:rPr>
          <w:rFonts w:hint="eastAsia"/>
          <w:bCs/>
        </w:rPr>
        <w:t>)</w:t>
      </w:r>
      <w:r>
        <w:rPr>
          <w:rFonts w:hint="eastAsia"/>
          <w:bCs/>
        </w:rPr>
        <w:t>；实施残忍行为</w:t>
      </w:r>
      <w:r>
        <w:rPr>
          <w:rFonts w:hint="eastAsia"/>
        </w:rPr>
        <w:t>、有辱人格或不人道之待遇</w:t>
      </w:r>
      <w:r>
        <w:rPr>
          <w:rFonts w:hint="eastAsia"/>
          <w:bCs/>
        </w:rPr>
        <w:t>被分别视为</w:t>
      </w:r>
      <w:r>
        <w:rPr>
          <w:rFonts w:hint="eastAsia"/>
        </w:rPr>
        <w:t>虐待未成年人、无能力之人或配偶又或使之过度劳累，以及灭绝种族的方式之一</w:t>
      </w:r>
      <w:r>
        <w:rPr>
          <w:rFonts w:hint="eastAsia"/>
          <w:bCs/>
        </w:rPr>
        <w:t>(</w:t>
      </w:r>
      <w:r>
        <w:rPr>
          <w:rFonts w:hint="eastAsia"/>
          <w:bCs/>
        </w:rPr>
        <w:t>第一百四十六条第一款</w:t>
      </w:r>
      <w:r>
        <w:rPr>
          <w:bCs/>
        </w:rPr>
        <w:t>a</w:t>
      </w:r>
      <w:r>
        <w:rPr>
          <w:rFonts w:hint="eastAsia"/>
          <w:bCs/>
        </w:rPr>
        <w:t>项及第二百三十条ｃ项</w:t>
      </w:r>
      <w:r>
        <w:rPr>
          <w:rFonts w:hint="eastAsia"/>
          <w:bCs/>
        </w:rPr>
        <w:t>)</w:t>
      </w:r>
      <w:r>
        <w:rPr>
          <w:rFonts w:hint="eastAsia"/>
          <w:bCs/>
        </w:rPr>
        <w:t>。</w:t>
      </w:r>
    </w:p>
    <w:p w:rsidR="00000000" w:rsidRDefault="00000000">
      <w:r>
        <w:tab/>
        <w:t xml:space="preserve">52.  </w:t>
      </w:r>
      <w:r>
        <w:rPr>
          <w:rFonts w:hint="eastAsia"/>
        </w:rPr>
        <w:t>尚须提及的是，</w:t>
      </w:r>
      <w:r>
        <w:rPr>
          <w:rFonts w:hint="eastAsia"/>
          <w:bCs/>
        </w:rPr>
        <w:t>《刑法典》第一百三十六条第一款规定</w:t>
      </w:r>
      <w:r>
        <w:rPr>
          <w:rFonts w:hint="eastAsia"/>
        </w:rPr>
        <w:t>堕胎罪，处罚“</w:t>
      </w:r>
      <w:r>
        <w:rPr>
          <w:rFonts w:hint="eastAsia"/>
          <w:i/>
          <w:iCs/>
        </w:rPr>
        <w:t>未经孕妇同意</w:t>
      </w:r>
      <w:r>
        <w:rPr>
          <w:rFonts w:hint="eastAsia"/>
          <w:i/>
          <w:iCs/>
        </w:rPr>
        <w:t>......</w:t>
      </w:r>
      <w:r>
        <w:rPr>
          <w:rFonts w:hint="eastAsia"/>
          <w:i/>
          <w:iCs/>
        </w:rPr>
        <w:t>使之堕胎者</w:t>
      </w:r>
      <w:r>
        <w:rPr>
          <w:rFonts w:hint="eastAsia"/>
          <w:i/>
          <w:iCs/>
        </w:rPr>
        <w:t>......</w:t>
      </w:r>
      <w:r>
        <w:rPr>
          <w:rFonts w:hint="eastAsia"/>
        </w:rPr>
        <w:t>”。经第</w:t>
      </w:r>
      <w:r>
        <w:t>10/2004</w:t>
      </w:r>
      <w:r>
        <w:rPr>
          <w:rFonts w:hint="eastAsia"/>
        </w:rPr>
        <w:t>号法律修改的十一月二十七日第</w:t>
      </w:r>
      <w:r>
        <w:t>59/95/M</w:t>
      </w:r>
      <w:r>
        <w:rPr>
          <w:rFonts w:hint="eastAsia"/>
        </w:rPr>
        <w:t>号法令规定，在一些特定的情况下，例如经孕妇明确同意，可允许自愿中断怀孕。</w:t>
      </w:r>
    </w:p>
    <w:p w:rsidR="00000000" w:rsidRDefault="00000000">
      <w:r>
        <w:tab/>
        <w:t xml:space="preserve">53.  </w:t>
      </w:r>
      <w:r>
        <w:rPr>
          <w:rFonts w:hint="eastAsia"/>
          <w:bCs/>
        </w:rPr>
        <w:t>《刑法典》确立</w:t>
      </w:r>
      <w:r>
        <w:rPr>
          <w:rFonts w:hint="eastAsia"/>
        </w:rPr>
        <w:t>罪刑法定原则，按照该原则，“事实可受刑事处罚，以作出事实之时，其之前之法律已叙述该事实且表明其为可科刑者为限”；</w:t>
      </w:r>
      <w:r>
        <w:t xml:space="preserve"> </w:t>
      </w:r>
      <w:r>
        <w:rPr>
          <w:rFonts w:hint="eastAsia"/>
        </w:rPr>
        <w:t>“对危险性状态可科处保安处分，以符合科处保安处分之前提之前，该等前提已为法律订明者为限”，以及“刑罚及保安处分，分别以作出事实当时或符合科处保安处分所取决之前提当时所生效之法律确定之”</w:t>
      </w:r>
      <w:r>
        <w:rPr>
          <w:rFonts w:hint="eastAsia"/>
        </w:rPr>
        <w:t>(</w:t>
      </w:r>
      <w:r>
        <w:rPr>
          <w:rFonts w:hint="eastAsia"/>
        </w:rPr>
        <w:t>第一条第一款、第二款及第二条第一款</w:t>
      </w:r>
      <w:r>
        <w:rPr>
          <w:rFonts w:hint="eastAsia"/>
        </w:rPr>
        <w:t>)</w:t>
      </w:r>
      <w:r>
        <w:rPr>
          <w:rFonts w:hint="eastAsia"/>
        </w:rPr>
        <w:t>。</w:t>
      </w:r>
    </w:p>
    <w:p w:rsidR="00000000" w:rsidRDefault="00000000"/>
    <w:p w:rsidR="00000000" w:rsidRDefault="00000000">
      <w:pPr>
        <w:pStyle w:val="Heading3"/>
      </w:pPr>
      <w:bookmarkStart w:id="10" w:name="_Toc139353435"/>
      <w:r>
        <w:rPr>
          <w:rFonts w:hint="eastAsia"/>
        </w:rPr>
        <w:t>第</w:t>
      </w:r>
      <w:r>
        <w:t xml:space="preserve"> </w:t>
      </w:r>
      <w:r>
        <w:rPr>
          <w:rFonts w:hint="eastAsia"/>
        </w:rPr>
        <w:t>二</w:t>
      </w:r>
      <w:r>
        <w:t xml:space="preserve"> </w:t>
      </w:r>
      <w:r>
        <w:rPr>
          <w:rFonts w:hint="eastAsia"/>
        </w:rPr>
        <w:t>条</w:t>
      </w:r>
      <w:bookmarkEnd w:id="10"/>
    </w:p>
    <w:p w:rsidR="00000000" w:rsidRDefault="00000000">
      <w:r>
        <w:tab/>
        <w:t xml:space="preserve">54. </w:t>
      </w:r>
      <w:r>
        <w:rPr>
          <w:rFonts w:hint="eastAsia"/>
        </w:rPr>
        <w:t xml:space="preserve"> </w:t>
      </w:r>
      <w:r>
        <w:rPr>
          <w:rFonts w:hint="eastAsia"/>
        </w:rPr>
        <w:t>考虑到上述提及的关于在澳门特区法律制度内对酷刑罪的定义，以下部分将述及澳门特别行政区有关预防及打击酷刑罪的现行措施。</w:t>
      </w:r>
    </w:p>
    <w:p w:rsidR="00000000" w:rsidRDefault="00000000"/>
    <w:p w:rsidR="00000000" w:rsidRDefault="00000000">
      <w:pPr>
        <w:pStyle w:val="Heading3"/>
      </w:pPr>
      <w:bookmarkStart w:id="11" w:name="_Toc139353436"/>
      <w:r>
        <w:rPr>
          <w:rFonts w:hint="eastAsia"/>
        </w:rPr>
        <w:t>为阻止实施酷刑的措施</w:t>
      </w:r>
      <w:bookmarkEnd w:id="11"/>
    </w:p>
    <w:p w:rsidR="00000000" w:rsidRDefault="00000000">
      <w:pPr>
        <w:rPr>
          <w:rFonts w:hint="eastAsia"/>
        </w:rPr>
      </w:pPr>
      <w:r>
        <w:tab/>
        <w:t xml:space="preserve">55.  </w:t>
      </w:r>
      <w:r>
        <w:rPr>
          <w:rFonts w:hint="eastAsia"/>
        </w:rPr>
        <w:t>就实体刑法方面，除了上述罪行外，尚须提及</w:t>
      </w:r>
      <w:r>
        <w:rPr>
          <w:rFonts w:hint="eastAsia"/>
          <w:bCs/>
        </w:rPr>
        <w:t>《刑法典》第二百三十七条有关检举之不作为的规定及惩治：“</w:t>
      </w:r>
      <w:r>
        <w:rPr>
          <w:rFonts w:hint="eastAsia"/>
        </w:rPr>
        <w:t>上级知悉下属作出第二百三十四条、第二百三十五条或第二百三十六条所叙述之事实，而不在知悉后最多三日内检举之者，处一年至三年徒刑”。</w:t>
      </w:r>
    </w:p>
    <w:p w:rsidR="00000000" w:rsidRDefault="00000000">
      <w:r>
        <w:tab/>
        <w:t xml:space="preserve">56. </w:t>
      </w:r>
      <w:r>
        <w:rPr>
          <w:bCs/>
        </w:rPr>
        <w:t xml:space="preserve"> </w:t>
      </w:r>
      <w:r>
        <w:rPr>
          <w:rFonts w:hint="eastAsia"/>
          <w:bCs/>
        </w:rPr>
        <w:t>《基本法》就有关禁止酷刑方面所规定的原则及规则，均纳于</w:t>
      </w:r>
      <w:r>
        <w:rPr>
          <w:rFonts w:hint="eastAsia"/>
        </w:rPr>
        <w:t>澳门</w:t>
      </w:r>
      <w:r>
        <w:rPr>
          <w:rFonts w:hint="eastAsia"/>
          <w:bCs/>
        </w:rPr>
        <w:t>《刑事诉讼法典》，例如，《基本法》第二十八条第二款规定：“</w:t>
      </w:r>
      <w:r>
        <w:rPr>
          <w:rFonts w:hint="eastAsia"/>
          <w:i/>
          <w:iCs/>
        </w:rPr>
        <w:t>澳门居民不受任意或非法的逮捕、拘留、监禁。</w:t>
      </w:r>
      <w:r>
        <w:rPr>
          <w:rFonts w:hint="eastAsia"/>
        </w:rPr>
        <w:t>”及第三十六条第一款规定：“</w:t>
      </w:r>
      <w:r>
        <w:rPr>
          <w:rFonts w:hint="eastAsia"/>
          <w:i/>
          <w:iCs/>
        </w:rPr>
        <w:t>澳门居民有权诉诸法律，向法院提起诉讼，得到律师的帮助</w:t>
      </w:r>
      <w:r>
        <w:rPr>
          <w:rFonts w:hint="eastAsia"/>
          <w:i/>
          <w:iCs/>
        </w:rPr>
        <w:t>......</w:t>
      </w:r>
      <w:r>
        <w:rPr>
          <w:rFonts w:hint="eastAsia"/>
        </w:rPr>
        <w:t>”。</w:t>
      </w:r>
    </w:p>
    <w:p w:rsidR="00000000" w:rsidRDefault="00000000">
      <w:pPr>
        <w:rPr>
          <w:rFonts w:hint="eastAsia"/>
        </w:rPr>
      </w:pPr>
      <w:r>
        <w:tab/>
        <w:t xml:space="preserve">57. </w:t>
      </w:r>
      <w:r>
        <w:rPr>
          <w:rFonts w:hint="eastAsia"/>
        </w:rPr>
        <w:t xml:space="preserve"> </w:t>
      </w:r>
      <w:r>
        <w:rPr>
          <w:rFonts w:hint="eastAsia"/>
        </w:rPr>
        <w:t>就《刑事诉讼法典》规定的有关制度，有必要突出其中以下几点：</w:t>
      </w:r>
    </w:p>
    <w:p w:rsidR="00000000" w:rsidRDefault="00000000">
      <w:pPr>
        <w:pStyle w:val="a0"/>
        <w:ind w:left="1530"/>
        <w:rPr>
          <w:rFonts w:hint="eastAsia"/>
        </w:rPr>
      </w:pPr>
      <w:r>
        <w:rPr>
          <w:rFonts w:hint="eastAsia"/>
          <w:bCs/>
        </w:rPr>
        <w:t>根据第二条规定的诉讼合法性原则，</w:t>
      </w:r>
      <w:r>
        <w:rPr>
          <w:rFonts w:hint="eastAsia"/>
        </w:rPr>
        <w:t>必须依据该法典之规定，方得科处刑罚及保安处分。第八条又具体规定，仅法院有管辖权科处刑罚与保安处分；</w:t>
      </w:r>
    </w:p>
    <w:p w:rsidR="00000000" w:rsidRDefault="00000000">
      <w:pPr>
        <w:pStyle w:val="a0"/>
        <w:ind w:left="1530"/>
        <w:rPr>
          <w:spacing w:val="20"/>
          <w:sz w:val="22"/>
        </w:rPr>
      </w:pPr>
      <w:r>
        <w:rPr>
          <w:rFonts w:hint="eastAsia"/>
        </w:rPr>
        <w:t>任何嫌犯在诉讼程序中任何阶段享有“选任辩护人，或向法官请求为其指定辩护人”及“在一切有其参与之诉讼行为中由辩护人援助”的权利，“如已被拘留，则有权与辩护人联络，即使属私下之联络”</w:t>
      </w:r>
      <w:r>
        <w:rPr>
          <w:rFonts w:hint="eastAsia"/>
        </w:rPr>
        <w:t>(</w:t>
      </w:r>
      <w:r>
        <w:rPr>
          <w:rFonts w:hint="eastAsia"/>
        </w:rPr>
        <w:t>第五十条第一款ｄ及ｅ项</w:t>
      </w:r>
      <w:r>
        <w:rPr>
          <w:rFonts w:hint="eastAsia"/>
        </w:rPr>
        <w:t>)</w:t>
      </w:r>
      <w:r>
        <w:rPr>
          <w:rFonts w:hint="eastAsia"/>
        </w:rPr>
        <w:t>；</w:t>
      </w:r>
    </w:p>
    <w:p w:rsidR="00000000" w:rsidRDefault="00000000">
      <w:pPr>
        <w:pStyle w:val="a0"/>
        <w:ind w:left="1530"/>
        <w:rPr>
          <w:spacing w:val="20"/>
          <w:sz w:val="22"/>
        </w:rPr>
      </w:pPr>
      <w:r>
        <w:rPr>
          <w:rFonts w:hint="eastAsia"/>
          <w:spacing w:val="20"/>
          <w:sz w:val="22"/>
        </w:rPr>
        <w:t>不应立即被审判之被拘留嫌犯，由预审法官讯问，该讯问须最迟不得超逾拘留后四十八小时</w:t>
      </w:r>
      <w:r>
        <w:rPr>
          <w:rFonts w:hint="eastAsia"/>
          <w:spacing w:val="20"/>
          <w:sz w:val="22"/>
        </w:rPr>
        <w:t>(</w:t>
      </w:r>
      <w:r>
        <w:rPr>
          <w:rFonts w:hint="eastAsia"/>
          <w:spacing w:val="20"/>
          <w:sz w:val="22"/>
        </w:rPr>
        <w:t>第一百二十八条第一款</w:t>
      </w:r>
      <w:r>
        <w:rPr>
          <w:rFonts w:hint="eastAsia"/>
          <w:spacing w:val="20"/>
          <w:sz w:val="22"/>
        </w:rPr>
        <w:t>)</w:t>
      </w:r>
      <w:r>
        <w:rPr>
          <w:rFonts w:hint="eastAsia"/>
          <w:spacing w:val="20"/>
          <w:sz w:val="22"/>
        </w:rPr>
        <w:t>；</w:t>
      </w:r>
    </w:p>
    <w:p w:rsidR="00000000" w:rsidRDefault="00000000">
      <w:pPr>
        <w:pStyle w:val="a0"/>
        <w:ind w:left="1530"/>
        <w:rPr>
          <w:spacing w:val="20"/>
          <w:sz w:val="22"/>
        </w:rPr>
      </w:pPr>
      <w:r>
        <w:rPr>
          <w:rFonts w:hint="eastAsia"/>
          <w:spacing w:val="20"/>
          <w:sz w:val="22"/>
        </w:rPr>
        <w:t>按照合法性原则，“</w:t>
      </w:r>
      <w:r>
        <w:rPr>
          <w:rFonts w:hint="eastAsia"/>
          <w:i/>
          <w:iCs/>
          <w:spacing w:val="20"/>
          <w:sz w:val="22"/>
        </w:rPr>
        <w:t>人之自由，仅得</w:t>
      </w:r>
      <w:r>
        <w:rPr>
          <w:rFonts w:hint="eastAsia"/>
          <w:i/>
          <w:iCs/>
          <w:spacing w:val="20"/>
          <w:sz w:val="22"/>
        </w:rPr>
        <w:t>......</w:t>
      </w:r>
      <w:r>
        <w:rPr>
          <w:rFonts w:hint="eastAsia"/>
          <w:i/>
          <w:iCs/>
          <w:spacing w:val="20"/>
          <w:sz w:val="22"/>
        </w:rPr>
        <w:t>由法律规定之强制措施及财产担保措施全部或部分限制之</w:t>
      </w:r>
      <w:r>
        <w:rPr>
          <w:rFonts w:hint="eastAsia"/>
          <w:spacing w:val="20"/>
          <w:sz w:val="22"/>
        </w:rPr>
        <w:t>”</w:t>
      </w:r>
      <w:r>
        <w:rPr>
          <w:rFonts w:hint="eastAsia"/>
          <w:spacing w:val="20"/>
          <w:sz w:val="22"/>
        </w:rPr>
        <w:t xml:space="preserve"> (</w:t>
      </w:r>
      <w:r>
        <w:rPr>
          <w:rFonts w:hint="eastAsia"/>
          <w:spacing w:val="20"/>
          <w:sz w:val="22"/>
        </w:rPr>
        <w:t>第一百七十六条第一款</w:t>
      </w:r>
      <w:r>
        <w:rPr>
          <w:rFonts w:hint="eastAsia"/>
          <w:spacing w:val="20"/>
          <w:sz w:val="22"/>
        </w:rPr>
        <w:t>)</w:t>
      </w:r>
      <w:r>
        <w:rPr>
          <w:rFonts w:hint="eastAsia"/>
          <w:spacing w:val="20"/>
          <w:sz w:val="22"/>
        </w:rPr>
        <w:t>，且由法官以批示为之</w:t>
      </w:r>
      <w:r>
        <w:rPr>
          <w:rFonts w:hint="eastAsia"/>
          <w:spacing w:val="20"/>
          <w:sz w:val="22"/>
        </w:rPr>
        <w:t>(</w:t>
      </w:r>
      <w:r>
        <w:rPr>
          <w:rFonts w:hint="eastAsia"/>
          <w:spacing w:val="20"/>
          <w:sz w:val="22"/>
        </w:rPr>
        <w:t>第一百七十九条第一款</w:t>
      </w:r>
      <w:r>
        <w:rPr>
          <w:rFonts w:hint="eastAsia"/>
          <w:spacing w:val="20"/>
          <w:sz w:val="22"/>
        </w:rPr>
        <w:t>)</w:t>
      </w:r>
      <w:r>
        <w:rPr>
          <w:rFonts w:hint="eastAsia"/>
          <w:spacing w:val="20"/>
          <w:sz w:val="22"/>
        </w:rPr>
        <w:t>；</w:t>
      </w:r>
    </w:p>
    <w:p w:rsidR="00000000" w:rsidRDefault="00000000">
      <w:pPr>
        <w:pStyle w:val="a0"/>
        <w:ind w:left="1530"/>
        <w:rPr>
          <w:spacing w:val="20"/>
          <w:sz w:val="22"/>
        </w:rPr>
      </w:pPr>
      <w:r>
        <w:rPr>
          <w:rFonts w:hint="eastAsia"/>
          <w:spacing w:val="20"/>
          <w:sz w:val="22"/>
        </w:rPr>
        <w:t>依据适当及适度原则，“</w:t>
      </w:r>
      <w:r>
        <w:rPr>
          <w:spacing w:val="20"/>
          <w:sz w:val="22"/>
        </w:rPr>
        <w:t>……</w:t>
      </w:r>
      <w:r>
        <w:rPr>
          <w:rFonts w:hint="eastAsia"/>
          <w:i/>
          <w:iCs/>
          <w:spacing w:val="20"/>
          <w:sz w:val="22"/>
        </w:rPr>
        <w:t>强制措施及财产担保措施，对于</w:t>
      </w:r>
      <w:r>
        <w:rPr>
          <w:rFonts w:hint="eastAsia"/>
          <w:i/>
          <w:iCs/>
          <w:spacing w:val="20"/>
          <w:sz w:val="22"/>
        </w:rPr>
        <w:t>......</w:t>
      </w:r>
      <w:r>
        <w:rPr>
          <w:rFonts w:hint="eastAsia"/>
          <w:i/>
          <w:iCs/>
          <w:spacing w:val="20"/>
          <w:sz w:val="22"/>
        </w:rPr>
        <w:t>防范要求应属适当，且对于犯罪之严重性及预料可科处之制裁应属适度</w:t>
      </w:r>
      <w:r>
        <w:rPr>
          <w:spacing w:val="20"/>
          <w:sz w:val="22"/>
        </w:rPr>
        <w:t xml:space="preserve"> </w:t>
      </w:r>
      <w:r>
        <w:rPr>
          <w:rFonts w:hint="eastAsia"/>
          <w:spacing w:val="20"/>
          <w:sz w:val="22"/>
        </w:rPr>
        <w:t>”，其</w:t>
      </w:r>
      <w:r>
        <w:rPr>
          <w:spacing w:val="20"/>
          <w:sz w:val="22"/>
        </w:rPr>
        <w:t xml:space="preserve"> </w:t>
      </w:r>
      <w:r>
        <w:rPr>
          <w:rFonts w:hint="eastAsia"/>
          <w:spacing w:val="20"/>
          <w:sz w:val="22"/>
        </w:rPr>
        <w:t>执行“</w:t>
      </w:r>
      <w:r>
        <w:rPr>
          <w:rFonts w:hint="eastAsia"/>
          <w:i/>
          <w:iCs/>
          <w:spacing w:val="20"/>
          <w:sz w:val="22"/>
        </w:rPr>
        <w:t>不应妨碍与有关情况所需之防范要求不相抵触之基本权利之行使</w:t>
      </w:r>
      <w:r>
        <w:rPr>
          <w:rFonts w:hint="eastAsia"/>
          <w:spacing w:val="20"/>
          <w:sz w:val="22"/>
        </w:rPr>
        <w:t>”</w:t>
      </w:r>
      <w:r>
        <w:rPr>
          <w:rFonts w:hint="eastAsia"/>
          <w:spacing w:val="20"/>
          <w:sz w:val="22"/>
        </w:rPr>
        <w:t>(</w:t>
      </w:r>
      <w:r>
        <w:rPr>
          <w:rFonts w:hint="eastAsia"/>
          <w:spacing w:val="20"/>
          <w:sz w:val="22"/>
        </w:rPr>
        <w:t>第一百七十八条第一款及第二款</w:t>
      </w:r>
      <w:r>
        <w:rPr>
          <w:rFonts w:hint="eastAsia"/>
          <w:spacing w:val="20"/>
          <w:sz w:val="22"/>
        </w:rPr>
        <w:t>)</w:t>
      </w:r>
      <w:r>
        <w:rPr>
          <w:rFonts w:hint="eastAsia"/>
          <w:spacing w:val="20"/>
          <w:sz w:val="22"/>
        </w:rPr>
        <w:t>；</w:t>
      </w:r>
    </w:p>
    <w:p w:rsidR="00000000" w:rsidRDefault="00000000">
      <w:pPr>
        <w:pStyle w:val="a0"/>
        <w:ind w:left="1530"/>
        <w:rPr>
          <w:spacing w:val="20"/>
          <w:sz w:val="22"/>
        </w:rPr>
      </w:pPr>
      <w:r>
        <w:rPr>
          <w:rFonts w:hint="eastAsia"/>
          <w:spacing w:val="20"/>
          <w:sz w:val="22"/>
        </w:rPr>
        <w:t>适用强制措施的一般要件仅限于逃走或有逃走之危险，有扰乱诉讼程序进行之危险，尤其是对证据之取得、保全或真实性构成危险，有扰乱公共秩序或安宁之危险，又或有继续进行犯罪活动之危险</w:t>
      </w:r>
      <w:r>
        <w:rPr>
          <w:rFonts w:hint="eastAsia"/>
          <w:spacing w:val="20"/>
          <w:sz w:val="22"/>
        </w:rPr>
        <w:t>(</w:t>
      </w:r>
      <w:r>
        <w:rPr>
          <w:rFonts w:hint="eastAsia"/>
          <w:spacing w:val="20"/>
          <w:sz w:val="22"/>
        </w:rPr>
        <w:t>第一百八十八条ａ至ｃ项</w:t>
      </w:r>
      <w:r>
        <w:rPr>
          <w:rFonts w:hint="eastAsia"/>
          <w:spacing w:val="20"/>
          <w:sz w:val="22"/>
        </w:rPr>
        <w:t>)</w:t>
      </w:r>
      <w:r>
        <w:rPr>
          <w:rFonts w:hint="eastAsia"/>
          <w:spacing w:val="20"/>
          <w:sz w:val="22"/>
        </w:rPr>
        <w:t>；</w:t>
      </w:r>
    </w:p>
    <w:p w:rsidR="00000000" w:rsidRDefault="00000000">
      <w:pPr>
        <w:pStyle w:val="a0"/>
        <w:ind w:left="1530"/>
        <w:rPr>
          <w:spacing w:val="20"/>
          <w:sz w:val="22"/>
        </w:rPr>
      </w:pPr>
      <w:r>
        <w:rPr>
          <w:rFonts w:hint="eastAsia"/>
          <w:spacing w:val="20"/>
          <w:sz w:val="22"/>
        </w:rPr>
        <w:t>羁押作为补充性措施之用</w:t>
      </w:r>
      <w:r>
        <w:rPr>
          <w:rFonts w:hint="eastAsia"/>
          <w:spacing w:val="20"/>
          <w:sz w:val="22"/>
        </w:rPr>
        <w:t>(</w:t>
      </w:r>
      <w:r>
        <w:rPr>
          <w:rFonts w:hint="eastAsia"/>
          <w:spacing w:val="20"/>
          <w:sz w:val="22"/>
        </w:rPr>
        <w:t>第一百七十八条第三款</w:t>
      </w:r>
      <w:r>
        <w:rPr>
          <w:rFonts w:hint="eastAsia"/>
          <w:spacing w:val="20"/>
          <w:sz w:val="22"/>
        </w:rPr>
        <w:t>)</w:t>
      </w:r>
      <w:r>
        <w:rPr>
          <w:rFonts w:hint="eastAsia"/>
          <w:spacing w:val="20"/>
          <w:sz w:val="22"/>
        </w:rPr>
        <w:t>；</w:t>
      </w:r>
    </w:p>
    <w:p w:rsidR="00000000" w:rsidRDefault="00000000">
      <w:pPr>
        <w:pStyle w:val="a0"/>
        <w:ind w:left="1530"/>
        <w:rPr>
          <w:spacing w:val="20"/>
          <w:sz w:val="22"/>
        </w:rPr>
      </w:pPr>
      <w:r>
        <w:rPr>
          <w:rFonts w:hint="eastAsia"/>
          <w:spacing w:val="20"/>
          <w:sz w:val="22"/>
        </w:rPr>
        <w:t>尽列拘留之目的</w:t>
      </w:r>
      <w:r>
        <w:rPr>
          <w:rFonts w:hint="eastAsia"/>
          <w:spacing w:val="20"/>
          <w:sz w:val="22"/>
        </w:rPr>
        <w:t>(</w:t>
      </w:r>
      <w:r>
        <w:rPr>
          <w:rFonts w:hint="eastAsia"/>
          <w:spacing w:val="20"/>
          <w:sz w:val="22"/>
        </w:rPr>
        <w:t>第二百三十七条ａ至ｃ项</w:t>
      </w:r>
      <w:r>
        <w:rPr>
          <w:rFonts w:hint="eastAsia"/>
          <w:spacing w:val="20"/>
          <w:sz w:val="22"/>
        </w:rPr>
        <w:t>)</w:t>
      </w:r>
      <w:r>
        <w:rPr>
          <w:rFonts w:hint="eastAsia"/>
          <w:spacing w:val="20"/>
          <w:sz w:val="22"/>
        </w:rPr>
        <w:t>，并且在误抓人或不为法律所容许或不再需要的情况下，须立即将被拘留之人释放</w:t>
      </w:r>
      <w:r>
        <w:rPr>
          <w:rFonts w:hint="eastAsia"/>
          <w:spacing w:val="20"/>
          <w:sz w:val="22"/>
        </w:rPr>
        <w:t>(</w:t>
      </w:r>
      <w:r>
        <w:rPr>
          <w:rFonts w:hint="eastAsia"/>
          <w:spacing w:val="20"/>
          <w:sz w:val="22"/>
        </w:rPr>
        <w:t>第二百四十四条第一款</w:t>
      </w:r>
      <w:r>
        <w:rPr>
          <w:rFonts w:hint="eastAsia"/>
          <w:spacing w:val="20"/>
          <w:sz w:val="22"/>
        </w:rPr>
        <w:t>)</w:t>
      </w:r>
      <w:r>
        <w:rPr>
          <w:rFonts w:hint="eastAsia"/>
          <w:spacing w:val="20"/>
          <w:sz w:val="22"/>
        </w:rPr>
        <w:t>。</w:t>
      </w:r>
    </w:p>
    <w:p w:rsidR="00000000" w:rsidRDefault="00000000">
      <w:r>
        <w:tab/>
        <w:t xml:space="preserve">58.  </w:t>
      </w:r>
      <w:r>
        <w:rPr>
          <w:rFonts w:hint="eastAsia"/>
        </w:rPr>
        <w:t>《基本法》第二十八条第二款规定：“</w:t>
      </w:r>
      <w:r>
        <w:rPr>
          <w:rFonts w:hint="eastAsia"/>
          <w:i/>
          <w:iCs/>
        </w:rPr>
        <w:t>对任意或非法的拘留、监禁，居民有权向法院申请颁发人身保护令</w:t>
      </w:r>
      <w:r>
        <w:rPr>
          <w:rFonts w:hint="eastAsia"/>
        </w:rPr>
        <w:t>”。《民事诉讼法典法》第二百零四条及第二百零六条对此亦作了规范。</w:t>
      </w:r>
    </w:p>
    <w:p w:rsidR="00000000" w:rsidRDefault="00000000">
      <w:pPr>
        <w:spacing w:line="324" w:lineRule="auto"/>
        <w:rPr>
          <w:rFonts w:hint="eastAsia"/>
        </w:rPr>
      </w:pPr>
      <w:r>
        <w:rPr>
          <w:bCs/>
        </w:rPr>
        <w:tab/>
        <w:t xml:space="preserve">59.  </w:t>
      </w:r>
      <w:r>
        <w:rPr>
          <w:rFonts w:hint="eastAsia"/>
          <w:bCs/>
        </w:rPr>
        <w:t>十月四日第</w:t>
      </w:r>
      <w:r>
        <w:rPr>
          <w:bCs/>
        </w:rPr>
        <w:t>52/99/M</w:t>
      </w:r>
      <w:r>
        <w:rPr>
          <w:rFonts w:hint="eastAsia"/>
          <w:bCs/>
        </w:rPr>
        <w:t>号法令订定的“</w:t>
      </w:r>
      <w:r>
        <w:rPr>
          <w:rFonts w:hint="eastAsia"/>
        </w:rPr>
        <w:t>行政上之违法行为之一般制度及程序</w:t>
      </w:r>
      <w:r>
        <w:rPr>
          <w:rFonts w:hint="eastAsia"/>
          <w:bCs/>
        </w:rPr>
        <w:t>”</w:t>
      </w:r>
      <w:r>
        <w:rPr>
          <w:rFonts w:hint="eastAsia"/>
        </w:rPr>
        <w:t>进一步落实公约有关方面的原则，尤其是可受处罚之事实须为其作出时之前法律所规定可受处罚者、禁止剥夺或限制人身自由之措施及以酷刑取得的证据无效等</w:t>
      </w:r>
      <w:r>
        <w:rPr>
          <w:rFonts w:hint="eastAsia"/>
        </w:rPr>
        <w:t>(</w:t>
      </w:r>
      <w:r>
        <w:rPr>
          <w:rFonts w:hint="eastAsia"/>
        </w:rPr>
        <w:t>第九条、第十一条第一款及第十九条</w:t>
      </w:r>
      <w:r>
        <w:rPr>
          <w:rFonts w:hint="eastAsia"/>
        </w:rPr>
        <w:t>)</w:t>
      </w:r>
      <w:r>
        <w:rPr>
          <w:rFonts w:hint="eastAsia"/>
        </w:rPr>
        <w:t>。</w:t>
      </w:r>
    </w:p>
    <w:p w:rsidR="00000000" w:rsidRDefault="00000000">
      <w:pPr>
        <w:spacing w:line="324" w:lineRule="auto"/>
        <w:rPr>
          <w:rFonts w:hint="eastAsia"/>
        </w:rPr>
      </w:pPr>
      <w:r>
        <w:tab/>
        <w:t xml:space="preserve">60.  </w:t>
      </w:r>
      <w:r>
        <w:rPr>
          <w:rFonts w:hint="eastAsia"/>
        </w:rPr>
        <w:t>同样具有特别重要性的是七月二十五日第</w:t>
      </w:r>
      <w:r>
        <w:t>40/94/M</w:t>
      </w:r>
      <w:r>
        <w:rPr>
          <w:rFonts w:hint="eastAsia"/>
        </w:rPr>
        <w:t>号法令核准的</w:t>
      </w:r>
      <w:r>
        <w:rPr>
          <w:rFonts w:ascii="MingLiU" w:hAnsi="MingLiU" w:hint="eastAsia"/>
        </w:rPr>
        <w:t>《</w:t>
      </w:r>
      <w:r>
        <w:rPr>
          <w:rFonts w:hint="eastAsia"/>
        </w:rPr>
        <w:t>剥夺自由处分之执行制度</w:t>
      </w:r>
      <w:r>
        <w:rPr>
          <w:rFonts w:ascii="PMingLiU" w:hAnsi="PMingLiU" w:hint="eastAsia"/>
        </w:rPr>
        <w:t>》</w:t>
      </w:r>
      <w:r>
        <w:rPr>
          <w:rFonts w:hint="eastAsia"/>
        </w:rPr>
        <w:t>。</w:t>
      </w:r>
    </w:p>
    <w:p w:rsidR="00000000" w:rsidRDefault="00000000">
      <w:pPr>
        <w:spacing w:line="324" w:lineRule="auto"/>
        <w:rPr>
          <w:rFonts w:hint="eastAsia"/>
        </w:rPr>
      </w:pPr>
      <w:r>
        <w:tab/>
        <w:t xml:space="preserve">61.  </w:t>
      </w:r>
      <w:r>
        <w:rPr>
          <w:rFonts w:hint="eastAsia"/>
        </w:rPr>
        <w:t>上述制度以囚犯保持基本权利为一般原则，但因判罪必然引致之限制除外</w:t>
      </w:r>
      <w:r>
        <w:rPr>
          <w:rFonts w:hint="eastAsia"/>
        </w:rPr>
        <w:t>(</w:t>
      </w:r>
      <w:r>
        <w:rPr>
          <w:rFonts w:hint="eastAsia"/>
        </w:rPr>
        <w:t>第三条</w:t>
      </w:r>
      <w:r>
        <w:rPr>
          <w:rFonts w:hint="eastAsia"/>
        </w:rPr>
        <w:t>)</w:t>
      </w:r>
      <w:r>
        <w:rPr>
          <w:rFonts w:hint="eastAsia"/>
        </w:rPr>
        <w:t>。</w:t>
      </w:r>
    </w:p>
    <w:p w:rsidR="00000000" w:rsidRDefault="00000000">
      <w:pPr>
        <w:spacing w:line="324" w:lineRule="auto"/>
        <w:rPr>
          <w:rFonts w:hint="eastAsia"/>
        </w:rPr>
      </w:pPr>
      <w:r>
        <w:rPr>
          <w:szCs w:val="21"/>
        </w:rPr>
        <w:tab/>
        <w:t xml:space="preserve">62. </w:t>
      </w:r>
      <w:r>
        <w:rPr>
          <w:rFonts w:hint="eastAsia"/>
          <w:szCs w:val="21"/>
        </w:rPr>
        <w:t xml:space="preserve"> </w:t>
      </w:r>
      <w:r>
        <w:rPr>
          <w:rFonts w:hint="eastAsia"/>
          <w:szCs w:val="21"/>
        </w:rPr>
        <w:t>应保证囚犯衣食</w:t>
      </w:r>
      <w:r>
        <w:rPr>
          <w:rFonts w:hint="eastAsia"/>
        </w:rPr>
        <w:t>住宿及卫生应有的条件，以维护其健康</w:t>
      </w:r>
      <w:r>
        <w:rPr>
          <w:rFonts w:ascii="PMingLiU" w:hAnsi="PMingLiU" w:hint="eastAsia"/>
        </w:rPr>
        <w:t>、</w:t>
      </w:r>
      <w:r>
        <w:rPr>
          <w:rFonts w:hint="eastAsia"/>
        </w:rPr>
        <w:t>尊严，并力促囚犯与外界的接触，无论是通过接受探访之权利还是通信之权利</w:t>
      </w:r>
      <w:r>
        <w:rPr>
          <w:rFonts w:hint="eastAsia"/>
        </w:rPr>
        <w:t>(</w:t>
      </w:r>
      <w:r>
        <w:rPr>
          <w:rFonts w:hint="eastAsia"/>
          <w:bCs/>
        </w:rPr>
        <w:t>第</w:t>
      </w:r>
      <w:r>
        <w:rPr>
          <w:bCs/>
        </w:rPr>
        <w:t>40/94/M</w:t>
      </w:r>
      <w:r>
        <w:rPr>
          <w:rFonts w:hint="eastAsia"/>
          <w:bCs/>
        </w:rPr>
        <w:t>号法令</w:t>
      </w:r>
      <w:r>
        <w:rPr>
          <w:rFonts w:hint="eastAsia"/>
        </w:rPr>
        <w:t>第十一条至第二十条、第二十二条第一款至第三款及第三十条第一款</w:t>
      </w:r>
      <w:r>
        <w:rPr>
          <w:rFonts w:hint="eastAsia"/>
        </w:rPr>
        <w:t>)</w:t>
      </w:r>
      <w:r>
        <w:rPr>
          <w:rFonts w:hint="eastAsia"/>
        </w:rPr>
        <w:t>。</w:t>
      </w:r>
    </w:p>
    <w:p w:rsidR="00000000" w:rsidRDefault="00000000">
      <w:pPr>
        <w:spacing w:line="324" w:lineRule="auto"/>
        <w:rPr>
          <w:rFonts w:hint="eastAsia"/>
        </w:rPr>
      </w:pPr>
      <w:r>
        <w:tab/>
        <w:t xml:space="preserve">63.  </w:t>
      </w:r>
      <w:r>
        <w:rPr>
          <w:rFonts w:hint="eastAsia"/>
          <w:bCs/>
        </w:rPr>
        <w:t>囚犯有权接受卫生护理及适当的医疗，尤其是免费接受初级卫生护理，然而，</w:t>
      </w:r>
      <w:r>
        <w:rPr>
          <w:rFonts w:hint="eastAsia"/>
        </w:rPr>
        <w:t>即使在囚犯同意的情况下，亦不得对之进行可能危害其健康的医学或科学试验，就此方面，有必要强调，囚犯身心健康不断受到关注，尤其察其是否适合所进行的劳动，以及监督特别安全措施及纪律处分的适用和执行</w:t>
      </w:r>
      <w:r>
        <w:rPr>
          <w:rFonts w:hint="eastAsia"/>
        </w:rPr>
        <w:t>(</w:t>
      </w:r>
      <w:r>
        <w:rPr>
          <w:rFonts w:hint="eastAsia"/>
        </w:rPr>
        <w:t>第</w:t>
      </w:r>
      <w:r>
        <w:rPr>
          <w:rFonts w:hint="eastAsia"/>
        </w:rPr>
        <w:t>40/94/M</w:t>
      </w:r>
      <w:r>
        <w:rPr>
          <w:rFonts w:hint="eastAsia"/>
        </w:rPr>
        <w:t>号法令第四十一条第一款、第二款，第四十五条第一款，第四十六条第一款ｅ及ｇ项</w:t>
      </w:r>
      <w:r>
        <w:rPr>
          <w:rFonts w:hint="eastAsia"/>
        </w:rPr>
        <w:t>)</w:t>
      </w:r>
      <w:r>
        <w:rPr>
          <w:rFonts w:hint="eastAsia"/>
        </w:rPr>
        <w:t>。</w:t>
      </w:r>
    </w:p>
    <w:p w:rsidR="00000000" w:rsidRDefault="00000000">
      <w:pPr>
        <w:spacing w:line="324" w:lineRule="auto"/>
        <w:rPr>
          <w:rFonts w:hint="eastAsia"/>
        </w:rPr>
      </w:pPr>
      <w:r>
        <w:tab/>
        <w:t xml:space="preserve">64.  </w:t>
      </w:r>
      <w:r>
        <w:rPr>
          <w:rFonts w:hint="eastAsia"/>
        </w:rPr>
        <w:t>尽管被判罪的囚犯必须劳动，但不得安排囚犯进行损害其尊严或有特别危险或不卫生之工作</w:t>
      </w:r>
      <w:r>
        <w:rPr>
          <w:rFonts w:hint="eastAsia"/>
        </w:rPr>
        <w:t>(</w:t>
      </w:r>
      <w:r>
        <w:rPr>
          <w:rFonts w:hint="eastAsia"/>
          <w:bCs/>
        </w:rPr>
        <w:t>第</w:t>
      </w:r>
      <w:r>
        <w:rPr>
          <w:bCs/>
        </w:rPr>
        <w:t>40/94/M</w:t>
      </w:r>
      <w:r>
        <w:rPr>
          <w:rFonts w:hint="eastAsia"/>
          <w:bCs/>
        </w:rPr>
        <w:t>号法令</w:t>
      </w:r>
      <w:r>
        <w:rPr>
          <w:rFonts w:hint="eastAsia"/>
        </w:rPr>
        <w:t>第五十二条第一款及二款</w:t>
      </w:r>
      <w:r>
        <w:rPr>
          <w:rFonts w:hint="eastAsia"/>
        </w:rPr>
        <w:t>)</w:t>
      </w:r>
      <w:r>
        <w:rPr>
          <w:rFonts w:hint="eastAsia"/>
        </w:rPr>
        <w:t>。</w:t>
      </w:r>
    </w:p>
    <w:p w:rsidR="00000000" w:rsidRDefault="00000000">
      <w:pPr>
        <w:spacing w:line="324" w:lineRule="auto"/>
        <w:rPr>
          <w:rFonts w:hint="eastAsia"/>
        </w:rPr>
      </w:pPr>
      <w:r>
        <w:tab/>
        <w:t xml:space="preserve">65.  </w:t>
      </w:r>
      <w:r>
        <w:rPr>
          <w:rFonts w:hint="eastAsia"/>
        </w:rPr>
        <w:t>上述法令第九章所规范的内容尤为重要，因为涉及监狱可采取的特别安全措施及纪律处分，该等措施受类型化原则的制约，换言之，仅得实施法令规定的措施</w:t>
      </w:r>
      <w:r>
        <w:rPr>
          <w:rFonts w:hint="eastAsia"/>
        </w:rPr>
        <w:t>(</w:t>
      </w:r>
      <w:r>
        <w:rPr>
          <w:rFonts w:hint="eastAsia"/>
        </w:rPr>
        <w:t>第六十五条ａ至ｆ项及第七十五条第一款ａ至ｇ项</w:t>
      </w:r>
      <w:r>
        <w:rPr>
          <w:rFonts w:hint="eastAsia"/>
        </w:rPr>
        <w:t>)</w:t>
      </w:r>
      <w:r>
        <w:rPr>
          <w:rFonts w:hint="eastAsia"/>
        </w:rPr>
        <w:t>。特别安全措施针对的是囚犯之行为或其精神状况显示有越狱或实施伤害其本人、他人或毁坏对象之暴力行为之重大危险，并且仅在用其他方法不能避免危险，或在监狱之秩序及安全受严重扰乱之情况下，方得许可采取措施</w:t>
      </w:r>
      <w:r>
        <w:rPr>
          <w:rFonts w:hint="eastAsia"/>
        </w:rPr>
        <w:t>(</w:t>
      </w:r>
      <w:r>
        <w:rPr>
          <w:rFonts w:hint="eastAsia"/>
        </w:rPr>
        <w:t>第六十六条第一款及第二款</w:t>
      </w:r>
      <w:r>
        <w:rPr>
          <w:rFonts w:hint="eastAsia"/>
        </w:rPr>
        <w:t>)</w:t>
      </w:r>
      <w:r>
        <w:rPr>
          <w:rFonts w:hint="eastAsia"/>
        </w:rPr>
        <w:t>。</w:t>
      </w:r>
    </w:p>
    <w:p w:rsidR="00000000" w:rsidRDefault="00000000">
      <w:pPr>
        <w:spacing w:line="324" w:lineRule="auto"/>
        <w:rPr>
          <w:rFonts w:hint="eastAsia"/>
          <w:szCs w:val="21"/>
        </w:rPr>
      </w:pPr>
      <w:r>
        <w:tab/>
        <w:t xml:space="preserve">66.  </w:t>
      </w:r>
      <w:r>
        <w:rPr>
          <w:rFonts w:hint="eastAsia"/>
        </w:rPr>
        <w:t>采取较严厉的特别安全措施须始终以“最终措施”</w:t>
      </w:r>
      <w:r>
        <w:t xml:space="preserve"> </w:t>
      </w:r>
      <w:r>
        <w:rPr>
          <w:rFonts w:hint="eastAsia"/>
        </w:rPr>
        <w:t>标准衡量，这也就是说，鉴于情况的严重性或有关性质而其他特别安全措施显得无效或不适合时，方得隔离囚犯，或</w:t>
      </w:r>
      <w:r>
        <w:rPr>
          <w:rFonts w:hint="eastAsia"/>
          <w:szCs w:val="21"/>
        </w:rPr>
        <w:t>仅在正当防卫、发生试图越狱、抗拒正当命令等情况下，如不能以其他措施代替，方得施行人身强制，又或</w:t>
      </w:r>
      <w:r>
        <w:rPr>
          <w:rFonts w:hint="eastAsia"/>
        </w:rPr>
        <w:t>当发生紧急避险、自助行为或正当防卫，方得使用火器</w:t>
      </w:r>
      <w:r>
        <w:rPr>
          <w:rFonts w:hint="eastAsia"/>
        </w:rPr>
        <w:t>(</w:t>
      </w:r>
      <w:r>
        <w:rPr>
          <w:rFonts w:hint="eastAsia"/>
        </w:rPr>
        <w:t>第</w:t>
      </w:r>
      <w:r>
        <w:t>40/94/M</w:t>
      </w:r>
      <w:r>
        <w:rPr>
          <w:rFonts w:hint="eastAsia"/>
        </w:rPr>
        <w:t>号法令第七十条第一款、</w:t>
      </w:r>
      <w:r>
        <w:rPr>
          <w:rFonts w:hint="eastAsia"/>
          <w:szCs w:val="21"/>
        </w:rPr>
        <w:t>第七十二条第四款及第七十三条第一款ａ至ｅ项</w:t>
      </w:r>
      <w:r>
        <w:rPr>
          <w:rFonts w:hint="eastAsia"/>
          <w:szCs w:val="21"/>
        </w:rPr>
        <w:t>)</w:t>
      </w:r>
      <w:r>
        <w:rPr>
          <w:rFonts w:hint="eastAsia"/>
          <w:szCs w:val="21"/>
        </w:rPr>
        <w:t>。</w:t>
      </w:r>
    </w:p>
    <w:p w:rsidR="00000000" w:rsidRDefault="00000000">
      <w:pPr>
        <w:rPr>
          <w:rFonts w:hint="eastAsia"/>
        </w:rPr>
      </w:pPr>
      <w:r>
        <w:rPr>
          <w:szCs w:val="21"/>
        </w:rPr>
        <w:tab/>
        <w:t xml:space="preserve">67.  </w:t>
      </w:r>
      <w:r>
        <w:rPr>
          <w:rFonts w:hint="eastAsia"/>
        </w:rPr>
        <w:t>科处纪律处分时，应考虑违法行为之严重性、囚犯之行为及个性；如仅申诫足可予以处罚，应以申诫代替纪律处分。无论如何，执行该等措施不得危害囚犯健康</w:t>
      </w:r>
      <w:r>
        <w:rPr>
          <w:rFonts w:hint="eastAsia"/>
        </w:rPr>
        <w:t>(</w:t>
      </w:r>
      <w:r>
        <w:rPr>
          <w:rFonts w:hint="eastAsia"/>
          <w:bCs/>
        </w:rPr>
        <w:t>第</w:t>
      </w:r>
      <w:r>
        <w:rPr>
          <w:bCs/>
        </w:rPr>
        <w:t>40/94/M</w:t>
      </w:r>
      <w:r>
        <w:rPr>
          <w:rFonts w:hint="eastAsia"/>
          <w:bCs/>
        </w:rPr>
        <w:t>号法令</w:t>
      </w:r>
      <w:r>
        <w:rPr>
          <w:rFonts w:hint="eastAsia"/>
        </w:rPr>
        <w:t>第七十五条第三款及第七十八条第一款</w:t>
      </w:r>
      <w:r>
        <w:rPr>
          <w:rFonts w:hint="eastAsia"/>
        </w:rPr>
        <w:t>)</w:t>
      </w:r>
      <w:r>
        <w:rPr>
          <w:rFonts w:hint="eastAsia"/>
        </w:rPr>
        <w:t>。</w:t>
      </w:r>
    </w:p>
    <w:p w:rsidR="00000000" w:rsidRDefault="00000000">
      <w:pPr>
        <w:spacing w:line="360" w:lineRule="auto"/>
        <w:rPr>
          <w:rFonts w:hint="eastAsia"/>
          <w:spacing w:val="20"/>
          <w:sz w:val="22"/>
          <w:szCs w:val="21"/>
        </w:rPr>
      </w:pPr>
      <w:r>
        <w:rPr>
          <w:spacing w:val="20"/>
          <w:sz w:val="22"/>
        </w:rPr>
        <w:tab/>
        <w:t xml:space="preserve">68.  </w:t>
      </w:r>
      <w:r>
        <w:rPr>
          <w:rFonts w:hint="eastAsia"/>
          <w:spacing w:val="20"/>
          <w:sz w:val="22"/>
        </w:rPr>
        <w:t>囚犯有阐述权及投诉权，</w:t>
      </w:r>
      <w:r>
        <w:rPr>
          <w:rFonts w:hint="eastAsia"/>
          <w:spacing w:val="20"/>
          <w:sz w:val="22"/>
          <w:szCs w:val="21"/>
        </w:rPr>
        <w:t>可向监狱长、监狱之公务员及监督员行使该等权利</w:t>
      </w:r>
      <w:r>
        <w:rPr>
          <w:rFonts w:hint="eastAsia"/>
          <w:spacing w:val="20"/>
          <w:sz w:val="22"/>
          <w:szCs w:val="21"/>
        </w:rPr>
        <w:t>(</w:t>
      </w:r>
      <w:r>
        <w:rPr>
          <w:rFonts w:hint="eastAsia"/>
          <w:bCs/>
          <w:spacing w:val="20"/>
          <w:sz w:val="22"/>
        </w:rPr>
        <w:t>第</w:t>
      </w:r>
      <w:r>
        <w:rPr>
          <w:bCs/>
          <w:spacing w:val="20"/>
          <w:sz w:val="22"/>
        </w:rPr>
        <w:t>40/94/M</w:t>
      </w:r>
      <w:r>
        <w:rPr>
          <w:rFonts w:hint="eastAsia"/>
          <w:bCs/>
          <w:spacing w:val="20"/>
          <w:sz w:val="22"/>
        </w:rPr>
        <w:t>号法令</w:t>
      </w:r>
      <w:r>
        <w:rPr>
          <w:rFonts w:hint="eastAsia"/>
          <w:spacing w:val="20"/>
          <w:sz w:val="22"/>
        </w:rPr>
        <w:t>第八十条第一款</w:t>
      </w:r>
      <w:r>
        <w:rPr>
          <w:rFonts w:hint="eastAsia"/>
          <w:spacing w:val="20"/>
          <w:sz w:val="22"/>
          <w:szCs w:val="21"/>
        </w:rPr>
        <w:t>ａ至ｃ项</w:t>
      </w:r>
      <w:r>
        <w:rPr>
          <w:rFonts w:hint="eastAsia"/>
          <w:spacing w:val="20"/>
          <w:sz w:val="22"/>
          <w:szCs w:val="21"/>
        </w:rPr>
        <w:t>)</w:t>
      </w:r>
      <w:r>
        <w:rPr>
          <w:rFonts w:hint="eastAsia"/>
          <w:spacing w:val="20"/>
          <w:sz w:val="22"/>
          <w:szCs w:val="21"/>
        </w:rPr>
        <w:t>。</w:t>
      </w:r>
    </w:p>
    <w:p w:rsidR="00000000" w:rsidRDefault="00000000">
      <w:pPr>
        <w:rPr>
          <w:rFonts w:hint="eastAsia"/>
        </w:rPr>
      </w:pPr>
      <w:r>
        <w:tab/>
        <w:t xml:space="preserve">69.  </w:t>
      </w:r>
      <w:r>
        <w:rPr>
          <w:rFonts w:hint="eastAsia"/>
        </w:rPr>
        <w:t>囚犯同样可就科处收押于纪律囚室八日以上的处分向法院上诉，该上诉自提出后第八日起具中止效力。法官须于四十八小时内听取囚犯之意见，并可维持、减轻或撤销作为上诉标的之处分</w:t>
      </w:r>
      <w:r>
        <w:rPr>
          <w:rFonts w:hint="eastAsia"/>
        </w:rPr>
        <w:t>(</w:t>
      </w:r>
      <w:r>
        <w:rPr>
          <w:rFonts w:hint="eastAsia"/>
          <w:bCs/>
        </w:rPr>
        <w:t>第</w:t>
      </w:r>
      <w:r>
        <w:rPr>
          <w:bCs/>
        </w:rPr>
        <w:t>40/94/M</w:t>
      </w:r>
      <w:r>
        <w:rPr>
          <w:rFonts w:hint="eastAsia"/>
          <w:bCs/>
        </w:rPr>
        <w:t>号法令</w:t>
      </w:r>
      <w:r>
        <w:rPr>
          <w:rFonts w:hint="eastAsia"/>
        </w:rPr>
        <w:t>第八十二条第一款、第二款及第八十三条第二款、第三款，以及第</w:t>
      </w:r>
      <w:r>
        <w:rPr>
          <w:rFonts w:hint="eastAsia"/>
        </w:rPr>
        <w:t>86/99/M</w:t>
      </w:r>
      <w:r>
        <w:rPr>
          <w:rFonts w:hint="eastAsia"/>
        </w:rPr>
        <w:t>号法令第十七条</w:t>
      </w:r>
      <w:r>
        <w:rPr>
          <w:rFonts w:hint="eastAsia"/>
        </w:rPr>
        <w:t>)</w:t>
      </w:r>
      <w:r>
        <w:rPr>
          <w:rFonts w:hint="eastAsia"/>
        </w:rPr>
        <w:t>。</w:t>
      </w:r>
    </w:p>
    <w:p w:rsidR="00000000" w:rsidRDefault="00000000">
      <w:pPr>
        <w:rPr>
          <w:rFonts w:hint="eastAsia"/>
        </w:rPr>
      </w:pPr>
      <w:r>
        <w:rPr>
          <w:szCs w:val="21"/>
        </w:rPr>
        <w:tab/>
        <w:t xml:space="preserve">70. </w:t>
      </w:r>
      <w:r>
        <w:rPr>
          <w:rFonts w:hint="eastAsia"/>
          <w:szCs w:val="21"/>
        </w:rPr>
        <w:t xml:space="preserve"> </w:t>
      </w:r>
      <w:r>
        <w:rPr>
          <w:rFonts w:hint="eastAsia"/>
          <w:szCs w:val="21"/>
        </w:rPr>
        <w:t>如前所述，初级法院</w:t>
      </w:r>
      <w:r>
        <w:rPr>
          <w:rFonts w:hint="eastAsia"/>
        </w:rPr>
        <w:t>刑事起诉法庭就执行徒刑及收容保安处分有管辖权。法律明确规定，司法介入在于巡视监狱场所</w:t>
      </w:r>
      <w:r>
        <w:rPr>
          <w:rFonts w:hint="eastAsia"/>
          <w:szCs w:val="21"/>
        </w:rPr>
        <w:t>、</w:t>
      </w:r>
      <w:r>
        <w:rPr>
          <w:rFonts w:hint="eastAsia"/>
        </w:rPr>
        <w:t>审理被囚禁者之投诉及对有关场所有权限机关所作之纪律裁定提起之上诉进行审理</w:t>
      </w:r>
      <w:r>
        <w:rPr>
          <w:rFonts w:hint="eastAsia"/>
        </w:rPr>
        <w:t>(</w:t>
      </w:r>
      <w:r>
        <w:rPr>
          <w:rFonts w:ascii="PMingLiU" w:hAnsi="PMingLiU" w:hint="eastAsia"/>
        </w:rPr>
        <w:t>《</w:t>
      </w:r>
      <w:r>
        <w:rPr>
          <w:rFonts w:hint="eastAsia"/>
        </w:rPr>
        <w:t>司法组织纲要法</w:t>
      </w:r>
      <w:r>
        <w:rPr>
          <w:rFonts w:ascii="PMingLiU" w:hAnsi="PMingLiU" w:hint="eastAsia"/>
        </w:rPr>
        <w:t>》第二十七条及第二十九条，以及</w:t>
      </w:r>
      <w:r>
        <w:rPr>
          <w:rFonts w:hint="eastAsia"/>
          <w:szCs w:val="21"/>
        </w:rPr>
        <w:t>第</w:t>
      </w:r>
      <w:r>
        <w:rPr>
          <w:rFonts w:hint="eastAsia"/>
          <w:szCs w:val="21"/>
        </w:rPr>
        <w:t>86/99/M</w:t>
      </w:r>
      <w:r>
        <w:rPr>
          <w:rFonts w:hint="eastAsia"/>
          <w:szCs w:val="21"/>
        </w:rPr>
        <w:t>号法令第二条</w:t>
      </w:r>
      <w:r>
        <w:rPr>
          <w:rFonts w:hint="eastAsia"/>
        </w:rPr>
        <w:t>ｃ至ｅ项</w:t>
      </w:r>
      <w:r>
        <w:rPr>
          <w:rFonts w:hint="eastAsia"/>
        </w:rPr>
        <w:t>)</w:t>
      </w:r>
      <w:r>
        <w:rPr>
          <w:rFonts w:hint="eastAsia"/>
        </w:rPr>
        <w:t>。</w:t>
      </w:r>
    </w:p>
    <w:p w:rsidR="00000000" w:rsidRDefault="00000000">
      <w:pPr>
        <w:rPr>
          <w:rFonts w:hint="eastAsia"/>
        </w:rPr>
      </w:pPr>
      <w:r>
        <w:tab/>
        <w:t xml:space="preserve">71.  </w:t>
      </w:r>
      <w:r>
        <w:rPr>
          <w:rFonts w:hint="eastAsia"/>
        </w:rPr>
        <w:t>根据第</w:t>
      </w:r>
      <w:r>
        <w:t>86/99/M</w:t>
      </w:r>
      <w:r>
        <w:rPr>
          <w:rFonts w:hint="eastAsia"/>
        </w:rPr>
        <w:t>号法令的规定，法官每月至少须巡视监狱场所一次，可在有关设施自由走动，并查问任何工作人员或囚犯，后者可向法官提出口头请求，但须按照法定方式及时间为之。巡视结束时，法官与检察院及监狱场所领导人举行会议，并将其对巡视及被囚禁者之请求所得之印象告知各人，同时收集各人之口头意见，之后作出决定</w:t>
      </w:r>
      <w:r>
        <w:rPr>
          <w:rFonts w:hint="eastAsia"/>
        </w:rPr>
        <w:t>(</w:t>
      </w:r>
      <w:r>
        <w:rPr>
          <w:rFonts w:hint="eastAsia"/>
          <w:szCs w:val="21"/>
        </w:rPr>
        <w:t>第</w:t>
      </w:r>
      <w:r>
        <w:rPr>
          <w:rFonts w:hint="eastAsia"/>
          <w:szCs w:val="21"/>
        </w:rPr>
        <w:t>86/99/M</w:t>
      </w:r>
      <w:r>
        <w:rPr>
          <w:rFonts w:hint="eastAsia"/>
          <w:szCs w:val="21"/>
        </w:rPr>
        <w:t>号法令</w:t>
      </w:r>
      <w:r>
        <w:rPr>
          <w:rFonts w:hint="eastAsia"/>
        </w:rPr>
        <w:t>第十三条第一款</w:t>
      </w:r>
      <w:r>
        <w:rPr>
          <w:rFonts w:hint="eastAsia"/>
          <w:szCs w:val="21"/>
        </w:rPr>
        <w:t>，第十四条第一款，第十五条第一款</w:t>
      </w:r>
      <w:r>
        <w:rPr>
          <w:rFonts w:ascii="PMingLiU" w:hAnsi="PMingLiU" w:hint="eastAsia"/>
          <w:szCs w:val="21"/>
        </w:rPr>
        <w:t>、</w:t>
      </w:r>
      <w:r>
        <w:rPr>
          <w:rFonts w:hint="eastAsia"/>
          <w:szCs w:val="21"/>
        </w:rPr>
        <w:t>第二款</w:t>
      </w:r>
      <w:r>
        <w:rPr>
          <w:rFonts w:hint="eastAsia"/>
          <w:szCs w:val="21"/>
        </w:rPr>
        <w:t>)</w:t>
      </w:r>
      <w:r>
        <w:rPr>
          <w:rFonts w:hint="eastAsia"/>
        </w:rPr>
        <w:t>。</w:t>
      </w:r>
    </w:p>
    <w:p w:rsidR="00000000" w:rsidRDefault="00000000">
      <w:pPr>
        <w:rPr>
          <w:rFonts w:hint="eastAsia"/>
        </w:rPr>
      </w:pPr>
      <w:r>
        <w:tab/>
        <w:t xml:space="preserve">72.  </w:t>
      </w:r>
      <w:r>
        <w:rPr>
          <w:rFonts w:hint="eastAsia"/>
        </w:rPr>
        <w:t>上述法令的第十六条进一步保证囚犯向法官就“</w:t>
      </w:r>
      <w:r>
        <w:rPr>
          <w:rFonts w:hint="eastAsia"/>
          <w:i/>
          <w:iCs/>
        </w:rPr>
        <w:t>与其有关之事情</w:t>
      </w:r>
      <w:r>
        <w:rPr>
          <w:rFonts w:hint="eastAsia"/>
        </w:rPr>
        <w:t>”作出书面投诉的权利，法官在听取检察院及有关场所领导人意见后，作出决定。</w:t>
      </w:r>
    </w:p>
    <w:p w:rsidR="00000000" w:rsidRDefault="00000000">
      <w:pPr>
        <w:rPr>
          <w:rFonts w:hint="eastAsia"/>
        </w:rPr>
      </w:pPr>
      <w:r>
        <w:tab/>
        <w:t xml:space="preserve">73.   </w:t>
      </w:r>
      <w:r>
        <w:rPr>
          <w:rFonts w:hint="eastAsia"/>
        </w:rPr>
        <w:t>经二月五日第</w:t>
      </w:r>
      <w:r>
        <w:t>8/GM/96</w:t>
      </w:r>
      <w:r>
        <w:rPr>
          <w:rFonts w:hint="eastAsia"/>
        </w:rPr>
        <w:t>号批示核准的</w:t>
      </w:r>
      <w:r>
        <w:rPr>
          <w:rFonts w:ascii="PMingLiU" w:hAnsi="PMingLiU" w:hint="eastAsia"/>
        </w:rPr>
        <w:t>《</w:t>
      </w:r>
      <w:r>
        <w:rPr>
          <w:rFonts w:hint="eastAsia"/>
        </w:rPr>
        <w:t>路环监狱规章</w:t>
      </w:r>
      <w:r>
        <w:rPr>
          <w:rFonts w:ascii="PMingLiU" w:hAnsi="PMingLiU" w:hint="eastAsia"/>
        </w:rPr>
        <w:t>》</w:t>
      </w:r>
      <w:r>
        <w:rPr>
          <w:rFonts w:hint="eastAsia"/>
        </w:rPr>
        <w:t>，承认囚犯基于剥夺自由处分之执行制度所确立的权利及保障，尤指投诉</w:t>
      </w:r>
      <w:r>
        <w:rPr>
          <w:rFonts w:hint="eastAsia"/>
          <w:szCs w:val="21"/>
        </w:rPr>
        <w:t>、阐述、住宿、服饰、良好的卫生条件、有益于健康的膳食、</w:t>
      </w:r>
      <w:r>
        <w:rPr>
          <w:rFonts w:hint="eastAsia"/>
        </w:rPr>
        <w:t>接受探访、通信及就医等权利</w:t>
      </w:r>
      <w:r>
        <w:rPr>
          <w:rFonts w:hint="eastAsia"/>
        </w:rPr>
        <w:t>(</w:t>
      </w:r>
      <w:r>
        <w:rPr>
          <w:rFonts w:hint="eastAsia"/>
        </w:rPr>
        <w:t>第六条第二款、第九条至第二十六条及第四十条至第四十三条</w:t>
      </w:r>
      <w:r>
        <w:rPr>
          <w:rFonts w:hint="eastAsia"/>
        </w:rPr>
        <w:t>)</w:t>
      </w:r>
      <w:r>
        <w:rPr>
          <w:rFonts w:hint="eastAsia"/>
        </w:rPr>
        <w:t>。</w:t>
      </w:r>
    </w:p>
    <w:p w:rsidR="00000000" w:rsidRDefault="00000000">
      <w:r>
        <w:tab/>
        <w:t xml:space="preserve">74.  </w:t>
      </w:r>
      <w:r>
        <w:rPr>
          <w:rFonts w:hint="eastAsia"/>
        </w:rPr>
        <w:t>十月二十五日第</w:t>
      </w:r>
      <w:r>
        <w:t>65/99/M</w:t>
      </w:r>
      <w:r>
        <w:rPr>
          <w:rFonts w:hint="eastAsia"/>
        </w:rPr>
        <w:t>号法令核准</w:t>
      </w:r>
      <w:r>
        <w:rPr>
          <w:rFonts w:ascii="PMingLiU" w:hAnsi="PMingLiU" w:hint="eastAsia"/>
        </w:rPr>
        <w:t>《</w:t>
      </w:r>
      <w:r>
        <w:rPr>
          <w:rFonts w:hint="eastAsia"/>
        </w:rPr>
        <w:t>未成年人司法管辖范围内之教育制度及社会保护制度</w:t>
      </w:r>
      <w:r>
        <w:rPr>
          <w:rFonts w:ascii="PMingLiU" w:hAnsi="PMingLiU" w:hint="eastAsia"/>
        </w:rPr>
        <w:t>》</w:t>
      </w:r>
      <w:r>
        <w:rPr>
          <w:rFonts w:hint="eastAsia"/>
        </w:rPr>
        <w:t>，规定上列权利及保障。</w:t>
      </w:r>
    </w:p>
    <w:p w:rsidR="00000000" w:rsidRDefault="00000000">
      <w:r>
        <w:tab/>
        <w:t xml:space="preserve">75.  </w:t>
      </w:r>
      <w:r>
        <w:rPr>
          <w:rFonts w:hint="eastAsia"/>
        </w:rPr>
        <w:t>就教育制度而言，实行有关措施类型化原则</w:t>
      </w:r>
      <w:r>
        <w:rPr>
          <w:rFonts w:hint="eastAsia"/>
        </w:rPr>
        <w:t>(</w:t>
      </w:r>
      <w:r>
        <w:rPr>
          <w:rFonts w:hint="eastAsia"/>
        </w:rPr>
        <w:t>第</w:t>
      </w:r>
      <w:r>
        <w:t>65/99/M</w:t>
      </w:r>
      <w:r>
        <w:rPr>
          <w:rFonts w:hint="eastAsia"/>
        </w:rPr>
        <w:t>号法令第七条ａ至ｅ项</w:t>
      </w:r>
      <w:r>
        <w:rPr>
          <w:rFonts w:hint="eastAsia"/>
        </w:rPr>
        <w:t>)</w:t>
      </w:r>
      <w:r>
        <w:rPr>
          <w:rFonts w:hint="eastAsia"/>
        </w:rPr>
        <w:t>。上述剥夺自由处分之执行制度关于住宿</w:t>
      </w:r>
      <w:r>
        <w:rPr>
          <w:rFonts w:hint="eastAsia"/>
          <w:szCs w:val="21"/>
        </w:rPr>
        <w:t>、衣着、卫生、膳食、</w:t>
      </w:r>
      <w:r>
        <w:rPr>
          <w:rFonts w:hint="eastAsia"/>
        </w:rPr>
        <w:t>探访、与外界通讯</w:t>
      </w:r>
      <w:r>
        <w:rPr>
          <w:rFonts w:hint="eastAsia"/>
          <w:szCs w:val="21"/>
        </w:rPr>
        <w:t>、</w:t>
      </w:r>
      <w:r>
        <w:rPr>
          <w:rFonts w:hint="eastAsia"/>
        </w:rPr>
        <w:t>医疗卫生援助</w:t>
      </w:r>
      <w:r>
        <w:rPr>
          <w:rFonts w:hint="eastAsia"/>
          <w:szCs w:val="21"/>
        </w:rPr>
        <w:t>、劳动及培训</w:t>
      </w:r>
      <w:r>
        <w:rPr>
          <w:rFonts w:hint="eastAsia"/>
        </w:rPr>
        <w:t>等规定经作出必要配合后，适用于进入教育场所的未成年人，有关特别安全措施</w:t>
      </w:r>
      <w:r>
        <w:rPr>
          <w:rFonts w:hint="eastAsia"/>
        </w:rPr>
        <w:t>(</w:t>
      </w:r>
      <w:r>
        <w:rPr>
          <w:rFonts w:hint="eastAsia"/>
        </w:rPr>
        <w:t>列举</w:t>
      </w:r>
      <w:r>
        <w:rPr>
          <w:rFonts w:hint="eastAsia"/>
          <w:szCs w:val="21"/>
        </w:rPr>
        <w:t>、适用前提及要件</w:t>
      </w:r>
      <w:r>
        <w:rPr>
          <w:rFonts w:hint="eastAsia"/>
        </w:rPr>
        <w:t>)</w:t>
      </w:r>
      <w:r>
        <w:rPr>
          <w:rFonts w:hint="eastAsia"/>
          <w:szCs w:val="21"/>
        </w:rPr>
        <w:t>、违反纪律及其处分</w:t>
      </w:r>
      <w:r>
        <w:rPr>
          <w:rFonts w:hint="eastAsia"/>
          <w:szCs w:val="21"/>
        </w:rPr>
        <w:t>(</w:t>
      </w:r>
      <w:r>
        <w:rPr>
          <w:rFonts w:hint="eastAsia"/>
          <w:szCs w:val="21"/>
        </w:rPr>
        <w:t>认定、适用及执行制度</w:t>
      </w:r>
      <w:r>
        <w:rPr>
          <w:rFonts w:hint="eastAsia"/>
          <w:szCs w:val="21"/>
        </w:rPr>
        <w:t>)</w:t>
      </w:r>
      <w:r>
        <w:rPr>
          <w:rFonts w:hint="eastAsia"/>
          <w:szCs w:val="21"/>
        </w:rPr>
        <w:t>，并同样就执行该等措施规定司法介入，在于巡视教育场所、审理未成年人之投诉或对有关场所有权限机关所作之纪律裁定提起之上诉进行审理</w:t>
      </w:r>
      <w:r>
        <w:rPr>
          <w:rFonts w:hint="eastAsia"/>
          <w:szCs w:val="21"/>
        </w:rPr>
        <w:t>(</w:t>
      </w:r>
      <w:r>
        <w:rPr>
          <w:rFonts w:hint="eastAsia"/>
        </w:rPr>
        <w:t>第</w:t>
      </w:r>
      <w:r>
        <w:t>65/99/M</w:t>
      </w:r>
      <w:r>
        <w:rPr>
          <w:rFonts w:hint="eastAsia"/>
        </w:rPr>
        <w:t>号法令第四十五条及第五十六条</w:t>
      </w:r>
      <w:r>
        <w:rPr>
          <w:rFonts w:hint="eastAsia"/>
        </w:rPr>
        <w:t>)</w:t>
      </w:r>
      <w:r>
        <w:rPr>
          <w:rFonts w:hint="eastAsia"/>
        </w:rPr>
        <w:t>。</w:t>
      </w:r>
    </w:p>
    <w:p w:rsidR="00000000" w:rsidRDefault="00000000">
      <w:pPr>
        <w:rPr>
          <w:rFonts w:hint="eastAsia"/>
        </w:rPr>
      </w:pPr>
      <w:r>
        <w:tab/>
        <w:t xml:space="preserve">76.  </w:t>
      </w:r>
      <w:r>
        <w:rPr>
          <w:rFonts w:hint="eastAsia"/>
        </w:rPr>
        <w:t>就社会保护制度而言，除适用法律所限定列举的一般措施</w:t>
      </w:r>
      <w:r>
        <w:rPr>
          <w:rFonts w:hint="eastAsia"/>
        </w:rPr>
        <w:t>(</w:t>
      </w:r>
      <w:r>
        <w:rPr>
          <w:rFonts w:hint="eastAsia"/>
        </w:rPr>
        <w:t>第</w:t>
      </w:r>
      <w:r>
        <w:t>65/99/M</w:t>
      </w:r>
      <w:r>
        <w:rPr>
          <w:rFonts w:hint="eastAsia"/>
        </w:rPr>
        <w:t>号法令第六十八条</w:t>
      </w:r>
      <w:r>
        <w:rPr>
          <w:rFonts w:hint="eastAsia"/>
        </w:rPr>
        <w:t>)</w:t>
      </w:r>
      <w:r>
        <w:rPr>
          <w:rFonts w:hint="eastAsia"/>
        </w:rPr>
        <w:t>外，在未成年人与父母分开的情况下，尚保证相互探访的制度</w:t>
      </w:r>
      <w:r>
        <w:rPr>
          <w:rFonts w:hint="eastAsia"/>
        </w:rPr>
        <w:t>(</w:t>
      </w:r>
      <w:r>
        <w:rPr>
          <w:rFonts w:hint="eastAsia"/>
        </w:rPr>
        <w:t>同法令第七十六条第二款</w:t>
      </w:r>
      <w:r>
        <w:rPr>
          <w:rFonts w:hint="eastAsia"/>
        </w:rPr>
        <w:t>)</w:t>
      </w:r>
      <w:r>
        <w:rPr>
          <w:rFonts w:hint="eastAsia"/>
        </w:rPr>
        <w:t>。在采用将未成年人交托予机构此项措施时，亦规定司法介入制度，以确保定期</w:t>
      </w:r>
      <w:r>
        <w:rPr>
          <w:rFonts w:hint="eastAsia"/>
          <w:szCs w:val="21"/>
        </w:rPr>
        <w:t>巡视教育场所、审理未成年人的投诉</w:t>
      </w:r>
      <w:r>
        <w:rPr>
          <w:rFonts w:hint="eastAsia"/>
          <w:szCs w:val="21"/>
        </w:rPr>
        <w:t>(</w:t>
      </w:r>
      <w:r>
        <w:rPr>
          <w:rFonts w:hint="eastAsia"/>
          <w:szCs w:val="21"/>
        </w:rPr>
        <w:t>根据</w:t>
      </w:r>
      <w:r>
        <w:rPr>
          <w:rFonts w:hint="eastAsia"/>
        </w:rPr>
        <w:t>第</w:t>
      </w:r>
      <w:r>
        <w:t>65/99/M</w:t>
      </w:r>
      <w:r>
        <w:rPr>
          <w:rFonts w:hint="eastAsia"/>
        </w:rPr>
        <w:t>号法令第八十七条第二款规定，第</w:t>
      </w:r>
      <w:r>
        <w:t>86/99/M</w:t>
      </w:r>
      <w:r>
        <w:rPr>
          <w:rFonts w:hint="eastAsia"/>
        </w:rPr>
        <w:t>号法令有关规定经作出必要配合后，亦适用之</w:t>
      </w:r>
      <w:r>
        <w:rPr>
          <w:rFonts w:hint="eastAsia"/>
        </w:rPr>
        <w:t>)</w:t>
      </w:r>
      <w:r>
        <w:rPr>
          <w:rFonts w:hint="eastAsia"/>
        </w:rPr>
        <w:t>。未成年人的其他权利亦同样得到保证，诸如被交托予机构的未成年人保持与其感情深的人及诉讼代理人之接触</w:t>
      </w:r>
      <w:r>
        <w:rPr>
          <w:rFonts w:hint="eastAsia"/>
          <w:szCs w:val="21"/>
        </w:rPr>
        <w:t>、得到保健</w:t>
      </w:r>
      <w:r>
        <w:rPr>
          <w:rFonts w:hint="eastAsia"/>
        </w:rPr>
        <w:t>护理</w:t>
      </w:r>
      <w:r>
        <w:rPr>
          <w:rFonts w:hint="eastAsia"/>
          <w:szCs w:val="21"/>
        </w:rPr>
        <w:t>、</w:t>
      </w:r>
      <w:r>
        <w:rPr>
          <w:rFonts w:hint="eastAsia"/>
        </w:rPr>
        <w:t>接受确保其全面发展之教育</w:t>
      </w:r>
      <w:r>
        <w:rPr>
          <w:rFonts w:hint="eastAsia"/>
          <w:szCs w:val="21"/>
        </w:rPr>
        <w:t>、接受</w:t>
      </w:r>
      <w:r>
        <w:rPr>
          <w:rFonts w:hint="eastAsia"/>
        </w:rPr>
        <w:t>学校教育及职业培训。</w:t>
      </w:r>
    </w:p>
    <w:p w:rsidR="00000000" w:rsidRDefault="00000000">
      <w:pPr>
        <w:rPr>
          <w:rFonts w:hint="eastAsia"/>
        </w:rPr>
      </w:pPr>
      <w:r>
        <w:tab/>
        <w:t xml:space="preserve">77.  </w:t>
      </w:r>
      <w:r>
        <w:rPr>
          <w:rFonts w:hint="eastAsia"/>
        </w:rPr>
        <w:t>七月十二日第</w:t>
      </w:r>
      <w:r>
        <w:t>31/99/M</w:t>
      </w:r>
      <w:r>
        <w:rPr>
          <w:rFonts w:hint="eastAsia"/>
        </w:rPr>
        <w:t>号法令核准《精神卫生制度》，订定维护和促进精神卫生政策之一般原则，确保精神紊乱患者之权利，其中包括：在尊重其个性及尊严的情况下，接受监护、治疗；拒绝诊断、治疗</w:t>
      </w:r>
      <w:r>
        <w:rPr>
          <w:rFonts w:hint="eastAsia"/>
        </w:rPr>
        <w:t>(</w:t>
      </w:r>
      <w:r>
        <w:rPr>
          <w:rFonts w:hint="eastAsia"/>
        </w:rPr>
        <w:t>除非属强制性住院或不作出诊断及治疗可能严重危害其本身或第三人的紧急情况</w:t>
      </w:r>
      <w:r>
        <w:rPr>
          <w:rFonts w:hint="eastAsia"/>
        </w:rPr>
        <w:t>)</w:t>
      </w:r>
      <w:r>
        <w:rPr>
          <w:rFonts w:hint="eastAsia"/>
        </w:rPr>
        <w:t>；拒绝参与研究、临床实验或培训活动；不接受对其身体活动作出限制或入住隔离病房等权利</w:t>
      </w:r>
      <w:r>
        <w:rPr>
          <w:rFonts w:hint="eastAsia"/>
        </w:rPr>
        <w:t>(</w:t>
      </w:r>
      <w:r>
        <w:rPr>
          <w:rFonts w:hint="eastAsia"/>
        </w:rPr>
        <w:t>第四条第一款</w:t>
      </w:r>
      <w:r>
        <w:t>b</w:t>
      </w:r>
      <w:r>
        <w:rPr>
          <w:rFonts w:hint="eastAsia"/>
        </w:rPr>
        <w:t>、</w:t>
      </w:r>
      <w:r>
        <w:rPr>
          <w:rFonts w:hint="eastAsia"/>
        </w:rPr>
        <w:t>c</w:t>
      </w:r>
      <w:r>
        <w:rPr>
          <w:rFonts w:hint="eastAsia"/>
        </w:rPr>
        <w:t>、</w:t>
      </w:r>
      <w:r>
        <w:rPr>
          <w:rFonts w:hint="eastAsia"/>
        </w:rPr>
        <w:t>e</w:t>
      </w:r>
      <w:r>
        <w:rPr>
          <w:rFonts w:hint="eastAsia"/>
        </w:rPr>
        <w:t>及</w:t>
      </w:r>
      <w:r>
        <w:rPr>
          <w:rFonts w:hint="eastAsia"/>
        </w:rPr>
        <w:t>g</w:t>
      </w:r>
      <w:r>
        <w:rPr>
          <w:rFonts w:hint="eastAsia"/>
        </w:rPr>
        <w:t>项</w:t>
      </w:r>
      <w:r>
        <w:rPr>
          <w:rFonts w:hint="eastAsia"/>
        </w:rPr>
        <w:t>)</w:t>
      </w:r>
      <w:r>
        <w:rPr>
          <w:rFonts w:hint="eastAsia"/>
        </w:rPr>
        <w:t>。同法令尚规定患者享有适当之居住、卫生、饮食及安全条件，与外界联系，以及接受家人、朋友及法定代理人之探访</w:t>
      </w:r>
      <w:r>
        <w:rPr>
          <w:rFonts w:hint="eastAsia"/>
        </w:rPr>
        <w:t>(</w:t>
      </w:r>
      <w:r>
        <w:rPr>
          <w:rFonts w:hint="eastAsia"/>
        </w:rPr>
        <w:t>但须符合因机构运作或疾病之性质而定出的限制</w:t>
      </w:r>
      <w:r>
        <w:rPr>
          <w:rFonts w:hint="eastAsia"/>
        </w:rPr>
        <w:t>)</w:t>
      </w:r>
      <w:r>
        <w:rPr>
          <w:rFonts w:hint="eastAsia"/>
        </w:rPr>
        <w:t>，获协助行使声明异议权及投诉权</w:t>
      </w:r>
      <w:r>
        <w:rPr>
          <w:rFonts w:hint="eastAsia"/>
        </w:rPr>
        <w:t>(</w:t>
      </w:r>
      <w:r>
        <w:rPr>
          <w:rFonts w:hint="eastAsia"/>
        </w:rPr>
        <w:t>第四条第一款</w:t>
      </w:r>
      <w:r>
        <w:rPr>
          <w:rFonts w:hint="eastAsia"/>
        </w:rPr>
        <w:t>i</w:t>
      </w:r>
      <w:r>
        <w:rPr>
          <w:rFonts w:hint="eastAsia"/>
        </w:rPr>
        <w:t>、</w:t>
      </w:r>
      <w:r>
        <w:rPr>
          <w:rFonts w:hint="eastAsia"/>
        </w:rPr>
        <w:t>j</w:t>
      </w:r>
      <w:r>
        <w:rPr>
          <w:rFonts w:hint="eastAsia"/>
        </w:rPr>
        <w:t>及</w:t>
      </w:r>
      <w:r>
        <w:rPr>
          <w:rFonts w:hint="eastAsia"/>
        </w:rPr>
        <w:t>m</w:t>
      </w:r>
      <w:r>
        <w:rPr>
          <w:rFonts w:hint="eastAsia"/>
        </w:rPr>
        <w:t>项</w:t>
      </w:r>
      <w:r>
        <w:rPr>
          <w:rFonts w:hint="eastAsia"/>
        </w:rPr>
        <w:t>)</w:t>
      </w:r>
      <w:r>
        <w:rPr>
          <w:rFonts w:hint="eastAsia"/>
        </w:rPr>
        <w:t>。进行精神外科手术，须经精神紊乱患者之书面同意，以及经两名精神科医生之书面意见赞成</w:t>
      </w:r>
      <w:r>
        <w:rPr>
          <w:rFonts w:hint="eastAsia"/>
        </w:rPr>
        <w:t>(</w:t>
      </w:r>
      <w:r>
        <w:rPr>
          <w:rFonts w:hint="eastAsia"/>
        </w:rPr>
        <w:t>第四条第二款</w:t>
      </w:r>
      <w:r>
        <w:rPr>
          <w:rFonts w:hint="eastAsia"/>
        </w:rPr>
        <w:t>)</w:t>
      </w:r>
      <w:r>
        <w:rPr>
          <w:rFonts w:hint="eastAsia"/>
        </w:rPr>
        <w:t>。</w:t>
      </w:r>
    </w:p>
    <w:p w:rsidR="00000000" w:rsidRDefault="00000000">
      <w:pPr>
        <w:rPr>
          <w:rFonts w:hint="eastAsia"/>
        </w:rPr>
      </w:pPr>
      <w:r>
        <w:tab/>
        <w:t xml:space="preserve">78.  </w:t>
      </w:r>
      <w:r>
        <w:rPr>
          <w:rFonts w:hint="eastAsia"/>
        </w:rPr>
        <w:t>上述法令尚规定强制性住院之前提，并以限定方式列举住院患者的权利和义务，其中包括：由其委托或获指定之辩护人辅助，且得与辩护人作私人联络；就决定强制性住院之裁判或维持强制性住院之裁判，提起上诉</w:t>
      </w:r>
      <w:r>
        <w:rPr>
          <w:rFonts w:hint="eastAsia"/>
        </w:rPr>
        <w:t>(</w:t>
      </w:r>
      <w:r>
        <w:rPr>
          <w:rFonts w:hint="eastAsia"/>
        </w:rPr>
        <w:t>第</w:t>
      </w:r>
      <w:r>
        <w:rPr>
          <w:rFonts w:hint="eastAsia"/>
        </w:rPr>
        <w:t>31/99/M</w:t>
      </w:r>
      <w:r>
        <w:rPr>
          <w:rFonts w:hint="eastAsia"/>
        </w:rPr>
        <w:t>号法令第八条</w:t>
      </w:r>
      <w:r>
        <w:rPr>
          <w:rFonts w:hint="eastAsia"/>
        </w:rPr>
        <w:t>a</w:t>
      </w:r>
      <w:r>
        <w:rPr>
          <w:rFonts w:hint="eastAsia"/>
        </w:rPr>
        <w:t>及</w:t>
      </w:r>
      <w:r>
        <w:rPr>
          <w:rFonts w:hint="eastAsia"/>
        </w:rPr>
        <w:t>b</w:t>
      </w:r>
      <w:r>
        <w:rPr>
          <w:rFonts w:hint="eastAsia"/>
        </w:rPr>
        <w:t>项和第十条第一款</w:t>
      </w:r>
      <w:r>
        <w:rPr>
          <w:rFonts w:hint="eastAsia"/>
        </w:rPr>
        <w:t>c</w:t>
      </w:r>
      <w:r>
        <w:rPr>
          <w:rFonts w:hint="eastAsia"/>
        </w:rPr>
        <w:t>及</w:t>
      </w:r>
      <w:r>
        <w:rPr>
          <w:rFonts w:hint="eastAsia"/>
        </w:rPr>
        <w:t>d</w:t>
      </w:r>
      <w:r>
        <w:rPr>
          <w:rFonts w:hint="eastAsia"/>
        </w:rPr>
        <w:t>项</w:t>
      </w:r>
      <w:r>
        <w:rPr>
          <w:rFonts w:hint="eastAsia"/>
        </w:rPr>
        <w:t>)</w:t>
      </w:r>
      <w:r>
        <w:rPr>
          <w:rFonts w:hint="eastAsia"/>
        </w:rPr>
        <w:t>。此外，强制性入住私人卫生场所，须经法院许可；临时住院决定及紧急强制性住院之维持，须由法院于七十二小时内作出确认</w:t>
      </w:r>
      <w:r>
        <w:rPr>
          <w:rFonts w:hint="eastAsia"/>
        </w:rPr>
        <w:t>(</w:t>
      </w:r>
      <w:r>
        <w:rPr>
          <w:rFonts w:hint="eastAsia"/>
        </w:rPr>
        <w:t>第十二条、第十三条第三款及第十四条</w:t>
      </w:r>
      <w:r>
        <w:rPr>
          <w:rFonts w:hint="eastAsia"/>
        </w:rPr>
        <w:t>)</w:t>
      </w:r>
      <w:r>
        <w:rPr>
          <w:rFonts w:hint="eastAsia"/>
        </w:rPr>
        <w:t>；自开始住院或作出维持住院之裁判起满两个月，须对住院人之情况进行强制性重新审查</w:t>
      </w:r>
      <w:r>
        <w:rPr>
          <w:rFonts w:hint="eastAsia"/>
        </w:rPr>
        <w:t>(</w:t>
      </w:r>
      <w:r>
        <w:rPr>
          <w:rFonts w:hint="eastAsia"/>
        </w:rPr>
        <w:t>第十七条第二款</w:t>
      </w:r>
      <w:r>
        <w:rPr>
          <w:rFonts w:hint="eastAsia"/>
        </w:rPr>
        <w:t>)</w:t>
      </w:r>
      <w:r>
        <w:rPr>
          <w:rFonts w:hint="eastAsia"/>
        </w:rPr>
        <w:t>。</w:t>
      </w:r>
    </w:p>
    <w:p w:rsidR="00000000" w:rsidRDefault="00000000">
      <w:pPr>
        <w:rPr>
          <w:rFonts w:hint="eastAsia"/>
        </w:rPr>
      </w:pPr>
      <w:r>
        <w:tab/>
        <w:t xml:space="preserve">79.  </w:t>
      </w:r>
      <w:r>
        <w:rPr>
          <w:rFonts w:hint="eastAsia"/>
        </w:rPr>
        <w:t>十二月十三日第</w:t>
      </w:r>
      <w:r>
        <w:t>111/99/M</w:t>
      </w:r>
      <w:r>
        <w:rPr>
          <w:rFonts w:hint="eastAsia"/>
        </w:rPr>
        <w:t>号法令核准《设立在生物学及医学应用方面保障人权及人类尊严之法律制度》，该制度的一般规则是，在卫生范畴内之任何行为，仅在当事人自由及已明了的情况下同意后，方得作出；如有关行为针对无行为能力的人作出，则须经法定代理人或法院许可后，方得为之；如属施行手术之情况，应以书面方式作出同意</w:t>
      </w:r>
      <w:r>
        <w:rPr>
          <w:rFonts w:hint="eastAsia"/>
        </w:rPr>
        <w:t>(</w:t>
      </w:r>
      <w:r>
        <w:rPr>
          <w:rFonts w:hint="eastAsia"/>
        </w:rPr>
        <w:t>第五条第一款、第三款，第六条第二款、第三款</w:t>
      </w:r>
      <w:r>
        <w:rPr>
          <w:rFonts w:hint="eastAsia"/>
        </w:rPr>
        <w:t>)</w:t>
      </w:r>
      <w:r>
        <w:rPr>
          <w:rFonts w:hint="eastAsia"/>
        </w:rPr>
        <w:t>；在手术进行前任何时候和情况下，当事人可自由废止所作出的同意</w:t>
      </w:r>
      <w:r>
        <w:rPr>
          <w:rFonts w:hint="eastAsia"/>
        </w:rPr>
        <w:t>(</w:t>
      </w:r>
      <w:r>
        <w:rPr>
          <w:rFonts w:hint="eastAsia"/>
        </w:rPr>
        <w:t>第五条第四款</w:t>
      </w:r>
      <w:r>
        <w:rPr>
          <w:rFonts w:hint="eastAsia"/>
        </w:rPr>
        <w:t>)</w:t>
      </w:r>
      <w:r>
        <w:rPr>
          <w:rFonts w:hint="eastAsia"/>
        </w:rPr>
        <w:t>。尽管如此，如因情况紧急而无法取得适当同意，应立即作出对保障当事人之健康状况属必要之行为</w:t>
      </w:r>
      <w:r>
        <w:rPr>
          <w:rFonts w:hint="eastAsia"/>
        </w:rPr>
        <w:t>(</w:t>
      </w:r>
      <w:r>
        <w:rPr>
          <w:rFonts w:hint="eastAsia"/>
        </w:rPr>
        <w:t>第八条第一款</w:t>
      </w:r>
      <w:r>
        <w:rPr>
          <w:rFonts w:hint="eastAsia"/>
        </w:rPr>
        <w:t>)</w:t>
      </w:r>
      <w:r>
        <w:rPr>
          <w:rFonts w:hint="eastAsia"/>
        </w:rPr>
        <w:t>。</w:t>
      </w:r>
    </w:p>
    <w:p w:rsidR="00000000" w:rsidRDefault="00000000">
      <w:pPr>
        <w:rPr>
          <w:rFonts w:hint="eastAsia"/>
          <w:szCs w:val="21"/>
        </w:rPr>
      </w:pPr>
      <w:r>
        <w:tab/>
        <w:t xml:space="preserve">80.  </w:t>
      </w:r>
      <w:r>
        <w:rPr>
          <w:rFonts w:hint="eastAsia"/>
        </w:rPr>
        <w:t>以人作为科研对象亦同样受到严格限制，除非符合法定条件，否则不得进行此类研究。该等条件分别为：别无其他有相同效用之研究方法；对当事人产生之风险与研究之潜在益处之间，不存在不适度之情况；取得当事人书面明示同意作为研究对象等</w:t>
      </w:r>
      <w:r>
        <w:rPr>
          <w:rFonts w:hint="eastAsia"/>
        </w:rPr>
        <w:t>(</w:t>
      </w:r>
      <w:r>
        <w:rPr>
          <w:rFonts w:hint="eastAsia"/>
        </w:rPr>
        <w:t>第</w:t>
      </w:r>
      <w:r>
        <w:t>111/99/M</w:t>
      </w:r>
      <w:r>
        <w:rPr>
          <w:rFonts w:hint="eastAsia"/>
        </w:rPr>
        <w:t>号法令第十五条</w:t>
      </w:r>
      <w:r>
        <w:rPr>
          <w:rFonts w:hint="eastAsia"/>
        </w:rPr>
        <w:t>a</w:t>
      </w:r>
      <w:r>
        <w:rPr>
          <w:rFonts w:hint="eastAsia"/>
          <w:szCs w:val="21"/>
        </w:rPr>
        <w:t>、</w:t>
      </w:r>
      <w:r>
        <w:rPr>
          <w:rFonts w:hint="eastAsia"/>
        </w:rPr>
        <w:t>b</w:t>
      </w:r>
      <w:r>
        <w:rPr>
          <w:rFonts w:hint="eastAsia"/>
        </w:rPr>
        <w:t>及</w:t>
      </w:r>
      <w:r>
        <w:rPr>
          <w:rFonts w:hint="eastAsia"/>
        </w:rPr>
        <w:t>e</w:t>
      </w:r>
      <w:r>
        <w:rPr>
          <w:rFonts w:hint="eastAsia"/>
        </w:rPr>
        <w:t>项</w:t>
      </w:r>
      <w:r>
        <w:rPr>
          <w:rFonts w:hint="eastAsia"/>
        </w:rPr>
        <w:t>)</w:t>
      </w:r>
      <w:r>
        <w:rPr>
          <w:rFonts w:hint="eastAsia"/>
        </w:rPr>
        <w:t>。对无行为能力人的研究，在符合一般要件外，尚须</w:t>
      </w:r>
      <w:r>
        <w:rPr>
          <w:rFonts w:hint="eastAsia"/>
          <w:szCs w:val="21"/>
        </w:rPr>
        <w:t>能为当事人之健康带来实际及直接益处；以有能力就研究作出同意之人为对象而进行研究，不能有相同效用</w:t>
      </w:r>
      <w:r>
        <w:rPr>
          <w:rFonts w:hint="eastAsia"/>
        </w:rPr>
        <w:t>；经</w:t>
      </w:r>
      <w:r>
        <w:rPr>
          <w:rFonts w:hint="eastAsia"/>
          <w:szCs w:val="21"/>
        </w:rPr>
        <w:t>法定代理人或法院的许可；当事人未有提出反对</w:t>
      </w:r>
      <w:r>
        <w:rPr>
          <w:rFonts w:hint="eastAsia"/>
          <w:szCs w:val="21"/>
        </w:rPr>
        <w:t>(</w:t>
      </w:r>
      <w:r>
        <w:rPr>
          <w:rFonts w:hint="eastAsia"/>
          <w:szCs w:val="21"/>
        </w:rPr>
        <w:t>第十六条第一款</w:t>
      </w:r>
      <w:r>
        <w:rPr>
          <w:rFonts w:hint="eastAsia"/>
          <w:szCs w:val="21"/>
        </w:rPr>
        <w:t>a</w:t>
      </w:r>
      <w:r>
        <w:rPr>
          <w:rFonts w:hint="eastAsia"/>
          <w:szCs w:val="21"/>
        </w:rPr>
        <w:t>至</w:t>
      </w:r>
      <w:r>
        <w:rPr>
          <w:rFonts w:hint="eastAsia"/>
          <w:szCs w:val="21"/>
        </w:rPr>
        <w:t>e</w:t>
      </w:r>
      <w:r>
        <w:rPr>
          <w:rFonts w:hint="eastAsia"/>
          <w:szCs w:val="21"/>
        </w:rPr>
        <w:t>项</w:t>
      </w:r>
      <w:r>
        <w:rPr>
          <w:rFonts w:hint="eastAsia"/>
          <w:szCs w:val="21"/>
        </w:rPr>
        <w:t>)</w:t>
      </w:r>
      <w:r>
        <w:rPr>
          <w:rFonts w:hint="eastAsia"/>
          <w:szCs w:val="21"/>
        </w:rPr>
        <w:t>。</w:t>
      </w:r>
    </w:p>
    <w:p w:rsidR="00000000" w:rsidRDefault="00000000">
      <w:pPr>
        <w:rPr>
          <w:rFonts w:hint="eastAsia"/>
        </w:rPr>
      </w:pPr>
      <w:r>
        <w:rPr>
          <w:szCs w:val="21"/>
        </w:rPr>
        <w:tab/>
        <w:t xml:space="preserve">81.  </w:t>
      </w:r>
      <w:r>
        <w:rPr>
          <w:rFonts w:hint="eastAsia"/>
          <w:szCs w:val="21"/>
        </w:rPr>
        <w:t>根据</w:t>
      </w:r>
      <w:r>
        <w:rPr>
          <w:rFonts w:hint="eastAsia"/>
        </w:rPr>
        <w:t>第</w:t>
      </w:r>
      <w:r>
        <w:t>111/99/M</w:t>
      </w:r>
      <w:r>
        <w:rPr>
          <w:rFonts w:hint="eastAsia"/>
        </w:rPr>
        <w:t>号法令第二十三条的规定，侵犯该法规定的权利或违反有关原则，</w:t>
      </w:r>
      <w:r>
        <w:rPr>
          <w:rFonts w:hint="eastAsia"/>
          <w:szCs w:val="21"/>
        </w:rPr>
        <w:t>按一般法所定之制度而构成纪律、民事或刑事责任。有关这方面，</w:t>
      </w:r>
      <w:r>
        <w:rPr>
          <w:rFonts w:hint="eastAsia"/>
        </w:rPr>
        <w:t>《刑法典》第一百五十条规定并处罚擅作内外科手术或治疗罪，即医生或其它法律许可的人在未经病人作出产生效力之同意下进行手术或治疗，但不追究在紧急情况下无法有把握断定此同意是否被拒绝者。</w:t>
      </w:r>
    </w:p>
    <w:p w:rsidR="00000000" w:rsidRDefault="00000000">
      <w:pPr>
        <w:rPr>
          <w:rFonts w:hint="eastAsia"/>
        </w:rPr>
      </w:pPr>
      <w:r>
        <w:rPr>
          <w:bCs/>
        </w:rPr>
        <w:tab/>
        <w:t xml:space="preserve">82.  </w:t>
      </w:r>
      <w:r>
        <w:rPr>
          <w:rFonts w:hint="eastAsia"/>
          <w:bCs/>
        </w:rPr>
        <w:t>六月三日第</w:t>
      </w:r>
      <w:r>
        <w:rPr>
          <w:bCs/>
        </w:rPr>
        <w:t>2/96/M</w:t>
      </w:r>
      <w:r>
        <w:rPr>
          <w:rFonts w:hint="eastAsia"/>
          <w:bCs/>
        </w:rPr>
        <w:t>号法律</w:t>
      </w:r>
      <w:r>
        <w:rPr>
          <w:rFonts w:hint="eastAsia"/>
        </w:rPr>
        <w:t>制定以捐赠、摘取及移植人体器官及组织为目的之行为所应遵守之规则，从而补充医生行为制度。该法要求捐赠人及接受人应在自由、明了情况及明确态度下作出同意，并应以书面文件为之</w:t>
      </w:r>
      <w:r>
        <w:rPr>
          <w:rFonts w:hint="eastAsia"/>
        </w:rPr>
        <w:t>(</w:t>
      </w:r>
      <w:r>
        <w:rPr>
          <w:rFonts w:hint="eastAsia"/>
        </w:rPr>
        <w:t>第七条第一款</w:t>
      </w:r>
      <w:r>
        <w:rPr>
          <w:rFonts w:hint="eastAsia"/>
        </w:rPr>
        <w:t>)</w:t>
      </w:r>
      <w:r>
        <w:rPr>
          <w:rFonts w:hint="eastAsia"/>
        </w:rPr>
        <w:t>。如捐赠人为未成年人，在其本人不反对下，由父母监护人作出同意；当未成年人有能力理解及表达意愿时，亦须其本人明确赞同和许可</w:t>
      </w:r>
      <w:r>
        <w:rPr>
          <w:rFonts w:hint="eastAsia"/>
        </w:rPr>
        <w:t>(</w:t>
      </w:r>
      <w:r>
        <w:rPr>
          <w:rFonts w:hint="eastAsia"/>
        </w:rPr>
        <w:t>第七条第二款及第三款</w:t>
      </w:r>
      <w:r>
        <w:rPr>
          <w:rFonts w:hint="eastAsia"/>
        </w:rPr>
        <w:t>)</w:t>
      </w:r>
      <w:r>
        <w:rPr>
          <w:rFonts w:hint="eastAsia"/>
        </w:rPr>
        <w:t>。</w:t>
      </w:r>
      <w:r>
        <w:rPr>
          <w:rFonts w:hint="eastAsia"/>
          <w:szCs w:val="21"/>
        </w:rPr>
        <w:t>自因精神失常而无行为能力之成年人摘取器官或组织，须经法院许可，且须其本人不反对</w:t>
      </w:r>
      <w:r>
        <w:rPr>
          <w:rFonts w:hint="eastAsia"/>
          <w:szCs w:val="21"/>
        </w:rPr>
        <w:t>(</w:t>
      </w:r>
      <w:r>
        <w:rPr>
          <w:rFonts w:hint="eastAsia"/>
          <w:szCs w:val="21"/>
        </w:rPr>
        <w:t>第七条第四款</w:t>
      </w:r>
      <w:r>
        <w:rPr>
          <w:rFonts w:hint="eastAsia"/>
          <w:szCs w:val="21"/>
        </w:rPr>
        <w:t>)</w:t>
      </w:r>
      <w:r>
        <w:rPr>
          <w:rFonts w:hint="eastAsia"/>
          <w:szCs w:val="21"/>
        </w:rPr>
        <w:t>。</w:t>
      </w:r>
      <w:r>
        <w:rPr>
          <w:rFonts w:hint="eastAsia"/>
        </w:rPr>
        <w:t>在有关行为实行之前，捐赠人或其法定代理人作出之同意可在任何时候以任何明确方式自由废止</w:t>
      </w:r>
      <w:r>
        <w:rPr>
          <w:rFonts w:hint="eastAsia"/>
        </w:rPr>
        <w:t>(</w:t>
      </w:r>
      <w:r>
        <w:rPr>
          <w:rFonts w:hint="eastAsia"/>
        </w:rPr>
        <w:t>第七条第六款</w:t>
      </w:r>
      <w:r>
        <w:rPr>
          <w:rFonts w:hint="eastAsia"/>
        </w:rPr>
        <w:t>)</w:t>
      </w:r>
      <w:r>
        <w:rPr>
          <w:rFonts w:hint="eastAsia"/>
        </w:rPr>
        <w:t>。该法律规定违反有关原则及规则之刑事罪状，并准用一般民事及纪律责任制度</w:t>
      </w:r>
      <w:r>
        <w:rPr>
          <w:rFonts w:hint="eastAsia"/>
        </w:rPr>
        <w:t>(</w:t>
      </w:r>
      <w:r>
        <w:rPr>
          <w:rFonts w:hint="eastAsia"/>
        </w:rPr>
        <w:t>第十五条至第二十二条</w:t>
      </w:r>
      <w:r>
        <w:rPr>
          <w:rFonts w:hint="eastAsia"/>
        </w:rPr>
        <w:t>)</w:t>
      </w:r>
      <w:r>
        <w:rPr>
          <w:rFonts w:hint="eastAsia"/>
        </w:rPr>
        <w:t>。</w:t>
      </w:r>
    </w:p>
    <w:p w:rsidR="00000000" w:rsidRDefault="00000000">
      <w:r>
        <w:tab/>
        <w:t xml:space="preserve">83. </w:t>
      </w:r>
      <w:r>
        <w:rPr>
          <w:rFonts w:hint="eastAsia"/>
        </w:rPr>
        <w:t xml:space="preserve"> </w:t>
      </w:r>
      <w:r>
        <w:rPr>
          <w:rFonts w:hint="eastAsia"/>
        </w:rPr>
        <w:t>第</w:t>
      </w:r>
      <w:r>
        <w:rPr>
          <w:rFonts w:hint="eastAsia"/>
        </w:rPr>
        <w:t>1/2004</w:t>
      </w:r>
      <w:r>
        <w:rPr>
          <w:rFonts w:hint="eastAsia"/>
        </w:rPr>
        <w:t>号法律订定《承认及丧失难民地位制度》，以便在澳门特别行政区适用一九五一年七月二十八日签订的《关于难民地位的公约》及一九六七年一月三十一日签订的《关于难民地位的议定书》。有关法律应与公约、议定书一体解释</w:t>
      </w:r>
      <w:r>
        <w:rPr>
          <w:rFonts w:hint="eastAsia"/>
        </w:rPr>
        <w:t>(</w:t>
      </w:r>
      <w:r>
        <w:rPr>
          <w:rFonts w:hint="eastAsia"/>
        </w:rPr>
        <w:t>该法律第一条及第二条第一款</w:t>
      </w:r>
      <w:r>
        <w:rPr>
          <w:rFonts w:hint="eastAsia"/>
        </w:rPr>
        <w:t>)</w:t>
      </w:r>
      <w:r>
        <w:rPr>
          <w:rFonts w:hint="eastAsia"/>
        </w:rPr>
        <w:t>。按照该法律的规定，从接纳难民地位之申请起到最后决定，须保证申请人在这期间获提供合乎人类尊严的条件，以及确保曾遭受虐待、强奸或其他身体或性方面的侵犯的申请人，获社会工作局或人道实体给予特别的关注及跟进</w:t>
      </w:r>
      <w:r>
        <w:rPr>
          <w:rFonts w:hint="eastAsia"/>
        </w:rPr>
        <w:t>(</w:t>
      </w:r>
      <w:r>
        <w:rPr>
          <w:rFonts w:hint="eastAsia"/>
        </w:rPr>
        <w:t>第十五条第二款</w:t>
      </w:r>
      <w:r>
        <w:rPr>
          <w:rFonts w:hint="eastAsia"/>
        </w:rPr>
        <w:t>(</w:t>
      </w:r>
      <w:r>
        <w:rPr>
          <w:rFonts w:hint="eastAsia"/>
        </w:rPr>
        <w:t>二</w:t>
      </w:r>
      <w:r>
        <w:rPr>
          <w:rFonts w:hint="eastAsia"/>
        </w:rPr>
        <w:t>)</w:t>
      </w:r>
      <w:r>
        <w:rPr>
          <w:rFonts w:hint="eastAsia"/>
        </w:rPr>
        <w:t>项、第三十二条及第三十四条</w:t>
      </w:r>
      <w:r>
        <w:rPr>
          <w:rFonts w:hint="eastAsia"/>
        </w:rPr>
        <w:t>)</w:t>
      </w:r>
      <w:r>
        <w:rPr>
          <w:rFonts w:hint="eastAsia"/>
        </w:rPr>
        <w:t>。</w:t>
      </w:r>
    </w:p>
    <w:p w:rsidR="00000000" w:rsidRDefault="00000000"/>
    <w:p w:rsidR="00000000" w:rsidRDefault="00000000">
      <w:pPr>
        <w:pStyle w:val="Heading3"/>
        <w:jc w:val="left"/>
      </w:pPr>
      <w:bookmarkStart w:id="12" w:name="_Toc139353437"/>
      <w:r>
        <w:rPr>
          <w:rFonts w:hint="eastAsia"/>
        </w:rPr>
        <w:t>禁止在非常情况下施行酷刑</w:t>
      </w:r>
      <w:bookmarkEnd w:id="12"/>
    </w:p>
    <w:p w:rsidR="00000000" w:rsidRDefault="00000000">
      <w:r>
        <w:tab/>
        <w:t xml:space="preserve">84.  </w:t>
      </w:r>
      <w:r>
        <w:rPr>
          <w:rFonts w:hint="eastAsia"/>
        </w:rPr>
        <w:t>就例外情势之发生及其可适用的制度而言，有必要强调的是，《基本法》第十八条第四款规定：</w:t>
      </w:r>
      <w:r>
        <w:rPr>
          <w:rFonts w:hint="eastAsia"/>
          <w:i/>
          <w:iCs/>
        </w:rPr>
        <w:t>“在全国人民代表大会常务委员会决定宣布战争状态或因澳门特别行政区内发生澳门特别行政区政府不能控制的危及国家统一或安全的动乱而决定澳门特别行政区进入紧急状态时，中央人民政府可发布命令将有关全国性法律在澳门特别行政区实施”。</w:t>
      </w:r>
    </w:p>
    <w:p w:rsidR="00000000" w:rsidRDefault="00000000">
      <w:r>
        <w:tab/>
        <w:t xml:space="preserve">85. </w:t>
      </w:r>
      <w:r>
        <w:rPr>
          <w:rFonts w:hint="eastAsia"/>
        </w:rPr>
        <w:t xml:space="preserve"> </w:t>
      </w:r>
      <w:r>
        <w:rPr>
          <w:rFonts w:hint="eastAsia"/>
        </w:rPr>
        <w:t>另一方面，《基本法》第四十条第二款规定：</w:t>
      </w:r>
      <w:r>
        <w:rPr>
          <w:rFonts w:hint="eastAsia"/>
          <w:i/>
          <w:iCs/>
        </w:rPr>
        <w:t>“澳门居民享有的权利和自由，除依法规定外不得限制”，并补充，“此种限制不得与本条第一款规定抵触”，该款的规定是，“《公民权利和政治权利国际公约》</w:t>
      </w:r>
      <w:r>
        <w:rPr>
          <w:rFonts w:hint="eastAsia"/>
          <w:i/>
          <w:iCs/>
        </w:rPr>
        <w:t>......</w:t>
      </w:r>
      <w:r>
        <w:rPr>
          <w:rFonts w:hint="eastAsia"/>
          <w:i/>
          <w:iCs/>
        </w:rPr>
        <w:t>适用于澳门的有关规定继续有效，通过澳门特别行政区的法律予以实施”。</w:t>
      </w:r>
    </w:p>
    <w:p w:rsidR="00000000" w:rsidRDefault="00000000">
      <w:pPr>
        <w:rPr>
          <w:rFonts w:hint="eastAsia"/>
        </w:rPr>
      </w:pPr>
      <w:r>
        <w:tab/>
        <w:t xml:space="preserve">86. </w:t>
      </w:r>
      <w:r>
        <w:rPr>
          <w:rFonts w:hint="eastAsia"/>
        </w:rPr>
        <w:t xml:space="preserve"> </w:t>
      </w:r>
      <w:r>
        <w:rPr>
          <w:rFonts w:hint="eastAsia"/>
        </w:rPr>
        <w:t>《公民权利和政治权利国际公约》禁止酷刑或施以残忍的不人道的或侮辱性的待遇或刑罚</w:t>
      </w:r>
      <w:r>
        <w:rPr>
          <w:rFonts w:hint="eastAsia"/>
        </w:rPr>
        <w:t>(</w:t>
      </w:r>
      <w:r>
        <w:rPr>
          <w:rFonts w:hint="eastAsia"/>
        </w:rPr>
        <w:t>第七条</w:t>
      </w:r>
      <w:r>
        <w:rPr>
          <w:rFonts w:hint="eastAsia"/>
        </w:rPr>
        <w:t>)</w:t>
      </w:r>
      <w:r>
        <w:rPr>
          <w:rFonts w:hint="eastAsia"/>
        </w:rPr>
        <w:t>，并明示不得克减有关禁止的规定</w:t>
      </w:r>
      <w:r>
        <w:rPr>
          <w:rFonts w:hint="eastAsia"/>
        </w:rPr>
        <w:t>(</w:t>
      </w:r>
      <w:r>
        <w:rPr>
          <w:rFonts w:hint="eastAsia"/>
        </w:rPr>
        <w:t>第四条第二款</w:t>
      </w:r>
      <w:r>
        <w:rPr>
          <w:rFonts w:hint="eastAsia"/>
        </w:rPr>
        <w:t>)</w:t>
      </w:r>
      <w:r>
        <w:rPr>
          <w:rFonts w:hint="eastAsia"/>
        </w:rPr>
        <w:t>。</w:t>
      </w:r>
    </w:p>
    <w:p w:rsidR="00000000" w:rsidRDefault="00000000">
      <w:pPr>
        <w:rPr>
          <w:rFonts w:hint="eastAsia"/>
        </w:rPr>
      </w:pPr>
      <w:r>
        <w:tab/>
        <w:t xml:space="preserve">87.  </w:t>
      </w:r>
      <w:r>
        <w:rPr>
          <w:rFonts w:hint="eastAsia"/>
        </w:rPr>
        <w:t>订定澳门特别行政区内部保安纲要法的第</w:t>
      </w:r>
      <w:r>
        <w:t>9/2002</w:t>
      </w:r>
      <w:r>
        <w:rPr>
          <w:rFonts w:hint="eastAsia"/>
        </w:rPr>
        <w:t>号法律亦规定上述限制：</w:t>
      </w:r>
      <w:r>
        <w:rPr>
          <w:rFonts w:hint="eastAsia"/>
          <w:i/>
          <w:iCs/>
        </w:rPr>
        <w:t>“在内部治安受到严重扰乱威胁的紧急情况下，为维持公共秩序及安宁，在遵守</w:t>
      </w:r>
      <w:hyperlink r:id="rId7" w:anchor="a40" w:history="1">
        <w:r>
          <w:rPr>
            <w:rFonts w:hint="eastAsia"/>
            <w:i/>
            <w:iCs/>
          </w:rPr>
          <w:t>《基本法》</w:t>
        </w:r>
      </w:hyperlink>
      <w:r>
        <w:rPr>
          <w:rFonts w:hint="eastAsia"/>
          <w:i/>
          <w:iCs/>
        </w:rPr>
        <w:t>第四十条规定下，行政长官得颁布限制权利、自由、保障的合理、适当和适度措施</w:t>
      </w:r>
      <w:r>
        <w:rPr>
          <w:rFonts w:hint="eastAsia"/>
          <w:i/>
          <w:iCs/>
        </w:rPr>
        <w:t>......</w:t>
      </w:r>
      <w:r>
        <w:rPr>
          <w:rFonts w:hint="eastAsia"/>
          <w:i/>
          <w:iCs/>
        </w:rPr>
        <w:t>”</w:t>
      </w:r>
      <w:r>
        <w:rPr>
          <w:rFonts w:hint="eastAsia"/>
        </w:rPr>
        <w:t>(</w:t>
      </w:r>
      <w:r>
        <w:rPr>
          <w:rFonts w:hint="eastAsia"/>
        </w:rPr>
        <w:t>第八条第一款</w:t>
      </w:r>
      <w:r>
        <w:rPr>
          <w:rFonts w:hint="eastAsia"/>
        </w:rPr>
        <w:t>)</w:t>
      </w:r>
      <w:r>
        <w:rPr>
          <w:rFonts w:hint="eastAsia"/>
        </w:rPr>
        <w:t>。</w:t>
      </w:r>
    </w:p>
    <w:p w:rsidR="00000000" w:rsidRDefault="00000000">
      <w:pPr>
        <w:rPr>
          <w:rFonts w:hint="eastAsia"/>
          <w:szCs w:val="21"/>
        </w:rPr>
      </w:pPr>
      <w:r>
        <w:tab/>
        <w:t xml:space="preserve">88. </w:t>
      </w:r>
      <w:r>
        <w:rPr>
          <w:rFonts w:hint="eastAsia"/>
        </w:rPr>
        <w:t xml:space="preserve"> </w:t>
      </w:r>
      <w:r>
        <w:rPr>
          <w:rFonts w:hint="eastAsia"/>
        </w:rPr>
        <w:t>经第</w:t>
      </w:r>
      <w:r>
        <w:rPr>
          <w:rFonts w:hint="eastAsia"/>
        </w:rPr>
        <w:t>32/2002</w:t>
      </w:r>
      <w:r>
        <w:rPr>
          <w:rFonts w:hint="eastAsia"/>
        </w:rPr>
        <w:t>号行政法规修改的九月二十八日第</w:t>
      </w:r>
      <w:r>
        <w:t>72/92/M</w:t>
      </w:r>
      <w:r>
        <w:rPr>
          <w:rFonts w:hint="eastAsia"/>
        </w:rPr>
        <w:t>号法令重订及修订市民保障法规，其中涉及澳门居民的权益受限制之可能性，如在采取例外性措施的情况下，将限制居民的通行自由</w:t>
      </w:r>
      <w:r>
        <w:rPr>
          <w:rFonts w:hint="eastAsia"/>
          <w:szCs w:val="21"/>
        </w:rPr>
        <w:t>、征用其财产或服务，或</w:t>
      </w:r>
      <w:r>
        <w:rPr>
          <w:rFonts w:hint="eastAsia"/>
        </w:rPr>
        <w:t>命令民事动员</w:t>
      </w:r>
      <w:r>
        <w:rPr>
          <w:rFonts w:hint="eastAsia"/>
          <w:szCs w:val="21"/>
        </w:rPr>
        <w:t>等，但采取该等例外性措施，须符合必要</w:t>
      </w:r>
      <w:r>
        <w:rPr>
          <w:rFonts w:hint="eastAsia"/>
        </w:rPr>
        <w:t>、适度和适当的标准</w:t>
      </w:r>
      <w:r>
        <w:rPr>
          <w:rFonts w:hint="eastAsia"/>
          <w:szCs w:val="21"/>
        </w:rPr>
        <w:t>。</w:t>
      </w:r>
    </w:p>
    <w:p w:rsidR="00000000" w:rsidRDefault="00000000">
      <w:pPr>
        <w:rPr>
          <w:rFonts w:hint="eastAsia"/>
        </w:rPr>
      </w:pPr>
      <w:r>
        <w:tab/>
        <w:t xml:space="preserve">89.  </w:t>
      </w:r>
      <w:r>
        <w:rPr>
          <w:rFonts w:hint="eastAsia"/>
        </w:rPr>
        <w:t>尚值得一提的是，紧急避险权及阻却罪过的紧急避险，分别为免除违法性与罪过的原因</w:t>
      </w:r>
      <w:r>
        <w:rPr>
          <w:rFonts w:hint="eastAsia"/>
        </w:rPr>
        <w:t>(</w:t>
      </w:r>
      <w:r>
        <w:rPr>
          <w:rFonts w:hint="eastAsia"/>
        </w:rPr>
        <w:t>《刑法典》第三十三条及第三十四条</w:t>
      </w:r>
      <w:r>
        <w:rPr>
          <w:rFonts w:hint="eastAsia"/>
        </w:rPr>
        <w:t>)</w:t>
      </w:r>
      <w:r>
        <w:rPr>
          <w:rFonts w:hint="eastAsia"/>
        </w:rPr>
        <w:t>。</w:t>
      </w:r>
    </w:p>
    <w:p w:rsidR="00000000" w:rsidRDefault="00000000">
      <w:pPr>
        <w:rPr>
          <w:rFonts w:hint="eastAsia"/>
          <w:szCs w:val="21"/>
        </w:rPr>
      </w:pPr>
      <w:r>
        <w:tab/>
        <w:t xml:space="preserve">90. </w:t>
      </w:r>
      <w:r>
        <w:rPr>
          <w:rFonts w:hint="eastAsia"/>
        </w:rPr>
        <w:t xml:space="preserve"> </w:t>
      </w:r>
      <w:r>
        <w:rPr>
          <w:rFonts w:hint="eastAsia"/>
        </w:rPr>
        <w:t>就</w:t>
      </w:r>
      <w:r>
        <w:rPr>
          <w:rFonts w:hint="eastAsia"/>
          <w:szCs w:val="21"/>
        </w:rPr>
        <w:t>紧急避险权而言，如</w:t>
      </w:r>
      <w:r>
        <w:rPr>
          <w:rFonts w:hint="eastAsia"/>
          <w:i/>
          <w:iCs/>
          <w:szCs w:val="21"/>
        </w:rPr>
        <w:t>“</w:t>
      </w:r>
      <w:r>
        <w:rPr>
          <w:rFonts w:hint="eastAsia"/>
          <w:i/>
          <w:iCs/>
        </w:rPr>
        <w:t>为排除威胁行为人本人或第三人受法律保护之利益之正在发生之危险而作出之事实”非属不法，但须符合有关法定要件，一是</w:t>
      </w:r>
      <w:r>
        <w:rPr>
          <w:i/>
          <w:iCs/>
        </w:rPr>
        <w:t xml:space="preserve"> </w:t>
      </w:r>
      <w:r>
        <w:rPr>
          <w:rFonts w:hint="eastAsia"/>
          <w:i/>
          <w:iCs/>
        </w:rPr>
        <w:t>“危险情况非因行为人己意造成，但为保护第三人之利益者”；二是“保全之利益明显大于牺牲之利益</w:t>
      </w:r>
      <w:r>
        <w:rPr>
          <w:rFonts w:hint="eastAsia"/>
          <w:i/>
          <w:iCs/>
          <w:szCs w:val="21"/>
        </w:rPr>
        <w:t>”</w:t>
      </w:r>
      <w:r>
        <w:rPr>
          <w:rFonts w:hint="eastAsia"/>
          <w:i/>
          <w:iCs/>
        </w:rPr>
        <w:t>；三是“按照受威胁之利益之性质或价值，要求受害人牺牲其利益属合理者”</w:t>
      </w:r>
      <w:r>
        <w:rPr>
          <w:rFonts w:hint="eastAsia"/>
        </w:rPr>
        <w:t>(</w:t>
      </w:r>
      <w:r>
        <w:rPr>
          <w:rFonts w:hint="eastAsia"/>
        </w:rPr>
        <w:t>《刑法典》第三十三条</w:t>
      </w:r>
      <w:r>
        <w:rPr>
          <w:rFonts w:hint="eastAsia"/>
        </w:rPr>
        <w:t>a</w:t>
      </w:r>
      <w:r>
        <w:rPr>
          <w:rFonts w:hint="eastAsia"/>
        </w:rPr>
        <w:t>至</w:t>
      </w:r>
      <w:r>
        <w:rPr>
          <w:rFonts w:hint="eastAsia"/>
        </w:rPr>
        <w:t>c</w:t>
      </w:r>
      <w:r>
        <w:rPr>
          <w:rFonts w:hint="eastAsia"/>
        </w:rPr>
        <w:t>项</w:t>
      </w:r>
      <w:r>
        <w:rPr>
          <w:rFonts w:hint="eastAsia"/>
        </w:rPr>
        <w:t>)</w:t>
      </w:r>
      <w:r>
        <w:rPr>
          <w:rFonts w:hint="eastAsia"/>
        </w:rPr>
        <w:t>。</w:t>
      </w:r>
    </w:p>
    <w:p w:rsidR="00000000" w:rsidRDefault="00000000">
      <w:r>
        <w:rPr>
          <w:szCs w:val="21"/>
        </w:rPr>
        <w:tab/>
        <w:t xml:space="preserve">91.  </w:t>
      </w:r>
      <w:r>
        <w:rPr>
          <w:rFonts w:hint="eastAsia"/>
          <w:szCs w:val="21"/>
        </w:rPr>
        <w:t>就阻却罪过的紧急避险</w:t>
      </w:r>
      <w:r>
        <w:rPr>
          <w:rFonts w:hint="eastAsia"/>
        </w:rPr>
        <w:t>，法律规定：</w:t>
      </w:r>
      <w:r>
        <w:rPr>
          <w:rFonts w:hint="eastAsia"/>
          <w:i/>
          <w:iCs/>
        </w:rPr>
        <w:t>“作出可适当排除危险之不法事实者，如该危险属威胁行为人本人或第三人生命、身体完整性、名誉或自由之正在发生而不能以他法避免之危险，且按照案件之情节，期待作出其他行为属不合理者，其行为无罪过”</w:t>
      </w:r>
      <w:r>
        <w:rPr>
          <w:rFonts w:hint="eastAsia"/>
        </w:rPr>
        <w:t>(</w:t>
      </w:r>
      <w:r>
        <w:rPr>
          <w:rFonts w:hint="eastAsia"/>
        </w:rPr>
        <w:t>《刑法典》第三十四条第一款</w:t>
      </w:r>
      <w:r>
        <w:rPr>
          <w:rFonts w:hint="eastAsia"/>
        </w:rPr>
        <w:t>)</w:t>
      </w:r>
      <w:r>
        <w:rPr>
          <w:rFonts w:hint="eastAsia"/>
        </w:rPr>
        <w:t>。</w:t>
      </w:r>
    </w:p>
    <w:p w:rsidR="00000000" w:rsidRDefault="00000000">
      <w:pPr>
        <w:rPr>
          <w:rFonts w:hint="eastAsia"/>
        </w:rPr>
      </w:pPr>
    </w:p>
    <w:p w:rsidR="00000000" w:rsidRDefault="00000000">
      <w:pPr>
        <w:pStyle w:val="Heading3"/>
        <w:jc w:val="left"/>
      </w:pPr>
      <w:bookmarkStart w:id="13" w:name="_Toc139353438"/>
      <w:r>
        <w:rPr>
          <w:rFonts w:hint="eastAsia"/>
        </w:rPr>
        <w:t>不得为执行上级官员或政府的命令而施行酷刑</w:t>
      </w:r>
      <w:bookmarkEnd w:id="13"/>
    </w:p>
    <w:p w:rsidR="00000000" w:rsidRDefault="00000000">
      <w:pPr>
        <w:rPr>
          <w:rFonts w:hint="eastAsia"/>
        </w:rPr>
      </w:pPr>
      <w:r>
        <w:tab/>
        <w:t xml:space="preserve">92.  </w:t>
      </w:r>
      <w:r>
        <w:rPr>
          <w:rFonts w:hint="eastAsia"/>
        </w:rPr>
        <w:t>《刑法典》第三十五条第二款规定：“</w:t>
      </w:r>
      <w:r>
        <w:rPr>
          <w:rFonts w:hint="eastAsia"/>
          <w:i/>
          <w:iCs/>
        </w:rPr>
        <w:t>如履行服从上级之义务导致实施犯罪，则终止该服从义务</w:t>
      </w:r>
      <w:r>
        <w:rPr>
          <w:rFonts w:hint="eastAsia"/>
        </w:rPr>
        <w:t>”。故此，不得以执行上级命令为由施行酷刑。就违令罪而言，按照《刑法典》第三百一十二条第一款的规定，仅在不服从</w:t>
      </w:r>
      <w:r>
        <w:rPr>
          <w:rFonts w:hint="eastAsia"/>
        </w:rPr>
        <w:t>(</w:t>
      </w:r>
      <w:r>
        <w:rPr>
          <w:rFonts w:hint="eastAsia"/>
        </w:rPr>
        <w:t>由有权限当局或公务员依规则通知及发出</w:t>
      </w:r>
      <w:r>
        <w:rPr>
          <w:rFonts w:hint="eastAsia"/>
        </w:rPr>
        <w:t>)</w:t>
      </w:r>
      <w:r>
        <w:rPr>
          <w:rFonts w:hint="eastAsia"/>
        </w:rPr>
        <w:t>应当服从的正当命令情况下方成立。通说的主张是，无须服从导致犯罪的命令。</w:t>
      </w:r>
    </w:p>
    <w:p w:rsidR="00000000" w:rsidRDefault="00000000">
      <w:r>
        <w:tab/>
        <w:t xml:space="preserve">93. </w:t>
      </w:r>
      <w:r>
        <w:rPr>
          <w:rFonts w:hint="eastAsia"/>
        </w:rPr>
        <w:t xml:space="preserve"> </w:t>
      </w:r>
      <w:r>
        <w:rPr>
          <w:rFonts w:hint="eastAsia"/>
        </w:rPr>
        <w:t>经十二月二十一日第</w:t>
      </w:r>
      <w:r>
        <w:t>87/89/M</w:t>
      </w:r>
      <w:r>
        <w:rPr>
          <w:rFonts w:hint="eastAsia"/>
        </w:rPr>
        <w:t>号法令核准及十一月二十九日第</w:t>
      </w:r>
      <w:r>
        <w:rPr>
          <w:rFonts w:hint="eastAsia"/>
        </w:rPr>
        <w:t>89/99/M</w:t>
      </w:r>
      <w:r>
        <w:rPr>
          <w:rFonts w:hint="eastAsia"/>
        </w:rPr>
        <w:t>号法令修改的《澳门公共行政工作人员通则》，认同公务员及服务人员不遵守引致犯罪之命令的权利</w:t>
      </w:r>
      <w:r>
        <w:rPr>
          <w:rFonts w:hint="eastAsia"/>
        </w:rPr>
        <w:t>(</w:t>
      </w:r>
      <w:r>
        <w:rPr>
          <w:rFonts w:hint="eastAsia"/>
        </w:rPr>
        <w:t>第二百七十八条第一款</w:t>
      </w:r>
      <w:r>
        <w:rPr>
          <w:rFonts w:hint="eastAsia"/>
        </w:rPr>
        <w:t>f</w:t>
      </w:r>
      <w:r>
        <w:rPr>
          <w:rFonts w:hint="eastAsia"/>
        </w:rPr>
        <w:t>项</w:t>
      </w:r>
      <w:r>
        <w:rPr>
          <w:rFonts w:hint="eastAsia"/>
        </w:rPr>
        <w:t>)</w:t>
      </w:r>
      <w:r>
        <w:rPr>
          <w:rFonts w:hint="eastAsia"/>
        </w:rPr>
        <w:t>。</w:t>
      </w:r>
    </w:p>
    <w:p w:rsidR="00000000" w:rsidRDefault="00000000"/>
    <w:p w:rsidR="00000000" w:rsidRDefault="00000000">
      <w:pPr>
        <w:pStyle w:val="Heading3"/>
      </w:pPr>
      <w:bookmarkStart w:id="14" w:name="_Toc139353439"/>
      <w:r>
        <w:rPr>
          <w:rFonts w:hint="eastAsia"/>
        </w:rPr>
        <w:t>第</w:t>
      </w:r>
      <w:r>
        <w:rPr>
          <w:rFonts w:hint="eastAsia"/>
        </w:rPr>
        <w:t xml:space="preserve"> </w:t>
      </w:r>
      <w:r>
        <w:rPr>
          <w:rFonts w:hint="eastAsia"/>
        </w:rPr>
        <w:t>三</w:t>
      </w:r>
      <w:r>
        <w:rPr>
          <w:rFonts w:hint="eastAsia"/>
        </w:rPr>
        <w:t xml:space="preserve"> </w:t>
      </w:r>
      <w:r>
        <w:rPr>
          <w:rFonts w:hint="eastAsia"/>
        </w:rPr>
        <w:t>条</w:t>
      </w:r>
      <w:bookmarkEnd w:id="14"/>
    </w:p>
    <w:p w:rsidR="00000000" w:rsidRDefault="00000000">
      <w:r>
        <w:tab/>
        <w:t xml:space="preserve">94. </w:t>
      </w:r>
      <w:r>
        <w:rPr>
          <w:rFonts w:hint="eastAsia"/>
        </w:rPr>
        <w:t xml:space="preserve"> </w:t>
      </w:r>
      <w:r>
        <w:rPr>
          <w:rFonts w:hint="eastAsia"/>
        </w:rPr>
        <w:t>引渡是以主权国之间的关系存在为前提，故澳门特别行政区的法律制度没有引渡这一规定。《刑事诉讼法典》第二百一十三条设移交逃犯的规定，并订定就其规范准用适用于澳门之国际协约或属司法协助领域之协定；如无该等协约及协定，则由该法典之规定规范。同一法典第二百一十七条将这一领域交由特别法规范。</w:t>
      </w:r>
      <w:r>
        <w:t xml:space="preserve"> </w:t>
      </w:r>
    </w:p>
    <w:p w:rsidR="00000000" w:rsidRDefault="00000000">
      <w:r>
        <w:tab/>
        <w:t xml:space="preserve">95.  </w:t>
      </w:r>
      <w:r>
        <w:rPr>
          <w:rFonts w:hint="eastAsia"/>
        </w:rPr>
        <w:t>《基本法》第九十四条规定：</w:t>
      </w:r>
      <w:r>
        <w:rPr>
          <w:rFonts w:hint="eastAsia"/>
          <w:i/>
          <w:iCs/>
        </w:rPr>
        <w:t>“在中央人民政府协助和授权下，澳门特别行政区可与外国就司法互助关系作出适当安排”。</w:t>
      </w:r>
    </w:p>
    <w:p w:rsidR="00000000" w:rsidRDefault="00000000">
      <w:r>
        <w:tab/>
        <w:t xml:space="preserve">96. </w:t>
      </w:r>
      <w:r>
        <w:rPr>
          <w:rFonts w:hint="eastAsia"/>
        </w:rPr>
        <w:t xml:space="preserve"> </w:t>
      </w:r>
      <w:r>
        <w:rPr>
          <w:rFonts w:hint="eastAsia"/>
        </w:rPr>
        <w:t>二零零一年一月十七日，澳门特别行政区与葡萄牙订立法律及司法协助协议，于二零零二年五月一日生效。该协议除了规定将进行磋商，以签订关于相互移交逃犯的协议，还确认澳门与葡萄牙于一九九九年十二月七日签订的关于转移被判刑者的协定继续生效。</w:t>
      </w:r>
    </w:p>
    <w:p w:rsidR="00000000" w:rsidRDefault="00000000">
      <w:pPr>
        <w:rPr>
          <w:rFonts w:hint="eastAsia"/>
        </w:rPr>
      </w:pPr>
      <w:r>
        <w:tab/>
        <w:t xml:space="preserve">97. </w:t>
      </w:r>
      <w:r>
        <w:rPr>
          <w:rFonts w:hint="eastAsia"/>
        </w:rPr>
        <w:t xml:space="preserve"> </w:t>
      </w:r>
      <w:r>
        <w:rPr>
          <w:rFonts w:hint="eastAsia"/>
        </w:rPr>
        <w:t>上述关于转移被判刑者的协定，要求以被判刑者或其法定代理人的同意为其转移之条件。另外，目的地之司法须受判刑中所定制裁之法律性质及期间约束，如需按目的地有关法律规定调整该制裁，此等制裁不得在性质或期间上加重，如属目的地司法当局决定转换判刑的情况，同样不得使被判刑者之刑事状况恶化。</w:t>
      </w:r>
    </w:p>
    <w:p w:rsidR="00000000" w:rsidRDefault="00000000">
      <w:pPr>
        <w:rPr>
          <w:rFonts w:hint="eastAsia"/>
        </w:rPr>
      </w:pPr>
      <w:r>
        <w:tab/>
        <w:t xml:space="preserve">98. </w:t>
      </w:r>
      <w:r>
        <w:rPr>
          <w:rFonts w:hint="eastAsia"/>
        </w:rPr>
        <w:t xml:space="preserve"> </w:t>
      </w:r>
      <w:r>
        <w:rPr>
          <w:rFonts w:hint="eastAsia"/>
        </w:rPr>
        <w:t>澳门特别行政区现正拟订有关国际刑事司法合作的法规，包括一般原则</w:t>
      </w:r>
      <w:r>
        <w:rPr>
          <w:rFonts w:hint="eastAsia"/>
          <w:szCs w:val="21"/>
        </w:rPr>
        <w:t>、</w:t>
      </w:r>
      <w:r>
        <w:rPr>
          <w:rFonts w:hint="eastAsia"/>
        </w:rPr>
        <w:t>应遵守的程序</w:t>
      </w:r>
      <w:r>
        <w:rPr>
          <w:rFonts w:hint="eastAsia"/>
          <w:szCs w:val="21"/>
        </w:rPr>
        <w:t>、有关</w:t>
      </w:r>
      <w:r>
        <w:rPr>
          <w:rFonts w:hint="eastAsia"/>
        </w:rPr>
        <w:t>移交逃犯的制度及拒绝理由依据等。此外，澳门特别行政区亦正与内地及香港特别行政区磋商签订有关刑事领域的司法合作区际协定。</w:t>
      </w:r>
    </w:p>
    <w:p w:rsidR="00000000" w:rsidRDefault="00000000">
      <w:r>
        <w:tab/>
        <w:t xml:space="preserve">99. </w:t>
      </w:r>
      <w:r>
        <w:rPr>
          <w:rFonts w:hint="eastAsia"/>
        </w:rPr>
        <w:t xml:space="preserve"> </w:t>
      </w:r>
      <w:r>
        <w:rPr>
          <w:rFonts w:hint="eastAsia"/>
        </w:rPr>
        <w:t>第</w:t>
      </w:r>
      <w:r>
        <w:t>6/2004</w:t>
      </w:r>
      <w:r>
        <w:rPr>
          <w:rFonts w:hint="eastAsia"/>
        </w:rPr>
        <w:t>号法律</w:t>
      </w:r>
      <w:r>
        <w:rPr>
          <w:rFonts w:hint="eastAsia"/>
        </w:rPr>
        <w:t>(</w:t>
      </w:r>
      <w:r>
        <w:rPr>
          <w:rFonts w:hint="eastAsia"/>
        </w:rPr>
        <w:t>有关非法入境、非法逗留及驱逐出境</w:t>
      </w:r>
      <w:r>
        <w:rPr>
          <w:rFonts w:hint="eastAsia"/>
        </w:rPr>
        <w:t>)</w:t>
      </w:r>
      <w:r>
        <w:rPr>
          <w:rFonts w:hint="eastAsia"/>
        </w:rPr>
        <w:t>规定，</w:t>
      </w:r>
      <w:r>
        <w:rPr>
          <w:rFonts w:hint="eastAsia"/>
          <w:szCs w:val="21"/>
        </w:rPr>
        <w:t>处于非法入境及非法逗留状态的人士须被驱逐出澳门特别行政区</w:t>
      </w:r>
      <w:r>
        <w:rPr>
          <w:rFonts w:hint="eastAsia"/>
          <w:szCs w:val="21"/>
        </w:rPr>
        <w:t>(</w:t>
      </w:r>
      <w:r>
        <w:rPr>
          <w:rFonts w:hint="eastAsia"/>
          <w:szCs w:val="21"/>
        </w:rPr>
        <w:t>第八条第一款</w:t>
      </w:r>
      <w:r>
        <w:rPr>
          <w:rFonts w:hint="eastAsia"/>
          <w:szCs w:val="21"/>
        </w:rPr>
        <w:t>)</w:t>
      </w:r>
      <w:r>
        <w:rPr>
          <w:rFonts w:hint="eastAsia"/>
          <w:szCs w:val="21"/>
        </w:rPr>
        <w:t>。被</w:t>
      </w:r>
      <w:r>
        <w:rPr>
          <w:rFonts w:hint="eastAsia"/>
        </w:rPr>
        <w:t>视为处于非法入境状态的人士为：在未获逗留或居留许可的情况下，不经出入境事务站、以虚假身份或持伪造的身份证明文件、旅行证件及在被禁止入境期间内入境者。在澳门特别行政区逗留超过许可期限，以及被废止逗留许可后未在指定期限内离开者，亦被视为非法逗留</w:t>
      </w:r>
      <w:r>
        <w:rPr>
          <w:rFonts w:hint="eastAsia"/>
        </w:rPr>
        <w:t>(</w:t>
      </w:r>
      <w:r>
        <w:rPr>
          <w:rFonts w:hint="eastAsia"/>
        </w:rPr>
        <w:t>第二条</w:t>
      </w:r>
      <w:r>
        <w:rPr>
          <w:rFonts w:hint="eastAsia"/>
        </w:rPr>
        <w:t>)</w:t>
      </w:r>
      <w:r>
        <w:rPr>
          <w:rFonts w:hint="eastAsia"/>
        </w:rPr>
        <w:t>。</w:t>
      </w:r>
    </w:p>
    <w:p w:rsidR="00000000" w:rsidRDefault="00000000">
      <w:pPr>
        <w:rPr>
          <w:rFonts w:hint="eastAsia"/>
        </w:rPr>
      </w:pPr>
      <w:r>
        <w:tab/>
        <w:t xml:space="preserve">100.  </w:t>
      </w:r>
      <w:r>
        <w:rPr>
          <w:rFonts w:hint="eastAsia"/>
        </w:rPr>
        <w:t>根据同一法律规定，命令驱逐出境的权限属行政长官，由治安警察局执行驱逐令。驱逐令须载明采取措施的理由、被驱逐出境人士所前往的目的地及其被禁止进入澳门特别行政区的期间</w:t>
      </w:r>
      <w:r>
        <w:rPr>
          <w:rFonts w:hint="eastAsia"/>
        </w:rPr>
        <w:t>(</w:t>
      </w:r>
      <w:r>
        <w:rPr>
          <w:rFonts w:hint="eastAsia"/>
        </w:rPr>
        <w:t>第八条第二款及第十条</w:t>
      </w:r>
      <w:r>
        <w:rPr>
          <w:rFonts w:hint="eastAsia"/>
        </w:rPr>
        <w:t>)</w:t>
      </w:r>
      <w:r>
        <w:rPr>
          <w:rFonts w:hint="eastAsia"/>
        </w:rPr>
        <w:t>。</w:t>
      </w:r>
    </w:p>
    <w:p w:rsidR="00000000" w:rsidRDefault="00000000">
      <w:r>
        <w:tab/>
        <w:t xml:space="preserve">101.  </w:t>
      </w:r>
      <w:r>
        <w:rPr>
          <w:rFonts w:hint="eastAsia"/>
        </w:rPr>
        <w:t>根据上述法律第二十七条的规定，适用于澳门特别行政区的国际法的强制性规定</w:t>
      </w:r>
      <w:r>
        <w:rPr>
          <w:rFonts w:hint="eastAsia"/>
        </w:rPr>
        <w:t>(</w:t>
      </w:r>
      <w:r>
        <w:rPr>
          <w:rFonts w:hint="eastAsia"/>
        </w:rPr>
        <w:t>如公约第三条</w:t>
      </w:r>
      <w:r>
        <w:rPr>
          <w:rFonts w:hint="eastAsia"/>
        </w:rPr>
        <w:t>)</w:t>
      </w:r>
      <w:r>
        <w:rPr>
          <w:rFonts w:hint="eastAsia"/>
        </w:rPr>
        <w:t>或在合理的例外情况下，行政长官得以批示免除或宽免驱逐措施。</w:t>
      </w:r>
    </w:p>
    <w:p w:rsidR="00000000" w:rsidRDefault="00000000">
      <w:r>
        <w:tab/>
        <w:t xml:space="preserve">102. </w:t>
      </w:r>
      <w:r>
        <w:rPr>
          <w:rFonts w:hint="eastAsia"/>
        </w:rPr>
        <w:t xml:space="preserve"> </w:t>
      </w:r>
      <w:r>
        <w:rPr>
          <w:rFonts w:hint="eastAsia"/>
        </w:rPr>
        <w:t>与此密切相关的是前述承认及丧失难民地位制度，根据该制度，凡依照有关难民地位公约及议定书的规定取得难民地位，抑或属联合国难民事务高级专员办事处主管范围者，均获承认为难民，并以此地位可在澳门特别行政区逗留。该法律亦规定：“</w:t>
      </w:r>
      <w:r>
        <w:rPr>
          <w:rFonts w:hint="eastAsia"/>
          <w:i/>
          <w:iCs/>
          <w:szCs w:val="21"/>
        </w:rPr>
        <w:t>提出承认难民地位的申请，导致针对申请人或其受养家属因进入澳门特别行政区而提起的任何行政程序</w:t>
      </w:r>
      <w:r>
        <w:rPr>
          <w:rFonts w:hint="eastAsia"/>
          <w:i/>
          <w:iCs/>
          <w:szCs w:val="21"/>
        </w:rPr>
        <w:t>......</w:t>
      </w:r>
      <w:r>
        <w:rPr>
          <w:rFonts w:hint="eastAsia"/>
          <w:i/>
          <w:iCs/>
          <w:szCs w:val="21"/>
        </w:rPr>
        <w:t>的步骤中止</w:t>
      </w:r>
      <w:r>
        <w:rPr>
          <w:rFonts w:hint="eastAsia"/>
          <w:szCs w:val="21"/>
        </w:rPr>
        <w:t>”，例如驱逐程序；如难民地位获承认，须将有关程序归档</w:t>
      </w:r>
      <w:r>
        <w:rPr>
          <w:rFonts w:hint="eastAsia"/>
          <w:szCs w:val="21"/>
        </w:rPr>
        <w:t>(</w:t>
      </w:r>
      <w:r>
        <w:rPr>
          <w:rFonts w:hint="eastAsia"/>
        </w:rPr>
        <w:t>第十条</w:t>
      </w:r>
      <w:r>
        <w:rPr>
          <w:rFonts w:hint="eastAsia"/>
        </w:rPr>
        <w:t>)</w:t>
      </w:r>
      <w:r>
        <w:rPr>
          <w:rFonts w:hint="eastAsia"/>
          <w:szCs w:val="21"/>
        </w:rPr>
        <w:t>。</w:t>
      </w:r>
    </w:p>
    <w:p w:rsidR="00000000" w:rsidRDefault="00000000">
      <w:pPr>
        <w:rPr>
          <w:rFonts w:hint="eastAsia"/>
        </w:rPr>
      </w:pPr>
      <w:r>
        <w:tab/>
        <w:t xml:space="preserve">103. </w:t>
      </w:r>
      <w:r>
        <w:rPr>
          <w:rFonts w:hint="eastAsia"/>
        </w:rPr>
        <w:t xml:space="preserve"> </w:t>
      </w:r>
      <w:r>
        <w:rPr>
          <w:rFonts w:hint="eastAsia"/>
        </w:rPr>
        <w:t>《内部保安纲要法》规定的警察预防措施包括阻止不受欢迎或对内部保安的稳定构成威胁，以及被视为涉嫌与包括国际恐怖主义在内的跨境犯罪有关的非本地居民进入澳门特别行政区〔第十七条第一款</w:t>
      </w:r>
      <w:r>
        <w:rPr>
          <w:rFonts w:hint="eastAsia"/>
        </w:rPr>
        <w:t>(</w:t>
      </w:r>
      <w:r>
        <w:rPr>
          <w:rFonts w:hint="eastAsia"/>
        </w:rPr>
        <w:t>四</w:t>
      </w:r>
      <w:r>
        <w:rPr>
          <w:rFonts w:hint="eastAsia"/>
        </w:rPr>
        <w:t>)</w:t>
      </w:r>
      <w:r>
        <w:rPr>
          <w:rFonts w:hint="eastAsia"/>
        </w:rPr>
        <w:t>项〕。然而，法律所定的基本原则在于内部保安工作须尊重个人权利、自由及保障</w:t>
      </w:r>
      <w:r>
        <w:rPr>
          <w:rFonts w:hint="eastAsia"/>
        </w:rPr>
        <w:t>(</w:t>
      </w:r>
      <w:r>
        <w:rPr>
          <w:rFonts w:hint="eastAsia"/>
        </w:rPr>
        <w:t>第二条第一款</w:t>
      </w:r>
      <w:r>
        <w:rPr>
          <w:rFonts w:hint="eastAsia"/>
        </w:rPr>
        <w:t>)</w:t>
      </w:r>
      <w:r>
        <w:rPr>
          <w:rFonts w:hint="eastAsia"/>
        </w:rPr>
        <w:t>。</w:t>
      </w:r>
    </w:p>
    <w:p w:rsidR="00000000" w:rsidRDefault="00000000"/>
    <w:p w:rsidR="00000000" w:rsidRDefault="00000000">
      <w:pPr>
        <w:pStyle w:val="Heading3"/>
      </w:pPr>
      <w:bookmarkStart w:id="15" w:name="_Toc139353440"/>
      <w:r>
        <w:rPr>
          <w:rFonts w:hint="eastAsia"/>
        </w:rPr>
        <w:t>第</w:t>
      </w:r>
      <w:r>
        <w:rPr>
          <w:rFonts w:hint="eastAsia"/>
        </w:rPr>
        <w:t xml:space="preserve"> </w:t>
      </w:r>
      <w:r>
        <w:rPr>
          <w:rFonts w:hint="eastAsia"/>
        </w:rPr>
        <w:t>四</w:t>
      </w:r>
      <w:r>
        <w:rPr>
          <w:rFonts w:hint="eastAsia"/>
        </w:rPr>
        <w:t xml:space="preserve"> </w:t>
      </w:r>
      <w:r>
        <w:rPr>
          <w:rFonts w:hint="eastAsia"/>
        </w:rPr>
        <w:t>条</w:t>
      </w:r>
      <w:bookmarkEnd w:id="15"/>
    </w:p>
    <w:p w:rsidR="00000000" w:rsidRDefault="00000000">
      <w:pPr>
        <w:rPr>
          <w:rFonts w:hint="eastAsia"/>
        </w:rPr>
      </w:pPr>
      <w:r>
        <w:tab/>
        <w:t xml:space="preserve">104. </w:t>
      </w:r>
      <w:r>
        <w:rPr>
          <w:rFonts w:hint="eastAsia"/>
        </w:rPr>
        <w:t xml:space="preserve"> </w:t>
      </w:r>
      <w:r>
        <w:rPr>
          <w:rFonts w:hint="eastAsia"/>
        </w:rPr>
        <w:t>上述有关适用公约第一条及第二条规定的分析清楚表明，酷刑行为构成多种刑事犯罪，有关罪状及处罚载于特区刑法。</w:t>
      </w:r>
    </w:p>
    <w:p w:rsidR="00000000" w:rsidRDefault="00000000">
      <w:pPr>
        <w:rPr>
          <w:rFonts w:hint="eastAsia"/>
          <w:szCs w:val="21"/>
        </w:rPr>
      </w:pPr>
      <w:r>
        <w:tab/>
        <w:t xml:space="preserve">105. </w:t>
      </w:r>
      <w:r>
        <w:rPr>
          <w:rFonts w:hint="eastAsia"/>
        </w:rPr>
        <w:t xml:space="preserve"> </w:t>
      </w:r>
      <w:r>
        <w:rPr>
          <w:rFonts w:hint="eastAsia"/>
        </w:rPr>
        <w:t>根据《刑法典》的规定，对酷刑及其他残忍、有辱人格或不人道之待遇罪，处二年至八年徒刑</w:t>
      </w:r>
      <w:r>
        <w:rPr>
          <w:rFonts w:hint="eastAsia"/>
        </w:rPr>
        <w:t xml:space="preserve"> (</w:t>
      </w:r>
      <w:r>
        <w:rPr>
          <w:rFonts w:hint="eastAsia"/>
        </w:rPr>
        <w:t>第二百三十四条第一款</w:t>
      </w:r>
      <w:r>
        <w:rPr>
          <w:rFonts w:hint="eastAsia"/>
        </w:rPr>
        <w:t>)</w:t>
      </w:r>
      <w:r>
        <w:rPr>
          <w:rFonts w:hint="eastAsia"/>
        </w:rPr>
        <w:t>，如具加重情节，处三年至十五年徒刑，或因后果严重</w:t>
      </w:r>
      <w:r>
        <w:rPr>
          <w:rFonts w:hint="eastAsia"/>
        </w:rPr>
        <w:t>(</w:t>
      </w:r>
      <w:r>
        <w:rPr>
          <w:rFonts w:hint="eastAsia"/>
        </w:rPr>
        <w:t>引致被害人自杀或死亡</w:t>
      </w:r>
      <w:r>
        <w:rPr>
          <w:rFonts w:hint="eastAsia"/>
        </w:rPr>
        <w:t>)</w:t>
      </w:r>
      <w:r>
        <w:rPr>
          <w:rFonts w:hint="eastAsia"/>
        </w:rPr>
        <w:t>，处十年至二十年徒刑</w:t>
      </w:r>
      <w:r>
        <w:rPr>
          <w:rFonts w:hint="eastAsia"/>
        </w:rPr>
        <w:t>(</w:t>
      </w:r>
      <w:r>
        <w:rPr>
          <w:rFonts w:hint="eastAsia"/>
        </w:rPr>
        <w:t>第二百三十六条第一款及第二款</w:t>
      </w:r>
      <w:r>
        <w:rPr>
          <w:rFonts w:hint="eastAsia"/>
        </w:rPr>
        <w:t>)</w:t>
      </w:r>
      <w:r>
        <w:rPr>
          <w:rFonts w:hint="eastAsia"/>
        </w:rPr>
        <w:t>。</w:t>
      </w:r>
      <w:r>
        <w:rPr>
          <w:rFonts w:hint="eastAsia"/>
          <w:szCs w:val="21"/>
        </w:rPr>
        <w:t xml:space="preserve"> </w:t>
      </w:r>
    </w:p>
    <w:p w:rsidR="00000000" w:rsidRDefault="00000000">
      <w:pPr>
        <w:rPr>
          <w:rFonts w:hint="eastAsia"/>
        </w:rPr>
      </w:pPr>
      <w:r>
        <w:tab/>
        <w:t xml:space="preserve">106.  </w:t>
      </w:r>
      <w:r>
        <w:rPr>
          <w:rFonts w:hint="eastAsia"/>
        </w:rPr>
        <w:t>为施以酷刑而僭越职务罪，处二年至八年徒刑</w:t>
      </w:r>
      <w:r>
        <w:rPr>
          <w:rFonts w:hint="eastAsia"/>
        </w:rPr>
        <w:t>(</w:t>
      </w:r>
      <w:r>
        <w:rPr>
          <w:rFonts w:hint="eastAsia"/>
        </w:rPr>
        <w:t>《刑法典》第二百三十五条</w:t>
      </w:r>
      <w:r>
        <w:rPr>
          <w:rFonts w:hint="eastAsia"/>
        </w:rPr>
        <w:t>)</w:t>
      </w:r>
      <w:r>
        <w:rPr>
          <w:rFonts w:hint="eastAsia"/>
        </w:rPr>
        <w:t>。</w:t>
      </w:r>
    </w:p>
    <w:p w:rsidR="00000000" w:rsidRDefault="00000000">
      <w:pPr>
        <w:rPr>
          <w:rFonts w:hint="eastAsia"/>
        </w:rPr>
      </w:pPr>
      <w:r>
        <w:tab/>
        <w:t xml:space="preserve">107.  </w:t>
      </w:r>
      <w:r>
        <w:rPr>
          <w:rFonts w:hint="eastAsia"/>
        </w:rPr>
        <w:t>对上述罪行不检举，处一年至三年徒刑</w:t>
      </w:r>
      <w:r>
        <w:rPr>
          <w:rFonts w:hint="eastAsia"/>
        </w:rPr>
        <w:t>(</w:t>
      </w:r>
      <w:r>
        <w:rPr>
          <w:rFonts w:hint="eastAsia"/>
        </w:rPr>
        <w:t>《刑法典》第二百三十七条</w:t>
      </w:r>
      <w:r>
        <w:rPr>
          <w:rFonts w:hint="eastAsia"/>
        </w:rPr>
        <w:t>)</w:t>
      </w:r>
      <w:r>
        <w:rPr>
          <w:rFonts w:hint="eastAsia"/>
        </w:rPr>
        <w:t>。</w:t>
      </w:r>
    </w:p>
    <w:p w:rsidR="00000000" w:rsidRDefault="00000000">
      <w:r>
        <w:tab/>
        <w:t xml:space="preserve">108.  </w:t>
      </w:r>
      <w:r>
        <w:rPr>
          <w:rFonts w:hint="eastAsia"/>
        </w:rPr>
        <w:t>就有酷刑及其他残忍、有辱人格或不人道之待遇加重情节的罪行及处罚，列举如下</w:t>
      </w:r>
      <w:r>
        <w:t>：</w:t>
      </w:r>
    </w:p>
    <w:p w:rsidR="00000000" w:rsidRDefault="00000000">
      <w:pPr>
        <w:pStyle w:val="a0"/>
        <w:ind w:left="1550"/>
      </w:pPr>
      <w:r>
        <w:rPr>
          <w:rFonts w:hint="eastAsia"/>
        </w:rPr>
        <w:t>加重杀人罪，处十五年至二十五年徒刑</w:t>
      </w:r>
      <w:r>
        <w:rPr>
          <w:rFonts w:hint="eastAsia"/>
        </w:rPr>
        <w:t>(</w:t>
      </w:r>
      <w:r>
        <w:rPr>
          <w:rFonts w:hint="eastAsia"/>
        </w:rPr>
        <w:t>《刑法典》第一百二十九条第一款</w:t>
      </w:r>
      <w:r>
        <w:rPr>
          <w:rFonts w:hint="eastAsia"/>
        </w:rPr>
        <w:t>)</w:t>
      </w:r>
      <w:r>
        <w:rPr>
          <w:rFonts w:hint="eastAsia"/>
        </w:rPr>
        <w:t>；</w:t>
      </w:r>
    </w:p>
    <w:p w:rsidR="00000000" w:rsidRDefault="00000000">
      <w:pPr>
        <w:pStyle w:val="a0"/>
        <w:ind w:left="1550"/>
        <w:rPr>
          <w:spacing w:val="20"/>
        </w:rPr>
      </w:pPr>
      <w:r>
        <w:rPr>
          <w:rFonts w:hint="eastAsia"/>
          <w:spacing w:val="20"/>
        </w:rPr>
        <w:t>加重伤害身体完整性罪，将可科处于普通伤害身体完整性、严重伤害身体完整性或因结果等犯罪之刑罚加重最低及最高限度三分之一</w:t>
      </w:r>
      <w:r>
        <w:rPr>
          <w:rFonts w:hint="eastAsia"/>
          <w:spacing w:val="20"/>
        </w:rPr>
        <w:t>(</w:t>
      </w:r>
      <w:r>
        <w:rPr>
          <w:rFonts w:hint="eastAsia"/>
          <w:spacing w:val="20"/>
        </w:rPr>
        <w:t>《刑法典》第一百四十条第一款</w:t>
      </w:r>
      <w:r>
        <w:rPr>
          <w:rFonts w:hint="eastAsia"/>
          <w:spacing w:val="20"/>
        </w:rPr>
        <w:t>)</w:t>
      </w:r>
      <w:r>
        <w:rPr>
          <w:rFonts w:hint="eastAsia"/>
          <w:spacing w:val="20"/>
        </w:rPr>
        <w:t>；</w:t>
      </w:r>
    </w:p>
    <w:p w:rsidR="00000000" w:rsidRDefault="00000000">
      <w:pPr>
        <w:pStyle w:val="a0"/>
        <w:ind w:left="1550"/>
        <w:rPr>
          <w:rFonts w:hint="eastAsia"/>
          <w:spacing w:val="20"/>
        </w:rPr>
      </w:pPr>
      <w:r>
        <w:rPr>
          <w:rFonts w:hint="eastAsia"/>
          <w:spacing w:val="20"/>
        </w:rPr>
        <w:t>剥夺他人行动自由罪，处三年至十二年徒刑</w:t>
      </w:r>
      <w:r>
        <w:rPr>
          <w:rFonts w:hint="eastAsia"/>
          <w:spacing w:val="20"/>
        </w:rPr>
        <w:t>(</w:t>
      </w:r>
      <w:r>
        <w:rPr>
          <w:rFonts w:hint="eastAsia"/>
          <w:spacing w:val="20"/>
        </w:rPr>
        <w:t>《刑法典》第一百五十二条第二款</w:t>
      </w:r>
      <w:r>
        <w:rPr>
          <w:rFonts w:hint="eastAsia"/>
          <w:spacing w:val="20"/>
        </w:rPr>
        <w:t>)</w:t>
      </w:r>
      <w:r>
        <w:rPr>
          <w:rFonts w:hint="eastAsia"/>
          <w:spacing w:val="20"/>
        </w:rPr>
        <w:t>。</w:t>
      </w:r>
    </w:p>
    <w:p w:rsidR="00000000" w:rsidRDefault="00000000">
      <w:pPr>
        <w:rPr>
          <w:rFonts w:hint="eastAsia"/>
        </w:rPr>
      </w:pPr>
      <w:r>
        <w:tab/>
        <w:t xml:space="preserve">109.  </w:t>
      </w:r>
      <w:r>
        <w:rPr>
          <w:rFonts w:hint="eastAsia"/>
        </w:rPr>
        <w:t>就虐待未成年人、无能力之人或配偶又或使之过度劳累并施以残忍虐待罪，处一年至五年徒刑</w:t>
      </w:r>
      <w:r>
        <w:rPr>
          <w:rFonts w:hint="eastAsia"/>
        </w:rPr>
        <w:t>(</w:t>
      </w:r>
      <w:r>
        <w:rPr>
          <w:rFonts w:hint="eastAsia"/>
        </w:rPr>
        <w:t>《刑法典》第一百四十六条第一款</w:t>
      </w:r>
      <w:r>
        <w:rPr>
          <w:rFonts w:hint="eastAsia"/>
        </w:rPr>
        <w:t>)</w:t>
      </w:r>
      <w:r>
        <w:rPr>
          <w:rFonts w:hint="eastAsia"/>
        </w:rPr>
        <w:t>。就灭绝种族并施以酷刑及其他残忍、有辱人格或不人道之待遇罪，处十年至二十五年徒刑</w:t>
      </w:r>
      <w:r>
        <w:rPr>
          <w:rFonts w:hint="eastAsia"/>
        </w:rPr>
        <w:t>(</w:t>
      </w:r>
      <w:r>
        <w:rPr>
          <w:rFonts w:hint="eastAsia"/>
        </w:rPr>
        <w:t>《刑法典》第二百三十条</w:t>
      </w:r>
      <w:r>
        <w:rPr>
          <w:rFonts w:hint="eastAsia"/>
        </w:rPr>
        <w:t>)</w:t>
      </w:r>
      <w:r>
        <w:rPr>
          <w:rFonts w:hint="eastAsia"/>
        </w:rPr>
        <w:t>。</w:t>
      </w:r>
    </w:p>
    <w:p w:rsidR="00000000" w:rsidRDefault="00000000">
      <w:r>
        <w:tab/>
        <w:t xml:space="preserve">110. </w:t>
      </w:r>
      <w:r>
        <w:rPr>
          <w:rFonts w:hint="eastAsia"/>
        </w:rPr>
        <w:t xml:space="preserve"> </w:t>
      </w:r>
      <w:r>
        <w:rPr>
          <w:rFonts w:hint="eastAsia"/>
        </w:rPr>
        <w:t>就上述犯罪未遂之处罚，根据《刑法典》第二十二条第一款规定，在既遂犯可处以最高限度超逾三年之徒刑的情况下，犯罪未遂可予处罚。</w:t>
      </w:r>
    </w:p>
    <w:p w:rsidR="00000000" w:rsidRDefault="00000000">
      <w:r>
        <w:tab/>
        <w:t xml:space="preserve">111. </w:t>
      </w:r>
      <w:r>
        <w:rPr>
          <w:rFonts w:hint="eastAsia"/>
        </w:rPr>
        <w:t xml:space="preserve"> </w:t>
      </w:r>
      <w:r>
        <w:rPr>
          <w:rFonts w:hint="eastAsia"/>
        </w:rPr>
        <w:t>《刑法典》第二十五条规定，亲身或透过他人实行犯罪事实、与他人透过协议直接参与或共同直接参与犯罪事实，以及故意使他人产生作出犯罪事实之决意者，只要该事实已实行或开始实行，均受处罚。</w:t>
      </w:r>
    </w:p>
    <w:p w:rsidR="00000000" w:rsidRDefault="00000000">
      <w:pPr>
        <w:spacing w:after="240"/>
      </w:pPr>
      <w:r>
        <w:tab/>
        <w:t xml:space="preserve">112. </w:t>
      </w:r>
      <w:r>
        <w:rPr>
          <w:rFonts w:hint="eastAsia"/>
        </w:rPr>
        <w:t xml:space="preserve"> </w:t>
      </w:r>
      <w:r>
        <w:rPr>
          <w:rFonts w:hint="eastAsia"/>
        </w:rPr>
        <w:t>《刑法典》第二十六条规定：</w:t>
      </w:r>
      <w:r>
        <w:rPr>
          <w:rFonts w:hint="eastAsia"/>
          <w:i/>
          <w:iCs/>
        </w:rPr>
        <w:t>“对他人故意作出之事实，故意以任何方式提供物质上或精神上之帮助者，以从犯处罚之”，以及“科处于从犯之刑罚，为对正犯所规定之刑罚经特别减轻者”。</w:t>
      </w:r>
    </w:p>
    <w:p w:rsidR="00000000" w:rsidRDefault="00000000">
      <w:pPr>
        <w:pStyle w:val="Heading3"/>
      </w:pPr>
      <w:bookmarkStart w:id="16" w:name="_Toc139353441"/>
      <w:r>
        <w:rPr>
          <w:rFonts w:hint="eastAsia"/>
        </w:rPr>
        <w:t>第</w:t>
      </w:r>
      <w:r>
        <w:t xml:space="preserve"> </w:t>
      </w:r>
      <w:r>
        <w:rPr>
          <w:rFonts w:hint="eastAsia"/>
        </w:rPr>
        <w:t>五</w:t>
      </w:r>
      <w:r>
        <w:t xml:space="preserve"> </w:t>
      </w:r>
      <w:r>
        <w:rPr>
          <w:rFonts w:hint="eastAsia"/>
        </w:rPr>
        <w:t>条</w:t>
      </w:r>
      <w:bookmarkEnd w:id="16"/>
    </w:p>
    <w:p w:rsidR="00000000" w:rsidRDefault="00000000">
      <w:pPr>
        <w:rPr>
          <w:rFonts w:hint="eastAsia"/>
        </w:rPr>
      </w:pPr>
      <w:r>
        <w:tab/>
        <w:t xml:space="preserve">113. </w:t>
      </w:r>
      <w:r>
        <w:rPr>
          <w:rFonts w:hint="eastAsia"/>
        </w:rPr>
        <w:t xml:space="preserve"> </w:t>
      </w:r>
      <w:r>
        <w:rPr>
          <w:rFonts w:hint="eastAsia"/>
        </w:rPr>
        <w:t>就公约第五条所涉及的内容，主要载于澳门《刑法典》第四条及第五条的规定。</w:t>
      </w:r>
    </w:p>
    <w:p w:rsidR="00000000" w:rsidRDefault="00000000">
      <w:pPr>
        <w:rPr>
          <w:rFonts w:hint="eastAsia"/>
        </w:rPr>
      </w:pPr>
      <w:r>
        <w:tab/>
        <w:t xml:space="preserve">114. </w:t>
      </w:r>
      <w:r>
        <w:rPr>
          <w:rFonts w:hint="eastAsia"/>
        </w:rPr>
        <w:t xml:space="preserve"> </w:t>
      </w:r>
      <w:r>
        <w:rPr>
          <w:rFonts w:hint="eastAsia"/>
        </w:rPr>
        <w:t>《刑法典》第四条规定：“澳门刑法适用于在下列空间作出之事实，但适用于澳门之国际协约或属司法协助领域之协议另有规定者，不在此限：ａ</w:t>
      </w:r>
      <w:r>
        <w:rPr>
          <w:rFonts w:hint="eastAsia"/>
        </w:rPr>
        <w:t>)</w:t>
      </w:r>
      <w:r>
        <w:rPr>
          <w:rFonts w:hint="eastAsia"/>
        </w:rPr>
        <w:t>在澳门内，不论行为人属何国籍；或ｂ</w:t>
      </w:r>
      <w:r>
        <w:rPr>
          <w:rFonts w:hint="eastAsia"/>
        </w:rPr>
        <w:t>)</w:t>
      </w:r>
      <w:r>
        <w:rPr>
          <w:rFonts w:hint="eastAsia"/>
        </w:rPr>
        <w:t>在澳门注册之船舶或航空器内”。</w:t>
      </w:r>
    </w:p>
    <w:p w:rsidR="00000000" w:rsidRDefault="00000000">
      <w:pPr>
        <w:rPr>
          <w:rFonts w:hint="eastAsia"/>
        </w:rPr>
      </w:pPr>
      <w:r>
        <w:tab/>
        <w:t xml:space="preserve">115.  </w:t>
      </w:r>
      <w:r>
        <w:rPr>
          <w:rFonts w:hint="eastAsia"/>
        </w:rPr>
        <w:t>《刑法典》第五条规定，澳门刑法亦适用于在澳门以外作出之事实，但适用于澳门之国际协约或属司法协助领域之协议另有规定者，不在此限。</w:t>
      </w:r>
    </w:p>
    <w:p w:rsidR="00000000" w:rsidRDefault="00000000">
      <w:pPr>
        <w:rPr>
          <w:rFonts w:hint="eastAsia"/>
        </w:rPr>
      </w:pPr>
      <w:r>
        <w:tab/>
        <w:t xml:space="preserve">116. </w:t>
      </w:r>
      <w:r>
        <w:rPr>
          <w:rFonts w:hint="eastAsia"/>
        </w:rPr>
        <w:t xml:space="preserve"> </w:t>
      </w:r>
      <w:r>
        <w:rPr>
          <w:rFonts w:hint="eastAsia"/>
        </w:rPr>
        <w:t>澳门刑法适用于澳门以外作出的事实包括：剥夺他人行动自由并施以酷刑及其他残忍、有辱人格或不人道之待遇、使用此类手段灭绝种族，以及实施酷刑及其他残忍、有辱人格或不人道之待遇等，只要行为人被发现身在澳门，且不可被移交至另一地区或国家</w:t>
      </w:r>
      <w:r>
        <w:rPr>
          <w:rFonts w:hint="eastAsia"/>
        </w:rPr>
        <w:t>(</w:t>
      </w:r>
      <w:r>
        <w:rPr>
          <w:rFonts w:hint="eastAsia"/>
        </w:rPr>
        <w:t>《刑法典》第五条第一款ｂ项</w:t>
      </w:r>
      <w:r>
        <w:rPr>
          <w:rFonts w:hint="eastAsia"/>
        </w:rPr>
        <w:t>)</w:t>
      </w:r>
      <w:r>
        <w:rPr>
          <w:rFonts w:hint="eastAsia"/>
        </w:rPr>
        <w:t>。</w:t>
      </w:r>
    </w:p>
    <w:p w:rsidR="00000000" w:rsidRDefault="00000000">
      <w:pPr>
        <w:rPr>
          <w:rFonts w:hint="eastAsia"/>
        </w:rPr>
      </w:pPr>
      <w:r>
        <w:tab/>
        <w:t xml:space="preserve">117. </w:t>
      </w:r>
      <w:r>
        <w:rPr>
          <w:rFonts w:hint="eastAsia"/>
        </w:rPr>
        <w:t xml:space="preserve"> </w:t>
      </w:r>
      <w:r>
        <w:rPr>
          <w:rFonts w:hint="eastAsia"/>
        </w:rPr>
        <w:t>澳门刑法亦适用于特区以外“由澳门居民对非澳门居民作出之事实，或由非澳门居民对澳门居民作出之事实，只要：</w:t>
      </w:r>
      <w:r>
        <w:rPr>
          <w:rFonts w:hint="eastAsia"/>
        </w:rPr>
        <w:t>(</w:t>
      </w:r>
      <w:r>
        <w:rPr>
          <w:rFonts w:hint="eastAsia"/>
        </w:rPr>
        <w:t>一</w:t>
      </w:r>
      <w:r>
        <w:rPr>
          <w:rFonts w:hint="eastAsia"/>
        </w:rPr>
        <w:t>)</w:t>
      </w:r>
      <w:r>
        <w:rPr>
          <w:rFonts w:hint="eastAsia"/>
        </w:rPr>
        <w:t>行为人被发现身在澳门；</w:t>
      </w:r>
      <w:r>
        <w:rPr>
          <w:rFonts w:hint="eastAsia"/>
        </w:rPr>
        <w:t>(</w:t>
      </w:r>
      <w:r>
        <w:rPr>
          <w:rFonts w:hint="eastAsia"/>
        </w:rPr>
        <w:t>二</w:t>
      </w:r>
      <w:r>
        <w:rPr>
          <w:rFonts w:hint="eastAsia"/>
        </w:rPr>
        <w:t>)</w:t>
      </w:r>
      <w:r>
        <w:rPr>
          <w:rFonts w:hint="eastAsia"/>
        </w:rPr>
        <w:t>该等事实亦可为作出事实之地之法例所处罚，但该地不行使处罚权者，澳门刑法，不适用之；及</w:t>
      </w:r>
      <w:r>
        <w:rPr>
          <w:rFonts w:hint="eastAsia"/>
        </w:rPr>
        <w:t>(</w:t>
      </w:r>
      <w:r>
        <w:rPr>
          <w:rFonts w:hint="eastAsia"/>
        </w:rPr>
        <w:t>三</w:t>
      </w:r>
      <w:r>
        <w:rPr>
          <w:rFonts w:hint="eastAsia"/>
        </w:rPr>
        <w:t>)</w:t>
      </w:r>
      <w:r>
        <w:rPr>
          <w:rFonts w:hint="eastAsia"/>
        </w:rPr>
        <w:t>构成容许将行为人移交之犯罪，而该移交为不可准予者”</w:t>
      </w:r>
      <w:r>
        <w:rPr>
          <w:rFonts w:hint="eastAsia"/>
        </w:rPr>
        <w:t xml:space="preserve"> (</w:t>
      </w:r>
      <w:r>
        <w:rPr>
          <w:rFonts w:hint="eastAsia"/>
        </w:rPr>
        <w:t>《刑法典》第五条第一款ｃ项</w:t>
      </w:r>
      <w:r>
        <w:rPr>
          <w:rFonts w:hint="eastAsia"/>
        </w:rPr>
        <w:t>)</w:t>
      </w:r>
      <w:r>
        <w:rPr>
          <w:rFonts w:hint="eastAsia"/>
        </w:rPr>
        <w:t>。</w:t>
      </w:r>
    </w:p>
    <w:p w:rsidR="00000000" w:rsidRDefault="00000000">
      <w:pPr>
        <w:rPr>
          <w:rFonts w:hint="eastAsia"/>
        </w:rPr>
      </w:pPr>
      <w:r>
        <w:tab/>
        <w:t xml:space="preserve">118.  </w:t>
      </w:r>
      <w:r>
        <w:rPr>
          <w:rFonts w:hint="eastAsia"/>
        </w:rPr>
        <w:t>《刑法典》第五条第一款ｄ项规定，澳门刑法亦适用于特区以外“</w:t>
      </w:r>
      <w:r>
        <w:rPr>
          <w:rFonts w:hint="eastAsia"/>
          <w:i/>
          <w:iCs/>
        </w:rPr>
        <w:t>由澳门居民对澳门居民作出之事实，只要行为人被发现身在澳门</w:t>
      </w:r>
      <w:r>
        <w:rPr>
          <w:rFonts w:hint="eastAsia"/>
        </w:rPr>
        <w:t>”。</w:t>
      </w:r>
    </w:p>
    <w:p w:rsidR="00000000" w:rsidRDefault="00000000">
      <w:pPr>
        <w:spacing w:after="240"/>
      </w:pPr>
      <w:r>
        <w:tab/>
        <w:t xml:space="preserve">119. </w:t>
      </w:r>
      <w:r>
        <w:rPr>
          <w:rFonts w:hint="eastAsia"/>
        </w:rPr>
        <w:t xml:space="preserve"> </w:t>
      </w:r>
      <w:r>
        <w:rPr>
          <w:rFonts w:hint="eastAsia"/>
        </w:rPr>
        <w:t>《刑法典》第五条第二款规定：“如审判在澳门以外作出之事实之义务，系源自适用于澳门之国际协约或属司法协助领域之协定，则澳门刑法亦适用于该等事实”。</w:t>
      </w:r>
    </w:p>
    <w:p w:rsidR="00000000" w:rsidRDefault="00000000">
      <w:pPr>
        <w:pStyle w:val="Heading3"/>
      </w:pPr>
      <w:bookmarkStart w:id="17" w:name="_Toc139353442"/>
      <w:r>
        <w:rPr>
          <w:rFonts w:hint="eastAsia"/>
        </w:rPr>
        <w:t>第</w:t>
      </w:r>
      <w:r>
        <w:t xml:space="preserve"> </w:t>
      </w:r>
      <w:r>
        <w:rPr>
          <w:rFonts w:hint="eastAsia"/>
        </w:rPr>
        <w:t>六</w:t>
      </w:r>
      <w:r>
        <w:t xml:space="preserve"> </w:t>
      </w:r>
      <w:r>
        <w:rPr>
          <w:rFonts w:hint="eastAsia"/>
        </w:rPr>
        <w:t>条</w:t>
      </w:r>
      <w:bookmarkEnd w:id="17"/>
    </w:p>
    <w:p w:rsidR="00000000" w:rsidRDefault="00000000">
      <w:pPr>
        <w:rPr>
          <w:rFonts w:hint="eastAsia"/>
        </w:rPr>
      </w:pPr>
      <w:r>
        <w:tab/>
        <w:t xml:space="preserve">120.  </w:t>
      </w:r>
      <w:r>
        <w:rPr>
          <w:rFonts w:hint="eastAsia"/>
        </w:rPr>
        <w:t>确保酷刑犯到场就审，是以拘留和采取《刑事诉讼法典》第二百三十七条及随后有关条款、第一百八十一条及随后有关条款规定的强制措施进行。</w:t>
      </w:r>
    </w:p>
    <w:p w:rsidR="00000000" w:rsidRDefault="00000000">
      <w:pPr>
        <w:rPr>
          <w:rFonts w:hint="eastAsia"/>
        </w:rPr>
      </w:pPr>
      <w:r>
        <w:tab/>
        <w:t xml:space="preserve">121.  </w:t>
      </w:r>
      <w:r>
        <w:rPr>
          <w:rFonts w:hint="eastAsia"/>
        </w:rPr>
        <w:t>根据第二百三十七条规定，拘留的目的是，在不超过四十八小时内，将被拘留之人提交接受以简易诉讼形式进行之审判，或交由有权限之法官以便进行首次司法讯问，又或对其采用一强制措施。</w:t>
      </w:r>
    </w:p>
    <w:p w:rsidR="00000000" w:rsidRDefault="00000000">
      <w:r>
        <w:tab/>
        <w:t xml:space="preserve">122.  </w:t>
      </w:r>
      <w:r>
        <w:rPr>
          <w:rFonts w:hint="eastAsia"/>
        </w:rPr>
        <w:t>现行犯之拘留可由任何司法当局或警察实体进行，如有关执法人员既不在场亦不能及时被召唤，则任何人得进行拘留，但须立即将被拘留之人送交上述任一实体，后者须立即将拘留告知检察院</w:t>
      </w:r>
      <w:r>
        <w:rPr>
          <w:rFonts w:hint="eastAsia"/>
        </w:rPr>
        <w:t>(</w:t>
      </w:r>
      <w:r>
        <w:rPr>
          <w:rFonts w:hint="eastAsia"/>
        </w:rPr>
        <w:t>《刑事诉讼法典》第二百三十八条第二款及第二百四十二条</w:t>
      </w:r>
      <w:r>
        <w:rPr>
          <w:rFonts w:hint="eastAsia"/>
        </w:rPr>
        <w:t>)</w:t>
      </w:r>
      <w:r>
        <w:rPr>
          <w:rFonts w:hint="eastAsia"/>
        </w:rPr>
        <w:t>。</w:t>
      </w:r>
    </w:p>
    <w:p w:rsidR="00000000" w:rsidRDefault="00000000">
      <w:pPr>
        <w:rPr>
          <w:rFonts w:hint="eastAsia"/>
        </w:rPr>
      </w:pPr>
      <w:r>
        <w:tab/>
        <w:t xml:space="preserve">123.  </w:t>
      </w:r>
      <w:r>
        <w:rPr>
          <w:rFonts w:hint="eastAsia"/>
        </w:rPr>
        <w:t>如属非现行犯之情况，则拘留得透过法官之命令状为之，但在可采用羁押措施之情况下，拘留亦得透过检察院之命令状为之。如属可采用羁押措施；有根据恐防逃走；因情况紧急，且如有延误将构成危险，以致不可能等待司法当局之介入等情况，刑事警察当局亦得主动命令非现行犯情况下之拘留</w:t>
      </w:r>
      <w:r>
        <w:rPr>
          <w:rFonts w:hint="eastAsia"/>
        </w:rPr>
        <w:t>(</w:t>
      </w:r>
      <w:r>
        <w:rPr>
          <w:rFonts w:hint="eastAsia"/>
        </w:rPr>
        <w:t>《刑事诉讼法典》第二百四十条</w:t>
      </w:r>
      <w:r>
        <w:rPr>
          <w:rFonts w:hint="eastAsia"/>
        </w:rPr>
        <w:t>)</w:t>
      </w:r>
      <w:r>
        <w:rPr>
          <w:rFonts w:hint="eastAsia"/>
        </w:rPr>
        <w:t>。</w:t>
      </w:r>
    </w:p>
    <w:p w:rsidR="00000000" w:rsidRDefault="00000000">
      <w:pPr>
        <w:rPr>
          <w:rFonts w:hint="eastAsia"/>
        </w:rPr>
      </w:pPr>
      <w:r>
        <w:tab/>
        <w:t xml:space="preserve">124.  </w:t>
      </w:r>
      <w:r>
        <w:rPr>
          <w:rFonts w:hint="eastAsia"/>
        </w:rPr>
        <w:t>任何警察实体进行拘留时，须告知发出拘留命令状之法官或告知检察院</w:t>
      </w:r>
      <w:r>
        <w:rPr>
          <w:rFonts w:hint="eastAsia"/>
        </w:rPr>
        <w:t>(</w:t>
      </w:r>
      <w:r>
        <w:rPr>
          <w:rFonts w:hint="eastAsia"/>
        </w:rPr>
        <w:t>同法典第二百四十二条</w:t>
      </w:r>
      <w:r>
        <w:rPr>
          <w:rFonts w:hint="eastAsia"/>
        </w:rPr>
        <w:t>)</w:t>
      </w:r>
      <w:r>
        <w:rPr>
          <w:rFonts w:hint="eastAsia"/>
        </w:rPr>
        <w:t>。</w:t>
      </w:r>
    </w:p>
    <w:p w:rsidR="00000000" w:rsidRDefault="00000000">
      <w:pPr>
        <w:rPr>
          <w:rFonts w:hint="eastAsia"/>
        </w:rPr>
      </w:pPr>
      <w:r>
        <w:tab/>
        <w:t xml:space="preserve">125.  </w:t>
      </w:r>
      <w:r>
        <w:rPr>
          <w:rFonts w:hint="eastAsia"/>
        </w:rPr>
        <w:t>就强制措施而言，适用要件之一在于具体存在逃走或逃走之危险，为防止这一情况的发生，可采取下列任何措施：身份资料及居所之书录；定期报到之义务；禁止离境及接触；执行职务、从事职业或行使权利之中止；担保；羁押</w:t>
      </w:r>
      <w:r>
        <w:rPr>
          <w:rFonts w:hint="eastAsia"/>
        </w:rPr>
        <w:t>(</w:t>
      </w:r>
      <w:r>
        <w:rPr>
          <w:rFonts w:hint="eastAsia"/>
        </w:rPr>
        <w:t>《刑事诉讼法典》第一百八十一条至第一百八十六条及第一百八十八条</w:t>
      </w:r>
      <w:r>
        <w:rPr>
          <w:rFonts w:hint="eastAsia"/>
        </w:rPr>
        <w:t>)</w:t>
      </w:r>
      <w:r>
        <w:rPr>
          <w:rFonts w:hint="eastAsia"/>
        </w:rPr>
        <w:t>。</w:t>
      </w:r>
    </w:p>
    <w:p w:rsidR="00000000" w:rsidRDefault="00000000">
      <w:pPr>
        <w:rPr>
          <w:rFonts w:hint="eastAsia"/>
        </w:rPr>
      </w:pPr>
      <w:r>
        <w:tab/>
        <w:t xml:space="preserve">126. </w:t>
      </w:r>
      <w:r>
        <w:rPr>
          <w:rFonts w:hint="eastAsia"/>
        </w:rPr>
        <w:t xml:space="preserve"> </w:t>
      </w:r>
      <w:r>
        <w:rPr>
          <w:rFonts w:hint="eastAsia"/>
        </w:rPr>
        <w:t>羁押仅在其余措施对于有关情况系不适当或不足够，方得采用，但须有强烈迹象显示嫌犯曾故意实施可处以最高限度超逾三年徒刑之犯罪；或作为羁押对象之人曾不合规则进入或正不合规则逗留于澳门，又或正进行将该人移交至另一地区或国家之程序之程序。然而，如所归责之犯罪系以暴力实施，且可处以最高限度超逾八年之徒刑</w:t>
      </w:r>
      <w:r>
        <w:rPr>
          <w:rFonts w:hint="eastAsia"/>
        </w:rPr>
        <w:t>(</w:t>
      </w:r>
      <w:r>
        <w:rPr>
          <w:rFonts w:hint="eastAsia"/>
        </w:rPr>
        <w:t>例如：严重之酷刑及其他严重之残忍、有辱人格或不人道之待遇罪</w:t>
      </w:r>
      <w:r>
        <w:rPr>
          <w:rFonts w:hint="eastAsia"/>
        </w:rPr>
        <w:t>)</w:t>
      </w:r>
      <w:r>
        <w:rPr>
          <w:rFonts w:hint="eastAsia"/>
        </w:rPr>
        <w:t>，法官应对嫌犯采用羁押措施。</w:t>
      </w:r>
      <w:r>
        <w:rPr>
          <w:rFonts w:hint="eastAsia"/>
        </w:rPr>
        <w:t>(</w:t>
      </w:r>
      <w:r>
        <w:rPr>
          <w:rFonts w:hint="eastAsia"/>
        </w:rPr>
        <w:t>《刑事诉讼法典》</w:t>
      </w:r>
      <w:r>
        <w:rPr>
          <w:rFonts w:hint="eastAsia"/>
          <w:bCs/>
        </w:rPr>
        <w:t>第一百八十六条及</w:t>
      </w:r>
      <w:r>
        <w:rPr>
          <w:rFonts w:hint="eastAsia"/>
        </w:rPr>
        <w:t>第一百九十三条第一款</w:t>
      </w:r>
      <w:r>
        <w:rPr>
          <w:rFonts w:hint="eastAsia"/>
        </w:rPr>
        <w:t>)</w:t>
      </w:r>
      <w:r>
        <w:rPr>
          <w:rFonts w:hint="eastAsia"/>
        </w:rPr>
        <w:t>。</w:t>
      </w:r>
    </w:p>
    <w:p w:rsidR="00000000" w:rsidRDefault="00000000">
      <w:r>
        <w:tab/>
        <w:t xml:space="preserve">127. </w:t>
      </w:r>
      <w:r>
        <w:rPr>
          <w:bCs/>
        </w:rPr>
        <w:t xml:space="preserve"> </w:t>
      </w:r>
      <w:r>
        <w:rPr>
          <w:rFonts w:hint="eastAsia"/>
          <w:bCs/>
        </w:rPr>
        <w:t>《刑事诉讼法典》第一</w:t>
      </w:r>
      <w:r>
        <w:rPr>
          <w:rFonts w:hint="eastAsia"/>
        </w:rPr>
        <w:t>百九十九条第一款规定，羁押自开始至下列期间消灭：ａ</w:t>
      </w:r>
      <w:r>
        <w:rPr>
          <w:rFonts w:hint="eastAsia"/>
        </w:rPr>
        <w:t>)</w:t>
      </w:r>
      <w:r>
        <w:rPr>
          <w:rFonts w:hint="eastAsia"/>
        </w:rPr>
        <w:t>六个月，如在该期间内未有提出控诉；ｂ</w:t>
      </w:r>
      <w:r>
        <w:rPr>
          <w:rFonts w:hint="eastAsia"/>
        </w:rPr>
        <w:t>)</w:t>
      </w:r>
      <w:r>
        <w:rPr>
          <w:rFonts w:hint="eastAsia"/>
        </w:rPr>
        <w:t>十个月，如在该期间内已进行预审但未有作出起诉批示；ｃ</w:t>
      </w:r>
      <w:r>
        <w:rPr>
          <w:rFonts w:hint="eastAsia"/>
        </w:rPr>
        <w:t>)</w:t>
      </w:r>
      <w:r>
        <w:rPr>
          <w:rFonts w:hint="eastAsia"/>
        </w:rPr>
        <w:t>十八个月，如在该期间内未有在第一审作出判刑；ｄ</w:t>
      </w:r>
      <w:r>
        <w:rPr>
          <w:rFonts w:hint="eastAsia"/>
        </w:rPr>
        <w:t>)</w:t>
      </w:r>
      <w:r>
        <w:rPr>
          <w:rFonts w:hint="eastAsia"/>
        </w:rPr>
        <w:t>两年，如在该期间内未有确定判刑。如属上述诉诸暴力犯罪，且可处以最高限度超逾八年之徒刑，则上指期限分别延长至八个月、一年、两年及三年。如中止刑事诉讼程序以便分开审判审理前之先决问题，则此一类情况及ｃ与ｄ项所指之期限，均另增加六个月。</w:t>
      </w:r>
    </w:p>
    <w:p w:rsidR="00000000" w:rsidRDefault="00000000">
      <w:pPr>
        <w:rPr>
          <w:rFonts w:hint="eastAsia"/>
        </w:rPr>
      </w:pPr>
      <w:r>
        <w:tab/>
        <w:t xml:space="preserve">128.  </w:t>
      </w:r>
      <w:r>
        <w:rPr>
          <w:rFonts w:hint="eastAsia"/>
        </w:rPr>
        <w:t>就初步侦查是否属强制而言，</w:t>
      </w:r>
      <w:r>
        <w:rPr>
          <w:rFonts w:hint="eastAsia"/>
          <w:bCs/>
        </w:rPr>
        <w:t>《刑事诉讼法典》</w:t>
      </w:r>
      <w:r>
        <w:rPr>
          <w:rFonts w:hint="eastAsia"/>
        </w:rPr>
        <w:t>第二百四十五条第二款规定</w:t>
      </w:r>
      <w:r>
        <w:t>：</w:t>
      </w:r>
      <w:r>
        <w:rPr>
          <w:rFonts w:hint="eastAsia"/>
        </w:rPr>
        <w:t>“</w:t>
      </w:r>
      <w:r>
        <w:rPr>
          <w:rFonts w:hint="eastAsia"/>
          <w:i/>
          <w:iCs/>
        </w:rPr>
        <w:t>有犯罪消息时，必须展开侦查</w:t>
      </w:r>
      <w:r>
        <w:rPr>
          <w:rFonts w:hint="eastAsia"/>
        </w:rPr>
        <w:t>”，但该法典规定之例外情况除外。所谓例外情况，是指刑事诉讼程序之启动取决于有关权利人告诉或自诉，而此与本报告所涉及的犯罪无关。</w:t>
      </w:r>
    </w:p>
    <w:p w:rsidR="00000000" w:rsidRDefault="00000000">
      <w:pPr>
        <w:rPr>
          <w:rFonts w:hint="eastAsia"/>
        </w:rPr>
      </w:pPr>
      <w:r>
        <w:tab/>
        <w:t xml:space="preserve">129.  </w:t>
      </w:r>
      <w:r>
        <w:rPr>
          <w:rFonts w:hint="eastAsia"/>
        </w:rPr>
        <w:t>就受拘留者即时取得与其国籍国代表的联系方面，须提及的是，鉴于澳门特别行政区所实行的国际法采纳制度，公约的第六条第三款及第四款规定直接适用。此外，一九六三年四月二十四日的维也纳领事关系公约亦适用于澳门特别行政区。</w:t>
      </w:r>
    </w:p>
    <w:p w:rsidR="00000000" w:rsidRDefault="00000000">
      <w:pPr>
        <w:rPr>
          <w:rFonts w:hint="eastAsia"/>
        </w:rPr>
      </w:pPr>
      <w:r>
        <w:tab/>
        <w:t xml:space="preserve">130.  </w:t>
      </w:r>
      <w:r>
        <w:rPr>
          <w:rFonts w:hint="eastAsia"/>
        </w:rPr>
        <w:t>澳门特别行政区当局为全面贯彻公约的有关规定，当一缔约国的国民在澳门被囚禁或拘留，立即以书面形式通知此人有关权利，如此人愿意，则将其情况通知所属领事馆，并确保领事官员探访、交谈及与其通信等权利，以及为其司法辩护做好安排。</w:t>
      </w:r>
    </w:p>
    <w:p w:rsidR="00000000" w:rsidRDefault="00000000">
      <w:r>
        <w:tab/>
        <w:t xml:space="preserve">131.  </w:t>
      </w:r>
      <w:r>
        <w:rPr>
          <w:rFonts w:hint="eastAsia"/>
        </w:rPr>
        <w:t>此外，剥夺自由处分之执行制度亦予被拘留人以下权利：入狱后立即享有将其状况通知其法定代理人，以及接受有关外交或领事代表探访的权利</w:t>
      </w:r>
      <w:r>
        <w:rPr>
          <w:rFonts w:hint="eastAsia"/>
        </w:rPr>
        <w:t>(</w:t>
      </w:r>
      <w:r>
        <w:rPr>
          <w:rFonts w:hint="eastAsia"/>
        </w:rPr>
        <w:t>此类探访甚至可在规定日期及时间以外得到许可</w:t>
      </w:r>
      <w:r>
        <w:rPr>
          <w:rFonts w:hint="eastAsia"/>
        </w:rPr>
        <w:t>)</w:t>
      </w:r>
      <w:r>
        <w:rPr>
          <w:rFonts w:hint="eastAsia"/>
        </w:rPr>
        <w:t>。</w:t>
      </w:r>
    </w:p>
    <w:p w:rsidR="00000000" w:rsidRDefault="00000000">
      <w:pPr>
        <w:pStyle w:val="Heading3"/>
        <w:spacing w:after="240"/>
      </w:pPr>
      <w:bookmarkStart w:id="18" w:name="_Toc139353443"/>
      <w:r>
        <w:rPr>
          <w:rFonts w:hint="eastAsia"/>
        </w:rPr>
        <w:t>第</w:t>
      </w:r>
      <w:r>
        <w:t xml:space="preserve"> </w:t>
      </w:r>
      <w:r>
        <w:rPr>
          <w:rFonts w:hint="eastAsia"/>
        </w:rPr>
        <w:t>七</w:t>
      </w:r>
      <w:r>
        <w:t xml:space="preserve"> </w:t>
      </w:r>
      <w:r>
        <w:rPr>
          <w:rFonts w:hint="eastAsia"/>
        </w:rPr>
        <w:t>条</w:t>
      </w:r>
      <w:bookmarkEnd w:id="18"/>
    </w:p>
    <w:p w:rsidR="00000000" w:rsidRDefault="00000000">
      <w:pPr>
        <w:rPr>
          <w:rFonts w:hint="eastAsia"/>
        </w:rPr>
      </w:pPr>
      <w:r>
        <w:tab/>
        <w:t xml:space="preserve">132.  </w:t>
      </w:r>
      <w:r>
        <w:rPr>
          <w:rFonts w:hint="eastAsia"/>
        </w:rPr>
        <w:t>根据公约第七条第一款的规定，缔约国如在其管辖的领土内发现有被指控犯有施酷刑行为之罪行的人，倘不进行引渡，则应把案件交由主管当局进行起诉。就该义务之履行，已阐述于本报告有关公约第五条之部分。</w:t>
      </w:r>
    </w:p>
    <w:p w:rsidR="00000000" w:rsidRDefault="00000000">
      <w:pPr>
        <w:rPr>
          <w:rFonts w:hint="eastAsia"/>
        </w:rPr>
      </w:pPr>
      <w:r>
        <w:tab/>
        <w:t xml:space="preserve">133.  </w:t>
      </w:r>
      <w:r>
        <w:rPr>
          <w:rFonts w:hint="eastAsia"/>
        </w:rPr>
        <w:t>进行刑事起诉须始终以《刑事诉讼法典》规定的原则及规则为准，就证据方面，适用该法典第三卷的规定。</w:t>
      </w:r>
    </w:p>
    <w:p w:rsidR="00000000" w:rsidRDefault="00000000">
      <w:pPr>
        <w:spacing w:after="160"/>
      </w:pPr>
      <w:r>
        <w:tab/>
        <w:t xml:space="preserve">134.  </w:t>
      </w:r>
      <w:r>
        <w:rPr>
          <w:rFonts w:hint="eastAsia"/>
        </w:rPr>
        <w:t>在被控以施行酷刑的情况下，嫌犯享有《基本法》及一般法规定的公正待遇之保障，有关权利包括</w:t>
      </w:r>
      <w:r>
        <w:rPr>
          <w:rFonts w:hint="eastAsia"/>
        </w:rPr>
        <w:t xml:space="preserve"> </w:t>
      </w:r>
      <w:r>
        <w:rPr>
          <w:rFonts w:hint="eastAsia"/>
        </w:rPr>
        <w:t>“</w:t>
      </w:r>
      <w:r>
        <w:rPr>
          <w:rFonts w:hint="eastAsia"/>
        </w:rPr>
        <w:t>......</w:t>
      </w:r>
      <w:r>
        <w:rPr>
          <w:rFonts w:hint="eastAsia"/>
          <w:i/>
          <w:iCs/>
        </w:rPr>
        <w:t>享有尽早接受法院审判的权利，在法院判罪之前均假定无罪</w:t>
      </w:r>
      <w:r>
        <w:rPr>
          <w:rFonts w:hint="eastAsia"/>
        </w:rPr>
        <w:t>”，以及</w:t>
      </w:r>
      <w:r>
        <w:rPr>
          <w:rFonts w:hint="eastAsia"/>
        </w:rPr>
        <w:t xml:space="preserve"> </w:t>
      </w:r>
      <w:r>
        <w:rPr>
          <w:rFonts w:hint="eastAsia"/>
        </w:rPr>
        <w:t>“</w:t>
      </w:r>
      <w:r>
        <w:rPr>
          <w:rFonts w:hint="eastAsia"/>
          <w:i/>
          <w:iCs/>
        </w:rPr>
        <w:t>得到律师的帮助以保护自己的合法权益</w:t>
      </w:r>
      <w:r>
        <w:rPr>
          <w:rFonts w:hint="eastAsia"/>
          <w:i/>
          <w:iCs/>
        </w:rPr>
        <w:t>......</w:t>
      </w:r>
      <w:r>
        <w:rPr>
          <w:rFonts w:hint="eastAsia"/>
        </w:rPr>
        <w:t>”</w:t>
      </w:r>
      <w:r>
        <w:rPr>
          <w:rFonts w:hint="eastAsia"/>
        </w:rPr>
        <w:t>(</w:t>
      </w:r>
      <w:r>
        <w:rPr>
          <w:rFonts w:hint="eastAsia"/>
        </w:rPr>
        <w:t>《基本法》第二十九条第二款及第三十六条第一款</w:t>
      </w:r>
      <w:r>
        <w:rPr>
          <w:rFonts w:hint="eastAsia"/>
        </w:rPr>
        <w:t>)</w:t>
      </w:r>
      <w:r>
        <w:rPr>
          <w:rFonts w:hint="eastAsia"/>
        </w:rPr>
        <w:t>。</w:t>
      </w:r>
    </w:p>
    <w:p w:rsidR="00000000" w:rsidRDefault="00000000">
      <w:pPr>
        <w:pStyle w:val="Heading3"/>
      </w:pPr>
      <w:bookmarkStart w:id="19" w:name="_Toc139353444"/>
      <w:r>
        <w:rPr>
          <w:rFonts w:hint="eastAsia"/>
        </w:rPr>
        <w:t>第</w:t>
      </w:r>
      <w:r>
        <w:t xml:space="preserve"> </w:t>
      </w:r>
      <w:r>
        <w:rPr>
          <w:rFonts w:hint="eastAsia"/>
        </w:rPr>
        <w:t>八</w:t>
      </w:r>
      <w:r>
        <w:t xml:space="preserve"> </w:t>
      </w:r>
      <w:r>
        <w:rPr>
          <w:rFonts w:hint="eastAsia"/>
        </w:rPr>
        <w:t>条</w:t>
      </w:r>
      <w:bookmarkEnd w:id="19"/>
    </w:p>
    <w:p w:rsidR="00000000" w:rsidRDefault="00000000">
      <w:pPr>
        <w:spacing w:after="160"/>
      </w:pPr>
      <w:r>
        <w:tab/>
        <w:t xml:space="preserve">135.  </w:t>
      </w:r>
      <w:r>
        <w:rPr>
          <w:rFonts w:hint="eastAsia"/>
        </w:rPr>
        <w:t>如前所述，引渡是以主权国之间的关系存在为前提，故澳门特别行政区的法律制度没有引渡这一规定。</w:t>
      </w:r>
    </w:p>
    <w:p w:rsidR="00000000" w:rsidRDefault="00000000">
      <w:pPr>
        <w:pStyle w:val="Heading3"/>
      </w:pPr>
      <w:bookmarkStart w:id="20" w:name="_Toc139353445"/>
      <w:r>
        <w:rPr>
          <w:rFonts w:hint="eastAsia"/>
        </w:rPr>
        <w:t>第</w:t>
      </w:r>
      <w:r>
        <w:t xml:space="preserve"> </w:t>
      </w:r>
      <w:r>
        <w:rPr>
          <w:rFonts w:hint="eastAsia"/>
        </w:rPr>
        <w:t>九</w:t>
      </w:r>
      <w:r>
        <w:t xml:space="preserve"> </w:t>
      </w:r>
      <w:r>
        <w:rPr>
          <w:rFonts w:hint="eastAsia"/>
        </w:rPr>
        <w:t>条</w:t>
      </w:r>
      <w:bookmarkEnd w:id="20"/>
    </w:p>
    <w:p w:rsidR="00000000" w:rsidRDefault="00000000">
      <w:r>
        <w:tab/>
        <w:t xml:space="preserve">136.  </w:t>
      </w:r>
      <w:r>
        <w:rPr>
          <w:rFonts w:hint="eastAsia"/>
        </w:rPr>
        <w:t>同样如前所述，《基本法》第九十四条允许澳门特别行政区在中央人民政府协助和授权下与外国就司法互助关系作出适当安排。尚须补充的是，《刑事诉讼法典》第二百一十三条规定，与非属本地区之当局之关系，由适用于澳门之国际协约或属司法协助领域之协定规范之；如无该等协约及协定，则由其刑事诉讼规定规范之。</w:t>
      </w:r>
    </w:p>
    <w:p w:rsidR="00000000" w:rsidRDefault="00000000">
      <w:pPr>
        <w:rPr>
          <w:rFonts w:hint="eastAsia"/>
          <w:szCs w:val="21"/>
        </w:rPr>
      </w:pPr>
      <w:r>
        <w:tab/>
        <w:t xml:space="preserve">137. </w:t>
      </w:r>
      <w:r>
        <w:rPr>
          <w:rFonts w:hint="eastAsia"/>
        </w:rPr>
        <w:t xml:space="preserve"> </w:t>
      </w:r>
      <w:r>
        <w:rPr>
          <w:rFonts w:hint="eastAsia"/>
        </w:rPr>
        <w:t>按照《基本法》第九十四条的规定，第</w:t>
      </w:r>
      <w:r>
        <w:t>3/2002</w:t>
      </w:r>
      <w:r>
        <w:rPr>
          <w:rFonts w:hint="eastAsia"/>
        </w:rPr>
        <w:t>号法律在规范司法互助请求的通报程序中规定，澳门特别行政区有权限当局在向外地提出或接受其提出的司法互助请求之前，应向中央人民政府通报。该制度</w:t>
      </w:r>
      <w:r>
        <w:rPr>
          <w:rFonts w:hint="eastAsia"/>
          <w:szCs w:val="21"/>
        </w:rPr>
        <w:t>适用于所有依照适用的法规、双边协议或多边条约而提出的司法互助请求。</w:t>
      </w:r>
    </w:p>
    <w:p w:rsidR="00000000" w:rsidRDefault="00000000">
      <w:pPr>
        <w:spacing w:after="160"/>
      </w:pPr>
      <w:r>
        <w:tab/>
        <w:t xml:space="preserve">138.  </w:t>
      </w:r>
      <w:r>
        <w:rPr>
          <w:rFonts w:hint="eastAsia"/>
        </w:rPr>
        <w:t>《刑事诉讼法典》及《民事诉讼法典》补充性规范在刑事司法方面与澳门以外当局的关系。该制度的运作方式是，通过嘱托书，要求外地当局介入以进行某些诉讼行为</w:t>
      </w:r>
      <w:r>
        <w:rPr>
          <w:rFonts w:hint="eastAsia"/>
        </w:rPr>
        <w:t>(</w:t>
      </w:r>
      <w:r>
        <w:rPr>
          <w:rFonts w:hint="eastAsia"/>
        </w:rPr>
        <w:t>如通知</w:t>
      </w:r>
      <w:r>
        <w:rPr>
          <w:rFonts w:hint="eastAsia"/>
          <w:szCs w:val="21"/>
        </w:rPr>
        <w:t>、取证等</w:t>
      </w:r>
      <w:r>
        <w:rPr>
          <w:rFonts w:hint="eastAsia"/>
        </w:rPr>
        <w:t>)</w:t>
      </w:r>
      <w:r>
        <w:rPr>
          <w:rFonts w:hint="eastAsia"/>
        </w:rPr>
        <w:t>，而外地当局亦可通过该方式，要求澳门法院作出有关诉讼行为。</w:t>
      </w:r>
    </w:p>
    <w:p w:rsidR="00000000" w:rsidRDefault="00000000"/>
    <w:p w:rsidR="00000000" w:rsidRDefault="00000000">
      <w:pPr>
        <w:pStyle w:val="Heading3"/>
      </w:pPr>
      <w:bookmarkStart w:id="21" w:name="_Toc139353446"/>
      <w:r>
        <w:rPr>
          <w:rFonts w:hint="eastAsia"/>
        </w:rPr>
        <w:t>第</w:t>
      </w:r>
      <w:r>
        <w:t xml:space="preserve"> </w:t>
      </w:r>
      <w:r>
        <w:rPr>
          <w:rFonts w:hint="eastAsia"/>
        </w:rPr>
        <w:t>十</w:t>
      </w:r>
      <w:r>
        <w:t xml:space="preserve"> </w:t>
      </w:r>
      <w:r>
        <w:rPr>
          <w:rFonts w:hint="eastAsia"/>
        </w:rPr>
        <w:t>条</w:t>
      </w:r>
      <w:bookmarkEnd w:id="21"/>
    </w:p>
    <w:p w:rsidR="00000000" w:rsidRDefault="00000000">
      <w:pPr>
        <w:spacing w:after="240"/>
        <w:rPr>
          <w:szCs w:val="21"/>
        </w:rPr>
      </w:pPr>
      <w:r>
        <w:tab/>
        <w:t xml:space="preserve">139.  </w:t>
      </w:r>
      <w:r>
        <w:rPr>
          <w:rFonts w:hint="eastAsia"/>
        </w:rPr>
        <w:t>鉴于有关职责的性质，首先介绍警察当局的训练及其行为的指导准则，随后逐一介绍狱警</w:t>
      </w:r>
      <w:r>
        <w:rPr>
          <w:rFonts w:hint="eastAsia"/>
          <w:szCs w:val="21"/>
        </w:rPr>
        <w:t>、司法官、廉政公署、医务人员及教学人员的有关情况。</w:t>
      </w:r>
    </w:p>
    <w:p w:rsidR="00000000" w:rsidRDefault="00000000">
      <w:pPr>
        <w:pStyle w:val="Heading3"/>
      </w:pPr>
      <w:bookmarkStart w:id="22" w:name="_Toc139353447"/>
      <w:r>
        <w:rPr>
          <w:rFonts w:hint="eastAsia"/>
        </w:rPr>
        <w:t>警</w:t>
      </w:r>
      <w:r>
        <w:t xml:space="preserve">  </w:t>
      </w:r>
      <w:r>
        <w:rPr>
          <w:rFonts w:hint="eastAsia"/>
        </w:rPr>
        <w:t>察</w:t>
      </w:r>
      <w:bookmarkEnd w:id="22"/>
    </w:p>
    <w:p w:rsidR="00000000" w:rsidRDefault="00000000">
      <w:pPr>
        <w:rPr>
          <w:rFonts w:hint="eastAsia"/>
          <w:szCs w:val="21"/>
        </w:rPr>
      </w:pPr>
      <w:r>
        <w:tab/>
        <w:t xml:space="preserve">140.  </w:t>
      </w:r>
      <w:r>
        <w:rPr>
          <w:rFonts w:hint="eastAsia"/>
        </w:rPr>
        <w:t>根据经十二月三十日第</w:t>
      </w:r>
      <w:r>
        <w:t>66/94/M</w:t>
      </w:r>
      <w:r>
        <w:rPr>
          <w:rFonts w:hint="eastAsia"/>
        </w:rPr>
        <w:t>号法令核准的</w:t>
      </w:r>
      <w:r>
        <w:rPr>
          <w:rFonts w:ascii="PMingLiU" w:hAnsi="PMingLiU" w:hint="eastAsia"/>
        </w:rPr>
        <w:t>《</w:t>
      </w:r>
      <w:r>
        <w:rPr>
          <w:rFonts w:hint="eastAsia"/>
        </w:rPr>
        <w:t>澳门保安部队军事化人员通则</w:t>
      </w:r>
      <w:r>
        <w:rPr>
          <w:rFonts w:ascii="PMingLiU" w:hAnsi="PMingLiU" w:hint="eastAsia"/>
        </w:rPr>
        <w:t>》的</w:t>
      </w:r>
      <w:r>
        <w:rPr>
          <w:rFonts w:hint="eastAsia"/>
        </w:rPr>
        <w:t>规定，进入澳门保安部队编制，无论是高级职程还是基础职程，均要求完成专门课程且成绩及格，通过晋升课程之考试为晋升基础职程任何职位的基本条件。有关课程内容包括</w:t>
      </w:r>
      <w:r>
        <w:rPr>
          <w:rFonts w:ascii="PMingLiU" w:hAnsi="PMingLiU" w:hint="eastAsia"/>
        </w:rPr>
        <w:t>《</w:t>
      </w:r>
      <w:r>
        <w:rPr>
          <w:rFonts w:hint="eastAsia"/>
        </w:rPr>
        <w:t>基本法</w:t>
      </w:r>
      <w:r>
        <w:rPr>
          <w:rFonts w:ascii="PMingLiU" w:hAnsi="PMingLiU" w:hint="eastAsia"/>
        </w:rPr>
        <w:t>》</w:t>
      </w:r>
      <w:r>
        <w:rPr>
          <w:rFonts w:hint="eastAsia"/>
          <w:szCs w:val="21"/>
        </w:rPr>
        <w:t>、刑法及刑事诉讼法以及军事化人员操守等</w:t>
      </w:r>
      <w:r>
        <w:rPr>
          <w:rFonts w:hint="eastAsia"/>
          <w:szCs w:val="21"/>
        </w:rPr>
        <w:t>(</w:t>
      </w:r>
      <w:r>
        <w:rPr>
          <w:rFonts w:hint="eastAsia"/>
          <w:szCs w:val="21"/>
        </w:rPr>
        <w:t>五月十八日第</w:t>
      </w:r>
      <w:r>
        <w:rPr>
          <w:szCs w:val="21"/>
        </w:rPr>
        <w:t>53/SAS/98</w:t>
      </w:r>
      <w:r>
        <w:rPr>
          <w:rFonts w:hint="eastAsia"/>
          <w:szCs w:val="21"/>
        </w:rPr>
        <w:t>号批示、第</w:t>
      </w:r>
      <w:r>
        <w:rPr>
          <w:rFonts w:hint="eastAsia"/>
          <w:szCs w:val="21"/>
        </w:rPr>
        <w:t>32/2003</w:t>
      </w:r>
      <w:r>
        <w:rPr>
          <w:rFonts w:hint="eastAsia"/>
          <w:szCs w:val="21"/>
        </w:rPr>
        <w:t>号及第</w:t>
      </w:r>
      <w:r>
        <w:rPr>
          <w:rFonts w:hint="eastAsia"/>
          <w:szCs w:val="21"/>
        </w:rPr>
        <w:t>36/2004</w:t>
      </w:r>
      <w:r>
        <w:rPr>
          <w:rFonts w:hint="eastAsia"/>
          <w:szCs w:val="21"/>
        </w:rPr>
        <w:t>号保安司司长批示</w:t>
      </w:r>
      <w:r>
        <w:rPr>
          <w:rFonts w:hint="eastAsia"/>
          <w:szCs w:val="21"/>
        </w:rPr>
        <w:t>)</w:t>
      </w:r>
      <w:r>
        <w:rPr>
          <w:rFonts w:hint="eastAsia"/>
          <w:szCs w:val="21"/>
        </w:rPr>
        <w:t>。</w:t>
      </w:r>
    </w:p>
    <w:p w:rsidR="00000000" w:rsidRDefault="00000000">
      <w:pPr>
        <w:rPr>
          <w:rFonts w:hint="eastAsia"/>
        </w:rPr>
      </w:pPr>
      <w:r>
        <w:tab/>
        <w:t xml:space="preserve">141.  </w:t>
      </w:r>
      <w:r>
        <w:rPr>
          <w:rFonts w:hint="eastAsia"/>
        </w:rPr>
        <w:t>上述通则明确要求军事化人员有义务“尊重人类尊严，维护及支持</w:t>
      </w:r>
      <w:r>
        <w:rPr>
          <w:rFonts w:hint="eastAsia"/>
        </w:rPr>
        <w:t>......</w:t>
      </w:r>
      <w:r>
        <w:rPr>
          <w:rFonts w:hint="eastAsia"/>
        </w:rPr>
        <w:t>人权，不得对任何人施加、鼓励或容忍折磨行为或其他残忍、不人道或有辱人格之对待”</w:t>
      </w:r>
      <w:r>
        <w:rPr>
          <w:rFonts w:hint="eastAsia"/>
        </w:rPr>
        <w:t>(</w:t>
      </w:r>
      <w:r>
        <w:rPr>
          <w:rFonts w:hint="eastAsia"/>
        </w:rPr>
        <w:t>第</w:t>
      </w:r>
      <w:r>
        <w:rPr>
          <w:rFonts w:hint="eastAsia"/>
        </w:rPr>
        <w:t>66/94/M</w:t>
      </w:r>
      <w:r>
        <w:rPr>
          <w:rFonts w:hint="eastAsia"/>
        </w:rPr>
        <w:t>号法令第五条第三款ｂ项</w:t>
      </w:r>
      <w:r>
        <w:rPr>
          <w:rFonts w:hint="eastAsia"/>
        </w:rPr>
        <w:t>)</w:t>
      </w:r>
      <w:r>
        <w:rPr>
          <w:rFonts w:hint="eastAsia"/>
        </w:rPr>
        <w:t>。</w:t>
      </w:r>
    </w:p>
    <w:p w:rsidR="00000000" w:rsidRDefault="00000000">
      <w:pPr>
        <w:rPr>
          <w:rStyle w:val="ctext1"/>
          <w:rFonts w:hint="eastAsia"/>
          <w:sz w:val="22"/>
        </w:rPr>
      </w:pPr>
      <w:r>
        <w:tab/>
        <w:t xml:space="preserve">142.  </w:t>
      </w:r>
      <w:r>
        <w:rPr>
          <w:rFonts w:hint="eastAsia"/>
        </w:rPr>
        <w:t>在培训方面，警察总局</w:t>
      </w:r>
      <w:r>
        <w:rPr>
          <w:rFonts w:hint="eastAsia"/>
        </w:rPr>
        <w:t>(</w:t>
      </w:r>
      <w:r>
        <w:rPr>
          <w:rFonts w:hint="eastAsia"/>
        </w:rPr>
        <w:t>作为指挥及领导其属下警务机构执行的行动机关</w:t>
      </w:r>
      <w:r>
        <w:rPr>
          <w:rFonts w:hint="eastAsia"/>
        </w:rPr>
        <w:t>)</w:t>
      </w:r>
      <w:r>
        <w:rPr>
          <w:rFonts w:hint="eastAsia"/>
        </w:rPr>
        <w:t>和法律及司法培训中心</w:t>
      </w:r>
      <w:r>
        <w:rPr>
          <w:rStyle w:val="ctext1"/>
          <w:rFonts w:hint="eastAsia"/>
          <w:color w:val="000000"/>
          <w:spacing w:val="20"/>
        </w:rPr>
        <w:t>(</w:t>
      </w:r>
      <w:r>
        <w:rPr>
          <w:rFonts w:hint="eastAsia"/>
        </w:rPr>
        <w:t>提供司法及法律领域的专业培训的公共部门</w:t>
      </w:r>
      <w:r>
        <w:rPr>
          <w:rFonts w:hint="eastAsia"/>
        </w:rPr>
        <w:t>)</w:t>
      </w:r>
      <w:r>
        <w:rPr>
          <w:rFonts w:hint="eastAsia"/>
        </w:rPr>
        <w:t>为澳门保安部队开办有关刑法及刑事诉讼法的课程</w:t>
      </w:r>
      <w:r>
        <w:rPr>
          <w:rStyle w:val="ctext1"/>
          <w:rFonts w:hint="eastAsia"/>
        </w:rPr>
        <w:t>。</w:t>
      </w:r>
    </w:p>
    <w:p w:rsidR="00000000" w:rsidRDefault="00000000">
      <w:pPr>
        <w:rPr>
          <w:rFonts w:hint="eastAsia"/>
        </w:rPr>
      </w:pPr>
      <w:r>
        <w:rPr>
          <w:rStyle w:val="ctext1"/>
          <w:color w:val="000000"/>
          <w:spacing w:val="20"/>
        </w:rPr>
        <w:tab/>
        <w:t xml:space="preserve">143. </w:t>
      </w:r>
      <w:r>
        <w:rPr>
          <w:rStyle w:val="ctext1"/>
          <w:rFonts w:hint="eastAsia"/>
          <w:color w:val="000000"/>
          <w:spacing w:val="20"/>
        </w:rPr>
        <w:t xml:space="preserve"> </w:t>
      </w:r>
      <w:r>
        <w:rPr>
          <w:rFonts w:hint="eastAsia"/>
        </w:rPr>
        <w:t>司法警察学校为司法警察</w:t>
      </w:r>
      <w:r>
        <w:rPr>
          <w:rFonts w:hint="eastAsia"/>
        </w:rPr>
        <w:t>(</w:t>
      </w:r>
      <w:r>
        <w:rPr>
          <w:rFonts w:hint="eastAsia"/>
        </w:rPr>
        <w:t>下称</w:t>
      </w:r>
      <w:r>
        <w:rPr>
          <w:rFonts w:ascii="MingLiU" w:hAnsi="MingLiU" w:hint="eastAsia"/>
        </w:rPr>
        <w:t>“</w:t>
      </w:r>
      <w:r>
        <w:rPr>
          <w:rFonts w:hint="eastAsia"/>
        </w:rPr>
        <w:t>司警</w:t>
      </w:r>
      <w:r>
        <w:rPr>
          <w:rFonts w:ascii="MingLiU" w:hAnsi="MingLiU" w:hint="eastAsia"/>
        </w:rPr>
        <w:t>”</w:t>
      </w:r>
      <w:r>
        <w:rPr>
          <w:rFonts w:hint="eastAsia"/>
        </w:rPr>
        <w:t>)</w:t>
      </w:r>
      <w:r>
        <w:rPr>
          <w:rFonts w:hint="eastAsia"/>
        </w:rPr>
        <w:t>人员策划和开办专业培训课程，包括职前培训</w:t>
      </w:r>
      <w:r>
        <w:rPr>
          <w:rFonts w:hint="eastAsia"/>
        </w:rPr>
        <w:t>(</w:t>
      </w:r>
      <w:r>
        <w:rPr>
          <w:rFonts w:hint="eastAsia"/>
        </w:rPr>
        <w:t>一般基础培训</w:t>
      </w:r>
      <w:r>
        <w:rPr>
          <w:rFonts w:hint="eastAsia"/>
        </w:rPr>
        <w:t>)</w:t>
      </w:r>
      <w:r>
        <w:rPr>
          <w:rFonts w:hint="eastAsia"/>
        </w:rPr>
        <w:t>及延续培训</w:t>
      </w:r>
      <w:r>
        <w:rPr>
          <w:rFonts w:hint="eastAsia"/>
        </w:rPr>
        <w:t>(</w:t>
      </w:r>
      <w:r>
        <w:rPr>
          <w:rFonts w:hint="eastAsia"/>
        </w:rPr>
        <w:t>七月二十七日第</w:t>
      </w:r>
      <w:r>
        <w:rPr>
          <w:rFonts w:hint="eastAsia"/>
        </w:rPr>
        <w:t>32/98/M</w:t>
      </w:r>
      <w:r>
        <w:rPr>
          <w:rFonts w:hint="eastAsia"/>
        </w:rPr>
        <w:t>号法令</w:t>
      </w:r>
      <w:r>
        <w:rPr>
          <w:rFonts w:hint="eastAsia"/>
        </w:rPr>
        <w:t>)</w:t>
      </w:r>
      <w:r>
        <w:rPr>
          <w:rFonts w:hint="eastAsia"/>
        </w:rPr>
        <w:t>，必修课内容包括</w:t>
      </w:r>
      <w:r>
        <w:rPr>
          <w:rFonts w:ascii="PMingLiU" w:hAnsi="PMingLiU" w:hint="eastAsia"/>
        </w:rPr>
        <w:t>《</w:t>
      </w:r>
      <w:r>
        <w:rPr>
          <w:rFonts w:hint="eastAsia"/>
        </w:rPr>
        <w:t>基本法</w:t>
      </w:r>
      <w:r>
        <w:rPr>
          <w:rFonts w:ascii="PMingLiU" w:hAnsi="PMingLiU" w:hint="eastAsia"/>
        </w:rPr>
        <w:t>》</w:t>
      </w:r>
      <w:r>
        <w:rPr>
          <w:rFonts w:hint="eastAsia"/>
        </w:rPr>
        <w:t>、刑法及刑事诉讼法以及职业道德等</w:t>
      </w:r>
      <w:r>
        <w:rPr>
          <w:rFonts w:hint="eastAsia"/>
        </w:rPr>
        <w:t>(</w:t>
      </w:r>
      <w:r>
        <w:rPr>
          <w:rFonts w:hint="eastAsia"/>
        </w:rPr>
        <w:t>第</w:t>
      </w:r>
      <w:r>
        <w:t>27/2003</w:t>
      </w:r>
      <w:r>
        <w:rPr>
          <w:rFonts w:hint="eastAsia"/>
        </w:rPr>
        <w:t>号行政法规</w:t>
      </w:r>
      <w:r>
        <w:rPr>
          <w:rFonts w:hint="eastAsia"/>
        </w:rPr>
        <w:t>)</w:t>
      </w:r>
      <w:r>
        <w:rPr>
          <w:rFonts w:hint="eastAsia"/>
        </w:rPr>
        <w:t>，均涉及尊重基本权利之义务，其中包括不受折磨之权利。</w:t>
      </w:r>
    </w:p>
    <w:p w:rsidR="00000000" w:rsidRDefault="00000000">
      <w:pPr>
        <w:rPr>
          <w:rFonts w:hint="eastAsia"/>
        </w:rPr>
      </w:pPr>
      <w:r>
        <w:rPr>
          <w:rStyle w:val="ctext1"/>
          <w:rFonts w:hint="eastAsia"/>
          <w:color w:val="000000"/>
          <w:spacing w:val="20"/>
        </w:rPr>
        <w:tab/>
        <w:t xml:space="preserve">144. </w:t>
      </w:r>
      <w:r>
        <w:rPr>
          <w:rStyle w:val="ctext1"/>
          <w:color w:val="000000"/>
          <w:spacing w:val="20"/>
        </w:rPr>
        <w:t xml:space="preserve"> </w:t>
      </w:r>
      <w:r>
        <w:rPr>
          <w:rStyle w:val="ctext1"/>
          <w:rFonts w:hint="eastAsia"/>
          <w:color w:val="000000"/>
          <w:spacing w:val="20"/>
        </w:rPr>
        <w:t>应提及的是，司警</w:t>
      </w:r>
      <w:r>
        <w:rPr>
          <w:rFonts w:hint="eastAsia"/>
        </w:rPr>
        <w:t>刑事侦查员必须特别遵守的义务包括：“在执行职务时，防止任何涉及身体或精神上之粗暴之滥用职权、擅断或歧视行为”及“保障被拘留之人或由其负责之人之生命及身体完整性，并尊重其名誉及尊严”。基于该等义务，“对受其保护或拘押之人滥用职权，以及作出不人道、有辱人格、歧视与侮辱之行为”，视为极严重之违反纪律行为</w:t>
      </w:r>
      <w:r>
        <w:rPr>
          <w:rFonts w:hint="eastAsia"/>
        </w:rPr>
        <w:t>(</w:t>
      </w:r>
      <w:r>
        <w:rPr>
          <w:rFonts w:hint="eastAsia"/>
        </w:rPr>
        <w:t>六月二十九日第</w:t>
      </w:r>
      <w:r>
        <w:rPr>
          <w:rFonts w:hint="eastAsia"/>
        </w:rPr>
        <w:t>27/98/M</w:t>
      </w:r>
      <w:r>
        <w:rPr>
          <w:rFonts w:hint="eastAsia"/>
        </w:rPr>
        <w:t>号法令第四十八条及第五十一条</w:t>
      </w:r>
      <w:r>
        <w:rPr>
          <w:rFonts w:hint="eastAsia"/>
        </w:rPr>
        <w:t>)</w:t>
      </w:r>
      <w:r>
        <w:rPr>
          <w:rFonts w:hint="eastAsia"/>
        </w:rPr>
        <w:t>。</w:t>
      </w:r>
    </w:p>
    <w:p w:rsidR="00000000" w:rsidRDefault="00000000">
      <w:r>
        <w:rPr>
          <w:rFonts w:hint="eastAsia"/>
        </w:rPr>
        <w:tab/>
        <w:t xml:space="preserve">145. </w:t>
      </w:r>
      <w:r>
        <w:t xml:space="preserve"> </w:t>
      </w:r>
      <w:r>
        <w:rPr>
          <w:rFonts w:hint="eastAsia"/>
        </w:rPr>
        <w:t>尚应提及的是海关，该部门</w:t>
      </w:r>
      <w:r>
        <w:rPr>
          <w:rFonts w:hint="eastAsia"/>
          <w:szCs w:val="21"/>
        </w:rPr>
        <w:t>负责关务管理和监督等具警务性质的职务</w:t>
      </w:r>
      <w:r>
        <w:rPr>
          <w:rFonts w:hint="eastAsia"/>
          <w:szCs w:val="21"/>
        </w:rPr>
        <w:t xml:space="preserve"> (</w:t>
      </w:r>
      <w:r>
        <w:rPr>
          <w:rFonts w:hint="eastAsia"/>
          <w:szCs w:val="21"/>
        </w:rPr>
        <w:t>第</w:t>
      </w:r>
      <w:r>
        <w:rPr>
          <w:szCs w:val="21"/>
        </w:rPr>
        <w:t>11/2001</w:t>
      </w:r>
      <w:r>
        <w:rPr>
          <w:rFonts w:hint="eastAsia"/>
          <w:szCs w:val="21"/>
        </w:rPr>
        <w:t>号法律第一条第三款</w:t>
      </w:r>
      <w:r>
        <w:rPr>
          <w:rFonts w:hint="eastAsia"/>
          <w:szCs w:val="21"/>
        </w:rPr>
        <w:t>)</w:t>
      </w:r>
      <w:r>
        <w:rPr>
          <w:rFonts w:hint="eastAsia"/>
          <w:szCs w:val="21"/>
        </w:rPr>
        <w:t>。根据核准</w:t>
      </w:r>
      <w:r>
        <w:rPr>
          <w:rFonts w:hint="eastAsia"/>
        </w:rPr>
        <w:t>海关关员职程、职位及报酬制度的第</w:t>
      </w:r>
      <w:r>
        <w:rPr>
          <w:rFonts w:hint="eastAsia"/>
        </w:rPr>
        <w:t>3/2003</w:t>
      </w:r>
      <w:r>
        <w:rPr>
          <w:rFonts w:hint="eastAsia"/>
        </w:rPr>
        <w:t>号法律规定</w:t>
      </w:r>
      <w:r>
        <w:rPr>
          <w:rFonts w:hint="eastAsia"/>
          <w:szCs w:val="21"/>
        </w:rPr>
        <w:t>，取得培训课程成绩及格亦同样为进入基础职程或晋升高级</w:t>
      </w:r>
      <w:r>
        <w:rPr>
          <w:rFonts w:hint="eastAsia"/>
        </w:rPr>
        <w:t>职程的条件</w:t>
      </w:r>
      <w:r>
        <w:rPr>
          <w:rFonts w:hint="eastAsia"/>
        </w:rPr>
        <w:t>(</w:t>
      </w:r>
      <w:r>
        <w:rPr>
          <w:rFonts w:hint="eastAsia"/>
        </w:rPr>
        <w:t>第十条第一款</w:t>
      </w:r>
      <w:r>
        <w:rPr>
          <w:rFonts w:ascii="PMingLiU" w:hAnsi="PMingLiU" w:hint="eastAsia"/>
        </w:rPr>
        <w:t>、</w:t>
      </w:r>
      <w:r>
        <w:rPr>
          <w:rFonts w:hint="eastAsia"/>
        </w:rPr>
        <w:t>第三款及第十一条第一款</w:t>
      </w:r>
      <w:r>
        <w:rPr>
          <w:rFonts w:hint="eastAsia"/>
        </w:rPr>
        <w:t>)</w:t>
      </w:r>
      <w:r>
        <w:rPr>
          <w:rFonts w:hint="eastAsia"/>
        </w:rPr>
        <w:t>。海关关员职程的职级晋升，须以开考的方式为之，该开考得以培训课程作为补充的甄选方法</w:t>
      </w:r>
      <w:r>
        <w:rPr>
          <w:rFonts w:hint="eastAsia"/>
        </w:rPr>
        <w:t>(</w:t>
      </w:r>
      <w:r>
        <w:rPr>
          <w:rFonts w:hint="eastAsia"/>
        </w:rPr>
        <w:t>同法律第十八条第二款</w:t>
      </w:r>
      <w:r>
        <w:rPr>
          <w:rFonts w:hint="eastAsia"/>
        </w:rPr>
        <w:t>)</w:t>
      </w:r>
      <w:r>
        <w:rPr>
          <w:rFonts w:hint="eastAsia"/>
        </w:rPr>
        <w:t>。</w:t>
      </w:r>
    </w:p>
    <w:p w:rsidR="00000000" w:rsidRDefault="00000000">
      <w:pPr>
        <w:spacing w:after="240"/>
        <w:rPr>
          <w:szCs w:val="21"/>
        </w:rPr>
      </w:pPr>
      <w:r>
        <w:rPr>
          <w:rFonts w:hint="eastAsia"/>
        </w:rPr>
        <w:tab/>
        <w:t xml:space="preserve">146. </w:t>
      </w:r>
      <w:r>
        <w:t xml:space="preserve"> </w:t>
      </w:r>
      <w:r>
        <w:rPr>
          <w:rFonts w:hint="eastAsia"/>
        </w:rPr>
        <w:t>就海关方面，仍须指出的是，一九九六年九月二十三日第</w:t>
      </w:r>
      <w:r>
        <w:t>106</w:t>
      </w:r>
      <w:r>
        <w:rPr>
          <w:rFonts w:hint="eastAsia"/>
        </w:rPr>
        <w:t>号长期性指示对于处置及移送囚犯和被拘留人方面，作出保障有关权利的规定，其中包括与家人联系</w:t>
      </w:r>
      <w:r>
        <w:rPr>
          <w:rFonts w:hint="eastAsia"/>
          <w:szCs w:val="21"/>
        </w:rPr>
        <w:t>、尊重隐私、人格及就医等权利</w:t>
      </w:r>
      <w:r>
        <w:rPr>
          <w:rFonts w:hint="eastAsia"/>
          <w:szCs w:val="21"/>
        </w:rPr>
        <w:t>(</w:t>
      </w:r>
      <w:r>
        <w:rPr>
          <w:rFonts w:hint="eastAsia"/>
          <w:szCs w:val="21"/>
        </w:rPr>
        <w:t>第八点ａ、ｂ及ｅ项</w:t>
      </w:r>
      <w:r>
        <w:rPr>
          <w:rFonts w:hint="eastAsia"/>
          <w:szCs w:val="21"/>
        </w:rPr>
        <w:t>)</w:t>
      </w:r>
      <w:r>
        <w:rPr>
          <w:rFonts w:hint="eastAsia"/>
          <w:szCs w:val="21"/>
        </w:rPr>
        <w:t>。</w:t>
      </w:r>
      <w:bookmarkStart w:id="23" w:name="_Toc139353448"/>
    </w:p>
    <w:p w:rsidR="00000000" w:rsidRDefault="00000000">
      <w:pPr>
        <w:pStyle w:val="Heading3"/>
      </w:pPr>
      <w:r>
        <w:rPr>
          <w:rFonts w:hint="eastAsia"/>
        </w:rPr>
        <w:t>狱</w:t>
      </w:r>
      <w:r>
        <w:t xml:space="preserve">  </w:t>
      </w:r>
      <w:r>
        <w:rPr>
          <w:rFonts w:hint="eastAsia"/>
        </w:rPr>
        <w:t>警</w:t>
      </w:r>
      <w:bookmarkEnd w:id="23"/>
    </w:p>
    <w:p w:rsidR="00000000" w:rsidRDefault="00000000">
      <w:pPr>
        <w:rPr>
          <w:rFonts w:hint="eastAsia"/>
        </w:rPr>
      </w:pPr>
      <w:r>
        <w:rPr>
          <w:rFonts w:hint="eastAsia"/>
          <w:szCs w:val="21"/>
        </w:rPr>
        <w:tab/>
        <w:t xml:space="preserve">147. </w:t>
      </w:r>
      <w:r>
        <w:rPr>
          <w:rFonts w:hint="eastAsia"/>
        </w:rPr>
        <w:t xml:space="preserve"> </w:t>
      </w:r>
      <w:r>
        <w:rPr>
          <w:rFonts w:hint="eastAsia"/>
        </w:rPr>
        <w:t>七月十一日第</w:t>
      </w:r>
      <w:r>
        <w:rPr>
          <w:rFonts w:hint="eastAsia"/>
        </w:rPr>
        <w:t>62/88/M</w:t>
      </w:r>
      <w:r>
        <w:rPr>
          <w:rFonts w:hint="eastAsia"/>
        </w:rPr>
        <w:t>号法令</w:t>
      </w:r>
      <w:r>
        <w:rPr>
          <w:rFonts w:hint="eastAsia"/>
        </w:rPr>
        <w:t>(</w:t>
      </w:r>
      <w:r>
        <w:rPr>
          <w:rFonts w:hint="eastAsia"/>
        </w:rPr>
        <w:t>重组监务暨社会重返司狱警特别职程</w:t>
      </w:r>
      <w:r>
        <w:rPr>
          <w:rFonts w:hint="eastAsia"/>
        </w:rPr>
        <w:t>)</w:t>
      </w:r>
      <w:r>
        <w:rPr>
          <w:rFonts w:hint="eastAsia"/>
        </w:rPr>
        <w:t>规定</w:t>
      </w:r>
      <w:r>
        <w:rPr>
          <w:rFonts w:hint="eastAsia"/>
          <w:szCs w:val="21"/>
        </w:rPr>
        <w:t>修读基础培训课程</w:t>
      </w:r>
      <w:r>
        <w:rPr>
          <w:rFonts w:hint="eastAsia"/>
        </w:rPr>
        <w:t>为进入职程的条件。二零零三年进行的入职开考内容涉及</w:t>
      </w:r>
      <w:r>
        <w:rPr>
          <w:rFonts w:ascii="PMingLiU" w:hAnsi="PMingLiU" w:hint="eastAsia"/>
        </w:rPr>
        <w:t>《</w:t>
      </w:r>
      <w:r>
        <w:rPr>
          <w:rFonts w:hint="eastAsia"/>
        </w:rPr>
        <w:t>基本法</w:t>
      </w:r>
      <w:r>
        <w:rPr>
          <w:rFonts w:ascii="PMingLiU" w:hAnsi="PMingLiU" w:hint="eastAsia"/>
        </w:rPr>
        <w:t>》</w:t>
      </w:r>
      <w:r>
        <w:rPr>
          <w:rFonts w:hint="eastAsia"/>
          <w:szCs w:val="21"/>
        </w:rPr>
        <w:t>、</w:t>
      </w:r>
      <w:r>
        <w:rPr>
          <w:rFonts w:ascii="PMingLiU" w:hAnsi="PMingLiU" w:hint="eastAsia"/>
          <w:szCs w:val="21"/>
        </w:rPr>
        <w:t>《</w:t>
      </w:r>
      <w:r>
        <w:rPr>
          <w:rFonts w:hint="eastAsia"/>
        </w:rPr>
        <w:t>剥夺自由处分之执行制度</w:t>
      </w:r>
      <w:r>
        <w:rPr>
          <w:rFonts w:ascii="PMingLiU" w:hAnsi="PMingLiU" w:hint="eastAsia"/>
          <w:szCs w:val="21"/>
        </w:rPr>
        <w:t>》</w:t>
      </w:r>
      <w:r>
        <w:rPr>
          <w:rFonts w:hint="eastAsia"/>
          <w:szCs w:val="21"/>
        </w:rPr>
        <w:t>、</w:t>
      </w:r>
      <w:r>
        <w:rPr>
          <w:rFonts w:ascii="PMingLiU" w:hAnsi="PMingLiU" w:hint="eastAsia"/>
          <w:szCs w:val="21"/>
        </w:rPr>
        <w:t>《澳门</w:t>
      </w:r>
      <w:r>
        <w:rPr>
          <w:rFonts w:hint="eastAsia"/>
          <w:szCs w:val="21"/>
        </w:rPr>
        <w:t>狱警队伍之纪律制度</w:t>
      </w:r>
      <w:r>
        <w:rPr>
          <w:rFonts w:ascii="PMingLiU" w:hAnsi="PMingLiU" w:hint="eastAsia"/>
          <w:szCs w:val="21"/>
        </w:rPr>
        <w:t>》</w:t>
      </w:r>
      <w:r>
        <w:rPr>
          <w:rFonts w:hint="eastAsia"/>
          <w:szCs w:val="21"/>
        </w:rPr>
        <w:t>、</w:t>
      </w:r>
      <w:r>
        <w:rPr>
          <w:rFonts w:ascii="PMingLiU" w:hAnsi="PMingLiU" w:hint="eastAsia"/>
          <w:szCs w:val="21"/>
        </w:rPr>
        <w:t>《路环</w:t>
      </w:r>
      <w:r>
        <w:rPr>
          <w:rFonts w:hint="eastAsia"/>
          <w:szCs w:val="21"/>
        </w:rPr>
        <w:t>监狱规章</w:t>
      </w:r>
      <w:r>
        <w:rPr>
          <w:rFonts w:ascii="PMingLiU" w:hAnsi="PMingLiU" w:hint="eastAsia"/>
          <w:szCs w:val="21"/>
        </w:rPr>
        <w:t>》</w:t>
      </w:r>
      <w:r>
        <w:rPr>
          <w:rFonts w:hint="eastAsia"/>
          <w:szCs w:val="21"/>
        </w:rPr>
        <w:t>等，并设培训课程，内容包括讲解刑法的一般概念</w:t>
      </w:r>
      <w:r>
        <w:rPr>
          <w:rFonts w:hint="eastAsia"/>
        </w:rPr>
        <w:t>。</w:t>
      </w:r>
    </w:p>
    <w:p w:rsidR="00000000" w:rsidRDefault="00000000">
      <w:pPr>
        <w:spacing w:after="160"/>
      </w:pPr>
      <w:r>
        <w:tab/>
        <w:t xml:space="preserve">148.  </w:t>
      </w:r>
      <w:r>
        <w:rPr>
          <w:rFonts w:hint="eastAsia"/>
        </w:rPr>
        <w:t>上述法律制度同样禁止酷刑，要求狱警“</w:t>
      </w:r>
      <w:r>
        <w:rPr>
          <w:rFonts w:hint="eastAsia"/>
          <w:i/>
          <w:iCs/>
        </w:rPr>
        <w:t>公正、礼貌及人道对待囚犯</w:t>
      </w:r>
      <w:r>
        <w:rPr>
          <w:rFonts w:hint="eastAsia"/>
        </w:rPr>
        <w:t>”</w:t>
      </w:r>
      <w:r>
        <w:rPr>
          <w:rFonts w:hint="eastAsia"/>
        </w:rPr>
        <w:t>(</w:t>
      </w:r>
      <w:r>
        <w:rPr>
          <w:rFonts w:hint="eastAsia"/>
        </w:rPr>
        <w:t>十二月五日第</w:t>
      </w:r>
      <w:r>
        <w:rPr>
          <w:rFonts w:hint="eastAsia"/>
        </w:rPr>
        <w:t>60/94/M</w:t>
      </w:r>
      <w:r>
        <w:rPr>
          <w:rFonts w:hint="eastAsia"/>
        </w:rPr>
        <w:t>号法令第三条ｉ项</w:t>
      </w:r>
      <w:r>
        <w:rPr>
          <w:rFonts w:ascii="PMingLiU" w:hAnsi="PMingLiU" w:hint="eastAsia"/>
        </w:rPr>
        <w:t>、</w:t>
      </w:r>
      <w:r>
        <w:rPr>
          <w:rFonts w:hint="eastAsia"/>
        </w:rPr>
        <w:t>第</w:t>
      </w:r>
      <w:r>
        <w:rPr>
          <w:rFonts w:hint="eastAsia"/>
        </w:rPr>
        <w:t>62/88/M</w:t>
      </w:r>
      <w:r>
        <w:rPr>
          <w:rFonts w:hint="eastAsia"/>
        </w:rPr>
        <w:t>号法令第七条</w:t>
      </w:r>
      <w:r>
        <w:t>c</w:t>
      </w:r>
      <w:r>
        <w:rPr>
          <w:rFonts w:hint="eastAsia"/>
        </w:rPr>
        <w:t>项及第二十五条</w:t>
      </w:r>
      <w:r>
        <w:t>i</w:t>
      </w:r>
      <w:r>
        <w:rPr>
          <w:rFonts w:hint="eastAsia"/>
        </w:rPr>
        <w:t>项</w:t>
      </w:r>
      <w:r>
        <w:rPr>
          <w:rFonts w:hint="eastAsia"/>
        </w:rPr>
        <w:t>)</w:t>
      </w:r>
      <w:r>
        <w:rPr>
          <w:rFonts w:hint="eastAsia"/>
        </w:rPr>
        <w:t>。</w:t>
      </w:r>
    </w:p>
    <w:p w:rsidR="00000000" w:rsidRDefault="00000000">
      <w:pPr>
        <w:pStyle w:val="Heading3"/>
      </w:pPr>
      <w:bookmarkStart w:id="24" w:name="_Toc139353449"/>
      <w:r>
        <w:rPr>
          <w:rFonts w:hint="eastAsia"/>
        </w:rPr>
        <w:t>司</w:t>
      </w:r>
      <w:r>
        <w:t xml:space="preserve"> </w:t>
      </w:r>
      <w:r>
        <w:rPr>
          <w:rFonts w:hint="eastAsia"/>
        </w:rPr>
        <w:t>法</w:t>
      </w:r>
      <w:r>
        <w:t xml:space="preserve"> </w:t>
      </w:r>
      <w:r>
        <w:rPr>
          <w:rFonts w:hint="eastAsia"/>
        </w:rPr>
        <w:t>官</w:t>
      </w:r>
      <w:bookmarkEnd w:id="24"/>
    </w:p>
    <w:p w:rsidR="00000000" w:rsidRDefault="00000000">
      <w:pPr>
        <w:rPr>
          <w:rFonts w:hint="eastAsia"/>
        </w:rPr>
      </w:pPr>
      <w:r>
        <w:tab/>
        <w:t xml:space="preserve">149.  </w:t>
      </w:r>
      <w:r>
        <w:rPr>
          <w:rFonts w:hint="eastAsia"/>
        </w:rPr>
        <w:t>就司法官而言，第</w:t>
      </w:r>
      <w:r>
        <w:t>10/1999</w:t>
      </w:r>
      <w:r>
        <w:rPr>
          <w:rFonts w:hint="eastAsia"/>
        </w:rPr>
        <w:t>号法律通过的</w:t>
      </w:r>
      <w:r>
        <w:rPr>
          <w:rFonts w:ascii="PMingLiU" w:hAnsi="PMingLiU" w:hint="eastAsia"/>
        </w:rPr>
        <w:t>《</w:t>
      </w:r>
      <w:r>
        <w:rPr>
          <w:rFonts w:hint="eastAsia"/>
        </w:rPr>
        <w:t>司法官通则</w:t>
      </w:r>
      <w:r>
        <w:rPr>
          <w:rFonts w:ascii="PMingLiU" w:hAnsi="PMingLiU" w:hint="eastAsia"/>
        </w:rPr>
        <w:t>》</w:t>
      </w:r>
      <w:r>
        <w:rPr>
          <w:rFonts w:hint="eastAsia"/>
        </w:rPr>
        <w:t>规定，拟确定出任第一审法院法官及检察院司法官职级者，特别任用要件之一是要求完成培训课程及实习且成绩及格，其中理论培训涉及的重要内容包括</w:t>
      </w:r>
      <w:r>
        <w:rPr>
          <w:rFonts w:ascii="PMingLiU" w:hAnsi="PMingLiU" w:hint="eastAsia"/>
        </w:rPr>
        <w:t>《</w:t>
      </w:r>
      <w:r>
        <w:rPr>
          <w:rFonts w:hint="eastAsia"/>
        </w:rPr>
        <w:t>基本法</w:t>
      </w:r>
      <w:r>
        <w:rPr>
          <w:rFonts w:ascii="PMingLiU" w:hAnsi="PMingLiU" w:hint="eastAsia"/>
        </w:rPr>
        <w:t>》</w:t>
      </w:r>
      <w:r>
        <w:rPr>
          <w:rFonts w:hint="eastAsia"/>
        </w:rPr>
        <w:t>、刑法、刑事诉讼法、国际法及专业操守等</w:t>
      </w:r>
      <w:r>
        <w:rPr>
          <w:rFonts w:hint="eastAsia"/>
        </w:rPr>
        <w:t>(</w:t>
      </w:r>
      <w:r>
        <w:rPr>
          <w:rFonts w:hint="eastAsia"/>
        </w:rPr>
        <w:t>第</w:t>
      </w:r>
      <w:r>
        <w:t>10/1999</w:t>
      </w:r>
      <w:r>
        <w:rPr>
          <w:rFonts w:hint="eastAsia"/>
        </w:rPr>
        <w:t>号法律第十六条</w:t>
      </w:r>
      <w:r>
        <w:rPr>
          <w:rFonts w:ascii="PMingLiU" w:hAnsi="PMingLiU" w:hint="eastAsia"/>
        </w:rPr>
        <w:t>、</w:t>
      </w:r>
      <w:r>
        <w:rPr>
          <w:rFonts w:hint="eastAsia"/>
        </w:rPr>
        <w:t>第</w:t>
      </w:r>
      <w:r>
        <w:t>17/2001</w:t>
      </w:r>
      <w:r>
        <w:rPr>
          <w:rFonts w:hint="eastAsia"/>
        </w:rPr>
        <w:t>号行政法规第十三条及第十七条</w:t>
      </w:r>
      <w:r>
        <w:rPr>
          <w:rFonts w:hint="eastAsia"/>
        </w:rPr>
        <w:t>)</w:t>
      </w:r>
      <w:r>
        <w:rPr>
          <w:rFonts w:hint="eastAsia"/>
        </w:rPr>
        <w:t>。</w:t>
      </w:r>
    </w:p>
    <w:p w:rsidR="00000000" w:rsidRDefault="00000000">
      <w:pPr>
        <w:spacing w:after="240"/>
        <w:rPr>
          <w:rFonts w:hint="eastAsia"/>
        </w:rPr>
      </w:pPr>
      <w:r>
        <w:rPr>
          <w:szCs w:val="21"/>
        </w:rPr>
        <w:tab/>
        <w:t xml:space="preserve">150.  </w:t>
      </w:r>
      <w:r>
        <w:rPr>
          <w:rFonts w:hint="eastAsia"/>
          <w:szCs w:val="21"/>
        </w:rPr>
        <w:t>澳门特别行政区法院及检察院本身均有职责禁止施行酷刑行为，此外，尚补充适用</w:t>
      </w:r>
      <w:r>
        <w:rPr>
          <w:rFonts w:hint="eastAsia"/>
        </w:rPr>
        <w:t>《澳门公共行政工作人员通则》，其中规定有礼义务，系指以尊重、有教养之态度对待公共部门的服务之使用者</w:t>
      </w:r>
      <w:r>
        <w:rPr>
          <w:rFonts w:hint="eastAsia"/>
        </w:rPr>
        <w:t>(</w:t>
      </w:r>
      <w:r>
        <w:rPr>
          <w:rFonts w:hint="eastAsia"/>
        </w:rPr>
        <w:t>第</w:t>
      </w:r>
      <w:r>
        <w:t>10/1999</w:t>
      </w:r>
      <w:r>
        <w:rPr>
          <w:rFonts w:hint="eastAsia"/>
        </w:rPr>
        <w:t>号法律第一百一十二条及《澳门公共行政工作人员通则》第二百七十九条</w:t>
      </w:r>
      <w:r>
        <w:rPr>
          <w:rFonts w:hint="eastAsia"/>
        </w:rPr>
        <w:t>)</w:t>
      </w:r>
      <w:r>
        <w:rPr>
          <w:rFonts w:hint="eastAsia"/>
        </w:rPr>
        <w:t>。</w:t>
      </w:r>
    </w:p>
    <w:p w:rsidR="00000000" w:rsidRDefault="00000000">
      <w:pPr>
        <w:pStyle w:val="Heading4"/>
      </w:pPr>
      <w:bookmarkStart w:id="25" w:name="_Toc139353450"/>
      <w:r>
        <w:rPr>
          <w:rFonts w:hint="eastAsia"/>
        </w:rPr>
        <w:t>廉政公署调查员</w:t>
      </w:r>
      <w:bookmarkEnd w:id="25"/>
    </w:p>
    <w:p w:rsidR="00000000" w:rsidRDefault="00000000">
      <w:pPr>
        <w:rPr>
          <w:rFonts w:hint="eastAsia"/>
        </w:rPr>
      </w:pPr>
      <w:r>
        <w:tab/>
        <w:t xml:space="preserve">151.  </w:t>
      </w:r>
      <w:r>
        <w:rPr>
          <w:rFonts w:hint="eastAsia"/>
        </w:rPr>
        <w:t>就廉政公署而言，</w:t>
      </w:r>
      <w:r>
        <w:rPr>
          <w:rFonts w:hint="eastAsia"/>
          <w:szCs w:val="21"/>
        </w:rPr>
        <w:t>调查员须完成廉政公署为拟入职务所提供的培训</w:t>
      </w:r>
      <w:r>
        <w:rPr>
          <w:rFonts w:hint="eastAsia"/>
          <w:szCs w:val="21"/>
        </w:rPr>
        <w:t>(</w:t>
      </w:r>
      <w:r>
        <w:rPr>
          <w:rFonts w:hint="eastAsia"/>
          <w:szCs w:val="21"/>
        </w:rPr>
        <w:t>第</w:t>
      </w:r>
      <w:r>
        <w:rPr>
          <w:szCs w:val="21"/>
        </w:rPr>
        <w:t>10/2000</w:t>
      </w:r>
      <w:r>
        <w:rPr>
          <w:rFonts w:hint="eastAsia"/>
          <w:szCs w:val="21"/>
        </w:rPr>
        <w:t>号法律</w:t>
      </w:r>
      <w:r>
        <w:rPr>
          <w:rFonts w:hint="eastAsia"/>
        </w:rPr>
        <w:t>第二十九条</w:t>
      </w:r>
      <w:r>
        <w:rPr>
          <w:rFonts w:hint="eastAsia"/>
          <w:szCs w:val="21"/>
        </w:rPr>
        <w:t>第三款</w:t>
      </w:r>
      <w:r>
        <w:rPr>
          <w:rFonts w:hint="eastAsia"/>
          <w:szCs w:val="21"/>
        </w:rPr>
        <w:t>)</w:t>
      </w:r>
      <w:r>
        <w:rPr>
          <w:rFonts w:hint="eastAsia"/>
          <w:szCs w:val="21"/>
        </w:rPr>
        <w:t>，有关培训包括理论及实践，其中有讲解澳门特别行政区法律制度的课程</w:t>
      </w:r>
      <w:r>
        <w:rPr>
          <w:rFonts w:hint="eastAsia"/>
          <w:szCs w:val="21"/>
        </w:rPr>
        <w:t>(</w:t>
      </w:r>
      <w:r>
        <w:rPr>
          <w:rFonts w:hint="eastAsia"/>
          <w:szCs w:val="21"/>
        </w:rPr>
        <w:t>如《基本法》</w:t>
      </w:r>
      <w:r>
        <w:rPr>
          <w:rFonts w:hint="eastAsia"/>
        </w:rPr>
        <w:t>、刑法、刑事诉讼法、《公共行政工作人员通则》等</w:t>
      </w:r>
      <w:r>
        <w:rPr>
          <w:rFonts w:hint="eastAsia"/>
          <w:szCs w:val="21"/>
        </w:rPr>
        <w:t>)</w:t>
      </w:r>
      <w:r>
        <w:rPr>
          <w:rFonts w:hint="eastAsia"/>
        </w:rPr>
        <w:t>、应遵守的职业道德、调查程序及方法等。调查程序及方法的培训，包括分析法律禁止的取证方法，尤其是诉诸酷刑及其纪律及刑事后果。调查人员定期接受有关调查方法及保护证人的培训。澳门特别行政区以外的有关刑事调查专业人员协助此类培训。</w:t>
      </w:r>
    </w:p>
    <w:p w:rsidR="00000000" w:rsidRDefault="00000000">
      <w:pPr>
        <w:spacing w:after="320"/>
      </w:pPr>
      <w:r>
        <w:tab/>
        <w:t xml:space="preserve">152.  </w:t>
      </w:r>
      <w:r>
        <w:rPr>
          <w:rFonts w:hint="eastAsia"/>
        </w:rPr>
        <w:t>第</w:t>
      </w:r>
      <w:r>
        <w:t>10/2000</w:t>
      </w:r>
      <w:r>
        <w:rPr>
          <w:rFonts w:hint="eastAsia"/>
        </w:rPr>
        <w:t>号法律规定，廉政公署在其职责范围内作出的行为及采取的措施，受刑事诉讼法的规定所约束</w:t>
      </w:r>
      <w:r>
        <w:rPr>
          <w:rFonts w:hint="eastAsia"/>
        </w:rPr>
        <w:t>(</w:t>
      </w:r>
      <w:r>
        <w:rPr>
          <w:rFonts w:hint="eastAsia"/>
        </w:rPr>
        <w:t>尤指取证须合乎法律规定</w:t>
      </w:r>
      <w:r>
        <w:rPr>
          <w:rFonts w:hint="eastAsia"/>
        </w:rPr>
        <w:t>)</w:t>
      </w:r>
      <w:r>
        <w:rPr>
          <w:rFonts w:hint="eastAsia"/>
        </w:rPr>
        <w:t>，以及在收集证据时，不得采取损害人之权利、自由、保障及正当利益的程序</w:t>
      </w:r>
      <w:r>
        <w:rPr>
          <w:rFonts w:hint="eastAsia"/>
        </w:rPr>
        <w:t>(</w:t>
      </w:r>
      <w:r>
        <w:rPr>
          <w:rFonts w:hint="eastAsia"/>
        </w:rPr>
        <w:t>第十一条第一款及第十二条第一款</w:t>
      </w:r>
      <w:r>
        <w:rPr>
          <w:rFonts w:hint="eastAsia"/>
        </w:rPr>
        <w:t>)</w:t>
      </w:r>
      <w:r>
        <w:rPr>
          <w:rFonts w:hint="eastAsia"/>
        </w:rPr>
        <w:t>。《澳门公共行政工作人员通则》补充适用于廉政公署的工作人员。此外，该公署制订了一系列内部指引，以作为受理投诉和调查行为的指导标准。</w:t>
      </w:r>
    </w:p>
    <w:p w:rsidR="00000000" w:rsidRDefault="00000000">
      <w:pPr>
        <w:pStyle w:val="Heading4"/>
      </w:pPr>
      <w:bookmarkStart w:id="26" w:name="_Toc139353451"/>
      <w:r>
        <w:rPr>
          <w:rFonts w:hint="eastAsia"/>
        </w:rPr>
        <w:t>医务人员</w:t>
      </w:r>
      <w:bookmarkEnd w:id="26"/>
    </w:p>
    <w:p w:rsidR="00000000" w:rsidRDefault="00000000">
      <w:pPr>
        <w:rPr>
          <w:rFonts w:hint="eastAsia"/>
        </w:rPr>
      </w:pPr>
      <w:r>
        <w:tab/>
        <w:t xml:space="preserve">153.  </w:t>
      </w:r>
      <w:r>
        <w:rPr>
          <w:rFonts w:hint="eastAsia"/>
        </w:rPr>
        <w:t>进入医生或护士职程须以完成专门课程及实习为前提，包括</w:t>
      </w:r>
      <w:r>
        <w:rPr>
          <w:rFonts w:hint="eastAsia"/>
          <w:szCs w:val="21"/>
        </w:rPr>
        <w:t>全科实习及专科培训</w:t>
      </w:r>
      <w:r>
        <w:rPr>
          <w:rFonts w:hint="eastAsia"/>
          <w:szCs w:val="21"/>
        </w:rPr>
        <w:t>(</w:t>
      </w:r>
      <w:r>
        <w:rPr>
          <w:rFonts w:hint="eastAsia"/>
        </w:rPr>
        <w:t>经九月二十一日第</w:t>
      </w:r>
      <w:r>
        <w:t>68/92/M</w:t>
      </w:r>
      <w:r>
        <w:rPr>
          <w:rFonts w:hint="eastAsia"/>
        </w:rPr>
        <w:t>号法令通过的《医生职程及职程前培训法律制度》</w:t>
      </w:r>
      <w:r>
        <w:rPr>
          <w:rFonts w:hint="eastAsia"/>
          <w:szCs w:val="21"/>
        </w:rPr>
        <w:t>)</w:t>
      </w:r>
      <w:r>
        <w:rPr>
          <w:rFonts w:hint="eastAsia"/>
          <w:szCs w:val="21"/>
        </w:rPr>
        <w:t>或护士课程及专科护士培训</w:t>
      </w:r>
      <w:r>
        <w:rPr>
          <w:rFonts w:hint="eastAsia"/>
          <w:szCs w:val="21"/>
        </w:rPr>
        <w:t>(</w:t>
      </w:r>
      <w:r>
        <w:rPr>
          <w:rFonts w:hint="eastAsia"/>
          <w:szCs w:val="21"/>
        </w:rPr>
        <w:t>经</w:t>
      </w:r>
      <w:r>
        <w:rPr>
          <w:rFonts w:hint="eastAsia"/>
        </w:rPr>
        <w:t>七月三十一日第</w:t>
      </w:r>
      <w:r>
        <w:rPr>
          <w:rFonts w:hint="eastAsia"/>
        </w:rPr>
        <w:t>9/95/M</w:t>
      </w:r>
      <w:r>
        <w:rPr>
          <w:rFonts w:hint="eastAsia"/>
        </w:rPr>
        <w:t>号法律设立的《护理职程制度》</w:t>
      </w:r>
      <w:r>
        <w:rPr>
          <w:rFonts w:hint="eastAsia"/>
        </w:rPr>
        <w:t>)</w:t>
      </w:r>
      <w:r>
        <w:rPr>
          <w:rFonts w:hint="eastAsia"/>
        </w:rPr>
        <w:t>。三年制全科护理高等专科学位课程内容包括</w:t>
      </w:r>
      <w:r>
        <w:rPr>
          <w:rFonts w:hint="eastAsia"/>
          <w:szCs w:val="21"/>
        </w:rPr>
        <w:t>护理伦理及法律</w:t>
      </w:r>
      <w:r>
        <w:rPr>
          <w:rFonts w:hint="eastAsia"/>
        </w:rPr>
        <w:t>(</w:t>
      </w:r>
      <w:r>
        <w:rPr>
          <w:rFonts w:hint="eastAsia"/>
        </w:rPr>
        <w:t>核准澳门理工学院高等卫生学校三年制全科护理高等专科学位课程新的学术与教学编排和学习计划的第</w:t>
      </w:r>
      <w:r>
        <w:t>60/2002</w:t>
      </w:r>
      <w:r>
        <w:rPr>
          <w:rFonts w:hint="eastAsia"/>
        </w:rPr>
        <w:t>号社会文化司司长批示附件二</w:t>
      </w:r>
      <w:r>
        <w:rPr>
          <w:rFonts w:hint="eastAsia"/>
        </w:rPr>
        <w:t>)</w:t>
      </w:r>
      <w:r>
        <w:rPr>
          <w:rFonts w:hint="eastAsia"/>
        </w:rPr>
        <w:t>。</w:t>
      </w:r>
    </w:p>
    <w:p w:rsidR="00000000" w:rsidRDefault="00000000">
      <w:pPr>
        <w:rPr>
          <w:rFonts w:hint="eastAsia"/>
        </w:rPr>
      </w:pPr>
      <w:r>
        <w:tab/>
        <w:t xml:space="preserve">154. </w:t>
      </w:r>
      <w:r>
        <w:rPr>
          <w:rFonts w:hint="eastAsia"/>
        </w:rPr>
        <w:t xml:space="preserve"> </w:t>
      </w:r>
      <w:r>
        <w:rPr>
          <w:rFonts w:hint="eastAsia"/>
        </w:rPr>
        <w:t>除了进入卫生专业人员职程和在该职程晋升须具备上述学历外，有关法规尚要求对该等人员进行延续性培训，第</w:t>
      </w:r>
      <w:r>
        <w:t>68/92/M</w:t>
      </w:r>
      <w:r>
        <w:rPr>
          <w:rFonts w:hint="eastAsia"/>
        </w:rPr>
        <w:t>号法令第六条第一款明确规定，延续性培训应包括传授其他专业知识</w:t>
      </w:r>
      <w:r>
        <w:rPr>
          <w:rFonts w:hint="eastAsia"/>
        </w:rPr>
        <w:t>(</w:t>
      </w:r>
      <w:r>
        <w:rPr>
          <w:rFonts w:hint="eastAsia"/>
        </w:rPr>
        <w:t>如法律有关医务及医生与病人之间的关系的规范</w:t>
      </w:r>
      <w:r>
        <w:rPr>
          <w:rFonts w:hint="eastAsia"/>
        </w:rPr>
        <w:t>)</w:t>
      </w:r>
      <w:r>
        <w:rPr>
          <w:rFonts w:hint="eastAsia"/>
        </w:rPr>
        <w:t>，因此，卫生局所组织的培训大纲及计划，其中不少间接地涉及对酷刑的禁止。尤其值得一提的是，儿科及初生婴儿科在二零零一年六月与法医部联合主办有关从医学角度审视虐待未成年人问题之研讨会。卫生局社会工作部的人员亦参与关于虐待妇女及儿童的多个研讨会。</w:t>
      </w:r>
    </w:p>
    <w:p w:rsidR="00000000" w:rsidRDefault="00000000">
      <w:pPr>
        <w:rPr>
          <w:rFonts w:hint="eastAsia"/>
        </w:rPr>
      </w:pPr>
      <w:r>
        <w:tab/>
        <w:t xml:space="preserve">155.  </w:t>
      </w:r>
      <w:r>
        <w:rPr>
          <w:rFonts w:hint="eastAsia"/>
        </w:rPr>
        <w:t>上述有关医生及护士职程的法规均禁止施行酷刑行为，要求医务人员</w:t>
      </w:r>
      <w:r>
        <w:rPr>
          <w:rFonts w:hint="eastAsia"/>
          <w:szCs w:val="21"/>
        </w:rPr>
        <w:t>在从事有关业务时负完全职责</w:t>
      </w:r>
      <w:r>
        <w:rPr>
          <w:rFonts w:hint="eastAsia"/>
          <w:szCs w:val="21"/>
        </w:rPr>
        <w:t>(</w:t>
      </w:r>
      <w:r>
        <w:rPr>
          <w:rFonts w:hint="eastAsia"/>
        </w:rPr>
        <w:t>第</w:t>
      </w:r>
      <w:r>
        <w:t>68/92/M</w:t>
      </w:r>
      <w:r>
        <w:rPr>
          <w:rFonts w:hint="eastAsia"/>
        </w:rPr>
        <w:t>号法令第五条第一款及第</w:t>
      </w:r>
      <w:r>
        <w:rPr>
          <w:rFonts w:hint="eastAsia"/>
        </w:rPr>
        <w:t>9/95/M</w:t>
      </w:r>
      <w:r>
        <w:rPr>
          <w:rFonts w:hint="eastAsia"/>
        </w:rPr>
        <w:t>号法律第三条第一款</w:t>
      </w:r>
      <w:r>
        <w:rPr>
          <w:rFonts w:hint="eastAsia"/>
        </w:rPr>
        <w:t>)</w:t>
      </w:r>
      <w:r>
        <w:rPr>
          <w:rFonts w:hint="eastAsia"/>
        </w:rPr>
        <w:t>。</w:t>
      </w:r>
      <w:r>
        <w:rPr>
          <w:rFonts w:hint="eastAsia"/>
          <w:szCs w:val="21"/>
        </w:rPr>
        <w:t>卫生职程人员亦受公务员制度管制</w:t>
      </w:r>
      <w:r>
        <w:rPr>
          <w:rFonts w:hint="eastAsia"/>
          <w:szCs w:val="21"/>
        </w:rPr>
        <w:t>(</w:t>
      </w:r>
      <w:r>
        <w:rPr>
          <w:rFonts w:hint="eastAsia"/>
        </w:rPr>
        <w:t>订定《卫生司特别职程制度》的八月十五日第</w:t>
      </w:r>
      <w:r>
        <w:rPr>
          <w:rFonts w:hint="eastAsia"/>
        </w:rPr>
        <w:t>22/88/M</w:t>
      </w:r>
      <w:r>
        <w:rPr>
          <w:rFonts w:hint="eastAsia"/>
        </w:rPr>
        <w:t>号法律第二条</w:t>
      </w:r>
      <w:r>
        <w:rPr>
          <w:rFonts w:hint="eastAsia"/>
        </w:rPr>
        <w:t>)</w:t>
      </w:r>
      <w:r>
        <w:rPr>
          <w:rFonts w:hint="eastAsia"/>
        </w:rPr>
        <w:t>，故该等人员应履行《澳门公共行政工作人员通则》规定的有礼义务。</w:t>
      </w:r>
    </w:p>
    <w:p w:rsidR="00000000" w:rsidRDefault="00000000">
      <w:pPr>
        <w:rPr>
          <w:rFonts w:hint="eastAsia"/>
        </w:rPr>
      </w:pPr>
      <w:r>
        <w:tab/>
        <w:t xml:space="preserve">156.  </w:t>
      </w:r>
      <w:r>
        <w:rPr>
          <w:rFonts w:hint="eastAsia"/>
        </w:rPr>
        <w:t>尚须强调的是，卫生局社会工作部在推动和协助</w:t>
      </w:r>
      <w:r>
        <w:rPr>
          <w:rFonts w:hint="eastAsia"/>
          <w:szCs w:val="21"/>
        </w:rPr>
        <w:t>卫生护理服务单位之运作条件人道化方面所起</w:t>
      </w:r>
      <w:r>
        <w:rPr>
          <w:rFonts w:hint="eastAsia"/>
        </w:rPr>
        <w:t>的作用</w:t>
      </w:r>
      <w:r>
        <w:rPr>
          <w:rFonts w:hint="eastAsia"/>
        </w:rPr>
        <w:t>(</w:t>
      </w:r>
      <w:r>
        <w:rPr>
          <w:rFonts w:hint="eastAsia"/>
        </w:rPr>
        <w:t>规范《重组澳门卫生司之组织结构》的十一月十五日第</w:t>
      </w:r>
      <w:r>
        <w:t>81/99/M</w:t>
      </w:r>
      <w:r>
        <w:rPr>
          <w:rFonts w:hint="eastAsia"/>
        </w:rPr>
        <w:t>号法令第四十一条</w:t>
      </w:r>
      <w:r>
        <w:rPr>
          <w:rFonts w:hint="eastAsia"/>
          <w:szCs w:val="21"/>
        </w:rPr>
        <w:t>第一款</w:t>
      </w:r>
      <w:r>
        <w:rPr>
          <w:szCs w:val="21"/>
        </w:rPr>
        <w:t>c</w:t>
      </w:r>
      <w:r>
        <w:rPr>
          <w:rFonts w:hint="eastAsia"/>
          <w:szCs w:val="21"/>
        </w:rPr>
        <w:t>项</w:t>
      </w:r>
      <w:r>
        <w:rPr>
          <w:rFonts w:hint="eastAsia"/>
        </w:rPr>
        <w:t>)</w:t>
      </w:r>
      <w:r>
        <w:rPr>
          <w:rFonts w:hint="eastAsia"/>
        </w:rPr>
        <w:t>。社会工作部内部规章载有社工职业道德守则，其中规定尊重人之尊严及价值</w:t>
      </w:r>
      <w:r>
        <w:rPr>
          <w:rFonts w:hint="eastAsia"/>
        </w:rPr>
        <w:t>(</w:t>
      </w:r>
      <w:r>
        <w:rPr>
          <w:rFonts w:hint="eastAsia"/>
        </w:rPr>
        <w:t>第九条第二点第一项及第二项</w:t>
      </w:r>
      <w:r>
        <w:rPr>
          <w:rFonts w:hint="eastAsia"/>
        </w:rPr>
        <w:t>)</w:t>
      </w:r>
      <w:r>
        <w:rPr>
          <w:rFonts w:hint="eastAsia"/>
        </w:rPr>
        <w:t>。</w:t>
      </w:r>
    </w:p>
    <w:p w:rsidR="00000000" w:rsidRDefault="00000000">
      <w:pPr>
        <w:spacing w:after="160"/>
        <w:rPr>
          <w:rFonts w:hint="eastAsia"/>
        </w:rPr>
      </w:pPr>
      <w:r>
        <w:tab/>
        <w:t xml:space="preserve">157.  </w:t>
      </w:r>
      <w:r>
        <w:rPr>
          <w:rFonts w:hint="eastAsia"/>
        </w:rPr>
        <w:t>精神科受上述第</w:t>
      </w:r>
      <w:r>
        <w:t>31/99/M</w:t>
      </w:r>
      <w:r>
        <w:rPr>
          <w:rFonts w:hint="eastAsia"/>
        </w:rPr>
        <w:t>号法令规范，其中第四条第一款</w:t>
      </w:r>
      <w:r>
        <w:t>b</w:t>
      </w:r>
      <w:r>
        <w:rPr>
          <w:rFonts w:hint="eastAsia"/>
        </w:rPr>
        <w:t>项规定，精神紊乱患者在其个性及尊严获得到尊重的情况下，接受质素合适之监护及治疗。该部门的内部规章亦订有尊重病人尊严及权利之义务</w:t>
      </w:r>
      <w:r>
        <w:rPr>
          <w:rFonts w:hint="eastAsia"/>
        </w:rPr>
        <w:t>(</w:t>
      </w:r>
      <w:r>
        <w:rPr>
          <w:rFonts w:hint="eastAsia"/>
        </w:rPr>
        <w:t>第一点、第二点及第四点</w:t>
      </w:r>
      <w:r>
        <w:rPr>
          <w:rFonts w:hint="eastAsia"/>
        </w:rPr>
        <w:t>)</w:t>
      </w:r>
      <w:r>
        <w:rPr>
          <w:rFonts w:hint="eastAsia"/>
        </w:rPr>
        <w:t>。</w:t>
      </w:r>
    </w:p>
    <w:p w:rsidR="00000000" w:rsidRDefault="00000000">
      <w:pPr>
        <w:pStyle w:val="Heading4"/>
      </w:pPr>
      <w:bookmarkStart w:id="27" w:name="_Toc139353452"/>
      <w:r>
        <w:rPr>
          <w:rFonts w:hint="eastAsia"/>
        </w:rPr>
        <w:t>公共教学人员</w:t>
      </w:r>
      <w:bookmarkEnd w:id="27"/>
    </w:p>
    <w:p w:rsidR="00000000" w:rsidRDefault="00000000">
      <w:pPr>
        <w:rPr>
          <w:rFonts w:hint="eastAsia"/>
        </w:rPr>
      </w:pPr>
      <w:r>
        <w:rPr>
          <w:szCs w:val="21"/>
        </w:rPr>
        <w:tab/>
        <w:t xml:space="preserve">158.  </w:t>
      </w:r>
      <w:r>
        <w:rPr>
          <w:rFonts w:hint="eastAsia"/>
          <w:szCs w:val="21"/>
        </w:rPr>
        <w:t>九月二十二日第</w:t>
      </w:r>
      <w:r>
        <w:rPr>
          <w:szCs w:val="21"/>
        </w:rPr>
        <w:t>41/97/M</w:t>
      </w:r>
      <w:r>
        <w:rPr>
          <w:rFonts w:hint="eastAsia"/>
          <w:szCs w:val="21"/>
        </w:rPr>
        <w:t>号法令制定有关</w:t>
      </w:r>
      <w:r>
        <w:rPr>
          <w:rFonts w:hint="eastAsia"/>
        </w:rPr>
        <w:t>培训幼稚园及中小学教师的法律制度，规范该制度的协调、行政及辅助，以及职前培训、在职培训、延续培训及专门培训等，诸类培训均包括促进个人及其在社会的发展，目的之一在于培养</w:t>
      </w:r>
      <w:r>
        <w:rPr>
          <w:rFonts w:hint="eastAsia"/>
          <w:szCs w:val="21"/>
        </w:rPr>
        <w:t>教学人员职业操守</w:t>
      </w:r>
      <w:r>
        <w:rPr>
          <w:rFonts w:hint="eastAsia"/>
          <w:szCs w:val="21"/>
        </w:rPr>
        <w:t>(</w:t>
      </w:r>
      <w:r>
        <w:rPr>
          <w:rFonts w:hint="eastAsia"/>
          <w:szCs w:val="21"/>
        </w:rPr>
        <w:t>第四条至第十四条及第二十二条至第四十条</w:t>
      </w:r>
      <w:r>
        <w:rPr>
          <w:rFonts w:hint="eastAsia"/>
          <w:szCs w:val="21"/>
        </w:rPr>
        <w:t>)</w:t>
      </w:r>
      <w:r>
        <w:rPr>
          <w:rFonts w:hint="eastAsia"/>
          <w:szCs w:val="21"/>
        </w:rPr>
        <w:t>。</w:t>
      </w:r>
    </w:p>
    <w:p w:rsidR="00000000" w:rsidRDefault="00000000">
      <w:pPr>
        <w:rPr>
          <w:rFonts w:hint="eastAsia"/>
        </w:rPr>
      </w:pPr>
      <w:r>
        <w:tab/>
        <w:t xml:space="preserve">159.  </w:t>
      </w:r>
      <w:r>
        <w:rPr>
          <w:rFonts w:hint="eastAsia"/>
        </w:rPr>
        <w:t>十一月一日第</w:t>
      </w:r>
      <w:r>
        <w:t>67/99/M</w:t>
      </w:r>
      <w:r>
        <w:rPr>
          <w:rFonts w:hint="eastAsia"/>
        </w:rPr>
        <w:t>号法令核准《教育暨青年司教学人员通则》，其中引申教学人员有义务禁止酷刑，并规定教学人员致力建立及发展相互尊重之关系，特别系教学人员、学生、家长及非教学人员间之关系</w:t>
      </w:r>
      <w:r>
        <w:rPr>
          <w:rFonts w:hint="eastAsia"/>
        </w:rPr>
        <w:t>(</w:t>
      </w:r>
      <w:r>
        <w:rPr>
          <w:rFonts w:hint="eastAsia"/>
        </w:rPr>
        <w:t>第三条第二款</w:t>
      </w:r>
      <w:r>
        <w:t>c</w:t>
      </w:r>
      <w:r>
        <w:rPr>
          <w:rFonts w:hint="eastAsia"/>
        </w:rPr>
        <w:t>项</w:t>
      </w:r>
      <w:r>
        <w:rPr>
          <w:rFonts w:hint="eastAsia"/>
        </w:rPr>
        <w:t>)</w:t>
      </w:r>
      <w:r>
        <w:rPr>
          <w:rFonts w:hint="eastAsia"/>
        </w:rPr>
        <w:t>。有关《纳入公共学校网络之私立教育机构所实际担任职务之教学人员通则》的三月二十五日第</w:t>
      </w:r>
      <w:r>
        <w:t>15/96/M</w:t>
      </w:r>
      <w:r>
        <w:rPr>
          <w:rFonts w:hint="eastAsia"/>
        </w:rPr>
        <w:t>号法令亦规定类似义务，即建立及发展在教育领域互相尊重之关系</w:t>
      </w:r>
      <w:r>
        <w:rPr>
          <w:rFonts w:hint="eastAsia"/>
        </w:rPr>
        <w:t>(</w:t>
      </w:r>
      <w:r>
        <w:rPr>
          <w:rFonts w:hint="eastAsia"/>
        </w:rPr>
        <w:t>第四条第二款ｂ项</w:t>
      </w:r>
      <w:r>
        <w:rPr>
          <w:rFonts w:hint="eastAsia"/>
        </w:rPr>
        <w:t>)</w:t>
      </w:r>
      <w:r>
        <w:rPr>
          <w:rFonts w:hint="eastAsia"/>
        </w:rPr>
        <w:t>。</w:t>
      </w:r>
    </w:p>
    <w:p w:rsidR="00000000" w:rsidRDefault="00000000">
      <w:pPr>
        <w:spacing w:after="320"/>
        <w:rPr>
          <w:rFonts w:hint="eastAsia"/>
          <w:szCs w:val="21"/>
        </w:rPr>
      </w:pPr>
      <w:r>
        <w:tab/>
        <w:t xml:space="preserve">160.  </w:t>
      </w:r>
      <w:r>
        <w:rPr>
          <w:rFonts w:hint="eastAsia"/>
        </w:rPr>
        <w:t>十二月二日第</w:t>
      </w:r>
      <w:r>
        <w:t>46/SAAEJ/97</w:t>
      </w:r>
      <w:r>
        <w:rPr>
          <w:rFonts w:hint="eastAsia"/>
        </w:rPr>
        <w:t>号批示核准《官方教育机构之学生纪律制度》，所规定的一般原则之一为</w:t>
      </w:r>
      <w:r>
        <w:rPr>
          <w:rFonts w:hint="eastAsia"/>
          <w:szCs w:val="21"/>
        </w:rPr>
        <w:t>禁止使用有损学生精神、身体完整性及其个人尊严的惩罚。</w:t>
      </w:r>
    </w:p>
    <w:p w:rsidR="00000000" w:rsidRDefault="00000000">
      <w:pPr>
        <w:pStyle w:val="Heading3"/>
      </w:pPr>
      <w:bookmarkStart w:id="28" w:name="_Toc139353453"/>
      <w:r>
        <w:rPr>
          <w:rFonts w:hint="eastAsia"/>
        </w:rPr>
        <w:t>第</w:t>
      </w:r>
      <w:r>
        <w:t xml:space="preserve"> </w:t>
      </w:r>
      <w:r>
        <w:rPr>
          <w:rFonts w:hint="eastAsia"/>
        </w:rPr>
        <w:t>十一</w:t>
      </w:r>
      <w:r>
        <w:t xml:space="preserve"> </w:t>
      </w:r>
      <w:r>
        <w:rPr>
          <w:rFonts w:hint="eastAsia"/>
        </w:rPr>
        <w:t>条</w:t>
      </w:r>
      <w:bookmarkEnd w:id="28"/>
    </w:p>
    <w:p w:rsidR="00000000" w:rsidRDefault="00000000">
      <w:pPr>
        <w:rPr>
          <w:rFonts w:hint="eastAsia"/>
        </w:rPr>
      </w:pPr>
      <w:r>
        <w:tab/>
        <w:t xml:space="preserve">161.  </w:t>
      </w:r>
      <w:r>
        <w:rPr>
          <w:rFonts w:hint="eastAsia"/>
        </w:rPr>
        <w:t>对于监察讯问是否合法，首先是由刑警机关负责，具体做法包括在新的讯问室安装录像系统，以便监视询问的整个过程。在治安警察局内亦设录像系统，比如在值日官室</w:t>
      </w:r>
      <w:r>
        <w:rPr>
          <w:rFonts w:hint="eastAsia"/>
          <w:szCs w:val="21"/>
        </w:rPr>
        <w:t>、讯问室、接待室等</w:t>
      </w:r>
      <w:r>
        <w:rPr>
          <w:rFonts w:hint="eastAsia"/>
        </w:rPr>
        <w:t>。</w:t>
      </w:r>
    </w:p>
    <w:p w:rsidR="00000000" w:rsidRDefault="00000000">
      <w:pPr>
        <w:rPr>
          <w:rFonts w:hint="eastAsia"/>
        </w:rPr>
      </w:pPr>
      <w:r>
        <w:tab/>
        <w:t xml:space="preserve">162.  </w:t>
      </w:r>
      <w:r>
        <w:rPr>
          <w:rFonts w:hint="eastAsia"/>
        </w:rPr>
        <w:t>根据《司法组织纲要法》的规定，检察院有权限</w:t>
      </w:r>
      <w:r>
        <w:rPr>
          <w:rFonts w:hint="eastAsia"/>
          <w:szCs w:val="21"/>
        </w:rPr>
        <w:t>监察刑事警察机关在程序上的行为，甚至可</w:t>
      </w:r>
      <w:r>
        <w:rPr>
          <w:rFonts w:hint="eastAsia"/>
        </w:rPr>
        <w:t>依职权参与诉讼</w:t>
      </w:r>
      <w:r>
        <w:rPr>
          <w:rFonts w:hint="eastAsia"/>
        </w:rPr>
        <w:t>(</w:t>
      </w:r>
      <w:r>
        <w:rPr>
          <w:rFonts w:hint="eastAsia"/>
        </w:rPr>
        <w:t>第五十六条第二款</w:t>
      </w:r>
      <w:r>
        <w:rPr>
          <w:rFonts w:hint="eastAsia"/>
        </w:rPr>
        <w:t>(</w:t>
      </w:r>
      <w:r>
        <w:rPr>
          <w:rFonts w:hint="eastAsia"/>
        </w:rPr>
        <w:t>五</w:t>
      </w:r>
      <w:r>
        <w:rPr>
          <w:rFonts w:hint="eastAsia"/>
        </w:rPr>
        <w:t>)</w:t>
      </w:r>
      <w:r>
        <w:rPr>
          <w:rFonts w:hint="eastAsia"/>
        </w:rPr>
        <w:t>项及第五十九条</w:t>
      </w:r>
      <w:r>
        <w:rPr>
          <w:rFonts w:hint="eastAsia"/>
        </w:rPr>
        <w:t>)</w:t>
      </w:r>
      <w:r>
        <w:rPr>
          <w:rFonts w:hint="eastAsia"/>
        </w:rPr>
        <w:t>。</w:t>
      </w:r>
    </w:p>
    <w:p w:rsidR="00000000" w:rsidRDefault="00000000">
      <w:pPr>
        <w:rPr>
          <w:rFonts w:hint="eastAsia"/>
        </w:rPr>
      </w:pPr>
      <w:r>
        <w:tab/>
        <w:t xml:space="preserve">163. </w:t>
      </w:r>
      <w:r>
        <w:rPr>
          <w:rFonts w:hint="eastAsia"/>
        </w:rPr>
        <w:t xml:space="preserve"> </w:t>
      </w:r>
      <w:r>
        <w:rPr>
          <w:rFonts w:hint="eastAsia"/>
        </w:rPr>
        <w:t>廉政公署亦建立内部监察系统。廉政公署的调查员一般不单独与被调查的人、嫌犯或证人在一起，以便确保调查员之间互相监督。廉政公署的讯问室备有温度计、时钟及录像监视系统。此外，在非禁区域，同样亦设有录像系统，以观察受讯问的人在讯问开始前或之后身体条件及精神状况有无任何变化。</w:t>
      </w:r>
    </w:p>
    <w:p w:rsidR="00000000" w:rsidRDefault="00000000">
      <w:pPr>
        <w:rPr>
          <w:rFonts w:hint="eastAsia"/>
        </w:rPr>
      </w:pPr>
      <w:r>
        <w:tab/>
        <w:t xml:space="preserve">164.  </w:t>
      </w:r>
      <w:r>
        <w:rPr>
          <w:rFonts w:hint="eastAsia"/>
        </w:rPr>
        <w:t>上述内部监察制度受《刑法典》第二百三十七条有关检举之不作为</w:t>
      </w:r>
      <w:r>
        <w:t xml:space="preserve"> </w:t>
      </w:r>
      <w:r>
        <w:rPr>
          <w:rFonts w:hint="eastAsia"/>
        </w:rPr>
        <w:t>(</w:t>
      </w:r>
      <w:r>
        <w:rPr>
          <w:rFonts w:hint="eastAsia"/>
        </w:rPr>
        <w:t>针对上级</w:t>
      </w:r>
      <w:r>
        <w:rPr>
          <w:rFonts w:hint="eastAsia"/>
        </w:rPr>
        <w:t>)</w:t>
      </w:r>
      <w:r>
        <w:rPr>
          <w:rFonts w:hint="eastAsia"/>
        </w:rPr>
        <w:t>强制约束。</w:t>
      </w:r>
    </w:p>
    <w:p w:rsidR="00000000" w:rsidRDefault="00000000">
      <w:pPr>
        <w:rPr>
          <w:szCs w:val="21"/>
        </w:rPr>
      </w:pPr>
      <w:r>
        <w:rPr>
          <w:szCs w:val="21"/>
        </w:rPr>
        <w:tab/>
        <w:t xml:space="preserve">165. </w:t>
      </w:r>
      <w:r>
        <w:rPr>
          <w:rFonts w:hint="eastAsia"/>
          <w:szCs w:val="21"/>
        </w:rPr>
        <w:t xml:space="preserve"> </w:t>
      </w:r>
      <w:r>
        <w:rPr>
          <w:rFonts w:hint="eastAsia"/>
          <w:szCs w:val="21"/>
        </w:rPr>
        <w:t>就审核拘留是否合法，是在将被拘留人交予刑事预审法官时进行，如前所述，此举必须于拘留后四十八小时内为之。另外，就强制性入住公共卫生场所及维持强制性住院之临时决定，亦须于七十二小时内交由法官确认</w:t>
      </w:r>
      <w:r>
        <w:rPr>
          <w:rFonts w:hint="eastAsia"/>
          <w:szCs w:val="21"/>
        </w:rPr>
        <w:t>(</w:t>
      </w:r>
      <w:r>
        <w:rPr>
          <w:rFonts w:hint="eastAsia"/>
          <w:szCs w:val="21"/>
        </w:rPr>
        <w:t>第</w:t>
      </w:r>
      <w:r>
        <w:rPr>
          <w:szCs w:val="21"/>
        </w:rPr>
        <w:t>31/99/M</w:t>
      </w:r>
      <w:r>
        <w:rPr>
          <w:rFonts w:hint="eastAsia"/>
          <w:szCs w:val="21"/>
        </w:rPr>
        <w:t>号法令</w:t>
      </w:r>
      <w:r>
        <w:rPr>
          <w:rFonts w:hint="eastAsia"/>
        </w:rPr>
        <w:t>第十二条第三款及第十四条</w:t>
      </w:r>
      <w:r>
        <w:rPr>
          <w:rFonts w:hint="eastAsia"/>
        </w:rPr>
        <w:t>)</w:t>
      </w:r>
      <w:r>
        <w:rPr>
          <w:rFonts w:hint="eastAsia"/>
        </w:rPr>
        <w:t>。法官尚根据未成年人</w:t>
      </w:r>
      <w:r>
        <w:rPr>
          <w:rFonts w:hint="eastAsia"/>
          <w:spacing w:val="18"/>
        </w:rPr>
        <w:t>司法管辖范围内教育制度及社会保护制度的规定审查有关行为是否合</w:t>
      </w:r>
      <w:r>
        <w:rPr>
          <w:rFonts w:hint="eastAsia"/>
        </w:rPr>
        <w:t>法；在刑事警察机关将未成年人送交法官时，法官亦审视这一做法及其之前所采取的措施是否合法</w:t>
      </w:r>
      <w:r>
        <w:rPr>
          <w:rFonts w:hint="eastAsia"/>
        </w:rPr>
        <w:t>(</w:t>
      </w:r>
      <w:r>
        <w:rPr>
          <w:rFonts w:hint="eastAsia"/>
        </w:rPr>
        <w:t>第</w:t>
      </w:r>
      <w:r>
        <w:t>65/99/M</w:t>
      </w:r>
      <w:r>
        <w:rPr>
          <w:rFonts w:hint="eastAsia"/>
        </w:rPr>
        <w:t>号法令第二十四条第一款、第二款及第七十七条第一款</w:t>
      </w:r>
      <w:r>
        <w:rPr>
          <w:rFonts w:hint="eastAsia"/>
        </w:rPr>
        <w:t>)</w:t>
      </w:r>
      <w:r>
        <w:rPr>
          <w:rFonts w:hint="eastAsia"/>
          <w:szCs w:val="21"/>
        </w:rPr>
        <w:t>。</w:t>
      </w:r>
    </w:p>
    <w:p w:rsidR="00000000" w:rsidRDefault="00000000">
      <w:pPr>
        <w:rPr>
          <w:rFonts w:hint="eastAsia"/>
          <w:szCs w:val="21"/>
        </w:rPr>
      </w:pPr>
      <w:r>
        <w:rPr>
          <w:szCs w:val="21"/>
        </w:rPr>
        <w:tab/>
        <w:t xml:space="preserve">166. </w:t>
      </w:r>
      <w:r>
        <w:rPr>
          <w:rFonts w:hint="eastAsia"/>
        </w:rPr>
        <w:t xml:space="preserve"> </w:t>
      </w:r>
      <w:r>
        <w:rPr>
          <w:rFonts w:hint="eastAsia"/>
          <w:szCs w:val="21"/>
        </w:rPr>
        <w:t>如前所述，初级法院</w:t>
      </w:r>
      <w:r>
        <w:rPr>
          <w:rFonts w:hint="eastAsia"/>
        </w:rPr>
        <w:t>刑事起诉法庭就执行徒刑</w:t>
      </w:r>
      <w:r>
        <w:rPr>
          <w:rFonts w:hint="eastAsia"/>
          <w:szCs w:val="21"/>
        </w:rPr>
        <w:t>、</w:t>
      </w:r>
      <w:r>
        <w:rPr>
          <w:rFonts w:hint="eastAsia"/>
        </w:rPr>
        <w:t>收容保安处分及审理被囚禁者之投诉具有管辖权，此外，每月</w:t>
      </w:r>
      <w:r>
        <w:rPr>
          <w:rFonts w:hint="eastAsia"/>
          <w:szCs w:val="21"/>
        </w:rPr>
        <w:t>至少</w:t>
      </w:r>
      <w:r>
        <w:rPr>
          <w:rFonts w:hint="eastAsia"/>
        </w:rPr>
        <w:t>巡视监狱场所一次，以核实</w:t>
      </w:r>
      <w:r>
        <w:rPr>
          <w:rFonts w:hint="eastAsia"/>
          <w:szCs w:val="21"/>
        </w:rPr>
        <w:t>羁押或判刑是否按法律规定执行，有关</w:t>
      </w:r>
      <w:r>
        <w:rPr>
          <w:rFonts w:hint="eastAsia"/>
        </w:rPr>
        <w:t>徒刑及收容保安处分之执行之司法介入系根据上述第</w:t>
      </w:r>
      <w:r>
        <w:t>86/99/M</w:t>
      </w:r>
      <w:r>
        <w:rPr>
          <w:rFonts w:hint="eastAsia"/>
        </w:rPr>
        <w:t>号法令规定的制度进行</w:t>
      </w:r>
      <w:r>
        <w:rPr>
          <w:rFonts w:hint="eastAsia"/>
          <w:szCs w:val="21"/>
        </w:rPr>
        <w:t>。</w:t>
      </w:r>
    </w:p>
    <w:p w:rsidR="00000000" w:rsidRDefault="00000000">
      <w:pPr>
        <w:spacing w:after="160"/>
      </w:pPr>
      <w:r>
        <w:rPr>
          <w:szCs w:val="21"/>
        </w:rPr>
        <w:tab/>
        <w:t xml:space="preserve">167. </w:t>
      </w:r>
      <w:r>
        <w:t xml:space="preserve"> </w:t>
      </w:r>
      <w:r>
        <w:rPr>
          <w:rFonts w:hint="eastAsia"/>
        </w:rPr>
        <w:t>同样，未成年人司法管辖范围内之教育制度及社会保护制度亦规定司法介入该两种制度分别采用的有关措施之执行。第</w:t>
      </w:r>
      <w:r>
        <w:t>86/99/M</w:t>
      </w:r>
      <w:r>
        <w:rPr>
          <w:rFonts w:hint="eastAsia"/>
        </w:rPr>
        <w:t>号法令的规定适用于这两种情况。</w:t>
      </w:r>
    </w:p>
    <w:p w:rsidR="00000000" w:rsidRDefault="00000000">
      <w:pPr>
        <w:pStyle w:val="Heading3"/>
      </w:pPr>
      <w:bookmarkStart w:id="29" w:name="_Toc139353454"/>
      <w:r>
        <w:rPr>
          <w:rFonts w:hint="eastAsia"/>
        </w:rPr>
        <w:t>第</w:t>
      </w:r>
      <w:r>
        <w:t xml:space="preserve"> </w:t>
      </w:r>
      <w:r>
        <w:rPr>
          <w:rFonts w:hint="eastAsia"/>
        </w:rPr>
        <w:t>十二</w:t>
      </w:r>
      <w:r>
        <w:t xml:space="preserve"> </w:t>
      </w:r>
      <w:r>
        <w:rPr>
          <w:rFonts w:hint="eastAsia"/>
        </w:rPr>
        <w:t>条</w:t>
      </w:r>
      <w:bookmarkEnd w:id="29"/>
    </w:p>
    <w:p w:rsidR="00000000" w:rsidRDefault="00000000">
      <w:pPr>
        <w:rPr>
          <w:rFonts w:hint="eastAsia"/>
        </w:rPr>
      </w:pPr>
      <w:r>
        <w:rPr>
          <w:szCs w:val="21"/>
        </w:rPr>
        <w:tab/>
        <w:t xml:space="preserve">168. </w:t>
      </w:r>
      <w:r>
        <w:t xml:space="preserve"> </w:t>
      </w:r>
      <w:r>
        <w:rPr>
          <w:rFonts w:hint="eastAsia"/>
        </w:rPr>
        <w:t>前面已提及，酷刑及其他残忍、有辱人格或不人道之待遇罪及其加重情节，以及其他包括这类行为的犯罪之刑事诉讼，均不取决于告诉或自诉而起始，一旦获有犯罪消息，检察院必须展开侦查</w:t>
      </w:r>
      <w:r>
        <w:rPr>
          <w:rFonts w:hint="eastAsia"/>
        </w:rPr>
        <w:t>(</w:t>
      </w:r>
      <w:r>
        <w:rPr>
          <w:rFonts w:hint="eastAsia"/>
        </w:rPr>
        <w:t>《刑事诉讼法典》第二百四十五条第二款</w:t>
      </w:r>
      <w:r>
        <w:rPr>
          <w:rFonts w:hint="eastAsia"/>
        </w:rPr>
        <w:t>)</w:t>
      </w:r>
      <w:r>
        <w:rPr>
          <w:rFonts w:hint="eastAsia"/>
        </w:rPr>
        <w:t>。</w:t>
      </w:r>
    </w:p>
    <w:p w:rsidR="00000000" w:rsidRDefault="00000000">
      <w:pPr>
        <w:rPr>
          <w:rFonts w:hint="eastAsia"/>
        </w:rPr>
      </w:pPr>
      <w:r>
        <w:rPr>
          <w:szCs w:val="21"/>
        </w:rPr>
        <w:tab/>
        <w:t xml:space="preserve">169. </w:t>
      </w:r>
      <w:r>
        <w:rPr>
          <w:rFonts w:hint="eastAsia"/>
          <w:szCs w:val="21"/>
        </w:rPr>
        <w:t>《刑事诉讼法典》规定，</w:t>
      </w:r>
      <w:r>
        <w:rPr>
          <w:rFonts w:hint="eastAsia"/>
        </w:rPr>
        <w:t>检察院自行获悉犯罪消息，又或透过刑事警察机关或藉检举取得犯罪消息</w:t>
      </w:r>
      <w:r>
        <w:rPr>
          <w:rFonts w:hint="eastAsia"/>
        </w:rPr>
        <w:t>(</w:t>
      </w:r>
      <w:r>
        <w:rPr>
          <w:rFonts w:hint="eastAsia"/>
        </w:rPr>
        <w:t>第二百二十四条</w:t>
      </w:r>
      <w:r>
        <w:rPr>
          <w:rFonts w:hint="eastAsia"/>
        </w:rPr>
        <w:t>)</w:t>
      </w:r>
      <w:r>
        <w:rPr>
          <w:rFonts w:hint="eastAsia"/>
        </w:rPr>
        <w:t>。有检举义务的包括警察实体、公务员或担任等同公职职务者，检举在执行其职务时或因其职务而获悉之犯罪</w:t>
      </w:r>
      <w:r>
        <w:rPr>
          <w:rFonts w:hint="eastAsia"/>
        </w:rPr>
        <w:t>(</w:t>
      </w:r>
      <w:r>
        <w:rPr>
          <w:rFonts w:hint="eastAsia"/>
        </w:rPr>
        <w:t>第二百二十五条第一款</w:t>
      </w:r>
      <w:r>
        <w:rPr>
          <w:rFonts w:hint="eastAsia"/>
        </w:rPr>
        <w:t>)</w:t>
      </w:r>
      <w:r>
        <w:rPr>
          <w:rFonts w:hint="eastAsia"/>
        </w:rPr>
        <w:t>。</w:t>
      </w:r>
    </w:p>
    <w:p w:rsidR="00000000" w:rsidRDefault="00000000">
      <w:pPr>
        <w:rPr>
          <w:rFonts w:hint="eastAsia"/>
        </w:rPr>
      </w:pPr>
      <w:r>
        <w:rPr>
          <w:szCs w:val="21"/>
        </w:rPr>
        <w:tab/>
        <w:t xml:space="preserve">170.  </w:t>
      </w:r>
      <w:r>
        <w:rPr>
          <w:rFonts w:hint="eastAsia"/>
        </w:rPr>
        <w:t>侦查系指为调查犯罪是否存在、确定其行为人及行为人之责任，以及发现及收集证据，以便就是否提出控诉作出决定而采取之一切措施之总体</w:t>
      </w:r>
      <w:r>
        <w:rPr>
          <w:rFonts w:hint="eastAsia"/>
        </w:rPr>
        <w:t>(</w:t>
      </w:r>
      <w:r>
        <w:rPr>
          <w:rFonts w:hint="eastAsia"/>
        </w:rPr>
        <w:t>《刑事诉讼法典》第二百四十五条第一款</w:t>
      </w:r>
      <w:r>
        <w:rPr>
          <w:rFonts w:hint="eastAsia"/>
        </w:rPr>
        <w:t>)</w:t>
      </w:r>
      <w:r>
        <w:rPr>
          <w:rFonts w:hint="eastAsia"/>
        </w:rPr>
        <w:t>。</w:t>
      </w:r>
    </w:p>
    <w:p w:rsidR="00000000" w:rsidRDefault="00000000">
      <w:pPr>
        <w:rPr>
          <w:rFonts w:hint="eastAsia"/>
        </w:rPr>
      </w:pPr>
      <w:r>
        <w:rPr>
          <w:szCs w:val="21"/>
        </w:rPr>
        <w:tab/>
        <w:t xml:space="preserve">171.  </w:t>
      </w:r>
      <w:r>
        <w:rPr>
          <w:rFonts w:hint="eastAsia"/>
        </w:rPr>
        <w:t>侦查系由刑事警察机关在检察院直接指引，且在职务上从属检察院下进行。检察院除了法律规定的例外情况外，可授权该等机关进行侦查，预审法官亦参与该阶段的工作，法律明文规定仅预审法官可作出命令或许可的行为，比如采用强制性措施、进行住所搜索、扣押函件等</w:t>
      </w:r>
      <w:r>
        <w:rPr>
          <w:rFonts w:hint="eastAsia"/>
        </w:rPr>
        <w:t>(</w:t>
      </w:r>
      <w:r>
        <w:rPr>
          <w:rFonts w:hint="eastAsia"/>
        </w:rPr>
        <w:t>《刑事诉讼法典》第二百四十六条、第二百五十条至第二百五十二条</w:t>
      </w:r>
      <w:r>
        <w:rPr>
          <w:rFonts w:hint="eastAsia"/>
        </w:rPr>
        <w:t>)</w:t>
      </w:r>
      <w:r>
        <w:rPr>
          <w:rFonts w:hint="eastAsia"/>
        </w:rPr>
        <w:t>。</w:t>
      </w:r>
    </w:p>
    <w:p w:rsidR="00000000" w:rsidRDefault="00000000">
      <w:pPr>
        <w:rPr>
          <w:rFonts w:hint="eastAsia"/>
        </w:rPr>
      </w:pPr>
      <w:r>
        <w:rPr>
          <w:szCs w:val="21"/>
        </w:rPr>
        <w:tab/>
        <w:t xml:space="preserve">172. </w:t>
      </w:r>
      <w:r>
        <w:t xml:space="preserve"> </w:t>
      </w:r>
      <w:r>
        <w:rPr>
          <w:rFonts w:hint="eastAsia"/>
        </w:rPr>
        <w:t>侦查的持续期为六个月至八个月，如侦查期间收集到充分迹象，显示有犯罪发生及何人为犯罪行为人，则检察院须对该人提出控诉</w:t>
      </w:r>
      <w:r>
        <w:rPr>
          <w:rFonts w:hint="eastAsia"/>
        </w:rPr>
        <w:t>(</w:t>
      </w:r>
      <w:r>
        <w:rPr>
          <w:rFonts w:hint="eastAsia"/>
        </w:rPr>
        <w:t>《刑事诉讼法典》第二百五十八条第一款、第二款及第二百六十五条</w:t>
      </w:r>
      <w:r>
        <w:rPr>
          <w:rFonts w:hint="eastAsia"/>
        </w:rPr>
        <w:t>)</w:t>
      </w:r>
      <w:r>
        <w:rPr>
          <w:rFonts w:hint="eastAsia"/>
        </w:rPr>
        <w:t>。</w:t>
      </w:r>
    </w:p>
    <w:p w:rsidR="00000000" w:rsidRDefault="00000000">
      <w:pPr>
        <w:rPr>
          <w:rFonts w:hint="eastAsia"/>
        </w:rPr>
      </w:pPr>
      <w:r>
        <w:tab/>
        <w:t xml:space="preserve">173.  </w:t>
      </w:r>
      <w:r>
        <w:rPr>
          <w:rFonts w:hint="eastAsia"/>
        </w:rPr>
        <w:t>从另一角度观之，公务员及服务人员须对本身作出之违纪行为负纪律责任，一旦获悉公务员或服务人员作出违纪行为，包括施行酷刑，应提起有关纪律程序</w:t>
      </w:r>
      <w:r>
        <w:rPr>
          <w:rFonts w:hint="eastAsia"/>
        </w:rPr>
        <w:t>(</w:t>
      </w:r>
      <w:r>
        <w:rPr>
          <w:rFonts w:hint="eastAsia"/>
        </w:rPr>
        <w:t>《澳门公共行政工作人员通则》第二百八十条第一款及第二百九十条第二款</w:t>
      </w:r>
      <w:r>
        <w:rPr>
          <w:rFonts w:hint="eastAsia"/>
        </w:rPr>
        <w:t>)</w:t>
      </w:r>
      <w:r>
        <w:rPr>
          <w:rFonts w:hint="eastAsia"/>
        </w:rPr>
        <w:t>。</w:t>
      </w:r>
    </w:p>
    <w:p w:rsidR="00000000" w:rsidRDefault="00000000">
      <w:pPr>
        <w:rPr>
          <w:rFonts w:hint="eastAsia"/>
        </w:rPr>
      </w:pPr>
      <w:r>
        <w:tab/>
        <w:t xml:space="preserve">174.  </w:t>
      </w:r>
      <w:r>
        <w:rPr>
          <w:rFonts w:hint="eastAsia"/>
        </w:rPr>
        <w:t>任何人获悉公务员或服务人员作出违纪行为，得向该公务员或服务人员之任一上级举报，公务员或服务人员则有义务举报所获悉之违纪行为</w:t>
      </w:r>
      <w:r>
        <w:rPr>
          <w:rFonts w:hint="eastAsia"/>
        </w:rPr>
        <w:t>(</w:t>
      </w:r>
      <w:r>
        <w:rPr>
          <w:rFonts w:hint="eastAsia"/>
        </w:rPr>
        <w:t>《澳门公共行政工作人员通则》第二百九十条第一款</w:t>
      </w:r>
      <w:r>
        <w:rPr>
          <w:rFonts w:hint="eastAsia"/>
        </w:rPr>
        <w:t>)</w:t>
      </w:r>
      <w:r>
        <w:rPr>
          <w:rFonts w:hint="eastAsia"/>
        </w:rPr>
        <w:t>。</w:t>
      </w:r>
    </w:p>
    <w:p w:rsidR="00000000" w:rsidRDefault="00000000">
      <w:r>
        <w:tab/>
        <w:t xml:space="preserve">175.  </w:t>
      </w:r>
      <w:r>
        <w:rPr>
          <w:rFonts w:hint="eastAsia"/>
        </w:rPr>
        <w:t>违纪者作出违纪行为时所属部门之负责实体有权限提起纪律程序，并一般负责作出裁定</w:t>
      </w:r>
      <w:r>
        <w:t xml:space="preserve"> </w:t>
      </w:r>
      <w:r>
        <w:rPr>
          <w:rFonts w:hint="eastAsia"/>
        </w:rPr>
        <w:t>(</w:t>
      </w:r>
      <w:r>
        <w:rPr>
          <w:rFonts w:hint="eastAsia"/>
        </w:rPr>
        <w:t>《澳门公共行政工作人员通则》第三百一十八条第二款</w:t>
      </w:r>
      <w:r>
        <w:rPr>
          <w:rFonts w:hint="eastAsia"/>
        </w:rPr>
        <w:t>)</w:t>
      </w:r>
      <w:r>
        <w:rPr>
          <w:rFonts w:hint="eastAsia"/>
        </w:rPr>
        <w:t>。</w:t>
      </w:r>
    </w:p>
    <w:p w:rsidR="00000000" w:rsidRDefault="00000000">
      <w:pPr>
        <w:rPr>
          <w:rFonts w:hint="eastAsia"/>
        </w:rPr>
      </w:pPr>
      <w:r>
        <w:tab/>
        <w:t xml:space="preserve">176. </w:t>
      </w:r>
      <w:r>
        <w:rPr>
          <w:rFonts w:hint="eastAsia"/>
        </w:rPr>
        <w:t xml:space="preserve"> </w:t>
      </w:r>
      <w:r>
        <w:rPr>
          <w:rFonts w:hint="eastAsia"/>
        </w:rPr>
        <w:t>纪律程序独立于刑事程序。如在纪律程序中查出存在根据刑法亦可科处刑罚之事实，须通知有管辖权之法院，以便提起有关程序</w:t>
      </w:r>
      <w:r>
        <w:rPr>
          <w:rFonts w:hint="eastAsia"/>
        </w:rPr>
        <w:t>(</w:t>
      </w:r>
      <w:r>
        <w:rPr>
          <w:rFonts w:hint="eastAsia"/>
        </w:rPr>
        <w:t>《澳门公共行政工作人员通则》第二百八十七条第一款及第二款</w:t>
      </w:r>
      <w:r>
        <w:rPr>
          <w:rFonts w:hint="eastAsia"/>
        </w:rPr>
        <w:t>)</w:t>
      </w:r>
      <w:r>
        <w:rPr>
          <w:rFonts w:hint="eastAsia"/>
        </w:rPr>
        <w:t>。</w:t>
      </w:r>
    </w:p>
    <w:p w:rsidR="00000000" w:rsidRDefault="00000000">
      <w:pPr>
        <w:rPr>
          <w:rFonts w:hint="eastAsia"/>
        </w:rPr>
      </w:pPr>
      <w:r>
        <w:tab/>
        <w:t xml:space="preserve">177. </w:t>
      </w:r>
      <w:r>
        <w:rPr>
          <w:rFonts w:hint="eastAsia"/>
        </w:rPr>
        <w:t xml:space="preserve"> </w:t>
      </w:r>
      <w:r>
        <w:rPr>
          <w:rFonts w:hint="eastAsia"/>
        </w:rPr>
        <w:t>在刑事诉讼程序中针对公务员或服务人员之起诉批示或同类批示，一经确定后，应通知嫌疑人所属部门。另外，因任何犯罪而对公务员或服务人员判罪之判决，一经确定后，导致提起纪律程序，该程序须针对在判决中已证实但未作为已提起之纪律程序之标的之一切事实</w:t>
      </w:r>
      <w:r>
        <w:rPr>
          <w:rFonts w:hint="eastAsia"/>
        </w:rPr>
        <w:t>(</w:t>
      </w:r>
      <w:r>
        <w:rPr>
          <w:rFonts w:hint="eastAsia"/>
        </w:rPr>
        <w:t>《澳门公共行政工作人员通则》第二百八十七条第三款及第二百八十八条第一款</w:t>
      </w:r>
      <w:r>
        <w:rPr>
          <w:rFonts w:hint="eastAsia"/>
        </w:rPr>
        <w:t>)</w:t>
      </w:r>
      <w:r>
        <w:rPr>
          <w:rFonts w:hint="eastAsia"/>
        </w:rPr>
        <w:t>。</w:t>
      </w:r>
    </w:p>
    <w:p w:rsidR="00000000" w:rsidRDefault="00000000">
      <w:pPr>
        <w:spacing w:after="320"/>
        <w:rPr>
          <w:rFonts w:hint="eastAsia"/>
        </w:rPr>
      </w:pPr>
      <w:r>
        <w:tab/>
        <w:t xml:space="preserve">178.  </w:t>
      </w:r>
      <w:r>
        <w:rPr>
          <w:rFonts w:hint="eastAsia"/>
        </w:rPr>
        <w:t>《澳门公共行政工作人员通则》规定的纪律制度适用于上述公共实体及部门，尽管在某些情况下为补充性适用。</w:t>
      </w:r>
    </w:p>
    <w:p w:rsidR="00000000" w:rsidRDefault="00000000">
      <w:pPr>
        <w:pStyle w:val="Heading3"/>
      </w:pPr>
      <w:bookmarkStart w:id="30" w:name="_Toc139353455"/>
      <w:r>
        <w:rPr>
          <w:rFonts w:hint="eastAsia"/>
        </w:rPr>
        <w:t>第</w:t>
      </w:r>
      <w:r>
        <w:t xml:space="preserve"> </w:t>
      </w:r>
      <w:r>
        <w:rPr>
          <w:rFonts w:hint="eastAsia"/>
        </w:rPr>
        <w:t>十三</w:t>
      </w:r>
      <w:r>
        <w:t xml:space="preserve"> </w:t>
      </w:r>
      <w:r>
        <w:rPr>
          <w:rFonts w:hint="eastAsia"/>
        </w:rPr>
        <w:t>条</w:t>
      </w:r>
      <w:bookmarkEnd w:id="30"/>
    </w:p>
    <w:p w:rsidR="00000000" w:rsidRDefault="00000000">
      <w:r>
        <w:tab/>
        <w:t xml:space="preserve">179.  </w:t>
      </w:r>
      <w:r>
        <w:rPr>
          <w:rFonts w:hint="eastAsia"/>
        </w:rPr>
        <w:t>《基本法》第三十六条第一款规定：“</w:t>
      </w:r>
      <w:r>
        <w:rPr>
          <w:rFonts w:hint="eastAsia"/>
          <w:i/>
          <w:iCs/>
        </w:rPr>
        <w:t>澳门居民有权诉诸法律，向法院提起诉讼，得到律师的帮助以保护自己的合法权益，以及获得司法补救</w:t>
      </w:r>
      <w:r>
        <w:rPr>
          <w:rFonts w:hint="eastAsia"/>
        </w:rPr>
        <w:t>”。同条第二款又规定：“</w:t>
      </w:r>
      <w:r>
        <w:rPr>
          <w:rFonts w:hint="eastAsia"/>
          <w:i/>
          <w:iCs/>
        </w:rPr>
        <w:t>澳门居民有权对行政部门和行政人员的行为向法院提起诉讼</w:t>
      </w:r>
      <w:r>
        <w:rPr>
          <w:rFonts w:hint="eastAsia"/>
        </w:rPr>
        <w:t>”。</w:t>
      </w:r>
    </w:p>
    <w:p w:rsidR="00000000" w:rsidRDefault="00000000">
      <w:pPr>
        <w:rPr>
          <w:rFonts w:hint="eastAsia"/>
        </w:rPr>
      </w:pPr>
      <w:r>
        <w:tab/>
        <w:t xml:space="preserve">180. </w:t>
      </w:r>
      <w:r>
        <w:rPr>
          <w:rFonts w:hint="eastAsia"/>
        </w:rPr>
        <w:t>《基本法》还规定，澳门居民有权向行政长官及立法会提出申诉〔第五十条</w:t>
      </w:r>
      <w:r>
        <w:rPr>
          <w:rFonts w:hint="eastAsia"/>
        </w:rPr>
        <w:t>(</w:t>
      </w:r>
      <w:r>
        <w:rPr>
          <w:rFonts w:hint="eastAsia"/>
        </w:rPr>
        <w:t>十八</w:t>
      </w:r>
      <w:r>
        <w:rPr>
          <w:rFonts w:hint="eastAsia"/>
        </w:rPr>
        <w:t>)</w:t>
      </w:r>
      <w:r>
        <w:rPr>
          <w:rFonts w:hint="eastAsia"/>
        </w:rPr>
        <w:t>项及第七十一条</w:t>
      </w:r>
      <w:r>
        <w:rPr>
          <w:rFonts w:hint="eastAsia"/>
        </w:rPr>
        <w:t>(</w:t>
      </w:r>
      <w:r>
        <w:rPr>
          <w:rFonts w:hint="eastAsia"/>
        </w:rPr>
        <w:t>六</w:t>
      </w:r>
      <w:r>
        <w:rPr>
          <w:rFonts w:hint="eastAsia"/>
        </w:rPr>
        <w:t>)</w:t>
      </w:r>
      <w:r>
        <w:rPr>
          <w:rFonts w:hint="eastAsia"/>
        </w:rPr>
        <w:t>项〕。</w:t>
      </w:r>
    </w:p>
    <w:p w:rsidR="00000000" w:rsidRDefault="00000000">
      <w:pPr>
        <w:rPr>
          <w:rFonts w:hint="eastAsia"/>
        </w:rPr>
      </w:pPr>
      <w:r>
        <w:tab/>
        <w:t xml:space="preserve">181.  </w:t>
      </w:r>
      <w:r>
        <w:rPr>
          <w:rFonts w:hint="eastAsia"/>
        </w:rPr>
        <w:t>须提及的是，非为澳门特别行政区居民的人亦享有澳门居民的基本权利</w:t>
      </w:r>
      <w:r>
        <w:rPr>
          <w:rFonts w:hint="eastAsia"/>
        </w:rPr>
        <w:t>(</w:t>
      </w:r>
      <w:r>
        <w:rPr>
          <w:rFonts w:hint="eastAsia"/>
        </w:rPr>
        <w:t>《基本法》第四十三条</w:t>
      </w:r>
      <w:r>
        <w:rPr>
          <w:rFonts w:hint="eastAsia"/>
        </w:rPr>
        <w:t>)</w:t>
      </w:r>
      <w:r>
        <w:rPr>
          <w:rFonts w:hint="eastAsia"/>
        </w:rPr>
        <w:t>。</w:t>
      </w:r>
    </w:p>
    <w:p w:rsidR="00000000" w:rsidRDefault="00000000">
      <w:r>
        <w:tab/>
        <w:t xml:space="preserve">182.  </w:t>
      </w:r>
      <w:r>
        <w:rPr>
          <w:rFonts w:hint="eastAsia"/>
        </w:rPr>
        <w:t>《刑法典》给予被害人</w:t>
      </w:r>
      <w:r>
        <w:rPr>
          <w:rFonts w:hint="eastAsia"/>
        </w:rPr>
        <w:t>(</w:t>
      </w:r>
      <w:r>
        <w:rPr>
          <w:rFonts w:hint="eastAsia"/>
        </w:rPr>
        <w:t>包括酷刑行为之受害人</w:t>
      </w:r>
      <w:r>
        <w:rPr>
          <w:rFonts w:hint="eastAsia"/>
        </w:rPr>
        <w:t>)</w:t>
      </w:r>
      <w:r>
        <w:rPr>
          <w:rFonts w:hint="eastAsia"/>
        </w:rPr>
        <w:t>提出告诉之权利，并规定被害人死亡后告诉权转属其家人</w:t>
      </w:r>
      <w:r>
        <w:rPr>
          <w:rFonts w:hint="eastAsia"/>
        </w:rPr>
        <w:t>(</w:t>
      </w:r>
      <w:r>
        <w:rPr>
          <w:rFonts w:hint="eastAsia"/>
        </w:rPr>
        <w:t>第一百零五条第一款及第二款</w:t>
      </w:r>
      <w:r>
        <w:rPr>
          <w:rFonts w:hint="eastAsia"/>
        </w:rPr>
        <w:t>)</w:t>
      </w:r>
      <w:r>
        <w:rPr>
          <w:rFonts w:hint="eastAsia"/>
        </w:rPr>
        <w:t>。</w:t>
      </w:r>
    </w:p>
    <w:p w:rsidR="00000000" w:rsidRDefault="00000000">
      <w:pPr>
        <w:rPr>
          <w:rFonts w:hint="eastAsia"/>
        </w:rPr>
      </w:pPr>
      <w:r>
        <w:br w:type="page"/>
      </w:r>
    </w:p>
    <w:p w:rsidR="00000000" w:rsidRDefault="00000000">
      <w:pPr>
        <w:spacing w:after="160"/>
      </w:pPr>
      <w:r>
        <w:tab/>
        <w:t xml:space="preserve">183.  </w:t>
      </w:r>
      <w:r>
        <w:rPr>
          <w:rFonts w:hint="eastAsia"/>
        </w:rPr>
        <w:t>以下资料显示二零零零年至二零零四年期间针对警察施行暴力的投诉：</w:t>
      </w:r>
    </w:p>
    <w:tbl>
      <w:tblPr>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
      <w:tblGrid>
        <w:gridCol w:w="5073"/>
        <w:gridCol w:w="899"/>
        <w:gridCol w:w="900"/>
        <w:gridCol w:w="900"/>
        <w:gridCol w:w="900"/>
        <w:gridCol w:w="898"/>
      </w:tblGrid>
      <w:tr w:rsidR="00000000">
        <w:tblPrEx>
          <w:tblCellMar>
            <w:top w:w="0" w:type="dxa"/>
            <w:bottom w:w="0" w:type="dxa"/>
          </w:tblCellMar>
        </w:tblPrEx>
        <w:trPr>
          <w:cantSplit/>
          <w:trHeight w:hRule="exact" w:val="454"/>
          <w:tblHeader/>
          <w:jc w:val="center"/>
        </w:trPr>
        <w:tc>
          <w:tcPr>
            <w:tcW w:w="2651" w:type="pct"/>
            <w:shd w:val="clear" w:color="auto" w:fill="F3F3F3"/>
            <w:vAlign w:val="center"/>
          </w:tcPr>
          <w:p w:rsidR="00000000" w:rsidRDefault="00000000">
            <w:pPr>
              <w:jc w:val="left"/>
              <w:rPr>
                <w:b/>
                <w:sz w:val="22"/>
              </w:rPr>
            </w:pPr>
            <w:r>
              <w:rPr>
                <w:rFonts w:hint="eastAsia"/>
                <w:b/>
                <w:bCs/>
                <w:spacing w:val="20"/>
                <w:sz w:val="22"/>
              </w:rPr>
              <w:t>罪</w:t>
            </w:r>
            <w:r>
              <w:rPr>
                <w:b/>
                <w:bCs/>
                <w:spacing w:val="20"/>
                <w:sz w:val="22"/>
              </w:rPr>
              <w:t xml:space="preserve">  </w:t>
            </w:r>
            <w:r>
              <w:rPr>
                <w:rFonts w:hint="eastAsia"/>
                <w:b/>
                <w:bCs/>
                <w:spacing w:val="20"/>
                <w:sz w:val="22"/>
              </w:rPr>
              <w:t>型</w:t>
            </w:r>
          </w:p>
        </w:tc>
        <w:tc>
          <w:tcPr>
            <w:tcW w:w="470" w:type="pct"/>
            <w:shd w:val="clear" w:color="auto" w:fill="F3F3F3"/>
            <w:vAlign w:val="center"/>
          </w:tcPr>
          <w:p w:rsidR="00000000" w:rsidRDefault="00000000">
            <w:pPr>
              <w:jc w:val="center"/>
              <w:rPr>
                <w:b/>
                <w:sz w:val="22"/>
              </w:rPr>
            </w:pPr>
            <w:r>
              <w:rPr>
                <w:b/>
                <w:sz w:val="22"/>
              </w:rPr>
              <w:t>2000</w:t>
            </w:r>
          </w:p>
        </w:tc>
        <w:tc>
          <w:tcPr>
            <w:tcW w:w="470" w:type="pct"/>
            <w:shd w:val="clear" w:color="auto" w:fill="F3F3F3"/>
            <w:vAlign w:val="center"/>
          </w:tcPr>
          <w:p w:rsidR="00000000" w:rsidRDefault="00000000">
            <w:pPr>
              <w:jc w:val="center"/>
              <w:rPr>
                <w:b/>
                <w:sz w:val="22"/>
              </w:rPr>
            </w:pPr>
            <w:r>
              <w:rPr>
                <w:b/>
                <w:sz w:val="22"/>
              </w:rPr>
              <w:t>2001</w:t>
            </w:r>
          </w:p>
        </w:tc>
        <w:tc>
          <w:tcPr>
            <w:tcW w:w="470" w:type="pct"/>
            <w:shd w:val="clear" w:color="auto" w:fill="F3F3F3"/>
            <w:vAlign w:val="center"/>
          </w:tcPr>
          <w:p w:rsidR="00000000" w:rsidRDefault="00000000">
            <w:pPr>
              <w:jc w:val="center"/>
              <w:rPr>
                <w:b/>
                <w:sz w:val="22"/>
              </w:rPr>
            </w:pPr>
            <w:r>
              <w:rPr>
                <w:b/>
                <w:sz w:val="22"/>
              </w:rPr>
              <w:t>2002</w:t>
            </w:r>
          </w:p>
        </w:tc>
        <w:tc>
          <w:tcPr>
            <w:tcW w:w="470" w:type="pct"/>
            <w:shd w:val="clear" w:color="auto" w:fill="F3F3F3"/>
            <w:vAlign w:val="center"/>
          </w:tcPr>
          <w:p w:rsidR="00000000" w:rsidRDefault="00000000">
            <w:pPr>
              <w:jc w:val="center"/>
              <w:rPr>
                <w:b/>
                <w:sz w:val="22"/>
              </w:rPr>
            </w:pPr>
            <w:r>
              <w:rPr>
                <w:b/>
                <w:sz w:val="22"/>
              </w:rPr>
              <w:t>2003</w:t>
            </w:r>
          </w:p>
        </w:tc>
        <w:tc>
          <w:tcPr>
            <w:tcW w:w="470" w:type="pct"/>
            <w:shd w:val="clear" w:color="auto" w:fill="F3F3F3"/>
            <w:vAlign w:val="center"/>
          </w:tcPr>
          <w:p w:rsidR="00000000" w:rsidRDefault="00000000">
            <w:pPr>
              <w:jc w:val="center"/>
              <w:rPr>
                <w:b/>
                <w:sz w:val="22"/>
              </w:rPr>
            </w:pPr>
            <w:r>
              <w:rPr>
                <w:b/>
                <w:sz w:val="22"/>
              </w:rPr>
              <w:t>2004*</w:t>
            </w:r>
          </w:p>
        </w:tc>
      </w:tr>
      <w:tr w:rsidR="00000000">
        <w:tblPrEx>
          <w:tblCellMar>
            <w:top w:w="0" w:type="dxa"/>
            <w:bottom w:w="0" w:type="dxa"/>
          </w:tblCellMar>
        </w:tblPrEx>
        <w:trPr>
          <w:cantSplit/>
          <w:jc w:val="center"/>
        </w:trPr>
        <w:tc>
          <w:tcPr>
            <w:tcW w:w="2651" w:type="pct"/>
            <w:vAlign w:val="center"/>
          </w:tcPr>
          <w:p w:rsidR="00000000" w:rsidRDefault="00000000">
            <w:pPr>
              <w:spacing w:line="288" w:lineRule="auto"/>
              <w:rPr>
                <w:spacing w:val="0"/>
                <w:sz w:val="22"/>
              </w:rPr>
            </w:pPr>
            <w:r>
              <w:rPr>
                <w:rFonts w:hint="eastAsia"/>
                <w:spacing w:val="0"/>
                <w:sz w:val="22"/>
              </w:rPr>
              <w:t>在警察驻地杀人</w:t>
            </w:r>
          </w:p>
        </w:tc>
        <w:tc>
          <w:tcPr>
            <w:tcW w:w="470" w:type="pct"/>
            <w:vAlign w:val="center"/>
          </w:tcPr>
          <w:p w:rsidR="00000000" w:rsidRDefault="00000000">
            <w:pPr>
              <w:spacing w:line="288" w:lineRule="auto"/>
              <w:jc w:val="center"/>
              <w:rPr>
                <w:sz w:val="22"/>
              </w:rPr>
            </w:pPr>
            <w:r>
              <w:rPr>
                <w:sz w:val="22"/>
              </w:rPr>
              <w:t>-**</w:t>
            </w:r>
          </w:p>
        </w:tc>
        <w:tc>
          <w:tcPr>
            <w:tcW w:w="470" w:type="pct"/>
            <w:vAlign w:val="center"/>
          </w:tcPr>
          <w:p w:rsidR="00000000" w:rsidRDefault="00000000">
            <w:pPr>
              <w:spacing w:line="288" w:lineRule="auto"/>
              <w:jc w:val="center"/>
              <w:rPr>
                <w:sz w:val="22"/>
              </w:rPr>
            </w:pPr>
            <w:r>
              <w:rPr>
                <w:sz w:val="22"/>
              </w:rPr>
              <w:t>0</w:t>
            </w:r>
          </w:p>
        </w:tc>
        <w:tc>
          <w:tcPr>
            <w:tcW w:w="470" w:type="pct"/>
            <w:vAlign w:val="center"/>
          </w:tcPr>
          <w:p w:rsidR="00000000" w:rsidRDefault="00000000">
            <w:pPr>
              <w:spacing w:line="288" w:lineRule="auto"/>
              <w:jc w:val="center"/>
              <w:rPr>
                <w:sz w:val="22"/>
              </w:rPr>
            </w:pPr>
            <w:r>
              <w:rPr>
                <w:sz w:val="22"/>
              </w:rPr>
              <w:t>1</w:t>
            </w:r>
          </w:p>
        </w:tc>
        <w:tc>
          <w:tcPr>
            <w:tcW w:w="470" w:type="pct"/>
            <w:vAlign w:val="center"/>
          </w:tcPr>
          <w:p w:rsidR="00000000" w:rsidRDefault="00000000">
            <w:pPr>
              <w:spacing w:line="288" w:lineRule="auto"/>
              <w:jc w:val="center"/>
              <w:rPr>
                <w:sz w:val="22"/>
              </w:rPr>
            </w:pPr>
            <w:r>
              <w:rPr>
                <w:sz w:val="22"/>
              </w:rPr>
              <w:t>0</w:t>
            </w:r>
          </w:p>
        </w:tc>
        <w:tc>
          <w:tcPr>
            <w:tcW w:w="470" w:type="pct"/>
            <w:vAlign w:val="center"/>
          </w:tcPr>
          <w:p w:rsidR="00000000" w:rsidRDefault="00000000">
            <w:pPr>
              <w:spacing w:line="288" w:lineRule="auto"/>
              <w:jc w:val="center"/>
              <w:rPr>
                <w:sz w:val="22"/>
              </w:rPr>
            </w:pPr>
            <w:r>
              <w:rPr>
                <w:sz w:val="22"/>
              </w:rPr>
              <w:t>0</w:t>
            </w:r>
          </w:p>
        </w:tc>
      </w:tr>
      <w:tr w:rsidR="00000000">
        <w:tblPrEx>
          <w:tblCellMar>
            <w:top w:w="0" w:type="dxa"/>
            <w:bottom w:w="0" w:type="dxa"/>
          </w:tblCellMar>
        </w:tblPrEx>
        <w:trPr>
          <w:cantSplit/>
          <w:jc w:val="center"/>
        </w:trPr>
        <w:tc>
          <w:tcPr>
            <w:tcW w:w="2651" w:type="pct"/>
            <w:vAlign w:val="center"/>
          </w:tcPr>
          <w:p w:rsidR="00000000" w:rsidRDefault="00000000">
            <w:pPr>
              <w:spacing w:line="288" w:lineRule="auto"/>
              <w:rPr>
                <w:spacing w:val="0"/>
                <w:sz w:val="22"/>
              </w:rPr>
            </w:pPr>
            <w:r>
              <w:rPr>
                <w:rFonts w:hint="eastAsia"/>
                <w:spacing w:val="0"/>
                <w:sz w:val="22"/>
              </w:rPr>
              <w:t>在监狱杀人</w:t>
            </w:r>
          </w:p>
        </w:tc>
        <w:tc>
          <w:tcPr>
            <w:tcW w:w="470" w:type="pct"/>
            <w:vAlign w:val="center"/>
          </w:tcPr>
          <w:p w:rsidR="00000000" w:rsidRDefault="00000000">
            <w:pPr>
              <w:spacing w:line="288" w:lineRule="auto"/>
              <w:jc w:val="center"/>
              <w:rPr>
                <w:sz w:val="22"/>
              </w:rPr>
            </w:pPr>
            <w:r>
              <w:rPr>
                <w:sz w:val="22"/>
              </w:rPr>
              <w:t>-**</w:t>
            </w:r>
          </w:p>
        </w:tc>
        <w:tc>
          <w:tcPr>
            <w:tcW w:w="470" w:type="pct"/>
            <w:vAlign w:val="center"/>
          </w:tcPr>
          <w:p w:rsidR="00000000" w:rsidRDefault="00000000">
            <w:pPr>
              <w:spacing w:line="288" w:lineRule="auto"/>
              <w:jc w:val="center"/>
              <w:rPr>
                <w:sz w:val="22"/>
              </w:rPr>
            </w:pPr>
            <w:r>
              <w:rPr>
                <w:sz w:val="22"/>
              </w:rPr>
              <w:t>0</w:t>
            </w:r>
          </w:p>
        </w:tc>
        <w:tc>
          <w:tcPr>
            <w:tcW w:w="470" w:type="pct"/>
            <w:vAlign w:val="center"/>
          </w:tcPr>
          <w:p w:rsidR="00000000" w:rsidRDefault="00000000">
            <w:pPr>
              <w:spacing w:line="288" w:lineRule="auto"/>
              <w:jc w:val="center"/>
              <w:rPr>
                <w:sz w:val="22"/>
              </w:rPr>
            </w:pPr>
            <w:r>
              <w:rPr>
                <w:sz w:val="22"/>
              </w:rPr>
              <w:t>1</w:t>
            </w:r>
          </w:p>
        </w:tc>
        <w:tc>
          <w:tcPr>
            <w:tcW w:w="470" w:type="pct"/>
            <w:vAlign w:val="center"/>
          </w:tcPr>
          <w:p w:rsidR="00000000" w:rsidRDefault="00000000">
            <w:pPr>
              <w:spacing w:line="288" w:lineRule="auto"/>
              <w:jc w:val="center"/>
              <w:rPr>
                <w:sz w:val="22"/>
              </w:rPr>
            </w:pPr>
            <w:r>
              <w:rPr>
                <w:sz w:val="22"/>
              </w:rPr>
              <w:t>0</w:t>
            </w:r>
          </w:p>
        </w:tc>
        <w:tc>
          <w:tcPr>
            <w:tcW w:w="470" w:type="pct"/>
            <w:vAlign w:val="center"/>
          </w:tcPr>
          <w:p w:rsidR="00000000" w:rsidRDefault="00000000">
            <w:pPr>
              <w:spacing w:line="288" w:lineRule="auto"/>
              <w:jc w:val="center"/>
              <w:rPr>
                <w:sz w:val="22"/>
              </w:rPr>
            </w:pPr>
            <w:r>
              <w:rPr>
                <w:sz w:val="22"/>
              </w:rPr>
              <w:t>1</w:t>
            </w:r>
          </w:p>
        </w:tc>
      </w:tr>
      <w:tr w:rsidR="00000000">
        <w:tblPrEx>
          <w:tblCellMar>
            <w:top w:w="0" w:type="dxa"/>
            <w:bottom w:w="0" w:type="dxa"/>
          </w:tblCellMar>
        </w:tblPrEx>
        <w:trPr>
          <w:cantSplit/>
          <w:jc w:val="center"/>
        </w:trPr>
        <w:tc>
          <w:tcPr>
            <w:tcW w:w="2651" w:type="pct"/>
            <w:vAlign w:val="center"/>
          </w:tcPr>
          <w:p w:rsidR="00000000" w:rsidRDefault="00000000">
            <w:pPr>
              <w:spacing w:line="288" w:lineRule="auto"/>
              <w:rPr>
                <w:spacing w:val="0"/>
                <w:sz w:val="22"/>
              </w:rPr>
            </w:pPr>
            <w:r>
              <w:rPr>
                <w:rFonts w:hint="eastAsia"/>
                <w:spacing w:val="0"/>
                <w:sz w:val="22"/>
              </w:rPr>
              <w:t>强奸</w:t>
            </w:r>
          </w:p>
        </w:tc>
        <w:tc>
          <w:tcPr>
            <w:tcW w:w="470" w:type="pct"/>
            <w:vAlign w:val="center"/>
          </w:tcPr>
          <w:p w:rsidR="00000000" w:rsidRDefault="00000000">
            <w:pPr>
              <w:spacing w:line="288" w:lineRule="auto"/>
              <w:jc w:val="center"/>
              <w:rPr>
                <w:sz w:val="22"/>
              </w:rPr>
            </w:pPr>
            <w:r>
              <w:rPr>
                <w:sz w:val="22"/>
              </w:rPr>
              <w:t>0</w:t>
            </w:r>
          </w:p>
        </w:tc>
        <w:tc>
          <w:tcPr>
            <w:tcW w:w="470" w:type="pct"/>
            <w:vAlign w:val="center"/>
          </w:tcPr>
          <w:p w:rsidR="00000000" w:rsidRDefault="00000000">
            <w:pPr>
              <w:spacing w:line="288" w:lineRule="auto"/>
              <w:jc w:val="center"/>
              <w:rPr>
                <w:sz w:val="22"/>
              </w:rPr>
            </w:pPr>
            <w:r>
              <w:rPr>
                <w:sz w:val="22"/>
              </w:rPr>
              <w:t>1</w:t>
            </w:r>
          </w:p>
        </w:tc>
        <w:tc>
          <w:tcPr>
            <w:tcW w:w="470" w:type="pct"/>
            <w:vAlign w:val="center"/>
          </w:tcPr>
          <w:p w:rsidR="00000000" w:rsidRDefault="00000000">
            <w:pPr>
              <w:spacing w:line="288" w:lineRule="auto"/>
              <w:jc w:val="center"/>
              <w:rPr>
                <w:sz w:val="22"/>
              </w:rPr>
            </w:pPr>
            <w:r>
              <w:rPr>
                <w:sz w:val="22"/>
              </w:rPr>
              <w:t>1</w:t>
            </w:r>
          </w:p>
        </w:tc>
        <w:tc>
          <w:tcPr>
            <w:tcW w:w="470" w:type="pct"/>
            <w:vAlign w:val="center"/>
          </w:tcPr>
          <w:p w:rsidR="00000000" w:rsidRDefault="00000000">
            <w:pPr>
              <w:spacing w:line="288" w:lineRule="auto"/>
              <w:jc w:val="center"/>
              <w:rPr>
                <w:sz w:val="22"/>
              </w:rPr>
            </w:pPr>
            <w:r>
              <w:rPr>
                <w:sz w:val="22"/>
              </w:rPr>
              <w:t>1</w:t>
            </w:r>
          </w:p>
        </w:tc>
        <w:tc>
          <w:tcPr>
            <w:tcW w:w="470" w:type="pct"/>
            <w:vAlign w:val="center"/>
          </w:tcPr>
          <w:p w:rsidR="00000000" w:rsidRDefault="00000000">
            <w:pPr>
              <w:spacing w:line="288" w:lineRule="auto"/>
              <w:jc w:val="center"/>
              <w:rPr>
                <w:sz w:val="22"/>
              </w:rPr>
            </w:pPr>
            <w:r>
              <w:rPr>
                <w:sz w:val="22"/>
              </w:rPr>
              <w:t>0</w:t>
            </w:r>
          </w:p>
        </w:tc>
      </w:tr>
      <w:tr w:rsidR="00000000">
        <w:tblPrEx>
          <w:tblCellMar>
            <w:top w:w="0" w:type="dxa"/>
            <w:bottom w:w="0" w:type="dxa"/>
          </w:tblCellMar>
        </w:tblPrEx>
        <w:trPr>
          <w:cantSplit/>
          <w:jc w:val="center"/>
        </w:trPr>
        <w:tc>
          <w:tcPr>
            <w:tcW w:w="2651" w:type="pct"/>
            <w:vAlign w:val="center"/>
          </w:tcPr>
          <w:p w:rsidR="00000000" w:rsidRDefault="00000000">
            <w:pPr>
              <w:spacing w:line="288" w:lineRule="auto"/>
              <w:rPr>
                <w:spacing w:val="0"/>
                <w:sz w:val="22"/>
              </w:rPr>
            </w:pPr>
            <w:r>
              <w:rPr>
                <w:rFonts w:hint="eastAsia"/>
                <w:spacing w:val="0"/>
                <w:sz w:val="22"/>
              </w:rPr>
              <w:t>其他侵犯性自由及性自决罪</w:t>
            </w:r>
          </w:p>
        </w:tc>
        <w:tc>
          <w:tcPr>
            <w:tcW w:w="470" w:type="pct"/>
            <w:vAlign w:val="center"/>
          </w:tcPr>
          <w:p w:rsidR="00000000" w:rsidRDefault="00000000">
            <w:pPr>
              <w:spacing w:line="288" w:lineRule="auto"/>
              <w:jc w:val="center"/>
              <w:rPr>
                <w:sz w:val="22"/>
              </w:rPr>
            </w:pPr>
            <w:r>
              <w:rPr>
                <w:sz w:val="22"/>
              </w:rPr>
              <w:t>0</w:t>
            </w:r>
          </w:p>
        </w:tc>
        <w:tc>
          <w:tcPr>
            <w:tcW w:w="470" w:type="pct"/>
            <w:vAlign w:val="center"/>
          </w:tcPr>
          <w:p w:rsidR="00000000" w:rsidRDefault="00000000">
            <w:pPr>
              <w:spacing w:line="288" w:lineRule="auto"/>
              <w:jc w:val="center"/>
              <w:rPr>
                <w:sz w:val="22"/>
              </w:rPr>
            </w:pPr>
            <w:r>
              <w:rPr>
                <w:sz w:val="22"/>
              </w:rPr>
              <w:t>1</w:t>
            </w:r>
          </w:p>
        </w:tc>
        <w:tc>
          <w:tcPr>
            <w:tcW w:w="470" w:type="pct"/>
            <w:vAlign w:val="center"/>
          </w:tcPr>
          <w:p w:rsidR="00000000" w:rsidRDefault="00000000">
            <w:pPr>
              <w:spacing w:line="288" w:lineRule="auto"/>
              <w:jc w:val="center"/>
              <w:rPr>
                <w:sz w:val="22"/>
              </w:rPr>
            </w:pPr>
            <w:r>
              <w:rPr>
                <w:sz w:val="22"/>
              </w:rPr>
              <w:t>0</w:t>
            </w:r>
          </w:p>
        </w:tc>
        <w:tc>
          <w:tcPr>
            <w:tcW w:w="470" w:type="pct"/>
            <w:vAlign w:val="center"/>
          </w:tcPr>
          <w:p w:rsidR="00000000" w:rsidRDefault="00000000">
            <w:pPr>
              <w:spacing w:line="288" w:lineRule="auto"/>
              <w:jc w:val="center"/>
              <w:rPr>
                <w:sz w:val="22"/>
              </w:rPr>
            </w:pPr>
            <w:r>
              <w:rPr>
                <w:sz w:val="22"/>
              </w:rPr>
              <w:t>0</w:t>
            </w:r>
          </w:p>
        </w:tc>
        <w:tc>
          <w:tcPr>
            <w:tcW w:w="470" w:type="pct"/>
            <w:vAlign w:val="center"/>
          </w:tcPr>
          <w:p w:rsidR="00000000" w:rsidRDefault="00000000">
            <w:pPr>
              <w:spacing w:line="288" w:lineRule="auto"/>
              <w:jc w:val="center"/>
              <w:rPr>
                <w:sz w:val="22"/>
              </w:rPr>
            </w:pPr>
            <w:r>
              <w:rPr>
                <w:sz w:val="22"/>
              </w:rPr>
              <w:t>0</w:t>
            </w:r>
          </w:p>
        </w:tc>
      </w:tr>
      <w:tr w:rsidR="00000000">
        <w:tblPrEx>
          <w:tblCellMar>
            <w:top w:w="0" w:type="dxa"/>
            <w:bottom w:w="0" w:type="dxa"/>
          </w:tblCellMar>
        </w:tblPrEx>
        <w:trPr>
          <w:cantSplit/>
          <w:jc w:val="center"/>
        </w:trPr>
        <w:tc>
          <w:tcPr>
            <w:tcW w:w="2651" w:type="pct"/>
            <w:vAlign w:val="center"/>
          </w:tcPr>
          <w:p w:rsidR="00000000" w:rsidRDefault="00000000">
            <w:pPr>
              <w:spacing w:line="288" w:lineRule="auto"/>
              <w:rPr>
                <w:spacing w:val="0"/>
                <w:sz w:val="22"/>
              </w:rPr>
            </w:pPr>
            <w:r>
              <w:rPr>
                <w:rFonts w:hint="eastAsia"/>
                <w:spacing w:val="0"/>
                <w:sz w:val="22"/>
              </w:rPr>
              <w:t>伤害身体完整性</w:t>
            </w:r>
          </w:p>
        </w:tc>
        <w:tc>
          <w:tcPr>
            <w:tcW w:w="470" w:type="pct"/>
            <w:vAlign w:val="center"/>
          </w:tcPr>
          <w:p w:rsidR="00000000" w:rsidRDefault="00000000">
            <w:pPr>
              <w:spacing w:line="288" w:lineRule="auto"/>
              <w:jc w:val="center"/>
              <w:rPr>
                <w:sz w:val="22"/>
                <w:lang w:eastAsia="zh-TW"/>
              </w:rPr>
            </w:pPr>
            <w:r>
              <w:rPr>
                <w:sz w:val="22"/>
              </w:rPr>
              <w:t>4</w:t>
            </w:r>
          </w:p>
        </w:tc>
        <w:tc>
          <w:tcPr>
            <w:tcW w:w="470" w:type="pct"/>
            <w:vAlign w:val="center"/>
          </w:tcPr>
          <w:p w:rsidR="00000000" w:rsidRDefault="00000000">
            <w:pPr>
              <w:spacing w:line="288" w:lineRule="auto"/>
              <w:jc w:val="center"/>
              <w:rPr>
                <w:sz w:val="22"/>
                <w:lang w:eastAsia="zh-TW"/>
              </w:rPr>
            </w:pPr>
            <w:r>
              <w:rPr>
                <w:sz w:val="22"/>
              </w:rPr>
              <w:t>1</w:t>
            </w:r>
          </w:p>
        </w:tc>
        <w:tc>
          <w:tcPr>
            <w:tcW w:w="470" w:type="pct"/>
            <w:vAlign w:val="center"/>
          </w:tcPr>
          <w:p w:rsidR="00000000" w:rsidRDefault="00000000">
            <w:pPr>
              <w:spacing w:line="288" w:lineRule="auto"/>
              <w:jc w:val="center"/>
              <w:rPr>
                <w:sz w:val="22"/>
                <w:lang w:eastAsia="zh-TW"/>
              </w:rPr>
            </w:pPr>
            <w:r>
              <w:rPr>
                <w:sz w:val="22"/>
              </w:rPr>
              <w:t>0</w:t>
            </w:r>
          </w:p>
        </w:tc>
        <w:tc>
          <w:tcPr>
            <w:tcW w:w="470" w:type="pct"/>
            <w:vAlign w:val="center"/>
          </w:tcPr>
          <w:p w:rsidR="00000000" w:rsidRDefault="00000000">
            <w:pPr>
              <w:spacing w:line="288" w:lineRule="auto"/>
              <w:jc w:val="center"/>
              <w:rPr>
                <w:sz w:val="22"/>
                <w:lang w:eastAsia="zh-TW"/>
              </w:rPr>
            </w:pPr>
            <w:r>
              <w:rPr>
                <w:sz w:val="22"/>
              </w:rPr>
              <w:t>12</w:t>
            </w:r>
          </w:p>
        </w:tc>
        <w:tc>
          <w:tcPr>
            <w:tcW w:w="470" w:type="pct"/>
            <w:vAlign w:val="center"/>
          </w:tcPr>
          <w:p w:rsidR="00000000" w:rsidRDefault="00000000">
            <w:pPr>
              <w:spacing w:line="288" w:lineRule="auto"/>
              <w:jc w:val="center"/>
              <w:rPr>
                <w:sz w:val="22"/>
                <w:lang w:eastAsia="zh-TW"/>
              </w:rPr>
            </w:pPr>
            <w:r>
              <w:rPr>
                <w:sz w:val="22"/>
              </w:rPr>
              <w:t>10</w:t>
            </w:r>
          </w:p>
        </w:tc>
      </w:tr>
      <w:tr w:rsidR="00000000">
        <w:tblPrEx>
          <w:tblCellMar>
            <w:top w:w="0" w:type="dxa"/>
            <w:bottom w:w="0" w:type="dxa"/>
          </w:tblCellMar>
        </w:tblPrEx>
        <w:trPr>
          <w:cantSplit/>
          <w:jc w:val="center"/>
        </w:trPr>
        <w:tc>
          <w:tcPr>
            <w:tcW w:w="2651" w:type="pct"/>
            <w:vAlign w:val="center"/>
          </w:tcPr>
          <w:p w:rsidR="00000000" w:rsidRDefault="00000000">
            <w:pPr>
              <w:spacing w:line="288" w:lineRule="auto"/>
              <w:rPr>
                <w:spacing w:val="0"/>
                <w:sz w:val="22"/>
                <w:lang w:eastAsia="zh-TW"/>
              </w:rPr>
            </w:pPr>
            <w:r>
              <w:rPr>
                <w:rFonts w:hint="eastAsia"/>
                <w:spacing w:val="0"/>
                <w:sz w:val="22"/>
              </w:rPr>
              <w:t>勒索</w:t>
            </w:r>
          </w:p>
        </w:tc>
        <w:tc>
          <w:tcPr>
            <w:tcW w:w="470" w:type="pct"/>
            <w:vAlign w:val="center"/>
          </w:tcPr>
          <w:p w:rsidR="00000000" w:rsidRDefault="00000000">
            <w:pPr>
              <w:spacing w:line="288" w:lineRule="auto"/>
              <w:jc w:val="center"/>
              <w:rPr>
                <w:sz w:val="22"/>
                <w:lang w:eastAsia="zh-TW"/>
              </w:rPr>
            </w:pPr>
            <w:r>
              <w:rPr>
                <w:sz w:val="22"/>
              </w:rPr>
              <w:t>1</w:t>
            </w:r>
          </w:p>
        </w:tc>
        <w:tc>
          <w:tcPr>
            <w:tcW w:w="470" w:type="pct"/>
            <w:vAlign w:val="center"/>
          </w:tcPr>
          <w:p w:rsidR="00000000" w:rsidRDefault="00000000">
            <w:pPr>
              <w:spacing w:line="288" w:lineRule="auto"/>
              <w:jc w:val="center"/>
              <w:rPr>
                <w:sz w:val="22"/>
                <w:lang w:eastAsia="zh-TW"/>
              </w:rPr>
            </w:pPr>
            <w:r>
              <w:rPr>
                <w:sz w:val="22"/>
              </w:rPr>
              <w:t>0</w:t>
            </w:r>
          </w:p>
        </w:tc>
        <w:tc>
          <w:tcPr>
            <w:tcW w:w="470" w:type="pct"/>
            <w:vAlign w:val="center"/>
          </w:tcPr>
          <w:p w:rsidR="00000000" w:rsidRDefault="00000000">
            <w:pPr>
              <w:spacing w:line="288" w:lineRule="auto"/>
              <w:jc w:val="center"/>
              <w:rPr>
                <w:sz w:val="22"/>
                <w:lang w:eastAsia="zh-TW"/>
              </w:rPr>
            </w:pPr>
            <w:r>
              <w:rPr>
                <w:sz w:val="22"/>
              </w:rPr>
              <w:t>0</w:t>
            </w:r>
          </w:p>
        </w:tc>
        <w:tc>
          <w:tcPr>
            <w:tcW w:w="470" w:type="pct"/>
            <w:vAlign w:val="center"/>
          </w:tcPr>
          <w:p w:rsidR="00000000" w:rsidRDefault="00000000">
            <w:pPr>
              <w:spacing w:line="288" w:lineRule="auto"/>
              <w:jc w:val="center"/>
              <w:rPr>
                <w:sz w:val="22"/>
                <w:lang w:eastAsia="zh-TW"/>
              </w:rPr>
            </w:pPr>
            <w:r>
              <w:rPr>
                <w:sz w:val="22"/>
              </w:rPr>
              <w:t>0</w:t>
            </w:r>
          </w:p>
        </w:tc>
        <w:tc>
          <w:tcPr>
            <w:tcW w:w="470" w:type="pct"/>
            <w:vAlign w:val="center"/>
          </w:tcPr>
          <w:p w:rsidR="00000000" w:rsidRDefault="00000000">
            <w:pPr>
              <w:spacing w:line="288" w:lineRule="auto"/>
              <w:jc w:val="center"/>
              <w:rPr>
                <w:sz w:val="22"/>
                <w:lang w:eastAsia="zh-TW"/>
              </w:rPr>
            </w:pPr>
            <w:r>
              <w:rPr>
                <w:sz w:val="22"/>
              </w:rPr>
              <w:t>1</w:t>
            </w:r>
          </w:p>
        </w:tc>
      </w:tr>
      <w:tr w:rsidR="00000000">
        <w:tblPrEx>
          <w:tblCellMar>
            <w:top w:w="0" w:type="dxa"/>
            <w:bottom w:w="0" w:type="dxa"/>
          </w:tblCellMar>
        </w:tblPrEx>
        <w:trPr>
          <w:cantSplit/>
          <w:jc w:val="center"/>
        </w:trPr>
        <w:tc>
          <w:tcPr>
            <w:tcW w:w="2651" w:type="pct"/>
            <w:vAlign w:val="center"/>
          </w:tcPr>
          <w:p w:rsidR="00000000" w:rsidRDefault="00000000">
            <w:pPr>
              <w:spacing w:line="288" w:lineRule="auto"/>
              <w:rPr>
                <w:spacing w:val="0"/>
                <w:sz w:val="22"/>
                <w:lang w:eastAsia="zh-TW"/>
              </w:rPr>
            </w:pPr>
            <w:r>
              <w:rPr>
                <w:rFonts w:hint="eastAsia"/>
                <w:spacing w:val="0"/>
                <w:sz w:val="22"/>
              </w:rPr>
              <w:t>侵犯住所</w:t>
            </w:r>
          </w:p>
        </w:tc>
        <w:tc>
          <w:tcPr>
            <w:tcW w:w="470" w:type="pct"/>
            <w:vAlign w:val="center"/>
          </w:tcPr>
          <w:p w:rsidR="00000000" w:rsidRDefault="00000000">
            <w:pPr>
              <w:spacing w:line="288" w:lineRule="auto"/>
              <w:jc w:val="center"/>
              <w:rPr>
                <w:sz w:val="22"/>
              </w:rPr>
            </w:pPr>
            <w:r>
              <w:rPr>
                <w:sz w:val="22"/>
              </w:rPr>
              <w:t>1</w:t>
            </w:r>
          </w:p>
        </w:tc>
        <w:tc>
          <w:tcPr>
            <w:tcW w:w="470" w:type="pct"/>
            <w:vAlign w:val="center"/>
          </w:tcPr>
          <w:p w:rsidR="00000000" w:rsidRDefault="00000000">
            <w:pPr>
              <w:spacing w:line="288" w:lineRule="auto"/>
              <w:jc w:val="center"/>
              <w:rPr>
                <w:sz w:val="22"/>
              </w:rPr>
            </w:pPr>
            <w:r>
              <w:rPr>
                <w:sz w:val="22"/>
              </w:rPr>
              <w:t>0</w:t>
            </w:r>
          </w:p>
        </w:tc>
        <w:tc>
          <w:tcPr>
            <w:tcW w:w="470" w:type="pct"/>
            <w:vAlign w:val="center"/>
          </w:tcPr>
          <w:p w:rsidR="00000000" w:rsidRDefault="00000000">
            <w:pPr>
              <w:spacing w:line="288" w:lineRule="auto"/>
              <w:jc w:val="center"/>
              <w:rPr>
                <w:sz w:val="22"/>
              </w:rPr>
            </w:pPr>
            <w:r>
              <w:rPr>
                <w:sz w:val="22"/>
              </w:rPr>
              <w:t>0</w:t>
            </w:r>
          </w:p>
        </w:tc>
        <w:tc>
          <w:tcPr>
            <w:tcW w:w="470" w:type="pct"/>
            <w:vAlign w:val="center"/>
          </w:tcPr>
          <w:p w:rsidR="00000000" w:rsidRDefault="00000000">
            <w:pPr>
              <w:spacing w:line="288" w:lineRule="auto"/>
              <w:jc w:val="center"/>
              <w:rPr>
                <w:sz w:val="22"/>
              </w:rPr>
            </w:pPr>
            <w:r>
              <w:rPr>
                <w:sz w:val="22"/>
              </w:rPr>
              <w:t>0</w:t>
            </w:r>
          </w:p>
        </w:tc>
        <w:tc>
          <w:tcPr>
            <w:tcW w:w="470" w:type="pct"/>
            <w:vAlign w:val="center"/>
          </w:tcPr>
          <w:p w:rsidR="00000000" w:rsidRDefault="00000000">
            <w:pPr>
              <w:spacing w:line="288" w:lineRule="auto"/>
              <w:jc w:val="center"/>
              <w:rPr>
                <w:sz w:val="22"/>
              </w:rPr>
            </w:pPr>
            <w:r>
              <w:rPr>
                <w:sz w:val="22"/>
              </w:rPr>
              <w:t>1</w:t>
            </w:r>
          </w:p>
        </w:tc>
      </w:tr>
      <w:tr w:rsidR="00000000">
        <w:tblPrEx>
          <w:tblCellMar>
            <w:top w:w="0" w:type="dxa"/>
            <w:bottom w:w="0" w:type="dxa"/>
          </w:tblCellMar>
        </w:tblPrEx>
        <w:trPr>
          <w:cantSplit/>
          <w:jc w:val="center"/>
        </w:trPr>
        <w:tc>
          <w:tcPr>
            <w:tcW w:w="2651" w:type="pct"/>
            <w:vAlign w:val="center"/>
          </w:tcPr>
          <w:p w:rsidR="00000000" w:rsidRDefault="00000000">
            <w:pPr>
              <w:spacing w:line="288" w:lineRule="auto"/>
              <w:rPr>
                <w:spacing w:val="0"/>
                <w:sz w:val="22"/>
              </w:rPr>
            </w:pPr>
            <w:r>
              <w:rPr>
                <w:rFonts w:hint="eastAsia"/>
                <w:spacing w:val="0"/>
                <w:sz w:val="22"/>
              </w:rPr>
              <w:t>恐吓</w:t>
            </w:r>
          </w:p>
        </w:tc>
        <w:tc>
          <w:tcPr>
            <w:tcW w:w="470" w:type="pct"/>
            <w:vAlign w:val="center"/>
          </w:tcPr>
          <w:p w:rsidR="00000000" w:rsidRDefault="00000000">
            <w:pPr>
              <w:spacing w:line="288" w:lineRule="auto"/>
              <w:jc w:val="center"/>
              <w:rPr>
                <w:sz w:val="22"/>
              </w:rPr>
            </w:pPr>
            <w:r>
              <w:rPr>
                <w:sz w:val="22"/>
              </w:rPr>
              <w:t>4</w:t>
            </w:r>
          </w:p>
        </w:tc>
        <w:tc>
          <w:tcPr>
            <w:tcW w:w="470" w:type="pct"/>
            <w:vAlign w:val="center"/>
          </w:tcPr>
          <w:p w:rsidR="00000000" w:rsidRDefault="00000000">
            <w:pPr>
              <w:spacing w:line="288" w:lineRule="auto"/>
              <w:jc w:val="center"/>
              <w:rPr>
                <w:sz w:val="22"/>
              </w:rPr>
            </w:pPr>
            <w:r>
              <w:rPr>
                <w:sz w:val="22"/>
              </w:rPr>
              <w:t>5</w:t>
            </w:r>
          </w:p>
        </w:tc>
        <w:tc>
          <w:tcPr>
            <w:tcW w:w="470" w:type="pct"/>
            <w:vAlign w:val="center"/>
          </w:tcPr>
          <w:p w:rsidR="00000000" w:rsidRDefault="00000000">
            <w:pPr>
              <w:spacing w:line="288" w:lineRule="auto"/>
              <w:jc w:val="center"/>
              <w:rPr>
                <w:sz w:val="22"/>
              </w:rPr>
            </w:pPr>
            <w:r>
              <w:rPr>
                <w:sz w:val="22"/>
              </w:rPr>
              <w:t>3</w:t>
            </w:r>
          </w:p>
        </w:tc>
        <w:tc>
          <w:tcPr>
            <w:tcW w:w="470" w:type="pct"/>
            <w:vAlign w:val="center"/>
          </w:tcPr>
          <w:p w:rsidR="00000000" w:rsidRDefault="00000000">
            <w:pPr>
              <w:spacing w:line="288" w:lineRule="auto"/>
              <w:jc w:val="center"/>
              <w:rPr>
                <w:sz w:val="22"/>
              </w:rPr>
            </w:pPr>
            <w:r>
              <w:rPr>
                <w:sz w:val="22"/>
              </w:rPr>
              <w:t>3</w:t>
            </w:r>
          </w:p>
        </w:tc>
        <w:tc>
          <w:tcPr>
            <w:tcW w:w="470" w:type="pct"/>
            <w:vAlign w:val="center"/>
          </w:tcPr>
          <w:p w:rsidR="00000000" w:rsidRDefault="00000000">
            <w:pPr>
              <w:spacing w:line="288" w:lineRule="auto"/>
              <w:jc w:val="center"/>
              <w:rPr>
                <w:sz w:val="22"/>
              </w:rPr>
            </w:pPr>
            <w:r>
              <w:rPr>
                <w:sz w:val="22"/>
              </w:rPr>
              <w:t>1</w:t>
            </w:r>
          </w:p>
        </w:tc>
      </w:tr>
      <w:tr w:rsidR="00000000">
        <w:tblPrEx>
          <w:tblCellMar>
            <w:top w:w="0" w:type="dxa"/>
            <w:bottom w:w="0" w:type="dxa"/>
          </w:tblCellMar>
        </w:tblPrEx>
        <w:trPr>
          <w:cantSplit/>
          <w:jc w:val="center"/>
        </w:trPr>
        <w:tc>
          <w:tcPr>
            <w:tcW w:w="2651" w:type="pct"/>
            <w:vAlign w:val="center"/>
          </w:tcPr>
          <w:p w:rsidR="00000000" w:rsidRDefault="00000000">
            <w:pPr>
              <w:spacing w:line="288" w:lineRule="auto"/>
              <w:rPr>
                <w:b/>
                <w:bCs/>
                <w:sz w:val="22"/>
              </w:rPr>
            </w:pPr>
            <w:r>
              <w:rPr>
                <w:rFonts w:hint="eastAsia"/>
                <w:b/>
                <w:bCs/>
                <w:spacing w:val="20"/>
                <w:sz w:val="22"/>
              </w:rPr>
              <w:t>总计</w:t>
            </w:r>
          </w:p>
        </w:tc>
        <w:tc>
          <w:tcPr>
            <w:tcW w:w="470" w:type="pct"/>
            <w:vAlign w:val="center"/>
          </w:tcPr>
          <w:p w:rsidR="00000000" w:rsidRDefault="00000000">
            <w:pPr>
              <w:spacing w:line="288" w:lineRule="auto"/>
              <w:jc w:val="center"/>
              <w:rPr>
                <w:b/>
                <w:sz w:val="22"/>
              </w:rPr>
            </w:pPr>
            <w:r>
              <w:rPr>
                <w:b/>
                <w:sz w:val="22"/>
              </w:rPr>
              <w:t>10</w:t>
            </w:r>
          </w:p>
        </w:tc>
        <w:tc>
          <w:tcPr>
            <w:tcW w:w="470" w:type="pct"/>
            <w:vAlign w:val="center"/>
          </w:tcPr>
          <w:p w:rsidR="00000000" w:rsidRDefault="00000000">
            <w:pPr>
              <w:spacing w:line="288" w:lineRule="auto"/>
              <w:jc w:val="center"/>
              <w:rPr>
                <w:b/>
                <w:sz w:val="22"/>
              </w:rPr>
            </w:pPr>
            <w:r>
              <w:rPr>
                <w:b/>
                <w:sz w:val="22"/>
              </w:rPr>
              <w:t>8</w:t>
            </w:r>
          </w:p>
        </w:tc>
        <w:tc>
          <w:tcPr>
            <w:tcW w:w="470" w:type="pct"/>
            <w:vAlign w:val="center"/>
          </w:tcPr>
          <w:p w:rsidR="00000000" w:rsidRDefault="00000000">
            <w:pPr>
              <w:spacing w:line="288" w:lineRule="auto"/>
              <w:jc w:val="center"/>
              <w:rPr>
                <w:b/>
                <w:sz w:val="22"/>
              </w:rPr>
            </w:pPr>
            <w:r>
              <w:rPr>
                <w:b/>
                <w:sz w:val="22"/>
              </w:rPr>
              <w:t>6</w:t>
            </w:r>
          </w:p>
        </w:tc>
        <w:tc>
          <w:tcPr>
            <w:tcW w:w="470" w:type="pct"/>
            <w:vAlign w:val="center"/>
          </w:tcPr>
          <w:p w:rsidR="00000000" w:rsidRDefault="00000000">
            <w:pPr>
              <w:spacing w:line="288" w:lineRule="auto"/>
              <w:jc w:val="center"/>
              <w:rPr>
                <w:b/>
                <w:sz w:val="22"/>
              </w:rPr>
            </w:pPr>
            <w:r>
              <w:rPr>
                <w:b/>
                <w:sz w:val="22"/>
              </w:rPr>
              <w:t>16</w:t>
            </w:r>
          </w:p>
        </w:tc>
        <w:tc>
          <w:tcPr>
            <w:tcW w:w="470" w:type="pct"/>
            <w:vAlign w:val="center"/>
          </w:tcPr>
          <w:p w:rsidR="00000000" w:rsidRDefault="00000000">
            <w:pPr>
              <w:spacing w:line="288" w:lineRule="auto"/>
              <w:jc w:val="center"/>
              <w:rPr>
                <w:b/>
                <w:sz w:val="22"/>
              </w:rPr>
            </w:pPr>
            <w:r>
              <w:rPr>
                <w:b/>
                <w:sz w:val="22"/>
              </w:rPr>
              <w:t>14</w:t>
            </w:r>
          </w:p>
        </w:tc>
      </w:tr>
    </w:tbl>
    <w:p w:rsidR="00000000" w:rsidRDefault="00000000">
      <w:pPr>
        <w:spacing w:before="240"/>
        <w:rPr>
          <w:rFonts w:hint="eastAsia"/>
          <w:bCs/>
          <w:i/>
          <w:spacing w:val="20"/>
          <w:sz w:val="18"/>
        </w:rPr>
      </w:pPr>
      <w:r>
        <w:rPr>
          <w:rFonts w:hint="eastAsia"/>
          <w:b/>
          <w:i/>
          <w:spacing w:val="20"/>
          <w:sz w:val="18"/>
        </w:rPr>
        <w:t>资料来源</w:t>
      </w:r>
      <w:r>
        <w:rPr>
          <w:rFonts w:hint="eastAsia"/>
          <w:bCs/>
          <w:i/>
          <w:spacing w:val="20"/>
          <w:sz w:val="18"/>
        </w:rPr>
        <w:t>：保安协调办公室</w:t>
      </w:r>
    </w:p>
    <w:p w:rsidR="00000000" w:rsidRDefault="00000000">
      <w:pPr>
        <w:ind w:firstLine="510"/>
        <w:rPr>
          <w:rFonts w:hint="eastAsia"/>
          <w:bCs/>
          <w:i/>
          <w:spacing w:val="20"/>
          <w:sz w:val="18"/>
        </w:rPr>
      </w:pPr>
      <w:r>
        <w:rPr>
          <w:rFonts w:hint="eastAsia"/>
          <w:bCs/>
          <w:i/>
          <w:spacing w:val="20"/>
          <w:sz w:val="18"/>
        </w:rPr>
        <w:t>*.</w:t>
      </w:r>
      <w:r>
        <w:rPr>
          <w:rFonts w:hint="eastAsia"/>
          <w:bCs/>
          <w:i/>
          <w:spacing w:val="20"/>
          <w:sz w:val="18"/>
        </w:rPr>
        <w:tab/>
      </w:r>
      <w:r>
        <w:rPr>
          <w:rFonts w:hint="eastAsia"/>
          <w:bCs/>
          <w:i/>
          <w:spacing w:val="20"/>
          <w:sz w:val="18"/>
        </w:rPr>
        <w:t>二零零四年的资料截至六月</w:t>
      </w:r>
    </w:p>
    <w:p w:rsidR="00000000" w:rsidRDefault="00000000">
      <w:pPr>
        <w:spacing w:after="320"/>
        <w:ind w:firstLine="510"/>
        <w:rPr>
          <w:bCs/>
          <w:i/>
          <w:spacing w:val="20"/>
          <w:sz w:val="18"/>
        </w:rPr>
      </w:pPr>
      <w:r>
        <w:rPr>
          <w:rFonts w:hint="eastAsia"/>
          <w:bCs/>
          <w:i/>
          <w:spacing w:val="20"/>
          <w:sz w:val="18"/>
        </w:rPr>
        <w:t>**</w:t>
      </w:r>
      <w:r>
        <w:rPr>
          <w:bCs/>
          <w:i/>
          <w:spacing w:val="20"/>
          <w:sz w:val="18"/>
        </w:rPr>
        <w:t>.</w:t>
      </w:r>
      <w:r>
        <w:rPr>
          <w:rFonts w:hint="eastAsia"/>
          <w:bCs/>
          <w:i/>
          <w:spacing w:val="20"/>
          <w:sz w:val="18"/>
        </w:rPr>
        <w:tab/>
      </w:r>
      <w:r>
        <w:rPr>
          <w:rFonts w:hint="eastAsia"/>
          <w:bCs/>
          <w:i/>
          <w:spacing w:val="20"/>
          <w:sz w:val="18"/>
        </w:rPr>
        <w:t>尚未掌握资料</w:t>
      </w:r>
    </w:p>
    <w:p w:rsidR="00000000" w:rsidRDefault="00000000">
      <w:pPr>
        <w:spacing w:after="160"/>
      </w:pPr>
      <w:r>
        <w:tab/>
        <w:t xml:space="preserve">184.  </w:t>
      </w:r>
      <w:r>
        <w:rPr>
          <w:rFonts w:hint="eastAsia"/>
        </w:rPr>
        <w:t>以下资料显示二零零零年至二零零四年期间检察院收到的有关酷刑及其他残忍、有辱人格或不人道之待遇的检举</w:t>
      </w:r>
      <w:r>
        <w:t>：</w:t>
      </w:r>
    </w:p>
    <w:tbl>
      <w:tblPr>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
      <w:tblGrid>
        <w:gridCol w:w="4387"/>
        <w:gridCol w:w="1319"/>
        <w:gridCol w:w="1319"/>
        <w:gridCol w:w="1319"/>
        <w:gridCol w:w="1226"/>
      </w:tblGrid>
      <w:tr w:rsidR="00000000">
        <w:tblPrEx>
          <w:tblCellMar>
            <w:top w:w="0" w:type="dxa"/>
            <w:bottom w:w="0" w:type="dxa"/>
          </w:tblCellMar>
        </w:tblPrEx>
        <w:trPr>
          <w:trHeight w:hRule="exact" w:val="510"/>
          <w:tblHeader/>
          <w:jc w:val="center"/>
        </w:trPr>
        <w:tc>
          <w:tcPr>
            <w:tcW w:w="0" w:type="auto"/>
            <w:shd w:val="clear" w:color="auto" w:fill="F3F3F3"/>
          </w:tcPr>
          <w:p w:rsidR="00000000" w:rsidRDefault="00000000">
            <w:pPr>
              <w:spacing w:before="120"/>
              <w:jc w:val="center"/>
              <w:rPr>
                <w:rFonts w:ascii="Time New Roman" w:eastAsia="SimHei" w:hAnsi="Time New Roman" w:hint="eastAsia"/>
                <w:spacing w:val="20"/>
                <w:kern w:val="2"/>
                <w:sz w:val="22"/>
                <w:szCs w:val="24"/>
              </w:rPr>
            </w:pPr>
            <w:r>
              <w:rPr>
                <w:rFonts w:ascii="Time New Roman" w:eastAsia="SimHei" w:hAnsi="Time New Roman" w:hint="eastAsia"/>
                <w:spacing w:val="20"/>
                <w:kern w:val="2"/>
                <w:sz w:val="22"/>
                <w:szCs w:val="24"/>
              </w:rPr>
              <w:t>罪</w:t>
            </w:r>
            <w:r>
              <w:rPr>
                <w:rFonts w:ascii="Time New Roman" w:eastAsia="SimHei" w:hAnsi="Time New Roman"/>
                <w:spacing w:val="20"/>
                <w:kern w:val="2"/>
                <w:sz w:val="22"/>
                <w:szCs w:val="24"/>
              </w:rPr>
              <w:t xml:space="preserve">  </w:t>
            </w:r>
            <w:r>
              <w:rPr>
                <w:rFonts w:ascii="Time New Roman" w:eastAsia="SimHei" w:hAnsi="Time New Roman" w:hint="eastAsia"/>
                <w:spacing w:val="20"/>
                <w:kern w:val="2"/>
                <w:sz w:val="22"/>
                <w:szCs w:val="24"/>
              </w:rPr>
              <w:t>型</w:t>
            </w:r>
          </w:p>
        </w:tc>
        <w:tc>
          <w:tcPr>
            <w:tcW w:w="0" w:type="auto"/>
            <w:shd w:val="clear" w:color="auto" w:fill="F3F3F3"/>
            <w:vAlign w:val="center"/>
          </w:tcPr>
          <w:p w:rsidR="00000000" w:rsidRDefault="00000000">
            <w:pPr>
              <w:spacing w:before="120"/>
              <w:jc w:val="center"/>
              <w:rPr>
                <w:rFonts w:ascii="Time New Roman" w:eastAsia="SimHei" w:hAnsi="Time New Roman" w:hint="eastAsia"/>
                <w:spacing w:val="0"/>
                <w:sz w:val="22"/>
              </w:rPr>
            </w:pPr>
            <w:r>
              <w:rPr>
                <w:rFonts w:ascii="Time New Roman" w:eastAsia="SimHei" w:hAnsi="Time New Roman" w:hint="eastAsia"/>
                <w:spacing w:val="0"/>
                <w:sz w:val="22"/>
              </w:rPr>
              <w:t>发生日期</w:t>
            </w:r>
          </w:p>
        </w:tc>
        <w:tc>
          <w:tcPr>
            <w:tcW w:w="0" w:type="auto"/>
            <w:shd w:val="clear" w:color="auto" w:fill="F3F3F3"/>
            <w:vAlign w:val="center"/>
          </w:tcPr>
          <w:p w:rsidR="00000000" w:rsidRDefault="00000000">
            <w:pPr>
              <w:spacing w:before="120"/>
              <w:jc w:val="center"/>
              <w:rPr>
                <w:rFonts w:ascii="Time New Roman" w:eastAsia="SimHei" w:hAnsi="Time New Roman" w:hint="eastAsia"/>
                <w:spacing w:val="0"/>
                <w:sz w:val="22"/>
              </w:rPr>
            </w:pPr>
            <w:r>
              <w:rPr>
                <w:rFonts w:ascii="Time New Roman" w:eastAsia="SimHei" w:hAnsi="Time New Roman" w:hint="eastAsia"/>
                <w:spacing w:val="0"/>
                <w:sz w:val="22"/>
              </w:rPr>
              <w:t>检举</w:t>
            </w:r>
          </w:p>
        </w:tc>
        <w:tc>
          <w:tcPr>
            <w:tcW w:w="0" w:type="auto"/>
            <w:shd w:val="clear" w:color="auto" w:fill="F3F3F3"/>
            <w:vAlign w:val="center"/>
          </w:tcPr>
          <w:p w:rsidR="00000000" w:rsidRDefault="00000000">
            <w:pPr>
              <w:spacing w:before="120"/>
              <w:jc w:val="center"/>
              <w:rPr>
                <w:rFonts w:ascii="Time New Roman" w:eastAsia="SimHei" w:hAnsi="Time New Roman" w:hint="eastAsia"/>
                <w:spacing w:val="0"/>
                <w:sz w:val="22"/>
              </w:rPr>
            </w:pPr>
            <w:r>
              <w:rPr>
                <w:rFonts w:ascii="Time New Roman" w:eastAsia="SimHei" w:hAnsi="Time New Roman" w:hint="eastAsia"/>
                <w:spacing w:val="0"/>
                <w:sz w:val="22"/>
              </w:rPr>
              <w:t>展开调查</w:t>
            </w:r>
          </w:p>
        </w:tc>
        <w:tc>
          <w:tcPr>
            <w:tcW w:w="0" w:type="auto"/>
            <w:shd w:val="clear" w:color="auto" w:fill="F3F3F3"/>
            <w:vAlign w:val="center"/>
          </w:tcPr>
          <w:p w:rsidR="00000000" w:rsidRDefault="00000000">
            <w:pPr>
              <w:spacing w:before="120"/>
              <w:jc w:val="center"/>
              <w:rPr>
                <w:rFonts w:ascii="Time New Roman" w:eastAsia="SimHei" w:hAnsi="Time New Roman" w:hint="eastAsia"/>
                <w:spacing w:val="0"/>
                <w:sz w:val="22"/>
              </w:rPr>
            </w:pPr>
            <w:r>
              <w:rPr>
                <w:rFonts w:ascii="Time New Roman" w:eastAsia="SimHei" w:hAnsi="Time New Roman" w:hint="eastAsia"/>
                <w:spacing w:val="0"/>
                <w:sz w:val="22"/>
              </w:rPr>
              <w:t>进展情况况</w:t>
            </w:r>
          </w:p>
        </w:tc>
      </w:tr>
      <w:tr w:rsidR="00000000">
        <w:tblPrEx>
          <w:tblCellMar>
            <w:top w:w="0" w:type="dxa"/>
            <w:bottom w:w="0" w:type="dxa"/>
          </w:tblCellMar>
        </w:tblPrEx>
        <w:trPr>
          <w:jc w:val="center"/>
        </w:trPr>
        <w:tc>
          <w:tcPr>
            <w:tcW w:w="0" w:type="auto"/>
            <w:vAlign w:val="center"/>
          </w:tcPr>
          <w:p w:rsidR="00000000" w:rsidRDefault="00000000">
            <w:pPr>
              <w:spacing w:line="240" w:lineRule="auto"/>
              <w:rPr>
                <w:spacing w:val="0"/>
                <w:sz w:val="22"/>
              </w:rPr>
            </w:pPr>
            <w:r>
              <w:rPr>
                <w:rFonts w:hint="eastAsia"/>
                <w:spacing w:val="0"/>
                <w:sz w:val="22"/>
              </w:rPr>
              <w:t>酷刑及其他残忍、有辱人格或不人道之待遇</w:t>
            </w:r>
          </w:p>
        </w:tc>
        <w:tc>
          <w:tcPr>
            <w:tcW w:w="0" w:type="auto"/>
            <w:vAlign w:val="center"/>
          </w:tcPr>
          <w:p w:rsidR="00000000" w:rsidRDefault="00000000">
            <w:pPr>
              <w:rPr>
                <w:sz w:val="22"/>
              </w:rPr>
            </w:pPr>
            <w:r>
              <w:rPr>
                <w:sz w:val="22"/>
              </w:rPr>
              <w:t>20/08/2001</w:t>
            </w:r>
          </w:p>
        </w:tc>
        <w:tc>
          <w:tcPr>
            <w:tcW w:w="0" w:type="auto"/>
            <w:vAlign w:val="center"/>
          </w:tcPr>
          <w:p w:rsidR="00000000" w:rsidRDefault="00000000">
            <w:pPr>
              <w:rPr>
                <w:sz w:val="22"/>
              </w:rPr>
            </w:pPr>
            <w:r>
              <w:rPr>
                <w:sz w:val="22"/>
              </w:rPr>
              <w:t>25/08/2001</w:t>
            </w:r>
          </w:p>
        </w:tc>
        <w:tc>
          <w:tcPr>
            <w:tcW w:w="0" w:type="auto"/>
            <w:vAlign w:val="center"/>
          </w:tcPr>
          <w:p w:rsidR="00000000" w:rsidRDefault="00000000">
            <w:pPr>
              <w:rPr>
                <w:sz w:val="22"/>
              </w:rPr>
            </w:pPr>
            <w:r>
              <w:rPr>
                <w:sz w:val="22"/>
              </w:rPr>
              <w:t>04/04/2002</w:t>
            </w:r>
          </w:p>
        </w:tc>
        <w:tc>
          <w:tcPr>
            <w:tcW w:w="0" w:type="auto"/>
            <w:vAlign w:val="center"/>
          </w:tcPr>
          <w:p w:rsidR="00000000" w:rsidRDefault="00000000">
            <w:pPr>
              <w:rPr>
                <w:sz w:val="22"/>
              </w:rPr>
            </w:pPr>
            <w:r>
              <w:rPr>
                <w:rFonts w:hint="eastAsia"/>
                <w:spacing w:val="20"/>
                <w:sz w:val="22"/>
              </w:rPr>
              <w:t>归档</w:t>
            </w:r>
          </w:p>
        </w:tc>
      </w:tr>
      <w:tr w:rsidR="00000000">
        <w:tblPrEx>
          <w:tblCellMar>
            <w:top w:w="0" w:type="dxa"/>
            <w:bottom w:w="0" w:type="dxa"/>
          </w:tblCellMar>
        </w:tblPrEx>
        <w:trPr>
          <w:jc w:val="center"/>
        </w:trPr>
        <w:tc>
          <w:tcPr>
            <w:tcW w:w="0" w:type="auto"/>
            <w:vAlign w:val="center"/>
          </w:tcPr>
          <w:p w:rsidR="00000000" w:rsidRDefault="00000000">
            <w:pPr>
              <w:rPr>
                <w:spacing w:val="0"/>
                <w:sz w:val="22"/>
              </w:rPr>
            </w:pPr>
            <w:r>
              <w:rPr>
                <w:rFonts w:hint="eastAsia"/>
                <w:spacing w:val="0"/>
                <w:sz w:val="22"/>
              </w:rPr>
              <w:t>为施以酷刑而僭越职务</w:t>
            </w:r>
          </w:p>
        </w:tc>
        <w:tc>
          <w:tcPr>
            <w:tcW w:w="0" w:type="auto"/>
            <w:vAlign w:val="center"/>
          </w:tcPr>
          <w:p w:rsidR="00000000" w:rsidRDefault="00000000">
            <w:pPr>
              <w:rPr>
                <w:sz w:val="22"/>
              </w:rPr>
            </w:pPr>
            <w:r>
              <w:rPr>
                <w:sz w:val="22"/>
              </w:rPr>
              <w:t>23/04/2002</w:t>
            </w:r>
          </w:p>
        </w:tc>
        <w:tc>
          <w:tcPr>
            <w:tcW w:w="0" w:type="auto"/>
            <w:vAlign w:val="center"/>
          </w:tcPr>
          <w:p w:rsidR="00000000" w:rsidRDefault="00000000">
            <w:pPr>
              <w:rPr>
                <w:sz w:val="22"/>
              </w:rPr>
            </w:pPr>
            <w:r>
              <w:rPr>
                <w:sz w:val="22"/>
              </w:rPr>
              <w:t>23/04/2002</w:t>
            </w:r>
          </w:p>
        </w:tc>
        <w:tc>
          <w:tcPr>
            <w:tcW w:w="0" w:type="auto"/>
            <w:vAlign w:val="center"/>
          </w:tcPr>
          <w:p w:rsidR="00000000" w:rsidRDefault="00000000">
            <w:pPr>
              <w:rPr>
                <w:sz w:val="22"/>
              </w:rPr>
            </w:pPr>
            <w:r>
              <w:rPr>
                <w:sz w:val="22"/>
              </w:rPr>
              <w:t>23/04/2002</w:t>
            </w:r>
          </w:p>
        </w:tc>
        <w:tc>
          <w:tcPr>
            <w:tcW w:w="0" w:type="auto"/>
            <w:vAlign w:val="center"/>
          </w:tcPr>
          <w:p w:rsidR="00000000" w:rsidRDefault="00000000">
            <w:pPr>
              <w:rPr>
                <w:sz w:val="22"/>
              </w:rPr>
            </w:pPr>
            <w:r>
              <w:rPr>
                <w:rFonts w:hint="eastAsia"/>
                <w:spacing w:val="20"/>
                <w:sz w:val="22"/>
              </w:rPr>
              <w:t>归档</w:t>
            </w:r>
          </w:p>
        </w:tc>
      </w:tr>
      <w:tr w:rsidR="00000000">
        <w:tblPrEx>
          <w:tblCellMar>
            <w:top w:w="0" w:type="dxa"/>
            <w:bottom w:w="0" w:type="dxa"/>
          </w:tblCellMar>
        </w:tblPrEx>
        <w:trPr>
          <w:jc w:val="center"/>
        </w:trPr>
        <w:tc>
          <w:tcPr>
            <w:tcW w:w="0" w:type="auto"/>
            <w:vAlign w:val="center"/>
          </w:tcPr>
          <w:p w:rsidR="00000000" w:rsidRDefault="00000000">
            <w:pPr>
              <w:spacing w:line="240" w:lineRule="auto"/>
              <w:rPr>
                <w:spacing w:val="0"/>
                <w:sz w:val="22"/>
              </w:rPr>
            </w:pPr>
            <w:r>
              <w:rPr>
                <w:rFonts w:hint="eastAsia"/>
                <w:spacing w:val="0"/>
                <w:sz w:val="22"/>
              </w:rPr>
              <w:t>严重酷刑及其他残忍、有辱人格或不人道之待遇</w:t>
            </w:r>
          </w:p>
        </w:tc>
        <w:tc>
          <w:tcPr>
            <w:tcW w:w="0" w:type="auto"/>
            <w:vAlign w:val="center"/>
          </w:tcPr>
          <w:p w:rsidR="00000000" w:rsidRDefault="00000000">
            <w:pPr>
              <w:rPr>
                <w:sz w:val="22"/>
              </w:rPr>
            </w:pPr>
            <w:r>
              <w:rPr>
                <w:sz w:val="22"/>
              </w:rPr>
              <w:t>26/10/2002</w:t>
            </w:r>
          </w:p>
        </w:tc>
        <w:tc>
          <w:tcPr>
            <w:tcW w:w="0" w:type="auto"/>
            <w:vAlign w:val="center"/>
          </w:tcPr>
          <w:p w:rsidR="00000000" w:rsidRDefault="00000000">
            <w:pPr>
              <w:rPr>
                <w:sz w:val="22"/>
              </w:rPr>
            </w:pPr>
            <w:r>
              <w:rPr>
                <w:sz w:val="22"/>
              </w:rPr>
              <w:t>26/10/2002</w:t>
            </w:r>
          </w:p>
        </w:tc>
        <w:tc>
          <w:tcPr>
            <w:tcW w:w="0" w:type="auto"/>
            <w:vAlign w:val="center"/>
          </w:tcPr>
          <w:p w:rsidR="00000000" w:rsidRDefault="00000000">
            <w:pPr>
              <w:rPr>
                <w:sz w:val="22"/>
              </w:rPr>
            </w:pPr>
            <w:r>
              <w:rPr>
                <w:sz w:val="22"/>
              </w:rPr>
              <w:t>05/11/2002</w:t>
            </w:r>
          </w:p>
        </w:tc>
        <w:tc>
          <w:tcPr>
            <w:tcW w:w="0" w:type="auto"/>
            <w:vAlign w:val="center"/>
          </w:tcPr>
          <w:p w:rsidR="00000000" w:rsidRDefault="00000000">
            <w:pPr>
              <w:rPr>
                <w:sz w:val="22"/>
              </w:rPr>
            </w:pPr>
            <w:r>
              <w:rPr>
                <w:rFonts w:hint="eastAsia"/>
                <w:spacing w:val="20"/>
                <w:sz w:val="22"/>
              </w:rPr>
              <w:t>归档</w:t>
            </w:r>
          </w:p>
        </w:tc>
      </w:tr>
    </w:tbl>
    <w:p w:rsidR="00000000" w:rsidRDefault="00000000">
      <w:pPr>
        <w:spacing w:before="360"/>
        <w:rPr>
          <w:rFonts w:hint="eastAsia"/>
          <w:bCs/>
          <w:i/>
          <w:spacing w:val="20"/>
          <w:sz w:val="18"/>
        </w:rPr>
      </w:pPr>
      <w:r>
        <w:rPr>
          <w:rFonts w:hint="eastAsia"/>
          <w:b/>
          <w:iCs/>
          <w:spacing w:val="20"/>
          <w:sz w:val="18"/>
        </w:rPr>
        <w:t>资料来源</w:t>
      </w:r>
      <w:r>
        <w:rPr>
          <w:rFonts w:hint="eastAsia"/>
          <w:bCs/>
          <w:iCs/>
          <w:spacing w:val="20"/>
          <w:sz w:val="18"/>
        </w:rPr>
        <w:t>：</w:t>
      </w:r>
      <w:r>
        <w:rPr>
          <w:rFonts w:hint="eastAsia"/>
          <w:bCs/>
          <w:i/>
          <w:spacing w:val="20"/>
          <w:sz w:val="18"/>
        </w:rPr>
        <w:t>检察长办公室</w:t>
      </w:r>
    </w:p>
    <w:p w:rsidR="00000000" w:rsidRDefault="00000000">
      <w:pPr>
        <w:spacing w:after="240"/>
      </w:pPr>
      <w:r>
        <w:br w:type="page"/>
      </w:r>
      <w:r>
        <w:tab/>
        <w:t xml:space="preserve">185. </w:t>
      </w:r>
      <w:r>
        <w:rPr>
          <w:rFonts w:hint="eastAsia"/>
        </w:rPr>
        <w:t xml:space="preserve"> </w:t>
      </w:r>
      <w:r>
        <w:rPr>
          <w:rFonts w:hint="eastAsia"/>
        </w:rPr>
        <w:t>以下资料显示廉政公署</w:t>
      </w:r>
      <w:r>
        <w:rPr>
          <w:rFonts w:hint="eastAsia"/>
        </w:rPr>
        <w:t>(</w:t>
      </w:r>
      <w:r>
        <w:rPr>
          <w:rFonts w:hint="eastAsia"/>
        </w:rPr>
        <w:t>兼有申诉专员职责</w:t>
      </w:r>
      <w:r>
        <w:rPr>
          <w:rFonts w:hint="eastAsia"/>
        </w:rPr>
        <w:t>)</w:t>
      </w:r>
      <w:r>
        <w:rPr>
          <w:rFonts w:hint="eastAsia"/>
        </w:rPr>
        <w:t>收到的关于公务员犯有酷刑及其他残忍、有辱人格或不人道之待遇的检举</w:t>
      </w:r>
      <w:r>
        <w:t>：</w:t>
      </w:r>
    </w:p>
    <w:tbl>
      <w:tblPr>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
      <w:tblGrid>
        <w:gridCol w:w="1224"/>
        <w:gridCol w:w="1224"/>
        <w:gridCol w:w="7122"/>
      </w:tblGrid>
      <w:tr w:rsidR="00000000">
        <w:tblPrEx>
          <w:tblCellMar>
            <w:top w:w="0" w:type="dxa"/>
            <w:bottom w:w="0" w:type="dxa"/>
          </w:tblCellMar>
        </w:tblPrEx>
        <w:trPr>
          <w:tblHeader/>
          <w:jc w:val="center"/>
        </w:trPr>
        <w:tc>
          <w:tcPr>
            <w:tcW w:w="0" w:type="auto"/>
            <w:shd w:val="clear" w:color="auto" w:fill="F3F3F3"/>
            <w:vAlign w:val="center"/>
          </w:tcPr>
          <w:p w:rsidR="00000000" w:rsidRDefault="00000000">
            <w:pPr>
              <w:spacing w:before="120"/>
              <w:rPr>
                <w:rFonts w:ascii="Time New Roman" w:eastAsia="SimHei" w:hAnsi="Time New Roman" w:hint="eastAsia"/>
                <w:spacing w:val="0"/>
                <w:sz w:val="22"/>
              </w:rPr>
            </w:pPr>
            <w:r>
              <w:rPr>
                <w:rFonts w:ascii="Time New Roman" w:eastAsia="SimHei" w:hAnsi="Time New Roman" w:hint="eastAsia"/>
                <w:spacing w:val="0"/>
                <w:sz w:val="22"/>
              </w:rPr>
              <w:t>发生时间</w:t>
            </w:r>
          </w:p>
        </w:tc>
        <w:tc>
          <w:tcPr>
            <w:tcW w:w="0" w:type="auto"/>
            <w:shd w:val="clear" w:color="auto" w:fill="F3F3F3"/>
            <w:vAlign w:val="center"/>
          </w:tcPr>
          <w:p w:rsidR="00000000" w:rsidRDefault="00000000">
            <w:pPr>
              <w:spacing w:before="120"/>
              <w:rPr>
                <w:rFonts w:ascii="Time New Roman" w:eastAsia="SimHei" w:hAnsi="Time New Roman" w:hint="eastAsia"/>
                <w:spacing w:val="0"/>
                <w:sz w:val="22"/>
              </w:rPr>
            </w:pPr>
            <w:r>
              <w:rPr>
                <w:rFonts w:ascii="Time New Roman" w:eastAsia="SimHei" w:hAnsi="Time New Roman" w:hint="eastAsia"/>
                <w:spacing w:val="0"/>
                <w:sz w:val="22"/>
              </w:rPr>
              <w:t>检举时间</w:t>
            </w:r>
          </w:p>
        </w:tc>
        <w:tc>
          <w:tcPr>
            <w:tcW w:w="0" w:type="auto"/>
            <w:shd w:val="clear" w:color="auto" w:fill="F3F3F3"/>
            <w:vAlign w:val="center"/>
          </w:tcPr>
          <w:p w:rsidR="00000000" w:rsidRDefault="00000000">
            <w:pPr>
              <w:spacing w:before="120"/>
              <w:jc w:val="center"/>
              <w:rPr>
                <w:rFonts w:ascii="Time New Roman" w:eastAsia="SimHei" w:hAnsi="Time New Roman" w:hint="eastAsia"/>
                <w:spacing w:val="20"/>
                <w:sz w:val="22"/>
              </w:rPr>
            </w:pPr>
            <w:r>
              <w:rPr>
                <w:rFonts w:ascii="Time New Roman" w:eastAsia="SimHei" w:hAnsi="Time New Roman" w:hint="eastAsia"/>
                <w:spacing w:val="20"/>
                <w:sz w:val="22"/>
              </w:rPr>
              <w:t>进展情况</w:t>
            </w:r>
          </w:p>
        </w:tc>
      </w:tr>
      <w:tr w:rsidR="00000000">
        <w:tblPrEx>
          <w:tblCellMar>
            <w:top w:w="0" w:type="dxa"/>
            <w:bottom w:w="0" w:type="dxa"/>
          </w:tblCellMar>
        </w:tblPrEx>
        <w:trPr>
          <w:jc w:val="center"/>
        </w:trPr>
        <w:tc>
          <w:tcPr>
            <w:tcW w:w="0" w:type="auto"/>
            <w:vAlign w:val="center"/>
          </w:tcPr>
          <w:p w:rsidR="00000000" w:rsidRDefault="00000000">
            <w:pPr>
              <w:spacing w:line="288" w:lineRule="auto"/>
              <w:jc w:val="center"/>
              <w:rPr>
                <w:spacing w:val="0"/>
                <w:sz w:val="22"/>
              </w:rPr>
            </w:pPr>
            <w:r>
              <w:rPr>
                <w:spacing w:val="0"/>
                <w:sz w:val="22"/>
              </w:rPr>
              <w:t>09/2001</w:t>
            </w:r>
          </w:p>
        </w:tc>
        <w:tc>
          <w:tcPr>
            <w:tcW w:w="0" w:type="auto"/>
            <w:vAlign w:val="center"/>
          </w:tcPr>
          <w:p w:rsidR="00000000" w:rsidRDefault="00000000">
            <w:pPr>
              <w:spacing w:line="288" w:lineRule="auto"/>
              <w:jc w:val="center"/>
              <w:rPr>
                <w:spacing w:val="0"/>
                <w:sz w:val="22"/>
              </w:rPr>
            </w:pPr>
            <w:r>
              <w:rPr>
                <w:spacing w:val="0"/>
                <w:sz w:val="22"/>
              </w:rPr>
              <w:t>10/2001</w:t>
            </w:r>
          </w:p>
        </w:tc>
        <w:tc>
          <w:tcPr>
            <w:tcW w:w="0" w:type="auto"/>
          </w:tcPr>
          <w:p w:rsidR="00000000" w:rsidRDefault="00000000">
            <w:pPr>
              <w:spacing w:line="288" w:lineRule="auto"/>
              <w:rPr>
                <w:spacing w:val="0"/>
                <w:sz w:val="22"/>
              </w:rPr>
            </w:pPr>
            <w:r>
              <w:rPr>
                <w:rFonts w:hint="eastAsia"/>
                <w:spacing w:val="0"/>
                <w:sz w:val="22"/>
              </w:rPr>
              <w:t>初步调查后未立案</w:t>
            </w:r>
          </w:p>
        </w:tc>
      </w:tr>
      <w:tr w:rsidR="00000000">
        <w:tblPrEx>
          <w:tblCellMar>
            <w:top w:w="0" w:type="dxa"/>
            <w:bottom w:w="0" w:type="dxa"/>
          </w:tblCellMar>
        </w:tblPrEx>
        <w:trPr>
          <w:jc w:val="center"/>
        </w:trPr>
        <w:tc>
          <w:tcPr>
            <w:tcW w:w="0" w:type="auto"/>
            <w:vAlign w:val="center"/>
          </w:tcPr>
          <w:p w:rsidR="00000000" w:rsidRDefault="00000000">
            <w:pPr>
              <w:spacing w:line="288" w:lineRule="auto"/>
              <w:jc w:val="center"/>
              <w:rPr>
                <w:spacing w:val="0"/>
                <w:sz w:val="22"/>
              </w:rPr>
            </w:pPr>
            <w:r>
              <w:rPr>
                <w:spacing w:val="0"/>
                <w:sz w:val="22"/>
              </w:rPr>
              <w:t>10/2001</w:t>
            </w:r>
          </w:p>
        </w:tc>
        <w:tc>
          <w:tcPr>
            <w:tcW w:w="0" w:type="auto"/>
            <w:vAlign w:val="center"/>
          </w:tcPr>
          <w:p w:rsidR="00000000" w:rsidRDefault="00000000">
            <w:pPr>
              <w:spacing w:line="288" w:lineRule="auto"/>
              <w:jc w:val="center"/>
              <w:rPr>
                <w:spacing w:val="0"/>
                <w:sz w:val="22"/>
              </w:rPr>
            </w:pPr>
            <w:r>
              <w:rPr>
                <w:spacing w:val="0"/>
                <w:sz w:val="22"/>
              </w:rPr>
              <w:t>10/2001</w:t>
            </w:r>
          </w:p>
        </w:tc>
        <w:tc>
          <w:tcPr>
            <w:tcW w:w="0" w:type="auto"/>
          </w:tcPr>
          <w:p w:rsidR="00000000" w:rsidRDefault="00000000">
            <w:pPr>
              <w:spacing w:line="288" w:lineRule="auto"/>
              <w:rPr>
                <w:spacing w:val="0"/>
                <w:sz w:val="22"/>
              </w:rPr>
            </w:pPr>
            <w:r>
              <w:rPr>
                <w:rFonts w:hint="eastAsia"/>
                <w:spacing w:val="0"/>
                <w:sz w:val="22"/>
              </w:rPr>
              <w:t>立案调查后因证据不足及举报人不合作而于二零零二年十月归档</w:t>
            </w:r>
          </w:p>
        </w:tc>
      </w:tr>
      <w:tr w:rsidR="00000000">
        <w:tblPrEx>
          <w:tblCellMar>
            <w:top w:w="0" w:type="dxa"/>
            <w:bottom w:w="0" w:type="dxa"/>
          </w:tblCellMar>
        </w:tblPrEx>
        <w:trPr>
          <w:jc w:val="center"/>
        </w:trPr>
        <w:tc>
          <w:tcPr>
            <w:tcW w:w="0" w:type="auto"/>
            <w:vAlign w:val="center"/>
          </w:tcPr>
          <w:p w:rsidR="00000000" w:rsidRDefault="00000000">
            <w:pPr>
              <w:spacing w:line="288" w:lineRule="auto"/>
              <w:jc w:val="center"/>
              <w:rPr>
                <w:spacing w:val="0"/>
                <w:sz w:val="22"/>
              </w:rPr>
            </w:pPr>
            <w:r>
              <w:rPr>
                <w:spacing w:val="0"/>
                <w:sz w:val="22"/>
              </w:rPr>
              <w:t>02/2002</w:t>
            </w:r>
          </w:p>
        </w:tc>
        <w:tc>
          <w:tcPr>
            <w:tcW w:w="0" w:type="auto"/>
            <w:vAlign w:val="center"/>
          </w:tcPr>
          <w:p w:rsidR="00000000" w:rsidRDefault="00000000">
            <w:pPr>
              <w:spacing w:line="288" w:lineRule="auto"/>
              <w:jc w:val="center"/>
              <w:rPr>
                <w:spacing w:val="0"/>
                <w:sz w:val="22"/>
              </w:rPr>
            </w:pPr>
            <w:r>
              <w:rPr>
                <w:spacing w:val="0"/>
                <w:sz w:val="22"/>
              </w:rPr>
              <w:t>02/2002</w:t>
            </w:r>
          </w:p>
        </w:tc>
        <w:tc>
          <w:tcPr>
            <w:tcW w:w="0" w:type="auto"/>
          </w:tcPr>
          <w:p w:rsidR="00000000" w:rsidRDefault="00000000">
            <w:pPr>
              <w:spacing w:line="288" w:lineRule="auto"/>
              <w:rPr>
                <w:spacing w:val="0"/>
                <w:sz w:val="22"/>
              </w:rPr>
            </w:pPr>
            <w:r>
              <w:rPr>
                <w:rFonts w:hint="eastAsia"/>
                <w:spacing w:val="0"/>
                <w:sz w:val="22"/>
              </w:rPr>
              <w:t>立案调查后因证据不足及举报人不合作而于二零零二年五月归档</w:t>
            </w:r>
          </w:p>
        </w:tc>
      </w:tr>
      <w:tr w:rsidR="00000000">
        <w:tblPrEx>
          <w:tblCellMar>
            <w:top w:w="0" w:type="dxa"/>
            <w:bottom w:w="0" w:type="dxa"/>
          </w:tblCellMar>
        </w:tblPrEx>
        <w:trPr>
          <w:jc w:val="center"/>
        </w:trPr>
        <w:tc>
          <w:tcPr>
            <w:tcW w:w="0" w:type="auto"/>
            <w:vAlign w:val="center"/>
          </w:tcPr>
          <w:p w:rsidR="00000000" w:rsidRDefault="00000000">
            <w:pPr>
              <w:spacing w:line="288" w:lineRule="auto"/>
              <w:jc w:val="center"/>
              <w:rPr>
                <w:spacing w:val="0"/>
                <w:sz w:val="22"/>
              </w:rPr>
            </w:pPr>
            <w:r>
              <w:rPr>
                <w:spacing w:val="0"/>
                <w:sz w:val="22"/>
              </w:rPr>
              <w:t>05/2002</w:t>
            </w:r>
          </w:p>
        </w:tc>
        <w:tc>
          <w:tcPr>
            <w:tcW w:w="0" w:type="auto"/>
            <w:vAlign w:val="center"/>
          </w:tcPr>
          <w:p w:rsidR="00000000" w:rsidRDefault="00000000">
            <w:pPr>
              <w:spacing w:line="288" w:lineRule="auto"/>
              <w:jc w:val="center"/>
              <w:rPr>
                <w:spacing w:val="0"/>
                <w:sz w:val="22"/>
              </w:rPr>
            </w:pPr>
            <w:r>
              <w:rPr>
                <w:spacing w:val="0"/>
                <w:sz w:val="22"/>
              </w:rPr>
              <w:t>05/2002</w:t>
            </w:r>
          </w:p>
        </w:tc>
        <w:tc>
          <w:tcPr>
            <w:tcW w:w="0" w:type="auto"/>
          </w:tcPr>
          <w:p w:rsidR="00000000" w:rsidRDefault="00000000">
            <w:pPr>
              <w:spacing w:line="288" w:lineRule="auto"/>
              <w:rPr>
                <w:spacing w:val="0"/>
                <w:sz w:val="22"/>
              </w:rPr>
            </w:pPr>
            <w:r>
              <w:rPr>
                <w:rFonts w:hint="eastAsia"/>
                <w:spacing w:val="0"/>
                <w:sz w:val="22"/>
              </w:rPr>
              <w:t>立案调查后于二零零二年八月归档</w:t>
            </w:r>
            <w:r>
              <w:rPr>
                <w:spacing w:val="0"/>
                <w:sz w:val="22"/>
              </w:rPr>
              <w:t>**</w:t>
            </w:r>
          </w:p>
        </w:tc>
      </w:tr>
      <w:tr w:rsidR="00000000">
        <w:tblPrEx>
          <w:tblCellMar>
            <w:top w:w="0" w:type="dxa"/>
            <w:bottom w:w="0" w:type="dxa"/>
          </w:tblCellMar>
        </w:tblPrEx>
        <w:trPr>
          <w:jc w:val="center"/>
        </w:trPr>
        <w:tc>
          <w:tcPr>
            <w:tcW w:w="0" w:type="auto"/>
            <w:vAlign w:val="center"/>
          </w:tcPr>
          <w:p w:rsidR="00000000" w:rsidRDefault="00000000">
            <w:pPr>
              <w:spacing w:line="288" w:lineRule="auto"/>
              <w:jc w:val="center"/>
              <w:rPr>
                <w:spacing w:val="0"/>
                <w:sz w:val="22"/>
              </w:rPr>
            </w:pPr>
            <w:r>
              <w:rPr>
                <w:spacing w:val="0"/>
                <w:sz w:val="22"/>
              </w:rPr>
              <w:t>05/2002</w:t>
            </w:r>
          </w:p>
        </w:tc>
        <w:tc>
          <w:tcPr>
            <w:tcW w:w="0" w:type="auto"/>
            <w:vAlign w:val="center"/>
          </w:tcPr>
          <w:p w:rsidR="00000000" w:rsidRDefault="00000000">
            <w:pPr>
              <w:spacing w:line="288" w:lineRule="auto"/>
              <w:jc w:val="center"/>
              <w:rPr>
                <w:spacing w:val="0"/>
                <w:sz w:val="22"/>
              </w:rPr>
            </w:pPr>
            <w:r>
              <w:rPr>
                <w:spacing w:val="0"/>
                <w:sz w:val="22"/>
              </w:rPr>
              <w:t>05/2002</w:t>
            </w:r>
          </w:p>
        </w:tc>
        <w:tc>
          <w:tcPr>
            <w:tcW w:w="0" w:type="auto"/>
          </w:tcPr>
          <w:p w:rsidR="00000000" w:rsidRDefault="00000000">
            <w:pPr>
              <w:spacing w:line="288" w:lineRule="auto"/>
              <w:rPr>
                <w:spacing w:val="0"/>
                <w:sz w:val="22"/>
              </w:rPr>
            </w:pPr>
            <w:r>
              <w:rPr>
                <w:rFonts w:hint="eastAsia"/>
                <w:spacing w:val="0"/>
                <w:sz w:val="22"/>
              </w:rPr>
              <w:t>立案调查后因证据不足而于二零零三年二月归档</w:t>
            </w:r>
          </w:p>
        </w:tc>
      </w:tr>
      <w:tr w:rsidR="00000000">
        <w:tblPrEx>
          <w:tblCellMar>
            <w:top w:w="0" w:type="dxa"/>
            <w:bottom w:w="0" w:type="dxa"/>
          </w:tblCellMar>
        </w:tblPrEx>
        <w:trPr>
          <w:jc w:val="center"/>
        </w:trPr>
        <w:tc>
          <w:tcPr>
            <w:tcW w:w="0" w:type="auto"/>
            <w:vAlign w:val="center"/>
          </w:tcPr>
          <w:p w:rsidR="00000000" w:rsidRDefault="00000000">
            <w:pPr>
              <w:spacing w:line="288" w:lineRule="auto"/>
              <w:jc w:val="center"/>
              <w:rPr>
                <w:spacing w:val="0"/>
                <w:sz w:val="22"/>
              </w:rPr>
            </w:pPr>
            <w:r>
              <w:rPr>
                <w:spacing w:val="0"/>
                <w:sz w:val="22"/>
              </w:rPr>
              <w:t>06/2002</w:t>
            </w:r>
          </w:p>
        </w:tc>
        <w:tc>
          <w:tcPr>
            <w:tcW w:w="0" w:type="auto"/>
            <w:vAlign w:val="center"/>
          </w:tcPr>
          <w:p w:rsidR="00000000" w:rsidRDefault="00000000">
            <w:pPr>
              <w:spacing w:line="288" w:lineRule="auto"/>
              <w:jc w:val="center"/>
              <w:rPr>
                <w:spacing w:val="0"/>
                <w:sz w:val="22"/>
              </w:rPr>
            </w:pPr>
            <w:r>
              <w:rPr>
                <w:spacing w:val="0"/>
                <w:sz w:val="22"/>
              </w:rPr>
              <w:t>06/2002</w:t>
            </w:r>
          </w:p>
        </w:tc>
        <w:tc>
          <w:tcPr>
            <w:tcW w:w="0" w:type="auto"/>
          </w:tcPr>
          <w:p w:rsidR="00000000" w:rsidRDefault="00000000">
            <w:pPr>
              <w:spacing w:line="288" w:lineRule="auto"/>
              <w:rPr>
                <w:spacing w:val="0"/>
                <w:sz w:val="22"/>
              </w:rPr>
            </w:pPr>
            <w:r>
              <w:rPr>
                <w:rFonts w:hint="eastAsia"/>
                <w:spacing w:val="0"/>
                <w:sz w:val="22"/>
              </w:rPr>
              <w:t>投诉个案移送有关部门后因证据不足而归档</w:t>
            </w:r>
          </w:p>
        </w:tc>
      </w:tr>
      <w:tr w:rsidR="00000000">
        <w:tblPrEx>
          <w:tblCellMar>
            <w:top w:w="0" w:type="dxa"/>
            <w:bottom w:w="0" w:type="dxa"/>
          </w:tblCellMar>
        </w:tblPrEx>
        <w:trPr>
          <w:jc w:val="center"/>
        </w:trPr>
        <w:tc>
          <w:tcPr>
            <w:tcW w:w="0" w:type="auto"/>
            <w:vAlign w:val="center"/>
          </w:tcPr>
          <w:p w:rsidR="00000000" w:rsidRDefault="00000000">
            <w:pPr>
              <w:spacing w:line="288" w:lineRule="auto"/>
              <w:jc w:val="center"/>
              <w:rPr>
                <w:spacing w:val="0"/>
                <w:sz w:val="22"/>
              </w:rPr>
            </w:pPr>
            <w:r>
              <w:rPr>
                <w:spacing w:val="0"/>
                <w:sz w:val="22"/>
              </w:rPr>
              <w:t>08/2002</w:t>
            </w:r>
          </w:p>
        </w:tc>
        <w:tc>
          <w:tcPr>
            <w:tcW w:w="0" w:type="auto"/>
            <w:vAlign w:val="center"/>
          </w:tcPr>
          <w:p w:rsidR="00000000" w:rsidRDefault="00000000">
            <w:pPr>
              <w:spacing w:line="288" w:lineRule="auto"/>
              <w:jc w:val="center"/>
              <w:rPr>
                <w:spacing w:val="0"/>
                <w:sz w:val="22"/>
              </w:rPr>
            </w:pPr>
            <w:r>
              <w:rPr>
                <w:spacing w:val="0"/>
                <w:sz w:val="22"/>
              </w:rPr>
              <w:t>08/2002</w:t>
            </w:r>
          </w:p>
        </w:tc>
        <w:tc>
          <w:tcPr>
            <w:tcW w:w="0" w:type="auto"/>
          </w:tcPr>
          <w:p w:rsidR="00000000" w:rsidRDefault="00000000">
            <w:pPr>
              <w:spacing w:line="288" w:lineRule="auto"/>
              <w:rPr>
                <w:spacing w:val="0"/>
                <w:sz w:val="22"/>
              </w:rPr>
            </w:pPr>
            <w:r>
              <w:rPr>
                <w:rFonts w:hint="eastAsia"/>
                <w:spacing w:val="0"/>
                <w:sz w:val="22"/>
              </w:rPr>
              <w:t>初步调查后未立案</w:t>
            </w:r>
          </w:p>
        </w:tc>
      </w:tr>
      <w:tr w:rsidR="00000000">
        <w:tblPrEx>
          <w:tblCellMar>
            <w:top w:w="0" w:type="dxa"/>
            <w:bottom w:w="0" w:type="dxa"/>
          </w:tblCellMar>
        </w:tblPrEx>
        <w:trPr>
          <w:jc w:val="center"/>
        </w:trPr>
        <w:tc>
          <w:tcPr>
            <w:tcW w:w="0" w:type="auto"/>
            <w:vAlign w:val="center"/>
          </w:tcPr>
          <w:p w:rsidR="00000000" w:rsidRDefault="00000000">
            <w:pPr>
              <w:spacing w:line="288" w:lineRule="auto"/>
              <w:jc w:val="center"/>
              <w:rPr>
                <w:spacing w:val="0"/>
                <w:sz w:val="22"/>
              </w:rPr>
            </w:pPr>
            <w:r>
              <w:rPr>
                <w:spacing w:val="0"/>
                <w:sz w:val="22"/>
              </w:rPr>
              <w:t>09/2002</w:t>
            </w:r>
          </w:p>
        </w:tc>
        <w:tc>
          <w:tcPr>
            <w:tcW w:w="0" w:type="auto"/>
            <w:vAlign w:val="center"/>
          </w:tcPr>
          <w:p w:rsidR="00000000" w:rsidRDefault="00000000">
            <w:pPr>
              <w:spacing w:line="288" w:lineRule="auto"/>
              <w:jc w:val="center"/>
              <w:rPr>
                <w:spacing w:val="0"/>
                <w:sz w:val="22"/>
              </w:rPr>
            </w:pPr>
            <w:r>
              <w:rPr>
                <w:spacing w:val="0"/>
                <w:sz w:val="22"/>
              </w:rPr>
              <w:t>10/2002</w:t>
            </w:r>
          </w:p>
        </w:tc>
        <w:tc>
          <w:tcPr>
            <w:tcW w:w="0" w:type="auto"/>
          </w:tcPr>
          <w:p w:rsidR="00000000" w:rsidRDefault="00000000">
            <w:pPr>
              <w:spacing w:line="288" w:lineRule="auto"/>
              <w:rPr>
                <w:spacing w:val="0"/>
                <w:sz w:val="22"/>
              </w:rPr>
            </w:pPr>
            <w:r>
              <w:rPr>
                <w:rFonts w:hint="eastAsia"/>
                <w:spacing w:val="0"/>
                <w:sz w:val="22"/>
              </w:rPr>
              <w:t>立案调查后因证据不足而于二零零三年一月归档</w:t>
            </w:r>
          </w:p>
        </w:tc>
      </w:tr>
      <w:tr w:rsidR="00000000">
        <w:tblPrEx>
          <w:tblCellMar>
            <w:top w:w="0" w:type="dxa"/>
            <w:bottom w:w="0" w:type="dxa"/>
          </w:tblCellMar>
        </w:tblPrEx>
        <w:trPr>
          <w:jc w:val="center"/>
        </w:trPr>
        <w:tc>
          <w:tcPr>
            <w:tcW w:w="0" w:type="auto"/>
            <w:vAlign w:val="center"/>
          </w:tcPr>
          <w:p w:rsidR="00000000" w:rsidRDefault="00000000">
            <w:pPr>
              <w:spacing w:line="288" w:lineRule="auto"/>
              <w:jc w:val="center"/>
              <w:rPr>
                <w:spacing w:val="0"/>
                <w:sz w:val="22"/>
              </w:rPr>
            </w:pPr>
            <w:r>
              <w:rPr>
                <w:spacing w:val="0"/>
                <w:sz w:val="22"/>
              </w:rPr>
              <w:t>10/2002</w:t>
            </w:r>
          </w:p>
        </w:tc>
        <w:tc>
          <w:tcPr>
            <w:tcW w:w="0" w:type="auto"/>
            <w:vAlign w:val="center"/>
          </w:tcPr>
          <w:p w:rsidR="00000000" w:rsidRDefault="00000000">
            <w:pPr>
              <w:spacing w:line="288" w:lineRule="auto"/>
              <w:jc w:val="center"/>
              <w:rPr>
                <w:spacing w:val="0"/>
                <w:sz w:val="22"/>
              </w:rPr>
            </w:pPr>
            <w:r>
              <w:rPr>
                <w:spacing w:val="0"/>
                <w:sz w:val="22"/>
              </w:rPr>
              <w:t>06/2003</w:t>
            </w:r>
          </w:p>
        </w:tc>
        <w:tc>
          <w:tcPr>
            <w:tcW w:w="0" w:type="auto"/>
          </w:tcPr>
          <w:p w:rsidR="00000000" w:rsidRDefault="00000000">
            <w:pPr>
              <w:spacing w:line="288" w:lineRule="auto"/>
              <w:rPr>
                <w:spacing w:val="0"/>
                <w:sz w:val="22"/>
              </w:rPr>
            </w:pPr>
            <w:r>
              <w:rPr>
                <w:rFonts w:hint="eastAsia"/>
                <w:spacing w:val="0"/>
                <w:sz w:val="22"/>
              </w:rPr>
              <w:t>初步调查后未立案</w:t>
            </w:r>
          </w:p>
        </w:tc>
      </w:tr>
      <w:tr w:rsidR="00000000">
        <w:tblPrEx>
          <w:tblCellMar>
            <w:top w:w="0" w:type="dxa"/>
            <w:bottom w:w="0" w:type="dxa"/>
          </w:tblCellMar>
        </w:tblPrEx>
        <w:trPr>
          <w:jc w:val="center"/>
        </w:trPr>
        <w:tc>
          <w:tcPr>
            <w:tcW w:w="0" w:type="auto"/>
            <w:vAlign w:val="center"/>
          </w:tcPr>
          <w:p w:rsidR="00000000" w:rsidRDefault="00000000">
            <w:pPr>
              <w:spacing w:line="288" w:lineRule="auto"/>
              <w:jc w:val="center"/>
              <w:rPr>
                <w:spacing w:val="0"/>
                <w:sz w:val="22"/>
              </w:rPr>
            </w:pPr>
            <w:r>
              <w:rPr>
                <w:spacing w:val="0"/>
                <w:sz w:val="22"/>
              </w:rPr>
              <w:t>06/2003</w:t>
            </w:r>
          </w:p>
        </w:tc>
        <w:tc>
          <w:tcPr>
            <w:tcW w:w="0" w:type="auto"/>
            <w:vAlign w:val="center"/>
          </w:tcPr>
          <w:p w:rsidR="00000000" w:rsidRDefault="00000000">
            <w:pPr>
              <w:spacing w:line="288" w:lineRule="auto"/>
              <w:jc w:val="center"/>
              <w:rPr>
                <w:spacing w:val="0"/>
                <w:sz w:val="22"/>
              </w:rPr>
            </w:pPr>
            <w:r>
              <w:rPr>
                <w:spacing w:val="0"/>
                <w:sz w:val="22"/>
              </w:rPr>
              <w:t>06/2003</w:t>
            </w:r>
          </w:p>
        </w:tc>
        <w:tc>
          <w:tcPr>
            <w:tcW w:w="0" w:type="auto"/>
          </w:tcPr>
          <w:p w:rsidR="00000000" w:rsidRDefault="00000000">
            <w:pPr>
              <w:spacing w:line="288" w:lineRule="auto"/>
              <w:rPr>
                <w:spacing w:val="0"/>
                <w:sz w:val="22"/>
              </w:rPr>
            </w:pPr>
            <w:r>
              <w:rPr>
                <w:rFonts w:hint="eastAsia"/>
                <w:spacing w:val="0"/>
                <w:sz w:val="22"/>
              </w:rPr>
              <w:t>投诉个案移送有关部门后因陈述及证据不成立而归档</w:t>
            </w:r>
          </w:p>
        </w:tc>
      </w:tr>
      <w:tr w:rsidR="00000000">
        <w:tblPrEx>
          <w:tblCellMar>
            <w:top w:w="0" w:type="dxa"/>
            <w:bottom w:w="0" w:type="dxa"/>
          </w:tblCellMar>
        </w:tblPrEx>
        <w:trPr>
          <w:jc w:val="center"/>
        </w:trPr>
        <w:tc>
          <w:tcPr>
            <w:tcW w:w="0" w:type="auto"/>
            <w:vAlign w:val="center"/>
          </w:tcPr>
          <w:p w:rsidR="00000000" w:rsidRDefault="00000000">
            <w:pPr>
              <w:spacing w:line="288" w:lineRule="auto"/>
              <w:jc w:val="center"/>
              <w:rPr>
                <w:spacing w:val="0"/>
                <w:sz w:val="22"/>
              </w:rPr>
            </w:pPr>
            <w:r>
              <w:rPr>
                <w:spacing w:val="0"/>
                <w:sz w:val="22"/>
              </w:rPr>
              <w:t>08/2003</w:t>
            </w:r>
          </w:p>
        </w:tc>
        <w:tc>
          <w:tcPr>
            <w:tcW w:w="0" w:type="auto"/>
            <w:vAlign w:val="center"/>
          </w:tcPr>
          <w:p w:rsidR="00000000" w:rsidRDefault="00000000">
            <w:pPr>
              <w:spacing w:line="288" w:lineRule="auto"/>
              <w:jc w:val="center"/>
              <w:rPr>
                <w:spacing w:val="0"/>
                <w:sz w:val="22"/>
              </w:rPr>
            </w:pPr>
            <w:r>
              <w:rPr>
                <w:spacing w:val="0"/>
                <w:sz w:val="22"/>
              </w:rPr>
              <w:t>08/2003</w:t>
            </w:r>
          </w:p>
        </w:tc>
        <w:tc>
          <w:tcPr>
            <w:tcW w:w="0" w:type="auto"/>
          </w:tcPr>
          <w:p w:rsidR="00000000" w:rsidRDefault="00000000">
            <w:pPr>
              <w:spacing w:line="288" w:lineRule="auto"/>
              <w:rPr>
                <w:spacing w:val="0"/>
                <w:sz w:val="22"/>
              </w:rPr>
            </w:pPr>
            <w:r>
              <w:rPr>
                <w:rFonts w:hint="eastAsia"/>
                <w:spacing w:val="0"/>
                <w:sz w:val="22"/>
              </w:rPr>
              <w:t>初步调查后未立案</w:t>
            </w:r>
          </w:p>
        </w:tc>
      </w:tr>
    </w:tbl>
    <w:p w:rsidR="00000000" w:rsidRDefault="00000000">
      <w:pPr>
        <w:spacing w:before="240" w:line="288" w:lineRule="auto"/>
        <w:rPr>
          <w:rFonts w:hint="eastAsia"/>
          <w:bCs/>
          <w:i/>
          <w:spacing w:val="20"/>
          <w:sz w:val="18"/>
        </w:rPr>
      </w:pPr>
      <w:r>
        <w:rPr>
          <w:rFonts w:hint="eastAsia"/>
          <w:b/>
          <w:i/>
          <w:spacing w:val="20"/>
          <w:sz w:val="18"/>
        </w:rPr>
        <w:t>资料来源</w:t>
      </w:r>
      <w:r>
        <w:rPr>
          <w:rFonts w:hint="eastAsia"/>
          <w:bCs/>
          <w:i/>
          <w:spacing w:val="20"/>
          <w:sz w:val="18"/>
        </w:rPr>
        <w:t>：廉政公署</w:t>
      </w:r>
    </w:p>
    <w:p w:rsidR="00000000" w:rsidRDefault="00000000">
      <w:pPr>
        <w:spacing w:line="288" w:lineRule="auto"/>
        <w:ind w:firstLine="510"/>
        <w:rPr>
          <w:rFonts w:hint="eastAsia"/>
          <w:bCs/>
          <w:i/>
          <w:spacing w:val="20"/>
          <w:sz w:val="18"/>
        </w:rPr>
      </w:pPr>
      <w:r>
        <w:rPr>
          <w:rFonts w:hint="eastAsia"/>
          <w:bCs/>
          <w:i/>
          <w:spacing w:val="20"/>
          <w:sz w:val="18"/>
        </w:rPr>
        <w:t>*</w:t>
      </w:r>
      <w:r>
        <w:rPr>
          <w:bCs/>
          <w:i/>
          <w:spacing w:val="20"/>
          <w:sz w:val="18"/>
        </w:rPr>
        <w:tab/>
      </w:r>
      <w:r>
        <w:rPr>
          <w:rFonts w:hint="eastAsia"/>
          <w:bCs/>
          <w:i/>
          <w:spacing w:val="20"/>
          <w:sz w:val="18"/>
        </w:rPr>
        <w:t>廉政公署收到的所有检举均属警察暴行。</w:t>
      </w:r>
    </w:p>
    <w:p w:rsidR="00000000" w:rsidRDefault="00000000">
      <w:pPr>
        <w:spacing w:after="320"/>
        <w:ind w:firstLine="510"/>
        <w:rPr>
          <w:spacing w:val="20"/>
          <w:sz w:val="18"/>
        </w:rPr>
      </w:pPr>
      <w:r>
        <w:rPr>
          <w:rFonts w:hint="eastAsia"/>
          <w:i/>
          <w:iCs/>
          <w:spacing w:val="20"/>
          <w:sz w:val="18"/>
        </w:rPr>
        <w:t>**</w:t>
      </w:r>
      <w:r>
        <w:rPr>
          <w:i/>
          <w:iCs/>
          <w:spacing w:val="20"/>
          <w:sz w:val="18"/>
        </w:rPr>
        <w:tab/>
      </w:r>
      <w:r>
        <w:rPr>
          <w:rFonts w:hint="eastAsia"/>
          <w:i/>
          <w:iCs/>
          <w:spacing w:val="20"/>
          <w:sz w:val="18"/>
        </w:rPr>
        <w:t>投诉直接向有关部门提出，该部门便展开内部调查，廉政公署遂将案件归档。</w:t>
      </w:r>
    </w:p>
    <w:p w:rsidR="00000000" w:rsidRDefault="00000000">
      <w:pPr>
        <w:rPr>
          <w:rFonts w:hint="eastAsia"/>
        </w:rPr>
      </w:pPr>
      <w:r>
        <w:tab/>
        <w:t xml:space="preserve">186. </w:t>
      </w:r>
      <w:r>
        <w:rPr>
          <w:rFonts w:hint="eastAsia"/>
        </w:rPr>
        <w:t xml:space="preserve"> </w:t>
      </w:r>
      <w:r>
        <w:rPr>
          <w:rFonts w:hint="eastAsia"/>
        </w:rPr>
        <w:t>就司法介入而言，如前所述，囚犯有投诉权及阐述权，可依据上述法规，向法官、监狱长、监狱的工作人员及监狱监督员提出。同样如前所述，有关该等权利的规定，经适当调整，亦适用于处于教育场所及在社会保护制度范围内交托于有关机构的未成年人。</w:t>
      </w:r>
    </w:p>
    <w:p w:rsidR="00000000" w:rsidRDefault="00000000">
      <w:pPr>
        <w:rPr>
          <w:bCs/>
        </w:rPr>
      </w:pPr>
      <w:r>
        <w:rPr>
          <w:bCs/>
        </w:rPr>
        <w:tab/>
        <w:t xml:space="preserve">187. </w:t>
      </w:r>
      <w:r>
        <w:rPr>
          <w:rFonts w:hint="eastAsia"/>
          <w:bCs/>
        </w:rPr>
        <w:t xml:space="preserve"> </w:t>
      </w:r>
      <w:r>
        <w:rPr>
          <w:rFonts w:hint="eastAsia"/>
          <w:bCs/>
        </w:rPr>
        <w:t>就非司法介入而言，二月二日第</w:t>
      </w:r>
      <w:r>
        <w:rPr>
          <w:bCs/>
        </w:rPr>
        <w:t>5/98/M</w:t>
      </w:r>
      <w:r>
        <w:rPr>
          <w:rFonts w:hint="eastAsia"/>
          <w:bCs/>
        </w:rPr>
        <w:t>号法令规定公共实体对收到的</w:t>
      </w:r>
      <w:r>
        <w:rPr>
          <w:rFonts w:hint="eastAsia"/>
        </w:rPr>
        <w:t>意见及投诉的处理方法。法令</w:t>
      </w:r>
      <w:r>
        <w:rPr>
          <w:rFonts w:hint="eastAsia"/>
          <w:bCs/>
        </w:rPr>
        <w:t>第二十一条规定，</w:t>
      </w:r>
      <w:r>
        <w:rPr>
          <w:rFonts w:hint="eastAsia"/>
        </w:rPr>
        <w:t>公共部门应按月处理收到之意见、建议、投诉或异议，并对载有身分资料及地址之个人之投诉及异议，应迅速答复；在任何情况下，该答复不应超过自接收有关投诉及异议之日起计四十五日期限。</w:t>
      </w:r>
    </w:p>
    <w:p w:rsidR="00000000" w:rsidRDefault="00000000">
      <w:pPr>
        <w:rPr>
          <w:szCs w:val="21"/>
        </w:rPr>
      </w:pPr>
      <w:r>
        <w:tab/>
        <w:t xml:space="preserve">188. </w:t>
      </w:r>
      <w:r>
        <w:rPr>
          <w:rFonts w:hint="eastAsia"/>
        </w:rPr>
        <w:t xml:space="preserve"> </w:t>
      </w:r>
      <w:r>
        <w:rPr>
          <w:rFonts w:hint="eastAsia"/>
        </w:rPr>
        <w:t>上述核准《精神卫生制度》的第</w:t>
      </w:r>
      <w:r>
        <w:rPr>
          <w:rFonts w:hint="eastAsia"/>
        </w:rPr>
        <w:t>31/99/M</w:t>
      </w:r>
      <w:r>
        <w:rPr>
          <w:rFonts w:hint="eastAsia"/>
        </w:rPr>
        <w:t>号法令同样确保</w:t>
      </w:r>
      <w:r>
        <w:rPr>
          <w:rFonts w:hint="eastAsia"/>
          <w:szCs w:val="21"/>
        </w:rPr>
        <w:t>精神紊乱患者享有获协助行使声明异议权及投诉权的权利</w:t>
      </w:r>
      <w:r>
        <w:rPr>
          <w:rFonts w:hint="eastAsia"/>
          <w:szCs w:val="21"/>
        </w:rPr>
        <w:t>(</w:t>
      </w:r>
      <w:r>
        <w:rPr>
          <w:rFonts w:hint="eastAsia"/>
        </w:rPr>
        <w:t>第四条第</w:t>
      </w:r>
      <w:r>
        <w:rPr>
          <w:rFonts w:hint="eastAsia"/>
          <w:szCs w:val="21"/>
        </w:rPr>
        <w:t>一款</w:t>
      </w:r>
      <w:r>
        <w:rPr>
          <w:szCs w:val="21"/>
        </w:rPr>
        <w:t>m</w:t>
      </w:r>
      <w:r>
        <w:rPr>
          <w:rFonts w:hint="eastAsia"/>
          <w:szCs w:val="21"/>
        </w:rPr>
        <w:t>项</w:t>
      </w:r>
      <w:r>
        <w:rPr>
          <w:rFonts w:hint="eastAsia"/>
          <w:szCs w:val="21"/>
        </w:rPr>
        <w:t>)</w:t>
      </w:r>
      <w:r>
        <w:rPr>
          <w:rFonts w:hint="eastAsia"/>
          <w:szCs w:val="21"/>
        </w:rPr>
        <w:t>。</w:t>
      </w:r>
    </w:p>
    <w:p w:rsidR="00000000" w:rsidRDefault="00000000">
      <w:pPr>
        <w:spacing w:after="240"/>
      </w:pPr>
      <w:r>
        <w:tab/>
        <w:t xml:space="preserve">189.  </w:t>
      </w:r>
      <w:r>
        <w:rPr>
          <w:rFonts w:hint="eastAsia"/>
        </w:rPr>
        <w:t>在卫生制度领域，专门设有一个名为医疗活动申诉评估中心的技术委员会，该委员会为咨询机关，有关权限包括接收因提供卫生护理的专业人员的行为而感到受损害之市民的申诉，并从科学技术角度对所申诉的行为作出分析，遂建议应采取之行政程序，以及将所建议之程序通知申诉人。此外，就明显属卫生局责任的申诉，尝试双方进行诉讼外的调解。委员会必须在四十八小时内对申诉进行分析。申诉中心由四名成员组成，两人属卫生局的代表，两人属私人机构之代表</w:t>
      </w:r>
      <w:r>
        <w:rPr>
          <w:rFonts w:hint="eastAsia"/>
        </w:rPr>
        <w:t>(</w:t>
      </w:r>
      <w:r>
        <w:rPr>
          <w:rFonts w:hint="eastAsia"/>
        </w:rPr>
        <w:t>第</w:t>
      </w:r>
      <w:r>
        <w:t>5/2002</w:t>
      </w:r>
      <w:r>
        <w:rPr>
          <w:rFonts w:hint="eastAsia"/>
        </w:rPr>
        <w:t>号卫生局批示</w:t>
      </w:r>
      <w:r>
        <w:rPr>
          <w:rFonts w:hint="eastAsia"/>
        </w:rPr>
        <w:t>)</w:t>
      </w:r>
      <w:r>
        <w:rPr>
          <w:rFonts w:hint="eastAsia"/>
        </w:rPr>
        <w:t>。</w:t>
      </w:r>
    </w:p>
    <w:p w:rsidR="00000000" w:rsidRDefault="00000000">
      <w:pPr>
        <w:pStyle w:val="Heading3"/>
      </w:pPr>
      <w:bookmarkStart w:id="31" w:name="_Toc139353456"/>
      <w:r>
        <w:rPr>
          <w:rFonts w:hint="eastAsia"/>
        </w:rPr>
        <w:t>第</w:t>
      </w:r>
      <w:r>
        <w:rPr>
          <w:rFonts w:hint="eastAsia"/>
        </w:rPr>
        <w:t xml:space="preserve"> </w:t>
      </w:r>
      <w:r>
        <w:rPr>
          <w:rFonts w:hint="eastAsia"/>
        </w:rPr>
        <w:t>十四</w:t>
      </w:r>
      <w:r>
        <w:rPr>
          <w:rFonts w:hint="eastAsia"/>
        </w:rPr>
        <w:t xml:space="preserve"> </w:t>
      </w:r>
      <w:r>
        <w:rPr>
          <w:rFonts w:hint="eastAsia"/>
        </w:rPr>
        <w:t>条</w:t>
      </w:r>
      <w:bookmarkEnd w:id="31"/>
    </w:p>
    <w:p w:rsidR="00000000" w:rsidRDefault="00000000">
      <w:pPr>
        <w:rPr>
          <w:rFonts w:hint="eastAsia"/>
        </w:rPr>
      </w:pPr>
      <w:r>
        <w:tab/>
        <w:t xml:space="preserve">190. </w:t>
      </w:r>
      <w:r>
        <w:rPr>
          <w:rFonts w:hint="eastAsia"/>
        </w:rPr>
        <w:t xml:space="preserve"> </w:t>
      </w:r>
      <w:r>
        <w:rPr>
          <w:rFonts w:hint="eastAsia"/>
        </w:rPr>
        <w:t>酷刑受害人有权根据澳门《民法典》第四百七十七条至第四百九十一条规范的民事责任制度得到因不法事实所致的损害赔偿。</w:t>
      </w:r>
    </w:p>
    <w:p w:rsidR="00000000" w:rsidRDefault="00000000">
      <w:pPr>
        <w:rPr>
          <w:rFonts w:hint="eastAsia"/>
        </w:rPr>
      </w:pPr>
      <w:r>
        <w:tab/>
        <w:t xml:space="preserve">191. </w:t>
      </w:r>
      <w:r>
        <w:rPr>
          <w:rFonts w:hint="eastAsia"/>
        </w:rPr>
        <w:t xml:space="preserve"> </w:t>
      </w:r>
      <w:r>
        <w:rPr>
          <w:rFonts w:hint="eastAsia"/>
        </w:rPr>
        <w:t>民事责任制度的一般原则规定，因故意或过失不法侵犯他人权利或违反旨在保护他人利益之任何法律规定者，有义务就其侵犯或违反所造成之损害向受害人作出损害赔偿</w:t>
      </w:r>
      <w:r>
        <w:rPr>
          <w:rFonts w:hint="eastAsia"/>
        </w:rPr>
        <w:t>(</w:t>
      </w:r>
      <w:r>
        <w:rPr>
          <w:rFonts w:hint="eastAsia"/>
        </w:rPr>
        <w:t>《民法典》第四百七十七条第一款</w:t>
      </w:r>
      <w:r>
        <w:rPr>
          <w:rFonts w:hint="eastAsia"/>
        </w:rPr>
        <w:t>)</w:t>
      </w:r>
    </w:p>
    <w:p w:rsidR="00000000" w:rsidRDefault="00000000">
      <w:pPr>
        <w:rPr>
          <w:rFonts w:hint="eastAsia"/>
        </w:rPr>
      </w:pPr>
      <w:r>
        <w:tab/>
        <w:t xml:space="preserve">192.  </w:t>
      </w:r>
      <w:r>
        <w:rPr>
          <w:rFonts w:hint="eastAsia"/>
        </w:rPr>
        <w:t>上述制度包括对财产及非财产损害的赔偿，前者是指可以金钱估量的损失，包括医疗费在内；后者则指对受害人财产以外的权益损害，如身体完整性或名誉，因其严重性而应受法律保护</w:t>
      </w:r>
      <w:r>
        <w:rPr>
          <w:rFonts w:hint="eastAsia"/>
        </w:rPr>
        <w:t xml:space="preserve"> (</w:t>
      </w:r>
      <w:r>
        <w:rPr>
          <w:rFonts w:hint="eastAsia"/>
        </w:rPr>
        <w:t>《民法典》第四百七十七条第一款及第四百八十九条第一款</w:t>
      </w:r>
      <w:r>
        <w:rPr>
          <w:rFonts w:hint="eastAsia"/>
        </w:rPr>
        <w:t>)</w:t>
      </w:r>
      <w:r>
        <w:rPr>
          <w:rFonts w:hint="eastAsia"/>
        </w:rPr>
        <w:t>。</w:t>
      </w:r>
    </w:p>
    <w:p w:rsidR="00000000" w:rsidRDefault="00000000">
      <w:pPr>
        <w:rPr>
          <w:rFonts w:hint="eastAsia"/>
        </w:rPr>
      </w:pPr>
      <w:r>
        <w:tab/>
        <w:t xml:space="preserve">193.  </w:t>
      </w:r>
      <w:r>
        <w:rPr>
          <w:rFonts w:hint="eastAsia"/>
        </w:rPr>
        <w:t>在受害人死亡的情况下，可要求受害人扶养之人，或由受害人因履行自然债务而扶养之人，有权获得损害赔偿</w:t>
      </w:r>
      <w:r>
        <w:rPr>
          <w:rFonts w:hint="eastAsia"/>
        </w:rPr>
        <w:t>(</w:t>
      </w:r>
      <w:r>
        <w:rPr>
          <w:rFonts w:hint="eastAsia"/>
        </w:rPr>
        <w:t>《民法典》第四百八十八条第三款</w:t>
      </w:r>
      <w:r>
        <w:rPr>
          <w:rFonts w:hint="eastAsia"/>
        </w:rPr>
        <w:t>)</w:t>
      </w:r>
      <w:r>
        <w:rPr>
          <w:rFonts w:hint="eastAsia"/>
        </w:rPr>
        <w:t>，受害人的继承人亦有权以遗产的名义继受前者因遭受财产损失而得到赔偿。</w:t>
      </w:r>
    </w:p>
    <w:p w:rsidR="00000000" w:rsidRDefault="00000000">
      <w:pPr>
        <w:rPr>
          <w:rFonts w:hint="eastAsia"/>
        </w:rPr>
      </w:pPr>
      <w:r>
        <w:tab/>
        <w:t xml:space="preserve">194.  </w:t>
      </w:r>
      <w:r>
        <w:rPr>
          <w:rFonts w:hint="eastAsia"/>
        </w:rPr>
        <w:t>再者，因受害人死亡，就非财产之损害之赔偿请求权转由他人行使，即由其配偶</w:t>
      </w:r>
      <w:r>
        <w:rPr>
          <w:rFonts w:hint="eastAsia"/>
        </w:rPr>
        <w:t>(</w:t>
      </w:r>
      <w:r>
        <w:rPr>
          <w:rFonts w:hint="eastAsia"/>
        </w:rPr>
        <w:t>只要未事实分居</w:t>
      </w:r>
      <w:r>
        <w:rPr>
          <w:rFonts w:hint="eastAsia"/>
        </w:rPr>
        <w:t>)</w:t>
      </w:r>
      <w:r>
        <w:rPr>
          <w:rFonts w:hint="eastAsia"/>
        </w:rPr>
        <w:t>、子女及其他卑亲属共同享有；如无上述亲属，则由与受害人有事实婚关系之人、受害人之父母及其他尊亲属共同享有；再无此类亲属，便由受害人之兄弟姊妹或甥侄共同享有。在这种情况下，不仅得考虑受害人所受之损害，亦得考虑享有赔偿请求权之亲属所受之损害</w:t>
      </w:r>
      <w:r>
        <w:rPr>
          <w:rFonts w:hint="eastAsia"/>
        </w:rPr>
        <w:t>(</w:t>
      </w:r>
      <w:r>
        <w:rPr>
          <w:rFonts w:hint="eastAsia"/>
        </w:rPr>
        <w:t>《民法典》第四百八十九条</w:t>
      </w:r>
      <w:r>
        <w:rPr>
          <w:rFonts w:hint="eastAsia"/>
        </w:rPr>
        <w:t>)</w:t>
      </w:r>
      <w:r>
        <w:rPr>
          <w:rFonts w:hint="eastAsia"/>
        </w:rPr>
        <w:t>。</w:t>
      </w:r>
    </w:p>
    <w:p w:rsidR="00000000" w:rsidRDefault="00000000">
      <w:pPr>
        <w:rPr>
          <w:rFonts w:hint="eastAsia"/>
        </w:rPr>
      </w:pPr>
      <w:r>
        <w:tab/>
        <w:t xml:space="preserve">195.  </w:t>
      </w:r>
      <w:r>
        <w:rPr>
          <w:rFonts w:hint="eastAsia"/>
        </w:rPr>
        <w:t>鉴于上述民事损害赔偿请求基于犯罪事实，一般须在有关刑事诉讼程序中提出，并由受害人本身请求损害赔偿，有关司法当局及刑事警察机关应在享有该权利的人首次介入刑事诉讼程序时将这一法律要求告之</w:t>
      </w:r>
      <w:r>
        <w:rPr>
          <w:rFonts w:hint="eastAsia"/>
        </w:rPr>
        <w:t>(</w:t>
      </w:r>
      <w:r>
        <w:rPr>
          <w:rFonts w:hint="eastAsia"/>
        </w:rPr>
        <w:t>《刑事诉讼法典》第六十条、第六十二条第一款及第六十四条第一款</w:t>
      </w:r>
      <w:r>
        <w:rPr>
          <w:rFonts w:hint="eastAsia"/>
        </w:rPr>
        <w:t>)</w:t>
      </w:r>
      <w:r>
        <w:rPr>
          <w:rFonts w:hint="eastAsia"/>
        </w:rPr>
        <w:t>。</w:t>
      </w:r>
    </w:p>
    <w:p w:rsidR="00000000" w:rsidRDefault="00000000">
      <w:pPr>
        <w:rPr>
          <w:rFonts w:hint="eastAsia"/>
        </w:rPr>
      </w:pPr>
      <w:r>
        <w:tab/>
        <w:t xml:space="preserve">196.  </w:t>
      </w:r>
      <w:r>
        <w:rPr>
          <w:rFonts w:hint="eastAsia"/>
        </w:rPr>
        <w:t>尽管未提出民事损害赔偿请求，但在某些情况下，比如为合理保护受害人之利益且受害人对此不反对，以及在审判中证明裁定予以弥补之前提成立及裁定应给予有关金额，即使有关判决为无罪判决，法官亦须在判决中裁定给予一笔金额，以弥补所造成之损害</w:t>
      </w:r>
      <w:r>
        <w:rPr>
          <w:rFonts w:hint="eastAsia"/>
        </w:rPr>
        <w:t>(</w:t>
      </w:r>
      <w:r>
        <w:rPr>
          <w:rFonts w:hint="eastAsia"/>
        </w:rPr>
        <w:t>《刑事诉讼法典》第七十四条第一款</w:t>
      </w:r>
      <w:r>
        <w:rPr>
          <w:rFonts w:hint="eastAsia"/>
        </w:rPr>
        <w:t>)</w:t>
      </w:r>
      <w:r>
        <w:rPr>
          <w:rFonts w:hint="eastAsia"/>
        </w:rPr>
        <w:t>。</w:t>
      </w:r>
    </w:p>
    <w:p w:rsidR="00000000" w:rsidRDefault="00000000">
      <w:pPr>
        <w:rPr>
          <w:rFonts w:hint="eastAsia"/>
        </w:rPr>
      </w:pPr>
      <w:r>
        <w:tab/>
        <w:t xml:space="preserve">197.  </w:t>
      </w:r>
      <w:r>
        <w:rPr>
          <w:rFonts w:hint="eastAsia"/>
        </w:rPr>
        <w:t>八月十七日第</w:t>
      </w:r>
      <w:r>
        <w:t>6/98/M</w:t>
      </w:r>
      <w:r>
        <w:rPr>
          <w:rFonts w:hint="eastAsia"/>
        </w:rPr>
        <w:t>号法律规范对暴力罪行受害人之保障，作为对该等受害人的特别保护制度。</w:t>
      </w:r>
    </w:p>
    <w:p w:rsidR="00000000" w:rsidRDefault="00000000">
      <w:r>
        <w:tab/>
        <w:t xml:space="preserve">198.  </w:t>
      </w:r>
      <w:r>
        <w:rPr>
          <w:rFonts w:hint="eastAsia"/>
        </w:rPr>
        <w:t>上述制度规定，在澳门特别行政区境内</w:t>
      </w:r>
      <w:r>
        <w:rPr>
          <w:rFonts w:hint="eastAsia"/>
        </w:rPr>
        <w:t>(</w:t>
      </w:r>
      <w:r>
        <w:rPr>
          <w:rFonts w:hint="eastAsia"/>
        </w:rPr>
        <w:t>或在澳门注册的船只或飞行器内</w:t>
      </w:r>
      <w:r>
        <w:rPr>
          <w:rFonts w:hint="eastAsia"/>
        </w:rPr>
        <w:t>)</w:t>
      </w:r>
      <w:r>
        <w:rPr>
          <w:rFonts w:hint="eastAsia"/>
        </w:rPr>
        <w:t>发生的故意暴力行为而直接导致身体严重创伤的受害人、根据民法有接受抚养权利的人士，以及自愿协助受害人或与有关当局合作阻止违法行为、追捕不法分子的人士，均有权向澳门特区申请发放一项援助金。</w:t>
      </w:r>
    </w:p>
    <w:p w:rsidR="00000000" w:rsidRDefault="00000000">
      <w:pPr>
        <w:rPr>
          <w:rFonts w:hint="eastAsia"/>
        </w:rPr>
      </w:pPr>
      <w:r>
        <w:tab/>
        <w:t>199.</w:t>
      </w:r>
      <w:r>
        <w:tab/>
        <w:t xml:space="preserve"> </w:t>
      </w:r>
      <w:r>
        <w:rPr>
          <w:rFonts w:hint="eastAsia"/>
        </w:rPr>
        <w:t>法律对此规定的要件是：受害人乃合法处身于特区；创伤引致死亡或长期无工作能力或暂时完全无工作能力不少于三十日；损害引致受害人的生活水平受到相当大的影响，且有罪判决的执行并未能确实对损害作出补偿，或预料该损害补偿无法获得，而又不能从其它途径获得确实及足够的补偿。</w:t>
      </w:r>
    </w:p>
    <w:p w:rsidR="00000000" w:rsidRDefault="00000000">
      <w:r>
        <w:tab/>
        <w:t xml:space="preserve">200.  </w:t>
      </w:r>
      <w:r>
        <w:rPr>
          <w:rFonts w:hint="eastAsia"/>
        </w:rPr>
        <w:t>受害人即使不知悉作出故意暴力行为的人的身分，或基于其他原因此人不能被控诉或判罪，受援助的权利仍予以维持。该权利尚可能适用于那些基于其性质及严重性应受相同保障的非财产损害</w:t>
      </w:r>
      <w:r>
        <w:rPr>
          <w:rFonts w:hint="eastAsia"/>
        </w:rPr>
        <w:t>(</w:t>
      </w:r>
      <w:r>
        <w:rPr>
          <w:rFonts w:hint="eastAsia"/>
        </w:rPr>
        <w:t>第</w:t>
      </w:r>
      <w:r>
        <w:t>6/98/M</w:t>
      </w:r>
      <w:r>
        <w:rPr>
          <w:rFonts w:hint="eastAsia"/>
        </w:rPr>
        <w:t>号法律第一条第二款及第五款</w:t>
      </w:r>
      <w:r>
        <w:rPr>
          <w:rFonts w:hint="eastAsia"/>
        </w:rPr>
        <w:t>)</w:t>
      </w:r>
      <w:r>
        <w:rPr>
          <w:rFonts w:hint="eastAsia"/>
        </w:rPr>
        <w:t>。</w:t>
      </w:r>
    </w:p>
    <w:p w:rsidR="00000000" w:rsidRDefault="00000000">
      <w:pPr>
        <w:rPr>
          <w:rFonts w:hint="eastAsia"/>
        </w:rPr>
      </w:pPr>
      <w:r>
        <w:tab/>
        <w:t xml:space="preserve">201.  </w:t>
      </w:r>
      <w:r>
        <w:rPr>
          <w:rFonts w:hint="eastAsia"/>
        </w:rPr>
        <w:t>援助金额根据衡平原则订定，一切从其他来源收取的款项，如来自不法分子本人或社会保障的款项等将予以考虑</w:t>
      </w:r>
      <w:r>
        <w:rPr>
          <w:rFonts w:hint="eastAsia"/>
        </w:rPr>
        <w:t>(</w:t>
      </w:r>
      <w:r>
        <w:rPr>
          <w:rFonts w:hint="eastAsia"/>
        </w:rPr>
        <w:t>第</w:t>
      </w:r>
      <w:r>
        <w:t>6/98/M</w:t>
      </w:r>
      <w:r>
        <w:rPr>
          <w:rFonts w:hint="eastAsia"/>
        </w:rPr>
        <w:t>号法律第二条第一款及第三款</w:t>
      </w:r>
      <w:r>
        <w:rPr>
          <w:rFonts w:hint="eastAsia"/>
        </w:rPr>
        <w:t>)</w:t>
      </w:r>
      <w:r>
        <w:rPr>
          <w:rFonts w:hint="eastAsia"/>
        </w:rPr>
        <w:t>。</w:t>
      </w:r>
    </w:p>
    <w:p w:rsidR="00000000" w:rsidRDefault="00000000">
      <w:pPr>
        <w:rPr>
          <w:rFonts w:hint="eastAsia"/>
        </w:rPr>
      </w:pPr>
      <w:r>
        <w:rPr>
          <w:szCs w:val="21"/>
        </w:rPr>
        <w:tab/>
        <w:t xml:space="preserve">202. </w:t>
      </w:r>
      <w:r>
        <w:rPr>
          <w:rFonts w:hint="eastAsia"/>
          <w:szCs w:val="21"/>
        </w:rPr>
        <w:t xml:space="preserve"> </w:t>
      </w:r>
      <w:r>
        <w:rPr>
          <w:rFonts w:hint="eastAsia"/>
          <w:szCs w:val="21"/>
        </w:rPr>
        <w:t>受害人有权获得特区提供的特定给付，诸如</w:t>
      </w:r>
      <w:r>
        <w:rPr>
          <w:rFonts w:hint="eastAsia"/>
        </w:rPr>
        <w:t>医疗及外科疗理、药物疗理、护士护理及入住医院</w:t>
      </w:r>
      <w:r>
        <w:rPr>
          <w:rFonts w:hint="eastAsia"/>
        </w:rPr>
        <w:t>(</w:t>
      </w:r>
      <w:r>
        <w:rPr>
          <w:rFonts w:hint="eastAsia"/>
        </w:rPr>
        <w:t>第</w:t>
      </w:r>
      <w:r>
        <w:t>6/98/M</w:t>
      </w:r>
      <w:r>
        <w:rPr>
          <w:rFonts w:hint="eastAsia"/>
        </w:rPr>
        <w:t>号法律第二条第二款准用八月十四日第</w:t>
      </w:r>
      <w:r>
        <w:t>40/95/M</w:t>
      </w:r>
      <w:r>
        <w:rPr>
          <w:rFonts w:hint="eastAsia"/>
        </w:rPr>
        <w:t>号法令第二十八条</w:t>
      </w:r>
      <w:r>
        <w:rPr>
          <w:rFonts w:hint="eastAsia"/>
        </w:rPr>
        <w:t>)</w:t>
      </w:r>
      <w:r>
        <w:rPr>
          <w:rFonts w:hint="eastAsia"/>
        </w:rPr>
        <w:t>。</w:t>
      </w:r>
    </w:p>
    <w:p w:rsidR="00000000" w:rsidRDefault="00000000">
      <w:pPr>
        <w:rPr>
          <w:rFonts w:hint="eastAsia"/>
        </w:rPr>
      </w:pPr>
      <w:r>
        <w:tab/>
        <w:t xml:space="preserve">203. </w:t>
      </w:r>
      <w:r>
        <w:rPr>
          <w:rFonts w:hint="eastAsia"/>
        </w:rPr>
        <w:t xml:space="preserve"> </w:t>
      </w:r>
      <w:r>
        <w:rPr>
          <w:rFonts w:hint="eastAsia"/>
        </w:rPr>
        <w:t>第</w:t>
      </w:r>
      <w:r>
        <w:t>6/98/M</w:t>
      </w:r>
      <w:r>
        <w:rPr>
          <w:rFonts w:hint="eastAsia"/>
        </w:rPr>
        <w:t>号法律第三条第一款规定：“考虑到受害人或申请人在事实发生之前、期间或之后的行为，其与主犯的关系或其环境，又或倘有违公义或公共秩序，尤其是当受害人或申请人与有组织犯罪有联系时，援助金得被减低或撤销</w:t>
      </w:r>
      <w:r>
        <w:t xml:space="preserve"> </w:t>
      </w:r>
      <w:r>
        <w:rPr>
          <w:rFonts w:hint="eastAsia"/>
        </w:rPr>
        <w:t>”。该条第二款又规定，倘受害人属主犯的家庭成员或在类似条件下与主犯同住，则不获援助，除非同时出现例外情节。</w:t>
      </w:r>
    </w:p>
    <w:p w:rsidR="00000000" w:rsidRDefault="00000000">
      <w:r>
        <w:tab/>
        <w:t xml:space="preserve">204.  </w:t>
      </w:r>
      <w:r>
        <w:rPr>
          <w:rFonts w:hint="eastAsia"/>
        </w:rPr>
        <w:t>在紧急情况下，可申请发给备用金，该款项在稍后订定的援助金中扣除，无论该提前支付的款项还是援助金的发放，均属行政长官的权限</w:t>
      </w:r>
      <w:r>
        <w:rPr>
          <w:rFonts w:hint="eastAsia"/>
        </w:rPr>
        <w:t>(</w:t>
      </w:r>
      <w:r>
        <w:rPr>
          <w:rFonts w:hint="eastAsia"/>
        </w:rPr>
        <w:t>第</w:t>
      </w:r>
      <w:r>
        <w:t>6/98/M</w:t>
      </w:r>
      <w:r>
        <w:rPr>
          <w:rFonts w:hint="eastAsia"/>
        </w:rPr>
        <w:t>号法律第四条及第七条</w:t>
      </w:r>
      <w:r>
        <w:rPr>
          <w:rFonts w:hint="eastAsia"/>
        </w:rPr>
        <w:t>)</w:t>
      </w:r>
      <w:r>
        <w:rPr>
          <w:rFonts w:hint="eastAsia"/>
        </w:rPr>
        <w:t>。</w:t>
      </w:r>
    </w:p>
    <w:p w:rsidR="00000000" w:rsidRDefault="00000000">
      <w:pPr>
        <w:pStyle w:val="Heading3"/>
      </w:pPr>
      <w:bookmarkStart w:id="32" w:name="_Toc139353457"/>
      <w:r>
        <w:rPr>
          <w:rFonts w:hint="eastAsia"/>
        </w:rPr>
        <w:t>第</w:t>
      </w:r>
      <w:r>
        <w:rPr>
          <w:rFonts w:hint="eastAsia"/>
        </w:rPr>
        <w:t xml:space="preserve"> </w:t>
      </w:r>
      <w:r>
        <w:rPr>
          <w:rFonts w:hint="eastAsia"/>
        </w:rPr>
        <w:t>十五</w:t>
      </w:r>
      <w:r>
        <w:rPr>
          <w:rFonts w:hint="eastAsia"/>
        </w:rPr>
        <w:t xml:space="preserve"> </w:t>
      </w:r>
      <w:r>
        <w:rPr>
          <w:rFonts w:hint="eastAsia"/>
        </w:rPr>
        <w:t>条</w:t>
      </w:r>
      <w:bookmarkEnd w:id="32"/>
    </w:p>
    <w:p w:rsidR="00000000" w:rsidRDefault="00000000">
      <w:pPr>
        <w:rPr>
          <w:rFonts w:hint="eastAsia"/>
        </w:rPr>
      </w:pPr>
      <w:r>
        <w:rPr>
          <w:szCs w:val="21"/>
        </w:rPr>
        <w:tab/>
        <w:t xml:space="preserve">205. </w:t>
      </w:r>
      <w:r>
        <w:rPr>
          <w:rFonts w:hint="eastAsia"/>
          <w:szCs w:val="21"/>
        </w:rPr>
        <w:t xml:space="preserve"> </w:t>
      </w:r>
      <w:r>
        <w:rPr>
          <w:rFonts w:hint="eastAsia"/>
          <w:szCs w:val="21"/>
        </w:rPr>
        <w:t>在澳门特别行政区，</w:t>
      </w:r>
      <w:r>
        <w:rPr>
          <w:rFonts w:hint="eastAsia"/>
        </w:rPr>
        <w:t>证据之合法性原则规定于《刑事诉讼法典》第一百一十二条。</w:t>
      </w:r>
    </w:p>
    <w:p w:rsidR="00000000" w:rsidRDefault="00000000">
      <w:pPr>
        <w:rPr>
          <w:rFonts w:hint="eastAsia"/>
        </w:rPr>
      </w:pPr>
      <w:r>
        <w:rPr>
          <w:szCs w:val="21"/>
        </w:rPr>
        <w:tab/>
        <w:t xml:space="preserve">206. </w:t>
      </w:r>
      <w:r>
        <w:rPr>
          <w:rFonts w:hint="eastAsia"/>
          <w:szCs w:val="21"/>
        </w:rPr>
        <w:t xml:space="preserve"> </w:t>
      </w:r>
      <w:r>
        <w:rPr>
          <w:rFonts w:hint="eastAsia"/>
          <w:szCs w:val="21"/>
        </w:rPr>
        <w:t>根据上述原则，仅</w:t>
      </w:r>
      <w:r>
        <w:rPr>
          <w:rFonts w:hint="eastAsia"/>
        </w:rPr>
        <w:t>采纳非为法律所禁止之证据。</w:t>
      </w:r>
      <w:r>
        <w:rPr>
          <w:rFonts w:ascii="PMingLiU" w:hAnsi="PMingLiU" w:hint="eastAsia"/>
        </w:rPr>
        <w:t>《</w:t>
      </w:r>
      <w:r>
        <w:rPr>
          <w:rFonts w:hint="eastAsia"/>
        </w:rPr>
        <w:t>刑事诉讼法典</w:t>
      </w:r>
      <w:r>
        <w:rPr>
          <w:rFonts w:ascii="PMingLiU" w:hAnsi="PMingLiU" w:hint="eastAsia"/>
        </w:rPr>
        <w:t>》</w:t>
      </w:r>
      <w:r>
        <w:rPr>
          <w:rFonts w:hint="eastAsia"/>
        </w:rPr>
        <w:t>第一百一十三条列出在取证上禁用的方法，其中规定的一般规则是：“</w:t>
      </w:r>
      <w:r>
        <w:rPr>
          <w:rFonts w:hint="eastAsia"/>
          <w:i/>
          <w:iCs/>
        </w:rPr>
        <w:t>透过酷刑或胁迫，又或一般侵犯人之身体或精神之完整性而获得之证据，均为无效，且不得使用</w:t>
      </w:r>
      <w:r>
        <w:rPr>
          <w:rFonts w:hint="eastAsia"/>
        </w:rPr>
        <w:t>”。为适用本规定，该条对于危害身体或精神健全作出规定。</w:t>
      </w:r>
    </w:p>
    <w:p w:rsidR="00000000" w:rsidRDefault="00000000">
      <w:pPr>
        <w:rPr>
          <w:rFonts w:hint="eastAsia"/>
        </w:rPr>
      </w:pPr>
      <w:r>
        <w:tab/>
        <w:t xml:space="preserve">207.  </w:t>
      </w:r>
      <w:r>
        <w:rPr>
          <w:rFonts w:hint="eastAsia"/>
        </w:rPr>
        <w:t>具体而言，“利用下列手段获得之证据，即使获有关之人同意，亦属侵犯人之身体或精神之完整性：ａ</w:t>
      </w:r>
      <w:r>
        <w:rPr>
          <w:rFonts w:hint="eastAsia"/>
        </w:rPr>
        <w:t>)</w:t>
      </w:r>
      <w:r>
        <w:rPr>
          <w:rFonts w:hint="eastAsia"/>
        </w:rPr>
        <w:t>以虐待、伤害身体、使用任何性质之手段、催眠又或施以残忍或欺骗之手段，扰乱意思之自由或作出决定之自由；ｂ</w:t>
      </w:r>
      <w:r>
        <w:rPr>
          <w:rFonts w:hint="eastAsia"/>
        </w:rPr>
        <w:t>)</w:t>
      </w:r>
      <w:r>
        <w:rPr>
          <w:rFonts w:hint="eastAsia"/>
        </w:rPr>
        <w:t>以任何手段扰乱记忆能力或评估能力；ｃ</w:t>
      </w:r>
      <w:r>
        <w:rPr>
          <w:rFonts w:hint="eastAsia"/>
        </w:rPr>
        <w:t>)</w:t>
      </w:r>
      <w:r>
        <w:rPr>
          <w:rFonts w:hint="eastAsia"/>
        </w:rPr>
        <w:t>在法律容许之情况及限度以外使用武力；ｄ</w:t>
      </w:r>
      <w:r>
        <w:rPr>
          <w:rFonts w:hint="eastAsia"/>
        </w:rPr>
        <w:t>)</w:t>
      </w:r>
      <w:r>
        <w:rPr>
          <w:rFonts w:hint="eastAsia"/>
        </w:rPr>
        <w:t>以法律不容许之措施作威胁，以及以拒绝或限制给予依法获得之利益作威胁</w:t>
      </w:r>
      <w:r>
        <w:rPr>
          <w:rFonts w:hint="eastAsia"/>
        </w:rPr>
        <w:t>......</w:t>
      </w:r>
      <w:r>
        <w:rPr>
          <w:rFonts w:hint="eastAsia"/>
        </w:rPr>
        <w:t>”。</w:t>
      </w:r>
    </w:p>
    <w:p w:rsidR="00000000" w:rsidRDefault="00000000">
      <w:pPr>
        <w:spacing w:after="160"/>
      </w:pPr>
      <w:r>
        <w:tab/>
        <w:t xml:space="preserve">208.  </w:t>
      </w:r>
      <w:r>
        <w:rPr>
          <w:rFonts w:hint="eastAsia"/>
        </w:rPr>
        <w:t>须强调的是，根据第一百一十三条的规定，利用法律所禁止的方法获得证据得用以对该犯罪之行为人进行追诉。</w:t>
      </w:r>
    </w:p>
    <w:p w:rsidR="00000000" w:rsidRDefault="00000000">
      <w:pPr>
        <w:pStyle w:val="Heading3"/>
      </w:pPr>
      <w:bookmarkStart w:id="33" w:name="_Toc139353458"/>
      <w:r>
        <w:rPr>
          <w:rFonts w:hint="eastAsia"/>
        </w:rPr>
        <w:t>第</w:t>
      </w:r>
      <w:r>
        <w:rPr>
          <w:rFonts w:hint="eastAsia"/>
        </w:rPr>
        <w:t xml:space="preserve"> </w:t>
      </w:r>
      <w:r>
        <w:rPr>
          <w:rFonts w:hint="eastAsia"/>
        </w:rPr>
        <w:t>十六</w:t>
      </w:r>
      <w:r>
        <w:rPr>
          <w:rFonts w:hint="eastAsia"/>
        </w:rPr>
        <w:t xml:space="preserve"> </w:t>
      </w:r>
      <w:r>
        <w:rPr>
          <w:rFonts w:hint="eastAsia"/>
        </w:rPr>
        <w:t>条</w:t>
      </w:r>
      <w:bookmarkEnd w:id="33"/>
    </w:p>
    <w:p w:rsidR="00000000" w:rsidRDefault="00000000">
      <w:pPr>
        <w:rPr>
          <w:rFonts w:hint="eastAsia"/>
        </w:rPr>
      </w:pPr>
      <w:r>
        <w:tab/>
        <w:t xml:space="preserve">209.  </w:t>
      </w:r>
      <w:r>
        <w:rPr>
          <w:rFonts w:hint="eastAsia"/>
        </w:rPr>
        <w:t>本报告第三部分有关澳门特别行政区履行公约规定的义务所作分析，皆根据《刑法典》法定罪状进行，故全部论述均适用于禁止酷刑、残忍、有辱人格或不人道之待遇。</w:t>
      </w:r>
    </w:p>
    <w:p w:rsidR="00000000" w:rsidRDefault="00000000">
      <w:pPr>
        <w:rPr>
          <w:rFonts w:hint="eastAsia"/>
        </w:rPr>
      </w:pPr>
      <w:r>
        <w:tab/>
        <w:t xml:space="preserve">210. </w:t>
      </w:r>
      <w:r>
        <w:rPr>
          <w:rFonts w:hint="eastAsia"/>
        </w:rPr>
        <w:t xml:space="preserve"> </w:t>
      </w:r>
      <w:r>
        <w:rPr>
          <w:rFonts w:hint="eastAsia"/>
        </w:rPr>
        <w:t>事实上，如上所述，澳门特别行政区刑法对于酷刑、残忍、有辱人格或不人道之待遇连同规范及惩治，构成《刑法典》二百三十四条所定罪状，而不将禁止酷刑与其他残忍、有辱人格或不人道之待遇诸概念加以区别规定。</w:t>
      </w:r>
    </w:p>
    <w:p w:rsidR="00000000" w:rsidRDefault="00000000">
      <w:pPr>
        <w:rPr>
          <w:rFonts w:hint="eastAsia"/>
        </w:rPr>
      </w:pPr>
      <w:r>
        <w:tab/>
        <w:t xml:space="preserve">211. </w:t>
      </w:r>
      <w:r>
        <w:rPr>
          <w:rFonts w:hint="eastAsia"/>
        </w:rPr>
        <w:t xml:space="preserve"> </w:t>
      </w:r>
      <w:r>
        <w:rPr>
          <w:rFonts w:hint="eastAsia"/>
        </w:rPr>
        <w:t>不妨再次援引该法律规定</w:t>
      </w:r>
      <w:r>
        <w:t>：</w:t>
      </w:r>
      <w:r>
        <w:rPr>
          <w:rFonts w:hint="eastAsia"/>
        </w:rPr>
        <w:t>“意图扰乱被害人作出决定之能力或自由表达其意思，而使其身体或心理受剧烈痛苦或严重疲劳，又或使用化学品、药物或其他天然或人造之工具等行为，视为酷刑、又或残忍、有辱人格或不人道之待遇”</w:t>
      </w:r>
      <w:r>
        <w:rPr>
          <w:rFonts w:hint="eastAsia"/>
        </w:rPr>
        <w:t>(</w:t>
      </w:r>
      <w:r>
        <w:rPr>
          <w:rFonts w:hint="eastAsia"/>
        </w:rPr>
        <w:t>《刑法典》第二百三十四条第二款</w:t>
      </w:r>
      <w:r>
        <w:rPr>
          <w:rFonts w:hint="eastAsia"/>
        </w:rPr>
        <w:t>)</w:t>
      </w:r>
      <w:r>
        <w:rPr>
          <w:rFonts w:hint="eastAsia"/>
        </w:rPr>
        <w:t>。</w:t>
      </w:r>
    </w:p>
    <w:p w:rsidR="00000000" w:rsidRDefault="00000000">
      <w:pPr>
        <w:rPr>
          <w:rFonts w:hint="eastAsia"/>
        </w:rPr>
      </w:pPr>
      <w:r>
        <w:tab/>
        <w:t xml:space="preserve">212.  </w:t>
      </w:r>
      <w:r>
        <w:rPr>
          <w:rFonts w:hint="eastAsia"/>
        </w:rPr>
        <w:t>由此可见，以上有关第二百三十四条所定罪状范畴的论述，基于客观因素</w:t>
      </w:r>
      <w:r>
        <w:rPr>
          <w:rFonts w:hint="eastAsia"/>
        </w:rPr>
        <w:t>(</w:t>
      </w:r>
      <w:r>
        <w:rPr>
          <w:rFonts w:hint="eastAsia"/>
        </w:rPr>
        <w:t>加害人的行为特点</w:t>
      </w:r>
      <w:r>
        <w:rPr>
          <w:rFonts w:hint="eastAsia"/>
        </w:rPr>
        <w:t>)</w:t>
      </w:r>
      <w:r>
        <w:rPr>
          <w:rFonts w:hint="eastAsia"/>
        </w:rPr>
        <w:t>与主观因素</w:t>
      </w:r>
      <w:r>
        <w:rPr>
          <w:rFonts w:hint="eastAsia"/>
        </w:rPr>
        <w:t>(</w:t>
      </w:r>
      <w:r>
        <w:rPr>
          <w:rFonts w:hint="eastAsia"/>
        </w:rPr>
        <w:t>加害人犯罪意图</w:t>
      </w:r>
      <w:r>
        <w:rPr>
          <w:rFonts w:hint="eastAsia"/>
        </w:rPr>
        <w:t>)</w:t>
      </w:r>
      <w:r>
        <w:rPr>
          <w:rFonts w:hint="eastAsia"/>
        </w:rPr>
        <w:t>而推定，得以适用于残忍、有辱人格或不人道的待遇。</w:t>
      </w:r>
    </w:p>
    <w:p w:rsidR="00000000" w:rsidRDefault="00000000">
      <w:pPr>
        <w:rPr>
          <w:rFonts w:hint="eastAsia"/>
        </w:rPr>
      </w:pPr>
      <w:r>
        <w:tab/>
        <w:t xml:space="preserve">213. </w:t>
      </w:r>
      <w:r>
        <w:rPr>
          <w:rFonts w:hint="eastAsia"/>
        </w:rPr>
        <w:t xml:space="preserve"> </w:t>
      </w:r>
      <w:r>
        <w:rPr>
          <w:rFonts w:hint="eastAsia"/>
        </w:rPr>
        <w:t>另一方面，施行酷刑及残忍行为构成杀人罪及伤害身体完整性的加重情节，并同有辱人格或不人道之待遇一并构成剥夺他人行动自由罪的加重情节</w:t>
      </w:r>
      <w:r>
        <w:rPr>
          <w:rFonts w:hint="eastAsia"/>
        </w:rPr>
        <w:t>(</w:t>
      </w:r>
      <w:r>
        <w:rPr>
          <w:rFonts w:hint="eastAsia"/>
        </w:rPr>
        <w:t>《刑法典》第一百二十九条第二款ｂ项，第一百四十条第一款</w:t>
      </w:r>
      <w:r>
        <w:rPr>
          <w:rFonts w:ascii="PMingLiU" w:hAnsi="PMingLiU" w:hint="eastAsia"/>
        </w:rPr>
        <w:t>、</w:t>
      </w:r>
      <w:r>
        <w:rPr>
          <w:rFonts w:hint="eastAsia"/>
        </w:rPr>
        <w:t>第二款及第一百五十二条第二款ｂ项</w:t>
      </w:r>
      <w:r>
        <w:rPr>
          <w:rFonts w:hint="eastAsia"/>
        </w:rPr>
        <w:t>)</w:t>
      </w:r>
      <w:r>
        <w:rPr>
          <w:rFonts w:hint="eastAsia"/>
        </w:rPr>
        <w:t>。</w:t>
      </w:r>
    </w:p>
    <w:p w:rsidR="00000000" w:rsidRDefault="00000000">
      <w:pPr>
        <w:spacing w:after="320"/>
        <w:rPr>
          <w:rFonts w:hint="eastAsia"/>
        </w:rPr>
      </w:pPr>
      <w:r>
        <w:tab/>
        <w:t xml:space="preserve">214.  </w:t>
      </w:r>
      <w:r>
        <w:rPr>
          <w:rFonts w:hint="eastAsia"/>
        </w:rPr>
        <w:t>残忍亦是</w:t>
      </w:r>
      <w:r>
        <w:rPr>
          <w:rStyle w:val="Web"/>
          <w:rFonts w:hint="eastAsia"/>
          <w:spacing w:val="20"/>
          <w:sz w:val="22"/>
          <w:lang w:val="pt-PT" w:eastAsia="zh-CN"/>
        </w:rPr>
        <w:t>虐待未成年人、无能力之人或配偶又或使之过度劳累罪实施的方式之一，并同</w:t>
      </w:r>
      <w:r>
        <w:rPr>
          <w:rFonts w:hint="eastAsia"/>
        </w:rPr>
        <w:t>有辱人格或不人道之待遇一并构成灭绝种族罪的方式之一</w:t>
      </w:r>
      <w:r>
        <w:rPr>
          <w:rFonts w:hint="eastAsia"/>
        </w:rPr>
        <w:t>(</w:t>
      </w:r>
      <w:r>
        <w:rPr>
          <w:rFonts w:hint="eastAsia"/>
        </w:rPr>
        <w:t>《刑法典》第一百四十六条第一款ａ项及第二百三十条ｃ项</w:t>
      </w:r>
      <w:r>
        <w:rPr>
          <w:rFonts w:hint="eastAsia"/>
        </w:rPr>
        <w:t>)</w:t>
      </w:r>
      <w:r>
        <w:rPr>
          <w:rFonts w:hint="eastAsia"/>
        </w:rPr>
        <w:t>。</w:t>
      </w:r>
    </w:p>
    <w:p w:rsidR="00000000" w:rsidRDefault="00000000">
      <w:pPr>
        <w:pStyle w:val="Heading2"/>
        <w:rPr>
          <w:kern w:val="0"/>
          <w:lang w:val="pt-PT"/>
        </w:rPr>
      </w:pPr>
      <w:bookmarkStart w:id="34" w:name="_Toc103591968"/>
      <w:bookmarkStart w:id="35" w:name="_Toc139353459"/>
      <w:r>
        <w:rPr>
          <w:kern w:val="0"/>
        </w:rPr>
        <w:br w:type="page"/>
      </w:r>
      <w:r>
        <w:rPr>
          <w:rFonts w:hint="eastAsia"/>
          <w:kern w:val="0"/>
        </w:rPr>
        <w:t>附件一</w:t>
      </w:r>
      <w:bookmarkEnd w:id="34"/>
      <w:r>
        <w:rPr>
          <w:kern w:val="0"/>
          <w:lang w:val="pt-PT"/>
        </w:rPr>
        <w:t xml:space="preserve">  </w:t>
      </w:r>
      <w:r>
        <w:rPr>
          <w:rFonts w:hint="eastAsia"/>
          <w:kern w:val="0"/>
        </w:rPr>
        <w:t>法例索引</w:t>
      </w:r>
      <w:bookmarkEnd w:id="35"/>
    </w:p>
    <w:p w:rsidR="00000000" w:rsidRDefault="00000000">
      <w:r>
        <w:t xml:space="preserve">1.  </w:t>
      </w:r>
      <w:r>
        <w:rPr>
          <w:rFonts w:hint="eastAsia"/>
        </w:rPr>
        <w:t>中华人民共和国澳门特别行政区基本法</w:t>
      </w:r>
    </w:p>
    <w:p w:rsidR="00000000" w:rsidRDefault="00000000">
      <w:r>
        <w:t xml:space="preserve">2.  </w:t>
      </w:r>
      <w:r>
        <w:rPr>
          <w:rFonts w:hint="eastAsia"/>
        </w:rPr>
        <w:t>澳门刑法典</w:t>
      </w:r>
    </w:p>
    <w:p w:rsidR="00000000" w:rsidRDefault="00000000">
      <w:pPr>
        <w:rPr>
          <w:szCs w:val="22"/>
        </w:rPr>
      </w:pPr>
      <w:r>
        <w:t xml:space="preserve">3.  </w:t>
      </w:r>
      <w:r>
        <w:rPr>
          <w:rFonts w:hint="eastAsia"/>
          <w:szCs w:val="22"/>
        </w:rPr>
        <w:t>刑事诉讼法典</w:t>
      </w:r>
    </w:p>
    <w:p w:rsidR="00000000" w:rsidRDefault="00000000">
      <w:pPr>
        <w:rPr>
          <w:szCs w:val="22"/>
        </w:rPr>
      </w:pPr>
      <w:r>
        <w:rPr>
          <w:szCs w:val="22"/>
        </w:rPr>
        <w:t xml:space="preserve">4.  </w:t>
      </w:r>
      <w:r>
        <w:rPr>
          <w:rFonts w:hint="eastAsia"/>
          <w:szCs w:val="22"/>
        </w:rPr>
        <w:t>民法典</w:t>
      </w:r>
    </w:p>
    <w:p w:rsidR="00000000" w:rsidRDefault="00000000">
      <w:pPr>
        <w:ind w:left="525" w:hanging="525"/>
        <w:rPr>
          <w:szCs w:val="22"/>
        </w:rPr>
      </w:pPr>
      <w:r>
        <w:rPr>
          <w:szCs w:val="22"/>
        </w:rPr>
        <w:t xml:space="preserve">5.  </w:t>
      </w:r>
      <w:r>
        <w:rPr>
          <w:rFonts w:hint="eastAsia"/>
          <w:szCs w:val="22"/>
        </w:rPr>
        <w:t>七月十一日第</w:t>
      </w:r>
      <w:r>
        <w:rPr>
          <w:szCs w:val="22"/>
        </w:rPr>
        <w:t>6</w:t>
      </w:r>
      <w:r>
        <w:rPr>
          <w:rFonts w:hint="eastAsia"/>
          <w:szCs w:val="22"/>
        </w:rPr>
        <w:t>2/88/M</w:t>
      </w:r>
      <w:r>
        <w:rPr>
          <w:rFonts w:hint="eastAsia"/>
          <w:szCs w:val="22"/>
        </w:rPr>
        <w:t>号法令–</w:t>
      </w:r>
      <w:r>
        <w:rPr>
          <w:rFonts w:hint="eastAsia"/>
        </w:rPr>
        <w:t>订定重组监务暨社会重返司狱警特别职程</w:t>
      </w:r>
    </w:p>
    <w:p w:rsidR="00000000" w:rsidRDefault="00000000">
      <w:pPr>
        <w:rPr>
          <w:szCs w:val="22"/>
        </w:rPr>
      </w:pPr>
      <w:r>
        <w:rPr>
          <w:szCs w:val="22"/>
        </w:rPr>
        <w:t xml:space="preserve">6.  </w:t>
      </w:r>
      <w:r>
        <w:rPr>
          <w:rFonts w:hint="eastAsia"/>
          <w:szCs w:val="22"/>
        </w:rPr>
        <w:t>八月十五日第</w:t>
      </w:r>
      <w:r>
        <w:rPr>
          <w:rFonts w:hint="eastAsia"/>
          <w:szCs w:val="22"/>
        </w:rPr>
        <w:t>22/88/M</w:t>
      </w:r>
      <w:r>
        <w:rPr>
          <w:rFonts w:hint="eastAsia"/>
          <w:szCs w:val="22"/>
        </w:rPr>
        <w:t>号法律–</w:t>
      </w:r>
      <w:r>
        <w:rPr>
          <w:rFonts w:hint="eastAsia"/>
        </w:rPr>
        <w:t>订定卫生司特别职程制度</w:t>
      </w:r>
    </w:p>
    <w:p w:rsidR="00000000" w:rsidRDefault="00000000">
      <w:pPr>
        <w:ind w:left="525" w:hanging="525"/>
        <w:rPr>
          <w:szCs w:val="22"/>
        </w:rPr>
      </w:pPr>
      <w:r>
        <w:rPr>
          <w:szCs w:val="22"/>
        </w:rPr>
        <w:t xml:space="preserve">7.  </w:t>
      </w:r>
      <w:r>
        <w:rPr>
          <w:rFonts w:hint="eastAsia"/>
          <w:szCs w:val="22"/>
        </w:rPr>
        <w:t>经十一月二十九日第</w:t>
      </w:r>
      <w:r>
        <w:rPr>
          <w:rFonts w:hint="eastAsia"/>
          <w:szCs w:val="22"/>
        </w:rPr>
        <w:t>89</w:t>
      </w:r>
      <w:r>
        <w:rPr>
          <w:szCs w:val="22"/>
        </w:rPr>
        <w:t>/</w:t>
      </w:r>
      <w:r>
        <w:rPr>
          <w:rFonts w:hint="eastAsia"/>
          <w:szCs w:val="22"/>
        </w:rPr>
        <w:t>99</w:t>
      </w:r>
      <w:r>
        <w:rPr>
          <w:szCs w:val="22"/>
        </w:rPr>
        <w:t>/M</w:t>
      </w:r>
      <w:r>
        <w:rPr>
          <w:rFonts w:hint="eastAsia"/>
          <w:szCs w:val="22"/>
        </w:rPr>
        <w:t>号法令修改的十二月二十一日第</w:t>
      </w:r>
      <w:r>
        <w:rPr>
          <w:szCs w:val="22"/>
        </w:rPr>
        <w:t>87/89/M</w:t>
      </w:r>
      <w:r>
        <w:rPr>
          <w:rFonts w:hint="eastAsia"/>
          <w:szCs w:val="22"/>
        </w:rPr>
        <w:t>号法令–核准公共行政工作人员通则</w:t>
      </w:r>
    </w:p>
    <w:p w:rsidR="00000000" w:rsidRDefault="00000000">
      <w:pPr>
        <w:rPr>
          <w:szCs w:val="22"/>
        </w:rPr>
      </w:pPr>
      <w:r>
        <w:rPr>
          <w:szCs w:val="22"/>
        </w:rPr>
        <w:t xml:space="preserve">8.  </w:t>
      </w:r>
      <w:r>
        <w:rPr>
          <w:rFonts w:hint="eastAsia"/>
        </w:rPr>
        <w:t>九月二十一日第</w:t>
      </w:r>
      <w:r>
        <w:t>68/92/M</w:t>
      </w:r>
      <w:r>
        <w:rPr>
          <w:rFonts w:hint="eastAsia"/>
        </w:rPr>
        <w:t>号法令</w:t>
      </w:r>
      <w:r>
        <w:rPr>
          <w:rFonts w:hint="eastAsia"/>
          <w:szCs w:val="22"/>
        </w:rPr>
        <w:t>–</w:t>
      </w:r>
      <w:r>
        <w:rPr>
          <w:rFonts w:hint="eastAsia"/>
        </w:rPr>
        <w:t>通过医生职程及职程前培训法律制度</w:t>
      </w:r>
    </w:p>
    <w:p w:rsidR="00000000" w:rsidRDefault="00000000">
      <w:pPr>
        <w:ind w:left="525" w:hanging="525"/>
      </w:pPr>
      <w:r>
        <w:rPr>
          <w:szCs w:val="22"/>
        </w:rPr>
        <w:t xml:space="preserve">9.  </w:t>
      </w:r>
      <w:r>
        <w:rPr>
          <w:rFonts w:hint="eastAsia"/>
        </w:rPr>
        <w:t>经十二月十六日第</w:t>
      </w:r>
      <w:r>
        <w:rPr>
          <w:rFonts w:hint="eastAsia"/>
        </w:rPr>
        <w:t>32/2002</w:t>
      </w:r>
      <w:r>
        <w:rPr>
          <w:rFonts w:hint="eastAsia"/>
        </w:rPr>
        <w:t>号行政法规修订的九月二十八日第</w:t>
      </w:r>
      <w:r>
        <w:t>72/92/M</w:t>
      </w:r>
      <w:r>
        <w:rPr>
          <w:rFonts w:hint="eastAsia"/>
        </w:rPr>
        <w:t>号法令</w:t>
      </w:r>
      <w:r>
        <w:rPr>
          <w:rFonts w:hint="eastAsia"/>
          <w:szCs w:val="22"/>
        </w:rPr>
        <w:t>–</w:t>
      </w:r>
      <w:r>
        <w:rPr>
          <w:rFonts w:hint="eastAsia"/>
        </w:rPr>
        <w:t>重订及修订市民保障法规</w:t>
      </w:r>
    </w:p>
    <w:p w:rsidR="00000000" w:rsidRDefault="00000000">
      <w:r>
        <w:t xml:space="preserve">10. </w:t>
      </w:r>
      <w:r>
        <w:rPr>
          <w:rFonts w:hint="eastAsia"/>
        </w:rPr>
        <w:t xml:space="preserve"> </w:t>
      </w:r>
      <w:r>
        <w:rPr>
          <w:rFonts w:hint="eastAsia"/>
          <w:szCs w:val="22"/>
        </w:rPr>
        <w:t>七月二十五日第</w:t>
      </w:r>
      <w:r>
        <w:rPr>
          <w:szCs w:val="22"/>
        </w:rPr>
        <w:t>40/94/M</w:t>
      </w:r>
      <w:r>
        <w:rPr>
          <w:rFonts w:hint="eastAsia"/>
          <w:szCs w:val="22"/>
        </w:rPr>
        <w:t>号法令–</w:t>
      </w:r>
      <w:r>
        <w:rPr>
          <w:rFonts w:hint="eastAsia"/>
        </w:rPr>
        <w:t>核准剥夺自由处分之执行制度</w:t>
      </w:r>
    </w:p>
    <w:p w:rsidR="00000000" w:rsidRDefault="00000000">
      <w:r>
        <w:t xml:space="preserve">11.  </w:t>
      </w:r>
      <w:r>
        <w:rPr>
          <w:rFonts w:hint="eastAsia"/>
          <w:szCs w:val="22"/>
        </w:rPr>
        <w:t>十二月五日第</w:t>
      </w:r>
      <w:r>
        <w:rPr>
          <w:rFonts w:hint="eastAsia"/>
          <w:szCs w:val="22"/>
        </w:rPr>
        <w:t>60</w:t>
      </w:r>
      <w:r>
        <w:rPr>
          <w:szCs w:val="22"/>
        </w:rPr>
        <w:t>/94/M</w:t>
      </w:r>
      <w:r>
        <w:rPr>
          <w:rFonts w:hint="eastAsia"/>
          <w:szCs w:val="22"/>
        </w:rPr>
        <w:t>号法令–</w:t>
      </w:r>
      <w:r>
        <w:rPr>
          <w:rFonts w:hint="eastAsia"/>
        </w:rPr>
        <w:t>核准澳门狱警队伍之纪律制度</w:t>
      </w:r>
    </w:p>
    <w:p w:rsidR="00000000" w:rsidRDefault="00000000">
      <w:r>
        <w:t xml:space="preserve">12.  </w:t>
      </w:r>
      <w:r>
        <w:rPr>
          <w:rFonts w:hint="eastAsia"/>
        </w:rPr>
        <w:t>十二</w:t>
      </w:r>
      <w:r>
        <w:rPr>
          <w:rFonts w:hint="eastAsia"/>
          <w:szCs w:val="22"/>
        </w:rPr>
        <w:t>月三十日第</w:t>
      </w:r>
      <w:r>
        <w:rPr>
          <w:rFonts w:hint="eastAsia"/>
          <w:szCs w:val="22"/>
        </w:rPr>
        <w:t>66</w:t>
      </w:r>
      <w:r>
        <w:rPr>
          <w:szCs w:val="22"/>
        </w:rPr>
        <w:t>/94/M</w:t>
      </w:r>
      <w:r>
        <w:rPr>
          <w:rFonts w:hint="eastAsia"/>
          <w:szCs w:val="22"/>
        </w:rPr>
        <w:t>号法令–</w:t>
      </w:r>
      <w:r>
        <w:rPr>
          <w:rFonts w:hint="eastAsia"/>
        </w:rPr>
        <w:t>核准澳门保安部队军事化人员通则</w:t>
      </w:r>
    </w:p>
    <w:p w:rsidR="00000000" w:rsidRDefault="00000000">
      <w:r>
        <w:t xml:space="preserve">13.  </w:t>
      </w:r>
      <w:r>
        <w:rPr>
          <w:rFonts w:hint="eastAsia"/>
        </w:rPr>
        <w:t>七月三十一日第</w:t>
      </w:r>
      <w:r>
        <w:rPr>
          <w:rFonts w:hint="eastAsia"/>
        </w:rPr>
        <w:t>9/95/M</w:t>
      </w:r>
      <w:r>
        <w:rPr>
          <w:rFonts w:hint="eastAsia"/>
        </w:rPr>
        <w:t>号法律</w:t>
      </w:r>
      <w:r>
        <w:rPr>
          <w:rFonts w:hint="eastAsia"/>
          <w:szCs w:val="22"/>
        </w:rPr>
        <w:t>–</w:t>
      </w:r>
      <w:r>
        <w:rPr>
          <w:rFonts w:hint="eastAsia"/>
        </w:rPr>
        <w:t>设立护理职程制度</w:t>
      </w:r>
    </w:p>
    <w:p w:rsidR="00000000" w:rsidRDefault="00000000">
      <w:pPr>
        <w:ind w:left="630" w:hanging="630"/>
      </w:pPr>
      <w:r>
        <w:rPr>
          <w:rFonts w:hint="eastAsia"/>
        </w:rPr>
        <w:t xml:space="preserve">14.  </w:t>
      </w:r>
      <w:r>
        <w:rPr>
          <w:rFonts w:hint="eastAsia"/>
        </w:rPr>
        <w:t>经十一月二十二日第</w:t>
      </w:r>
      <w:r>
        <w:rPr>
          <w:rFonts w:hint="eastAsia"/>
        </w:rPr>
        <w:t>10/2004</w:t>
      </w:r>
      <w:r>
        <w:rPr>
          <w:rFonts w:hint="eastAsia"/>
        </w:rPr>
        <w:t>号法律修订的十一</w:t>
      </w:r>
      <w:r>
        <w:rPr>
          <w:rFonts w:hint="eastAsia"/>
          <w:szCs w:val="22"/>
        </w:rPr>
        <w:t>月二十七日第</w:t>
      </w:r>
      <w:r>
        <w:rPr>
          <w:rFonts w:hint="eastAsia"/>
          <w:szCs w:val="22"/>
        </w:rPr>
        <w:t>59</w:t>
      </w:r>
      <w:r>
        <w:rPr>
          <w:szCs w:val="22"/>
        </w:rPr>
        <w:t>/9</w:t>
      </w:r>
      <w:r>
        <w:rPr>
          <w:rFonts w:hint="eastAsia"/>
          <w:szCs w:val="22"/>
        </w:rPr>
        <w:t>5</w:t>
      </w:r>
      <w:r>
        <w:rPr>
          <w:szCs w:val="22"/>
        </w:rPr>
        <w:t>/M</w:t>
      </w:r>
      <w:r>
        <w:rPr>
          <w:rFonts w:hint="eastAsia"/>
          <w:szCs w:val="22"/>
        </w:rPr>
        <w:t>号法令–</w:t>
      </w:r>
      <w:r>
        <w:rPr>
          <w:rFonts w:hint="eastAsia"/>
        </w:rPr>
        <w:t>规范自愿中断怀孕</w:t>
      </w:r>
    </w:p>
    <w:p w:rsidR="00000000" w:rsidRDefault="00000000">
      <w:r>
        <w:t xml:space="preserve">15.  </w:t>
      </w:r>
      <w:r>
        <w:rPr>
          <w:rFonts w:hint="eastAsia"/>
        </w:rPr>
        <w:t>二月五日第</w:t>
      </w:r>
      <w:r>
        <w:rPr>
          <w:rFonts w:hint="eastAsia"/>
        </w:rPr>
        <w:t>8</w:t>
      </w:r>
      <w:r>
        <w:t>/GM/96</w:t>
      </w:r>
      <w:r>
        <w:rPr>
          <w:rFonts w:hint="eastAsia"/>
        </w:rPr>
        <w:t>号批示</w:t>
      </w:r>
      <w:r>
        <w:rPr>
          <w:rFonts w:hint="eastAsia"/>
          <w:szCs w:val="22"/>
        </w:rPr>
        <w:t>–</w:t>
      </w:r>
      <w:r>
        <w:rPr>
          <w:rFonts w:hint="eastAsia"/>
        </w:rPr>
        <w:t>核准路环监狱规章</w:t>
      </w:r>
      <w:r>
        <w:t xml:space="preserve"> </w:t>
      </w:r>
    </w:p>
    <w:p w:rsidR="00000000" w:rsidRDefault="00000000">
      <w:pPr>
        <w:ind w:left="630" w:hanging="630"/>
        <w:rPr>
          <w:szCs w:val="22"/>
        </w:rPr>
      </w:pPr>
      <w:r>
        <w:t xml:space="preserve">16.  </w:t>
      </w:r>
      <w:r>
        <w:rPr>
          <w:rFonts w:hint="eastAsia"/>
        </w:rPr>
        <w:t>三月二十五日第</w:t>
      </w:r>
      <w:r>
        <w:t>15/96/M</w:t>
      </w:r>
      <w:r>
        <w:rPr>
          <w:rFonts w:hint="eastAsia"/>
        </w:rPr>
        <w:t>号法令</w:t>
      </w:r>
      <w:r>
        <w:rPr>
          <w:rFonts w:hint="eastAsia"/>
          <w:szCs w:val="22"/>
        </w:rPr>
        <w:t>–制订</w:t>
      </w:r>
      <w:r>
        <w:rPr>
          <w:rFonts w:hint="eastAsia"/>
        </w:rPr>
        <w:t>有关纳入公共学校网络之私立教育机构所实际担任职务之教学人员通则</w:t>
      </w:r>
    </w:p>
    <w:p w:rsidR="00000000" w:rsidRDefault="00000000">
      <w:pPr>
        <w:ind w:left="630" w:hanging="630"/>
        <w:rPr>
          <w:szCs w:val="22"/>
        </w:rPr>
      </w:pPr>
      <w:r>
        <w:rPr>
          <w:szCs w:val="22"/>
        </w:rPr>
        <w:t xml:space="preserve">17.  </w:t>
      </w:r>
      <w:r>
        <w:rPr>
          <w:rFonts w:hint="eastAsia"/>
          <w:szCs w:val="22"/>
        </w:rPr>
        <w:t>六月三日第</w:t>
      </w:r>
      <w:r>
        <w:rPr>
          <w:rFonts w:hint="eastAsia"/>
          <w:szCs w:val="22"/>
        </w:rPr>
        <w:t>2</w:t>
      </w:r>
      <w:r>
        <w:rPr>
          <w:szCs w:val="22"/>
        </w:rPr>
        <w:t>/9</w:t>
      </w:r>
      <w:r>
        <w:rPr>
          <w:rFonts w:hint="eastAsia"/>
          <w:szCs w:val="22"/>
        </w:rPr>
        <w:t>6</w:t>
      </w:r>
      <w:r>
        <w:rPr>
          <w:szCs w:val="22"/>
        </w:rPr>
        <w:t>/M</w:t>
      </w:r>
      <w:r>
        <w:rPr>
          <w:rFonts w:hint="eastAsia"/>
          <w:szCs w:val="22"/>
        </w:rPr>
        <w:t>号法</w:t>
      </w:r>
      <w:r>
        <w:rPr>
          <w:rFonts w:hint="eastAsia"/>
        </w:rPr>
        <w:t>律</w:t>
      </w:r>
      <w:r>
        <w:rPr>
          <w:rFonts w:hint="eastAsia"/>
          <w:szCs w:val="22"/>
        </w:rPr>
        <w:t>–</w:t>
      </w:r>
      <w:r>
        <w:rPr>
          <w:rFonts w:hint="eastAsia"/>
        </w:rPr>
        <w:t>制定以捐赠、摘取及移植人体器官及组织为目的之行为所应遵守之规则</w:t>
      </w:r>
    </w:p>
    <w:p w:rsidR="00000000" w:rsidRDefault="00000000">
      <w:pPr>
        <w:ind w:left="735" w:hanging="735"/>
        <w:rPr>
          <w:szCs w:val="22"/>
        </w:rPr>
      </w:pPr>
      <w:r>
        <w:rPr>
          <w:szCs w:val="22"/>
        </w:rPr>
        <w:t xml:space="preserve">18.  </w:t>
      </w:r>
      <w:r>
        <w:rPr>
          <w:rFonts w:hint="eastAsia"/>
        </w:rPr>
        <w:t>一九九六年九月二十三日第</w:t>
      </w:r>
      <w:r>
        <w:t>106</w:t>
      </w:r>
      <w:r>
        <w:rPr>
          <w:rFonts w:hint="eastAsia"/>
        </w:rPr>
        <w:t>号指令</w:t>
      </w:r>
      <w:r>
        <w:rPr>
          <w:rFonts w:hint="eastAsia"/>
        </w:rPr>
        <w:t>(</w:t>
      </w:r>
      <w:r>
        <w:rPr>
          <w:rFonts w:hint="eastAsia"/>
        </w:rPr>
        <w:t>海关</w:t>
      </w:r>
      <w:r>
        <w:rPr>
          <w:rFonts w:hint="eastAsia"/>
        </w:rPr>
        <w:t>)</w:t>
      </w:r>
      <w:r>
        <w:rPr>
          <w:rFonts w:hint="eastAsia"/>
          <w:szCs w:val="22"/>
        </w:rPr>
        <w:t>–规范对</w:t>
      </w:r>
      <w:r>
        <w:rPr>
          <w:rFonts w:hint="eastAsia"/>
        </w:rPr>
        <w:t>囚犯和被拘留人处置及移送程序</w:t>
      </w:r>
    </w:p>
    <w:p w:rsidR="00000000" w:rsidRDefault="00000000">
      <w:pPr>
        <w:ind w:left="735" w:hanging="735"/>
      </w:pPr>
      <w:r>
        <w:rPr>
          <w:szCs w:val="22"/>
        </w:rPr>
        <w:t xml:space="preserve">19.  </w:t>
      </w:r>
      <w:r>
        <w:rPr>
          <w:rFonts w:hint="eastAsia"/>
          <w:szCs w:val="21"/>
        </w:rPr>
        <w:t>九月二十二日第</w:t>
      </w:r>
      <w:r>
        <w:rPr>
          <w:szCs w:val="21"/>
        </w:rPr>
        <w:t>41/97/M</w:t>
      </w:r>
      <w:r>
        <w:rPr>
          <w:rFonts w:hint="eastAsia"/>
          <w:szCs w:val="21"/>
        </w:rPr>
        <w:t>号法令</w:t>
      </w:r>
      <w:r>
        <w:rPr>
          <w:rFonts w:hint="eastAsia"/>
          <w:szCs w:val="22"/>
        </w:rPr>
        <w:t>–</w:t>
      </w:r>
      <w:r>
        <w:rPr>
          <w:rFonts w:hint="eastAsia"/>
        </w:rPr>
        <w:t>制定培训幼稚园及中小学教师之法律制度</w:t>
      </w:r>
    </w:p>
    <w:p w:rsidR="00000000" w:rsidRDefault="00000000">
      <w:pPr>
        <w:rPr>
          <w:szCs w:val="22"/>
        </w:rPr>
      </w:pPr>
      <w:r>
        <w:t xml:space="preserve">20.  </w:t>
      </w:r>
      <w:r>
        <w:rPr>
          <w:rFonts w:hint="eastAsia"/>
        </w:rPr>
        <w:t>十二月二日第</w:t>
      </w:r>
      <w:r>
        <w:t>46/SAAEJ/97</w:t>
      </w:r>
      <w:r>
        <w:rPr>
          <w:rFonts w:hint="eastAsia"/>
        </w:rPr>
        <w:t>号批示</w:t>
      </w:r>
      <w:r>
        <w:rPr>
          <w:rFonts w:hint="eastAsia"/>
          <w:szCs w:val="22"/>
        </w:rPr>
        <w:t>–</w:t>
      </w:r>
      <w:r>
        <w:rPr>
          <w:rFonts w:hint="eastAsia"/>
        </w:rPr>
        <w:t>核准官方教育机构之学生纪律制度</w:t>
      </w:r>
    </w:p>
    <w:p w:rsidR="00000000" w:rsidRDefault="00000000">
      <w:pPr>
        <w:ind w:left="735" w:hanging="735"/>
        <w:rPr>
          <w:szCs w:val="22"/>
        </w:rPr>
      </w:pPr>
      <w:r>
        <w:rPr>
          <w:szCs w:val="22"/>
        </w:rPr>
        <w:t xml:space="preserve">21.  </w:t>
      </w:r>
      <w:r>
        <w:rPr>
          <w:rFonts w:hint="eastAsia"/>
          <w:bCs/>
        </w:rPr>
        <w:t>二月二日第</w:t>
      </w:r>
      <w:r>
        <w:rPr>
          <w:bCs/>
        </w:rPr>
        <w:t>5/98/M</w:t>
      </w:r>
      <w:r>
        <w:rPr>
          <w:rFonts w:hint="eastAsia"/>
          <w:bCs/>
        </w:rPr>
        <w:t>号法令</w:t>
      </w:r>
      <w:r>
        <w:rPr>
          <w:rFonts w:hint="eastAsia"/>
          <w:szCs w:val="22"/>
        </w:rPr>
        <w:t>–</w:t>
      </w:r>
      <w:r>
        <w:rPr>
          <w:rFonts w:hint="eastAsia"/>
        </w:rPr>
        <w:t>规范公共行政当局之公务通讯、徽号及标志之使用以及纸张之标准化，并简化若干行政程序及订定在澳门地区外发出但应在澳门产生效力之文件之一般有效期</w:t>
      </w:r>
    </w:p>
    <w:p w:rsidR="00000000" w:rsidRDefault="00000000">
      <w:pPr>
        <w:ind w:left="735" w:hanging="735"/>
      </w:pPr>
      <w:r>
        <w:rPr>
          <w:szCs w:val="22"/>
        </w:rPr>
        <w:t xml:space="preserve">22.  </w:t>
      </w:r>
      <w:r>
        <w:rPr>
          <w:rFonts w:hint="eastAsia"/>
          <w:szCs w:val="21"/>
        </w:rPr>
        <w:t>五月十八日第</w:t>
      </w:r>
      <w:r>
        <w:rPr>
          <w:szCs w:val="21"/>
        </w:rPr>
        <w:t>53/SAS/98</w:t>
      </w:r>
      <w:r>
        <w:rPr>
          <w:rFonts w:hint="eastAsia"/>
          <w:szCs w:val="21"/>
        </w:rPr>
        <w:t>号批示</w:t>
      </w:r>
      <w:r>
        <w:rPr>
          <w:rFonts w:hint="eastAsia"/>
          <w:szCs w:val="22"/>
        </w:rPr>
        <w:t>–</w:t>
      </w:r>
      <w:r>
        <w:rPr>
          <w:rFonts w:hint="eastAsia"/>
        </w:rPr>
        <w:t>核准为晋升至澳门治安警察厅基础职程职位之课程</w:t>
      </w:r>
    </w:p>
    <w:p w:rsidR="00000000" w:rsidRDefault="00000000">
      <w:pPr>
        <w:ind w:left="735" w:hanging="735"/>
      </w:pPr>
      <w:r>
        <w:t xml:space="preserve">23.  </w:t>
      </w:r>
      <w:r>
        <w:rPr>
          <w:rFonts w:hint="eastAsia"/>
        </w:rPr>
        <w:t>六月二十九日第</w:t>
      </w:r>
      <w:r>
        <w:t>27/98/M</w:t>
      </w:r>
      <w:r>
        <w:rPr>
          <w:rFonts w:hint="eastAsia"/>
        </w:rPr>
        <w:t>号法令</w:t>
      </w:r>
      <w:r>
        <w:rPr>
          <w:rFonts w:hint="eastAsia"/>
          <w:szCs w:val="22"/>
        </w:rPr>
        <w:t>–</w:t>
      </w:r>
      <w:r>
        <w:rPr>
          <w:rFonts w:hint="eastAsia"/>
        </w:rPr>
        <w:t>重组司法警察司之组织架构</w:t>
      </w:r>
    </w:p>
    <w:p w:rsidR="00000000" w:rsidRDefault="00000000">
      <w:pPr>
        <w:ind w:left="735" w:hanging="735"/>
      </w:pPr>
      <w:r>
        <w:t xml:space="preserve">24.  </w:t>
      </w:r>
      <w:r>
        <w:rPr>
          <w:rFonts w:hint="eastAsia"/>
          <w:szCs w:val="21"/>
        </w:rPr>
        <w:t>七月二十七日第</w:t>
      </w:r>
      <w:r>
        <w:rPr>
          <w:rFonts w:hint="eastAsia"/>
          <w:szCs w:val="21"/>
        </w:rPr>
        <w:t>32/98/M</w:t>
      </w:r>
      <w:r>
        <w:rPr>
          <w:rFonts w:hint="eastAsia"/>
          <w:szCs w:val="21"/>
        </w:rPr>
        <w:t>号法令</w:t>
      </w:r>
      <w:r>
        <w:rPr>
          <w:rFonts w:hint="eastAsia"/>
          <w:szCs w:val="22"/>
        </w:rPr>
        <w:t>–</w:t>
      </w:r>
      <w:r>
        <w:rPr>
          <w:rFonts w:hint="eastAsia"/>
        </w:rPr>
        <w:t>规范司法警察学校之职责、权限及内部组织</w:t>
      </w:r>
    </w:p>
    <w:p w:rsidR="00000000" w:rsidRDefault="00000000">
      <w:r>
        <w:t xml:space="preserve">25.  </w:t>
      </w:r>
      <w:r>
        <w:rPr>
          <w:rFonts w:hint="eastAsia"/>
        </w:rPr>
        <w:t>八月十七日第</w:t>
      </w:r>
      <w:r>
        <w:t>6/98/M</w:t>
      </w:r>
      <w:r>
        <w:rPr>
          <w:rFonts w:hint="eastAsia"/>
        </w:rPr>
        <w:t>号法律</w:t>
      </w:r>
      <w:r>
        <w:rPr>
          <w:rFonts w:hint="eastAsia"/>
          <w:szCs w:val="22"/>
        </w:rPr>
        <w:t>–</w:t>
      </w:r>
      <w:r>
        <w:rPr>
          <w:rFonts w:hint="eastAsia"/>
        </w:rPr>
        <w:t>规范对暴力罪行受害人之保障</w:t>
      </w:r>
    </w:p>
    <w:p w:rsidR="00000000" w:rsidRDefault="00000000">
      <w:r>
        <w:t xml:space="preserve">26.  </w:t>
      </w:r>
      <w:r>
        <w:rPr>
          <w:rFonts w:hint="eastAsia"/>
        </w:rPr>
        <w:t>六月二十八日第</w:t>
      </w:r>
      <w:r>
        <w:rPr>
          <w:rFonts w:hint="eastAsia"/>
        </w:rPr>
        <w:t>26/99/M</w:t>
      </w:r>
      <w:r>
        <w:rPr>
          <w:rFonts w:hint="eastAsia"/>
        </w:rPr>
        <w:t>号法令</w:t>
      </w:r>
      <w:r>
        <w:rPr>
          <w:rFonts w:hint="eastAsia"/>
          <w:szCs w:val="22"/>
        </w:rPr>
        <w:t>–</w:t>
      </w:r>
      <w:r>
        <w:rPr>
          <w:rFonts w:hint="eastAsia"/>
        </w:rPr>
        <w:t>订定司法警察司人员职程之特别制度</w:t>
      </w:r>
    </w:p>
    <w:p w:rsidR="00000000" w:rsidRDefault="00000000">
      <w:r>
        <w:t xml:space="preserve">27.  </w:t>
      </w:r>
      <w:r>
        <w:rPr>
          <w:rFonts w:hint="eastAsia"/>
        </w:rPr>
        <w:t>七</w:t>
      </w:r>
      <w:r>
        <w:rPr>
          <w:rFonts w:hint="eastAsia"/>
          <w:szCs w:val="22"/>
        </w:rPr>
        <w:t>月十二日第</w:t>
      </w:r>
      <w:r>
        <w:rPr>
          <w:rFonts w:hint="eastAsia"/>
          <w:szCs w:val="22"/>
        </w:rPr>
        <w:t>31</w:t>
      </w:r>
      <w:r>
        <w:rPr>
          <w:szCs w:val="22"/>
        </w:rPr>
        <w:t>/</w:t>
      </w:r>
      <w:r>
        <w:rPr>
          <w:rFonts w:hint="eastAsia"/>
          <w:szCs w:val="22"/>
        </w:rPr>
        <w:t>99</w:t>
      </w:r>
      <w:r>
        <w:rPr>
          <w:szCs w:val="22"/>
        </w:rPr>
        <w:t>/M</w:t>
      </w:r>
      <w:r>
        <w:rPr>
          <w:rFonts w:hint="eastAsia"/>
          <w:szCs w:val="22"/>
        </w:rPr>
        <w:t>号法令–</w:t>
      </w:r>
      <w:r>
        <w:rPr>
          <w:rFonts w:hint="eastAsia"/>
        </w:rPr>
        <w:t>核准精神卫生制度</w:t>
      </w:r>
    </w:p>
    <w:p w:rsidR="00000000" w:rsidRDefault="00000000">
      <w:r>
        <w:t xml:space="preserve">28.  </w:t>
      </w:r>
      <w:r>
        <w:rPr>
          <w:rFonts w:hint="eastAsia"/>
          <w:bCs/>
        </w:rPr>
        <w:t>十月四日第</w:t>
      </w:r>
      <w:r>
        <w:rPr>
          <w:bCs/>
        </w:rPr>
        <w:t>52/99/M</w:t>
      </w:r>
      <w:r>
        <w:rPr>
          <w:rFonts w:hint="eastAsia"/>
          <w:bCs/>
        </w:rPr>
        <w:t>号法令</w:t>
      </w:r>
      <w:r>
        <w:rPr>
          <w:rFonts w:hint="eastAsia"/>
          <w:szCs w:val="22"/>
        </w:rPr>
        <w:t>–</w:t>
      </w:r>
      <w:r>
        <w:rPr>
          <w:rFonts w:hint="eastAsia"/>
          <w:bCs/>
        </w:rPr>
        <w:t>订定</w:t>
      </w:r>
      <w:r>
        <w:rPr>
          <w:rFonts w:hint="eastAsia"/>
        </w:rPr>
        <w:t>行政上之违法行为之一般制度及程序</w:t>
      </w:r>
    </w:p>
    <w:p w:rsidR="00000000" w:rsidRDefault="00000000">
      <w:pPr>
        <w:ind w:left="735" w:hanging="735"/>
      </w:pPr>
      <w:r>
        <w:t xml:space="preserve">29.  </w:t>
      </w:r>
      <w:r>
        <w:rPr>
          <w:rFonts w:hint="eastAsia"/>
          <w:bCs/>
        </w:rPr>
        <w:t>十月二十五日第</w:t>
      </w:r>
      <w:r>
        <w:rPr>
          <w:bCs/>
        </w:rPr>
        <w:t>65/99/M</w:t>
      </w:r>
      <w:r>
        <w:rPr>
          <w:rFonts w:hint="eastAsia"/>
          <w:bCs/>
        </w:rPr>
        <w:t>号法令</w:t>
      </w:r>
      <w:r>
        <w:rPr>
          <w:rFonts w:hint="eastAsia"/>
          <w:szCs w:val="22"/>
        </w:rPr>
        <w:t>–</w:t>
      </w:r>
      <w:r>
        <w:rPr>
          <w:rFonts w:hint="eastAsia"/>
        </w:rPr>
        <w:t>核准未成年人司法管辖范围内之教育制度及社会保护制度</w:t>
      </w:r>
    </w:p>
    <w:p w:rsidR="00000000" w:rsidRDefault="00000000">
      <w:r>
        <w:t xml:space="preserve">30.  </w:t>
      </w:r>
      <w:r>
        <w:rPr>
          <w:rFonts w:hint="eastAsia"/>
        </w:rPr>
        <w:t>十一月一日第</w:t>
      </w:r>
      <w:r>
        <w:t>67/99/M</w:t>
      </w:r>
      <w:r>
        <w:rPr>
          <w:rFonts w:hint="eastAsia"/>
        </w:rPr>
        <w:t>号法令</w:t>
      </w:r>
      <w:r>
        <w:rPr>
          <w:rFonts w:hint="eastAsia"/>
          <w:szCs w:val="22"/>
        </w:rPr>
        <w:t>–</w:t>
      </w:r>
      <w:r>
        <w:rPr>
          <w:rFonts w:hint="eastAsia"/>
        </w:rPr>
        <w:t>核准教育暨青年司教学人员通则</w:t>
      </w:r>
    </w:p>
    <w:p w:rsidR="00000000" w:rsidRDefault="00000000">
      <w:r>
        <w:t xml:space="preserve">31.  </w:t>
      </w:r>
      <w:r>
        <w:rPr>
          <w:rFonts w:hint="eastAsia"/>
        </w:rPr>
        <w:t>十一月十五日第</w:t>
      </w:r>
      <w:r>
        <w:t>81/99/M</w:t>
      </w:r>
      <w:r>
        <w:rPr>
          <w:rFonts w:hint="eastAsia"/>
        </w:rPr>
        <w:t>号法令</w:t>
      </w:r>
      <w:r>
        <w:rPr>
          <w:rFonts w:hint="eastAsia"/>
          <w:szCs w:val="22"/>
        </w:rPr>
        <w:t>–</w:t>
      </w:r>
      <w:r>
        <w:rPr>
          <w:rFonts w:hint="eastAsia"/>
        </w:rPr>
        <w:t>重组澳门卫生司之组织结构</w:t>
      </w:r>
    </w:p>
    <w:p w:rsidR="00000000" w:rsidRDefault="00000000">
      <w:pPr>
        <w:ind w:left="735" w:hanging="735"/>
      </w:pPr>
      <w:r>
        <w:t xml:space="preserve">32.  </w:t>
      </w:r>
      <w:r>
        <w:rPr>
          <w:rFonts w:hint="eastAsia"/>
        </w:rPr>
        <w:t>十一月二十二日第</w:t>
      </w:r>
      <w:r>
        <w:t>86/99/M</w:t>
      </w:r>
      <w:r>
        <w:rPr>
          <w:rFonts w:hint="eastAsia"/>
        </w:rPr>
        <w:t>号法令</w:t>
      </w:r>
      <w:r>
        <w:rPr>
          <w:rFonts w:hint="eastAsia"/>
          <w:szCs w:val="22"/>
        </w:rPr>
        <w:t>–</w:t>
      </w:r>
      <w:r>
        <w:rPr>
          <w:rFonts w:hint="eastAsia"/>
        </w:rPr>
        <w:t>规范在徒刑及收容保安处分之执行及其效果方面之司法介入制度</w:t>
      </w:r>
    </w:p>
    <w:p w:rsidR="00000000" w:rsidRDefault="00000000">
      <w:pPr>
        <w:ind w:left="735" w:hanging="735"/>
      </w:pPr>
      <w:r>
        <w:t xml:space="preserve">33.  </w:t>
      </w:r>
      <w:r>
        <w:rPr>
          <w:rFonts w:hint="eastAsia"/>
          <w:szCs w:val="22"/>
        </w:rPr>
        <w:t>十二月十三日第</w:t>
      </w:r>
      <w:r>
        <w:rPr>
          <w:rFonts w:hint="eastAsia"/>
          <w:szCs w:val="22"/>
        </w:rPr>
        <w:t>1</w:t>
      </w:r>
      <w:r>
        <w:rPr>
          <w:szCs w:val="22"/>
        </w:rPr>
        <w:t>11/9</w:t>
      </w:r>
      <w:r>
        <w:rPr>
          <w:rFonts w:hint="eastAsia"/>
          <w:szCs w:val="22"/>
        </w:rPr>
        <w:t>9</w:t>
      </w:r>
      <w:r>
        <w:rPr>
          <w:szCs w:val="22"/>
        </w:rPr>
        <w:t>/M</w:t>
      </w:r>
      <w:r>
        <w:rPr>
          <w:rFonts w:hint="eastAsia"/>
          <w:szCs w:val="22"/>
        </w:rPr>
        <w:t>号法令–</w:t>
      </w:r>
      <w:r>
        <w:rPr>
          <w:rFonts w:hint="eastAsia"/>
        </w:rPr>
        <w:t>设立在生物学及医学应用方面保障人权及人类尊严之法律制度</w:t>
      </w:r>
    </w:p>
    <w:p w:rsidR="00000000" w:rsidRDefault="00000000">
      <w:r>
        <w:t xml:space="preserve">34.  </w:t>
      </w:r>
      <w:r>
        <w:rPr>
          <w:rFonts w:hint="eastAsia"/>
          <w:szCs w:val="22"/>
        </w:rPr>
        <w:t>十二月二十日第</w:t>
      </w:r>
      <w:r>
        <w:rPr>
          <w:rFonts w:hint="eastAsia"/>
          <w:szCs w:val="22"/>
        </w:rPr>
        <w:t>1</w:t>
      </w:r>
      <w:r>
        <w:rPr>
          <w:szCs w:val="22"/>
        </w:rPr>
        <w:t>/</w:t>
      </w:r>
      <w:r>
        <w:rPr>
          <w:rFonts w:hint="eastAsia"/>
          <w:szCs w:val="22"/>
        </w:rPr>
        <w:t>199</w:t>
      </w:r>
      <w:r>
        <w:rPr>
          <w:szCs w:val="22"/>
        </w:rPr>
        <w:t>9</w:t>
      </w:r>
      <w:r>
        <w:rPr>
          <w:rFonts w:hint="eastAsia"/>
          <w:szCs w:val="22"/>
        </w:rPr>
        <w:t>号法律–</w:t>
      </w:r>
      <w:r>
        <w:rPr>
          <w:rFonts w:hint="eastAsia"/>
        </w:rPr>
        <w:t>通过回归法</w:t>
      </w:r>
    </w:p>
    <w:p w:rsidR="00000000" w:rsidRDefault="00000000">
      <w:r>
        <w:t xml:space="preserve">35.  </w:t>
      </w:r>
      <w:r>
        <w:rPr>
          <w:rFonts w:hint="eastAsia"/>
          <w:szCs w:val="22"/>
        </w:rPr>
        <w:t>十二月二十日第</w:t>
      </w:r>
      <w:r>
        <w:rPr>
          <w:rFonts w:hint="eastAsia"/>
          <w:szCs w:val="22"/>
        </w:rPr>
        <w:t>3</w:t>
      </w:r>
      <w:r>
        <w:rPr>
          <w:szCs w:val="22"/>
        </w:rPr>
        <w:t>/</w:t>
      </w:r>
      <w:r>
        <w:rPr>
          <w:rFonts w:hint="eastAsia"/>
          <w:szCs w:val="22"/>
        </w:rPr>
        <w:t>199</w:t>
      </w:r>
      <w:r>
        <w:rPr>
          <w:szCs w:val="22"/>
        </w:rPr>
        <w:t>9</w:t>
      </w:r>
      <w:r>
        <w:rPr>
          <w:rFonts w:hint="eastAsia"/>
          <w:szCs w:val="22"/>
        </w:rPr>
        <w:t>号法律–</w:t>
      </w:r>
      <w:r>
        <w:rPr>
          <w:rFonts w:hint="eastAsia"/>
        </w:rPr>
        <w:t>核准法规的公布与格式</w:t>
      </w:r>
    </w:p>
    <w:p w:rsidR="00000000" w:rsidRDefault="00000000">
      <w:pPr>
        <w:ind w:left="630" w:hanging="630"/>
      </w:pPr>
      <w:r>
        <w:t xml:space="preserve">36.  </w:t>
      </w:r>
      <w:r>
        <w:rPr>
          <w:rFonts w:hint="eastAsia"/>
          <w:szCs w:val="22"/>
        </w:rPr>
        <w:t>经八月十八日第</w:t>
      </w:r>
      <w:r>
        <w:rPr>
          <w:rFonts w:hint="eastAsia"/>
          <w:szCs w:val="22"/>
        </w:rPr>
        <w:t>9/2004</w:t>
      </w:r>
      <w:r>
        <w:rPr>
          <w:rFonts w:hint="eastAsia"/>
          <w:szCs w:val="22"/>
        </w:rPr>
        <w:t>号法律修订的十二月二十日第</w:t>
      </w:r>
      <w:r>
        <w:rPr>
          <w:rFonts w:hint="eastAsia"/>
          <w:szCs w:val="22"/>
        </w:rPr>
        <w:t>9</w:t>
      </w:r>
      <w:r>
        <w:rPr>
          <w:szCs w:val="22"/>
        </w:rPr>
        <w:t>/</w:t>
      </w:r>
      <w:r>
        <w:rPr>
          <w:rFonts w:hint="eastAsia"/>
          <w:szCs w:val="22"/>
        </w:rPr>
        <w:t>199</w:t>
      </w:r>
      <w:r>
        <w:rPr>
          <w:szCs w:val="22"/>
        </w:rPr>
        <w:t>9</w:t>
      </w:r>
      <w:r>
        <w:rPr>
          <w:rFonts w:hint="eastAsia"/>
          <w:szCs w:val="22"/>
        </w:rPr>
        <w:t>号法律–</w:t>
      </w:r>
      <w:r>
        <w:rPr>
          <w:rFonts w:hint="eastAsia"/>
        </w:rPr>
        <w:t>通过司法组织纲要法</w:t>
      </w:r>
    </w:p>
    <w:p w:rsidR="00000000" w:rsidRDefault="00000000">
      <w:r>
        <w:t xml:space="preserve">37.  </w:t>
      </w:r>
      <w:r>
        <w:rPr>
          <w:rFonts w:hint="eastAsia"/>
          <w:szCs w:val="22"/>
        </w:rPr>
        <w:t>十二月二十日第</w:t>
      </w:r>
      <w:r>
        <w:rPr>
          <w:rFonts w:hint="eastAsia"/>
          <w:szCs w:val="22"/>
        </w:rPr>
        <w:t>10</w:t>
      </w:r>
      <w:r>
        <w:rPr>
          <w:szCs w:val="22"/>
        </w:rPr>
        <w:t>/</w:t>
      </w:r>
      <w:r>
        <w:rPr>
          <w:rFonts w:hint="eastAsia"/>
          <w:szCs w:val="22"/>
        </w:rPr>
        <w:t>199</w:t>
      </w:r>
      <w:r>
        <w:rPr>
          <w:szCs w:val="22"/>
        </w:rPr>
        <w:t>9</w:t>
      </w:r>
      <w:r>
        <w:rPr>
          <w:rFonts w:hint="eastAsia"/>
          <w:szCs w:val="22"/>
        </w:rPr>
        <w:t>号法律–</w:t>
      </w:r>
      <w:r>
        <w:rPr>
          <w:rFonts w:hint="eastAsia"/>
        </w:rPr>
        <w:t>通过司法官通则</w:t>
      </w:r>
    </w:p>
    <w:p w:rsidR="00000000" w:rsidRDefault="00000000">
      <w:r>
        <w:t xml:space="preserve">38.  </w:t>
      </w:r>
      <w:r>
        <w:rPr>
          <w:rFonts w:hint="eastAsia"/>
        </w:rPr>
        <w:t>八</w:t>
      </w:r>
      <w:r>
        <w:rPr>
          <w:rFonts w:hint="eastAsia"/>
          <w:szCs w:val="22"/>
        </w:rPr>
        <w:t>月十四日第</w:t>
      </w:r>
      <w:r>
        <w:rPr>
          <w:rFonts w:hint="eastAsia"/>
          <w:szCs w:val="22"/>
        </w:rPr>
        <w:t>10</w:t>
      </w:r>
      <w:r>
        <w:rPr>
          <w:szCs w:val="22"/>
        </w:rPr>
        <w:t>/</w:t>
      </w:r>
      <w:r>
        <w:rPr>
          <w:rFonts w:hint="eastAsia"/>
          <w:szCs w:val="22"/>
        </w:rPr>
        <w:t>2000</w:t>
      </w:r>
      <w:r>
        <w:rPr>
          <w:rFonts w:hint="eastAsia"/>
          <w:szCs w:val="22"/>
        </w:rPr>
        <w:t>号法律–</w:t>
      </w:r>
      <w:r>
        <w:rPr>
          <w:rFonts w:hint="eastAsia"/>
        </w:rPr>
        <w:t>通过澳门特别行政区廉政公署组织法</w:t>
      </w:r>
    </w:p>
    <w:p w:rsidR="00000000" w:rsidRDefault="00000000">
      <w:r>
        <w:t xml:space="preserve">39.  </w:t>
      </w:r>
      <w:r>
        <w:rPr>
          <w:rFonts w:hint="eastAsia"/>
        </w:rPr>
        <w:t>八月六日</w:t>
      </w:r>
      <w:r>
        <w:rPr>
          <w:rFonts w:hint="eastAsia"/>
          <w:szCs w:val="21"/>
        </w:rPr>
        <w:t>第</w:t>
      </w:r>
      <w:r>
        <w:rPr>
          <w:szCs w:val="21"/>
        </w:rPr>
        <w:t>11/2001</w:t>
      </w:r>
      <w:r>
        <w:rPr>
          <w:rFonts w:hint="eastAsia"/>
          <w:szCs w:val="21"/>
        </w:rPr>
        <w:t>号法律</w:t>
      </w:r>
      <w:r>
        <w:rPr>
          <w:rFonts w:hint="eastAsia"/>
          <w:szCs w:val="22"/>
        </w:rPr>
        <w:t>–</w:t>
      </w:r>
      <w:r>
        <w:rPr>
          <w:rFonts w:hint="eastAsia"/>
        </w:rPr>
        <w:t>设立中华人民共和国澳门特别行政区海关</w:t>
      </w:r>
    </w:p>
    <w:p w:rsidR="00000000" w:rsidRDefault="00000000">
      <w:pPr>
        <w:ind w:left="735" w:hanging="735"/>
      </w:pPr>
      <w:r>
        <w:t xml:space="preserve">40.  </w:t>
      </w:r>
      <w:r>
        <w:rPr>
          <w:rFonts w:hint="eastAsia"/>
          <w:szCs w:val="21"/>
        </w:rPr>
        <w:t>八月二十七日第</w:t>
      </w:r>
      <w:r>
        <w:rPr>
          <w:szCs w:val="21"/>
        </w:rPr>
        <w:t>17/2001</w:t>
      </w:r>
      <w:r>
        <w:rPr>
          <w:rFonts w:hint="eastAsia"/>
          <w:szCs w:val="21"/>
        </w:rPr>
        <w:t>号行政法规</w:t>
      </w:r>
      <w:r>
        <w:rPr>
          <w:rFonts w:hint="eastAsia"/>
          <w:szCs w:val="22"/>
        </w:rPr>
        <w:t>–</w:t>
      </w:r>
      <w:r>
        <w:rPr>
          <w:rFonts w:hint="eastAsia"/>
        </w:rPr>
        <w:t>核准进入法院及检察院司法官团的培训课程及实习章程</w:t>
      </w:r>
    </w:p>
    <w:p w:rsidR="00000000" w:rsidRDefault="00000000">
      <w:r>
        <w:t xml:space="preserve">41.  </w:t>
      </w:r>
      <w:r>
        <w:rPr>
          <w:rFonts w:hint="eastAsia"/>
        </w:rPr>
        <w:t>十月二十二日第</w:t>
      </w:r>
      <w:r>
        <w:t>22/2001</w:t>
      </w:r>
      <w:r>
        <w:rPr>
          <w:rFonts w:hint="eastAsia"/>
        </w:rPr>
        <w:t>号行政法规</w:t>
      </w:r>
      <w:r>
        <w:rPr>
          <w:rFonts w:hint="eastAsia"/>
          <w:szCs w:val="22"/>
        </w:rPr>
        <w:t>–</w:t>
      </w:r>
      <w:r>
        <w:rPr>
          <w:rFonts w:hint="eastAsia"/>
        </w:rPr>
        <w:t>核准治安警察局的组织与运作</w:t>
      </w:r>
    </w:p>
    <w:p w:rsidR="00000000" w:rsidRDefault="00000000">
      <w:r>
        <w:t xml:space="preserve">42.  </w:t>
      </w:r>
      <w:r>
        <w:rPr>
          <w:rFonts w:hint="eastAsia"/>
        </w:rPr>
        <w:t>三月四日第</w:t>
      </w:r>
      <w:r>
        <w:t>3/2002</w:t>
      </w:r>
      <w:r>
        <w:rPr>
          <w:rFonts w:hint="eastAsia"/>
        </w:rPr>
        <w:t>号法律</w:t>
      </w:r>
      <w:r>
        <w:rPr>
          <w:rFonts w:hint="eastAsia"/>
          <w:szCs w:val="22"/>
        </w:rPr>
        <w:t>–</w:t>
      </w:r>
      <w:r>
        <w:rPr>
          <w:rFonts w:hint="eastAsia"/>
        </w:rPr>
        <w:t>订定司法互助请求的通报程序法</w:t>
      </w:r>
    </w:p>
    <w:p w:rsidR="00000000" w:rsidRDefault="00000000">
      <w:pPr>
        <w:ind w:left="735" w:hanging="735"/>
      </w:pPr>
      <w:r>
        <w:t xml:space="preserve">43.  </w:t>
      </w:r>
      <w:r>
        <w:rPr>
          <w:rFonts w:hint="eastAsia"/>
        </w:rPr>
        <w:t>六月二十六日第</w:t>
      </w:r>
      <w:r>
        <w:t>5/2002</w:t>
      </w:r>
      <w:r>
        <w:rPr>
          <w:rFonts w:hint="eastAsia"/>
        </w:rPr>
        <w:t>号卫生局批示</w:t>
      </w:r>
      <w:r>
        <w:rPr>
          <w:rFonts w:hint="eastAsia"/>
          <w:szCs w:val="22"/>
        </w:rPr>
        <w:t>–关于设立</w:t>
      </w:r>
      <w:r>
        <w:rPr>
          <w:rFonts w:hint="eastAsia"/>
        </w:rPr>
        <w:t>一个名为医疗活动申诉评估中心的技术委员会</w:t>
      </w:r>
    </w:p>
    <w:p w:rsidR="00000000" w:rsidRDefault="00000000">
      <w:pPr>
        <w:ind w:left="735" w:hanging="735"/>
      </w:pPr>
      <w:r>
        <w:t xml:space="preserve">44.  </w:t>
      </w:r>
      <w:r>
        <w:rPr>
          <w:rFonts w:hint="eastAsia"/>
        </w:rPr>
        <w:t>七月二十九日第</w:t>
      </w:r>
      <w:r>
        <w:t>60/2002</w:t>
      </w:r>
      <w:r>
        <w:rPr>
          <w:rFonts w:hint="eastAsia"/>
        </w:rPr>
        <w:t>号社会文化司司长批示</w:t>
      </w:r>
      <w:r>
        <w:rPr>
          <w:rFonts w:hint="eastAsia"/>
          <w:szCs w:val="22"/>
        </w:rPr>
        <w:t>–</w:t>
      </w:r>
      <w:r>
        <w:rPr>
          <w:rFonts w:hint="eastAsia"/>
        </w:rPr>
        <w:t>核准澳门理工学院高等卫生学校三年制全科护理高等专科学位课程新的学术与教学编排和学习计划</w:t>
      </w:r>
    </w:p>
    <w:p w:rsidR="00000000" w:rsidRDefault="00000000">
      <w:pPr>
        <w:ind w:left="735" w:hanging="735"/>
      </w:pPr>
      <w:r>
        <w:t xml:space="preserve">45.  </w:t>
      </w:r>
      <w:r>
        <w:rPr>
          <w:rFonts w:hint="eastAsia"/>
          <w:szCs w:val="22"/>
        </w:rPr>
        <w:t>十二月九日第</w:t>
      </w:r>
      <w:r>
        <w:rPr>
          <w:szCs w:val="22"/>
        </w:rPr>
        <w:t>9/</w:t>
      </w:r>
      <w:r>
        <w:rPr>
          <w:rFonts w:hint="eastAsia"/>
          <w:szCs w:val="22"/>
        </w:rPr>
        <w:t>2002</w:t>
      </w:r>
      <w:r>
        <w:rPr>
          <w:rFonts w:hint="eastAsia"/>
          <w:szCs w:val="22"/>
        </w:rPr>
        <w:t>号法律–</w:t>
      </w:r>
      <w:r>
        <w:rPr>
          <w:rFonts w:hint="eastAsia"/>
        </w:rPr>
        <w:t>内部保安纲要法</w:t>
      </w:r>
    </w:p>
    <w:p w:rsidR="00000000" w:rsidRDefault="00000000">
      <w:r>
        <w:t xml:space="preserve">46.  </w:t>
      </w:r>
      <w:r>
        <w:rPr>
          <w:rFonts w:hint="eastAsia"/>
        </w:rPr>
        <w:t>二月二十四日第</w:t>
      </w:r>
      <w:r>
        <w:rPr>
          <w:rFonts w:hint="eastAsia"/>
        </w:rPr>
        <w:t>3/2003</w:t>
      </w:r>
      <w:r>
        <w:rPr>
          <w:rFonts w:hint="eastAsia"/>
        </w:rPr>
        <w:t>号法律</w:t>
      </w:r>
      <w:r>
        <w:rPr>
          <w:rFonts w:hint="eastAsia"/>
          <w:szCs w:val="22"/>
        </w:rPr>
        <w:t>–</w:t>
      </w:r>
      <w:r>
        <w:rPr>
          <w:rFonts w:hint="eastAsia"/>
          <w:szCs w:val="21"/>
        </w:rPr>
        <w:t>核准</w:t>
      </w:r>
      <w:r>
        <w:rPr>
          <w:rFonts w:hint="eastAsia"/>
        </w:rPr>
        <w:t>海关关员职程、职位及报酬制度</w:t>
      </w:r>
    </w:p>
    <w:p w:rsidR="00000000" w:rsidRDefault="00000000">
      <w:pPr>
        <w:ind w:left="735" w:hanging="735"/>
      </w:pPr>
      <w:r>
        <w:t xml:space="preserve">47.  </w:t>
      </w:r>
      <w:r>
        <w:rPr>
          <w:rFonts w:hint="eastAsia"/>
          <w:szCs w:val="21"/>
        </w:rPr>
        <w:t>六月二十三日第</w:t>
      </w:r>
      <w:r>
        <w:rPr>
          <w:rFonts w:hint="eastAsia"/>
          <w:szCs w:val="21"/>
        </w:rPr>
        <w:t>32/2003</w:t>
      </w:r>
      <w:r>
        <w:rPr>
          <w:rFonts w:hint="eastAsia"/>
          <w:szCs w:val="21"/>
        </w:rPr>
        <w:t>号保安司司长批示</w:t>
      </w:r>
      <w:r>
        <w:rPr>
          <w:rFonts w:hint="eastAsia"/>
          <w:szCs w:val="22"/>
        </w:rPr>
        <w:t>–</w:t>
      </w:r>
      <w:r>
        <w:rPr>
          <w:rFonts w:hint="eastAsia"/>
        </w:rPr>
        <w:t>核准保安学员培训课程一般规章</w:t>
      </w:r>
    </w:p>
    <w:p w:rsidR="00000000" w:rsidRDefault="00000000">
      <w:pPr>
        <w:ind w:left="735" w:hanging="735"/>
      </w:pPr>
      <w:r>
        <w:t xml:space="preserve">48.  </w:t>
      </w:r>
      <w:r>
        <w:rPr>
          <w:rFonts w:hint="eastAsia"/>
          <w:szCs w:val="21"/>
        </w:rPr>
        <w:t>八月二十五日第</w:t>
      </w:r>
      <w:r>
        <w:rPr>
          <w:szCs w:val="21"/>
        </w:rPr>
        <w:t>27/2003</w:t>
      </w:r>
      <w:r>
        <w:rPr>
          <w:rFonts w:hint="eastAsia"/>
          <w:szCs w:val="21"/>
        </w:rPr>
        <w:t>号行政法规</w:t>
      </w:r>
      <w:r>
        <w:rPr>
          <w:rFonts w:hint="eastAsia"/>
          <w:szCs w:val="22"/>
        </w:rPr>
        <w:t>–</w:t>
      </w:r>
      <w:r>
        <w:rPr>
          <w:rFonts w:hint="eastAsia"/>
        </w:rPr>
        <w:t>规范司法警察局特别制度职程的入职与晋升的聘任、甄选及培训程序</w:t>
      </w:r>
    </w:p>
    <w:p w:rsidR="00000000" w:rsidRDefault="00000000">
      <w:r>
        <w:t xml:space="preserve">49.  </w:t>
      </w:r>
      <w:r>
        <w:rPr>
          <w:rFonts w:hint="eastAsia"/>
        </w:rPr>
        <w:t>二月二十三日第</w:t>
      </w:r>
      <w:r>
        <w:rPr>
          <w:rFonts w:hint="eastAsia"/>
        </w:rPr>
        <w:t>1/2004</w:t>
      </w:r>
      <w:r>
        <w:rPr>
          <w:rFonts w:hint="eastAsia"/>
        </w:rPr>
        <w:t>号法律</w:t>
      </w:r>
      <w:r>
        <w:rPr>
          <w:rFonts w:hint="eastAsia"/>
          <w:szCs w:val="22"/>
        </w:rPr>
        <w:t>–</w:t>
      </w:r>
      <w:r>
        <w:rPr>
          <w:rFonts w:hint="eastAsia"/>
        </w:rPr>
        <w:t>通过承认及丧失难民地位制度</w:t>
      </w:r>
    </w:p>
    <w:p w:rsidR="00000000" w:rsidRDefault="00000000">
      <w:r>
        <w:t xml:space="preserve">50.  </w:t>
      </w:r>
      <w:r>
        <w:rPr>
          <w:rFonts w:hint="eastAsia"/>
        </w:rPr>
        <w:t>八月二日第</w:t>
      </w:r>
      <w:r>
        <w:t>6/2004</w:t>
      </w:r>
      <w:r>
        <w:rPr>
          <w:rFonts w:hint="eastAsia"/>
        </w:rPr>
        <w:t>号法律</w:t>
      </w:r>
      <w:r>
        <w:rPr>
          <w:rFonts w:hint="eastAsia"/>
          <w:szCs w:val="22"/>
        </w:rPr>
        <w:t>–</w:t>
      </w:r>
      <w:r>
        <w:rPr>
          <w:rFonts w:hint="eastAsia"/>
        </w:rPr>
        <w:t>有关非法入境、非法逗留及驱逐出境</w:t>
      </w:r>
    </w:p>
    <w:p w:rsidR="00000000" w:rsidRDefault="00000000">
      <w:pPr>
        <w:ind w:left="735" w:hanging="735"/>
        <w:rPr>
          <w:rFonts w:hint="eastAsia"/>
          <w:sz w:val="22"/>
        </w:rPr>
      </w:pPr>
      <w:r>
        <w:t xml:space="preserve">51.  </w:t>
      </w:r>
      <w:r>
        <w:rPr>
          <w:rFonts w:hint="eastAsia"/>
        </w:rPr>
        <w:t>八月九日</w:t>
      </w:r>
      <w:r>
        <w:rPr>
          <w:rFonts w:hint="eastAsia"/>
          <w:szCs w:val="21"/>
        </w:rPr>
        <w:t>第</w:t>
      </w:r>
      <w:r>
        <w:rPr>
          <w:rFonts w:hint="eastAsia"/>
          <w:szCs w:val="21"/>
        </w:rPr>
        <w:t>36/2004</w:t>
      </w:r>
      <w:r>
        <w:rPr>
          <w:rFonts w:hint="eastAsia"/>
          <w:szCs w:val="21"/>
        </w:rPr>
        <w:t>号保安司司长批示</w:t>
      </w:r>
      <w:r>
        <w:rPr>
          <w:rFonts w:hint="eastAsia"/>
          <w:szCs w:val="22"/>
        </w:rPr>
        <w:t>–</w:t>
      </w:r>
      <w:r>
        <w:rPr>
          <w:rFonts w:hint="eastAsia"/>
        </w:rPr>
        <w:t>核准由澳门保安部队高等学校教授的警官</w:t>
      </w:r>
      <w:r>
        <w:rPr>
          <w:rFonts w:hint="eastAsia"/>
        </w:rPr>
        <w:t>/</w:t>
      </w:r>
      <w:r>
        <w:rPr>
          <w:rFonts w:hint="eastAsia"/>
        </w:rPr>
        <w:t>消防官培训课程学习计划</w:t>
      </w:r>
    </w:p>
    <w:p w:rsidR="00000000" w:rsidRDefault="00000000">
      <w:pPr>
        <w:pStyle w:val="Heading2"/>
        <w:rPr>
          <w:kern w:val="0"/>
        </w:rPr>
      </w:pPr>
      <w:r>
        <w:rPr>
          <w:kern w:val="0"/>
        </w:rPr>
        <w:br w:type="page"/>
      </w:r>
      <w:bookmarkStart w:id="36" w:name="_Toc139353460"/>
      <w:r>
        <w:rPr>
          <w:rFonts w:hint="eastAsia"/>
          <w:kern w:val="0"/>
        </w:rPr>
        <w:t>附件二</w:t>
      </w:r>
      <w:r>
        <w:rPr>
          <w:kern w:val="0"/>
        </w:rPr>
        <w:t xml:space="preserve">  </w:t>
      </w:r>
      <w:r>
        <w:rPr>
          <w:rFonts w:hint="eastAsia"/>
          <w:kern w:val="0"/>
        </w:rPr>
        <w:t>多边条约索引</w:t>
      </w:r>
      <w:bookmarkEnd w:id="36"/>
    </w:p>
    <w:p w:rsidR="00000000" w:rsidRDefault="00000000">
      <w:r>
        <w:t xml:space="preserve">1.  </w:t>
      </w:r>
      <w:r>
        <w:rPr>
          <w:rFonts w:hint="eastAsia"/>
        </w:rPr>
        <w:t>和平解决国际争端公约</w:t>
      </w:r>
      <w:r>
        <w:rPr>
          <w:rFonts w:hint="eastAsia"/>
        </w:rPr>
        <w:t>(</w:t>
      </w:r>
      <w:r>
        <w:rPr>
          <w:rFonts w:hint="eastAsia"/>
        </w:rPr>
        <w:t>一八九九年七月二十九日订于海牙</w:t>
      </w:r>
      <w:r>
        <w:rPr>
          <w:rFonts w:hint="eastAsia"/>
        </w:rPr>
        <w:t>)</w:t>
      </w:r>
    </w:p>
    <w:p w:rsidR="00000000" w:rsidRDefault="00000000">
      <w:pPr>
        <w:rPr>
          <w:szCs w:val="22"/>
        </w:rPr>
      </w:pPr>
      <w:r>
        <w:t xml:space="preserve">2.  </w:t>
      </w:r>
      <w:r>
        <w:rPr>
          <w:rFonts w:hint="eastAsia"/>
          <w:szCs w:val="22"/>
        </w:rPr>
        <w:t>和平解决国际争端公约</w:t>
      </w:r>
      <w:r>
        <w:rPr>
          <w:rFonts w:hint="eastAsia"/>
          <w:szCs w:val="22"/>
        </w:rPr>
        <w:t>(</w:t>
      </w:r>
      <w:r>
        <w:rPr>
          <w:rFonts w:hint="eastAsia"/>
          <w:szCs w:val="22"/>
        </w:rPr>
        <w:t>一九零七年十月十八日订于海牙</w:t>
      </w:r>
      <w:r>
        <w:rPr>
          <w:rFonts w:hint="eastAsia"/>
          <w:szCs w:val="22"/>
        </w:rPr>
        <w:t>)</w:t>
      </w:r>
    </w:p>
    <w:p w:rsidR="00000000" w:rsidRDefault="00000000">
      <w:pPr>
        <w:rPr>
          <w:szCs w:val="22"/>
        </w:rPr>
      </w:pPr>
      <w:r>
        <w:rPr>
          <w:szCs w:val="22"/>
        </w:rPr>
        <w:t xml:space="preserve">3.  </w:t>
      </w:r>
      <w:r>
        <w:rPr>
          <w:rFonts w:hint="eastAsia"/>
          <w:szCs w:val="22"/>
        </w:rPr>
        <w:t>改善战地武装部队伤者病者境遇之日内瓦第一公约</w:t>
      </w:r>
      <w:r>
        <w:rPr>
          <w:rFonts w:hint="eastAsia"/>
          <w:szCs w:val="22"/>
        </w:rPr>
        <w:t>(</w:t>
      </w:r>
      <w:r>
        <w:rPr>
          <w:rFonts w:hint="eastAsia"/>
          <w:szCs w:val="22"/>
        </w:rPr>
        <w:t>一九四九年八月十</w:t>
      </w:r>
      <w:r>
        <w:rPr>
          <w:rFonts w:hint="eastAsia"/>
          <w:spacing w:val="0"/>
          <w:szCs w:val="22"/>
        </w:rPr>
        <w:t>二日于</w:t>
      </w:r>
      <w:r>
        <w:rPr>
          <w:szCs w:val="22"/>
        </w:rPr>
        <w:tab/>
      </w:r>
      <w:r>
        <w:rPr>
          <w:rFonts w:hint="eastAsia"/>
          <w:szCs w:val="22"/>
        </w:rPr>
        <w:t>日内瓦</w:t>
      </w:r>
      <w:r>
        <w:rPr>
          <w:rFonts w:hint="eastAsia"/>
          <w:szCs w:val="22"/>
        </w:rPr>
        <w:t>)</w:t>
      </w:r>
    </w:p>
    <w:p w:rsidR="00000000" w:rsidRDefault="00000000">
      <w:pPr>
        <w:ind w:left="520" w:hanging="520"/>
        <w:rPr>
          <w:szCs w:val="22"/>
        </w:rPr>
      </w:pPr>
      <w:r>
        <w:rPr>
          <w:szCs w:val="22"/>
        </w:rPr>
        <w:t xml:space="preserve">4.  </w:t>
      </w:r>
      <w:r>
        <w:rPr>
          <w:rFonts w:hint="eastAsia"/>
          <w:szCs w:val="22"/>
        </w:rPr>
        <w:t>改善海上武装部队伤者</w:t>
      </w:r>
      <w:r>
        <w:rPr>
          <w:rFonts w:ascii="PMingLiU" w:hAnsi="PMingLiU" w:hint="eastAsia"/>
          <w:szCs w:val="22"/>
        </w:rPr>
        <w:t>、</w:t>
      </w:r>
      <w:r>
        <w:rPr>
          <w:rFonts w:hint="eastAsia"/>
          <w:szCs w:val="22"/>
        </w:rPr>
        <w:t>病者及遇船难者境遇之日内瓦第二公约</w:t>
      </w:r>
      <w:r>
        <w:rPr>
          <w:rFonts w:hint="eastAsia"/>
          <w:szCs w:val="22"/>
        </w:rPr>
        <w:t>(</w:t>
      </w:r>
      <w:r>
        <w:rPr>
          <w:rFonts w:hint="eastAsia"/>
          <w:szCs w:val="22"/>
        </w:rPr>
        <w:t>一九四九年八月十二日订于日内瓦</w:t>
      </w:r>
      <w:r>
        <w:rPr>
          <w:rFonts w:hint="eastAsia"/>
          <w:szCs w:val="22"/>
        </w:rPr>
        <w:t>)</w:t>
      </w:r>
    </w:p>
    <w:p w:rsidR="00000000" w:rsidRDefault="00000000">
      <w:pPr>
        <w:rPr>
          <w:szCs w:val="22"/>
        </w:rPr>
      </w:pPr>
      <w:r>
        <w:rPr>
          <w:szCs w:val="22"/>
        </w:rPr>
        <w:t xml:space="preserve">5.  </w:t>
      </w:r>
      <w:r>
        <w:rPr>
          <w:rFonts w:hint="eastAsia"/>
          <w:szCs w:val="22"/>
        </w:rPr>
        <w:t>关于战俘待遇之日内瓦第三公约</w:t>
      </w:r>
      <w:r>
        <w:rPr>
          <w:rFonts w:hint="eastAsia"/>
          <w:szCs w:val="22"/>
        </w:rPr>
        <w:t>(</w:t>
      </w:r>
      <w:r>
        <w:rPr>
          <w:rFonts w:hint="eastAsia"/>
          <w:szCs w:val="22"/>
        </w:rPr>
        <w:t>一九四九年八月十二日订于日内瓦</w:t>
      </w:r>
      <w:r>
        <w:rPr>
          <w:rFonts w:hint="eastAsia"/>
          <w:szCs w:val="22"/>
        </w:rPr>
        <w:t>)</w:t>
      </w:r>
    </w:p>
    <w:p w:rsidR="00000000" w:rsidRDefault="00000000">
      <w:pPr>
        <w:ind w:left="525" w:hanging="525"/>
        <w:rPr>
          <w:szCs w:val="22"/>
        </w:rPr>
      </w:pPr>
      <w:r>
        <w:rPr>
          <w:szCs w:val="22"/>
        </w:rPr>
        <w:t xml:space="preserve">6.  </w:t>
      </w:r>
      <w:r>
        <w:rPr>
          <w:rFonts w:hint="eastAsia"/>
          <w:szCs w:val="22"/>
        </w:rPr>
        <w:t>关于战时保护平民之日内瓦第四公约</w:t>
      </w:r>
      <w:r>
        <w:rPr>
          <w:rFonts w:hint="eastAsia"/>
          <w:szCs w:val="22"/>
        </w:rPr>
        <w:t>(</w:t>
      </w:r>
      <w:r>
        <w:rPr>
          <w:rFonts w:hint="eastAsia"/>
          <w:szCs w:val="22"/>
        </w:rPr>
        <w:t>一九四九年八月十二日订于日内瓦</w:t>
      </w:r>
      <w:r>
        <w:rPr>
          <w:rFonts w:hint="eastAsia"/>
          <w:szCs w:val="22"/>
        </w:rPr>
        <w:t>)</w:t>
      </w:r>
    </w:p>
    <w:p w:rsidR="00000000" w:rsidRDefault="00000000">
      <w:pPr>
        <w:ind w:left="525" w:hanging="525"/>
        <w:rPr>
          <w:szCs w:val="22"/>
        </w:rPr>
      </w:pPr>
      <w:r>
        <w:rPr>
          <w:szCs w:val="22"/>
        </w:rPr>
        <w:t xml:space="preserve">7.  </w:t>
      </w:r>
      <w:r>
        <w:rPr>
          <w:rFonts w:hint="eastAsia"/>
          <w:szCs w:val="22"/>
        </w:rPr>
        <w:t>一九四九年八月十二日日内瓦四公约关于保护国际性武装冲突受难者的附加议定书〔第一议定书</w:t>
      </w:r>
      <w:r>
        <w:rPr>
          <w:rFonts w:hint="eastAsia"/>
          <w:szCs w:val="22"/>
        </w:rPr>
        <w:t>(</w:t>
      </w:r>
      <w:r>
        <w:rPr>
          <w:rFonts w:hint="eastAsia"/>
          <w:szCs w:val="22"/>
        </w:rPr>
        <w:t>一九七七年六月八日订于日内瓦</w:t>
      </w:r>
      <w:r>
        <w:rPr>
          <w:rFonts w:hint="eastAsia"/>
          <w:szCs w:val="22"/>
        </w:rPr>
        <w:t>)</w:t>
      </w:r>
      <w:r>
        <w:rPr>
          <w:rFonts w:hint="eastAsia"/>
          <w:szCs w:val="22"/>
        </w:rPr>
        <w:t>〕</w:t>
      </w:r>
    </w:p>
    <w:p w:rsidR="00000000" w:rsidRDefault="00000000">
      <w:pPr>
        <w:ind w:left="525" w:hanging="525"/>
        <w:rPr>
          <w:szCs w:val="22"/>
        </w:rPr>
      </w:pPr>
      <w:r>
        <w:rPr>
          <w:szCs w:val="22"/>
        </w:rPr>
        <w:t xml:space="preserve">8.  </w:t>
      </w:r>
      <w:r>
        <w:rPr>
          <w:rFonts w:hint="eastAsia"/>
          <w:szCs w:val="22"/>
        </w:rPr>
        <w:t>一九四九年八月十二日日内瓦四公约关于保护非国际性武装冲突受难者的附加议定书</w:t>
      </w:r>
      <w:r>
        <w:rPr>
          <w:rFonts w:hint="eastAsia"/>
          <w:szCs w:val="22"/>
        </w:rPr>
        <w:t>(</w:t>
      </w:r>
      <w:r>
        <w:rPr>
          <w:rFonts w:hint="eastAsia"/>
          <w:szCs w:val="22"/>
        </w:rPr>
        <w:t>第二议定书</w:t>
      </w:r>
      <w:r>
        <w:rPr>
          <w:rFonts w:hint="eastAsia"/>
          <w:szCs w:val="22"/>
        </w:rPr>
        <w:t>(</w:t>
      </w:r>
      <w:r>
        <w:rPr>
          <w:rFonts w:hint="eastAsia"/>
          <w:szCs w:val="22"/>
        </w:rPr>
        <w:t>一九七七年六月八日订于日内瓦</w:t>
      </w:r>
      <w:r>
        <w:rPr>
          <w:rFonts w:hint="eastAsia"/>
          <w:szCs w:val="22"/>
        </w:rPr>
        <w:t>)</w:t>
      </w:r>
    </w:p>
    <w:p w:rsidR="00000000" w:rsidRDefault="00000000">
      <w:pPr>
        <w:rPr>
          <w:szCs w:val="22"/>
        </w:rPr>
      </w:pPr>
      <w:r>
        <w:rPr>
          <w:szCs w:val="22"/>
        </w:rPr>
        <w:t xml:space="preserve">9.  </w:t>
      </w:r>
      <w:r>
        <w:rPr>
          <w:rFonts w:hint="eastAsia"/>
          <w:szCs w:val="22"/>
        </w:rPr>
        <w:t>关于难民地位的公约</w:t>
      </w:r>
      <w:r>
        <w:rPr>
          <w:rFonts w:hint="eastAsia"/>
          <w:szCs w:val="22"/>
        </w:rPr>
        <w:t>(</w:t>
      </w:r>
      <w:r>
        <w:rPr>
          <w:rFonts w:hint="eastAsia"/>
          <w:szCs w:val="22"/>
        </w:rPr>
        <w:t>一九五一年七月二十八日订于日内瓦</w:t>
      </w:r>
      <w:r>
        <w:rPr>
          <w:rFonts w:hint="eastAsia"/>
          <w:szCs w:val="22"/>
        </w:rPr>
        <w:t>)</w:t>
      </w:r>
    </w:p>
    <w:p w:rsidR="00000000" w:rsidRDefault="00000000">
      <w:pPr>
        <w:rPr>
          <w:szCs w:val="22"/>
        </w:rPr>
      </w:pPr>
      <w:r>
        <w:rPr>
          <w:szCs w:val="22"/>
        </w:rPr>
        <w:t xml:space="preserve">10.  </w:t>
      </w:r>
      <w:r>
        <w:rPr>
          <w:rFonts w:hint="eastAsia"/>
          <w:szCs w:val="22"/>
        </w:rPr>
        <w:t>关于难民地位的议定书</w:t>
      </w:r>
      <w:r>
        <w:rPr>
          <w:rFonts w:hint="eastAsia"/>
          <w:szCs w:val="22"/>
        </w:rPr>
        <w:t>(</w:t>
      </w:r>
      <w:r>
        <w:rPr>
          <w:rFonts w:hint="eastAsia"/>
          <w:szCs w:val="22"/>
        </w:rPr>
        <w:t>一九六七年一月三十一日订于纽约</w:t>
      </w:r>
      <w:r>
        <w:rPr>
          <w:rFonts w:hint="eastAsia"/>
          <w:szCs w:val="22"/>
        </w:rPr>
        <w:t>)</w:t>
      </w:r>
      <w:r>
        <w:rPr>
          <w:szCs w:val="22"/>
        </w:rPr>
        <w:t xml:space="preserve"> </w:t>
      </w:r>
    </w:p>
    <w:p w:rsidR="00000000" w:rsidRDefault="00000000">
      <w:pPr>
        <w:rPr>
          <w:szCs w:val="22"/>
        </w:rPr>
      </w:pPr>
      <w:r>
        <w:rPr>
          <w:szCs w:val="22"/>
        </w:rPr>
        <w:t xml:space="preserve">11.  </w:t>
      </w:r>
      <w:r>
        <w:rPr>
          <w:rFonts w:hint="eastAsia"/>
          <w:szCs w:val="22"/>
        </w:rPr>
        <w:t>维也纳外交关系公约</w:t>
      </w:r>
      <w:r>
        <w:rPr>
          <w:rFonts w:hint="eastAsia"/>
          <w:szCs w:val="22"/>
        </w:rPr>
        <w:t>(</w:t>
      </w:r>
      <w:r>
        <w:rPr>
          <w:rFonts w:hint="eastAsia"/>
          <w:szCs w:val="22"/>
        </w:rPr>
        <w:t>一九六一年四月十八日订于维也纳</w:t>
      </w:r>
      <w:r>
        <w:rPr>
          <w:rFonts w:hint="eastAsia"/>
          <w:szCs w:val="22"/>
        </w:rPr>
        <w:t>)</w:t>
      </w:r>
    </w:p>
    <w:p w:rsidR="00000000" w:rsidRDefault="00000000">
      <w:pPr>
        <w:rPr>
          <w:szCs w:val="22"/>
        </w:rPr>
      </w:pPr>
      <w:r>
        <w:rPr>
          <w:szCs w:val="22"/>
        </w:rPr>
        <w:t xml:space="preserve">12.  </w:t>
      </w:r>
      <w:r>
        <w:rPr>
          <w:rFonts w:hint="eastAsia"/>
          <w:szCs w:val="22"/>
        </w:rPr>
        <w:t>维也纳领事关系公约</w:t>
      </w:r>
      <w:r>
        <w:rPr>
          <w:rFonts w:hint="eastAsia"/>
          <w:szCs w:val="22"/>
        </w:rPr>
        <w:t>(</w:t>
      </w:r>
      <w:r>
        <w:rPr>
          <w:rFonts w:hint="eastAsia"/>
          <w:szCs w:val="22"/>
        </w:rPr>
        <w:t>一九六三年四月二十四日订于维也纳</w:t>
      </w:r>
      <w:r>
        <w:rPr>
          <w:rFonts w:hint="eastAsia"/>
          <w:szCs w:val="22"/>
        </w:rPr>
        <w:t>)</w:t>
      </w:r>
    </w:p>
    <w:p w:rsidR="00000000" w:rsidRDefault="00000000">
      <w:pPr>
        <w:rPr>
          <w:szCs w:val="22"/>
        </w:rPr>
      </w:pPr>
      <w:r>
        <w:rPr>
          <w:szCs w:val="22"/>
        </w:rPr>
        <w:t xml:space="preserve">13.  </w:t>
      </w:r>
      <w:r>
        <w:rPr>
          <w:rFonts w:hint="eastAsia"/>
          <w:szCs w:val="22"/>
        </w:rPr>
        <w:t>公民权利和政治权利国际公约</w:t>
      </w:r>
      <w:r>
        <w:rPr>
          <w:rFonts w:hint="eastAsia"/>
          <w:szCs w:val="22"/>
        </w:rPr>
        <w:t>(</w:t>
      </w:r>
      <w:r>
        <w:rPr>
          <w:rFonts w:hint="eastAsia"/>
          <w:szCs w:val="22"/>
        </w:rPr>
        <w:t>一九六六年十二月十六日订于纽约</w:t>
      </w:r>
      <w:r>
        <w:rPr>
          <w:rFonts w:hint="eastAsia"/>
          <w:szCs w:val="22"/>
        </w:rPr>
        <w:t>)</w:t>
      </w:r>
    </w:p>
    <w:p w:rsidR="00000000" w:rsidRDefault="00000000">
      <w:pPr>
        <w:rPr>
          <w:szCs w:val="22"/>
        </w:rPr>
      </w:pPr>
    </w:p>
    <w:p w:rsidR="00000000" w:rsidRDefault="00000000">
      <w:pPr>
        <w:rPr>
          <w:szCs w:val="22"/>
        </w:rPr>
      </w:pPr>
    </w:p>
    <w:p w:rsidR="00000000" w:rsidRDefault="00000000">
      <w:pPr>
        <w:jc w:val="center"/>
        <w:rPr>
          <w:szCs w:val="22"/>
        </w:rPr>
      </w:pPr>
      <w:r>
        <w:t>--  --  --  --  --</w:t>
      </w:r>
    </w:p>
    <w:sectPr w:rsidR="00000000">
      <w:headerReference w:type="even" r:id="rId8"/>
      <w:headerReference w:type="default" r:id="rId9"/>
      <w:headerReference w:type="first" r:id="rId10"/>
      <w:footerReference w:type="first" r:id="rId11"/>
      <w:pgSz w:w="11906" w:h="16838" w:code="9"/>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MingLiU">
    <w:altName w:val="細明體"/>
    <w:panose1 w:val="02020509000000000000"/>
    <w:charset w:val="88"/>
    <w:family w:val="modern"/>
    <w:pitch w:val="fixed"/>
    <w:sig w:usb0="A00002FF" w:usb1="28CFFCFA" w:usb2="00000016" w:usb3="00000000" w:csb0="00100001" w:csb1="00000000"/>
  </w:font>
  <w:font w:name="Time New Roman">
    <w:altName w:val="Times New Roman"/>
    <w:panose1 w:val="00000000000000000000"/>
    <w:charset w:val="00"/>
    <w:family w:val="roman"/>
    <w:notTrueType/>
    <w:pitch w:val="default"/>
  </w:font>
  <w:font w:name="长城楷体">
    <w:altName w:val="Arial Unicode MS"/>
    <w:charset w:val="86"/>
    <w:family w:val="modern"/>
    <w:pitch w:val="fixed"/>
    <w:sig w:usb0="00000001" w:usb1="080E0000" w:usb2="00000010" w:usb3="00000000" w:csb0="0004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06-</w:t>
          </w:r>
          <w:r>
            <w:rPr>
              <w:rFonts w:hint="eastAsia"/>
              <w:lang w:eastAsia="zh-CN"/>
            </w:rPr>
            <w:t>42664</w:t>
          </w:r>
          <w:r>
            <w:t xml:space="preserve"> (C)</w:t>
          </w:r>
        </w:p>
      </w:tc>
      <w:tc>
        <w:tcPr>
          <w:tcW w:w="1050" w:type="dxa"/>
        </w:tcPr>
        <w:p w:rsidR="00000000" w:rsidRDefault="00000000">
          <w:pPr>
            <w:pStyle w:val="Footer"/>
            <w:rPr>
              <w:rFonts w:hint="eastAsia"/>
              <w:lang w:eastAsia="zh-CN"/>
            </w:rPr>
          </w:pPr>
          <w:r>
            <w:rPr>
              <w:rFonts w:hint="eastAsia"/>
              <w:lang w:eastAsia="zh-CN"/>
            </w:rPr>
            <w:t>030706</w:t>
          </w:r>
        </w:p>
      </w:tc>
      <w:tc>
        <w:tcPr>
          <w:tcW w:w="6061" w:type="dxa"/>
        </w:tcPr>
        <w:p w:rsidR="00000000" w:rsidRDefault="00000000">
          <w:pPr>
            <w:pStyle w:val="Footer"/>
            <w:rPr>
              <w:lang w:eastAsia="zh-CN"/>
            </w:rPr>
          </w:pPr>
          <w:r>
            <w:rPr>
              <w:lang w:eastAsia="zh-CN"/>
            </w:rPr>
            <w:t>160107</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spacing w:line="240" w:lineRule="auto"/>
      </w:pPr>
      <w:r>
        <w:rPr>
          <w:rStyle w:val="FootnoteReference"/>
          <w:vertAlign w:val="baseline"/>
        </w:rPr>
        <w:sym w:font="Symbol" w:char="F02A"/>
      </w:r>
      <w:r>
        <w:tab/>
      </w:r>
      <w:r>
        <w:rPr>
          <w:rFonts w:hint="eastAsia"/>
        </w:rPr>
        <w:t>本文件为中国的第四次定期报告</w:t>
      </w:r>
      <w:r>
        <w:rPr>
          <w:rFonts w:hint="eastAsia"/>
        </w:rPr>
        <w:t>(</w:t>
      </w:r>
      <w:r>
        <w:t>CAT/C/CHI/4</w:t>
      </w:r>
      <w:r>
        <w:rPr>
          <w:rFonts w:hint="eastAsia"/>
        </w:rPr>
        <w:t>)</w:t>
      </w:r>
      <w:r>
        <w:rPr>
          <w:rFonts w:hint="eastAsia"/>
        </w:rPr>
        <w:t>的第二部分。</w:t>
      </w:r>
    </w:p>
  </w:footnote>
  <w:footnote w:id="2">
    <w:p w:rsidR="00000000" w:rsidRDefault="00000000">
      <w:pPr>
        <w:pStyle w:val="EndnoteText"/>
        <w:spacing w:line="240" w:lineRule="auto"/>
        <w:rPr>
          <w:rFonts w:hint="eastAsia"/>
        </w:rPr>
      </w:pPr>
      <w:r>
        <w:rPr>
          <w:rStyle w:val="FootnoteReference"/>
          <w:vertAlign w:val="baseline"/>
        </w:rPr>
        <w:sym w:font="Symbol" w:char="F02A"/>
      </w:r>
      <w:r>
        <w:rPr>
          <w:rStyle w:val="FootnoteReference"/>
          <w:vertAlign w:val="baseline"/>
        </w:rPr>
        <w:sym w:font="Symbol" w:char="F02A"/>
      </w:r>
      <w:r>
        <w:tab/>
      </w:r>
      <w:r>
        <w:rPr>
          <w:rFonts w:hint="eastAsia"/>
          <w:snapToGrid/>
        </w:rPr>
        <w:t>中国的初次报告，参见</w:t>
      </w:r>
      <w:r>
        <w:rPr>
          <w:snapToGrid/>
          <w:szCs w:val="24"/>
        </w:rPr>
        <w:t>CAT/C/7/Add.5</w:t>
      </w:r>
      <w:r>
        <w:rPr>
          <w:rFonts w:hint="eastAsia"/>
          <w:snapToGrid/>
          <w:szCs w:val="24"/>
        </w:rPr>
        <w:t>；该报告的审议情况，参见</w:t>
      </w:r>
      <w:r>
        <w:rPr>
          <w:snapToGrid/>
          <w:szCs w:val="24"/>
        </w:rPr>
        <w:t>CAT/C/SR.50</w:t>
      </w:r>
      <w:r>
        <w:rPr>
          <w:rFonts w:hint="eastAsia"/>
          <w:snapToGrid/>
          <w:szCs w:val="24"/>
        </w:rPr>
        <w:t>和</w:t>
      </w:r>
      <w:r>
        <w:rPr>
          <w:rFonts w:hint="eastAsia"/>
          <w:snapToGrid/>
          <w:szCs w:val="24"/>
        </w:rPr>
        <w:t>51</w:t>
      </w:r>
      <w:r>
        <w:rPr>
          <w:rFonts w:hint="eastAsia"/>
          <w:snapToGrid/>
          <w:szCs w:val="24"/>
        </w:rPr>
        <w:t>以及</w:t>
      </w:r>
      <w:r>
        <w:rPr>
          <w:rFonts w:hint="eastAsia"/>
        </w:rPr>
        <w:t>《大会正式记录，第四十五届会议，补编第</w:t>
      </w:r>
      <w:r>
        <w:rPr>
          <w:rFonts w:hint="eastAsia"/>
        </w:rPr>
        <w:t>44</w:t>
      </w:r>
      <w:r>
        <w:rPr>
          <w:rFonts w:hint="eastAsia"/>
        </w:rPr>
        <w:t>号》</w:t>
      </w:r>
      <w:r>
        <w:rPr>
          <w:rFonts w:hint="eastAsia"/>
        </w:rPr>
        <w:t>(A/45/44)</w:t>
      </w:r>
      <w:r>
        <w:rPr>
          <w:rFonts w:hint="eastAsia"/>
        </w:rPr>
        <w:t>，第</w:t>
      </w:r>
      <w:r>
        <w:rPr>
          <w:rFonts w:hint="eastAsia"/>
        </w:rPr>
        <w:t>471</w:t>
      </w:r>
      <w:r>
        <w:rPr>
          <w:rFonts w:hint="eastAsia"/>
        </w:rPr>
        <w:t>至</w:t>
      </w:r>
      <w:r>
        <w:rPr>
          <w:rFonts w:hint="eastAsia"/>
        </w:rPr>
        <w:t>502</w:t>
      </w:r>
      <w:r>
        <w:rPr>
          <w:rFonts w:hint="eastAsia"/>
        </w:rPr>
        <w:t>段。</w:t>
      </w:r>
      <w:r>
        <w:tab/>
      </w:r>
      <w:r>
        <w:rPr>
          <w:rFonts w:hint="eastAsia"/>
          <w:snapToGrid/>
        </w:rPr>
        <w:t>第二次定期报告，参见</w:t>
      </w:r>
      <w:r>
        <w:rPr>
          <w:snapToGrid/>
          <w:szCs w:val="24"/>
        </w:rPr>
        <w:t>CAT/C/</w:t>
      </w:r>
      <w:r>
        <w:rPr>
          <w:rFonts w:hint="eastAsia"/>
          <w:snapToGrid/>
          <w:szCs w:val="24"/>
        </w:rPr>
        <w:t>20</w:t>
      </w:r>
      <w:r>
        <w:rPr>
          <w:snapToGrid/>
          <w:szCs w:val="24"/>
        </w:rPr>
        <w:t>/Add.5</w:t>
      </w:r>
      <w:r>
        <w:rPr>
          <w:rFonts w:hint="eastAsia"/>
          <w:snapToGrid/>
          <w:szCs w:val="24"/>
        </w:rPr>
        <w:t>；该报告的审议情况，参见</w:t>
      </w:r>
      <w:r>
        <w:rPr>
          <w:snapToGrid/>
          <w:szCs w:val="24"/>
        </w:rPr>
        <w:t>CAT/C/SR.251</w:t>
      </w:r>
      <w:r>
        <w:rPr>
          <w:rFonts w:hint="eastAsia"/>
          <w:snapToGrid/>
          <w:szCs w:val="24"/>
        </w:rPr>
        <w:t>、</w:t>
      </w:r>
      <w:r>
        <w:rPr>
          <w:rFonts w:hint="eastAsia"/>
          <w:snapToGrid/>
          <w:szCs w:val="24"/>
        </w:rPr>
        <w:t>252</w:t>
      </w:r>
      <w:r>
        <w:rPr>
          <w:rFonts w:hint="eastAsia"/>
          <w:snapToGrid/>
          <w:szCs w:val="24"/>
        </w:rPr>
        <w:t>和</w:t>
      </w:r>
      <w:r>
        <w:rPr>
          <w:rFonts w:hint="eastAsia"/>
          <w:snapToGrid/>
          <w:szCs w:val="24"/>
        </w:rPr>
        <w:t>254</w:t>
      </w:r>
      <w:r>
        <w:rPr>
          <w:rFonts w:hint="eastAsia"/>
          <w:snapToGrid/>
          <w:szCs w:val="24"/>
        </w:rPr>
        <w:t>以及</w:t>
      </w:r>
      <w:r>
        <w:rPr>
          <w:rFonts w:hint="eastAsia"/>
        </w:rPr>
        <w:t>《大会正式记录，第五十一届会议，补编第</w:t>
      </w:r>
      <w:r>
        <w:rPr>
          <w:rFonts w:hint="eastAsia"/>
        </w:rPr>
        <w:t>44</w:t>
      </w:r>
      <w:r>
        <w:rPr>
          <w:rFonts w:hint="eastAsia"/>
        </w:rPr>
        <w:t>号》</w:t>
      </w:r>
      <w:r>
        <w:rPr>
          <w:rFonts w:hint="eastAsia"/>
        </w:rPr>
        <w:t>(A/51/44)</w:t>
      </w:r>
      <w:r>
        <w:rPr>
          <w:rFonts w:hint="eastAsia"/>
        </w:rPr>
        <w:t>，第</w:t>
      </w:r>
      <w:r>
        <w:rPr>
          <w:rFonts w:hint="eastAsia"/>
        </w:rPr>
        <w:t>138</w:t>
      </w:r>
      <w:r>
        <w:rPr>
          <w:rFonts w:hint="eastAsia"/>
        </w:rPr>
        <w:t>至</w:t>
      </w:r>
      <w:r>
        <w:rPr>
          <w:rFonts w:hint="eastAsia"/>
        </w:rPr>
        <w:t>150</w:t>
      </w:r>
      <w:r>
        <w:rPr>
          <w:rFonts w:hint="eastAsia"/>
        </w:rPr>
        <w:t>段。</w:t>
      </w:r>
      <w:r>
        <w:br/>
      </w:r>
      <w:r>
        <w:tab/>
      </w:r>
      <w:r>
        <w:rPr>
          <w:rFonts w:hint="eastAsia"/>
          <w:snapToGrid/>
        </w:rPr>
        <w:t>第三次定期报告，参见</w:t>
      </w:r>
      <w:r>
        <w:rPr>
          <w:snapToGrid/>
        </w:rPr>
        <w:t>CAT/C/</w:t>
      </w:r>
      <w:r>
        <w:rPr>
          <w:rFonts w:hint="eastAsia"/>
          <w:snapToGrid/>
        </w:rPr>
        <w:t>39</w:t>
      </w:r>
      <w:r>
        <w:rPr>
          <w:snapToGrid/>
        </w:rPr>
        <w:t>/Add.</w:t>
      </w:r>
      <w:r>
        <w:rPr>
          <w:rFonts w:hint="eastAsia"/>
          <w:snapToGrid/>
        </w:rPr>
        <w:t>2</w:t>
      </w:r>
      <w:r>
        <w:rPr>
          <w:rFonts w:hint="eastAsia"/>
          <w:snapToGrid/>
        </w:rPr>
        <w:t>；该报告的审议情况，参见</w:t>
      </w:r>
      <w:r>
        <w:rPr>
          <w:snapToGrid/>
          <w:szCs w:val="24"/>
        </w:rPr>
        <w:t>CAT/C/SR.414</w:t>
      </w:r>
      <w:r>
        <w:rPr>
          <w:rFonts w:hint="eastAsia"/>
          <w:snapToGrid/>
          <w:szCs w:val="24"/>
        </w:rPr>
        <w:t>、</w:t>
      </w:r>
      <w:r>
        <w:rPr>
          <w:rFonts w:hint="eastAsia"/>
          <w:snapToGrid/>
          <w:szCs w:val="24"/>
        </w:rPr>
        <w:t>417</w:t>
      </w:r>
      <w:r>
        <w:rPr>
          <w:rFonts w:hint="eastAsia"/>
          <w:snapToGrid/>
          <w:szCs w:val="24"/>
        </w:rPr>
        <w:t>和</w:t>
      </w:r>
      <w:r>
        <w:rPr>
          <w:rFonts w:hint="eastAsia"/>
          <w:snapToGrid/>
          <w:szCs w:val="24"/>
        </w:rPr>
        <w:t>421</w:t>
      </w:r>
      <w:r>
        <w:rPr>
          <w:rFonts w:hint="eastAsia"/>
          <w:snapToGrid/>
          <w:szCs w:val="24"/>
        </w:rPr>
        <w:t>以及</w:t>
      </w:r>
      <w:r>
        <w:rPr>
          <w:rFonts w:hint="eastAsia"/>
        </w:rPr>
        <w:t>《大会正式记录，第五十五届会议，补编第</w:t>
      </w:r>
      <w:r>
        <w:rPr>
          <w:rFonts w:hint="eastAsia"/>
        </w:rPr>
        <w:t>44</w:t>
      </w:r>
      <w:r>
        <w:rPr>
          <w:rFonts w:hint="eastAsia"/>
        </w:rPr>
        <w:t>号》</w:t>
      </w:r>
      <w:r>
        <w:rPr>
          <w:rFonts w:hint="eastAsia"/>
        </w:rPr>
        <w:t>(A/55/44)</w:t>
      </w:r>
      <w:r>
        <w:rPr>
          <w:rFonts w:hint="eastAsia"/>
        </w:rPr>
        <w:t>，第</w:t>
      </w:r>
      <w:r>
        <w:rPr>
          <w:rFonts w:hint="eastAsia"/>
        </w:rPr>
        <w:t>106</w:t>
      </w:r>
      <w:r>
        <w:rPr>
          <w:rFonts w:hint="eastAsia"/>
        </w:rPr>
        <w:t>至</w:t>
      </w:r>
      <w:r>
        <w:rPr>
          <w:rFonts w:hint="eastAsia"/>
        </w:rPr>
        <w:t>145</w:t>
      </w:r>
      <w:r>
        <w:rPr>
          <w:rFonts w:hint="eastAsia"/>
        </w:rPr>
        <w:t>段。</w:t>
      </w:r>
    </w:p>
  </w:footnote>
  <w:footnote w:id="3">
    <w:p w:rsidR="00000000" w:rsidRDefault="00000000">
      <w:pPr>
        <w:pStyle w:val="FootnoteText"/>
        <w:spacing w:after="300" w:line="240" w:lineRule="auto"/>
      </w:pPr>
      <w:r>
        <w:rPr>
          <w:rStyle w:val="FootnoteReference"/>
          <w:vertAlign w:val="baseline"/>
        </w:rPr>
        <w:sym w:font="Symbol" w:char="F02A"/>
      </w:r>
      <w:r>
        <w:rPr>
          <w:rStyle w:val="FootnoteReference"/>
          <w:vertAlign w:val="baseline"/>
        </w:rPr>
        <w:sym w:font="Symbol" w:char="F02A"/>
      </w:r>
      <w:r>
        <w:rPr>
          <w:rStyle w:val="FootnoteReference"/>
          <w:vertAlign w:val="baseline"/>
        </w:rPr>
        <w:sym w:font="Symbol" w:char="F02A"/>
      </w:r>
      <w:r>
        <w:tab/>
      </w:r>
      <w:r>
        <w:rPr>
          <w:rFonts w:hint="eastAsia"/>
        </w:rPr>
        <w:t>根据向缔约国发送的有关报告处理问题的通知，本报告在提交翻译之前未经正式编辑。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992"/>
        <w:tab w:val="clear" w:pos="5772"/>
        <w:tab w:val="clear" w:pos="6634"/>
        <w:tab w:val="clear" w:pos="7144"/>
        <w:tab w:val="clear" w:pos="7655"/>
        <w:tab w:val="clear" w:pos="8165"/>
      </w:tabs>
    </w:pPr>
    <w:r>
      <w:t>CAT/C/MAC/4</w:t>
    </w:r>
    <w:r>
      <w:br/>
      <w:t xml:space="preserve">Page </w:t>
    </w:r>
    <w:r>
      <w:fldChar w:fldCharType="begin"/>
    </w:r>
    <w:r>
      <w:instrText xml:space="preserve"> PAGE  \* MERGEFORMAT </w:instrText>
    </w:r>
    <w:r>
      <w:fldChar w:fldCharType="separate"/>
    </w:r>
    <w:r>
      <w:rPr>
        <w:noProof/>
      </w:rPr>
      <w:t>38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992"/>
        <w:tab w:val="clear" w:pos="5772"/>
        <w:tab w:val="clear" w:pos="6634"/>
        <w:tab w:val="clear" w:pos="7144"/>
        <w:tab w:val="clear" w:pos="7655"/>
        <w:tab w:val="clear" w:pos="8165"/>
      </w:tabs>
      <w:ind w:left="7800"/>
      <w:rPr>
        <w:rFonts w:hint="eastAsia"/>
        <w:lang w:eastAsia="zh-CN"/>
      </w:rPr>
    </w:pPr>
    <w:r>
      <w:t>CAT/C/MAC/4</w:t>
    </w:r>
    <w:r>
      <w:br/>
      <w:t xml:space="preserve">Page </w:t>
    </w:r>
    <w:r>
      <w:fldChar w:fldCharType="begin"/>
    </w:r>
    <w:r>
      <w:instrText xml:space="preserve"> PAGE  \* MERGEFORMAT </w:instrText>
    </w:r>
    <w:r>
      <w:fldChar w:fldCharType="separate"/>
    </w:r>
    <w:r>
      <w:rPr>
        <w:noProof/>
      </w:rPr>
      <w:t>39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page" w:horzAnchor="margin" w:tblpY="991"/>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668"/>
      <w:gridCol w:w="4810"/>
      <w:gridCol w:w="130"/>
      <w:gridCol w:w="2856"/>
    </w:tblGrid>
    <w:tr w:rsidR="00000000">
      <w:tc>
        <w:tcPr>
          <w:tcW w:w="1668" w:type="dxa"/>
          <w:tcBorders>
            <w:top w:val="nil"/>
            <w:left w:val="nil"/>
            <w:bottom w:val="single" w:sz="8" w:space="0" w:color="auto"/>
            <w:right w:val="nil"/>
          </w:tcBorders>
          <w:vAlign w:val="center"/>
        </w:tcPr>
        <w:p w:rsidR="00000000" w:rsidRDefault="00000000">
          <w:pPr>
            <w:pStyle w:val="1L"/>
            <w:framePr w:w="0" w:hRule="auto" w:hSpace="0" w:wrap="auto" w:vAnchor="margin" w:hAnchor="text" w:xAlign="left" w:yAlign="inline"/>
            <w:rPr>
              <w:rFonts w:ascii="Time New Roman" w:hAnsi="Time New Roman"/>
              <w:b/>
            </w:rPr>
          </w:pPr>
          <w:r>
            <w:t>联合国</w:t>
          </w:r>
        </w:p>
      </w:tc>
      <w:tc>
        <w:tcPr>
          <w:tcW w:w="4810" w:type="dxa"/>
          <w:tcBorders>
            <w:top w:val="nil"/>
            <w:left w:val="nil"/>
            <w:bottom w:val="single" w:sz="8" w:space="0" w:color="auto"/>
            <w:right w:val="nil"/>
          </w:tcBorders>
        </w:tcPr>
        <w:p w:rsidR="00000000" w:rsidRDefault="00000000">
          <w:pPr>
            <w:pStyle w:val="1L"/>
            <w:framePr w:w="0" w:hRule="auto" w:hSpace="0" w:wrap="auto" w:vAnchor="margin" w:hAnchor="text" w:xAlign="left" w:yAlign="inline"/>
          </w:pPr>
        </w:p>
      </w:tc>
      <w:tc>
        <w:tcPr>
          <w:tcW w:w="2986" w:type="dxa"/>
          <w:gridSpan w:val="2"/>
          <w:tcBorders>
            <w:top w:val="nil"/>
            <w:left w:val="nil"/>
            <w:bottom w:val="single" w:sz="8" w:space="0" w:color="auto"/>
            <w:right w:val="nil"/>
          </w:tcBorders>
          <w:vAlign w:val="bottom"/>
        </w:tcPr>
        <w:p w:rsidR="00000000" w:rsidRDefault="00000000">
          <w:pPr>
            <w:pStyle w:val="1R1"/>
            <w:jc w:val="right"/>
            <w:rPr>
              <w:rFonts w:ascii="Univers" w:hAnsi="Univers"/>
              <w:b w:val="0"/>
              <w:sz w:val="72"/>
            </w:rPr>
          </w:pPr>
          <w:r>
            <w:t>CAT</w:t>
          </w:r>
        </w:p>
      </w:tc>
    </w:tr>
    <w:bookmarkStart w:id="37" w:name="_MON_1204096976"/>
    <w:bookmarkStart w:id="38" w:name="_MON_1204096987"/>
    <w:bookmarkStart w:id="39" w:name="_MON_1204097013"/>
    <w:bookmarkEnd w:id="37"/>
    <w:bookmarkEnd w:id="38"/>
    <w:bookmarkEnd w:id="39"/>
    <w:tr w:rsidR="00000000">
      <w:tc>
        <w:tcPr>
          <w:tcW w:w="1668" w:type="dxa"/>
          <w:tcBorders>
            <w:top w:val="single" w:sz="8" w:space="0" w:color="auto"/>
            <w:left w:val="nil"/>
            <w:bottom w:val="single" w:sz="24"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6016198" r:id="rId2"/>
            </w:object>
          </w:r>
        </w:p>
      </w:tc>
      <w:tc>
        <w:tcPr>
          <w:tcW w:w="4940" w:type="dxa"/>
          <w:gridSpan w:val="2"/>
          <w:tcBorders>
            <w:top w:val="single" w:sz="8" w:space="0" w:color="auto"/>
            <w:left w:val="nil"/>
            <w:bottom w:val="single" w:sz="24" w:space="0" w:color="auto"/>
            <w:right w:val="nil"/>
          </w:tcBorders>
        </w:tcPr>
        <w:p w:rsidR="00000000" w:rsidRDefault="00000000">
          <w:pPr>
            <w:pStyle w:val="1m1"/>
            <w:spacing w:line="312" w:lineRule="auto"/>
            <w:rPr>
              <w:rFonts w:ascii="Time New Roman" w:hAnsi="Time New Roman"/>
              <w:spacing w:val="0"/>
              <w:sz w:val="32"/>
            </w:rPr>
          </w:pPr>
        </w:p>
        <w:p w:rsidR="00000000" w:rsidRDefault="00000000">
          <w:pPr>
            <w:pStyle w:val="1m1"/>
            <w:spacing w:line="312" w:lineRule="auto"/>
            <w:rPr>
              <w:rFonts w:ascii="Time New Roman" w:hAnsi="Time New Roman"/>
              <w:spacing w:val="0"/>
              <w:sz w:val="32"/>
            </w:rPr>
          </w:pPr>
          <w:r>
            <w:rPr>
              <w:rFonts w:ascii="Time New Roman" w:hAnsi="Time New Roman" w:hint="eastAsia"/>
              <w:spacing w:val="0"/>
              <w:sz w:val="32"/>
            </w:rPr>
            <w:t>禁止酷刑和其他残忍、不人道</w:t>
          </w:r>
        </w:p>
        <w:p w:rsidR="00000000" w:rsidRDefault="00000000">
          <w:pPr>
            <w:pStyle w:val="1m1"/>
            <w:spacing w:line="312" w:lineRule="auto"/>
            <w:rPr>
              <w:rFonts w:ascii="Time New Roman" w:hAnsi="Time New Roman"/>
              <w:spacing w:val="0"/>
              <w:sz w:val="32"/>
            </w:rPr>
          </w:pPr>
          <w:r>
            <w:rPr>
              <w:rFonts w:ascii="Time New Roman" w:hAnsi="Time New Roman" w:hint="eastAsia"/>
              <w:spacing w:val="0"/>
              <w:sz w:val="32"/>
            </w:rPr>
            <w:t>或有辱人格的待遇或处罚公约</w:t>
          </w:r>
        </w:p>
        <w:p w:rsidR="00000000" w:rsidRDefault="00000000">
          <w:pPr>
            <w:pStyle w:val="1m1"/>
            <w:spacing w:before="480"/>
          </w:pPr>
        </w:p>
      </w:tc>
      <w:tc>
        <w:tcPr>
          <w:tcW w:w="2856" w:type="dxa"/>
          <w:tcBorders>
            <w:top w:val="single" w:sz="8" w:space="0" w:color="auto"/>
            <w:left w:val="nil"/>
            <w:bottom w:val="single" w:sz="24" w:space="0" w:color="auto"/>
            <w:right w:val="nil"/>
          </w:tcBorders>
        </w:tcPr>
        <w:p w:rsidR="00000000" w:rsidRDefault="00000000">
          <w:pPr>
            <w:pStyle w:val="Header"/>
          </w:pPr>
        </w:p>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CAT/C/MAC/4</w:t>
          </w:r>
        </w:p>
        <w:p w:rsidR="00000000" w:rsidRDefault="00000000">
          <w:pPr>
            <w:pStyle w:val="Header"/>
          </w:pPr>
          <w:r>
            <w:t>15 June 2006</w:t>
          </w:r>
        </w:p>
        <w:p w:rsidR="00000000" w:rsidRDefault="00000000">
          <w:pPr>
            <w:pStyle w:val="Header"/>
          </w:pPr>
        </w:p>
        <w:p w:rsidR="00000000" w:rsidRDefault="00000000">
          <w:pPr>
            <w:pStyle w:val="Header"/>
          </w:pPr>
          <w:r>
            <w:t>CHINESE</w:t>
          </w:r>
        </w:p>
        <w:p w:rsidR="00000000" w:rsidRDefault="00000000">
          <w:pPr>
            <w:pStyle w:val="Header"/>
            <w:ind w:left="992" w:hanging="992"/>
            <w:rPr>
              <w:rFonts w:hint="eastAsia"/>
              <w:lang w:eastAsia="zh-CN"/>
            </w:rPr>
          </w:pPr>
          <w:r>
            <w:t>Original:</w:t>
          </w:r>
          <w:r>
            <w:tab/>
            <w:t>CHINESE</w:t>
          </w:r>
          <w:r>
            <w:rPr>
              <w:rFonts w:hint="eastAsia"/>
              <w:lang w:eastAsia="zh-CN"/>
            </w:rPr>
            <w:t xml:space="preserve"> AND</w:t>
          </w:r>
          <w:r>
            <w:rPr>
              <w:lang w:eastAsia="zh-CN"/>
            </w:rPr>
            <w:br/>
            <w:t>ENGLISH</w:t>
          </w:r>
        </w:p>
        <w:p w:rsidR="00000000" w:rsidRDefault="00000000">
          <w:pPr>
            <w:pStyle w:val="Header"/>
          </w:pPr>
        </w:p>
      </w:tc>
    </w:tr>
    <w:tr w:rsidR="00000000">
      <w:trPr>
        <w:trHeight w:val="293"/>
      </w:trPr>
      <w:tc>
        <w:tcPr>
          <w:tcW w:w="1668" w:type="dxa"/>
          <w:tcBorders>
            <w:top w:val="single" w:sz="24" w:space="0" w:color="auto"/>
            <w:left w:val="nil"/>
            <w:bottom w:val="nil"/>
            <w:right w:val="nil"/>
          </w:tcBorders>
          <w:noWrap/>
        </w:tcPr>
        <w:p w:rsidR="00000000" w:rsidRDefault="00000000">
          <w:pPr>
            <w:rPr>
              <w:sz w:val="16"/>
            </w:rPr>
          </w:pPr>
        </w:p>
      </w:tc>
      <w:tc>
        <w:tcPr>
          <w:tcW w:w="4810" w:type="dxa"/>
          <w:tcBorders>
            <w:top w:val="single" w:sz="24" w:space="0" w:color="auto"/>
            <w:left w:val="nil"/>
            <w:bottom w:val="nil"/>
            <w:right w:val="nil"/>
          </w:tcBorders>
          <w:noWrap/>
        </w:tcPr>
        <w:p w:rsidR="00000000" w:rsidRDefault="00000000">
          <w:pPr>
            <w:pStyle w:val="1m1"/>
            <w:spacing w:line="240" w:lineRule="auto"/>
            <w:rPr>
              <w:sz w:val="16"/>
            </w:rPr>
          </w:pPr>
        </w:p>
      </w:tc>
      <w:tc>
        <w:tcPr>
          <w:tcW w:w="2986" w:type="dxa"/>
          <w:gridSpan w:val="2"/>
          <w:tcBorders>
            <w:top w:val="single" w:sz="24" w:space="0" w:color="auto"/>
            <w:left w:val="nil"/>
            <w:bottom w:val="nil"/>
            <w:right w:val="nil"/>
          </w:tcBorders>
          <w:noWrap/>
        </w:tcPr>
        <w:p w:rsidR="00000000" w:rsidRDefault="00000000">
          <w:pPr>
            <w:rPr>
              <w:sz w:val="16"/>
            </w:rPr>
          </w:pPr>
        </w:p>
      </w:tc>
    </w:tr>
  </w:tbl>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19A19EC"/>
    <w:multiLevelType w:val="hybridMultilevel"/>
    <w:tmpl w:val="FA088DBE"/>
    <w:lvl w:ilvl="0" w:tplc="D1C06854">
      <w:start w:val="57"/>
      <w:numFmt w:val="bullet"/>
      <w:lvlText w:val="-"/>
      <w:lvlJc w:val="left"/>
      <w:pPr>
        <w:tabs>
          <w:tab w:val="num" w:pos="360"/>
        </w:tabs>
        <w:ind w:left="360" w:hanging="360"/>
      </w:pPr>
      <w:rPr>
        <w:rFonts w:ascii="Times New Roman" w:eastAsia="PMingLiU"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3">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
    <w:nsid w:val="073F275D"/>
    <w:multiLevelType w:val="hybridMultilevel"/>
    <w:tmpl w:val="BAF61066"/>
    <w:lvl w:ilvl="0" w:tplc="07CA0F0A">
      <w:start w:val="1"/>
      <w:numFmt w:val="bullet"/>
      <w:lvlText w:val=""/>
      <w:lvlJc w:val="left"/>
      <w:pPr>
        <w:tabs>
          <w:tab w:val="num" w:pos="1020"/>
        </w:tabs>
        <w:ind w:left="1020" w:hanging="510"/>
      </w:pPr>
      <w:rPr>
        <w:rFonts w:ascii="Symbol" w:hAnsi="Symbol" w:hint="default"/>
      </w:rPr>
    </w:lvl>
    <w:lvl w:ilvl="1" w:tplc="04090003" w:tentative="1">
      <w:start w:val="1"/>
      <w:numFmt w:val="bullet"/>
      <w:lvlText w:val=""/>
      <w:lvlJc w:val="left"/>
      <w:pPr>
        <w:tabs>
          <w:tab w:val="num" w:pos="1470"/>
        </w:tabs>
        <w:ind w:left="1470" w:hanging="480"/>
      </w:pPr>
      <w:rPr>
        <w:rFonts w:ascii="Wingdings" w:hAnsi="Wingdings" w:hint="default"/>
      </w:rPr>
    </w:lvl>
    <w:lvl w:ilvl="2" w:tplc="04090005" w:tentative="1">
      <w:start w:val="1"/>
      <w:numFmt w:val="bullet"/>
      <w:lvlText w:val=""/>
      <w:lvlJc w:val="left"/>
      <w:pPr>
        <w:tabs>
          <w:tab w:val="num" w:pos="1950"/>
        </w:tabs>
        <w:ind w:left="1950" w:hanging="480"/>
      </w:pPr>
      <w:rPr>
        <w:rFonts w:ascii="Wingdings" w:hAnsi="Wingdings" w:hint="default"/>
      </w:rPr>
    </w:lvl>
    <w:lvl w:ilvl="3" w:tplc="04090001" w:tentative="1">
      <w:start w:val="1"/>
      <w:numFmt w:val="bullet"/>
      <w:lvlText w:val=""/>
      <w:lvlJc w:val="left"/>
      <w:pPr>
        <w:tabs>
          <w:tab w:val="num" w:pos="2430"/>
        </w:tabs>
        <w:ind w:left="2430" w:hanging="480"/>
      </w:pPr>
      <w:rPr>
        <w:rFonts w:ascii="Wingdings" w:hAnsi="Wingdings" w:hint="default"/>
      </w:rPr>
    </w:lvl>
    <w:lvl w:ilvl="4" w:tplc="04090003" w:tentative="1">
      <w:start w:val="1"/>
      <w:numFmt w:val="bullet"/>
      <w:lvlText w:val=""/>
      <w:lvlJc w:val="left"/>
      <w:pPr>
        <w:tabs>
          <w:tab w:val="num" w:pos="2910"/>
        </w:tabs>
        <w:ind w:left="2910" w:hanging="480"/>
      </w:pPr>
      <w:rPr>
        <w:rFonts w:ascii="Wingdings" w:hAnsi="Wingdings" w:hint="default"/>
      </w:rPr>
    </w:lvl>
    <w:lvl w:ilvl="5" w:tplc="04090005" w:tentative="1">
      <w:start w:val="1"/>
      <w:numFmt w:val="bullet"/>
      <w:lvlText w:val=""/>
      <w:lvlJc w:val="left"/>
      <w:pPr>
        <w:tabs>
          <w:tab w:val="num" w:pos="3390"/>
        </w:tabs>
        <w:ind w:left="3390" w:hanging="480"/>
      </w:pPr>
      <w:rPr>
        <w:rFonts w:ascii="Wingdings" w:hAnsi="Wingdings" w:hint="default"/>
      </w:rPr>
    </w:lvl>
    <w:lvl w:ilvl="6" w:tplc="04090001" w:tentative="1">
      <w:start w:val="1"/>
      <w:numFmt w:val="bullet"/>
      <w:lvlText w:val=""/>
      <w:lvlJc w:val="left"/>
      <w:pPr>
        <w:tabs>
          <w:tab w:val="num" w:pos="3870"/>
        </w:tabs>
        <w:ind w:left="3870" w:hanging="480"/>
      </w:pPr>
      <w:rPr>
        <w:rFonts w:ascii="Wingdings" w:hAnsi="Wingdings" w:hint="default"/>
      </w:rPr>
    </w:lvl>
    <w:lvl w:ilvl="7" w:tplc="04090003" w:tentative="1">
      <w:start w:val="1"/>
      <w:numFmt w:val="bullet"/>
      <w:lvlText w:val=""/>
      <w:lvlJc w:val="left"/>
      <w:pPr>
        <w:tabs>
          <w:tab w:val="num" w:pos="4350"/>
        </w:tabs>
        <w:ind w:left="4350" w:hanging="480"/>
      </w:pPr>
      <w:rPr>
        <w:rFonts w:ascii="Wingdings" w:hAnsi="Wingdings" w:hint="default"/>
      </w:rPr>
    </w:lvl>
    <w:lvl w:ilvl="8" w:tplc="04090005" w:tentative="1">
      <w:start w:val="1"/>
      <w:numFmt w:val="bullet"/>
      <w:lvlText w:val=""/>
      <w:lvlJc w:val="left"/>
      <w:pPr>
        <w:tabs>
          <w:tab w:val="num" w:pos="4830"/>
        </w:tabs>
        <w:ind w:left="4830" w:hanging="480"/>
      </w:pPr>
      <w:rPr>
        <w:rFonts w:ascii="Wingdings" w:hAnsi="Wingdings" w:hint="default"/>
      </w:rPr>
    </w:lvl>
  </w:abstractNum>
  <w:abstractNum w:abstractNumId="5">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6">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7">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
    <w:nsid w:val="0A1A47C7"/>
    <w:multiLevelType w:val="hybridMultilevel"/>
    <w:tmpl w:val="66EABD2C"/>
    <w:lvl w:ilvl="0" w:tplc="63C4F02C">
      <w:start w:val="1"/>
      <w:numFmt w:val="decimal"/>
      <w:lvlText w:val="%1."/>
      <w:lvlJc w:val="left"/>
      <w:pPr>
        <w:tabs>
          <w:tab w:val="num" w:pos="495"/>
        </w:tabs>
        <w:ind w:left="495" w:hanging="495"/>
      </w:pPr>
      <w:rPr>
        <w:rFonts w:asci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11">
    <w:nsid w:val="0D0C4A43"/>
    <w:multiLevelType w:val="hybridMultilevel"/>
    <w:tmpl w:val="3F54D920"/>
    <w:lvl w:ilvl="0" w:tplc="589E41C2">
      <w:start w:val="174"/>
      <w:numFmt w:val="decimal"/>
      <w:lvlText w:val="%1."/>
      <w:lvlJc w:val="left"/>
      <w:pPr>
        <w:tabs>
          <w:tab w:val="num" w:pos="405"/>
        </w:tabs>
        <w:ind w:left="405" w:hanging="40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
    <w:nsid w:val="0DF94239"/>
    <w:multiLevelType w:val="hybridMultilevel"/>
    <w:tmpl w:val="7D00C85C"/>
    <w:lvl w:ilvl="0" w:tplc="04090015">
      <w:start w:val="6"/>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7">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8">
    <w:nsid w:val="156440B3"/>
    <w:multiLevelType w:val="hybridMultilevel"/>
    <w:tmpl w:val="280CA6B2"/>
    <w:lvl w:ilvl="0" w:tplc="0409000F">
      <w:start w:val="14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0">
    <w:nsid w:val="176D7428"/>
    <w:multiLevelType w:val="hybridMultilevel"/>
    <w:tmpl w:val="BAF61066"/>
    <w:lvl w:ilvl="0" w:tplc="7BB8C788">
      <w:start w:val="1"/>
      <w:numFmt w:val="bullet"/>
      <w:lvlText w:val=""/>
      <w:lvlJc w:val="left"/>
      <w:pPr>
        <w:tabs>
          <w:tab w:val="num" w:pos="1020"/>
        </w:tabs>
        <w:ind w:left="1020" w:hanging="510"/>
      </w:pPr>
      <w:rPr>
        <w:rFonts w:ascii="Symbol" w:hAnsi="Symbol" w:hint="default"/>
      </w:rPr>
    </w:lvl>
    <w:lvl w:ilvl="1" w:tplc="04090003" w:tentative="1">
      <w:start w:val="1"/>
      <w:numFmt w:val="bullet"/>
      <w:lvlText w:val=""/>
      <w:lvlJc w:val="left"/>
      <w:pPr>
        <w:tabs>
          <w:tab w:val="num" w:pos="1470"/>
        </w:tabs>
        <w:ind w:left="1470" w:hanging="480"/>
      </w:pPr>
      <w:rPr>
        <w:rFonts w:ascii="Wingdings" w:hAnsi="Wingdings" w:hint="default"/>
      </w:rPr>
    </w:lvl>
    <w:lvl w:ilvl="2" w:tplc="04090005" w:tentative="1">
      <w:start w:val="1"/>
      <w:numFmt w:val="bullet"/>
      <w:lvlText w:val=""/>
      <w:lvlJc w:val="left"/>
      <w:pPr>
        <w:tabs>
          <w:tab w:val="num" w:pos="1950"/>
        </w:tabs>
        <w:ind w:left="1950" w:hanging="480"/>
      </w:pPr>
      <w:rPr>
        <w:rFonts w:ascii="Wingdings" w:hAnsi="Wingdings" w:hint="default"/>
      </w:rPr>
    </w:lvl>
    <w:lvl w:ilvl="3" w:tplc="04090001" w:tentative="1">
      <w:start w:val="1"/>
      <w:numFmt w:val="bullet"/>
      <w:lvlText w:val=""/>
      <w:lvlJc w:val="left"/>
      <w:pPr>
        <w:tabs>
          <w:tab w:val="num" w:pos="2430"/>
        </w:tabs>
        <w:ind w:left="2430" w:hanging="480"/>
      </w:pPr>
      <w:rPr>
        <w:rFonts w:ascii="Wingdings" w:hAnsi="Wingdings" w:hint="default"/>
      </w:rPr>
    </w:lvl>
    <w:lvl w:ilvl="4" w:tplc="04090003" w:tentative="1">
      <w:start w:val="1"/>
      <w:numFmt w:val="bullet"/>
      <w:lvlText w:val=""/>
      <w:lvlJc w:val="left"/>
      <w:pPr>
        <w:tabs>
          <w:tab w:val="num" w:pos="2910"/>
        </w:tabs>
        <w:ind w:left="2910" w:hanging="480"/>
      </w:pPr>
      <w:rPr>
        <w:rFonts w:ascii="Wingdings" w:hAnsi="Wingdings" w:hint="default"/>
      </w:rPr>
    </w:lvl>
    <w:lvl w:ilvl="5" w:tplc="04090005" w:tentative="1">
      <w:start w:val="1"/>
      <w:numFmt w:val="bullet"/>
      <w:lvlText w:val=""/>
      <w:lvlJc w:val="left"/>
      <w:pPr>
        <w:tabs>
          <w:tab w:val="num" w:pos="3390"/>
        </w:tabs>
        <w:ind w:left="3390" w:hanging="480"/>
      </w:pPr>
      <w:rPr>
        <w:rFonts w:ascii="Wingdings" w:hAnsi="Wingdings" w:hint="default"/>
      </w:rPr>
    </w:lvl>
    <w:lvl w:ilvl="6" w:tplc="04090001" w:tentative="1">
      <w:start w:val="1"/>
      <w:numFmt w:val="bullet"/>
      <w:lvlText w:val=""/>
      <w:lvlJc w:val="left"/>
      <w:pPr>
        <w:tabs>
          <w:tab w:val="num" w:pos="3870"/>
        </w:tabs>
        <w:ind w:left="3870" w:hanging="480"/>
      </w:pPr>
      <w:rPr>
        <w:rFonts w:ascii="Wingdings" w:hAnsi="Wingdings" w:hint="default"/>
      </w:rPr>
    </w:lvl>
    <w:lvl w:ilvl="7" w:tplc="04090003" w:tentative="1">
      <w:start w:val="1"/>
      <w:numFmt w:val="bullet"/>
      <w:lvlText w:val=""/>
      <w:lvlJc w:val="left"/>
      <w:pPr>
        <w:tabs>
          <w:tab w:val="num" w:pos="4350"/>
        </w:tabs>
        <w:ind w:left="4350" w:hanging="480"/>
      </w:pPr>
      <w:rPr>
        <w:rFonts w:ascii="Wingdings" w:hAnsi="Wingdings" w:hint="default"/>
      </w:rPr>
    </w:lvl>
    <w:lvl w:ilvl="8" w:tplc="04090005" w:tentative="1">
      <w:start w:val="1"/>
      <w:numFmt w:val="bullet"/>
      <w:lvlText w:val=""/>
      <w:lvlJc w:val="left"/>
      <w:pPr>
        <w:tabs>
          <w:tab w:val="num" w:pos="4830"/>
        </w:tabs>
        <w:ind w:left="4830" w:hanging="480"/>
      </w:pPr>
      <w:rPr>
        <w:rFonts w:ascii="Wingdings" w:hAnsi="Wingdings" w:hint="default"/>
      </w:rPr>
    </w:lvl>
  </w:abstractNum>
  <w:abstractNum w:abstractNumId="21">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2">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23">
    <w:nsid w:val="18B92774"/>
    <w:multiLevelType w:val="hybridMultilevel"/>
    <w:tmpl w:val="EB5CAB3C"/>
    <w:lvl w:ilvl="0" w:tplc="FFFFFFFF">
      <w:start w:val="97"/>
      <w:numFmt w:val="decimal"/>
      <w:lvlText w:val="%1."/>
      <w:lvlJc w:val="left"/>
      <w:pPr>
        <w:tabs>
          <w:tab w:val="num" w:pos="480"/>
        </w:tabs>
        <w:ind w:left="480" w:hanging="480"/>
      </w:pPr>
      <w:rPr>
        <w:rFonts w:hint="default"/>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24">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25">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
    <w:nsid w:val="1E1F553B"/>
    <w:multiLevelType w:val="hybridMultilevel"/>
    <w:tmpl w:val="41FE23A8"/>
    <w:lvl w:ilvl="0" w:tplc="4B28C6E8">
      <w:start w:val="3"/>
      <w:numFmt w:val="taiwaneseCountingThousand"/>
      <w:lvlText w:val="%1、"/>
      <w:lvlJc w:val="left"/>
      <w:pPr>
        <w:tabs>
          <w:tab w:val="num" w:pos="435"/>
        </w:tabs>
        <w:ind w:left="435" w:hanging="43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1E4F715C"/>
    <w:multiLevelType w:val="hybridMultilevel"/>
    <w:tmpl w:val="705E43B0"/>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8">
    <w:nsid w:val="1EE72A44"/>
    <w:multiLevelType w:val="multilevel"/>
    <w:tmpl w:val="5DC26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F6D4A5D"/>
    <w:multiLevelType w:val="hybridMultilevel"/>
    <w:tmpl w:val="218084D4"/>
    <w:lvl w:ilvl="0" w:tplc="B1CA1E1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31">
    <w:nsid w:val="226251E4"/>
    <w:multiLevelType w:val="hybridMultilevel"/>
    <w:tmpl w:val="93AC9BBC"/>
    <w:lvl w:ilvl="0" w:tplc="C6D2DF28">
      <w:start w:val="1"/>
      <w:numFmt w:val="decimal"/>
      <w:pStyle w:val="normal1"/>
      <w:lvlText w:val="%1."/>
      <w:lvlJc w:val="left"/>
      <w:pPr>
        <w:tabs>
          <w:tab w:val="num" w:pos="357"/>
        </w:tabs>
        <w:ind w:left="0" w:firstLine="0"/>
      </w:pPr>
      <w:rPr>
        <w:rFonts w:hint="default"/>
      </w:rPr>
    </w:lvl>
    <w:lvl w:ilvl="1" w:tplc="FFFFFFFF">
      <w:start w:val="1"/>
      <w:numFmt w:val="lowerRoman"/>
      <w:lvlText w:val="(%2)"/>
      <w:lvlJc w:val="left"/>
      <w:pPr>
        <w:tabs>
          <w:tab w:val="num" w:pos="1800"/>
        </w:tabs>
        <w:ind w:left="1800" w:hanging="720"/>
      </w:pPr>
      <w:rPr>
        <w:rFonts w:hint="default"/>
      </w:rPr>
    </w:lvl>
    <w:lvl w:ilvl="2" w:tplc="FFFFFFFF">
      <w:start w:val="1"/>
      <w:numFmt w:val="bullet"/>
      <w:lvlText w:val="-"/>
      <w:lvlJc w:val="left"/>
      <w:pPr>
        <w:tabs>
          <w:tab w:val="num" w:pos="360"/>
        </w:tabs>
        <w:ind w:left="0" w:firstLine="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22850095"/>
    <w:multiLevelType w:val="multilevel"/>
    <w:tmpl w:val="13B45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34">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243675D2"/>
    <w:multiLevelType w:val="hybridMultilevel"/>
    <w:tmpl w:val="AB88F77E"/>
    <w:lvl w:ilvl="0" w:tplc="55D8CCF0">
      <w:start w:val="2"/>
      <w:numFmt w:val="taiwaneseCountingThousand"/>
      <w:lvlText w:val="%1、"/>
      <w:lvlJc w:val="left"/>
      <w:pPr>
        <w:tabs>
          <w:tab w:val="num" w:pos="510"/>
        </w:tabs>
        <w:ind w:left="510" w:hanging="510"/>
      </w:pPr>
      <w:rPr>
        <w:rFonts w:hint="default"/>
        <w:b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37">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
    <w:nsid w:val="27161E38"/>
    <w:multiLevelType w:val="hybridMultilevel"/>
    <w:tmpl w:val="2F32154A"/>
    <w:lvl w:ilvl="0" w:tplc="0D526620">
      <w:start w:val="1"/>
      <w:numFmt w:val="taiwaneseCountingThousand"/>
      <w:lvlText w:val="(%1)"/>
      <w:lvlJc w:val="left"/>
      <w:pPr>
        <w:tabs>
          <w:tab w:val="num" w:pos="420"/>
        </w:tabs>
        <w:ind w:left="420" w:hanging="4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nsid w:val="277D1078"/>
    <w:multiLevelType w:val="multilevel"/>
    <w:tmpl w:val="69ECF5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279417E5"/>
    <w:multiLevelType w:val="hybridMultilevel"/>
    <w:tmpl w:val="523E6D90"/>
    <w:lvl w:ilvl="0" w:tplc="114C14D4">
      <w:start w:val="174"/>
      <w:numFmt w:val="decimal"/>
      <w:lvlText w:val="%1."/>
      <w:lvlJc w:val="left"/>
      <w:pPr>
        <w:tabs>
          <w:tab w:val="num" w:pos="390"/>
        </w:tabs>
        <w:ind w:left="390" w:hanging="39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nsid w:val="27BD3795"/>
    <w:multiLevelType w:val="singleLevel"/>
    <w:tmpl w:val="A2F65DF0"/>
    <w:lvl w:ilvl="0">
      <w:start w:val="1"/>
      <w:numFmt w:val="decimal"/>
      <w:lvlText w:val="%1."/>
      <w:lvlJc w:val="left"/>
      <w:pPr>
        <w:tabs>
          <w:tab w:val="num" w:pos="360"/>
        </w:tabs>
        <w:ind w:left="0" w:firstLine="0"/>
      </w:pPr>
    </w:lvl>
  </w:abstractNum>
  <w:abstractNum w:abstractNumId="42">
    <w:nsid w:val="28255369"/>
    <w:multiLevelType w:val="hybridMultilevel"/>
    <w:tmpl w:val="5A8ACBA0"/>
    <w:lvl w:ilvl="0" w:tplc="53460224">
      <w:start w:val="3"/>
      <w:numFmt w:val="taiwaneseCountingThousand"/>
      <w:lvlText w:val="%1、"/>
      <w:lvlJc w:val="left"/>
      <w:pPr>
        <w:tabs>
          <w:tab w:val="num" w:pos="435"/>
        </w:tabs>
        <w:ind w:left="435" w:hanging="43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nsid w:val="28405862"/>
    <w:multiLevelType w:val="hybridMultilevel"/>
    <w:tmpl w:val="B03C8444"/>
    <w:lvl w:ilvl="0" w:tplc="4DBCBB4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2B8950C6"/>
    <w:multiLevelType w:val="hybridMultilevel"/>
    <w:tmpl w:val="929ABC2A"/>
    <w:lvl w:ilvl="0" w:tplc="BED2EDE2">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nsid w:val="2C1C6F86"/>
    <w:multiLevelType w:val="hybridMultilevel"/>
    <w:tmpl w:val="7460FED8"/>
    <w:lvl w:ilvl="0" w:tplc="FFFFFFFF">
      <w:start w:val="1"/>
      <w:numFmt w:val="decimal"/>
      <w:lvlText w:val="%1."/>
      <w:lvlJc w:val="left"/>
      <w:pPr>
        <w:tabs>
          <w:tab w:val="num" w:pos="480"/>
        </w:tabs>
        <w:ind w:left="480" w:hanging="480"/>
      </w:p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47">
    <w:nsid w:val="2CA61C62"/>
    <w:multiLevelType w:val="multilevel"/>
    <w:tmpl w:val="4948C5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2E715DE8"/>
    <w:multiLevelType w:val="hybridMultilevel"/>
    <w:tmpl w:val="A1525944"/>
    <w:lvl w:ilvl="0" w:tplc="7BB8C788">
      <w:start w:val="1"/>
      <w:numFmt w:val="bullet"/>
      <w:lvlText w:val=""/>
      <w:lvlJc w:val="left"/>
      <w:pPr>
        <w:tabs>
          <w:tab w:val="num" w:pos="1380"/>
        </w:tabs>
        <w:ind w:left="1380" w:hanging="510"/>
      </w:pPr>
      <w:rPr>
        <w:rFonts w:ascii="Symbol" w:hAnsi="Symbol" w:hint="default"/>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49">
    <w:nsid w:val="307C3313"/>
    <w:multiLevelType w:val="hybridMultilevel"/>
    <w:tmpl w:val="A1525944"/>
    <w:lvl w:ilvl="0" w:tplc="F41ED9AE">
      <w:start w:val="1"/>
      <w:numFmt w:val="bullet"/>
      <w:lvlText w:val=""/>
      <w:lvlJc w:val="left"/>
      <w:pPr>
        <w:tabs>
          <w:tab w:val="num" w:pos="1020"/>
        </w:tabs>
        <w:ind w:left="1020" w:hanging="510"/>
      </w:pPr>
      <w:rPr>
        <w:rFonts w:ascii="Symbol" w:hAnsi="Symbol" w:hint="default"/>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0">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51">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52">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53">
    <w:nsid w:val="35264362"/>
    <w:multiLevelType w:val="hybridMultilevel"/>
    <w:tmpl w:val="7FB0E292"/>
    <w:lvl w:ilvl="0" w:tplc="EAC054FA">
      <w:start w:val="1"/>
      <w:numFmt w:val="taiwaneseCountingThousand"/>
      <w:lvlText w:val="(%1)"/>
      <w:lvlJc w:val="left"/>
      <w:pPr>
        <w:tabs>
          <w:tab w:val="num" w:pos="420"/>
        </w:tabs>
        <w:ind w:left="420" w:hanging="420"/>
      </w:pPr>
      <w:rPr>
        <w:rFonts w:asci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
    <w:nsid w:val="36965240"/>
    <w:multiLevelType w:val="hybridMultilevel"/>
    <w:tmpl w:val="5F802AA4"/>
    <w:lvl w:ilvl="0" w:tplc="69124164">
      <w:start w:val="1"/>
      <w:numFmt w:val="bullet"/>
      <w:lvlText w:val=""/>
      <w:lvlJc w:val="left"/>
      <w:pPr>
        <w:tabs>
          <w:tab w:val="num" w:pos="530"/>
        </w:tabs>
        <w:ind w:left="510" w:hanging="340"/>
      </w:pPr>
      <w:rPr>
        <w:rFonts w:ascii="Symbol" w:hAnsi="Symbol" w:hint="default"/>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5">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6">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57">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58">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59">
    <w:nsid w:val="3CB061AB"/>
    <w:multiLevelType w:val="singleLevel"/>
    <w:tmpl w:val="DFF20B84"/>
    <w:lvl w:ilvl="0">
      <w:start w:val="1"/>
      <w:numFmt w:val="decimal"/>
      <w:lvlText w:val="%1."/>
      <w:lvlJc w:val="left"/>
      <w:pPr>
        <w:tabs>
          <w:tab w:val="num" w:pos="360"/>
        </w:tabs>
        <w:ind w:left="-1" w:firstLine="1"/>
      </w:pPr>
      <w:rPr>
        <w:rFonts w:hint="default"/>
      </w:rPr>
    </w:lvl>
  </w:abstractNum>
  <w:abstractNum w:abstractNumId="60">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61">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2">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63">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64">
    <w:nsid w:val="44C276DB"/>
    <w:multiLevelType w:val="multilevel"/>
    <w:tmpl w:val="09344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45AD3875"/>
    <w:multiLevelType w:val="hybridMultilevel"/>
    <w:tmpl w:val="282C6778"/>
    <w:lvl w:ilvl="0" w:tplc="C32AC44C">
      <w:start w:val="14"/>
      <w:numFmt w:val="decimal"/>
      <w:lvlText w:val="%1."/>
      <w:lvlJc w:val="left"/>
      <w:pPr>
        <w:tabs>
          <w:tab w:val="num" w:pos="675"/>
        </w:tabs>
        <w:ind w:left="675" w:hanging="67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6">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67">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8">
    <w:nsid w:val="480A7C43"/>
    <w:multiLevelType w:val="hybridMultilevel"/>
    <w:tmpl w:val="53B4B2CC"/>
    <w:lvl w:ilvl="0" w:tplc="CC7E8620">
      <w:start w:val="1"/>
      <w:numFmt w:val="taiwaneseCountingThousand"/>
      <w:lvlText w:val="%1、"/>
      <w:lvlJc w:val="left"/>
      <w:pPr>
        <w:tabs>
          <w:tab w:val="num" w:pos="480"/>
        </w:tabs>
        <w:ind w:left="480" w:hanging="480"/>
      </w:pPr>
      <w:rPr>
        <w:rFonts w:ascii="PMingLiU" w:eastAsia="PMingLiU" w:hAnsi="Times New Roman" w:cs="PMingLiU"/>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9">
    <w:nsid w:val="480B2189"/>
    <w:multiLevelType w:val="multilevel"/>
    <w:tmpl w:val="69ECF5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2">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3">
    <w:nsid w:val="4C730E45"/>
    <w:multiLevelType w:val="hybridMultilevel"/>
    <w:tmpl w:val="05AA9AC0"/>
    <w:lvl w:ilvl="0" w:tplc="B1CA1E1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4">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75">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76">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77">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8">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79">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80">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81">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82">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83">
    <w:nsid w:val="55235EB0"/>
    <w:multiLevelType w:val="multilevel"/>
    <w:tmpl w:val="9B5EE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85">
    <w:nsid w:val="58310C72"/>
    <w:multiLevelType w:val="hybridMultilevel"/>
    <w:tmpl w:val="47FC10F2"/>
    <w:lvl w:ilvl="0" w:tplc="747E90F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6">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7">
    <w:nsid w:val="59A4389B"/>
    <w:multiLevelType w:val="hybridMultilevel"/>
    <w:tmpl w:val="BCB0345C"/>
    <w:lvl w:ilvl="0" w:tplc="C8724A96">
      <w:start w:val="1"/>
      <w:numFmt w:val="taiwaneseCountingThousand"/>
      <w:lvlText w:val="%1、"/>
      <w:lvlJc w:val="left"/>
      <w:pPr>
        <w:tabs>
          <w:tab w:val="num" w:pos="1170"/>
        </w:tabs>
        <w:ind w:left="1170" w:hanging="720"/>
      </w:pPr>
      <w:rPr>
        <w:rFonts w:hint="default"/>
      </w:rPr>
    </w:lvl>
    <w:lvl w:ilvl="1" w:tplc="04090019" w:tentative="1">
      <w:start w:val="1"/>
      <w:numFmt w:val="ideographTraditional"/>
      <w:lvlText w:val="%2、"/>
      <w:lvlJc w:val="left"/>
      <w:pPr>
        <w:tabs>
          <w:tab w:val="num" w:pos="1410"/>
        </w:tabs>
        <w:ind w:left="1410" w:hanging="480"/>
      </w:pPr>
    </w:lvl>
    <w:lvl w:ilvl="2" w:tplc="0409001B" w:tentative="1">
      <w:start w:val="1"/>
      <w:numFmt w:val="lowerRoman"/>
      <w:lvlText w:val="%3."/>
      <w:lvlJc w:val="right"/>
      <w:pPr>
        <w:tabs>
          <w:tab w:val="num" w:pos="1890"/>
        </w:tabs>
        <w:ind w:left="1890" w:hanging="480"/>
      </w:pPr>
    </w:lvl>
    <w:lvl w:ilvl="3" w:tplc="0409000F" w:tentative="1">
      <w:start w:val="1"/>
      <w:numFmt w:val="decimal"/>
      <w:lvlText w:val="%4."/>
      <w:lvlJc w:val="left"/>
      <w:pPr>
        <w:tabs>
          <w:tab w:val="num" w:pos="2370"/>
        </w:tabs>
        <w:ind w:left="2370" w:hanging="480"/>
      </w:pPr>
    </w:lvl>
    <w:lvl w:ilvl="4" w:tplc="04090019" w:tentative="1">
      <w:start w:val="1"/>
      <w:numFmt w:val="ideographTraditional"/>
      <w:lvlText w:val="%5、"/>
      <w:lvlJc w:val="left"/>
      <w:pPr>
        <w:tabs>
          <w:tab w:val="num" w:pos="2850"/>
        </w:tabs>
        <w:ind w:left="2850" w:hanging="480"/>
      </w:pPr>
    </w:lvl>
    <w:lvl w:ilvl="5" w:tplc="0409001B" w:tentative="1">
      <w:start w:val="1"/>
      <w:numFmt w:val="lowerRoman"/>
      <w:lvlText w:val="%6."/>
      <w:lvlJc w:val="right"/>
      <w:pPr>
        <w:tabs>
          <w:tab w:val="num" w:pos="3330"/>
        </w:tabs>
        <w:ind w:left="3330" w:hanging="480"/>
      </w:pPr>
    </w:lvl>
    <w:lvl w:ilvl="6" w:tplc="0409000F" w:tentative="1">
      <w:start w:val="1"/>
      <w:numFmt w:val="decimal"/>
      <w:lvlText w:val="%7."/>
      <w:lvlJc w:val="left"/>
      <w:pPr>
        <w:tabs>
          <w:tab w:val="num" w:pos="3810"/>
        </w:tabs>
        <w:ind w:left="3810" w:hanging="480"/>
      </w:pPr>
    </w:lvl>
    <w:lvl w:ilvl="7" w:tplc="04090019" w:tentative="1">
      <w:start w:val="1"/>
      <w:numFmt w:val="ideographTraditional"/>
      <w:lvlText w:val="%8、"/>
      <w:lvlJc w:val="left"/>
      <w:pPr>
        <w:tabs>
          <w:tab w:val="num" w:pos="4290"/>
        </w:tabs>
        <w:ind w:left="4290" w:hanging="480"/>
      </w:pPr>
    </w:lvl>
    <w:lvl w:ilvl="8" w:tplc="0409001B" w:tentative="1">
      <w:start w:val="1"/>
      <w:numFmt w:val="lowerRoman"/>
      <w:lvlText w:val="%9."/>
      <w:lvlJc w:val="right"/>
      <w:pPr>
        <w:tabs>
          <w:tab w:val="num" w:pos="4770"/>
        </w:tabs>
        <w:ind w:left="4770" w:hanging="480"/>
      </w:pPr>
    </w:lvl>
  </w:abstractNum>
  <w:abstractNum w:abstractNumId="88">
    <w:nsid w:val="59BD7C01"/>
    <w:multiLevelType w:val="hybridMultilevel"/>
    <w:tmpl w:val="C2F610E8"/>
    <w:lvl w:ilvl="0" w:tplc="5B38E9A4">
      <w:start w:val="159"/>
      <w:numFmt w:val="decimal"/>
      <w:lvlText w:val="%1."/>
      <w:lvlJc w:val="left"/>
      <w:pPr>
        <w:tabs>
          <w:tab w:val="num" w:pos="405"/>
        </w:tabs>
        <w:ind w:left="405" w:hanging="40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9">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90">
    <w:nsid w:val="5ACE69F1"/>
    <w:multiLevelType w:val="hybridMultilevel"/>
    <w:tmpl w:val="1E169F0C"/>
    <w:lvl w:ilvl="0" w:tplc="0409000F">
      <w:start w:val="159"/>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1">
    <w:nsid w:val="5B300673"/>
    <w:multiLevelType w:val="multilevel"/>
    <w:tmpl w:val="0F105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93">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4">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5">
    <w:nsid w:val="5D583FB2"/>
    <w:multiLevelType w:val="hybridMultilevel"/>
    <w:tmpl w:val="38D00DCA"/>
    <w:lvl w:ilvl="0" w:tplc="FFFFFFFF">
      <w:start w:val="1"/>
      <w:numFmt w:val="decimal"/>
      <w:lvlText w:val="%1."/>
      <w:lvlJc w:val="left"/>
      <w:pPr>
        <w:tabs>
          <w:tab w:val="num" w:pos="840"/>
        </w:tabs>
        <w:ind w:left="840" w:hanging="360"/>
      </w:pPr>
      <w:rPr>
        <w:rFonts w:ascii="Times New Roman" w:hint="default"/>
      </w:rPr>
    </w:lvl>
    <w:lvl w:ilvl="1" w:tplc="FFFFFFFF" w:tentative="1">
      <w:start w:val="1"/>
      <w:numFmt w:val="ideographTraditional"/>
      <w:lvlText w:val="%2、"/>
      <w:lvlJc w:val="left"/>
      <w:pPr>
        <w:tabs>
          <w:tab w:val="num" w:pos="1440"/>
        </w:tabs>
        <w:ind w:left="1440" w:hanging="480"/>
      </w:pPr>
    </w:lvl>
    <w:lvl w:ilvl="2" w:tplc="FFFFFFFF" w:tentative="1">
      <w:start w:val="1"/>
      <w:numFmt w:val="lowerRoman"/>
      <w:lvlText w:val="%3."/>
      <w:lvlJc w:val="right"/>
      <w:pPr>
        <w:tabs>
          <w:tab w:val="num" w:pos="1920"/>
        </w:tabs>
        <w:ind w:left="1920" w:hanging="480"/>
      </w:pPr>
    </w:lvl>
    <w:lvl w:ilvl="3" w:tplc="FFFFFFFF" w:tentative="1">
      <w:start w:val="1"/>
      <w:numFmt w:val="decimal"/>
      <w:lvlText w:val="%4."/>
      <w:lvlJc w:val="left"/>
      <w:pPr>
        <w:tabs>
          <w:tab w:val="num" w:pos="2400"/>
        </w:tabs>
        <w:ind w:left="2400" w:hanging="480"/>
      </w:pPr>
    </w:lvl>
    <w:lvl w:ilvl="4" w:tplc="FFFFFFFF" w:tentative="1">
      <w:start w:val="1"/>
      <w:numFmt w:val="ideographTraditional"/>
      <w:lvlText w:val="%5、"/>
      <w:lvlJc w:val="left"/>
      <w:pPr>
        <w:tabs>
          <w:tab w:val="num" w:pos="2880"/>
        </w:tabs>
        <w:ind w:left="2880" w:hanging="480"/>
      </w:pPr>
    </w:lvl>
    <w:lvl w:ilvl="5" w:tplc="FFFFFFFF" w:tentative="1">
      <w:start w:val="1"/>
      <w:numFmt w:val="lowerRoman"/>
      <w:lvlText w:val="%6."/>
      <w:lvlJc w:val="right"/>
      <w:pPr>
        <w:tabs>
          <w:tab w:val="num" w:pos="3360"/>
        </w:tabs>
        <w:ind w:left="3360" w:hanging="480"/>
      </w:pPr>
    </w:lvl>
    <w:lvl w:ilvl="6" w:tplc="FFFFFFFF" w:tentative="1">
      <w:start w:val="1"/>
      <w:numFmt w:val="decimal"/>
      <w:lvlText w:val="%7."/>
      <w:lvlJc w:val="left"/>
      <w:pPr>
        <w:tabs>
          <w:tab w:val="num" w:pos="3840"/>
        </w:tabs>
        <w:ind w:left="3840" w:hanging="480"/>
      </w:pPr>
    </w:lvl>
    <w:lvl w:ilvl="7" w:tplc="FFFFFFFF" w:tentative="1">
      <w:start w:val="1"/>
      <w:numFmt w:val="ideographTraditional"/>
      <w:lvlText w:val="%8、"/>
      <w:lvlJc w:val="left"/>
      <w:pPr>
        <w:tabs>
          <w:tab w:val="num" w:pos="4320"/>
        </w:tabs>
        <w:ind w:left="4320" w:hanging="480"/>
      </w:pPr>
    </w:lvl>
    <w:lvl w:ilvl="8" w:tplc="FFFFFFFF" w:tentative="1">
      <w:start w:val="1"/>
      <w:numFmt w:val="lowerRoman"/>
      <w:lvlText w:val="%9."/>
      <w:lvlJc w:val="right"/>
      <w:pPr>
        <w:tabs>
          <w:tab w:val="num" w:pos="4800"/>
        </w:tabs>
        <w:ind w:left="4800" w:hanging="480"/>
      </w:pPr>
    </w:lvl>
  </w:abstractNum>
  <w:abstractNum w:abstractNumId="96">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7">
    <w:nsid w:val="5D850605"/>
    <w:multiLevelType w:val="hybridMultilevel"/>
    <w:tmpl w:val="B850607A"/>
    <w:lvl w:ilvl="0" w:tplc="B704C3B0">
      <w:start w:val="1"/>
      <w:numFmt w:val="upp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8">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99">
    <w:nsid w:val="5E83101B"/>
    <w:multiLevelType w:val="hybridMultilevel"/>
    <w:tmpl w:val="23C0E5B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0">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101">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2">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103">
    <w:nsid w:val="63074647"/>
    <w:multiLevelType w:val="hybridMultilevel"/>
    <w:tmpl w:val="9C7242F4"/>
    <w:lvl w:ilvl="0" w:tplc="4FFE1770">
      <w:start w:val="57"/>
      <w:numFmt w:val="bullet"/>
      <w:lvlText w:val="-"/>
      <w:lvlJc w:val="left"/>
      <w:pPr>
        <w:tabs>
          <w:tab w:val="num" w:pos="360"/>
        </w:tabs>
        <w:ind w:left="360" w:hanging="360"/>
      </w:pPr>
      <w:rPr>
        <w:rFonts w:ascii="Times New Roman" w:eastAsia="PMingLiU" w:hAnsi="Times New Roman" w:cs="Times New Roman" w:hint="default"/>
        <w:sz w:val="22"/>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4">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105">
    <w:nsid w:val="67863E87"/>
    <w:multiLevelType w:val="multilevel"/>
    <w:tmpl w:val="238E4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107">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8">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109">
    <w:nsid w:val="69390719"/>
    <w:multiLevelType w:val="singleLevel"/>
    <w:tmpl w:val="04090001"/>
    <w:lvl w:ilvl="0">
      <w:start w:val="1"/>
      <w:numFmt w:val="bullet"/>
      <w:lvlText w:val=""/>
      <w:lvlJc w:val="left"/>
      <w:pPr>
        <w:tabs>
          <w:tab w:val="num" w:pos="480"/>
        </w:tabs>
        <w:ind w:left="480" w:hanging="480"/>
      </w:pPr>
      <w:rPr>
        <w:rFonts w:ascii="Wingdings" w:hAnsi="Wingdings" w:hint="default"/>
      </w:rPr>
    </w:lvl>
  </w:abstractNum>
  <w:abstractNum w:abstractNumId="110">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111">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2">
    <w:nsid w:val="6F793950"/>
    <w:multiLevelType w:val="multilevel"/>
    <w:tmpl w:val="DC183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4">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5">
    <w:nsid w:val="71CC7AFB"/>
    <w:multiLevelType w:val="multilevel"/>
    <w:tmpl w:val="99DE5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7">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8">
    <w:nsid w:val="74900B0F"/>
    <w:multiLevelType w:val="hybridMultilevel"/>
    <w:tmpl w:val="E222E2F2"/>
    <w:lvl w:ilvl="0" w:tplc="0409000F">
      <w:start w:val="174"/>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9">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120">
    <w:nsid w:val="75EA5587"/>
    <w:multiLevelType w:val="multilevel"/>
    <w:tmpl w:val="CCCA0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3">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124">
    <w:nsid w:val="7AAC5A41"/>
    <w:multiLevelType w:val="hybridMultilevel"/>
    <w:tmpl w:val="B908041C"/>
    <w:lvl w:ilvl="0" w:tplc="FFFFFFFF">
      <w:start w:val="1"/>
      <w:numFmt w:val="upperLetter"/>
      <w:lvlText w:val="%1."/>
      <w:lvlJc w:val="left"/>
      <w:pPr>
        <w:tabs>
          <w:tab w:val="num" w:pos="405"/>
        </w:tabs>
        <w:ind w:left="405" w:hanging="405"/>
      </w:pPr>
      <w:rPr>
        <w:rFonts w:hint="default"/>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25">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126">
    <w:nsid w:val="7B665C04"/>
    <w:multiLevelType w:val="multilevel"/>
    <w:tmpl w:val="7C065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128">
    <w:nsid w:val="7BD15E87"/>
    <w:multiLevelType w:val="hybridMultilevel"/>
    <w:tmpl w:val="C8085A50"/>
    <w:lvl w:ilvl="0" w:tplc="2214D4A8">
      <w:start w:val="181"/>
      <w:numFmt w:val="decimal"/>
      <w:lvlText w:val="%1."/>
      <w:lvlJc w:val="left"/>
      <w:pPr>
        <w:tabs>
          <w:tab w:val="num" w:pos="390"/>
        </w:tabs>
        <w:ind w:left="390" w:hanging="39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9">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0">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79"/>
  </w:num>
  <w:num w:numId="2">
    <w:abstractNumId w:val="57"/>
  </w:num>
  <w:num w:numId="3">
    <w:abstractNumId w:val="50"/>
  </w:num>
  <w:num w:numId="4">
    <w:abstractNumId w:val="51"/>
  </w:num>
  <w:num w:numId="5">
    <w:abstractNumId w:val="122"/>
  </w:num>
  <w:num w:numId="6">
    <w:abstractNumId w:val="0"/>
  </w:num>
  <w:num w:numId="7">
    <w:abstractNumId w:val="71"/>
  </w:num>
  <w:num w:numId="8">
    <w:abstractNumId w:val="37"/>
  </w:num>
  <w:num w:numId="9">
    <w:abstractNumId w:val="12"/>
  </w:num>
  <w:num w:numId="10">
    <w:abstractNumId w:val="19"/>
  </w:num>
  <w:num w:numId="11">
    <w:abstractNumId w:val="113"/>
  </w:num>
  <w:num w:numId="12">
    <w:abstractNumId w:val="24"/>
  </w:num>
  <w:num w:numId="13">
    <w:abstractNumId w:val="119"/>
  </w:num>
  <w:num w:numId="14">
    <w:abstractNumId w:val="76"/>
  </w:num>
  <w:num w:numId="15">
    <w:abstractNumId w:val="80"/>
  </w:num>
  <w:num w:numId="16">
    <w:abstractNumId w:val="6"/>
  </w:num>
  <w:num w:numId="17">
    <w:abstractNumId w:val="129"/>
  </w:num>
  <w:num w:numId="18">
    <w:abstractNumId w:val="111"/>
  </w:num>
  <w:num w:numId="19">
    <w:abstractNumId w:val="107"/>
  </w:num>
  <w:num w:numId="20">
    <w:abstractNumId w:val="9"/>
  </w:num>
  <w:num w:numId="21">
    <w:abstractNumId w:val="78"/>
  </w:num>
  <w:num w:numId="22">
    <w:abstractNumId w:val="82"/>
  </w:num>
  <w:num w:numId="23">
    <w:abstractNumId w:val="125"/>
  </w:num>
  <w:num w:numId="24">
    <w:abstractNumId w:val="98"/>
  </w:num>
  <w:num w:numId="25">
    <w:abstractNumId w:val="94"/>
  </w:num>
  <w:num w:numId="26">
    <w:abstractNumId w:val="70"/>
  </w:num>
  <w:num w:numId="27">
    <w:abstractNumId w:val="15"/>
  </w:num>
  <w:num w:numId="28">
    <w:abstractNumId w:val="10"/>
  </w:num>
  <w:num w:numId="29">
    <w:abstractNumId w:val="130"/>
  </w:num>
  <w:num w:numId="30">
    <w:abstractNumId w:val="2"/>
  </w:num>
  <w:num w:numId="31">
    <w:abstractNumId w:val="22"/>
  </w:num>
  <w:num w:numId="32">
    <w:abstractNumId w:val="117"/>
  </w:num>
  <w:num w:numId="33">
    <w:abstractNumId w:val="44"/>
  </w:num>
  <w:num w:numId="34">
    <w:abstractNumId w:val="106"/>
  </w:num>
  <w:num w:numId="35">
    <w:abstractNumId w:val="104"/>
  </w:num>
  <w:num w:numId="36">
    <w:abstractNumId w:val="58"/>
  </w:num>
  <w:num w:numId="37">
    <w:abstractNumId w:val="84"/>
  </w:num>
  <w:num w:numId="38">
    <w:abstractNumId w:val="93"/>
  </w:num>
  <w:num w:numId="39">
    <w:abstractNumId w:val="114"/>
  </w:num>
  <w:num w:numId="40">
    <w:abstractNumId w:val="7"/>
  </w:num>
  <w:num w:numId="41">
    <w:abstractNumId w:val="55"/>
  </w:num>
  <w:num w:numId="42">
    <w:abstractNumId w:val="127"/>
  </w:num>
  <w:num w:numId="43">
    <w:abstractNumId w:val="92"/>
  </w:num>
  <w:num w:numId="44">
    <w:abstractNumId w:val="108"/>
  </w:num>
  <w:num w:numId="45">
    <w:abstractNumId w:val="36"/>
  </w:num>
  <w:num w:numId="46">
    <w:abstractNumId w:val="56"/>
  </w:num>
  <w:num w:numId="47">
    <w:abstractNumId w:val="17"/>
  </w:num>
  <w:num w:numId="48">
    <w:abstractNumId w:val="100"/>
  </w:num>
  <w:num w:numId="49">
    <w:abstractNumId w:val="86"/>
  </w:num>
  <w:num w:numId="50">
    <w:abstractNumId w:val="61"/>
  </w:num>
  <w:num w:numId="51">
    <w:abstractNumId w:val="21"/>
  </w:num>
  <w:num w:numId="52">
    <w:abstractNumId w:val="89"/>
  </w:num>
  <w:num w:numId="53">
    <w:abstractNumId w:val="16"/>
  </w:num>
  <w:num w:numId="54">
    <w:abstractNumId w:val="60"/>
  </w:num>
  <w:num w:numId="55">
    <w:abstractNumId w:val="74"/>
  </w:num>
  <w:num w:numId="56">
    <w:abstractNumId w:val="123"/>
  </w:num>
  <w:num w:numId="57">
    <w:abstractNumId w:val="81"/>
  </w:num>
  <w:num w:numId="58">
    <w:abstractNumId w:val="62"/>
  </w:num>
  <w:num w:numId="59">
    <w:abstractNumId w:val="52"/>
  </w:num>
  <w:num w:numId="60">
    <w:abstractNumId w:val="5"/>
  </w:num>
  <w:num w:numId="61">
    <w:abstractNumId w:val="75"/>
  </w:num>
  <w:num w:numId="62">
    <w:abstractNumId w:val="30"/>
  </w:num>
  <w:num w:numId="63">
    <w:abstractNumId w:val="102"/>
  </w:num>
  <w:num w:numId="64">
    <w:abstractNumId w:val="101"/>
  </w:num>
  <w:num w:numId="65">
    <w:abstractNumId w:val="3"/>
  </w:num>
  <w:num w:numId="66">
    <w:abstractNumId w:val="77"/>
  </w:num>
  <w:num w:numId="67">
    <w:abstractNumId w:val="25"/>
  </w:num>
  <w:num w:numId="68">
    <w:abstractNumId w:val="72"/>
  </w:num>
  <w:num w:numId="69">
    <w:abstractNumId w:val="14"/>
  </w:num>
  <w:num w:numId="70">
    <w:abstractNumId w:val="96"/>
  </w:num>
  <w:num w:numId="71">
    <w:abstractNumId w:val="67"/>
  </w:num>
  <w:num w:numId="72">
    <w:abstractNumId w:val="116"/>
  </w:num>
  <w:num w:numId="73">
    <w:abstractNumId w:val="110"/>
  </w:num>
  <w:num w:numId="74">
    <w:abstractNumId w:val="33"/>
  </w:num>
  <w:num w:numId="75">
    <w:abstractNumId w:val="63"/>
  </w:num>
  <w:num w:numId="76">
    <w:abstractNumId w:val="66"/>
  </w:num>
  <w:num w:numId="77">
    <w:abstractNumId w:val="34"/>
  </w:num>
  <w:num w:numId="78">
    <w:abstractNumId w:val="121"/>
  </w:num>
  <w:num w:numId="79">
    <w:abstractNumId w:val="124"/>
  </w:num>
  <w:num w:numId="80">
    <w:abstractNumId w:val="69"/>
  </w:num>
  <w:num w:numId="81">
    <w:abstractNumId w:val="47"/>
  </w:num>
  <w:num w:numId="82">
    <w:abstractNumId w:val="46"/>
  </w:num>
  <w:num w:numId="83">
    <w:abstractNumId w:val="39"/>
  </w:num>
  <w:num w:numId="84">
    <w:abstractNumId w:val="95"/>
  </w:num>
  <w:num w:numId="85">
    <w:abstractNumId w:val="91"/>
  </w:num>
  <w:num w:numId="86">
    <w:abstractNumId w:val="23"/>
  </w:num>
  <w:num w:numId="87">
    <w:abstractNumId w:val="41"/>
  </w:num>
  <w:num w:numId="88">
    <w:abstractNumId w:val="38"/>
  </w:num>
  <w:num w:numId="89">
    <w:abstractNumId w:val="53"/>
  </w:num>
  <w:num w:numId="90">
    <w:abstractNumId w:val="68"/>
  </w:num>
  <w:num w:numId="91">
    <w:abstractNumId w:val="35"/>
  </w:num>
  <w:num w:numId="92">
    <w:abstractNumId w:val="42"/>
  </w:num>
  <w:num w:numId="93">
    <w:abstractNumId w:val="26"/>
  </w:num>
  <w:num w:numId="94">
    <w:abstractNumId w:val="13"/>
  </w:num>
  <w:num w:numId="95">
    <w:abstractNumId w:val="18"/>
  </w:num>
  <w:num w:numId="96">
    <w:abstractNumId w:val="90"/>
  </w:num>
  <w:num w:numId="97">
    <w:abstractNumId w:val="88"/>
  </w:num>
  <w:num w:numId="98">
    <w:abstractNumId w:val="118"/>
  </w:num>
  <w:num w:numId="99">
    <w:abstractNumId w:val="11"/>
  </w:num>
  <w:num w:numId="100">
    <w:abstractNumId w:val="40"/>
  </w:num>
  <w:num w:numId="101">
    <w:abstractNumId w:val="128"/>
  </w:num>
  <w:num w:numId="102">
    <w:abstractNumId w:val="120"/>
  </w:num>
  <w:num w:numId="103">
    <w:abstractNumId w:val="32"/>
  </w:num>
  <w:num w:numId="104">
    <w:abstractNumId w:val="64"/>
  </w:num>
  <w:num w:numId="105">
    <w:abstractNumId w:val="97"/>
  </w:num>
  <w:num w:numId="106">
    <w:abstractNumId w:val="109"/>
    <w:lvlOverride w:ilvl="0"/>
  </w:num>
  <w:num w:numId="107">
    <w:abstractNumId w:val="83"/>
  </w:num>
  <w:num w:numId="108">
    <w:abstractNumId w:val="105"/>
  </w:num>
  <w:num w:numId="109">
    <w:abstractNumId w:val="28"/>
  </w:num>
  <w:num w:numId="110">
    <w:abstractNumId w:val="112"/>
  </w:num>
  <w:num w:numId="111">
    <w:abstractNumId w:val="115"/>
  </w:num>
  <w:num w:numId="112">
    <w:abstractNumId w:val="126"/>
  </w:num>
  <w:num w:numId="113">
    <w:abstractNumId w:val="103"/>
  </w:num>
  <w:num w:numId="114">
    <w:abstractNumId w:val="87"/>
  </w:num>
  <w:num w:numId="115">
    <w:abstractNumId w:val="27"/>
  </w:num>
  <w:num w:numId="116">
    <w:abstractNumId w:val="1"/>
  </w:num>
  <w:num w:numId="117">
    <w:abstractNumId w:val="45"/>
  </w:num>
  <w:num w:numId="118">
    <w:abstractNumId w:val="99"/>
  </w:num>
  <w:num w:numId="119">
    <w:abstractNumId w:val="73"/>
  </w:num>
  <w:num w:numId="120">
    <w:abstractNumId w:val="29"/>
  </w:num>
  <w:num w:numId="121">
    <w:abstractNumId w:val="43"/>
  </w:num>
  <w:num w:numId="122">
    <w:abstractNumId w:val="8"/>
  </w:num>
  <w:num w:numId="123">
    <w:abstractNumId w:val="31"/>
  </w:num>
  <w:num w:numId="124">
    <w:abstractNumId w:val="4"/>
  </w:num>
  <w:num w:numId="125">
    <w:abstractNumId w:val="20"/>
  </w:num>
  <w:num w:numId="126">
    <w:abstractNumId w:val="48"/>
  </w:num>
  <w:num w:numId="127">
    <w:abstractNumId w:val="49"/>
  </w:num>
  <w:num w:numId="128">
    <w:abstractNumId w:val="59"/>
  </w:num>
  <w:num w:numId="129">
    <w:abstractNumId w:val="54"/>
  </w:num>
  <w:num w:numId="130">
    <w:abstractNumId w:val="85"/>
  </w:num>
  <w:num w:numId="131">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customStyle="1" w:styleId="a4">
    <w:name w:val="横眉"/>
    <w:basedOn w:val="Header"/>
    <w:autoRedefine/>
    <w:pPr>
      <w:tabs>
        <w:tab w:val="left" w:pos="1202"/>
      </w:tabs>
      <w:snapToGrid/>
      <w:spacing w:line="160" w:lineRule="exact"/>
    </w:pPr>
    <w:rPr>
      <w:snapToGrid/>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正文缩进"/>
    <w:basedOn w:val="Normal"/>
    <w:pPr>
      <w:ind w:left="1021" w:firstLine="510"/>
    </w:p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英文本"/>
    <w:basedOn w:val="EndnoteText"/>
    <w:pPr>
      <w:keepLines w:val="0"/>
      <w:overflowPunct/>
      <w:spacing w:after="120" w:line="240" w:lineRule="auto"/>
      <w:ind w:firstLine="0"/>
      <w:jc w:val="left"/>
    </w:pPr>
    <w:rPr>
      <w:lang w:val="en-GB" w:eastAsia="en-US"/>
    </w:rPr>
  </w:style>
  <w:style w:type="paragraph" w:customStyle="1" w:styleId="normal1">
    <w:name w:val="normal1"/>
    <w:basedOn w:val="BlockText"/>
    <w:pPr>
      <w:widowControl/>
      <w:numPr>
        <w:numId w:val="123"/>
      </w:numPr>
      <w:spacing w:after="0"/>
      <w:ind w:leftChars="0" w:rightChars="0" w:right="0"/>
      <w:jc w:val="both"/>
    </w:pPr>
    <w:rPr>
      <w:kern w:val="0"/>
      <w:sz w:val="22"/>
      <w:szCs w:val="22"/>
      <w:lang w:val="en-GB" w:eastAsia="en-US"/>
    </w:rPr>
  </w:style>
  <w:style w:type="paragraph" w:styleId="BlockText">
    <w:name w:val="Block Text"/>
    <w:basedOn w:val="Normal"/>
    <w:semiHidden/>
    <w:pPr>
      <w:widowControl w:val="0"/>
      <w:overflowPunct/>
      <w:adjustRightInd/>
      <w:snapToGrid/>
      <w:spacing w:after="120" w:line="240" w:lineRule="auto"/>
      <w:ind w:leftChars="600" w:left="1440" w:rightChars="600" w:right="1440"/>
      <w:jc w:val="left"/>
    </w:pPr>
    <w:rPr>
      <w:rFonts w:eastAsia="PMingLiU"/>
      <w:snapToGrid/>
      <w:spacing w:val="0"/>
      <w:kern w:val="2"/>
      <w:szCs w:val="24"/>
      <w:lang w:val="pt-PT" w:eastAsia="zh-TW"/>
    </w:rPr>
  </w:style>
  <w:style w:type="paragraph" w:customStyle="1" w:styleId="cdL1">
    <w:name w:val="cdL1"/>
    <w:basedOn w:val="Normal"/>
    <w:pPr>
      <w:widowControl w:val="0"/>
      <w:tabs>
        <w:tab w:val="left" w:pos="510"/>
      </w:tabs>
    </w:pPr>
    <w:rPr>
      <w:snapToGrid/>
      <w:spacing w:val="0"/>
    </w:rPr>
  </w:style>
  <w:style w:type="character" w:customStyle="1" w:styleId="ctext1">
    <w:name w:val="c_text1"/>
    <w:basedOn w:val="DefaultParagraphFont"/>
  </w:style>
  <w:style w:type="paragraph" w:customStyle="1" w:styleId="Quadro">
    <w:name w:val="Quadro"/>
    <w:basedOn w:val="Normal"/>
    <w:pPr>
      <w:overflowPunct/>
      <w:adjustRightInd/>
      <w:snapToGrid/>
      <w:spacing w:line="240" w:lineRule="auto"/>
    </w:pPr>
    <w:rPr>
      <w:rFonts w:eastAsia="PMingLiU"/>
      <w:snapToGrid/>
      <w:spacing w:val="0"/>
      <w:sz w:val="19"/>
      <w:szCs w:val="19"/>
      <w:lang w:val="en-GB" w:eastAsia="en-US"/>
    </w:rPr>
  </w:style>
  <w:style w:type="paragraph" w:customStyle="1" w:styleId="headingquadro">
    <w:name w:val="heading quadro"/>
    <w:basedOn w:val="BodyText"/>
    <w:autoRedefine/>
    <w:pPr>
      <w:widowControl/>
      <w:overflowPunct/>
      <w:adjustRightInd/>
      <w:snapToGrid/>
      <w:spacing w:line="240" w:lineRule="auto"/>
      <w:jc w:val="center"/>
    </w:pPr>
    <w:rPr>
      <w:rFonts w:eastAsia="PMingLiU"/>
      <w:b/>
      <w:bCs/>
      <w:spacing w:val="0"/>
      <w:sz w:val="18"/>
      <w:szCs w:val="18"/>
      <w:lang w:val="pt-PT" w:eastAsia="zh-TW"/>
    </w:rPr>
  </w:style>
  <w:style w:type="paragraph" w:styleId="BodyText">
    <w:name w:val="Body Text"/>
    <w:basedOn w:val="Normal"/>
    <w:semiHidden/>
    <w:pPr>
      <w:widowControl w:val="0"/>
    </w:pPr>
    <w:rPr>
      <w:snapToGrid/>
    </w:rPr>
  </w:style>
  <w:style w:type="character" w:customStyle="1" w:styleId="Web">
    <w:name w:val="內文 (Web) 字元"/>
    <w:rPr>
      <w:rFonts w:ascii="PMingLiU" w:eastAsia="PMingLiU" w:cs="PMingLiU"/>
      <w:noProof w:val="0"/>
      <w:kern w:val="2"/>
      <w:sz w:val="24"/>
      <w:szCs w:val="24"/>
      <w:lang w:val="en-US" w:eastAsia="zh-TW" w:bidi="ar-SA"/>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f">
    <w:name w:val="文"/>
    <w:pPr>
      <w:tabs>
        <w:tab w:val="left" w:pos="510"/>
        <w:tab w:val="left" w:pos="1021"/>
        <w:tab w:val="left" w:pos="1531"/>
      </w:tabs>
      <w:adjustRightInd w:val="0"/>
      <w:snapToGrid w:val="0"/>
      <w:spacing w:line="336" w:lineRule="auto"/>
      <w:jc w:val="both"/>
    </w:pPr>
    <w:rPr>
      <w:rFonts w:eastAsia="SimSun"/>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styleId="PlainText">
    <w:name w:val="Plain Text"/>
    <w:basedOn w:val="Normal"/>
    <w:semiHidden/>
    <w:rPr>
      <w:rFonts w:ascii="MingLiU" w:eastAsia="MingLiU" w:hAnsi="Courier New" w:cs="Courier New"/>
      <w:szCs w:val="24"/>
    </w:rPr>
  </w:style>
  <w:style w:type="paragraph" w:customStyle="1" w:styleId="ParaNo">
    <w:name w:val="ParaNo."/>
    <w:basedOn w:val="Normal"/>
    <w:pPr>
      <w:numPr>
        <w:numId w:val="128"/>
      </w:numPr>
      <w:tabs>
        <w:tab w:val="clear" w:pos="360"/>
        <w:tab w:val="left" w:pos="737"/>
      </w:tabs>
      <w:overflowPunct/>
      <w:adjustRightInd/>
      <w:snapToGrid/>
      <w:spacing w:after="240" w:line="240" w:lineRule="auto"/>
      <w:jc w:val="left"/>
    </w:pPr>
    <w:rPr>
      <w:rFonts w:eastAsia="PMingLiU"/>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acaolaw.gov.mo/cn/search/load_content.asp?lang=chin&amp;tpLeg=14&amp;noLeg=9/load_content.asp?iourl=http://www.imprensa.macau.gov.mo/bo/i/1999/leibasica/index_cn.as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39</Pages>
  <Words>4495</Words>
  <Characters>25625</Characters>
  <Application>Microsoft Office Word</Application>
  <DocSecurity>4</DocSecurity>
  <Lines>213</Lines>
  <Paragraphs>51</Paragraphs>
  <ScaleCrop>false</ScaleCrop>
  <HeadingPairs>
    <vt:vector size="4" baseType="variant">
      <vt:variant>
        <vt:lpstr>题目</vt:lpstr>
      </vt:variant>
      <vt:variant>
        <vt:i4>1</vt:i4>
      </vt:variant>
      <vt:variant>
        <vt:lpstr>标题</vt:lpstr>
      </vt:variant>
      <vt:variant>
        <vt:i4>31</vt:i4>
      </vt:variant>
    </vt:vector>
  </HeadingPairs>
  <TitlesOfParts>
    <vt:vector size="32" baseType="lpstr">
      <vt:lpstr>禁止酷刑委员会</vt:lpstr>
      <vt:lpstr>    审议缔约国根据《公约》第19条提交的报告</vt:lpstr>
      <vt:lpstr>        缔约国应于2001年提交的第四次报告</vt:lpstr>
      <vt:lpstr>        增  编</vt:lpstr>
      <vt:lpstr>        澳门特别行政区( (( (((</vt:lpstr>
      <vt:lpstr>    序  言</vt:lpstr>
      <vt:lpstr>    第一部分  概  述</vt:lpstr>
      <vt:lpstr>    第二部分	关于公约第一部分各条分述</vt:lpstr>
      <vt:lpstr>        第 一 条</vt:lpstr>
      <vt:lpstr>        第 二 条</vt:lpstr>
      <vt:lpstr>        为阻止实施酷刑的措施</vt:lpstr>
      <vt:lpstr>        禁止在非常情况下施行酷刑</vt:lpstr>
      <vt:lpstr>        不得为执行上级官员或政府的命令而施行酷刑</vt:lpstr>
      <vt:lpstr>        第 三 条</vt:lpstr>
      <vt:lpstr>        第 四 条</vt:lpstr>
      <vt:lpstr>        第 五 条</vt:lpstr>
      <vt:lpstr>        第 六 条</vt:lpstr>
      <vt:lpstr>        第 七 条</vt:lpstr>
      <vt:lpstr>        第 八 条</vt:lpstr>
      <vt:lpstr>        第 九 条</vt:lpstr>
      <vt:lpstr>        第 十 条</vt:lpstr>
      <vt:lpstr>        警  察</vt:lpstr>
      <vt:lpstr>        狱  警</vt:lpstr>
      <vt:lpstr>        司 法 官</vt:lpstr>
      <vt:lpstr>        第 十一 条</vt:lpstr>
      <vt:lpstr>        第 十二 条</vt:lpstr>
      <vt:lpstr>        第 十三 条</vt:lpstr>
      <vt:lpstr>        第 十四 条</vt:lpstr>
      <vt:lpstr>        第 十五 条</vt:lpstr>
      <vt:lpstr>        第 十六 条</vt:lpstr>
      <vt:lpstr>    附件一  法例索引</vt:lpstr>
      <vt:lpstr>    附件二  多边条约索引</vt:lpstr>
    </vt:vector>
  </TitlesOfParts>
  <Company>Chinese Unit - GE</Company>
  <LinksUpToDate>false</LinksUpToDate>
  <CharactersWithSpaces>31469</CharactersWithSpaces>
  <SharedDoc>false</SharedDoc>
  <HLinks>
    <vt:vector size="6" baseType="variant">
      <vt:variant>
        <vt:i4>2687066</vt:i4>
      </vt:variant>
      <vt:variant>
        <vt:i4>0</vt:i4>
      </vt:variant>
      <vt:variant>
        <vt:i4>0</vt:i4>
      </vt:variant>
      <vt:variant>
        <vt:i4>5</vt:i4>
      </vt:variant>
      <vt:variant>
        <vt:lpwstr>http://www.macaolaw.gov.mo/cn/search/load_content.asp?lang=chin&amp;tpLeg=14&amp;noLeg=9/load_content.asp?iourl=http://www.imprensa.macau.gov.mo/bo/i/1999/leibasica/index_cn.asp</vt:lpwstr>
      </vt:variant>
      <vt:variant>
        <vt:lpwstr>a40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禁止酷刑委员会</dc:title>
  <dc:subject/>
  <dc:creator>niu</dc:creator>
  <cp:keywords/>
  <dc:description>禁止酷刑和其他残忍、不人道或有辱人格的待遇或处罚公约</dc:description>
  <cp:lastModifiedBy>TIAN</cp:lastModifiedBy>
  <cp:revision>2</cp:revision>
  <cp:lastPrinted>2007-01-16T12:53:00Z</cp:lastPrinted>
  <dcterms:created xsi:type="dcterms:W3CDTF">2007-01-16T12:55:00Z</dcterms:created>
  <dcterms:modified xsi:type="dcterms:W3CDTF">2007-01-16T12:55:00Z</dcterms:modified>
  <cp:category>CAT</cp:category>
</cp:coreProperties>
</file>